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D47E1" w14:textId="1B6DED78" w:rsidR="00656D4B" w:rsidRPr="003C7CB1" w:rsidRDefault="006A451C" w:rsidP="006538EA">
      <w:pPr>
        <w:pStyle w:val="MediumGrid21"/>
        <w:rPr>
          <w:lang w:val="en-US"/>
        </w:rPr>
      </w:pPr>
      <w:bookmarkStart w:id="0" w:name="_Hlk85625624"/>
      <w:r w:rsidRPr="003C7CB1">
        <w:rPr>
          <w:lang w:val="en-US"/>
        </w:rPr>
        <w:t xml:space="preserve"> </w:t>
      </w:r>
    </w:p>
    <w:p w14:paraId="764C0265" w14:textId="2EB78CAA" w:rsidR="006A451C" w:rsidRPr="003C7CB1" w:rsidRDefault="006A451C">
      <w:pPr>
        <w:spacing w:after="0" w:line="240" w:lineRule="auto"/>
        <w:rPr>
          <w:rFonts w:cstheme="minorHAnsi"/>
          <w:color w:val="1F3864" w:themeColor="accent1" w:themeShade="80"/>
        </w:rPr>
      </w:pPr>
      <w:r w:rsidRPr="003C7CB1">
        <w:rPr>
          <w:noProof/>
        </w:rPr>
        <w:drawing>
          <wp:inline distT="0" distB="0" distL="0" distR="0" wp14:anchorId="090528F6" wp14:editId="43B9DAD4">
            <wp:extent cx="5730983" cy="8040450"/>
            <wp:effectExtent l="0" t="0" r="317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0983" cy="8040450"/>
                    </a:xfrm>
                    <a:prstGeom prst="rect">
                      <a:avLst/>
                    </a:prstGeom>
                    <a:noFill/>
                    <a:ln>
                      <a:noFill/>
                    </a:ln>
                  </pic:spPr>
                </pic:pic>
              </a:graphicData>
            </a:graphic>
          </wp:inline>
        </w:drawing>
      </w:r>
    </w:p>
    <w:p w14:paraId="53AD035C" w14:textId="2F66BB76" w:rsidR="006A451C" w:rsidRPr="003C7CB1" w:rsidRDefault="006A451C">
      <w:pPr>
        <w:spacing w:after="0" w:line="240" w:lineRule="auto"/>
        <w:rPr>
          <w:rFonts w:cstheme="minorHAnsi"/>
          <w:color w:val="1F3864" w:themeColor="accent1" w:themeShade="80"/>
        </w:rPr>
      </w:pPr>
    </w:p>
    <w:p w14:paraId="13326BF2" w14:textId="1063E0BC" w:rsidR="006A451C" w:rsidRPr="003C7CB1" w:rsidRDefault="006A451C">
      <w:pPr>
        <w:spacing w:after="0" w:line="240" w:lineRule="auto"/>
        <w:rPr>
          <w:rFonts w:cstheme="minorHAnsi"/>
          <w:color w:val="1F3864" w:themeColor="accent1" w:themeShade="80"/>
        </w:rPr>
      </w:pPr>
    </w:p>
    <w:p w14:paraId="40D610AC" w14:textId="3BF2FD05" w:rsidR="00790BBE" w:rsidRPr="003C7CB1" w:rsidRDefault="00E732FA" w:rsidP="00E732FA">
      <w:pPr>
        <w:spacing w:after="0" w:line="240" w:lineRule="auto"/>
        <w:jc w:val="center"/>
        <w:rPr>
          <w:rFonts w:cstheme="minorHAnsi"/>
          <w:b/>
        </w:rPr>
      </w:pPr>
      <w:r w:rsidRPr="003C7CB1">
        <w:rPr>
          <w:rFonts w:cstheme="minorHAnsi"/>
          <w:b/>
        </w:rPr>
        <w:t>Podgorica, March 2022</w:t>
      </w:r>
    </w:p>
    <w:p w14:paraId="1DEEC699" w14:textId="77777777" w:rsidR="00E732FA" w:rsidRPr="003C7CB1" w:rsidRDefault="00E732FA" w:rsidP="00E732FA">
      <w:pPr>
        <w:spacing w:after="0" w:line="240" w:lineRule="auto"/>
        <w:jc w:val="center"/>
        <w:rPr>
          <w:rFonts w:cstheme="minorHAnsi"/>
          <w:sz w:val="48"/>
          <w:szCs w:val="48"/>
        </w:rPr>
      </w:pPr>
      <w:r w:rsidRPr="003C7CB1">
        <w:rPr>
          <w:rFonts w:cstheme="minorHAnsi"/>
          <w:sz w:val="48"/>
          <w:szCs w:val="48"/>
        </w:rPr>
        <w:lastRenderedPageBreak/>
        <w:t xml:space="preserve">IMPRESSUM </w:t>
      </w:r>
    </w:p>
    <w:p w14:paraId="6C45A9A8" w14:textId="77777777" w:rsidR="00E732FA" w:rsidRPr="003C7CB1" w:rsidRDefault="00E732FA" w:rsidP="00E732FA">
      <w:pPr>
        <w:spacing w:after="0" w:line="240" w:lineRule="auto"/>
        <w:jc w:val="center"/>
        <w:rPr>
          <w:rFonts w:cstheme="minorHAnsi"/>
          <w:sz w:val="48"/>
          <w:szCs w:val="48"/>
        </w:rPr>
      </w:pPr>
    </w:p>
    <w:p w14:paraId="478A7636" w14:textId="77777777" w:rsidR="00E732FA" w:rsidRPr="003C7CB1" w:rsidRDefault="00E732FA" w:rsidP="00E732FA">
      <w:pPr>
        <w:pStyle w:val="MediumGrid21"/>
        <w:jc w:val="both"/>
        <w:rPr>
          <w:rFonts w:asciiTheme="minorHAnsi" w:hAnsiTheme="minorHAnsi" w:cstheme="minorHAnsi"/>
          <w:i/>
          <w:iCs/>
          <w:lang w:val="en-US"/>
        </w:rPr>
      </w:pPr>
    </w:p>
    <w:p w14:paraId="25E5C9EA" w14:textId="6E30D80D" w:rsidR="00E732FA" w:rsidRPr="003C7CB1" w:rsidRDefault="00E732FA" w:rsidP="00E732FA">
      <w:pPr>
        <w:pStyle w:val="MediumGrid21"/>
        <w:jc w:val="both"/>
        <w:rPr>
          <w:rFonts w:asciiTheme="minorHAnsi" w:hAnsiTheme="minorHAnsi" w:cstheme="minorHAnsi"/>
          <w:i/>
          <w:iCs/>
          <w:lang w:val="en-US"/>
        </w:rPr>
      </w:pPr>
      <w:r w:rsidRPr="003C7CB1">
        <w:rPr>
          <w:rFonts w:asciiTheme="minorHAnsi" w:hAnsiTheme="minorHAnsi" w:cstheme="minorHAnsi"/>
          <w:i/>
          <w:iCs/>
          <w:lang w:val="en-US"/>
        </w:rPr>
        <w:t xml:space="preserve">The Ministry of Economic Development thanks the members of the Interdepartmental Working Group, UNWTO and other international (ERBD, UNDP, World Bank) and national partners, tourism industry and the professional public, who took part and contributed to the </w:t>
      </w:r>
      <w:r w:rsidRPr="00DD5824">
        <w:rPr>
          <w:rFonts w:asciiTheme="minorHAnsi" w:hAnsiTheme="minorHAnsi" w:cstheme="minorHAnsi"/>
          <w:i/>
          <w:iCs/>
          <w:color w:val="000000" w:themeColor="text1"/>
          <w:lang w:val="en-US"/>
        </w:rPr>
        <w:t xml:space="preserve">development the Montenegro </w:t>
      </w:r>
      <w:r w:rsidRPr="003C7CB1">
        <w:rPr>
          <w:rFonts w:asciiTheme="minorHAnsi" w:hAnsiTheme="minorHAnsi" w:cstheme="minorHAnsi"/>
          <w:i/>
          <w:iCs/>
          <w:lang w:val="en-US"/>
        </w:rPr>
        <w:t xml:space="preserve">Tourism Development Strategy </w:t>
      </w:r>
      <w:r w:rsidR="00CA1E2E" w:rsidRPr="003C7CB1">
        <w:rPr>
          <w:rFonts w:asciiTheme="minorHAnsi" w:hAnsiTheme="minorHAnsi" w:cstheme="minorHAnsi"/>
          <w:i/>
          <w:iCs/>
          <w:lang w:val="en-US"/>
        </w:rPr>
        <w:t xml:space="preserve">2022-2025 </w:t>
      </w:r>
      <w:r w:rsidRPr="003C7CB1">
        <w:rPr>
          <w:rFonts w:asciiTheme="minorHAnsi" w:hAnsiTheme="minorHAnsi" w:cstheme="minorHAnsi"/>
          <w:i/>
          <w:iCs/>
          <w:lang w:val="en-US"/>
        </w:rPr>
        <w:t>with the Action Plan</w:t>
      </w:r>
      <w:r w:rsidR="00CA1E2E">
        <w:rPr>
          <w:rFonts w:asciiTheme="minorHAnsi" w:hAnsiTheme="minorHAnsi" w:cstheme="minorHAnsi"/>
          <w:i/>
          <w:iCs/>
          <w:lang w:val="en-US"/>
        </w:rPr>
        <w:t>.</w:t>
      </w:r>
      <w:r w:rsidRPr="003C7CB1">
        <w:rPr>
          <w:rFonts w:asciiTheme="minorHAnsi" w:hAnsiTheme="minorHAnsi" w:cstheme="minorHAnsi"/>
          <w:i/>
          <w:iCs/>
          <w:lang w:val="en-US"/>
        </w:rPr>
        <w:t xml:space="preserve"> </w:t>
      </w:r>
    </w:p>
    <w:p w14:paraId="7B7FD6BE" w14:textId="77777777" w:rsidR="00E732FA" w:rsidRPr="003C7CB1" w:rsidRDefault="00E732FA" w:rsidP="00E732FA">
      <w:pPr>
        <w:pStyle w:val="MediumGrid21"/>
        <w:rPr>
          <w:rFonts w:ascii="Calibri" w:hAnsi="Calibri"/>
          <w:b/>
          <w:color w:val="244061"/>
          <w:sz w:val="28"/>
          <w:szCs w:val="22"/>
          <w:lang w:val="en-US"/>
        </w:rPr>
      </w:pPr>
    </w:p>
    <w:p w14:paraId="725E34D3" w14:textId="77777777" w:rsidR="00E732FA" w:rsidRPr="003C7CB1" w:rsidRDefault="00E732FA" w:rsidP="00E732FA">
      <w:pPr>
        <w:pStyle w:val="MediumGrid21"/>
        <w:rPr>
          <w:rFonts w:asciiTheme="minorHAnsi" w:hAnsiTheme="minorHAnsi" w:cstheme="minorHAnsi"/>
          <w:i/>
          <w:lang w:val="en-US"/>
        </w:rPr>
      </w:pPr>
    </w:p>
    <w:p w14:paraId="231D81F5" w14:textId="77777777" w:rsidR="00E732FA" w:rsidRPr="003C7CB1" w:rsidRDefault="00E732FA" w:rsidP="00E732FA">
      <w:pPr>
        <w:pStyle w:val="MediumGrid21"/>
        <w:rPr>
          <w:rFonts w:asciiTheme="minorHAnsi" w:hAnsiTheme="minorHAnsi" w:cstheme="minorHAnsi"/>
          <w:i/>
          <w:lang w:val="en-US"/>
        </w:rPr>
      </w:pPr>
    </w:p>
    <w:p w14:paraId="3E0F5EDC" w14:textId="77777777" w:rsidR="00E732FA" w:rsidRPr="003C7CB1" w:rsidRDefault="00E732FA" w:rsidP="00E732FA">
      <w:pPr>
        <w:pStyle w:val="MediumGrid21"/>
        <w:rPr>
          <w:rFonts w:asciiTheme="minorHAnsi" w:hAnsiTheme="minorHAnsi" w:cstheme="minorHAnsi"/>
          <w:i/>
          <w:lang w:val="en-US"/>
        </w:rPr>
      </w:pPr>
      <w:r w:rsidRPr="003C7CB1">
        <w:rPr>
          <w:rFonts w:asciiTheme="minorHAnsi" w:hAnsiTheme="minorHAnsi" w:cstheme="minorHAnsi"/>
          <w:i/>
          <w:lang w:val="en-US"/>
        </w:rPr>
        <w:t>Project team:</w:t>
      </w:r>
    </w:p>
    <w:p w14:paraId="6EB6E301" w14:textId="77777777" w:rsidR="00E732FA" w:rsidRPr="003C7CB1" w:rsidRDefault="00E732FA" w:rsidP="00E732FA">
      <w:pPr>
        <w:pStyle w:val="MediumGrid21"/>
        <w:rPr>
          <w:rFonts w:asciiTheme="minorHAnsi" w:hAnsiTheme="minorHAnsi" w:cstheme="minorHAnsi"/>
          <w:i/>
          <w:lang w:val="en-US"/>
        </w:rPr>
      </w:pPr>
    </w:p>
    <w:p w14:paraId="792F8955" w14:textId="77777777" w:rsidR="00E732FA" w:rsidRPr="003C7CB1" w:rsidRDefault="00E732FA" w:rsidP="00E732FA">
      <w:pPr>
        <w:pStyle w:val="MediumGrid21"/>
        <w:rPr>
          <w:rFonts w:asciiTheme="minorHAnsi" w:hAnsiTheme="minorHAnsi" w:cstheme="minorHAnsi"/>
          <w:b/>
          <w:i/>
          <w:lang w:val="en-US"/>
        </w:rPr>
      </w:pPr>
      <w:r w:rsidRPr="003C7CB1">
        <w:rPr>
          <w:rFonts w:asciiTheme="minorHAnsi" w:hAnsiTheme="minorHAnsi" w:cstheme="minorHAnsi"/>
          <w:b/>
          <w:i/>
          <w:lang w:val="en-US"/>
        </w:rPr>
        <w:t xml:space="preserve">MSc Aleksandra </w:t>
      </w:r>
      <w:proofErr w:type="spellStart"/>
      <w:r w:rsidRPr="003C7CB1">
        <w:rPr>
          <w:rFonts w:asciiTheme="minorHAnsi" w:hAnsiTheme="minorHAnsi" w:cstheme="minorHAnsi"/>
          <w:b/>
          <w:i/>
          <w:lang w:val="en-US"/>
        </w:rPr>
        <w:t>Gardašević</w:t>
      </w:r>
      <w:proofErr w:type="spellEnd"/>
      <w:r w:rsidRPr="003C7CB1">
        <w:rPr>
          <w:rFonts w:asciiTheme="minorHAnsi" w:hAnsiTheme="minorHAnsi" w:cstheme="minorHAnsi"/>
          <w:b/>
          <w:i/>
          <w:lang w:val="en-US"/>
        </w:rPr>
        <w:t xml:space="preserve">-Slavuljica </w:t>
      </w:r>
    </w:p>
    <w:p w14:paraId="2FB47858" w14:textId="77777777" w:rsidR="00E732FA" w:rsidRPr="003C7CB1" w:rsidRDefault="00E732FA" w:rsidP="00E732FA">
      <w:pPr>
        <w:pStyle w:val="MediumGrid21"/>
        <w:rPr>
          <w:rFonts w:asciiTheme="minorHAnsi" w:hAnsiTheme="minorHAnsi" w:cstheme="minorHAnsi"/>
          <w:i/>
          <w:lang w:val="en-US"/>
        </w:rPr>
      </w:pPr>
      <w:r w:rsidRPr="003C7CB1">
        <w:rPr>
          <w:rFonts w:asciiTheme="minorHAnsi" w:hAnsiTheme="minorHAnsi" w:cstheme="minorHAnsi"/>
          <w:i/>
          <w:lang w:val="en-US"/>
        </w:rPr>
        <w:t xml:space="preserve">Ministry of Economic Development </w:t>
      </w:r>
    </w:p>
    <w:p w14:paraId="39798230" w14:textId="77777777" w:rsidR="00E732FA" w:rsidRPr="003C7CB1" w:rsidRDefault="00E732FA" w:rsidP="00E732FA">
      <w:pPr>
        <w:pStyle w:val="MediumGrid21"/>
        <w:rPr>
          <w:rFonts w:asciiTheme="minorHAnsi" w:hAnsiTheme="minorHAnsi" w:cstheme="minorHAnsi"/>
          <w:b/>
          <w:i/>
          <w:lang w:val="en-US"/>
        </w:rPr>
      </w:pPr>
    </w:p>
    <w:p w14:paraId="05844A73" w14:textId="77777777" w:rsidR="00E732FA" w:rsidRPr="003C7CB1" w:rsidRDefault="00E732FA" w:rsidP="00E732FA">
      <w:pPr>
        <w:pStyle w:val="MediumGrid21"/>
        <w:rPr>
          <w:rFonts w:asciiTheme="minorHAnsi" w:hAnsiTheme="minorHAnsi" w:cstheme="minorHAnsi"/>
          <w:b/>
          <w:i/>
          <w:lang w:val="en-US"/>
        </w:rPr>
      </w:pPr>
      <w:r w:rsidRPr="003C7CB1">
        <w:rPr>
          <w:rFonts w:asciiTheme="minorHAnsi" w:hAnsiTheme="minorHAnsi" w:cstheme="minorHAnsi"/>
          <w:b/>
          <w:i/>
          <w:lang w:val="en-US"/>
        </w:rPr>
        <w:t xml:space="preserve">Goranka </w:t>
      </w:r>
      <w:proofErr w:type="spellStart"/>
      <w:r w:rsidRPr="003C7CB1">
        <w:rPr>
          <w:rFonts w:asciiTheme="minorHAnsi" w:hAnsiTheme="minorHAnsi" w:cstheme="minorHAnsi"/>
          <w:b/>
          <w:i/>
          <w:lang w:val="en-US"/>
        </w:rPr>
        <w:t>Lazović</w:t>
      </w:r>
      <w:proofErr w:type="spellEnd"/>
      <w:r w:rsidRPr="003C7CB1">
        <w:rPr>
          <w:rFonts w:asciiTheme="minorHAnsi" w:hAnsiTheme="minorHAnsi" w:cstheme="minorHAnsi"/>
          <w:b/>
          <w:i/>
          <w:lang w:val="en-US"/>
        </w:rPr>
        <w:t xml:space="preserve">    </w:t>
      </w:r>
    </w:p>
    <w:p w14:paraId="3F28DD8B" w14:textId="77777777" w:rsidR="00E732FA" w:rsidRPr="003C7CB1" w:rsidRDefault="00E732FA" w:rsidP="00E732FA">
      <w:pPr>
        <w:pStyle w:val="MediumGrid21"/>
        <w:jc w:val="both"/>
        <w:rPr>
          <w:rFonts w:asciiTheme="minorHAnsi" w:hAnsiTheme="minorHAnsi" w:cstheme="minorHAnsi"/>
          <w:i/>
          <w:lang w:val="en-US"/>
        </w:rPr>
      </w:pPr>
      <w:r w:rsidRPr="003C7CB1">
        <w:rPr>
          <w:rFonts w:asciiTheme="minorHAnsi" w:hAnsiTheme="minorHAnsi" w:cstheme="minorHAnsi"/>
          <w:i/>
          <w:lang w:val="en-US"/>
        </w:rPr>
        <w:t xml:space="preserve">Ministry of Economic Development </w:t>
      </w:r>
    </w:p>
    <w:p w14:paraId="1DC7E714" w14:textId="77777777" w:rsidR="00E732FA" w:rsidRPr="003C7CB1" w:rsidRDefault="00E732FA" w:rsidP="00E732FA">
      <w:pPr>
        <w:pStyle w:val="MediumGrid21"/>
        <w:jc w:val="both"/>
        <w:rPr>
          <w:rFonts w:asciiTheme="minorHAnsi" w:hAnsiTheme="minorHAnsi" w:cstheme="minorHAnsi"/>
          <w:i/>
          <w:lang w:val="en-US"/>
        </w:rPr>
      </w:pPr>
    </w:p>
    <w:p w14:paraId="18F8ABFB" w14:textId="77777777" w:rsidR="00E732FA" w:rsidRPr="003C7CB1" w:rsidRDefault="00E732FA" w:rsidP="00E732FA">
      <w:pPr>
        <w:pStyle w:val="MediumGrid21"/>
        <w:rPr>
          <w:rFonts w:asciiTheme="minorHAnsi" w:hAnsiTheme="minorHAnsi" w:cstheme="minorHAnsi"/>
          <w:b/>
          <w:i/>
          <w:lang w:val="en-US"/>
        </w:rPr>
      </w:pPr>
      <w:r w:rsidRPr="003C7CB1">
        <w:rPr>
          <w:rFonts w:asciiTheme="minorHAnsi" w:hAnsiTheme="minorHAnsi" w:cstheme="minorHAnsi"/>
          <w:b/>
          <w:i/>
          <w:lang w:val="en-US"/>
        </w:rPr>
        <w:t xml:space="preserve">Jelena </w:t>
      </w:r>
      <w:proofErr w:type="spellStart"/>
      <w:r w:rsidRPr="003C7CB1">
        <w:rPr>
          <w:rFonts w:asciiTheme="minorHAnsi" w:hAnsiTheme="minorHAnsi" w:cstheme="minorHAnsi"/>
          <w:b/>
          <w:i/>
          <w:lang w:val="en-US"/>
        </w:rPr>
        <w:t>Mugoša</w:t>
      </w:r>
      <w:proofErr w:type="spellEnd"/>
      <w:r w:rsidRPr="003C7CB1">
        <w:rPr>
          <w:rFonts w:asciiTheme="minorHAnsi" w:hAnsiTheme="minorHAnsi" w:cstheme="minorHAnsi"/>
          <w:b/>
          <w:i/>
          <w:lang w:val="en-US"/>
        </w:rPr>
        <w:t xml:space="preserve"> </w:t>
      </w:r>
    </w:p>
    <w:p w14:paraId="16EA7B20" w14:textId="77777777" w:rsidR="00E732FA" w:rsidRPr="003C7CB1" w:rsidRDefault="00E732FA" w:rsidP="00E732FA">
      <w:pPr>
        <w:pStyle w:val="MediumGrid21"/>
        <w:rPr>
          <w:rFonts w:asciiTheme="minorHAnsi" w:hAnsiTheme="minorHAnsi" w:cstheme="minorHAnsi"/>
          <w:i/>
          <w:lang w:val="en-US"/>
        </w:rPr>
      </w:pPr>
      <w:r w:rsidRPr="003C7CB1">
        <w:rPr>
          <w:rFonts w:asciiTheme="minorHAnsi" w:hAnsiTheme="minorHAnsi" w:cstheme="minorHAnsi"/>
          <w:i/>
          <w:lang w:val="en-US"/>
        </w:rPr>
        <w:t xml:space="preserve">Ministry of Economic Development </w:t>
      </w:r>
    </w:p>
    <w:p w14:paraId="3C824448" w14:textId="77777777" w:rsidR="00E732FA" w:rsidRPr="003C7CB1" w:rsidRDefault="00E732FA" w:rsidP="00E732FA">
      <w:pPr>
        <w:pStyle w:val="MediumGrid21"/>
        <w:rPr>
          <w:rFonts w:asciiTheme="minorHAnsi" w:hAnsiTheme="minorHAnsi" w:cstheme="minorHAnsi"/>
          <w:i/>
          <w:lang w:val="en-US"/>
        </w:rPr>
      </w:pPr>
    </w:p>
    <w:p w14:paraId="6C8246D6" w14:textId="77777777" w:rsidR="00E732FA" w:rsidRPr="003C7CB1" w:rsidRDefault="00E732FA" w:rsidP="00E732FA">
      <w:pPr>
        <w:pStyle w:val="MediumGrid21"/>
        <w:rPr>
          <w:rFonts w:asciiTheme="minorHAnsi" w:hAnsiTheme="minorHAnsi" w:cstheme="minorHAnsi"/>
          <w:b/>
          <w:i/>
          <w:lang w:val="en-US"/>
        </w:rPr>
      </w:pPr>
      <w:r w:rsidRPr="003C7CB1">
        <w:rPr>
          <w:rFonts w:asciiTheme="minorHAnsi" w:hAnsiTheme="minorHAnsi" w:cstheme="minorHAnsi"/>
          <w:b/>
          <w:i/>
          <w:lang w:val="en-US"/>
        </w:rPr>
        <w:t xml:space="preserve">Maja Kovačević </w:t>
      </w:r>
    </w:p>
    <w:p w14:paraId="5CE460EC" w14:textId="77777777" w:rsidR="00E732FA" w:rsidRPr="003C7CB1" w:rsidRDefault="00E732FA" w:rsidP="00E732FA">
      <w:pPr>
        <w:pStyle w:val="MediumGrid21"/>
        <w:rPr>
          <w:rFonts w:asciiTheme="minorHAnsi" w:hAnsiTheme="minorHAnsi" w:cstheme="minorHAnsi"/>
          <w:i/>
          <w:lang w:val="en-US"/>
        </w:rPr>
      </w:pPr>
      <w:r w:rsidRPr="003C7CB1">
        <w:rPr>
          <w:rFonts w:asciiTheme="minorHAnsi" w:hAnsiTheme="minorHAnsi" w:cstheme="minorHAnsi"/>
          <w:i/>
          <w:lang w:val="en-US"/>
        </w:rPr>
        <w:t xml:space="preserve">Ministry of Economic Development  </w:t>
      </w:r>
    </w:p>
    <w:p w14:paraId="40672E34" w14:textId="77777777" w:rsidR="00E732FA" w:rsidRPr="003C7CB1" w:rsidRDefault="00E732FA" w:rsidP="00E732FA">
      <w:pPr>
        <w:pStyle w:val="MediumGrid21"/>
        <w:rPr>
          <w:rFonts w:asciiTheme="minorHAnsi" w:hAnsiTheme="minorHAnsi" w:cstheme="minorHAnsi"/>
          <w:i/>
          <w:lang w:val="en-US"/>
        </w:rPr>
      </w:pPr>
    </w:p>
    <w:p w14:paraId="51644D04" w14:textId="77777777" w:rsidR="00E732FA" w:rsidRPr="003C7CB1" w:rsidRDefault="00E732FA" w:rsidP="00E732FA">
      <w:pPr>
        <w:pStyle w:val="MediumGrid21"/>
        <w:rPr>
          <w:rFonts w:asciiTheme="minorHAnsi" w:hAnsiTheme="minorHAnsi" w:cstheme="minorHAnsi"/>
          <w:b/>
          <w:i/>
          <w:lang w:val="en-US"/>
        </w:rPr>
      </w:pPr>
      <w:r w:rsidRPr="003C7CB1">
        <w:rPr>
          <w:rFonts w:asciiTheme="minorHAnsi" w:hAnsiTheme="minorHAnsi" w:cstheme="minorHAnsi"/>
          <w:b/>
          <w:i/>
          <w:lang w:val="en-US"/>
        </w:rPr>
        <w:t xml:space="preserve">Ana </w:t>
      </w:r>
      <w:proofErr w:type="spellStart"/>
      <w:r w:rsidRPr="003C7CB1">
        <w:rPr>
          <w:rFonts w:asciiTheme="minorHAnsi" w:hAnsiTheme="minorHAnsi" w:cstheme="minorHAnsi"/>
          <w:b/>
          <w:i/>
          <w:lang w:val="en-US"/>
        </w:rPr>
        <w:t>Todorović</w:t>
      </w:r>
      <w:proofErr w:type="spellEnd"/>
      <w:r w:rsidRPr="003C7CB1">
        <w:rPr>
          <w:rFonts w:asciiTheme="minorHAnsi" w:hAnsiTheme="minorHAnsi" w:cstheme="minorHAnsi"/>
          <w:b/>
          <w:i/>
          <w:lang w:val="en-US"/>
        </w:rPr>
        <w:t xml:space="preserve"> </w:t>
      </w:r>
    </w:p>
    <w:p w14:paraId="0FEB8146" w14:textId="77777777" w:rsidR="00E732FA" w:rsidRPr="003C7CB1" w:rsidRDefault="00E732FA" w:rsidP="00E732FA">
      <w:pPr>
        <w:pStyle w:val="MediumGrid21"/>
        <w:rPr>
          <w:rFonts w:asciiTheme="minorHAnsi" w:hAnsiTheme="minorHAnsi" w:cstheme="minorHAnsi"/>
          <w:lang w:val="en-US"/>
        </w:rPr>
      </w:pPr>
      <w:r w:rsidRPr="003C7CB1">
        <w:rPr>
          <w:rFonts w:asciiTheme="minorHAnsi" w:hAnsiTheme="minorHAnsi" w:cstheme="minorHAnsi"/>
          <w:i/>
          <w:lang w:val="en-US"/>
        </w:rPr>
        <w:t xml:space="preserve">Ministry of Economic Development </w:t>
      </w:r>
    </w:p>
    <w:p w14:paraId="58CB26B5" w14:textId="77777777" w:rsidR="00E732FA" w:rsidRPr="003C7CB1" w:rsidRDefault="00E732FA" w:rsidP="00E732FA">
      <w:pPr>
        <w:pStyle w:val="MediumGrid21"/>
        <w:jc w:val="both"/>
        <w:rPr>
          <w:rFonts w:asciiTheme="minorHAnsi" w:hAnsiTheme="minorHAnsi" w:cstheme="minorHAnsi"/>
          <w:i/>
          <w:iCs/>
          <w:lang w:val="en-US"/>
        </w:rPr>
      </w:pPr>
    </w:p>
    <w:p w14:paraId="0498C426" w14:textId="77777777" w:rsidR="00E732FA" w:rsidRPr="003C7CB1" w:rsidRDefault="00E732FA" w:rsidP="00E732FA">
      <w:pPr>
        <w:pStyle w:val="MediumGrid21"/>
        <w:jc w:val="both"/>
        <w:rPr>
          <w:rFonts w:asciiTheme="minorHAnsi" w:hAnsiTheme="minorHAnsi" w:cstheme="minorHAnsi"/>
          <w:i/>
          <w:iCs/>
          <w:lang w:val="en-US"/>
        </w:rPr>
      </w:pPr>
    </w:p>
    <w:p w14:paraId="73A9A9D6" w14:textId="77777777" w:rsidR="00E732FA" w:rsidRPr="003C7CB1" w:rsidRDefault="00E732FA" w:rsidP="00E732FA">
      <w:pPr>
        <w:pStyle w:val="MediumGrid21"/>
        <w:rPr>
          <w:rFonts w:ascii="Calibri" w:hAnsi="Calibri"/>
          <w:sz w:val="28"/>
          <w:szCs w:val="22"/>
          <w:lang w:val="en-US"/>
        </w:rPr>
      </w:pPr>
    </w:p>
    <w:p w14:paraId="4EE5743F" w14:textId="77777777" w:rsidR="00E732FA" w:rsidRPr="003C7CB1" w:rsidRDefault="00E732FA" w:rsidP="00E732FA">
      <w:pPr>
        <w:pStyle w:val="MediumGrid21"/>
        <w:rPr>
          <w:rFonts w:ascii="Calibri" w:hAnsi="Calibri"/>
          <w:sz w:val="28"/>
          <w:szCs w:val="22"/>
          <w:lang w:val="en-US"/>
        </w:rPr>
      </w:pPr>
    </w:p>
    <w:p w14:paraId="53A97851" w14:textId="77777777" w:rsidR="00E732FA" w:rsidRPr="003C7CB1" w:rsidRDefault="00E732FA" w:rsidP="00E732FA">
      <w:pPr>
        <w:pStyle w:val="MediumGrid21"/>
        <w:rPr>
          <w:rFonts w:ascii="Calibri" w:hAnsi="Calibri"/>
          <w:sz w:val="28"/>
          <w:szCs w:val="22"/>
          <w:lang w:val="en-US"/>
        </w:rPr>
      </w:pPr>
    </w:p>
    <w:p w14:paraId="277996B1" w14:textId="77777777" w:rsidR="00E732FA" w:rsidRPr="003C7CB1" w:rsidRDefault="00E732FA" w:rsidP="00E732FA">
      <w:pPr>
        <w:pStyle w:val="MediumGrid21"/>
        <w:rPr>
          <w:rFonts w:ascii="Calibri" w:hAnsi="Calibri"/>
          <w:sz w:val="28"/>
          <w:szCs w:val="22"/>
          <w:lang w:val="en-US"/>
        </w:rPr>
      </w:pPr>
    </w:p>
    <w:p w14:paraId="7E96C0EA" w14:textId="77777777" w:rsidR="00E732FA" w:rsidRPr="003C7CB1" w:rsidRDefault="00E732FA" w:rsidP="00E732FA">
      <w:pPr>
        <w:pStyle w:val="MediumGrid21"/>
        <w:rPr>
          <w:rFonts w:ascii="Calibri" w:hAnsi="Calibri"/>
          <w:sz w:val="28"/>
          <w:szCs w:val="22"/>
          <w:lang w:val="en-US"/>
        </w:rPr>
      </w:pPr>
    </w:p>
    <w:p w14:paraId="7873CF2F" w14:textId="77777777" w:rsidR="00E732FA" w:rsidRPr="003C7CB1" w:rsidRDefault="00E732FA" w:rsidP="00E732FA">
      <w:pPr>
        <w:pStyle w:val="MediumGrid21"/>
        <w:rPr>
          <w:rFonts w:ascii="Calibri" w:hAnsi="Calibri"/>
          <w:i/>
          <w:sz w:val="28"/>
          <w:szCs w:val="22"/>
          <w:lang w:val="en-US"/>
        </w:rPr>
      </w:pPr>
    </w:p>
    <w:p w14:paraId="0DE039C9" w14:textId="77777777" w:rsidR="00E732FA" w:rsidRPr="003C7CB1" w:rsidRDefault="00E732FA" w:rsidP="00E732FA">
      <w:pPr>
        <w:pStyle w:val="MediumGrid21"/>
        <w:rPr>
          <w:rFonts w:ascii="Calibri" w:hAnsi="Calibri"/>
          <w:color w:val="4472C4" w:themeColor="accent1"/>
          <w:sz w:val="28"/>
          <w:szCs w:val="22"/>
          <w:lang w:val="en-US"/>
        </w:rPr>
      </w:pPr>
    </w:p>
    <w:p w14:paraId="6E15834C" w14:textId="77777777" w:rsidR="00E732FA" w:rsidRPr="003C7CB1" w:rsidRDefault="00E732FA" w:rsidP="00E732FA">
      <w:pPr>
        <w:spacing w:after="0" w:line="240" w:lineRule="auto"/>
        <w:jc w:val="center"/>
        <w:rPr>
          <w:rFonts w:cstheme="minorHAnsi"/>
          <w:color w:val="4472C4" w:themeColor="accent1"/>
          <w:sz w:val="48"/>
          <w:szCs w:val="48"/>
        </w:rPr>
      </w:pPr>
    </w:p>
    <w:p w14:paraId="4A5AEC0D" w14:textId="6BF1D2F8" w:rsidR="00E732FA" w:rsidRPr="003C7CB1" w:rsidRDefault="00E732FA" w:rsidP="00E732FA">
      <w:pPr>
        <w:spacing w:after="0" w:line="240" w:lineRule="auto"/>
        <w:jc w:val="center"/>
        <w:rPr>
          <w:rFonts w:cstheme="minorHAnsi"/>
          <w:color w:val="4472C4" w:themeColor="accent1"/>
          <w:sz w:val="24"/>
          <w:szCs w:val="24"/>
        </w:rPr>
      </w:pPr>
    </w:p>
    <w:p w14:paraId="3737684F" w14:textId="2D7BB981" w:rsidR="00E732FA" w:rsidRPr="003C7CB1" w:rsidRDefault="00E732FA" w:rsidP="00E732FA">
      <w:pPr>
        <w:spacing w:after="0" w:line="240" w:lineRule="auto"/>
        <w:jc w:val="center"/>
        <w:rPr>
          <w:rFonts w:cstheme="minorHAnsi"/>
          <w:color w:val="4472C4" w:themeColor="accent1"/>
          <w:sz w:val="24"/>
          <w:szCs w:val="24"/>
        </w:rPr>
      </w:pPr>
    </w:p>
    <w:p w14:paraId="7E884AAC" w14:textId="4B0960CE" w:rsidR="00E732FA" w:rsidRPr="003C7CB1" w:rsidRDefault="00E732FA" w:rsidP="00E732FA">
      <w:pPr>
        <w:spacing w:after="0" w:line="240" w:lineRule="auto"/>
        <w:jc w:val="center"/>
        <w:rPr>
          <w:rFonts w:cstheme="minorHAnsi"/>
          <w:color w:val="4472C4" w:themeColor="accent1"/>
          <w:sz w:val="24"/>
          <w:szCs w:val="24"/>
        </w:rPr>
      </w:pPr>
    </w:p>
    <w:p w14:paraId="41D393E1" w14:textId="032233A9" w:rsidR="00E732FA" w:rsidRDefault="00E732FA" w:rsidP="00E732FA">
      <w:pPr>
        <w:spacing w:after="0" w:line="240" w:lineRule="auto"/>
        <w:jc w:val="center"/>
        <w:rPr>
          <w:rFonts w:cstheme="minorHAnsi"/>
          <w:color w:val="4472C4" w:themeColor="accent1"/>
          <w:sz w:val="24"/>
          <w:szCs w:val="24"/>
        </w:rPr>
      </w:pPr>
    </w:p>
    <w:p w14:paraId="522484E1" w14:textId="77777777" w:rsidR="00603BDB" w:rsidRPr="003C7CB1" w:rsidRDefault="00603BDB" w:rsidP="00E732FA">
      <w:pPr>
        <w:spacing w:after="0" w:line="240" w:lineRule="auto"/>
        <w:jc w:val="center"/>
        <w:rPr>
          <w:rFonts w:cstheme="minorHAnsi"/>
          <w:color w:val="4472C4" w:themeColor="accent1"/>
          <w:sz w:val="24"/>
          <w:szCs w:val="24"/>
        </w:rPr>
      </w:pPr>
    </w:p>
    <w:p w14:paraId="794B4C59" w14:textId="6EC3186D" w:rsidR="00E732FA" w:rsidRPr="003C7CB1" w:rsidRDefault="00E732FA" w:rsidP="00E732FA">
      <w:pPr>
        <w:spacing w:after="0" w:line="240" w:lineRule="auto"/>
        <w:jc w:val="center"/>
        <w:rPr>
          <w:rFonts w:cstheme="minorHAnsi"/>
          <w:color w:val="4472C4" w:themeColor="accent1"/>
          <w:sz w:val="24"/>
          <w:szCs w:val="24"/>
        </w:rPr>
      </w:pPr>
    </w:p>
    <w:p w14:paraId="4D8CF7EC" w14:textId="77777777" w:rsidR="00E732FA" w:rsidRPr="003C7CB1" w:rsidRDefault="00E732FA" w:rsidP="00E732FA">
      <w:pPr>
        <w:spacing w:after="0" w:line="240" w:lineRule="auto"/>
        <w:jc w:val="center"/>
        <w:rPr>
          <w:rFonts w:cstheme="minorHAnsi"/>
          <w:color w:val="4472C4" w:themeColor="accent1"/>
          <w:sz w:val="24"/>
          <w:szCs w:val="24"/>
        </w:rPr>
      </w:pPr>
    </w:p>
    <w:p w14:paraId="1D1E88DD" w14:textId="77777777" w:rsidR="00E732FA" w:rsidRPr="003C7CB1" w:rsidRDefault="00E732FA" w:rsidP="00E732FA">
      <w:pPr>
        <w:spacing w:after="0" w:line="240" w:lineRule="auto"/>
        <w:rPr>
          <w:rFonts w:cstheme="minorHAnsi"/>
          <w:b/>
          <w:sz w:val="24"/>
          <w:szCs w:val="24"/>
        </w:rPr>
      </w:pPr>
      <w:r w:rsidRPr="003C7CB1">
        <w:rPr>
          <w:rFonts w:cstheme="minorHAnsi"/>
          <w:b/>
          <w:sz w:val="24"/>
          <w:szCs w:val="24"/>
        </w:rPr>
        <w:lastRenderedPageBreak/>
        <w:t xml:space="preserve">LIST OF ABBREVIATIONS </w:t>
      </w:r>
    </w:p>
    <w:p w14:paraId="37754D78" w14:textId="77777777" w:rsidR="00E732FA" w:rsidRPr="003C7CB1" w:rsidRDefault="00E732FA" w:rsidP="00E732FA">
      <w:pPr>
        <w:spacing w:after="0" w:line="240" w:lineRule="auto"/>
        <w:rPr>
          <w:rFonts w:cstheme="minorHAnsi"/>
        </w:rPr>
      </w:pPr>
    </w:p>
    <w:p w14:paraId="2A29BD80" w14:textId="77777777" w:rsidR="00E732FA" w:rsidRPr="003C7CB1" w:rsidRDefault="00E732FA" w:rsidP="00E732FA">
      <w:pPr>
        <w:spacing w:after="0" w:line="240" w:lineRule="auto"/>
        <w:rPr>
          <w:rFonts w:cstheme="minorHAnsi"/>
        </w:rPr>
      </w:pPr>
      <w:r w:rsidRPr="003C7CB1">
        <w:rPr>
          <w:rFonts w:cstheme="minorHAnsi"/>
        </w:rPr>
        <w:t xml:space="preserve">JSC – Joint-stock company </w:t>
      </w:r>
    </w:p>
    <w:p w14:paraId="1E57A73A" w14:textId="77777777" w:rsidR="00E732FA" w:rsidRPr="003C7CB1" w:rsidRDefault="00E732FA" w:rsidP="00E732FA">
      <w:pPr>
        <w:spacing w:after="0" w:line="240" w:lineRule="auto"/>
        <w:rPr>
          <w:rFonts w:cstheme="minorHAnsi"/>
        </w:rPr>
      </w:pPr>
      <w:r w:rsidRPr="003C7CB1">
        <w:rPr>
          <w:rFonts w:cstheme="minorHAnsi"/>
        </w:rPr>
        <w:t xml:space="preserve">ATTA – Adventure Travel Trade Association </w:t>
      </w:r>
    </w:p>
    <w:p w14:paraId="23B719BD" w14:textId="77777777" w:rsidR="00E732FA" w:rsidRPr="003C7CB1" w:rsidRDefault="00E732FA" w:rsidP="00E732FA">
      <w:pPr>
        <w:spacing w:after="0" w:line="240" w:lineRule="auto"/>
        <w:rPr>
          <w:rFonts w:cstheme="minorHAnsi"/>
        </w:rPr>
      </w:pPr>
      <w:r w:rsidRPr="003C7CB1">
        <w:rPr>
          <w:rFonts w:cstheme="minorHAnsi"/>
        </w:rPr>
        <w:t xml:space="preserve">GDP – Gross domestic product </w:t>
      </w:r>
    </w:p>
    <w:p w14:paraId="42632DF1" w14:textId="77777777" w:rsidR="00E732FA" w:rsidRPr="003C7CB1" w:rsidRDefault="00E732FA" w:rsidP="00E732FA">
      <w:pPr>
        <w:spacing w:after="0" w:line="240" w:lineRule="auto"/>
        <w:rPr>
          <w:rFonts w:cstheme="minorHAnsi"/>
        </w:rPr>
      </w:pPr>
      <w:r w:rsidRPr="003C7CB1">
        <w:rPr>
          <w:rFonts w:cstheme="minorHAnsi"/>
        </w:rPr>
        <w:t xml:space="preserve">CEI - Central European Initiative </w:t>
      </w:r>
    </w:p>
    <w:p w14:paraId="71E65EEC" w14:textId="77777777" w:rsidR="00E732FA" w:rsidRPr="003C7CB1" w:rsidRDefault="00E732FA" w:rsidP="00E732FA">
      <w:pPr>
        <w:spacing w:after="0" w:line="240" w:lineRule="auto"/>
        <w:rPr>
          <w:rFonts w:cstheme="minorHAnsi"/>
        </w:rPr>
      </w:pPr>
      <w:r w:rsidRPr="003C7CB1">
        <w:rPr>
          <w:rFonts w:cstheme="minorHAnsi"/>
        </w:rPr>
        <w:t xml:space="preserve">CEDIS - Montenegrin electricity distribution system </w:t>
      </w:r>
    </w:p>
    <w:p w14:paraId="2DD484EA" w14:textId="77777777" w:rsidR="00E732FA" w:rsidRPr="003C7CB1" w:rsidRDefault="00E732FA" w:rsidP="00E732FA">
      <w:pPr>
        <w:spacing w:after="0" w:line="240" w:lineRule="auto"/>
        <w:rPr>
          <w:rFonts w:cstheme="minorHAnsi"/>
        </w:rPr>
      </w:pPr>
      <w:r w:rsidRPr="003C7CB1">
        <w:rPr>
          <w:rFonts w:cstheme="minorHAnsi"/>
        </w:rPr>
        <w:t>COVID-19 - Corona virus</w:t>
      </w:r>
    </w:p>
    <w:p w14:paraId="4CFBBE2D" w14:textId="77777777" w:rsidR="00E732FA" w:rsidRPr="003C7CB1" w:rsidRDefault="00E732FA" w:rsidP="00E732FA">
      <w:pPr>
        <w:spacing w:after="0" w:line="240" w:lineRule="auto"/>
        <w:rPr>
          <w:rFonts w:cstheme="minorHAnsi"/>
        </w:rPr>
      </w:pPr>
      <w:r w:rsidRPr="003C7CB1">
        <w:rPr>
          <w:rFonts w:cstheme="minorHAnsi"/>
        </w:rPr>
        <w:t xml:space="preserve">CBM - Central Bank of Montenegro </w:t>
      </w:r>
    </w:p>
    <w:p w14:paraId="70BBB4E3" w14:textId="77777777" w:rsidR="00E732FA" w:rsidRPr="003C7CB1" w:rsidRDefault="00E732FA" w:rsidP="00E732FA">
      <w:pPr>
        <w:spacing w:after="0" w:line="240" w:lineRule="auto"/>
        <w:rPr>
          <w:rFonts w:cstheme="minorHAnsi"/>
        </w:rPr>
      </w:pPr>
      <w:r w:rsidRPr="003C7CB1">
        <w:rPr>
          <w:rFonts w:cstheme="minorHAnsi"/>
        </w:rPr>
        <w:t xml:space="preserve">CGES - Electric Transmission System of Montenegro   </w:t>
      </w:r>
    </w:p>
    <w:p w14:paraId="6C1761EC" w14:textId="77777777" w:rsidR="00E732FA" w:rsidRPr="003C7CB1" w:rsidRDefault="00E732FA" w:rsidP="00E732FA">
      <w:pPr>
        <w:spacing w:after="0" w:line="240" w:lineRule="auto"/>
        <w:rPr>
          <w:rFonts w:cstheme="minorHAnsi"/>
        </w:rPr>
      </w:pPr>
      <w:r w:rsidRPr="003C7CB1">
        <w:rPr>
          <w:rFonts w:cstheme="minorHAnsi"/>
        </w:rPr>
        <w:t xml:space="preserve">VET center - Center for Vocational Education and Training </w:t>
      </w:r>
    </w:p>
    <w:p w14:paraId="58148582" w14:textId="77777777" w:rsidR="00E732FA" w:rsidRPr="003C7CB1" w:rsidRDefault="00E732FA" w:rsidP="00E732FA">
      <w:pPr>
        <w:spacing w:after="0" w:line="240" w:lineRule="auto"/>
        <w:rPr>
          <w:rFonts w:cstheme="minorHAnsi"/>
        </w:rPr>
      </w:pPr>
      <w:r w:rsidRPr="003C7CB1">
        <w:rPr>
          <w:rFonts w:cstheme="minorHAnsi"/>
        </w:rPr>
        <w:t xml:space="preserve">DMO – Destination Management Organization </w:t>
      </w:r>
    </w:p>
    <w:p w14:paraId="26529FEC" w14:textId="77777777" w:rsidR="00E732FA" w:rsidRPr="003C7CB1" w:rsidRDefault="00E732FA" w:rsidP="00E732FA">
      <w:pPr>
        <w:spacing w:after="0" w:line="240" w:lineRule="auto"/>
        <w:rPr>
          <w:rFonts w:cstheme="minorHAnsi"/>
        </w:rPr>
      </w:pPr>
      <w:r w:rsidRPr="003C7CB1">
        <w:rPr>
          <w:rFonts w:cstheme="minorHAnsi"/>
        </w:rPr>
        <w:t xml:space="preserve">EU – European Union </w:t>
      </w:r>
    </w:p>
    <w:p w14:paraId="4ACDF674" w14:textId="77777777" w:rsidR="00E732FA" w:rsidRPr="003C7CB1" w:rsidRDefault="00E732FA" w:rsidP="00E732FA">
      <w:pPr>
        <w:spacing w:after="0" w:line="240" w:lineRule="auto"/>
        <w:rPr>
          <w:rFonts w:cstheme="minorHAnsi"/>
        </w:rPr>
      </w:pPr>
      <w:r w:rsidRPr="003C7CB1">
        <w:rPr>
          <w:rFonts w:cstheme="minorHAnsi"/>
        </w:rPr>
        <w:t xml:space="preserve">EUROSTAT - Statistical Office of the European Union </w:t>
      </w:r>
    </w:p>
    <w:p w14:paraId="5A749230" w14:textId="77777777" w:rsidR="00E732FA" w:rsidRPr="003C7CB1" w:rsidRDefault="00E732FA" w:rsidP="00E732FA">
      <w:pPr>
        <w:spacing w:after="0" w:line="240" w:lineRule="auto"/>
        <w:rPr>
          <w:rFonts w:cstheme="minorHAnsi"/>
        </w:rPr>
      </w:pPr>
      <w:r w:rsidRPr="003C7CB1">
        <w:rPr>
          <w:rFonts w:cstheme="minorHAnsi"/>
        </w:rPr>
        <w:t xml:space="preserve">EU PPCG - Montenegro’s Program of Accession to the European Union </w:t>
      </w:r>
    </w:p>
    <w:p w14:paraId="4519114E" w14:textId="77777777" w:rsidR="00E732FA" w:rsidRPr="003C7CB1" w:rsidRDefault="00E732FA" w:rsidP="00E732FA">
      <w:pPr>
        <w:spacing w:after="0" w:line="240" w:lineRule="auto"/>
        <w:rPr>
          <w:rFonts w:cstheme="minorHAnsi"/>
        </w:rPr>
      </w:pPr>
      <w:r w:rsidRPr="003C7CB1">
        <w:rPr>
          <w:rFonts w:cstheme="minorHAnsi"/>
        </w:rPr>
        <w:t xml:space="preserve">EUSAIR - EU Strategy for the Adriatic-Ionian Region </w:t>
      </w:r>
    </w:p>
    <w:p w14:paraId="6DB9BD51" w14:textId="77777777" w:rsidR="00E732FA" w:rsidRPr="003C7CB1" w:rsidRDefault="00E732FA" w:rsidP="00E732FA">
      <w:pPr>
        <w:spacing w:after="0" w:line="240" w:lineRule="auto"/>
        <w:rPr>
          <w:rFonts w:cstheme="minorHAnsi"/>
        </w:rPr>
      </w:pPr>
      <w:r w:rsidRPr="003C7CB1">
        <w:rPr>
          <w:rFonts w:cstheme="minorHAnsi"/>
        </w:rPr>
        <w:t xml:space="preserve">EUSDR - EU Strategy for the Danube Region </w:t>
      </w:r>
    </w:p>
    <w:p w14:paraId="09A0C06B" w14:textId="77777777" w:rsidR="00E732FA" w:rsidRPr="003C7CB1" w:rsidRDefault="00E732FA" w:rsidP="00E732FA">
      <w:pPr>
        <w:spacing w:after="0" w:line="240" w:lineRule="auto"/>
        <w:rPr>
          <w:rFonts w:cstheme="minorHAnsi"/>
        </w:rPr>
      </w:pPr>
      <w:r w:rsidRPr="003C7CB1">
        <w:rPr>
          <w:rFonts w:cstheme="minorHAnsi"/>
        </w:rPr>
        <w:t xml:space="preserve">EK – European Commission </w:t>
      </w:r>
    </w:p>
    <w:p w14:paraId="7702833D" w14:textId="77777777" w:rsidR="00E732FA" w:rsidRPr="003C7CB1" w:rsidRDefault="00E732FA" w:rsidP="00E732FA">
      <w:pPr>
        <w:spacing w:after="0" w:line="240" w:lineRule="auto"/>
        <w:rPr>
          <w:rFonts w:cstheme="minorHAnsi"/>
        </w:rPr>
      </w:pPr>
      <w:r w:rsidRPr="003C7CB1">
        <w:rPr>
          <w:rFonts w:cstheme="minorHAnsi"/>
        </w:rPr>
        <w:t xml:space="preserve">EBRD - European Bank for Reconstruction and Development </w:t>
      </w:r>
    </w:p>
    <w:p w14:paraId="3671A81B" w14:textId="77777777" w:rsidR="00E732FA" w:rsidRPr="003C7CB1" w:rsidRDefault="00E732FA" w:rsidP="00E732FA">
      <w:pPr>
        <w:spacing w:after="0" w:line="240" w:lineRule="auto"/>
        <w:rPr>
          <w:rFonts w:cstheme="minorHAnsi"/>
        </w:rPr>
      </w:pPr>
      <w:r w:rsidRPr="003C7CB1">
        <w:rPr>
          <w:rFonts w:cstheme="minorHAnsi"/>
        </w:rPr>
        <w:t>FEE -</w:t>
      </w:r>
      <w:r w:rsidRPr="003C7CB1">
        <w:rPr>
          <w:rFonts w:cstheme="minorHAnsi"/>
          <w:shd w:val="clear" w:color="auto" w:fill="FFFFFF"/>
        </w:rPr>
        <w:t xml:space="preserve"> </w:t>
      </w:r>
      <w:r w:rsidRPr="003C7CB1">
        <w:rPr>
          <w:rFonts w:cstheme="minorHAnsi"/>
        </w:rPr>
        <w:t xml:space="preserve">Foundation for Environmental Education </w:t>
      </w:r>
    </w:p>
    <w:p w14:paraId="414AF1D8" w14:textId="77777777" w:rsidR="00E732FA" w:rsidRPr="003C7CB1" w:rsidRDefault="00E732FA" w:rsidP="00E732FA">
      <w:pPr>
        <w:spacing w:after="0" w:line="240" w:lineRule="auto"/>
        <w:rPr>
          <w:rFonts w:cstheme="minorHAnsi"/>
        </w:rPr>
      </w:pPr>
      <w:r w:rsidRPr="003C7CB1">
        <w:rPr>
          <w:rFonts w:cstheme="minorHAnsi"/>
        </w:rPr>
        <w:t xml:space="preserve">GEF - Global Environment Facility </w:t>
      </w:r>
    </w:p>
    <w:p w14:paraId="732CC3BB" w14:textId="77777777" w:rsidR="00E732FA" w:rsidRPr="003C7CB1" w:rsidRDefault="00E732FA" w:rsidP="00E732FA">
      <w:pPr>
        <w:spacing w:after="0" w:line="240" w:lineRule="auto"/>
        <w:rPr>
          <w:rFonts w:cstheme="minorHAnsi"/>
        </w:rPr>
      </w:pPr>
      <w:r w:rsidRPr="003C7CB1">
        <w:rPr>
          <w:rFonts w:cstheme="minorHAnsi"/>
        </w:rPr>
        <w:t>GIZ -</w:t>
      </w:r>
      <w:r w:rsidRPr="003C7CB1">
        <w:rPr>
          <w:rFonts w:cstheme="minorHAnsi"/>
          <w:shd w:val="clear" w:color="auto" w:fill="FFFFFF"/>
        </w:rPr>
        <w:t xml:space="preserve"> </w:t>
      </w:r>
      <w:r w:rsidRPr="003C7CB1">
        <w:rPr>
          <w:rFonts w:cstheme="minorHAnsi"/>
        </w:rPr>
        <w:t xml:space="preserve">German Agency for International Cooperation </w:t>
      </w:r>
    </w:p>
    <w:p w14:paraId="175DDC17" w14:textId="77777777" w:rsidR="00E732FA" w:rsidRPr="003C7CB1" w:rsidRDefault="00E732FA" w:rsidP="00E732FA">
      <w:pPr>
        <w:spacing w:after="0" w:line="240" w:lineRule="auto"/>
        <w:rPr>
          <w:rFonts w:cstheme="minorHAnsi"/>
        </w:rPr>
      </w:pPr>
      <w:r w:rsidRPr="003C7CB1">
        <w:rPr>
          <w:rFonts w:cstheme="minorHAnsi"/>
        </w:rPr>
        <w:t xml:space="preserve">GHG - The greenhouse effect </w:t>
      </w:r>
    </w:p>
    <w:p w14:paraId="06D11B47" w14:textId="77777777" w:rsidR="00E732FA" w:rsidRPr="003C7CB1" w:rsidRDefault="00E732FA" w:rsidP="00E732FA">
      <w:pPr>
        <w:spacing w:after="0" w:line="240" w:lineRule="auto"/>
        <w:rPr>
          <w:rFonts w:cstheme="minorHAnsi"/>
        </w:rPr>
      </w:pPr>
      <w:r w:rsidRPr="003C7CB1">
        <w:rPr>
          <w:rFonts w:cstheme="minorHAnsi"/>
        </w:rPr>
        <w:t xml:space="preserve">GMO - Genetically modified organisms </w:t>
      </w:r>
    </w:p>
    <w:p w14:paraId="1F1019C2" w14:textId="77777777" w:rsidR="00E732FA" w:rsidRPr="003C7CB1" w:rsidRDefault="00E732FA" w:rsidP="00E732FA">
      <w:pPr>
        <w:spacing w:after="0" w:line="240" w:lineRule="auto"/>
        <w:rPr>
          <w:rFonts w:cstheme="minorHAnsi"/>
        </w:rPr>
      </w:pPr>
      <w:r w:rsidRPr="003C7CB1">
        <w:rPr>
          <w:rFonts w:cstheme="minorHAnsi"/>
        </w:rPr>
        <w:t xml:space="preserve">GSTC - Global Sustainable Tourism Council </w:t>
      </w:r>
    </w:p>
    <w:p w14:paraId="47B8EC56" w14:textId="77777777" w:rsidR="00E732FA" w:rsidRPr="003C7CB1" w:rsidRDefault="00E732FA" w:rsidP="00E732FA">
      <w:pPr>
        <w:spacing w:after="0" w:line="240" w:lineRule="auto"/>
        <w:rPr>
          <w:rFonts w:cstheme="minorHAnsi"/>
        </w:rPr>
      </w:pPr>
      <w:r w:rsidRPr="003C7CB1">
        <w:rPr>
          <w:rFonts w:cstheme="minorHAnsi"/>
        </w:rPr>
        <w:t xml:space="preserve">HG - Hotel group </w:t>
      </w:r>
    </w:p>
    <w:p w14:paraId="1C4F7650" w14:textId="77777777" w:rsidR="00E732FA" w:rsidRPr="003C7CB1" w:rsidRDefault="00E732FA" w:rsidP="00E732FA">
      <w:pPr>
        <w:spacing w:after="0" w:line="240" w:lineRule="auto"/>
        <w:rPr>
          <w:rFonts w:cstheme="minorHAnsi"/>
        </w:rPr>
      </w:pPr>
      <w:r w:rsidRPr="003C7CB1">
        <w:rPr>
          <w:rFonts w:cstheme="minorHAnsi"/>
        </w:rPr>
        <w:t>HTP - Hotel and Tourism Company</w:t>
      </w:r>
    </w:p>
    <w:p w14:paraId="2F7A9116" w14:textId="77777777" w:rsidR="00E732FA" w:rsidRPr="003C7CB1" w:rsidRDefault="00E732FA" w:rsidP="00E732FA">
      <w:pPr>
        <w:spacing w:after="0" w:line="240" w:lineRule="auto"/>
        <w:rPr>
          <w:rFonts w:cstheme="minorHAnsi"/>
        </w:rPr>
      </w:pPr>
      <w:r w:rsidRPr="003C7CB1">
        <w:rPr>
          <w:rFonts w:cstheme="minorHAnsi"/>
        </w:rPr>
        <w:t xml:space="preserve">IUCN - International Union for Conservation of Nature </w:t>
      </w:r>
    </w:p>
    <w:p w14:paraId="0C1CD169" w14:textId="77777777" w:rsidR="00E732FA" w:rsidRPr="003C7CB1" w:rsidRDefault="00E732FA" w:rsidP="00E732FA">
      <w:pPr>
        <w:spacing w:after="0" w:line="240" w:lineRule="auto"/>
        <w:rPr>
          <w:rFonts w:cstheme="minorHAnsi"/>
        </w:rPr>
      </w:pPr>
      <w:r w:rsidRPr="003C7CB1">
        <w:rPr>
          <w:rFonts w:cstheme="minorHAnsi"/>
        </w:rPr>
        <w:t xml:space="preserve">ICOMIA - International Council of Marine Industry Associations </w:t>
      </w:r>
    </w:p>
    <w:p w14:paraId="489A6982" w14:textId="77777777" w:rsidR="00E732FA" w:rsidRPr="003C7CB1" w:rsidRDefault="00E732FA" w:rsidP="00E732FA">
      <w:pPr>
        <w:spacing w:after="0" w:line="240" w:lineRule="auto"/>
        <w:rPr>
          <w:rFonts w:cstheme="minorHAnsi"/>
        </w:rPr>
      </w:pPr>
      <w:r w:rsidRPr="003C7CB1">
        <w:rPr>
          <w:rFonts w:cstheme="minorHAnsi"/>
        </w:rPr>
        <w:t xml:space="preserve">IPH (Montenegro) - Institute of Public Health of Montenegro </w:t>
      </w:r>
    </w:p>
    <w:p w14:paraId="66CE7B30" w14:textId="77777777" w:rsidR="00E732FA" w:rsidRPr="003C7CB1" w:rsidRDefault="00E732FA" w:rsidP="00E732FA">
      <w:pPr>
        <w:spacing w:after="0" w:line="240" w:lineRule="auto"/>
        <w:rPr>
          <w:rFonts w:cstheme="minorHAnsi"/>
        </w:rPr>
      </w:pPr>
      <w:r w:rsidRPr="003C7CB1">
        <w:rPr>
          <w:rFonts w:cstheme="minorHAnsi"/>
        </w:rPr>
        <w:t xml:space="preserve">ILS - International Life Saving Federation </w:t>
      </w:r>
    </w:p>
    <w:p w14:paraId="1A58CDE9" w14:textId="77777777" w:rsidR="00E732FA" w:rsidRPr="003C7CB1" w:rsidRDefault="00E732FA" w:rsidP="00E732FA">
      <w:pPr>
        <w:spacing w:after="0" w:line="240" w:lineRule="auto"/>
        <w:rPr>
          <w:rFonts w:cstheme="minorHAnsi"/>
        </w:rPr>
      </w:pPr>
      <w:r w:rsidRPr="003C7CB1">
        <w:rPr>
          <w:rFonts w:cstheme="minorHAnsi"/>
        </w:rPr>
        <w:t xml:space="preserve">Interreg IPA - Cross-border Cooperation Program </w:t>
      </w:r>
    </w:p>
    <w:p w14:paraId="5BE02594" w14:textId="77777777" w:rsidR="00E732FA" w:rsidRPr="003C7CB1" w:rsidRDefault="00E732FA" w:rsidP="00E732FA">
      <w:pPr>
        <w:spacing w:after="0" w:line="240" w:lineRule="auto"/>
        <w:jc w:val="both"/>
        <w:rPr>
          <w:rFonts w:cstheme="minorHAnsi"/>
        </w:rPr>
      </w:pPr>
      <w:r w:rsidRPr="003C7CB1">
        <w:rPr>
          <w:rFonts w:cstheme="minorHAnsi"/>
        </w:rPr>
        <w:t>Interreg MED Program - Mediterranean Cooperation Program</w:t>
      </w:r>
    </w:p>
    <w:p w14:paraId="410E98F9" w14:textId="77777777" w:rsidR="00E732FA" w:rsidRPr="003C7CB1" w:rsidRDefault="00E732FA" w:rsidP="00E732FA">
      <w:pPr>
        <w:spacing w:after="0" w:line="240" w:lineRule="auto"/>
        <w:jc w:val="both"/>
        <w:rPr>
          <w:rFonts w:cstheme="minorHAnsi"/>
        </w:rPr>
      </w:pPr>
      <w:r w:rsidRPr="003C7CB1">
        <w:rPr>
          <w:rFonts w:cstheme="minorHAnsi"/>
        </w:rPr>
        <w:t xml:space="preserve">IPA - EU Instrument for Pre-Accession Assistance </w:t>
      </w:r>
    </w:p>
    <w:p w14:paraId="680F6C1C" w14:textId="77777777" w:rsidR="00E732FA" w:rsidRPr="003C7CB1" w:rsidRDefault="00E732FA" w:rsidP="00E732FA">
      <w:pPr>
        <w:spacing w:after="0" w:line="240" w:lineRule="auto"/>
        <w:jc w:val="both"/>
        <w:rPr>
          <w:rFonts w:cstheme="minorHAnsi"/>
        </w:rPr>
      </w:pPr>
      <w:r w:rsidRPr="003C7CB1">
        <w:rPr>
          <w:rFonts w:cstheme="minorHAnsi"/>
        </w:rPr>
        <w:t>IPARD –</w:t>
      </w:r>
      <w:r w:rsidRPr="003C7CB1">
        <w:rPr>
          <w:rFonts w:cstheme="minorHAnsi"/>
          <w:color w:val="202124"/>
          <w:shd w:val="clear" w:color="auto" w:fill="FFFFFF"/>
        </w:rPr>
        <w:t xml:space="preserve"> </w:t>
      </w:r>
      <w:r w:rsidRPr="003C7CB1">
        <w:rPr>
          <w:rFonts w:cstheme="minorHAnsi"/>
        </w:rPr>
        <w:t xml:space="preserve">EU Support Program for Agriculture Development </w:t>
      </w:r>
    </w:p>
    <w:p w14:paraId="32B35E57" w14:textId="77777777" w:rsidR="00E732FA" w:rsidRPr="003C7CB1" w:rsidRDefault="00E732FA" w:rsidP="00E732FA">
      <w:pPr>
        <w:spacing w:after="0" w:line="240" w:lineRule="auto"/>
        <w:rPr>
          <w:rFonts w:cstheme="minorHAnsi"/>
        </w:rPr>
      </w:pPr>
      <w:r w:rsidRPr="003C7CB1">
        <w:rPr>
          <w:rFonts w:cstheme="minorHAnsi"/>
        </w:rPr>
        <w:t xml:space="preserve">IDF – Investment and Development Fund </w:t>
      </w:r>
    </w:p>
    <w:p w14:paraId="26370639" w14:textId="77777777" w:rsidR="00E732FA" w:rsidRPr="003C7CB1" w:rsidRDefault="00E732FA" w:rsidP="00E732FA">
      <w:pPr>
        <w:spacing w:after="0" w:line="240" w:lineRule="auto"/>
        <w:rPr>
          <w:rFonts w:cstheme="minorHAnsi"/>
        </w:rPr>
      </w:pPr>
      <w:r w:rsidRPr="003C7CB1">
        <w:rPr>
          <w:rFonts w:cstheme="minorHAnsi"/>
        </w:rPr>
        <w:t xml:space="preserve">ISO - International Organization for Standardization </w:t>
      </w:r>
    </w:p>
    <w:p w14:paraId="27F691A6" w14:textId="77777777" w:rsidR="00E732FA" w:rsidRPr="003C7CB1" w:rsidRDefault="00E732FA" w:rsidP="00E732FA">
      <w:pPr>
        <w:spacing w:after="0" w:line="240" w:lineRule="auto"/>
        <w:rPr>
          <w:rFonts w:cstheme="minorHAnsi"/>
        </w:rPr>
      </w:pPr>
      <w:r w:rsidRPr="003C7CB1">
        <w:rPr>
          <w:rFonts w:cstheme="minorHAnsi"/>
        </w:rPr>
        <w:t xml:space="preserve">ISME - Institute for Standardization of Montenegro </w:t>
      </w:r>
    </w:p>
    <w:p w14:paraId="393E5815" w14:textId="77777777" w:rsidR="00E732FA" w:rsidRPr="003C7CB1" w:rsidRDefault="00E732FA" w:rsidP="00E732FA">
      <w:pPr>
        <w:spacing w:after="0" w:line="240" w:lineRule="auto"/>
        <w:rPr>
          <w:rFonts w:cstheme="minorHAnsi"/>
        </w:rPr>
      </w:pPr>
      <w:r w:rsidRPr="003C7CB1">
        <w:rPr>
          <w:rFonts w:cstheme="minorHAnsi"/>
        </w:rPr>
        <w:t xml:space="preserve">PENPM – Public Enterprise National parks of Montenegro </w:t>
      </w:r>
    </w:p>
    <w:p w14:paraId="27C6021C" w14:textId="77777777" w:rsidR="00E732FA" w:rsidRPr="003C7CB1" w:rsidRDefault="00E732FA" w:rsidP="00E732FA">
      <w:pPr>
        <w:spacing w:after="0" w:line="240" w:lineRule="auto"/>
        <w:rPr>
          <w:rFonts w:cstheme="minorHAnsi"/>
        </w:rPr>
      </w:pPr>
      <w:r w:rsidRPr="003C7CB1">
        <w:rPr>
          <w:rFonts w:cstheme="minorHAnsi"/>
        </w:rPr>
        <w:t xml:space="preserve">PECZM - Public Enterprise for Coastal Zone (PECZM) of Montenegro </w:t>
      </w:r>
    </w:p>
    <w:p w14:paraId="724BB5E6" w14:textId="77777777" w:rsidR="00E732FA" w:rsidRPr="003C7CB1" w:rsidRDefault="00E732FA" w:rsidP="00E732FA">
      <w:pPr>
        <w:spacing w:after="0" w:line="240" w:lineRule="auto"/>
        <w:rPr>
          <w:rFonts w:cstheme="minorHAnsi"/>
        </w:rPr>
      </w:pPr>
      <w:r w:rsidRPr="003C7CB1">
        <w:rPr>
          <w:rFonts w:cstheme="minorHAnsi"/>
        </w:rPr>
        <w:t xml:space="preserve">LTO - Local tourism organization </w:t>
      </w:r>
    </w:p>
    <w:p w14:paraId="5D8E2E91" w14:textId="77777777" w:rsidR="00E732FA" w:rsidRPr="003C7CB1" w:rsidRDefault="00E732FA" w:rsidP="00E732FA">
      <w:pPr>
        <w:spacing w:after="0" w:line="240" w:lineRule="auto"/>
        <w:rPr>
          <w:rFonts w:cstheme="minorHAnsi"/>
        </w:rPr>
      </w:pPr>
      <w:r w:rsidRPr="003C7CB1">
        <w:rPr>
          <w:rFonts w:cstheme="minorHAnsi"/>
        </w:rPr>
        <w:t xml:space="preserve">MED - Ministry of Economic Development </w:t>
      </w:r>
    </w:p>
    <w:p w14:paraId="329D4DD0" w14:textId="77777777" w:rsidR="00E732FA" w:rsidRPr="003C7CB1" w:rsidRDefault="00E732FA" w:rsidP="00E732FA">
      <w:pPr>
        <w:spacing w:after="0" w:line="240" w:lineRule="auto"/>
        <w:rPr>
          <w:rFonts w:cstheme="minorHAnsi"/>
        </w:rPr>
      </w:pPr>
      <w:r w:rsidRPr="003C7CB1">
        <w:rPr>
          <w:rFonts w:cstheme="minorHAnsi"/>
        </w:rPr>
        <w:t xml:space="preserve">MESPU - Ministry of Ecology, Spatial Planning and Urbanism </w:t>
      </w:r>
    </w:p>
    <w:p w14:paraId="57BEF5EF" w14:textId="77777777" w:rsidR="00E732FA" w:rsidRPr="003C7CB1" w:rsidRDefault="00E732FA" w:rsidP="00E732FA">
      <w:pPr>
        <w:spacing w:after="0" w:line="240" w:lineRule="auto"/>
        <w:rPr>
          <w:rFonts w:cstheme="minorHAnsi"/>
        </w:rPr>
      </w:pPr>
      <w:r w:rsidRPr="003C7CB1">
        <w:rPr>
          <w:rFonts w:cstheme="minorHAnsi"/>
        </w:rPr>
        <w:t xml:space="preserve">MICE - Meetings, incentives, conferences and exhibitions </w:t>
      </w:r>
    </w:p>
    <w:p w14:paraId="53EDB5B4" w14:textId="77777777" w:rsidR="00E732FA" w:rsidRPr="003C7CB1" w:rsidRDefault="00E732FA" w:rsidP="00E732FA">
      <w:pPr>
        <w:spacing w:after="0" w:line="240" w:lineRule="auto"/>
        <w:rPr>
          <w:rFonts w:cstheme="minorHAnsi"/>
        </w:rPr>
      </w:pPr>
      <w:r w:rsidRPr="003C7CB1">
        <w:rPr>
          <w:rFonts w:cstheme="minorHAnsi"/>
        </w:rPr>
        <w:t xml:space="preserve">MONSTAT - Statistical Office of Montenegro </w:t>
      </w:r>
    </w:p>
    <w:p w14:paraId="61609919" w14:textId="77777777" w:rsidR="00E732FA" w:rsidRPr="003C7CB1" w:rsidRDefault="00E732FA" w:rsidP="00E732FA">
      <w:pPr>
        <w:spacing w:after="0" w:line="240" w:lineRule="auto"/>
        <w:rPr>
          <w:rFonts w:cstheme="minorHAnsi"/>
        </w:rPr>
      </w:pPr>
      <w:proofErr w:type="spellStart"/>
      <w:r w:rsidRPr="003C7CB1">
        <w:rPr>
          <w:rFonts w:cstheme="minorHAnsi"/>
        </w:rPr>
        <w:t>MoI</w:t>
      </w:r>
      <w:proofErr w:type="spellEnd"/>
      <w:r w:rsidRPr="003C7CB1">
        <w:rPr>
          <w:rFonts w:cstheme="minorHAnsi"/>
        </w:rPr>
        <w:t xml:space="preserve"> - Ministry of Interior </w:t>
      </w:r>
    </w:p>
    <w:p w14:paraId="51DE44B3" w14:textId="77777777" w:rsidR="00E732FA" w:rsidRPr="003C7CB1" w:rsidRDefault="00E732FA" w:rsidP="00E732FA">
      <w:pPr>
        <w:spacing w:after="0" w:line="240" w:lineRule="auto"/>
        <w:rPr>
          <w:rFonts w:cstheme="minorHAnsi"/>
        </w:rPr>
      </w:pPr>
      <w:r w:rsidRPr="003C7CB1">
        <w:rPr>
          <w:rFonts w:cstheme="minorHAnsi"/>
        </w:rPr>
        <w:t xml:space="preserve">MCI - Ministry of Capital Investments </w:t>
      </w:r>
    </w:p>
    <w:p w14:paraId="56FE6117" w14:textId="77777777" w:rsidR="00E732FA" w:rsidRPr="003C7CB1" w:rsidRDefault="00E732FA" w:rsidP="00E732FA">
      <w:pPr>
        <w:spacing w:after="0" w:line="240" w:lineRule="auto"/>
        <w:rPr>
          <w:rFonts w:cstheme="minorHAnsi"/>
        </w:rPr>
      </w:pPr>
      <w:r w:rsidRPr="003C7CB1">
        <w:rPr>
          <w:rFonts w:cstheme="minorHAnsi"/>
        </w:rPr>
        <w:t xml:space="preserve">MESCS – Ministry of Education, Science, Culture and Sports </w:t>
      </w:r>
    </w:p>
    <w:p w14:paraId="77DF95EE" w14:textId="77777777" w:rsidR="00E732FA" w:rsidRPr="003C7CB1" w:rsidRDefault="00E732FA" w:rsidP="00E732FA">
      <w:pPr>
        <w:spacing w:after="0" w:line="240" w:lineRule="auto"/>
        <w:rPr>
          <w:rFonts w:cstheme="minorHAnsi"/>
        </w:rPr>
      </w:pPr>
      <w:r w:rsidRPr="003C7CB1">
        <w:rPr>
          <w:rFonts w:cstheme="minorHAnsi"/>
        </w:rPr>
        <w:t xml:space="preserve">MAFWM – Ministry of Agriculture, Forestry and Water Management </w:t>
      </w:r>
    </w:p>
    <w:p w14:paraId="5787BED9" w14:textId="77777777" w:rsidR="00E732FA" w:rsidRPr="003C7CB1" w:rsidRDefault="00E732FA" w:rsidP="00E732FA">
      <w:pPr>
        <w:spacing w:after="0" w:line="240" w:lineRule="auto"/>
        <w:rPr>
          <w:rFonts w:cstheme="minorHAnsi"/>
        </w:rPr>
      </w:pPr>
      <w:proofErr w:type="spellStart"/>
      <w:r w:rsidRPr="003C7CB1">
        <w:rPr>
          <w:rFonts w:cstheme="minorHAnsi"/>
        </w:rPr>
        <w:t>MoH</w:t>
      </w:r>
      <w:proofErr w:type="spellEnd"/>
      <w:r w:rsidRPr="003C7CB1">
        <w:rPr>
          <w:rFonts w:cstheme="minorHAnsi"/>
        </w:rPr>
        <w:t xml:space="preserve"> – Ministry of Health </w:t>
      </w:r>
    </w:p>
    <w:p w14:paraId="0DB1808C" w14:textId="77777777" w:rsidR="00E732FA" w:rsidRPr="003C7CB1" w:rsidRDefault="00E732FA" w:rsidP="00E732FA">
      <w:pPr>
        <w:spacing w:after="0" w:line="240" w:lineRule="auto"/>
        <w:rPr>
          <w:rFonts w:cstheme="minorHAnsi"/>
        </w:rPr>
      </w:pPr>
      <w:r w:rsidRPr="003C7CB1">
        <w:rPr>
          <w:rFonts w:cstheme="minorHAnsi"/>
        </w:rPr>
        <w:t>NTO Montenegro – National Tourism Organization of Montenegro</w:t>
      </w:r>
    </w:p>
    <w:p w14:paraId="6D9D3C0B" w14:textId="77777777" w:rsidR="00E732FA" w:rsidRPr="003C7CB1" w:rsidRDefault="00E732FA" w:rsidP="00E732FA">
      <w:pPr>
        <w:spacing w:after="0" w:line="240" w:lineRule="auto"/>
        <w:rPr>
          <w:rFonts w:cstheme="minorHAnsi"/>
        </w:rPr>
      </w:pPr>
      <w:r w:rsidRPr="003C7CB1">
        <w:rPr>
          <w:rFonts w:cstheme="minorHAnsi"/>
        </w:rPr>
        <w:lastRenderedPageBreak/>
        <w:t>NGO – Non-governmental organization</w:t>
      </w:r>
    </w:p>
    <w:p w14:paraId="4415733F" w14:textId="77777777" w:rsidR="00E732FA" w:rsidRPr="003C7CB1" w:rsidRDefault="00E732FA" w:rsidP="00E732FA">
      <w:pPr>
        <w:spacing w:after="0" w:line="240" w:lineRule="auto"/>
        <w:rPr>
          <w:rFonts w:cstheme="minorHAnsi"/>
        </w:rPr>
      </w:pPr>
      <w:r w:rsidRPr="003C7CB1">
        <w:rPr>
          <w:rFonts w:cstheme="minorHAnsi"/>
        </w:rPr>
        <w:t>OECD –</w:t>
      </w:r>
      <w:r w:rsidRPr="003C7CB1">
        <w:rPr>
          <w:rFonts w:cstheme="minorHAnsi"/>
          <w:bCs/>
          <w:color w:val="202124"/>
          <w:shd w:val="clear" w:color="auto" w:fill="FFFFFF"/>
        </w:rPr>
        <w:t xml:space="preserve"> </w:t>
      </w:r>
      <w:r w:rsidRPr="003C7CB1">
        <w:rPr>
          <w:rFonts w:cstheme="minorHAnsi"/>
        </w:rPr>
        <w:t xml:space="preserve">Organization for Economic Co-operation and Development </w:t>
      </w:r>
    </w:p>
    <w:p w14:paraId="05F31E78" w14:textId="77777777" w:rsidR="00E732FA" w:rsidRPr="003C7CB1" w:rsidRDefault="00E732FA" w:rsidP="00E732FA">
      <w:pPr>
        <w:spacing w:after="0" w:line="240" w:lineRule="auto"/>
        <w:rPr>
          <w:rFonts w:cstheme="minorHAnsi"/>
        </w:rPr>
      </w:pPr>
      <w:r w:rsidRPr="003C7CB1">
        <w:rPr>
          <w:rFonts w:cstheme="minorHAnsi"/>
        </w:rPr>
        <w:t xml:space="preserve">CEM – Chamber of Economy of Montenegro </w:t>
      </w:r>
    </w:p>
    <w:p w14:paraId="5AE48841" w14:textId="77777777" w:rsidR="00E732FA" w:rsidRPr="003C7CB1" w:rsidRDefault="00E732FA" w:rsidP="00E732FA">
      <w:pPr>
        <w:spacing w:after="0" w:line="240" w:lineRule="auto"/>
        <w:rPr>
          <w:rFonts w:cstheme="minorHAnsi"/>
        </w:rPr>
      </w:pPr>
      <w:r w:rsidRPr="003C7CB1">
        <w:rPr>
          <w:rFonts w:cstheme="minorHAnsi"/>
        </w:rPr>
        <w:t xml:space="preserve">SDG – Sustainable development goals </w:t>
      </w:r>
    </w:p>
    <w:p w14:paraId="0C4C1B54" w14:textId="77777777" w:rsidR="00E732FA" w:rsidRPr="003C7CB1" w:rsidRDefault="00E732FA" w:rsidP="00E732FA">
      <w:pPr>
        <w:spacing w:after="0" w:line="240" w:lineRule="auto"/>
        <w:rPr>
          <w:rFonts w:cstheme="minorHAnsi"/>
        </w:rPr>
      </w:pPr>
      <w:r w:rsidRPr="003C7CB1">
        <w:rPr>
          <w:rFonts w:cstheme="minorHAnsi"/>
        </w:rPr>
        <w:t xml:space="preserve">TS – Tourist settlement </w:t>
      </w:r>
    </w:p>
    <w:p w14:paraId="5EC126B4" w14:textId="77777777" w:rsidR="00E732FA" w:rsidRPr="003C7CB1" w:rsidRDefault="00E732FA" w:rsidP="00E732FA">
      <w:pPr>
        <w:spacing w:after="0" w:line="240" w:lineRule="auto"/>
        <w:rPr>
          <w:rFonts w:cstheme="minorHAnsi"/>
        </w:rPr>
      </w:pPr>
      <w:r w:rsidRPr="003C7CB1">
        <w:rPr>
          <w:rFonts w:cstheme="minorHAnsi"/>
        </w:rPr>
        <w:t xml:space="preserve">DIA – Directorate for Inspection Affairs </w:t>
      </w:r>
    </w:p>
    <w:p w14:paraId="32F6A248" w14:textId="77777777" w:rsidR="00E732FA" w:rsidRPr="003C7CB1" w:rsidRDefault="00E732FA" w:rsidP="00E732FA">
      <w:pPr>
        <w:spacing w:after="0" w:line="240" w:lineRule="auto"/>
        <w:rPr>
          <w:rFonts w:cstheme="minorHAnsi"/>
        </w:rPr>
      </w:pPr>
      <w:r w:rsidRPr="003C7CB1">
        <w:rPr>
          <w:rFonts w:cstheme="minorHAnsi"/>
        </w:rPr>
        <w:t xml:space="preserve">UN – United Nations </w:t>
      </w:r>
    </w:p>
    <w:p w14:paraId="3ABC644C" w14:textId="77777777" w:rsidR="00E732FA" w:rsidRPr="003C7CB1" w:rsidRDefault="00E732FA" w:rsidP="00E732FA">
      <w:pPr>
        <w:spacing w:after="0" w:line="240" w:lineRule="auto"/>
        <w:rPr>
          <w:rFonts w:cstheme="minorHAnsi"/>
        </w:rPr>
      </w:pPr>
      <w:r w:rsidRPr="003C7CB1">
        <w:rPr>
          <w:rFonts w:cstheme="minorHAnsi"/>
        </w:rPr>
        <w:t xml:space="preserve">UNEP – United Nations Environment Program </w:t>
      </w:r>
    </w:p>
    <w:p w14:paraId="68607DAA" w14:textId="77777777" w:rsidR="00E732FA" w:rsidRPr="003C7CB1" w:rsidRDefault="00E732FA" w:rsidP="00E732FA">
      <w:pPr>
        <w:spacing w:after="0" w:line="240" w:lineRule="auto"/>
        <w:rPr>
          <w:rFonts w:cstheme="minorHAnsi"/>
        </w:rPr>
      </w:pPr>
      <w:r w:rsidRPr="003C7CB1">
        <w:rPr>
          <w:rFonts w:cstheme="minorHAnsi"/>
        </w:rPr>
        <w:t xml:space="preserve">UNESCO – United Nations Educational, Scientific and Cultural Organization </w:t>
      </w:r>
    </w:p>
    <w:p w14:paraId="58C1DC97" w14:textId="77777777" w:rsidR="00E732FA" w:rsidRPr="003C7CB1" w:rsidRDefault="00E732FA" w:rsidP="00E732FA">
      <w:pPr>
        <w:spacing w:after="0" w:line="240" w:lineRule="auto"/>
        <w:rPr>
          <w:rFonts w:cstheme="minorHAnsi"/>
        </w:rPr>
      </w:pPr>
      <w:r w:rsidRPr="003C7CB1">
        <w:rPr>
          <w:rFonts w:cstheme="minorHAnsi"/>
        </w:rPr>
        <w:t>UNDP – United Nations Development Program</w:t>
      </w:r>
    </w:p>
    <w:p w14:paraId="20387409" w14:textId="77777777" w:rsidR="00E732FA" w:rsidRPr="003C7CB1" w:rsidRDefault="00E732FA" w:rsidP="00E732FA">
      <w:pPr>
        <w:spacing w:after="0" w:line="240" w:lineRule="auto"/>
        <w:rPr>
          <w:rFonts w:cstheme="minorHAnsi"/>
        </w:rPr>
      </w:pPr>
      <w:r w:rsidRPr="003C7CB1">
        <w:rPr>
          <w:rFonts w:cstheme="minorHAnsi"/>
        </w:rPr>
        <w:t xml:space="preserve">UNWTO – United Nations World Tourism Organization </w:t>
      </w:r>
    </w:p>
    <w:p w14:paraId="30C83551" w14:textId="77777777" w:rsidR="00E732FA" w:rsidRPr="003C7CB1" w:rsidRDefault="00E732FA" w:rsidP="00E732FA">
      <w:pPr>
        <w:spacing w:after="0" w:line="240" w:lineRule="auto"/>
        <w:rPr>
          <w:rFonts w:cstheme="minorHAnsi"/>
        </w:rPr>
      </w:pPr>
      <w:r w:rsidRPr="003C7CB1">
        <w:rPr>
          <w:rFonts w:cstheme="minorHAnsi"/>
        </w:rPr>
        <w:t xml:space="preserve">WB – World Bank </w:t>
      </w:r>
    </w:p>
    <w:p w14:paraId="0BB2392C" w14:textId="77777777" w:rsidR="00E732FA" w:rsidRPr="003C7CB1" w:rsidRDefault="00E732FA" w:rsidP="00E732FA">
      <w:pPr>
        <w:spacing w:after="0" w:line="240" w:lineRule="auto"/>
        <w:rPr>
          <w:rFonts w:cstheme="minorHAnsi"/>
        </w:rPr>
      </w:pPr>
      <w:r w:rsidRPr="003C7CB1">
        <w:rPr>
          <w:rFonts w:cstheme="minorHAnsi"/>
        </w:rPr>
        <w:t xml:space="preserve">WHO – World Health Organization </w:t>
      </w:r>
    </w:p>
    <w:p w14:paraId="4F48112B" w14:textId="77777777" w:rsidR="00E732FA" w:rsidRPr="003C7CB1" w:rsidRDefault="00E732FA" w:rsidP="00E732FA">
      <w:pPr>
        <w:spacing w:after="0" w:line="240" w:lineRule="auto"/>
        <w:rPr>
          <w:rFonts w:cstheme="minorHAnsi"/>
        </w:rPr>
      </w:pPr>
      <w:r w:rsidRPr="003C7CB1">
        <w:rPr>
          <w:rFonts w:cstheme="minorHAnsi"/>
        </w:rPr>
        <w:t xml:space="preserve">WTTC – World Travel and Tourism Council </w:t>
      </w:r>
    </w:p>
    <w:p w14:paraId="1AC783B4" w14:textId="77777777" w:rsidR="00E732FA" w:rsidRPr="003C7CB1" w:rsidRDefault="00E732FA" w:rsidP="00E732FA">
      <w:pPr>
        <w:spacing w:after="0" w:line="240" w:lineRule="auto"/>
        <w:rPr>
          <w:rFonts w:cstheme="minorHAnsi"/>
        </w:rPr>
      </w:pPr>
      <w:r w:rsidRPr="003C7CB1">
        <w:rPr>
          <w:rFonts w:cstheme="minorHAnsi"/>
        </w:rPr>
        <w:t xml:space="preserve">EAM – Employment Agency of Montenegro  </w:t>
      </w:r>
    </w:p>
    <w:p w14:paraId="73144523" w14:textId="77777777" w:rsidR="00E732FA" w:rsidRPr="003C7CB1" w:rsidRDefault="00E732FA" w:rsidP="00E732FA">
      <w:pPr>
        <w:spacing w:after="0" w:line="240" w:lineRule="auto"/>
        <w:rPr>
          <w:rFonts w:cstheme="minorHAnsi"/>
        </w:rPr>
      </w:pPr>
      <w:r w:rsidRPr="003C7CB1">
        <w:rPr>
          <w:rFonts w:cstheme="minorHAnsi"/>
        </w:rPr>
        <w:t xml:space="preserve">RIM – Railway Infrastructure of Montenegro  </w:t>
      </w:r>
    </w:p>
    <w:p w14:paraId="7654E15F" w14:textId="3156ED34" w:rsidR="00A91F31" w:rsidRPr="003C7CB1" w:rsidRDefault="00A91F31" w:rsidP="000E290B">
      <w:pPr>
        <w:spacing w:after="0" w:line="240" w:lineRule="auto"/>
        <w:rPr>
          <w:rFonts w:cstheme="minorHAnsi"/>
        </w:rPr>
      </w:pPr>
    </w:p>
    <w:p w14:paraId="6ED6A8BF" w14:textId="3C14A4D1" w:rsidR="00A91F31" w:rsidRPr="003C7CB1" w:rsidRDefault="00A91F31" w:rsidP="000E290B">
      <w:pPr>
        <w:spacing w:after="0" w:line="240" w:lineRule="auto"/>
        <w:rPr>
          <w:rFonts w:cstheme="minorHAnsi"/>
        </w:rPr>
      </w:pPr>
    </w:p>
    <w:p w14:paraId="7F03C275" w14:textId="4E480F38" w:rsidR="00A91F31" w:rsidRPr="003C7CB1" w:rsidRDefault="00A91F31" w:rsidP="000E290B">
      <w:pPr>
        <w:spacing w:after="0" w:line="240" w:lineRule="auto"/>
        <w:rPr>
          <w:rFonts w:cstheme="minorHAnsi"/>
        </w:rPr>
      </w:pPr>
    </w:p>
    <w:p w14:paraId="583BA24D" w14:textId="02CE3905" w:rsidR="00A91F31" w:rsidRPr="003C7CB1" w:rsidRDefault="00A91F31" w:rsidP="000E290B">
      <w:pPr>
        <w:spacing w:after="0" w:line="240" w:lineRule="auto"/>
        <w:rPr>
          <w:rFonts w:cstheme="minorHAnsi"/>
        </w:rPr>
      </w:pPr>
    </w:p>
    <w:p w14:paraId="3C6E2E83" w14:textId="69FB2C2F" w:rsidR="00A91F31" w:rsidRPr="003C7CB1" w:rsidRDefault="00A91F31" w:rsidP="000E290B">
      <w:pPr>
        <w:spacing w:after="0" w:line="240" w:lineRule="auto"/>
        <w:rPr>
          <w:rFonts w:cstheme="minorHAnsi"/>
        </w:rPr>
      </w:pPr>
    </w:p>
    <w:p w14:paraId="63DAFAB0" w14:textId="62D01631" w:rsidR="00A91F31" w:rsidRPr="003C7CB1" w:rsidRDefault="00A91F31" w:rsidP="000E290B">
      <w:pPr>
        <w:spacing w:after="0" w:line="240" w:lineRule="auto"/>
        <w:rPr>
          <w:rFonts w:cstheme="minorHAnsi"/>
        </w:rPr>
      </w:pPr>
    </w:p>
    <w:p w14:paraId="63F030FD" w14:textId="109435ED" w:rsidR="00A91F31" w:rsidRPr="003C7CB1" w:rsidRDefault="00A91F31" w:rsidP="000E290B">
      <w:pPr>
        <w:spacing w:after="0" w:line="240" w:lineRule="auto"/>
        <w:rPr>
          <w:rFonts w:cstheme="minorHAnsi"/>
        </w:rPr>
      </w:pPr>
    </w:p>
    <w:p w14:paraId="20E57AAC" w14:textId="1E9FED75" w:rsidR="00A91F31" w:rsidRPr="003C7CB1" w:rsidRDefault="00A91F31" w:rsidP="000E290B">
      <w:pPr>
        <w:spacing w:after="0" w:line="240" w:lineRule="auto"/>
        <w:rPr>
          <w:rFonts w:cstheme="minorHAnsi"/>
        </w:rPr>
      </w:pPr>
    </w:p>
    <w:p w14:paraId="7865543A" w14:textId="625D3426" w:rsidR="00A91F31" w:rsidRPr="003C7CB1" w:rsidRDefault="00A91F31" w:rsidP="000E290B">
      <w:pPr>
        <w:spacing w:after="0" w:line="240" w:lineRule="auto"/>
        <w:rPr>
          <w:rFonts w:cstheme="minorHAnsi"/>
        </w:rPr>
      </w:pPr>
    </w:p>
    <w:p w14:paraId="2CA6720B" w14:textId="0871DA7B" w:rsidR="00A91F31" w:rsidRPr="003C7CB1" w:rsidRDefault="00A91F31" w:rsidP="000E290B">
      <w:pPr>
        <w:spacing w:after="0" w:line="240" w:lineRule="auto"/>
        <w:rPr>
          <w:rFonts w:cstheme="minorHAnsi"/>
        </w:rPr>
      </w:pPr>
    </w:p>
    <w:p w14:paraId="12D742EE" w14:textId="672F584F" w:rsidR="00A91F31" w:rsidRPr="003C7CB1" w:rsidRDefault="00A91F31" w:rsidP="000E290B">
      <w:pPr>
        <w:spacing w:after="0" w:line="240" w:lineRule="auto"/>
        <w:rPr>
          <w:rFonts w:cstheme="minorHAnsi"/>
        </w:rPr>
      </w:pPr>
    </w:p>
    <w:p w14:paraId="1E5BC337" w14:textId="415CD9C4" w:rsidR="00A91F31" w:rsidRPr="003C7CB1" w:rsidRDefault="00A91F31" w:rsidP="000E290B">
      <w:pPr>
        <w:spacing w:after="0" w:line="240" w:lineRule="auto"/>
        <w:rPr>
          <w:rFonts w:cstheme="minorHAnsi"/>
        </w:rPr>
      </w:pPr>
    </w:p>
    <w:p w14:paraId="221B044E" w14:textId="0180DE7C" w:rsidR="00A91F31" w:rsidRPr="003C7CB1" w:rsidRDefault="00A91F31" w:rsidP="000E290B">
      <w:pPr>
        <w:spacing w:after="0" w:line="240" w:lineRule="auto"/>
        <w:rPr>
          <w:rFonts w:cstheme="minorHAnsi"/>
        </w:rPr>
      </w:pPr>
    </w:p>
    <w:p w14:paraId="47E3ECB9" w14:textId="0DFD5F76" w:rsidR="00A91F31" w:rsidRPr="003C7CB1" w:rsidRDefault="00A91F31" w:rsidP="000E290B">
      <w:pPr>
        <w:spacing w:after="0" w:line="240" w:lineRule="auto"/>
        <w:rPr>
          <w:rFonts w:cstheme="minorHAnsi"/>
        </w:rPr>
      </w:pPr>
    </w:p>
    <w:p w14:paraId="4C43E02C" w14:textId="62FBDB90" w:rsidR="00A91F31" w:rsidRPr="003C7CB1" w:rsidRDefault="00A91F31" w:rsidP="000E290B">
      <w:pPr>
        <w:spacing w:after="0" w:line="240" w:lineRule="auto"/>
        <w:rPr>
          <w:rFonts w:cstheme="minorHAnsi"/>
        </w:rPr>
      </w:pPr>
    </w:p>
    <w:p w14:paraId="73230C82" w14:textId="22A3D855" w:rsidR="00A91F31" w:rsidRPr="003C7CB1" w:rsidRDefault="00A91F31" w:rsidP="000E290B">
      <w:pPr>
        <w:spacing w:after="0" w:line="240" w:lineRule="auto"/>
        <w:rPr>
          <w:rFonts w:cstheme="minorHAnsi"/>
        </w:rPr>
      </w:pPr>
    </w:p>
    <w:p w14:paraId="02AEE729" w14:textId="0AE6BECE" w:rsidR="00A91F31" w:rsidRPr="003C7CB1" w:rsidRDefault="00A91F31" w:rsidP="000E290B">
      <w:pPr>
        <w:spacing w:after="0" w:line="240" w:lineRule="auto"/>
        <w:rPr>
          <w:rFonts w:cstheme="minorHAnsi"/>
        </w:rPr>
      </w:pPr>
    </w:p>
    <w:p w14:paraId="51328D13" w14:textId="1B5AF121" w:rsidR="00A91F31" w:rsidRPr="003C7CB1" w:rsidRDefault="00A91F31" w:rsidP="000E290B">
      <w:pPr>
        <w:spacing w:after="0" w:line="240" w:lineRule="auto"/>
        <w:rPr>
          <w:rFonts w:cstheme="minorHAnsi"/>
        </w:rPr>
      </w:pPr>
    </w:p>
    <w:p w14:paraId="0AE14460" w14:textId="7F08D1FD" w:rsidR="00A91F31" w:rsidRPr="003C7CB1" w:rsidRDefault="00A91F31" w:rsidP="000E290B">
      <w:pPr>
        <w:spacing w:after="0" w:line="240" w:lineRule="auto"/>
        <w:rPr>
          <w:rFonts w:cstheme="minorHAnsi"/>
        </w:rPr>
      </w:pPr>
    </w:p>
    <w:p w14:paraId="106CE32E" w14:textId="3C541063" w:rsidR="00A91F31" w:rsidRPr="003C7CB1" w:rsidRDefault="00A91F31" w:rsidP="000E290B">
      <w:pPr>
        <w:spacing w:after="0" w:line="240" w:lineRule="auto"/>
        <w:rPr>
          <w:rFonts w:cstheme="minorHAnsi"/>
        </w:rPr>
      </w:pPr>
    </w:p>
    <w:p w14:paraId="0005740B" w14:textId="6C4187CF" w:rsidR="00A91F31" w:rsidRPr="003C7CB1" w:rsidRDefault="00A91F31" w:rsidP="000E290B">
      <w:pPr>
        <w:spacing w:after="0" w:line="240" w:lineRule="auto"/>
        <w:rPr>
          <w:rFonts w:cstheme="minorHAnsi"/>
        </w:rPr>
      </w:pPr>
    </w:p>
    <w:p w14:paraId="29040AC9" w14:textId="1B1E88BA" w:rsidR="00A91F31" w:rsidRPr="003C7CB1" w:rsidRDefault="00A91F31" w:rsidP="000E290B">
      <w:pPr>
        <w:spacing w:after="0" w:line="240" w:lineRule="auto"/>
        <w:rPr>
          <w:rFonts w:cstheme="minorHAnsi"/>
        </w:rPr>
      </w:pPr>
    </w:p>
    <w:p w14:paraId="7D701AE3" w14:textId="50C47611" w:rsidR="00A91F31" w:rsidRPr="003C7CB1" w:rsidRDefault="00A91F31" w:rsidP="000E290B">
      <w:pPr>
        <w:spacing w:after="0" w:line="240" w:lineRule="auto"/>
        <w:rPr>
          <w:rFonts w:cstheme="minorHAnsi"/>
        </w:rPr>
      </w:pPr>
    </w:p>
    <w:p w14:paraId="1BF250E8" w14:textId="3A1688E2" w:rsidR="00A91F31" w:rsidRPr="003C7CB1" w:rsidRDefault="00A91F31" w:rsidP="000E290B">
      <w:pPr>
        <w:spacing w:after="0" w:line="240" w:lineRule="auto"/>
        <w:rPr>
          <w:rFonts w:cstheme="minorHAnsi"/>
        </w:rPr>
      </w:pPr>
    </w:p>
    <w:p w14:paraId="0D8E0D36" w14:textId="1D9D928E" w:rsidR="00A91F31" w:rsidRPr="003C7CB1" w:rsidRDefault="00A91F31" w:rsidP="000E290B">
      <w:pPr>
        <w:spacing w:after="0" w:line="240" w:lineRule="auto"/>
        <w:rPr>
          <w:rFonts w:cstheme="minorHAnsi"/>
        </w:rPr>
      </w:pPr>
    </w:p>
    <w:p w14:paraId="410C256E" w14:textId="0A04D09F" w:rsidR="00A91F31" w:rsidRPr="003C7CB1" w:rsidRDefault="00A91F31" w:rsidP="000E290B">
      <w:pPr>
        <w:spacing w:after="0" w:line="240" w:lineRule="auto"/>
        <w:rPr>
          <w:rFonts w:cstheme="minorHAnsi"/>
        </w:rPr>
      </w:pPr>
    </w:p>
    <w:p w14:paraId="75C40733" w14:textId="7C552C81" w:rsidR="00A91F31" w:rsidRPr="003C7CB1" w:rsidRDefault="00A91F31" w:rsidP="000E290B">
      <w:pPr>
        <w:spacing w:after="0" w:line="240" w:lineRule="auto"/>
        <w:rPr>
          <w:rFonts w:cstheme="minorHAnsi"/>
        </w:rPr>
      </w:pPr>
    </w:p>
    <w:p w14:paraId="53EC03F5" w14:textId="2060B7E1" w:rsidR="00A91F31" w:rsidRPr="003C7CB1" w:rsidRDefault="00A91F31" w:rsidP="000E290B">
      <w:pPr>
        <w:spacing w:after="0" w:line="240" w:lineRule="auto"/>
        <w:rPr>
          <w:rFonts w:cstheme="minorHAnsi"/>
        </w:rPr>
      </w:pPr>
    </w:p>
    <w:p w14:paraId="68710A8D" w14:textId="77777777" w:rsidR="00790BBE" w:rsidRPr="003C7CB1" w:rsidRDefault="00790BBE" w:rsidP="000A0407">
      <w:pPr>
        <w:spacing w:after="0" w:line="240" w:lineRule="auto"/>
        <w:jc w:val="center"/>
        <w:rPr>
          <w:rFonts w:cstheme="minorHAnsi"/>
          <w:color w:val="1F3864" w:themeColor="accent1" w:themeShade="80"/>
          <w:sz w:val="48"/>
          <w:szCs w:val="48"/>
        </w:rPr>
      </w:pPr>
    </w:p>
    <w:p w14:paraId="53AEC3B9" w14:textId="77777777" w:rsidR="00790BBE" w:rsidRPr="003C7CB1" w:rsidRDefault="00790BBE" w:rsidP="000A0407">
      <w:pPr>
        <w:spacing w:after="0" w:line="240" w:lineRule="auto"/>
        <w:jc w:val="center"/>
        <w:rPr>
          <w:rFonts w:cstheme="minorHAnsi"/>
          <w:color w:val="1F3864" w:themeColor="accent1" w:themeShade="80"/>
          <w:sz w:val="48"/>
          <w:szCs w:val="48"/>
        </w:rPr>
      </w:pPr>
    </w:p>
    <w:p w14:paraId="3D4C759E" w14:textId="77777777" w:rsidR="00AA5A5F" w:rsidRPr="003C7CB1" w:rsidRDefault="00AA5A5F" w:rsidP="000A0407">
      <w:pPr>
        <w:spacing w:after="0" w:line="240" w:lineRule="auto"/>
        <w:jc w:val="center"/>
        <w:rPr>
          <w:rFonts w:cstheme="minorHAnsi"/>
          <w:color w:val="1F3864" w:themeColor="accent1" w:themeShade="80"/>
          <w:sz w:val="48"/>
          <w:szCs w:val="48"/>
        </w:rPr>
      </w:pPr>
    </w:p>
    <w:p w14:paraId="3EA0626E" w14:textId="0C3B8DE2" w:rsidR="00656D4B" w:rsidRPr="003C7CB1" w:rsidRDefault="00656D4B">
      <w:pPr>
        <w:spacing w:after="0" w:line="240" w:lineRule="auto"/>
        <w:rPr>
          <w:rFonts w:cstheme="minorHAnsi"/>
          <w:color w:val="1F3864" w:themeColor="accent1" w:themeShade="80"/>
        </w:rPr>
      </w:pPr>
      <w:r w:rsidRPr="003C7CB1">
        <w:rPr>
          <w:rFonts w:cstheme="minorHAnsi"/>
          <w:color w:val="1F3864" w:themeColor="accent1" w:themeShade="80"/>
        </w:rPr>
        <w:br w:type="page"/>
      </w:r>
    </w:p>
    <w:bookmarkEnd w:id="0" w:displacedByCustomXml="next"/>
    <w:bookmarkStart w:id="1" w:name="_Hlk85540059" w:displacedByCustomXml="next"/>
    <w:bookmarkStart w:id="2" w:name="_Toc91286150" w:displacedByCustomXml="next"/>
    <w:sdt>
      <w:sdtPr>
        <w:rPr>
          <w:rFonts w:asciiTheme="minorHAnsi" w:eastAsiaTheme="minorHAnsi" w:hAnsiTheme="minorHAnsi" w:cstheme="minorBidi"/>
          <w:color w:val="auto"/>
          <w:sz w:val="22"/>
          <w:szCs w:val="22"/>
        </w:rPr>
        <w:id w:val="1514959372"/>
        <w:docPartObj>
          <w:docPartGallery w:val="Table of Contents"/>
          <w:docPartUnique/>
        </w:docPartObj>
      </w:sdtPr>
      <w:sdtEndPr>
        <w:rPr>
          <w:b/>
          <w:bCs/>
        </w:rPr>
      </w:sdtEndPr>
      <w:sdtContent>
        <w:p w14:paraId="181FBF3C" w14:textId="544FBDAC" w:rsidR="00A91F31" w:rsidRPr="003C7CB1" w:rsidRDefault="00E732FA">
          <w:pPr>
            <w:pStyle w:val="TOCHeading"/>
            <w:rPr>
              <w:color w:val="auto"/>
            </w:rPr>
          </w:pPr>
          <w:r w:rsidRPr="003C7CB1">
            <w:rPr>
              <w:color w:val="auto"/>
            </w:rPr>
            <w:t>CONTENTS</w:t>
          </w:r>
        </w:p>
        <w:p w14:paraId="1FA65376" w14:textId="188DA45C" w:rsidR="00193646" w:rsidRDefault="00A91F31">
          <w:pPr>
            <w:pStyle w:val="TOC1"/>
            <w:tabs>
              <w:tab w:val="left" w:pos="440"/>
              <w:tab w:val="right" w:leader="dot" w:pos="9017"/>
            </w:tabs>
            <w:rPr>
              <w:rFonts w:eastAsiaTheme="minorEastAsia"/>
              <w:noProof/>
            </w:rPr>
          </w:pPr>
          <w:r w:rsidRPr="003C7CB1">
            <w:fldChar w:fldCharType="begin"/>
          </w:r>
          <w:r w:rsidRPr="003C7CB1">
            <w:instrText xml:space="preserve"> TOC \o "1-3" \h \z \u </w:instrText>
          </w:r>
          <w:r w:rsidRPr="003C7CB1">
            <w:fldChar w:fldCharType="separate"/>
          </w:r>
          <w:hyperlink w:anchor="_Toc104544167" w:history="1">
            <w:r w:rsidR="00193646" w:rsidRPr="000628A8">
              <w:rPr>
                <w:rStyle w:val="Hyperlink"/>
                <w:noProof/>
              </w:rPr>
              <w:t>1.</w:t>
            </w:r>
            <w:r w:rsidR="00193646">
              <w:rPr>
                <w:rFonts w:eastAsiaTheme="minorEastAsia"/>
                <w:noProof/>
              </w:rPr>
              <w:tab/>
            </w:r>
            <w:r w:rsidR="00193646" w:rsidRPr="000628A8">
              <w:rPr>
                <w:rStyle w:val="Hyperlink"/>
                <w:noProof/>
              </w:rPr>
              <w:t>INTRODUCTION</w:t>
            </w:r>
            <w:r w:rsidR="00193646">
              <w:rPr>
                <w:noProof/>
                <w:webHidden/>
              </w:rPr>
              <w:tab/>
            </w:r>
            <w:r w:rsidR="00193646">
              <w:rPr>
                <w:noProof/>
                <w:webHidden/>
              </w:rPr>
              <w:fldChar w:fldCharType="begin"/>
            </w:r>
            <w:r w:rsidR="00193646">
              <w:rPr>
                <w:noProof/>
                <w:webHidden/>
              </w:rPr>
              <w:instrText xml:space="preserve"> PAGEREF _Toc104544167 \h </w:instrText>
            </w:r>
            <w:r w:rsidR="00193646">
              <w:rPr>
                <w:noProof/>
                <w:webHidden/>
              </w:rPr>
            </w:r>
            <w:r w:rsidR="00193646">
              <w:rPr>
                <w:noProof/>
                <w:webHidden/>
              </w:rPr>
              <w:fldChar w:fldCharType="separate"/>
            </w:r>
            <w:r w:rsidR="00193646">
              <w:rPr>
                <w:noProof/>
                <w:webHidden/>
              </w:rPr>
              <w:t>8</w:t>
            </w:r>
            <w:r w:rsidR="00193646">
              <w:rPr>
                <w:noProof/>
                <w:webHidden/>
              </w:rPr>
              <w:fldChar w:fldCharType="end"/>
            </w:r>
          </w:hyperlink>
        </w:p>
        <w:p w14:paraId="4ADC96C1" w14:textId="49A74B3B" w:rsidR="00193646" w:rsidRDefault="00193646">
          <w:pPr>
            <w:pStyle w:val="TOC2"/>
            <w:rPr>
              <w:rFonts w:eastAsiaTheme="minorEastAsia" w:cstheme="minorBidi"/>
              <w:b w:val="0"/>
              <w:bCs w:val="0"/>
            </w:rPr>
          </w:pPr>
          <w:hyperlink w:anchor="_Toc104544168" w:history="1">
            <w:r w:rsidRPr="000628A8">
              <w:rPr>
                <w:rStyle w:val="Hyperlink"/>
              </w:rPr>
              <w:t>1.1.</w:t>
            </w:r>
            <w:r>
              <w:rPr>
                <w:rFonts w:eastAsiaTheme="minorEastAsia" w:cstheme="minorBidi"/>
                <w:b w:val="0"/>
                <w:bCs w:val="0"/>
              </w:rPr>
              <w:tab/>
            </w:r>
            <w:r w:rsidRPr="000628A8">
              <w:rPr>
                <w:rStyle w:val="Hyperlink"/>
              </w:rPr>
              <w:t>Tourism in Montenegro</w:t>
            </w:r>
            <w:r>
              <w:rPr>
                <w:webHidden/>
              </w:rPr>
              <w:tab/>
            </w:r>
            <w:r>
              <w:rPr>
                <w:webHidden/>
              </w:rPr>
              <w:fldChar w:fldCharType="begin"/>
            </w:r>
            <w:r>
              <w:rPr>
                <w:webHidden/>
              </w:rPr>
              <w:instrText xml:space="preserve"> PAGEREF _Toc104544168 \h </w:instrText>
            </w:r>
            <w:r>
              <w:rPr>
                <w:webHidden/>
              </w:rPr>
            </w:r>
            <w:r>
              <w:rPr>
                <w:webHidden/>
              </w:rPr>
              <w:fldChar w:fldCharType="separate"/>
            </w:r>
            <w:r>
              <w:rPr>
                <w:webHidden/>
              </w:rPr>
              <w:t>8</w:t>
            </w:r>
            <w:r>
              <w:rPr>
                <w:webHidden/>
              </w:rPr>
              <w:fldChar w:fldCharType="end"/>
            </w:r>
          </w:hyperlink>
        </w:p>
        <w:p w14:paraId="0B904F7F" w14:textId="63B417FF" w:rsidR="00193646" w:rsidRDefault="00193646">
          <w:pPr>
            <w:pStyle w:val="TOC2"/>
            <w:rPr>
              <w:rFonts w:eastAsiaTheme="minorEastAsia" w:cstheme="minorBidi"/>
              <w:b w:val="0"/>
              <w:bCs w:val="0"/>
            </w:rPr>
          </w:pPr>
          <w:hyperlink w:anchor="_Toc104544169" w:history="1">
            <w:r w:rsidRPr="000628A8">
              <w:rPr>
                <w:rStyle w:val="Hyperlink"/>
              </w:rPr>
              <w:t>1.2.</w:t>
            </w:r>
            <w:r>
              <w:rPr>
                <w:rFonts w:eastAsiaTheme="minorEastAsia" w:cstheme="minorBidi"/>
                <w:b w:val="0"/>
                <w:bCs w:val="0"/>
              </w:rPr>
              <w:tab/>
            </w:r>
            <w:r w:rsidRPr="000628A8">
              <w:rPr>
                <w:rStyle w:val="Hyperlink"/>
              </w:rPr>
              <w:t>Institutional, Legislative and Strategic Framework</w:t>
            </w:r>
            <w:r>
              <w:rPr>
                <w:webHidden/>
              </w:rPr>
              <w:tab/>
            </w:r>
            <w:r>
              <w:rPr>
                <w:webHidden/>
              </w:rPr>
              <w:fldChar w:fldCharType="begin"/>
            </w:r>
            <w:r>
              <w:rPr>
                <w:webHidden/>
              </w:rPr>
              <w:instrText xml:space="preserve"> PAGEREF _Toc104544169 \h </w:instrText>
            </w:r>
            <w:r>
              <w:rPr>
                <w:webHidden/>
              </w:rPr>
            </w:r>
            <w:r>
              <w:rPr>
                <w:webHidden/>
              </w:rPr>
              <w:fldChar w:fldCharType="separate"/>
            </w:r>
            <w:r>
              <w:rPr>
                <w:webHidden/>
              </w:rPr>
              <w:t>10</w:t>
            </w:r>
            <w:r>
              <w:rPr>
                <w:webHidden/>
              </w:rPr>
              <w:fldChar w:fldCharType="end"/>
            </w:r>
          </w:hyperlink>
        </w:p>
        <w:p w14:paraId="3A466566" w14:textId="0C1F3049" w:rsidR="00193646" w:rsidRDefault="00193646">
          <w:pPr>
            <w:pStyle w:val="TOC1"/>
            <w:tabs>
              <w:tab w:val="left" w:pos="440"/>
              <w:tab w:val="right" w:leader="dot" w:pos="9017"/>
            </w:tabs>
            <w:rPr>
              <w:rFonts w:eastAsiaTheme="minorEastAsia"/>
              <w:noProof/>
            </w:rPr>
          </w:pPr>
          <w:hyperlink w:anchor="_Toc104544170" w:history="1">
            <w:r w:rsidRPr="000628A8">
              <w:rPr>
                <w:rStyle w:val="Hyperlink"/>
                <w:noProof/>
                <w:lang w:eastAsia="hr-HR"/>
              </w:rPr>
              <w:t>2.</w:t>
            </w:r>
            <w:r>
              <w:rPr>
                <w:rFonts w:eastAsiaTheme="minorEastAsia"/>
                <w:noProof/>
              </w:rPr>
              <w:tab/>
            </w:r>
            <w:r w:rsidRPr="000628A8">
              <w:rPr>
                <w:rStyle w:val="Hyperlink"/>
                <w:noProof/>
                <w:lang w:eastAsia="hr-HR"/>
              </w:rPr>
              <w:t>SITUATION ANALYSIS</w:t>
            </w:r>
            <w:r>
              <w:rPr>
                <w:noProof/>
                <w:webHidden/>
              </w:rPr>
              <w:tab/>
            </w:r>
            <w:r>
              <w:rPr>
                <w:noProof/>
                <w:webHidden/>
              </w:rPr>
              <w:fldChar w:fldCharType="begin"/>
            </w:r>
            <w:r>
              <w:rPr>
                <w:noProof/>
                <w:webHidden/>
              </w:rPr>
              <w:instrText xml:space="preserve"> PAGEREF _Toc104544170 \h </w:instrText>
            </w:r>
            <w:r>
              <w:rPr>
                <w:noProof/>
                <w:webHidden/>
              </w:rPr>
            </w:r>
            <w:r>
              <w:rPr>
                <w:noProof/>
                <w:webHidden/>
              </w:rPr>
              <w:fldChar w:fldCharType="separate"/>
            </w:r>
            <w:r>
              <w:rPr>
                <w:noProof/>
                <w:webHidden/>
              </w:rPr>
              <w:t>28</w:t>
            </w:r>
            <w:r>
              <w:rPr>
                <w:noProof/>
                <w:webHidden/>
              </w:rPr>
              <w:fldChar w:fldCharType="end"/>
            </w:r>
          </w:hyperlink>
        </w:p>
        <w:p w14:paraId="39ACBE9D" w14:textId="555DA9CB" w:rsidR="00193646" w:rsidRDefault="00193646">
          <w:pPr>
            <w:pStyle w:val="TOC2"/>
            <w:rPr>
              <w:rFonts w:eastAsiaTheme="minorEastAsia" w:cstheme="minorBidi"/>
              <w:b w:val="0"/>
              <w:bCs w:val="0"/>
            </w:rPr>
          </w:pPr>
          <w:hyperlink w:anchor="_Toc104544171" w:history="1">
            <w:r w:rsidRPr="000628A8">
              <w:rPr>
                <w:rStyle w:val="Hyperlink"/>
                <w:lang w:eastAsia="hr-HR"/>
              </w:rPr>
              <w:t>2.1. Implementation of the Montenegro Tourism Development Strategy until 2020</w:t>
            </w:r>
            <w:r>
              <w:rPr>
                <w:webHidden/>
              </w:rPr>
              <w:tab/>
            </w:r>
            <w:r>
              <w:rPr>
                <w:webHidden/>
              </w:rPr>
              <w:fldChar w:fldCharType="begin"/>
            </w:r>
            <w:r>
              <w:rPr>
                <w:webHidden/>
              </w:rPr>
              <w:instrText xml:space="preserve"> PAGEREF _Toc104544171 \h </w:instrText>
            </w:r>
            <w:r>
              <w:rPr>
                <w:webHidden/>
              </w:rPr>
            </w:r>
            <w:r>
              <w:rPr>
                <w:webHidden/>
              </w:rPr>
              <w:fldChar w:fldCharType="separate"/>
            </w:r>
            <w:r>
              <w:rPr>
                <w:webHidden/>
              </w:rPr>
              <w:t>28</w:t>
            </w:r>
            <w:r>
              <w:rPr>
                <w:webHidden/>
              </w:rPr>
              <w:fldChar w:fldCharType="end"/>
            </w:r>
          </w:hyperlink>
        </w:p>
        <w:p w14:paraId="33196E98" w14:textId="3452E9AA" w:rsidR="00193646" w:rsidRDefault="00193646">
          <w:pPr>
            <w:pStyle w:val="TOC2"/>
            <w:rPr>
              <w:rFonts w:eastAsiaTheme="minorEastAsia" w:cstheme="minorBidi"/>
              <w:b w:val="0"/>
              <w:bCs w:val="0"/>
            </w:rPr>
          </w:pPr>
          <w:hyperlink w:anchor="_Toc104544172" w:history="1">
            <w:r w:rsidRPr="000628A8">
              <w:rPr>
                <w:rStyle w:val="Hyperlink"/>
                <w:lang w:eastAsia="hr-HR"/>
              </w:rPr>
              <w:t>2.2. Quantitative and Qualitative Analysis of Tourism Parameters</w:t>
            </w:r>
            <w:r>
              <w:rPr>
                <w:webHidden/>
              </w:rPr>
              <w:tab/>
            </w:r>
            <w:r>
              <w:rPr>
                <w:webHidden/>
              </w:rPr>
              <w:fldChar w:fldCharType="begin"/>
            </w:r>
            <w:r>
              <w:rPr>
                <w:webHidden/>
              </w:rPr>
              <w:instrText xml:space="preserve"> PAGEREF _Toc104544172 \h </w:instrText>
            </w:r>
            <w:r>
              <w:rPr>
                <w:webHidden/>
              </w:rPr>
            </w:r>
            <w:r>
              <w:rPr>
                <w:webHidden/>
              </w:rPr>
              <w:fldChar w:fldCharType="separate"/>
            </w:r>
            <w:r>
              <w:rPr>
                <w:webHidden/>
              </w:rPr>
              <w:t>29</w:t>
            </w:r>
            <w:r>
              <w:rPr>
                <w:webHidden/>
              </w:rPr>
              <w:fldChar w:fldCharType="end"/>
            </w:r>
          </w:hyperlink>
        </w:p>
        <w:p w14:paraId="71B483B9" w14:textId="266354A3" w:rsidR="00193646" w:rsidRDefault="00193646">
          <w:pPr>
            <w:pStyle w:val="TOC3"/>
            <w:tabs>
              <w:tab w:val="right" w:leader="dot" w:pos="9017"/>
            </w:tabs>
            <w:rPr>
              <w:rFonts w:eastAsiaTheme="minorEastAsia"/>
              <w:noProof/>
            </w:rPr>
          </w:pPr>
          <w:hyperlink w:anchor="_Toc104544173" w:history="1">
            <w:r w:rsidRPr="000628A8">
              <w:rPr>
                <w:rStyle w:val="Hyperlink"/>
                <w:b/>
                <w:noProof/>
                <w:lang w:eastAsia="hr-HR"/>
              </w:rPr>
              <w:t>2.2.1. Tourist Arrivals and Overnight Stays</w:t>
            </w:r>
            <w:r>
              <w:rPr>
                <w:noProof/>
                <w:webHidden/>
              </w:rPr>
              <w:tab/>
            </w:r>
            <w:r>
              <w:rPr>
                <w:noProof/>
                <w:webHidden/>
              </w:rPr>
              <w:fldChar w:fldCharType="begin"/>
            </w:r>
            <w:r>
              <w:rPr>
                <w:noProof/>
                <w:webHidden/>
              </w:rPr>
              <w:instrText xml:space="preserve"> PAGEREF _Toc104544173 \h </w:instrText>
            </w:r>
            <w:r>
              <w:rPr>
                <w:noProof/>
                <w:webHidden/>
              </w:rPr>
            </w:r>
            <w:r>
              <w:rPr>
                <w:noProof/>
                <w:webHidden/>
              </w:rPr>
              <w:fldChar w:fldCharType="separate"/>
            </w:r>
            <w:r>
              <w:rPr>
                <w:noProof/>
                <w:webHidden/>
              </w:rPr>
              <w:t>29</w:t>
            </w:r>
            <w:r>
              <w:rPr>
                <w:noProof/>
                <w:webHidden/>
              </w:rPr>
              <w:fldChar w:fldCharType="end"/>
            </w:r>
          </w:hyperlink>
        </w:p>
        <w:p w14:paraId="352E4D7D" w14:textId="4C40B5A6" w:rsidR="00193646" w:rsidRDefault="00193646">
          <w:pPr>
            <w:pStyle w:val="TOC3"/>
            <w:tabs>
              <w:tab w:val="right" w:leader="dot" w:pos="9017"/>
            </w:tabs>
            <w:rPr>
              <w:rFonts w:eastAsiaTheme="minorEastAsia"/>
              <w:noProof/>
            </w:rPr>
          </w:pPr>
          <w:hyperlink w:anchor="_Toc104544174" w:history="1">
            <w:r w:rsidRPr="000628A8">
              <w:rPr>
                <w:rStyle w:val="Hyperlink"/>
                <w:b/>
                <w:noProof/>
              </w:rPr>
              <w:t>2.2.2. Tourism Revenues</w:t>
            </w:r>
            <w:r>
              <w:rPr>
                <w:noProof/>
                <w:webHidden/>
              </w:rPr>
              <w:tab/>
            </w:r>
            <w:r>
              <w:rPr>
                <w:noProof/>
                <w:webHidden/>
              </w:rPr>
              <w:fldChar w:fldCharType="begin"/>
            </w:r>
            <w:r>
              <w:rPr>
                <w:noProof/>
                <w:webHidden/>
              </w:rPr>
              <w:instrText xml:space="preserve"> PAGEREF _Toc104544174 \h </w:instrText>
            </w:r>
            <w:r>
              <w:rPr>
                <w:noProof/>
                <w:webHidden/>
              </w:rPr>
            </w:r>
            <w:r>
              <w:rPr>
                <w:noProof/>
                <w:webHidden/>
              </w:rPr>
              <w:fldChar w:fldCharType="separate"/>
            </w:r>
            <w:r>
              <w:rPr>
                <w:noProof/>
                <w:webHidden/>
              </w:rPr>
              <w:t>31</w:t>
            </w:r>
            <w:r>
              <w:rPr>
                <w:noProof/>
                <w:webHidden/>
              </w:rPr>
              <w:fldChar w:fldCharType="end"/>
            </w:r>
          </w:hyperlink>
        </w:p>
        <w:p w14:paraId="4C5F82DC" w14:textId="7C89DECE" w:rsidR="00193646" w:rsidRDefault="00193646">
          <w:pPr>
            <w:pStyle w:val="TOC3"/>
            <w:tabs>
              <w:tab w:val="right" w:leader="dot" w:pos="9017"/>
            </w:tabs>
            <w:rPr>
              <w:rFonts w:eastAsiaTheme="minorEastAsia"/>
              <w:noProof/>
            </w:rPr>
          </w:pPr>
          <w:hyperlink w:anchor="_Toc104544175" w:history="1">
            <w:r w:rsidRPr="000628A8">
              <w:rPr>
                <w:rStyle w:val="Hyperlink"/>
                <w:b/>
                <w:noProof/>
                <w:shd w:val="clear" w:color="auto" w:fill="FFFFFF" w:themeFill="background1"/>
              </w:rPr>
              <w:t>2.2.3. Seasonality and regional inequality</w:t>
            </w:r>
            <w:r>
              <w:rPr>
                <w:noProof/>
                <w:webHidden/>
              </w:rPr>
              <w:tab/>
            </w:r>
            <w:r>
              <w:rPr>
                <w:noProof/>
                <w:webHidden/>
              </w:rPr>
              <w:fldChar w:fldCharType="begin"/>
            </w:r>
            <w:r>
              <w:rPr>
                <w:noProof/>
                <w:webHidden/>
              </w:rPr>
              <w:instrText xml:space="preserve"> PAGEREF _Toc104544175 \h </w:instrText>
            </w:r>
            <w:r>
              <w:rPr>
                <w:noProof/>
                <w:webHidden/>
              </w:rPr>
            </w:r>
            <w:r>
              <w:rPr>
                <w:noProof/>
                <w:webHidden/>
              </w:rPr>
              <w:fldChar w:fldCharType="separate"/>
            </w:r>
            <w:r>
              <w:rPr>
                <w:noProof/>
                <w:webHidden/>
              </w:rPr>
              <w:t>32</w:t>
            </w:r>
            <w:r>
              <w:rPr>
                <w:noProof/>
                <w:webHidden/>
              </w:rPr>
              <w:fldChar w:fldCharType="end"/>
            </w:r>
          </w:hyperlink>
        </w:p>
        <w:p w14:paraId="072C1295" w14:textId="683B28A6" w:rsidR="00193646" w:rsidRDefault="00193646">
          <w:pPr>
            <w:pStyle w:val="TOC3"/>
            <w:tabs>
              <w:tab w:val="right" w:leader="dot" w:pos="9017"/>
            </w:tabs>
            <w:rPr>
              <w:rFonts w:eastAsiaTheme="minorEastAsia"/>
              <w:noProof/>
            </w:rPr>
          </w:pPr>
          <w:hyperlink w:anchor="_Toc104544176" w:history="1">
            <w:r w:rsidRPr="000628A8">
              <w:rPr>
                <w:rStyle w:val="Hyperlink"/>
                <w:b/>
                <w:noProof/>
              </w:rPr>
              <w:t>2.2.4. Emitting markets and participation in tourism turnover</w:t>
            </w:r>
            <w:r>
              <w:rPr>
                <w:noProof/>
                <w:webHidden/>
              </w:rPr>
              <w:tab/>
            </w:r>
            <w:r>
              <w:rPr>
                <w:noProof/>
                <w:webHidden/>
              </w:rPr>
              <w:fldChar w:fldCharType="begin"/>
            </w:r>
            <w:r>
              <w:rPr>
                <w:noProof/>
                <w:webHidden/>
              </w:rPr>
              <w:instrText xml:space="preserve"> PAGEREF _Toc104544176 \h </w:instrText>
            </w:r>
            <w:r>
              <w:rPr>
                <w:noProof/>
                <w:webHidden/>
              </w:rPr>
            </w:r>
            <w:r>
              <w:rPr>
                <w:noProof/>
                <w:webHidden/>
              </w:rPr>
              <w:fldChar w:fldCharType="separate"/>
            </w:r>
            <w:r>
              <w:rPr>
                <w:noProof/>
                <w:webHidden/>
              </w:rPr>
              <w:t>35</w:t>
            </w:r>
            <w:r>
              <w:rPr>
                <w:noProof/>
                <w:webHidden/>
              </w:rPr>
              <w:fldChar w:fldCharType="end"/>
            </w:r>
          </w:hyperlink>
        </w:p>
        <w:p w14:paraId="40D19DBE" w14:textId="75E122B7" w:rsidR="00193646" w:rsidRDefault="00193646">
          <w:pPr>
            <w:pStyle w:val="TOC3"/>
            <w:tabs>
              <w:tab w:val="right" w:leader="dot" w:pos="9017"/>
            </w:tabs>
            <w:rPr>
              <w:rFonts w:eastAsiaTheme="minorEastAsia"/>
              <w:noProof/>
            </w:rPr>
          </w:pPr>
          <w:hyperlink w:anchor="_Toc104544177" w:history="1">
            <w:r w:rsidRPr="000628A8">
              <w:rPr>
                <w:rStyle w:val="Hyperlink"/>
                <w:rFonts w:eastAsia="Times New Roman"/>
                <w:b/>
                <w:noProof/>
              </w:rPr>
              <w:t>2.2.5. Average stay of tourists</w:t>
            </w:r>
            <w:r>
              <w:rPr>
                <w:noProof/>
                <w:webHidden/>
              </w:rPr>
              <w:tab/>
            </w:r>
            <w:r>
              <w:rPr>
                <w:noProof/>
                <w:webHidden/>
              </w:rPr>
              <w:fldChar w:fldCharType="begin"/>
            </w:r>
            <w:r>
              <w:rPr>
                <w:noProof/>
                <w:webHidden/>
              </w:rPr>
              <w:instrText xml:space="preserve"> PAGEREF _Toc104544177 \h </w:instrText>
            </w:r>
            <w:r>
              <w:rPr>
                <w:noProof/>
                <w:webHidden/>
              </w:rPr>
            </w:r>
            <w:r>
              <w:rPr>
                <w:noProof/>
                <w:webHidden/>
              </w:rPr>
              <w:fldChar w:fldCharType="separate"/>
            </w:r>
            <w:r>
              <w:rPr>
                <w:noProof/>
                <w:webHidden/>
              </w:rPr>
              <w:t>41</w:t>
            </w:r>
            <w:r>
              <w:rPr>
                <w:noProof/>
                <w:webHidden/>
              </w:rPr>
              <w:fldChar w:fldCharType="end"/>
            </w:r>
          </w:hyperlink>
        </w:p>
        <w:p w14:paraId="449D6408" w14:textId="7B203CC5" w:rsidR="00193646" w:rsidRDefault="00193646">
          <w:pPr>
            <w:pStyle w:val="TOC3"/>
            <w:tabs>
              <w:tab w:val="right" w:leader="dot" w:pos="9017"/>
            </w:tabs>
            <w:rPr>
              <w:rFonts w:eastAsiaTheme="minorEastAsia"/>
              <w:noProof/>
            </w:rPr>
          </w:pPr>
          <w:hyperlink w:anchor="_Toc104544178" w:history="1">
            <w:r w:rsidRPr="000628A8">
              <w:rPr>
                <w:rStyle w:val="Hyperlink"/>
                <w:b/>
                <w:noProof/>
              </w:rPr>
              <w:t>2.2.6. Accommodation capacities, collective and individual accommodation</w:t>
            </w:r>
            <w:r>
              <w:rPr>
                <w:noProof/>
                <w:webHidden/>
              </w:rPr>
              <w:tab/>
            </w:r>
            <w:r>
              <w:rPr>
                <w:noProof/>
                <w:webHidden/>
              </w:rPr>
              <w:fldChar w:fldCharType="begin"/>
            </w:r>
            <w:r>
              <w:rPr>
                <w:noProof/>
                <w:webHidden/>
              </w:rPr>
              <w:instrText xml:space="preserve"> PAGEREF _Toc104544178 \h </w:instrText>
            </w:r>
            <w:r>
              <w:rPr>
                <w:noProof/>
                <w:webHidden/>
              </w:rPr>
            </w:r>
            <w:r>
              <w:rPr>
                <w:noProof/>
                <w:webHidden/>
              </w:rPr>
              <w:fldChar w:fldCharType="separate"/>
            </w:r>
            <w:r>
              <w:rPr>
                <w:noProof/>
                <w:webHidden/>
              </w:rPr>
              <w:t>42</w:t>
            </w:r>
            <w:r>
              <w:rPr>
                <w:noProof/>
                <w:webHidden/>
              </w:rPr>
              <w:fldChar w:fldCharType="end"/>
            </w:r>
          </w:hyperlink>
        </w:p>
        <w:p w14:paraId="651350DC" w14:textId="6F6E7620" w:rsidR="00193646" w:rsidRDefault="00193646">
          <w:pPr>
            <w:pStyle w:val="TOC3"/>
            <w:tabs>
              <w:tab w:val="right" w:leader="dot" w:pos="9017"/>
            </w:tabs>
            <w:rPr>
              <w:rFonts w:eastAsiaTheme="minorEastAsia"/>
              <w:noProof/>
            </w:rPr>
          </w:pPr>
          <w:hyperlink w:anchor="_Toc104544179" w:history="1">
            <w:r w:rsidRPr="000628A8">
              <w:rPr>
                <w:rStyle w:val="Hyperlink"/>
                <w:b/>
                <w:noProof/>
              </w:rPr>
              <w:t>2.2.7. Labor force in tourism</w:t>
            </w:r>
            <w:r>
              <w:rPr>
                <w:noProof/>
                <w:webHidden/>
              </w:rPr>
              <w:tab/>
            </w:r>
            <w:r>
              <w:rPr>
                <w:noProof/>
                <w:webHidden/>
              </w:rPr>
              <w:fldChar w:fldCharType="begin"/>
            </w:r>
            <w:r>
              <w:rPr>
                <w:noProof/>
                <w:webHidden/>
              </w:rPr>
              <w:instrText xml:space="preserve"> PAGEREF _Toc104544179 \h </w:instrText>
            </w:r>
            <w:r>
              <w:rPr>
                <w:noProof/>
                <w:webHidden/>
              </w:rPr>
            </w:r>
            <w:r>
              <w:rPr>
                <w:noProof/>
                <w:webHidden/>
              </w:rPr>
              <w:fldChar w:fldCharType="separate"/>
            </w:r>
            <w:r>
              <w:rPr>
                <w:noProof/>
                <w:webHidden/>
              </w:rPr>
              <w:t>45</w:t>
            </w:r>
            <w:r>
              <w:rPr>
                <w:noProof/>
                <w:webHidden/>
              </w:rPr>
              <w:fldChar w:fldCharType="end"/>
            </w:r>
          </w:hyperlink>
        </w:p>
        <w:p w14:paraId="3111EC7A" w14:textId="56A86982" w:rsidR="00193646" w:rsidRDefault="00193646">
          <w:pPr>
            <w:pStyle w:val="TOC3"/>
            <w:tabs>
              <w:tab w:val="right" w:leader="dot" w:pos="9017"/>
            </w:tabs>
            <w:rPr>
              <w:rFonts w:eastAsiaTheme="minorEastAsia"/>
              <w:noProof/>
            </w:rPr>
          </w:pPr>
          <w:hyperlink w:anchor="_Toc104544180" w:history="1">
            <w:r w:rsidRPr="000628A8">
              <w:rPr>
                <w:rStyle w:val="Hyperlink"/>
                <w:b/>
                <w:noProof/>
              </w:rPr>
              <w:t>2.2.8. Earnings in tourism</w:t>
            </w:r>
            <w:r>
              <w:rPr>
                <w:noProof/>
                <w:webHidden/>
              </w:rPr>
              <w:tab/>
            </w:r>
            <w:r>
              <w:rPr>
                <w:noProof/>
                <w:webHidden/>
              </w:rPr>
              <w:fldChar w:fldCharType="begin"/>
            </w:r>
            <w:r>
              <w:rPr>
                <w:noProof/>
                <w:webHidden/>
              </w:rPr>
              <w:instrText xml:space="preserve"> PAGEREF _Toc104544180 \h </w:instrText>
            </w:r>
            <w:r>
              <w:rPr>
                <w:noProof/>
                <w:webHidden/>
              </w:rPr>
            </w:r>
            <w:r>
              <w:rPr>
                <w:noProof/>
                <w:webHidden/>
              </w:rPr>
              <w:fldChar w:fldCharType="separate"/>
            </w:r>
            <w:r>
              <w:rPr>
                <w:noProof/>
                <w:webHidden/>
              </w:rPr>
              <w:t>46</w:t>
            </w:r>
            <w:r>
              <w:rPr>
                <w:noProof/>
                <w:webHidden/>
              </w:rPr>
              <w:fldChar w:fldCharType="end"/>
            </w:r>
          </w:hyperlink>
        </w:p>
        <w:p w14:paraId="17A9D505" w14:textId="69CF54BE" w:rsidR="00193646" w:rsidRDefault="00193646">
          <w:pPr>
            <w:pStyle w:val="TOC1"/>
            <w:tabs>
              <w:tab w:val="left" w:pos="440"/>
              <w:tab w:val="right" w:leader="dot" w:pos="9017"/>
            </w:tabs>
            <w:rPr>
              <w:rFonts w:eastAsiaTheme="minorEastAsia"/>
              <w:noProof/>
            </w:rPr>
          </w:pPr>
          <w:hyperlink w:anchor="_Toc104544181" w:history="1">
            <w:r w:rsidRPr="000628A8">
              <w:rPr>
                <w:rStyle w:val="Hyperlink"/>
                <w:noProof/>
              </w:rPr>
              <w:t>3.</w:t>
            </w:r>
            <w:r>
              <w:rPr>
                <w:rFonts w:eastAsiaTheme="minorEastAsia"/>
                <w:noProof/>
              </w:rPr>
              <w:tab/>
            </w:r>
            <w:r w:rsidRPr="000628A8">
              <w:rPr>
                <w:rStyle w:val="Hyperlink"/>
                <w:noProof/>
              </w:rPr>
              <w:t>IMPACT OF THE COVID-19 PANDEMIC ON TOURISM IN 2020 AND 2021</w:t>
            </w:r>
            <w:r>
              <w:rPr>
                <w:noProof/>
                <w:webHidden/>
              </w:rPr>
              <w:tab/>
            </w:r>
            <w:r>
              <w:rPr>
                <w:noProof/>
                <w:webHidden/>
              </w:rPr>
              <w:fldChar w:fldCharType="begin"/>
            </w:r>
            <w:r>
              <w:rPr>
                <w:noProof/>
                <w:webHidden/>
              </w:rPr>
              <w:instrText xml:space="preserve"> PAGEREF _Toc104544181 \h </w:instrText>
            </w:r>
            <w:r>
              <w:rPr>
                <w:noProof/>
                <w:webHidden/>
              </w:rPr>
            </w:r>
            <w:r>
              <w:rPr>
                <w:noProof/>
                <w:webHidden/>
              </w:rPr>
              <w:fldChar w:fldCharType="separate"/>
            </w:r>
            <w:r>
              <w:rPr>
                <w:noProof/>
                <w:webHidden/>
              </w:rPr>
              <w:t>49</w:t>
            </w:r>
            <w:r>
              <w:rPr>
                <w:noProof/>
                <w:webHidden/>
              </w:rPr>
              <w:fldChar w:fldCharType="end"/>
            </w:r>
          </w:hyperlink>
        </w:p>
        <w:p w14:paraId="695DEC58" w14:textId="229DAE5B" w:rsidR="00193646" w:rsidRDefault="00193646">
          <w:pPr>
            <w:pStyle w:val="TOC2"/>
            <w:rPr>
              <w:rFonts w:eastAsiaTheme="minorEastAsia" w:cstheme="minorBidi"/>
              <w:b w:val="0"/>
              <w:bCs w:val="0"/>
            </w:rPr>
          </w:pPr>
          <w:hyperlink w:anchor="_Toc104544182" w:history="1">
            <w:r w:rsidRPr="000628A8">
              <w:rPr>
                <w:rStyle w:val="Hyperlink"/>
              </w:rPr>
              <w:t>3.1. Assessment of the situation in tourism in 2020 compared to 2019</w:t>
            </w:r>
            <w:r>
              <w:rPr>
                <w:webHidden/>
              </w:rPr>
              <w:tab/>
            </w:r>
            <w:r>
              <w:rPr>
                <w:webHidden/>
              </w:rPr>
              <w:fldChar w:fldCharType="begin"/>
            </w:r>
            <w:r>
              <w:rPr>
                <w:webHidden/>
              </w:rPr>
              <w:instrText xml:space="preserve"> PAGEREF _Toc104544182 \h </w:instrText>
            </w:r>
            <w:r>
              <w:rPr>
                <w:webHidden/>
              </w:rPr>
            </w:r>
            <w:r>
              <w:rPr>
                <w:webHidden/>
              </w:rPr>
              <w:fldChar w:fldCharType="separate"/>
            </w:r>
            <w:r>
              <w:rPr>
                <w:webHidden/>
              </w:rPr>
              <w:t>49</w:t>
            </w:r>
            <w:r>
              <w:rPr>
                <w:webHidden/>
              </w:rPr>
              <w:fldChar w:fldCharType="end"/>
            </w:r>
          </w:hyperlink>
        </w:p>
        <w:p w14:paraId="5340C967" w14:textId="145FA7ED" w:rsidR="00193646" w:rsidRDefault="00193646">
          <w:pPr>
            <w:pStyle w:val="TOC2"/>
            <w:rPr>
              <w:rFonts w:eastAsiaTheme="minorEastAsia" w:cstheme="minorBidi"/>
              <w:b w:val="0"/>
              <w:bCs w:val="0"/>
            </w:rPr>
          </w:pPr>
          <w:hyperlink w:anchor="_Toc104544183" w:history="1">
            <w:r w:rsidRPr="000628A8">
              <w:rPr>
                <w:rStyle w:val="Hyperlink"/>
                <w:rFonts w:cs="Arial"/>
              </w:rPr>
              <w:t xml:space="preserve">3.2. </w:t>
            </w:r>
            <w:r w:rsidRPr="000628A8">
              <w:rPr>
                <w:rStyle w:val="Hyperlink"/>
              </w:rPr>
              <w:t>Rehabilitation policy in 2021</w:t>
            </w:r>
            <w:r>
              <w:rPr>
                <w:webHidden/>
              </w:rPr>
              <w:tab/>
            </w:r>
            <w:r>
              <w:rPr>
                <w:webHidden/>
              </w:rPr>
              <w:fldChar w:fldCharType="begin"/>
            </w:r>
            <w:r>
              <w:rPr>
                <w:webHidden/>
              </w:rPr>
              <w:instrText xml:space="preserve"> PAGEREF _Toc104544183 \h </w:instrText>
            </w:r>
            <w:r>
              <w:rPr>
                <w:webHidden/>
              </w:rPr>
            </w:r>
            <w:r>
              <w:rPr>
                <w:webHidden/>
              </w:rPr>
              <w:fldChar w:fldCharType="separate"/>
            </w:r>
            <w:r>
              <w:rPr>
                <w:webHidden/>
              </w:rPr>
              <w:t>51</w:t>
            </w:r>
            <w:r>
              <w:rPr>
                <w:webHidden/>
              </w:rPr>
              <w:fldChar w:fldCharType="end"/>
            </w:r>
          </w:hyperlink>
        </w:p>
        <w:p w14:paraId="777B61A9" w14:textId="73C13461" w:rsidR="00193646" w:rsidRDefault="00193646">
          <w:pPr>
            <w:pStyle w:val="TOC2"/>
            <w:rPr>
              <w:rFonts w:eastAsiaTheme="minorEastAsia" w:cstheme="minorBidi"/>
              <w:b w:val="0"/>
              <w:bCs w:val="0"/>
            </w:rPr>
          </w:pPr>
          <w:hyperlink w:anchor="_Toc104544184" w:history="1">
            <w:r w:rsidRPr="000628A8">
              <w:rPr>
                <w:rStyle w:val="Hyperlink"/>
              </w:rPr>
              <w:t>3.3.</w:t>
            </w:r>
            <w:r>
              <w:rPr>
                <w:rFonts w:eastAsiaTheme="minorEastAsia" w:cstheme="minorBidi"/>
                <w:b w:val="0"/>
                <w:bCs w:val="0"/>
              </w:rPr>
              <w:tab/>
            </w:r>
            <w:r w:rsidRPr="000628A8">
              <w:rPr>
                <w:rStyle w:val="Hyperlink"/>
              </w:rPr>
              <w:t>Results of tourism turnover during 2021</w:t>
            </w:r>
            <w:r>
              <w:rPr>
                <w:webHidden/>
              </w:rPr>
              <w:tab/>
            </w:r>
            <w:r>
              <w:rPr>
                <w:webHidden/>
              </w:rPr>
              <w:fldChar w:fldCharType="begin"/>
            </w:r>
            <w:r>
              <w:rPr>
                <w:webHidden/>
              </w:rPr>
              <w:instrText xml:space="preserve"> PAGEREF _Toc104544184 \h </w:instrText>
            </w:r>
            <w:r>
              <w:rPr>
                <w:webHidden/>
              </w:rPr>
            </w:r>
            <w:r>
              <w:rPr>
                <w:webHidden/>
              </w:rPr>
              <w:fldChar w:fldCharType="separate"/>
            </w:r>
            <w:r>
              <w:rPr>
                <w:webHidden/>
              </w:rPr>
              <w:t>54</w:t>
            </w:r>
            <w:r>
              <w:rPr>
                <w:webHidden/>
              </w:rPr>
              <w:fldChar w:fldCharType="end"/>
            </w:r>
          </w:hyperlink>
        </w:p>
        <w:p w14:paraId="535E8A27" w14:textId="0769699E" w:rsidR="00193646" w:rsidRDefault="00193646">
          <w:pPr>
            <w:pStyle w:val="TOC2"/>
            <w:rPr>
              <w:rFonts w:eastAsiaTheme="minorEastAsia" w:cstheme="minorBidi"/>
              <w:b w:val="0"/>
              <w:bCs w:val="0"/>
            </w:rPr>
          </w:pPr>
          <w:hyperlink w:anchor="_Toc104544185" w:history="1">
            <w:r w:rsidRPr="000628A8">
              <w:rPr>
                <w:rStyle w:val="Hyperlink"/>
              </w:rPr>
              <w:t>3.4.</w:t>
            </w:r>
            <w:r>
              <w:rPr>
                <w:rFonts w:eastAsiaTheme="minorEastAsia" w:cstheme="minorBidi"/>
                <w:b w:val="0"/>
                <w:bCs w:val="0"/>
              </w:rPr>
              <w:tab/>
            </w:r>
            <w:r w:rsidRPr="000628A8">
              <w:rPr>
                <w:rStyle w:val="Hyperlink"/>
              </w:rPr>
              <w:t>UNWTO - from crisis to transformation</w:t>
            </w:r>
            <w:r>
              <w:rPr>
                <w:webHidden/>
              </w:rPr>
              <w:tab/>
            </w:r>
            <w:r>
              <w:rPr>
                <w:webHidden/>
              </w:rPr>
              <w:fldChar w:fldCharType="begin"/>
            </w:r>
            <w:r>
              <w:rPr>
                <w:webHidden/>
              </w:rPr>
              <w:instrText xml:space="preserve"> PAGEREF _Toc104544185 \h </w:instrText>
            </w:r>
            <w:r>
              <w:rPr>
                <w:webHidden/>
              </w:rPr>
            </w:r>
            <w:r>
              <w:rPr>
                <w:webHidden/>
              </w:rPr>
              <w:fldChar w:fldCharType="separate"/>
            </w:r>
            <w:r>
              <w:rPr>
                <w:webHidden/>
              </w:rPr>
              <w:t>55</w:t>
            </w:r>
            <w:r>
              <w:rPr>
                <w:webHidden/>
              </w:rPr>
              <w:fldChar w:fldCharType="end"/>
            </w:r>
          </w:hyperlink>
        </w:p>
        <w:p w14:paraId="6CE6DA73" w14:textId="00809E77" w:rsidR="00193646" w:rsidRDefault="00193646">
          <w:pPr>
            <w:pStyle w:val="TOC1"/>
            <w:tabs>
              <w:tab w:val="left" w:pos="440"/>
              <w:tab w:val="right" w:leader="dot" w:pos="9017"/>
            </w:tabs>
            <w:rPr>
              <w:rFonts w:eastAsiaTheme="minorEastAsia"/>
              <w:noProof/>
            </w:rPr>
          </w:pPr>
          <w:hyperlink w:anchor="_Toc104544186" w:history="1">
            <w:r w:rsidRPr="000628A8">
              <w:rPr>
                <w:rStyle w:val="Hyperlink"/>
                <w:noProof/>
              </w:rPr>
              <w:t>4.</w:t>
            </w:r>
            <w:r>
              <w:rPr>
                <w:rFonts w:eastAsiaTheme="minorEastAsia"/>
                <w:noProof/>
              </w:rPr>
              <w:tab/>
            </w:r>
            <w:r w:rsidRPr="000628A8">
              <w:rPr>
                <w:rStyle w:val="Hyperlink"/>
                <w:noProof/>
              </w:rPr>
              <w:t>SWOT ANALYSIS</w:t>
            </w:r>
            <w:r>
              <w:rPr>
                <w:noProof/>
                <w:webHidden/>
              </w:rPr>
              <w:tab/>
            </w:r>
            <w:r>
              <w:rPr>
                <w:noProof/>
                <w:webHidden/>
              </w:rPr>
              <w:fldChar w:fldCharType="begin"/>
            </w:r>
            <w:r>
              <w:rPr>
                <w:noProof/>
                <w:webHidden/>
              </w:rPr>
              <w:instrText xml:space="preserve"> PAGEREF _Toc104544186 \h </w:instrText>
            </w:r>
            <w:r>
              <w:rPr>
                <w:noProof/>
                <w:webHidden/>
              </w:rPr>
            </w:r>
            <w:r>
              <w:rPr>
                <w:noProof/>
                <w:webHidden/>
              </w:rPr>
              <w:fldChar w:fldCharType="separate"/>
            </w:r>
            <w:r>
              <w:rPr>
                <w:noProof/>
                <w:webHidden/>
              </w:rPr>
              <w:t>59</w:t>
            </w:r>
            <w:r>
              <w:rPr>
                <w:noProof/>
                <w:webHidden/>
              </w:rPr>
              <w:fldChar w:fldCharType="end"/>
            </w:r>
          </w:hyperlink>
        </w:p>
        <w:p w14:paraId="6F575746" w14:textId="14AE27DA" w:rsidR="00193646" w:rsidRDefault="00193646">
          <w:pPr>
            <w:pStyle w:val="TOC1"/>
            <w:tabs>
              <w:tab w:val="left" w:pos="440"/>
              <w:tab w:val="right" w:leader="dot" w:pos="9017"/>
            </w:tabs>
            <w:rPr>
              <w:rFonts w:eastAsiaTheme="minorEastAsia"/>
              <w:noProof/>
            </w:rPr>
          </w:pPr>
          <w:hyperlink w:anchor="_Toc104544187" w:history="1">
            <w:r w:rsidRPr="000628A8">
              <w:rPr>
                <w:rStyle w:val="Hyperlink"/>
                <w:noProof/>
              </w:rPr>
              <w:t>5.</w:t>
            </w:r>
            <w:r>
              <w:rPr>
                <w:rFonts w:eastAsiaTheme="minorEastAsia"/>
                <w:noProof/>
              </w:rPr>
              <w:tab/>
            </w:r>
            <w:r w:rsidRPr="000628A8">
              <w:rPr>
                <w:rStyle w:val="Hyperlink"/>
                <w:noProof/>
              </w:rPr>
              <w:t>PESTLE ANALYSIS</w:t>
            </w:r>
            <w:r>
              <w:rPr>
                <w:noProof/>
                <w:webHidden/>
              </w:rPr>
              <w:tab/>
            </w:r>
            <w:r>
              <w:rPr>
                <w:noProof/>
                <w:webHidden/>
              </w:rPr>
              <w:fldChar w:fldCharType="begin"/>
            </w:r>
            <w:r>
              <w:rPr>
                <w:noProof/>
                <w:webHidden/>
              </w:rPr>
              <w:instrText xml:space="preserve"> PAGEREF _Toc104544187 \h </w:instrText>
            </w:r>
            <w:r>
              <w:rPr>
                <w:noProof/>
                <w:webHidden/>
              </w:rPr>
            </w:r>
            <w:r>
              <w:rPr>
                <w:noProof/>
                <w:webHidden/>
              </w:rPr>
              <w:fldChar w:fldCharType="separate"/>
            </w:r>
            <w:r>
              <w:rPr>
                <w:noProof/>
                <w:webHidden/>
              </w:rPr>
              <w:t>62</w:t>
            </w:r>
            <w:r>
              <w:rPr>
                <w:noProof/>
                <w:webHidden/>
              </w:rPr>
              <w:fldChar w:fldCharType="end"/>
            </w:r>
          </w:hyperlink>
        </w:p>
        <w:p w14:paraId="04BC0F0C" w14:textId="4E8D6BAC" w:rsidR="00193646" w:rsidRDefault="00193646">
          <w:pPr>
            <w:pStyle w:val="TOC1"/>
            <w:tabs>
              <w:tab w:val="left" w:pos="440"/>
              <w:tab w:val="right" w:leader="dot" w:pos="9017"/>
            </w:tabs>
            <w:rPr>
              <w:rFonts w:eastAsiaTheme="minorEastAsia"/>
              <w:noProof/>
            </w:rPr>
          </w:pPr>
          <w:hyperlink w:anchor="_Toc104544188" w:history="1">
            <w:r w:rsidRPr="000628A8">
              <w:rPr>
                <w:rStyle w:val="Hyperlink"/>
                <w:noProof/>
              </w:rPr>
              <w:t>6.</w:t>
            </w:r>
            <w:r>
              <w:rPr>
                <w:rFonts w:eastAsiaTheme="minorEastAsia"/>
                <w:noProof/>
              </w:rPr>
              <w:tab/>
            </w:r>
            <w:r w:rsidRPr="000628A8">
              <w:rPr>
                <w:rStyle w:val="Hyperlink"/>
                <w:noProof/>
              </w:rPr>
              <w:t>ANALYSIS OF PARTNERSHIPS IN TOURISM</w:t>
            </w:r>
            <w:r>
              <w:rPr>
                <w:noProof/>
                <w:webHidden/>
              </w:rPr>
              <w:tab/>
            </w:r>
            <w:r>
              <w:rPr>
                <w:noProof/>
                <w:webHidden/>
              </w:rPr>
              <w:fldChar w:fldCharType="begin"/>
            </w:r>
            <w:r>
              <w:rPr>
                <w:noProof/>
                <w:webHidden/>
              </w:rPr>
              <w:instrText xml:space="preserve"> PAGEREF _Toc104544188 \h </w:instrText>
            </w:r>
            <w:r>
              <w:rPr>
                <w:noProof/>
                <w:webHidden/>
              </w:rPr>
            </w:r>
            <w:r>
              <w:rPr>
                <w:noProof/>
                <w:webHidden/>
              </w:rPr>
              <w:fldChar w:fldCharType="separate"/>
            </w:r>
            <w:r>
              <w:rPr>
                <w:noProof/>
                <w:webHidden/>
              </w:rPr>
              <w:t>65</w:t>
            </w:r>
            <w:r>
              <w:rPr>
                <w:noProof/>
                <w:webHidden/>
              </w:rPr>
              <w:fldChar w:fldCharType="end"/>
            </w:r>
          </w:hyperlink>
        </w:p>
        <w:p w14:paraId="3D99E127" w14:textId="53C56169" w:rsidR="00193646" w:rsidRDefault="00193646">
          <w:pPr>
            <w:pStyle w:val="TOC1"/>
            <w:tabs>
              <w:tab w:val="left" w:pos="440"/>
              <w:tab w:val="right" w:leader="dot" w:pos="9017"/>
            </w:tabs>
            <w:rPr>
              <w:rFonts w:eastAsiaTheme="minorEastAsia"/>
              <w:noProof/>
            </w:rPr>
          </w:pPr>
          <w:hyperlink w:anchor="_Toc104544189" w:history="1">
            <w:r w:rsidRPr="000628A8">
              <w:rPr>
                <w:rStyle w:val="Hyperlink"/>
                <w:noProof/>
              </w:rPr>
              <w:t>7.</w:t>
            </w:r>
            <w:r>
              <w:rPr>
                <w:rFonts w:eastAsiaTheme="minorEastAsia"/>
                <w:noProof/>
              </w:rPr>
              <w:tab/>
            </w:r>
            <w:r w:rsidRPr="000628A8">
              <w:rPr>
                <w:rStyle w:val="Hyperlink"/>
                <w:noProof/>
              </w:rPr>
              <w:t>COMPARATIVE ANALYSIS OF TOURISM IN COMPETITIVE MARKETS</w:t>
            </w:r>
            <w:r>
              <w:rPr>
                <w:noProof/>
                <w:webHidden/>
              </w:rPr>
              <w:tab/>
            </w:r>
            <w:r>
              <w:rPr>
                <w:noProof/>
                <w:webHidden/>
              </w:rPr>
              <w:fldChar w:fldCharType="begin"/>
            </w:r>
            <w:r>
              <w:rPr>
                <w:noProof/>
                <w:webHidden/>
              </w:rPr>
              <w:instrText xml:space="preserve"> PAGEREF _Toc104544189 \h </w:instrText>
            </w:r>
            <w:r>
              <w:rPr>
                <w:noProof/>
                <w:webHidden/>
              </w:rPr>
            </w:r>
            <w:r>
              <w:rPr>
                <w:noProof/>
                <w:webHidden/>
              </w:rPr>
              <w:fldChar w:fldCharType="separate"/>
            </w:r>
            <w:r>
              <w:rPr>
                <w:noProof/>
                <w:webHidden/>
              </w:rPr>
              <w:t>67</w:t>
            </w:r>
            <w:r>
              <w:rPr>
                <w:noProof/>
                <w:webHidden/>
              </w:rPr>
              <w:fldChar w:fldCharType="end"/>
            </w:r>
          </w:hyperlink>
        </w:p>
        <w:p w14:paraId="535F6BEF" w14:textId="176D2C02" w:rsidR="00193646" w:rsidRDefault="00193646">
          <w:pPr>
            <w:pStyle w:val="TOC1"/>
            <w:tabs>
              <w:tab w:val="left" w:pos="440"/>
              <w:tab w:val="right" w:leader="dot" w:pos="9017"/>
            </w:tabs>
            <w:rPr>
              <w:rFonts w:eastAsiaTheme="minorEastAsia"/>
              <w:noProof/>
            </w:rPr>
          </w:pPr>
          <w:hyperlink w:anchor="_Toc104544190" w:history="1">
            <w:r w:rsidRPr="000628A8">
              <w:rPr>
                <w:rStyle w:val="Hyperlink"/>
                <w:noProof/>
              </w:rPr>
              <w:t>8.</w:t>
            </w:r>
            <w:r>
              <w:rPr>
                <w:rFonts w:eastAsiaTheme="minorEastAsia"/>
                <w:noProof/>
              </w:rPr>
              <w:tab/>
            </w:r>
            <w:r w:rsidRPr="000628A8">
              <w:rPr>
                <w:rStyle w:val="Hyperlink"/>
                <w:noProof/>
              </w:rPr>
              <w:t>PRIORITY EMITTING MARKETS</w:t>
            </w:r>
            <w:r>
              <w:rPr>
                <w:noProof/>
                <w:webHidden/>
              </w:rPr>
              <w:tab/>
            </w:r>
            <w:r>
              <w:rPr>
                <w:noProof/>
                <w:webHidden/>
              </w:rPr>
              <w:fldChar w:fldCharType="begin"/>
            </w:r>
            <w:r>
              <w:rPr>
                <w:noProof/>
                <w:webHidden/>
              </w:rPr>
              <w:instrText xml:space="preserve"> PAGEREF _Toc104544190 \h </w:instrText>
            </w:r>
            <w:r>
              <w:rPr>
                <w:noProof/>
                <w:webHidden/>
              </w:rPr>
            </w:r>
            <w:r>
              <w:rPr>
                <w:noProof/>
                <w:webHidden/>
              </w:rPr>
              <w:fldChar w:fldCharType="separate"/>
            </w:r>
            <w:r>
              <w:rPr>
                <w:noProof/>
                <w:webHidden/>
              </w:rPr>
              <w:t>73</w:t>
            </w:r>
            <w:r>
              <w:rPr>
                <w:noProof/>
                <w:webHidden/>
              </w:rPr>
              <w:fldChar w:fldCharType="end"/>
            </w:r>
          </w:hyperlink>
        </w:p>
        <w:p w14:paraId="0EBC96B4" w14:textId="413DC0EC" w:rsidR="00193646" w:rsidRDefault="00193646">
          <w:pPr>
            <w:pStyle w:val="TOC1"/>
            <w:tabs>
              <w:tab w:val="left" w:pos="440"/>
              <w:tab w:val="right" w:leader="dot" w:pos="9017"/>
            </w:tabs>
            <w:rPr>
              <w:rFonts w:eastAsiaTheme="minorEastAsia"/>
              <w:noProof/>
            </w:rPr>
          </w:pPr>
          <w:hyperlink w:anchor="_Toc104544191" w:history="1">
            <w:r w:rsidRPr="000628A8">
              <w:rPr>
                <w:rStyle w:val="Hyperlink"/>
                <w:noProof/>
              </w:rPr>
              <w:t>9.</w:t>
            </w:r>
            <w:r>
              <w:rPr>
                <w:rFonts w:eastAsiaTheme="minorEastAsia"/>
                <w:noProof/>
              </w:rPr>
              <w:tab/>
            </w:r>
            <w:r w:rsidRPr="000628A8">
              <w:rPr>
                <w:rStyle w:val="Hyperlink"/>
                <w:noProof/>
              </w:rPr>
              <w:t>PROBLEM TREE</w:t>
            </w:r>
            <w:r>
              <w:rPr>
                <w:noProof/>
                <w:webHidden/>
              </w:rPr>
              <w:tab/>
            </w:r>
            <w:r>
              <w:rPr>
                <w:noProof/>
                <w:webHidden/>
              </w:rPr>
              <w:fldChar w:fldCharType="begin"/>
            </w:r>
            <w:r>
              <w:rPr>
                <w:noProof/>
                <w:webHidden/>
              </w:rPr>
              <w:instrText xml:space="preserve"> PAGEREF _Toc104544191 \h </w:instrText>
            </w:r>
            <w:r>
              <w:rPr>
                <w:noProof/>
                <w:webHidden/>
              </w:rPr>
            </w:r>
            <w:r>
              <w:rPr>
                <w:noProof/>
                <w:webHidden/>
              </w:rPr>
              <w:fldChar w:fldCharType="separate"/>
            </w:r>
            <w:r>
              <w:rPr>
                <w:noProof/>
                <w:webHidden/>
              </w:rPr>
              <w:t>77</w:t>
            </w:r>
            <w:r>
              <w:rPr>
                <w:noProof/>
                <w:webHidden/>
              </w:rPr>
              <w:fldChar w:fldCharType="end"/>
            </w:r>
          </w:hyperlink>
        </w:p>
        <w:p w14:paraId="73EE39ED" w14:textId="4EA228ED" w:rsidR="00193646" w:rsidRDefault="00193646">
          <w:pPr>
            <w:pStyle w:val="TOC1"/>
            <w:tabs>
              <w:tab w:val="left" w:pos="660"/>
              <w:tab w:val="right" w:leader="dot" w:pos="9017"/>
            </w:tabs>
            <w:rPr>
              <w:rFonts w:eastAsiaTheme="minorEastAsia"/>
              <w:noProof/>
            </w:rPr>
          </w:pPr>
          <w:hyperlink w:anchor="_Toc104544192" w:history="1">
            <w:r w:rsidRPr="000628A8">
              <w:rPr>
                <w:rStyle w:val="Hyperlink"/>
                <w:noProof/>
                <w:lang w:eastAsia="hr-HR"/>
              </w:rPr>
              <w:t>10.</w:t>
            </w:r>
            <w:r>
              <w:rPr>
                <w:rFonts w:eastAsiaTheme="minorEastAsia"/>
                <w:noProof/>
              </w:rPr>
              <w:tab/>
            </w:r>
            <w:r w:rsidRPr="000628A8">
              <w:rPr>
                <w:rStyle w:val="Hyperlink"/>
                <w:noProof/>
                <w:lang w:eastAsia="hr-HR"/>
              </w:rPr>
              <w:t>VISION, MISSION, CREDO</w:t>
            </w:r>
            <w:r>
              <w:rPr>
                <w:noProof/>
                <w:webHidden/>
              </w:rPr>
              <w:tab/>
            </w:r>
            <w:r>
              <w:rPr>
                <w:noProof/>
                <w:webHidden/>
              </w:rPr>
              <w:fldChar w:fldCharType="begin"/>
            </w:r>
            <w:r>
              <w:rPr>
                <w:noProof/>
                <w:webHidden/>
              </w:rPr>
              <w:instrText xml:space="preserve"> PAGEREF _Toc104544192 \h </w:instrText>
            </w:r>
            <w:r>
              <w:rPr>
                <w:noProof/>
                <w:webHidden/>
              </w:rPr>
            </w:r>
            <w:r>
              <w:rPr>
                <w:noProof/>
                <w:webHidden/>
              </w:rPr>
              <w:fldChar w:fldCharType="separate"/>
            </w:r>
            <w:r>
              <w:rPr>
                <w:noProof/>
                <w:webHidden/>
              </w:rPr>
              <w:t>79</w:t>
            </w:r>
            <w:r>
              <w:rPr>
                <w:noProof/>
                <w:webHidden/>
              </w:rPr>
              <w:fldChar w:fldCharType="end"/>
            </w:r>
          </w:hyperlink>
        </w:p>
        <w:p w14:paraId="15311E54" w14:textId="7E01FEF3" w:rsidR="00193646" w:rsidRDefault="00193646">
          <w:pPr>
            <w:pStyle w:val="TOC1"/>
            <w:tabs>
              <w:tab w:val="left" w:pos="660"/>
              <w:tab w:val="right" w:leader="dot" w:pos="9017"/>
            </w:tabs>
            <w:rPr>
              <w:rFonts w:eastAsiaTheme="minorEastAsia"/>
              <w:noProof/>
            </w:rPr>
          </w:pPr>
          <w:hyperlink w:anchor="_Toc104544193" w:history="1">
            <w:r w:rsidRPr="000628A8">
              <w:rPr>
                <w:rStyle w:val="Hyperlink"/>
                <w:noProof/>
                <w:lang w:eastAsia="hr-HR"/>
              </w:rPr>
              <w:t>11.</w:t>
            </w:r>
            <w:r>
              <w:rPr>
                <w:rFonts w:eastAsiaTheme="minorEastAsia"/>
                <w:noProof/>
              </w:rPr>
              <w:tab/>
            </w:r>
            <w:r w:rsidRPr="000628A8">
              <w:rPr>
                <w:rStyle w:val="Hyperlink"/>
                <w:noProof/>
                <w:lang w:eastAsia="hr-HR"/>
              </w:rPr>
              <w:t>MODERN DIRECTIONS OF TOURISM DEVELOPMENT</w:t>
            </w:r>
            <w:r>
              <w:rPr>
                <w:noProof/>
                <w:webHidden/>
              </w:rPr>
              <w:tab/>
            </w:r>
            <w:r>
              <w:rPr>
                <w:noProof/>
                <w:webHidden/>
              </w:rPr>
              <w:fldChar w:fldCharType="begin"/>
            </w:r>
            <w:r>
              <w:rPr>
                <w:noProof/>
                <w:webHidden/>
              </w:rPr>
              <w:instrText xml:space="preserve"> PAGEREF _Toc104544193 \h </w:instrText>
            </w:r>
            <w:r>
              <w:rPr>
                <w:noProof/>
                <w:webHidden/>
              </w:rPr>
            </w:r>
            <w:r>
              <w:rPr>
                <w:noProof/>
                <w:webHidden/>
              </w:rPr>
              <w:fldChar w:fldCharType="separate"/>
            </w:r>
            <w:r>
              <w:rPr>
                <w:noProof/>
                <w:webHidden/>
              </w:rPr>
              <w:t>81</w:t>
            </w:r>
            <w:r>
              <w:rPr>
                <w:noProof/>
                <w:webHidden/>
              </w:rPr>
              <w:fldChar w:fldCharType="end"/>
            </w:r>
          </w:hyperlink>
        </w:p>
        <w:p w14:paraId="18653F48" w14:textId="5F13675A" w:rsidR="00193646" w:rsidRDefault="00193646">
          <w:pPr>
            <w:pStyle w:val="TOC2"/>
            <w:rPr>
              <w:rFonts w:eastAsiaTheme="minorEastAsia" w:cstheme="minorBidi"/>
              <w:b w:val="0"/>
              <w:bCs w:val="0"/>
            </w:rPr>
          </w:pPr>
          <w:hyperlink w:anchor="_Toc104544194" w:history="1">
            <w:r w:rsidRPr="000628A8">
              <w:rPr>
                <w:rStyle w:val="Hyperlink"/>
              </w:rPr>
              <w:t>11.1. Sustainable tourism</w:t>
            </w:r>
            <w:r>
              <w:rPr>
                <w:webHidden/>
              </w:rPr>
              <w:tab/>
            </w:r>
            <w:r>
              <w:rPr>
                <w:webHidden/>
              </w:rPr>
              <w:fldChar w:fldCharType="begin"/>
            </w:r>
            <w:r>
              <w:rPr>
                <w:webHidden/>
              </w:rPr>
              <w:instrText xml:space="preserve"> PAGEREF _Toc104544194 \h </w:instrText>
            </w:r>
            <w:r>
              <w:rPr>
                <w:webHidden/>
              </w:rPr>
            </w:r>
            <w:r>
              <w:rPr>
                <w:webHidden/>
              </w:rPr>
              <w:fldChar w:fldCharType="separate"/>
            </w:r>
            <w:r>
              <w:rPr>
                <w:webHidden/>
              </w:rPr>
              <w:t>81</w:t>
            </w:r>
            <w:r>
              <w:rPr>
                <w:webHidden/>
              </w:rPr>
              <w:fldChar w:fldCharType="end"/>
            </w:r>
          </w:hyperlink>
        </w:p>
        <w:p w14:paraId="7F395A8F" w14:textId="0B12C8C7" w:rsidR="00193646" w:rsidRDefault="00193646">
          <w:pPr>
            <w:pStyle w:val="TOC2"/>
            <w:rPr>
              <w:rFonts w:eastAsiaTheme="minorEastAsia" w:cstheme="minorBidi"/>
              <w:b w:val="0"/>
              <w:bCs w:val="0"/>
            </w:rPr>
          </w:pPr>
          <w:hyperlink w:anchor="_Toc104544195" w:history="1">
            <w:r w:rsidRPr="000628A8">
              <w:rPr>
                <w:rStyle w:val="Hyperlink"/>
              </w:rPr>
              <w:t>11.2. Inclusive tourism</w:t>
            </w:r>
            <w:r>
              <w:rPr>
                <w:webHidden/>
              </w:rPr>
              <w:tab/>
            </w:r>
            <w:r>
              <w:rPr>
                <w:webHidden/>
              </w:rPr>
              <w:fldChar w:fldCharType="begin"/>
            </w:r>
            <w:r>
              <w:rPr>
                <w:webHidden/>
              </w:rPr>
              <w:instrText xml:space="preserve"> PAGEREF _Toc104544195 \h </w:instrText>
            </w:r>
            <w:r>
              <w:rPr>
                <w:webHidden/>
              </w:rPr>
            </w:r>
            <w:r>
              <w:rPr>
                <w:webHidden/>
              </w:rPr>
              <w:fldChar w:fldCharType="separate"/>
            </w:r>
            <w:r>
              <w:rPr>
                <w:webHidden/>
              </w:rPr>
              <w:t>82</w:t>
            </w:r>
            <w:r>
              <w:rPr>
                <w:webHidden/>
              </w:rPr>
              <w:fldChar w:fldCharType="end"/>
            </w:r>
          </w:hyperlink>
        </w:p>
        <w:p w14:paraId="565422FF" w14:textId="70BE815B" w:rsidR="00193646" w:rsidRDefault="00193646">
          <w:pPr>
            <w:pStyle w:val="TOC2"/>
            <w:rPr>
              <w:rFonts w:eastAsiaTheme="minorEastAsia" w:cstheme="minorBidi"/>
              <w:b w:val="0"/>
              <w:bCs w:val="0"/>
            </w:rPr>
          </w:pPr>
          <w:hyperlink w:anchor="_Toc104544196" w:history="1">
            <w:r w:rsidRPr="000628A8">
              <w:rPr>
                <w:rStyle w:val="Hyperlink"/>
              </w:rPr>
              <w:t>11.3. Smart tourism</w:t>
            </w:r>
            <w:r>
              <w:rPr>
                <w:webHidden/>
              </w:rPr>
              <w:tab/>
            </w:r>
            <w:r>
              <w:rPr>
                <w:webHidden/>
              </w:rPr>
              <w:fldChar w:fldCharType="begin"/>
            </w:r>
            <w:r>
              <w:rPr>
                <w:webHidden/>
              </w:rPr>
              <w:instrText xml:space="preserve"> PAGEREF _Toc104544196 \h </w:instrText>
            </w:r>
            <w:r>
              <w:rPr>
                <w:webHidden/>
              </w:rPr>
            </w:r>
            <w:r>
              <w:rPr>
                <w:webHidden/>
              </w:rPr>
              <w:fldChar w:fldCharType="separate"/>
            </w:r>
            <w:r>
              <w:rPr>
                <w:webHidden/>
              </w:rPr>
              <w:t>83</w:t>
            </w:r>
            <w:r>
              <w:rPr>
                <w:webHidden/>
              </w:rPr>
              <w:fldChar w:fldCharType="end"/>
            </w:r>
          </w:hyperlink>
        </w:p>
        <w:p w14:paraId="74CF84FF" w14:textId="5FE98272" w:rsidR="00193646" w:rsidRDefault="00193646">
          <w:pPr>
            <w:pStyle w:val="TOC2"/>
            <w:rPr>
              <w:rFonts w:eastAsiaTheme="minorEastAsia" w:cstheme="minorBidi"/>
              <w:b w:val="0"/>
              <w:bCs w:val="0"/>
            </w:rPr>
          </w:pPr>
          <w:hyperlink w:anchor="_Toc104544197" w:history="1">
            <w:r w:rsidRPr="000628A8">
              <w:rPr>
                <w:rStyle w:val="Hyperlink"/>
              </w:rPr>
              <w:t>11.4. Green and responsible tourism</w:t>
            </w:r>
            <w:r>
              <w:rPr>
                <w:webHidden/>
              </w:rPr>
              <w:tab/>
            </w:r>
            <w:r>
              <w:rPr>
                <w:webHidden/>
              </w:rPr>
              <w:fldChar w:fldCharType="begin"/>
            </w:r>
            <w:r>
              <w:rPr>
                <w:webHidden/>
              </w:rPr>
              <w:instrText xml:space="preserve"> PAGEREF _Toc104544197 \h </w:instrText>
            </w:r>
            <w:r>
              <w:rPr>
                <w:webHidden/>
              </w:rPr>
            </w:r>
            <w:r>
              <w:rPr>
                <w:webHidden/>
              </w:rPr>
              <w:fldChar w:fldCharType="separate"/>
            </w:r>
            <w:r>
              <w:rPr>
                <w:webHidden/>
              </w:rPr>
              <w:t>84</w:t>
            </w:r>
            <w:r>
              <w:rPr>
                <w:webHidden/>
              </w:rPr>
              <w:fldChar w:fldCharType="end"/>
            </w:r>
          </w:hyperlink>
        </w:p>
        <w:p w14:paraId="582E2E36" w14:textId="1CC12CBB" w:rsidR="00193646" w:rsidRDefault="00193646">
          <w:pPr>
            <w:pStyle w:val="TOC3"/>
            <w:tabs>
              <w:tab w:val="right" w:leader="dot" w:pos="9017"/>
            </w:tabs>
            <w:rPr>
              <w:rFonts w:eastAsiaTheme="minorEastAsia"/>
              <w:noProof/>
            </w:rPr>
          </w:pPr>
          <w:hyperlink w:anchor="_Toc104544198" w:history="1">
            <w:r w:rsidRPr="000628A8">
              <w:rPr>
                <w:rStyle w:val="Hyperlink"/>
                <w:b/>
                <w:noProof/>
              </w:rPr>
              <w:t>11.4.1. National Certificate for Responsible Tourism</w:t>
            </w:r>
            <w:r>
              <w:rPr>
                <w:noProof/>
                <w:webHidden/>
              </w:rPr>
              <w:tab/>
            </w:r>
            <w:r>
              <w:rPr>
                <w:noProof/>
                <w:webHidden/>
              </w:rPr>
              <w:fldChar w:fldCharType="begin"/>
            </w:r>
            <w:r>
              <w:rPr>
                <w:noProof/>
                <w:webHidden/>
              </w:rPr>
              <w:instrText xml:space="preserve"> PAGEREF _Toc104544198 \h </w:instrText>
            </w:r>
            <w:r>
              <w:rPr>
                <w:noProof/>
                <w:webHidden/>
              </w:rPr>
            </w:r>
            <w:r>
              <w:rPr>
                <w:noProof/>
                <w:webHidden/>
              </w:rPr>
              <w:fldChar w:fldCharType="separate"/>
            </w:r>
            <w:r>
              <w:rPr>
                <w:noProof/>
                <w:webHidden/>
              </w:rPr>
              <w:t>84</w:t>
            </w:r>
            <w:r>
              <w:rPr>
                <w:noProof/>
                <w:webHidden/>
              </w:rPr>
              <w:fldChar w:fldCharType="end"/>
            </w:r>
          </w:hyperlink>
        </w:p>
        <w:p w14:paraId="7EAFA5F4" w14:textId="0A3EFF28" w:rsidR="00193646" w:rsidRDefault="00193646">
          <w:pPr>
            <w:pStyle w:val="TOC3"/>
            <w:tabs>
              <w:tab w:val="right" w:leader="dot" w:pos="9017"/>
            </w:tabs>
            <w:rPr>
              <w:rFonts w:eastAsiaTheme="minorEastAsia"/>
              <w:noProof/>
            </w:rPr>
          </w:pPr>
          <w:hyperlink w:anchor="_Toc104544199" w:history="1">
            <w:r w:rsidRPr="000628A8">
              <w:rPr>
                <w:rStyle w:val="Hyperlink"/>
                <w:b/>
                <w:noProof/>
              </w:rPr>
              <w:t>11.4.2. Climate change</w:t>
            </w:r>
            <w:r>
              <w:rPr>
                <w:noProof/>
                <w:webHidden/>
              </w:rPr>
              <w:tab/>
            </w:r>
            <w:r>
              <w:rPr>
                <w:noProof/>
                <w:webHidden/>
              </w:rPr>
              <w:fldChar w:fldCharType="begin"/>
            </w:r>
            <w:r>
              <w:rPr>
                <w:noProof/>
                <w:webHidden/>
              </w:rPr>
              <w:instrText xml:space="preserve"> PAGEREF _Toc104544199 \h </w:instrText>
            </w:r>
            <w:r>
              <w:rPr>
                <w:noProof/>
                <w:webHidden/>
              </w:rPr>
            </w:r>
            <w:r>
              <w:rPr>
                <w:noProof/>
                <w:webHidden/>
              </w:rPr>
              <w:fldChar w:fldCharType="separate"/>
            </w:r>
            <w:r>
              <w:rPr>
                <w:noProof/>
                <w:webHidden/>
              </w:rPr>
              <w:t>85</w:t>
            </w:r>
            <w:r>
              <w:rPr>
                <w:noProof/>
                <w:webHidden/>
              </w:rPr>
              <w:fldChar w:fldCharType="end"/>
            </w:r>
          </w:hyperlink>
        </w:p>
        <w:p w14:paraId="337E87C3" w14:textId="4FDD66AB" w:rsidR="00193646" w:rsidRDefault="00193646">
          <w:pPr>
            <w:pStyle w:val="TOC3"/>
            <w:tabs>
              <w:tab w:val="right" w:leader="dot" w:pos="9017"/>
            </w:tabs>
            <w:rPr>
              <w:rFonts w:eastAsiaTheme="minorEastAsia"/>
              <w:noProof/>
            </w:rPr>
          </w:pPr>
          <w:hyperlink w:anchor="_Toc104544200" w:history="1">
            <w:r w:rsidRPr="000628A8">
              <w:rPr>
                <w:rStyle w:val="Hyperlink"/>
                <w:b/>
                <w:noProof/>
              </w:rPr>
              <w:t>11.4.3. E - mobility</w:t>
            </w:r>
            <w:r>
              <w:rPr>
                <w:noProof/>
                <w:webHidden/>
              </w:rPr>
              <w:tab/>
            </w:r>
            <w:r>
              <w:rPr>
                <w:noProof/>
                <w:webHidden/>
              </w:rPr>
              <w:fldChar w:fldCharType="begin"/>
            </w:r>
            <w:r>
              <w:rPr>
                <w:noProof/>
                <w:webHidden/>
              </w:rPr>
              <w:instrText xml:space="preserve"> PAGEREF _Toc104544200 \h </w:instrText>
            </w:r>
            <w:r>
              <w:rPr>
                <w:noProof/>
                <w:webHidden/>
              </w:rPr>
            </w:r>
            <w:r>
              <w:rPr>
                <w:noProof/>
                <w:webHidden/>
              </w:rPr>
              <w:fldChar w:fldCharType="separate"/>
            </w:r>
            <w:r>
              <w:rPr>
                <w:noProof/>
                <w:webHidden/>
              </w:rPr>
              <w:t>86</w:t>
            </w:r>
            <w:r>
              <w:rPr>
                <w:noProof/>
                <w:webHidden/>
              </w:rPr>
              <w:fldChar w:fldCharType="end"/>
            </w:r>
          </w:hyperlink>
        </w:p>
        <w:p w14:paraId="182B2314" w14:textId="179E95DE" w:rsidR="00193646" w:rsidRDefault="00193646">
          <w:pPr>
            <w:pStyle w:val="TOC3"/>
            <w:tabs>
              <w:tab w:val="right" w:leader="dot" w:pos="9017"/>
            </w:tabs>
            <w:rPr>
              <w:rFonts w:eastAsiaTheme="minorEastAsia"/>
              <w:noProof/>
            </w:rPr>
          </w:pPr>
          <w:hyperlink w:anchor="_Toc104544201" w:history="1">
            <w:r w:rsidRPr="000628A8">
              <w:rPr>
                <w:rStyle w:val="Hyperlink"/>
                <w:b/>
                <w:noProof/>
                <w:lang w:eastAsia="hr-HR"/>
              </w:rPr>
              <w:t>11.4.4. Certification in tourism</w:t>
            </w:r>
            <w:r>
              <w:rPr>
                <w:noProof/>
                <w:webHidden/>
              </w:rPr>
              <w:tab/>
            </w:r>
            <w:r>
              <w:rPr>
                <w:noProof/>
                <w:webHidden/>
              </w:rPr>
              <w:fldChar w:fldCharType="begin"/>
            </w:r>
            <w:r>
              <w:rPr>
                <w:noProof/>
                <w:webHidden/>
              </w:rPr>
              <w:instrText xml:space="preserve"> PAGEREF _Toc104544201 \h </w:instrText>
            </w:r>
            <w:r>
              <w:rPr>
                <w:noProof/>
                <w:webHidden/>
              </w:rPr>
            </w:r>
            <w:r>
              <w:rPr>
                <w:noProof/>
                <w:webHidden/>
              </w:rPr>
              <w:fldChar w:fldCharType="separate"/>
            </w:r>
            <w:r>
              <w:rPr>
                <w:noProof/>
                <w:webHidden/>
              </w:rPr>
              <w:t>87</w:t>
            </w:r>
            <w:r>
              <w:rPr>
                <w:noProof/>
                <w:webHidden/>
              </w:rPr>
              <w:fldChar w:fldCharType="end"/>
            </w:r>
          </w:hyperlink>
        </w:p>
        <w:p w14:paraId="49ED6492" w14:textId="7D10A6D7" w:rsidR="00193646" w:rsidRDefault="00193646">
          <w:pPr>
            <w:pStyle w:val="TOC1"/>
            <w:tabs>
              <w:tab w:val="right" w:leader="dot" w:pos="9017"/>
            </w:tabs>
            <w:rPr>
              <w:rFonts w:eastAsiaTheme="minorEastAsia"/>
              <w:noProof/>
            </w:rPr>
          </w:pPr>
          <w:hyperlink w:anchor="_Toc104544202" w:history="1">
            <w:r w:rsidRPr="000628A8">
              <w:rPr>
                <w:rStyle w:val="Hyperlink"/>
                <w:noProof/>
              </w:rPr>
              <w:t>12. GOALS OF TOURISM DEVELOPMENT IN MONTENEGRO</w:t>
            </w:r>
            <w:r>
              <w:rPr>
                <w:noProof/>
                <w:webHidden/>
              </w:rPr>
              <w:tab/>
            </w:r>
            <w:r>
              <w:rPr>
                <w:noProof/>
                <w:webHidden/>
              </w:rPr>
              <w:fldChar w:fldCharType="begin"/>
            </w:r>
            <w:r>
              <w:rPr>
                <w:noProof/>
                <w:webHidden/>
              </w:rPr>
              <w:instrText xml:space="preserve"> PAGEREF _Toc104544202 \h </w:instrText>
            </w:r>
            <w:r>
              <w:rPr>
                <w:noProof/>
                <w:webHidden/>
              </w:rPr>
            </w:r>
            <w:r>
              <w:rPr>
                <w:noProof/>
                <w:webHidden/>
              </w:rPr>
              <w:fldChar w:fldCharType="separate"/>
            </w:r>
            <w:r>
              <w:rPr>
                <w:noProof/>
                <w:webHidden/>
              </w:rPr>
              <w:t>90</w:t>
            </w:r>
            <w:r>
              <w:rPr>
                <w:noProof/>
                <w:webHidden/>
              </w:rPr>
              <w:fldChar w:fldCharType="end"/>
            </w:r>
          </w:hyperlink>
        </w:p>
        <w:p w14:paraId="3338189F" w14:textId="1EC9D4B9" w:rsidR="00193646" w:rsidRDefault="00193646">
          <w:pPr>
            <w:pStyle w:val="TOC2"/>
            <w:rPr>
              <w:rFonts w:eastAsiaTheme="minorEastAsia" w:cstheme="minorBidi"/>
              <w:b w:val="0"/>
              <w:bCs w:val="0"/>
            </w:rPr>
          </w:pPr>
          <w:hyperlink w:anchor="_Toc104544203" w:history="1">
            <w:r w:rsidRPr="000628A8">
              <w:rPr>
                <w:rStyle w:val="Hyperlink"/>
                <w:rFonts w:eastAsia="Calibri"/>
              </w:rPr>
              <w:t>12.1. Projections for the development of accommodation capacities and the workforce</w:t>
            </w:r>
            <w:r>
              <w:rPr>
                <w:webHidden/>
              </w:rPr>
              <w:tab/>
            </w:r>
            <w:r>
              <w:rPr>
                <w:webHidden/>
              </w:rPr>
              <w:fldChar w:fldCharType="begin"/>
            </w:r>
            <w:r>
              <w:rPr>
                <w:webHidden/>
              </w:rPr>
              <w:instrText xml:space="preserve"> PAGEREF _Toc104544203 \h </w:instrText>
            </w:r>
            <w:r>
              <w:rPr>
                <w:webHidden/>
              </w:rPr>
            </w:r>
            <w:r>
              <w:rPr>
                <w:webHidden/>
              </w:rPr>
              <w:fldChar w:fldCharType="separate"/>
            </w:r>
            <w:r>
              <w:rPr>
                <w:webHidden/>
              </w:rPr>
              <w:t>90</w:t>
            </w:r>
            <w:r>
              <w:rPr>
                <w:webHidden/>
              </w:rPr>
              <w:fldChar w:fldCharType="end"/>
            </w:r>
          </w:hyperlink>
        </w:p>
        <w:p w14:paraId="0A154E9A" w14:textId="6F1F797F" w:rsidR="00193646" w:rsidRDefault="00193646">
          <w:pPr>
            <w:pStyle w:val="TOC1"/>
            <w:tabs>
              <w:tab w:val="right" w:leader="dot" w:pos="9017"/>
            </w:tabs>
            <w:rPr>
              <w:rFonts w:eastAsiaTheme="minorEastAsia"/>
              <w:noProof/>
            </w:rPr>
          </w:pPr>
          <w:hyperlink w:anchor="_Toc104544204" w:history="1">
            <w:r w:rsidRPr="000628A8">
              <w:rPr>
                <w:rStyle w:val="Hyperlink"/>
                <w:rFonts w:eastAsia="Calibri"/>
                <w:noProof/>
              </w:rPr>
              <w:t>13. SOLUTION TREE</w:t>
            </w:r>
            <w:r>
              <w:rPr>
                <w:noProof/>
                <w:webHidden/>
              </w:rPr>
              <w:tab/>
            </w:r>
            <w:r>
              <w:rPr>
                <w:noProof/>
                <w:webHidden/>
              </w:rPr>
              <w:fldChar w:fldCharType="begin"/>
            </w:r>
            <w:r>
              <w:rPr>
                <w:noProof/>
                <w:webHidden/>
              </w:rPr>
              <w:instrText xml:space="preserve"> PAGEREF _Toc104544204 \h </w:instrText>
            </w:r>
            <w:r>
              <w:rPr>
                <w:noProof/>
                <w:webHidden/>
              </w:rPr>
            </w:r>
            <w:r>
              <w:rPr>
                <w:noProof/>
                <w:webHidden/>
              </w:rPr>
              <w:fldChar w:fldCharType="separate"/>
            </w:r>
            <w:r>
              <w:rPr>
                <w:noProof/>
                <w:webHidden/>
              </w:rPr>
              <w:t>97</w:t>
            </w:r>
            <w:r>
              <w:rPr>
                <w:noProof/>
                <w:webHidden/>
              </w:rPr>
              <w:fldChar w:fldCharType="end"/>
            </w:r>
          </w:hyperlink>
        </w:p>
        <w:p w14:paraId="6E751E51" w14:textId="78700BAD" w:rsidR="00193646" w:rsidRDefault="00193646">
          <w:pPr>
            <w:pStyle w:val="TOC1"/>
            <w:tabs>
              <w:tab w:val="left" w:pos="660"/>
              <w:tab w:val="right" w:leader="dot" w:pos="9017"/>
            </w:tabs>
            <w:rPr>
              <w:rFonts w:eastAsiaTheme="minorEastAsia"/>
              <w:noProof/>
            </w:rPr>
          </w:pPr>
          <w:hyperlink w:anchor="_Toc104544205" w:history="1">
            <w:r w:rsidRPr="000628A8">
              <w:rPr>
                <w:rStyle w:val="Hyperlink"/>
                <w:noProof/>
              </w:rPr>
              <w:t>14.</w:t>
            </w:r>
            <w:r>
              <w:rPr>
                <w:rFonts w:eastAsiaTheme="minorEastAsia"/>
                <w:noProof/>
              </w:rPr>
              <w:tab/>
            </w:r>
            <w:r w:rsidRPr="000628A8">
              <w:rPr>
                <w:rStyle w:val="Hyperlink"/>
                <w:noProof/>
              </w:rPr>
              <w:t>STRATEGIC AND OPERATIONAL GOALS IN TOURISM</w:t>
            </w:r>
            <w:r>
              <w:rPr>
                <w:noProof/>
                <w:webHidden/>
              </w:rPr>
              <w:tab/>
            </w:r>
            <w:r>
              <w:rPr>
                <w:noProof/>
                <w:webHidden/>
              </w:rPr>
              <w:fldChar w:fldCharType="begin"/>
            </w:r>
            <w:r>
              <w:rPr>
                <w:noProof/>
                <w:webHidden/>
              </w:rPr>
              <w:instrText xml:space="preserve"> PAGEREF _Toc104544205 \h </w:instrText>
            </w:r>
            <w:r>
              <w:rPr>
                <w:noProof/>
                <w:webHidden/>
              </w:rPr>
            </w:r>
            <w:r>
              <w:rPr>
                <w:noProof/>
                <w:webHidden/>
              </w:rPr>
              <w:fldChar w:fldCharType="separate"/>
            </w:r>
            <w:r>
              <w:rPr>
                <w:noProof/>
                <w:webHidden/>
              </w:rPr>
              <w:t>100</w:t>
            </w:r>
            <w:r>
              <w:rPr>
                <w:noProof/>
                <w:webHidden/>
              </w:rPr>
              <w:fldChar w:fldCharType="end"/>
            </w:r>
          </w:hyperlink>
        </w:p>
        <w:p w14:paraId="1E19085B" w14:textId="22DB0D4B" w:rsidR="00193646" w:rsidRDefault="00193646">
          <w:pPr>
            <w:pStyle w:val="TOC2"/>
            <w:rPr>
              <w:rFonts w:eastAsiaTheme="minorEastAsia" w:cstheme="minorBidi"/>
              <w:b w:val="0"/>
              <w:bCs w:val="0"/>
            </w:rPr>
          </w:pPr>
          <w:hyperlink w:anchor="_Toc104544206" w:history="1">
            <w:r w:rsidRPr="000628A8">
              <w:rPr>
                <w:rStyle w:val="Hyperlink"/>
                <w:lang w:eastAsia="hr-HR"/>
              </w:rPr>
              <w:t>14.1. Operational goal 1 - Improved regulatory framework in tourism with formalization of tourism turnover</w:t>
            </w:r>
            <w:r>
              <w:rPr>
                <w:webHidden/>
              </w:rPr>
              <w:tab/>
            </w:r>
            <w:r>
              <w:rPr>
                <w:webHidden/>
              </w:rPr>
              <w:fldChar w:fldCharType="begin"/>
            </w:r>
            <w:r>
              <w:rPr>
                <w:webHidden/>
              </w:rPr>
              <w:instrText xml:space="preserve"> PAGEREF _Toc104544206 \h </w:instrText>
            </w:r>
            <w:r>
              <w:rPr>
                <w:webHidden/>
              </w:rPr>
            </w:r>
            <w:r>
              <w:rPr>
                <w:webHidden/>
              </w:rPr>
              <w:fldChar w:fldCharType="separate"/>
            </w:r>
            <w:r>
              <w:rPr>
                <w:webHidden/>
              </w:rPr>
              <w:t>101</w:t>
            </w:r>
            <w:r>
              <w:rPr>
                <w:webHidden/>
              </w:rPr>
              <w:fldChar w:fldCharType="end"/>
            </w:r>
          </w:hyperlink>
        </w:p>
        <w:p w14:paraId="41625982" w14:textId="28847F55" w:rsidR="00193646" w:rsidRDefault="00193646">
          <w:pPr>
            <w:pStyle w:val="TOC2"/>
            <w:rPr>
              <w:rFonts w:eastAsiaTheme="minorEastAsia" w:cstheme="minorBidi"/>
              <w:b w:val="0"/>
              <w:bCs w:val="0"/>
            </w:rPr>
          </w:pPr>
          <w:hyperlink w:anchor="_Toc104544207" w:history="1">
            <w:r w:rsidRPr="000628A8">
              <w:rPr>
                <w:rStyle w:val="Hyperlink"/>
              </w:rPr>
              <w:t>14.2. Operational goal 2 - Improved tourism infrastructure and supporting infra and supra structure</w:t>
            </w:r>
            <w:r>
              <w:rPr>
                <w:webHidden/>
              </w:rPr>
              <w:tab/>
            </w:r>
            <w:r>
              <w:rPr>
                <w:webHidden/>
              </w:rPr>
              <w:fldChar w:fldCharType="begin"/>
            </w:r>
            <w:r>
              <w:rPr>
                <w:webHidden/>
              </w:rPr>
              <w:instrText xml:space="preserve"> PAGEREF _Toc104544207 \h </w:instrText>
            </w:r>
            <w:r>
              <w:rPr>
                <w:webHidden/>
              </w:rPr>
            </w:r>
            <w:r>
              <w:rPr>
                <w:webHidden/>
              </w:rPr>
              <w:fldChar w:fldCharType="separate"/>
            </w:r>
            <w:r>
              <w:rPr>
                <w:webHidden/>
              </w:rPr>
              <w:t>101</w:t>
            </w:r>
            <w:r>
              <w:rPr>
                <w:webHidden/>
              </w:rPr>
              <w:fldChar w:fldCharType="end"/>
            </w:r>
          </w:hyperlink>
        </w:p>
        <w:p w14:paraId="7510B0E2" w14:textId="570D010D" w:rsidR="00193646" w:rsidRDefault="00193646">
          <w:pPr>
            <w:pStyle w:val="TOC2"/>
            <w:rPr>
              <w:rFonts w:eastAsiaTheme="minorEastAsia" w:cstheme="minorBidi"/>
              <w:b w:val="0"/>
              <w:bCs w:val="0"/>
            </w:rPr>
          </w:pPr>
          <w:hyperlink w:anchor="_Toc104544208" w:history="1">
            <w:r w:rsidRPr="000628A8">
              <w:rPr>
                <w:rStyle w:val="Hyperlink"/>
              </w:rPr>
              <w:t>14.3. Operational goal 3 - Improved quality and quantity of accommodation capacities</w:t>
            </w:r>
            <w:r>
              <w:rPr>
                <w:webHidden/>
              </w:rPr>
              <w:tab/>
            </w:r>
            <w:r>
              <w:rPr>
                <w:webHidden/>
              </w:rPr>
              <w:fldChar w:fldCharType="begin"/>
            </w:r>
            <w:r>
              <w:rPr>
                <w:webHidden/>
              </w:rPr>
              <w:instrText xml:space="preserve"> PAGEREF _Toc104544208 \h </w:instrText>
            </w:r>
            <w:r>
              <w:rPr>
                <w:webHidden/>
              </w:rPr>
            </w:r>
            <w:r>
              <w:rPr>
                <w:webHidden/>
              </w:rPr>
              <w:fldChar w:fldCharType="separate"/>
            </w:r>
            <w:r>
              <w:rPr>
                <w:webHidden/>
              </w:rPr>
              <w:t>102</w:t>
            </w:r>
            <w:r>
              <w:rPr>
                <w:webHidden/>
              </w:rPr>
              <w:fldChar w:fldCharType="end"/>
            </w:r>
          </w:hyperlink>
        </w:p>
        <w:p w14:paraId="1C5EB415" w14:textId="16165A60" w:rsidR="00193646" w:rsidRDefault="00193646">
          <w:pPr>
            <w:pStyle w:val="TOC2"/>
            <w:rPr>
              <w:rFonts w:eastAsiaTheme="minorEastAsia" w:cstheme="minorBidi"/>
              <w:b w:val="0"/>
              <w:bCs w:val="0"/>
            </w:rPr>
          </w:pPr>
          <w:hyperlink w:anchor="_Toc104544209" w:history="1">
            <w:r w:rsidRPr="000628A8">
              <w:rPr>
                <w:rStyle w:val="Hyperlink"/>
              </w:rPr>
              <w:t>14.4. Operational goal 4 - Improved quality of diversified tourism product</w:t>
            </w:r>
            <w:r>
              <w:rPr>
                <w:webHidden/>
              </w:rPr>
              <w:tab/>
            </w:r>
            <w:r>
              <w:rPr>
                <w:webHidden/>
              </w:rPr>
              <w:fldChar w:fldCharType="begin"/>
            </w:r>
            <w:r>
              <w:rPr>
                <w:webHidden/>
              </w:rPr>
              <w:instrText xml:space="preserve"> PAGEREF _Toc104544209 \h </w:instrText>
            </w:r>
            <w:r>
              <w:rPr>
                <w:webHidden/>
              </w:rPr>
            </w:r>
            <w:r>
              <w:rPr>
                <w:webHidden/>
              </w:rPr>
              <w:fldChar w:fldCharType="separate"/>
            </w:r>
            <w:r>
              <w:rPr>
                <w:webHidden/>
              </w:rPr>
              <w:t>104</w:t>
            </w:r>
            <w:r>
              <w:rPr>
                <w:webHidden/>
              </w:rPr>
              <w:fldChar w:fldCharType="end"/>
            </w:r>
          </w:hyperlink>
        </w:p>
        <w:p w14:paraId="782F4558" w14:textId="5F921424" w:rsidR="00193646" w:rsidRDefault="00193646">
          <w:pPr>
            <w:pStyle w:val="TOC2"/>
            <w:rPr>
              <w:rFonts w:eastAsiaTheme="minorEastAsia" w:cstheme="minorBidi"/>
              <w:b w:val="0"/>
              <w:bCs w:val="0"/>
            </w:rPr>
          </w:pPr>
          <w:hyperlink w:anchor="_Toc104544210" w:history="1">
            <w:r w:rsidRPr="000628A8">
              <w:rPr>
                <w:rStyle w:val="Hyperlink"/>
              </w:rPr>
              <w:t>14.5. Operational goal 5 - Improved human resources, knowledge and skills in tourism</w:t>
            </w:r>
            <w:r>
              <w:rPr>
                <w:webHidden/>
              </w:rPr>
              <w:tab/>
            </w:r>
            <w:r>
              <w:rPr>
                <w:webHidden/>
              </w:rPr>
              <w:fldChar w:fldCharType="begin"/>
            </w:r>
            <w:r>
              <w:rPr>
                <w:webHidden/>
              </w:rPr>
              <w:instrText xml:space="preserve"> PAGEREF _Toc104544210 \h </w:instrText>
            </w:r>
            <w:r>
              <w:rPr>
                <w:webHidden/>
              </w:rPr>
            </w:r>
            <w:r>
              <w:rPr>
                <w:webHidden/>
              </w:rPr>
              <w:fldChar w:fldCharType="separate"/>
            </w:r>
            <w:r>
              <w:rPr>
                <w:webHidden/>
              </w:rPr>
              <w:t>119</w:t>
            </w:r>
            <w:r>
              <w:rPr>
                <w:webHidden/>
              </w:rPr>
              <w:fldChar w:fldCharType="end"/>
            </w:r>
          </w:hyperlink>
        </w:p>
        <w:p w14:paraId="48843841" w14:textId="541ED59E" w:rsidR="00193646" w:rsidRDefault="00193646">
          <w:pPr>
            <w:pStyle w:val="TOC2"/>
            <w:rPr>
              <w:rFonts w:eastAsiaTheme="minorEastAsia" w:cstheme="minorBidi"/>
              <w:b w:val="0"/>
              <w:bCs w:val="0"/>
            </w:rPr>
          </w:pPr>
          <w:hyperlink w:anchor="_Toc104544211" w:history="1">
            <w:r w:rsidRPr="000628A8">
              <w:rPr>
                <w:rStyle w:val="Hyperlink"/>
              </w:rPr>
              <w:t>14.6. Operational goal 6 - Development of digital, innovative solutions and new technologies in tourism</w:t>
            </w:r>
            <w:r>
              <w:rPr>
                <w:webHidden/>
              </w:rPr>
              <w:tab/>
            </w:r>
            <w:r>
              <w:rPr>
                <w:webHidden/>
              </w:rPr>
              <w:fldChar w:fldCharType="begin"/>
            </w:r>
            <w:r>
              <w:rPr>
                <w:webHidden/>
              </w:rPr>
              <w:instrText xml:space="preserve"> PAGEREF _Toc104544211 \h </w:instrText>
            </w:r>
            <w:r>
              <w:rPr>
                <w:webHidden/>
              </w:rPr>
            </w:r>
            <w:r>
              <w:rPr>
                <w:webHidden/>
              </w:rPr>
              <w:fldChar w:fldCharType="separate"/>
            </w:r>
            <w:r>
              <w:rPr>
                <w:webHidden/>
              </w:rPr>
              <w:t>120</w:t>
            </w:r>
            <w:r>
              <w:rPr>
                <w:webHidden/>
              </w:rPr>
              <w:fldChar w:fldCharType="end"/>
            </w:r>
          </w:hyperlink>
        </w:p>
        <w:p w14:paraId="136EF60D" w14:textId="01D9CDBB" w:rsidR="00193646" w:rsidRDefault="00193646">
          <w:pPr>
            <w:pStyle w:val="TOC3"/>
            <w:tabs>
              <w:tab w:val="right" w:leader="dot" w:pos="9017"/>
            </w:tabs>
            <w:rPr>
              <w:rFonts w:eastAsiaTheme="minorEastAsia"/>
              <w:noProof/>
            </w:rPr>
          </w:pPr>
          <w:hyperlink w:anchor="_Toc104544212" w:history="1">
            <w:r w:rsidRPr="000628A8">
              <w:rPr>
                <w:rStyle w:val="Hyperlink"/>
                <w:b/>
                <w:noProof/>
              </w:rPr>
              <w:t>14.6.1. Strengthening and optimization of the national statistical system</w:t>
            </w:r>
            <w:r>
              <w:rPr>
                <w:noProof/>
                <w:webHidden/>
              </w:rPr>
              <w:tab/>
            </w:r>
            <w:r>
              <w:rPr>
                <w:noProof/>
                <w:webHidden/>
              </w:rPr>
              <w:fldChar w:fldCharType="begin"/>
            </w:r>
            <w:r>
              <w:rPr>
                <w:noProof/>
                <w:webHidden/>
              </w:rPr>
              <w:instrText xml:space="preserve"> PAGEREF _Toc104544212 \h </w:instrText>
            </w:r>
            <w:r>
              <w:rPr>
                <w:noProof/>
                <w:webHidden/>
              </w:rPr>
            </w:r>
            <w:r>
              <w:rPr>
                <w:noProof/>
                <w:webHidden/>
              </w:rPr>
              <w:fldChar w:fldCharType="separate"/>
            </w:r>
            <w:r>
              <w:rPr>
                <w:noProof/>
                <w:webHidden/>
              </w:rPr>
              <w:t>120</w:t>
            </w:r>
            <w:r>
              <w:rPr>
                <w:noProof/>
                <w:webHidden/>
              </w:rPr>
              <w:fldChar w:fldCharType="end"/>
            </w:r>
          </w:hyperlink>
        </w:p>
        <w:p w14:paraId="22E1FB6F" w14:textId="1EEA43AF" w:rsidR="00193646" w:rsidRDefault="00193646">
          <w:pPr>
            <w:pStyle w:val="TOC2"/>
            <w:rPr>
              <w:rFonts w:eastAsiaTheme="minorEastAsia" w:cstheme="minorBidi"/>
              <w:b w:val="0"/>
              <w:bCs w:val="0"/>
            </w:rPr>
          </w:pPr>
          <w:hyperlink w:anchor="_Toc104544213" w:history="1">
            <w:r w:rsidRPr="000628A8">
              <w:rPr>
                <w:rStyle w:val="Hyperlink"/>
              </w:rPr>
              <w:t>14.7. Operational goal 7 - Montenegro - a globally recognized tourist destination</w:t>
            </w:r>
            <w:r>
              <w:rPr>
                <w:webHidden/>
              </w:rPr>
              <w:tab/>
            </w:r>
            <w:r>
              <w:rPr>
                <w:webHidden/>
              </w:rPr>
              <w:fldChar w:fldCharType="begin"/>
            </w:r>
            <w:r>
              <w:rPr>
                <w:webHidden/>
              </w:rPr>
              <w:instrText xml:space="preserve"> PAGEREF _Toc104544213 \h </w:instrText>
            </w:r>
            <w:r>
              <w:rPr>
                <w:webHidden/>
              </w:rPr>
            </w:r>
            <w:r>
              <w:rPr>
                <w:webHidden/>
              </w:rPr>
              <w:fldChar w:fldCharType="separate"/>
            </w:r>
            <w:r>
              <w:rPr>
                <w:webHidden/>
              </w:rPr>
              <w:t>121</w:t>
            </w:r>
            <w:r>
              <w:rPr>
                <w:webHidden/>
              </w:rPr>
              <w:fldChar w:fldCharType="end"/>
            </w:r>
          </w:hyperlink>
        </w:p>
        <w:p w14:paraId="52779954" w14:textId="5EA3F574" w:rsidR="00193646" w:rsidRDefault="00193646">
          <w:pPr>
            <w:pStyle w:val="TOC1"/>
            <w:tabs>
              <w:tab w:val="right" w:leader="dot" w:pos="9017"/>
            </w:tabs>
            <w:rPr>
              <w:rFonts w:eastAsiaTheme="minorEastAsia"/>
              <w:noProof/>
            </w:rPr>
          </w:pPr>
          <w:hyperlink w:anchor="_Toc104544214" w:history="1">
            <w:r w:rsidRPr="000628A8">
              <w:rPr>
                <w:rStyle w:val="Hyperlink"/>
                <w:rFonts w:cstheme="minorHAnsi"/>
                <w:noProof/>
              </w:rPr>
              <w:t>15</w:t>
            </w:r>
            <w:r w:rsidRPr="000628A8">
              <w:rPr>
                <w:rStyle w:val="Hyperlink"/>
                <w:noProof/>
              </w:rPr>
              <w:t>. TOURISM CLUSTERS</w:t>
            </w:r>
            <w:r>
              <w:rPr>
                <w:noProof/>
                <w:webHidden/>
              </w:rPr>
              <w:tab/>
            </w:r>
            <w:r>
              <w:rPr>
                <w:noProof/>
                <w:webHidden/>
              </w:rPr>
              <w:fldChar w:fldCharType="begin"/>
            </w:r>
            <w:r>
              <w:rPr>
                <w:noProof/>
                <w:webHidden/>
              </w:rPr>
              <w:instrText xml:space="preserve"> PAGEREF _Toc104544214 \h </w:instrText>
            </w:r>
            <w:r>
              <w:rPr>
                <w:noProof/>
                <w:webHidden/>
              </w:rPr>
            </w:r>
            <w:r>
              <w:rPr>
                <w:noProof/>
                <w:webHidden/>
              </w:rPr>
              <w:fldChar w:fldCharType="separate"/>
            </w:r>
            <w:r>
              <w:rPr>
                <w:noProof/>
                <w:webHidden/>
              </w:rPr>
              <w:t>125</w:t>
            </w:r>
            <w:r>
              <w:rPr>
                <w:noProof/>
                <w:webHidden/>
              </w:rPr>
              <w:fldChar w:fldCharType="end"/>
            </w:r>
          </w:hyperlink>
        </w:p>
        <w:p w14:paraId="51421AB5" w14:textId="066177F6" w:rsidR="00193646" w:rsidRDefault="00193646">
          <w:pPr>
            <w:pStyle w:val="TOC2"/>
            <w:rPr>
              <w:rFonts w:eastAsiaTheme="minorEastAsia" w:cstheme="minorBidi"/>
              <w:b w:val="0"/>
              <w:bCs w:val="0"/>
            </w:rPr>
          </w:pPr>
          <w:hyperlink w:anchor="_Toc104544215" w:history="1">
            <w:r w:rsidRPr="000628A8">
              <w:rPr>
                <w:rStyle w:val="Hyperlink"/>
                <w:lang w:eastAsia="hr-HR"/>
              </w:rPr>
              <w:t>15.1. TOURISM CLUSTER 1 - Ulcinj with Ada Bojana</w:t>
            </w:r>
            <w:r>
              <w:rPr>
                <w:webHidden/>
              </w:rPr>
              <w:tab/>
            </w:r>
            <w:r>
              <w:rPr>
                <w:webHidden/>
              </w:rPr>
              <w:fldChar w:fldCharType="begin"/>
            </w:r>
            <w:r>
              <w:rPr>
                <w:webHidden/>
              </w:rPr>
              <w:instrText xml:space="preserve"> PAGEREF _Toc104544215 \h </w:instrText>
            </w:r>
            <w:r>
              <w:rPr>
                <w:webHidden/>
              </w:rPr>
            </w:r>
            <w:r>
              <w:rPr>
                <w:webHidden/>
              </w:rPr>
              <w:fldChar w:fldCharType="separate"/>
            </w:r>
            <w:r>
              <w:rPr>
                <w:webHidden/>
              </w:rPr>
              <w:t>127</w:t>
            </w:r>
            <w:r>
              <w:rPr>
                <w:webHidden/>
              </w:rPr>
              <w:fldChar w:fldCharType="end"/>
            </w:r>
          </w:hyperlink>
        </w:p>
        <w:p w14:paraId="700780DF" w14:textId="79E4EB92" w:rsidR="00193646" w:rsidRDefault="00193646">
          <w:pPr>
            <w:pStyle w:val="TOC2"/>
            <w:rPr>
              <w:rFonts w:eastAsiaTheme="minorEastAsia" w:cstheme="minorBidi"/>
              <w:b w:val="0"/>
              <w:bCs w:val="0"/>
            </w:rPr>
          </w:pPr>
          <w:hyperlink w:anchor="_Toc104544216" w:history="1">
            <w:r w:rsidRPr="000628A8">
              <w:rPr>
                <w:rStyle w:val="Hyperlink"/>
                <w:rFonts w:eastAsia="Calibri"/>
                <w:lang w:eastAsia="hr-HR"/>
              </w:rPr>
              <w:t>1</w:t>
            </w:r>
            <w:r w:rsidRPr="000628A8">
              <w:rPr>
                <w:rStyle w:val="Hyperlink"/>
                <w:lang w:eastAsia="hr-HR"/>
              </w:rPr>
              <w:t>5.2. TOURISM CLUSTER 2 - Bar Riviera with Skadar Lake</w:t>
            </w:r>
            <w:r>
              <w:rPr>
                <w:webHidden/>
              </w:rPr>
              <w:tab/>
            </w:r>
            <w:r>
              <w:rPr>
                <w:webHidden/>
              </w:rPr>
              <w:fldChar w:fldCharType="begin"/>
            </w:r>
            <w:r>
              <w:rPr>
                <w:webHidden/>
              </w:rPr>
              <w:instrText xml:space="preserve"> PAGEREF _Toc104544216 \h </w:instrText>
            </w:r>
            <w:r>
              <w:rPr>
                <w:webHidden/>
              </w:rPr>
            </w:r>
            <w:r>
              <w:rPr>
                <w:webHidden/>
              </w:rPr>
              <w:fldChar w:fldCharType="separate"/>
            </w:r>
            <w:r>
              <w:rPr>
                <w:webHidden/>
              </w:rPr>
              <w:t>129</w:t>
            </w:r>
            <w:r>
              <w:rPr>
                <w:webHidden/>
              </w:rPr>
              <w:fldChar w:fldCharType="end"/>
            </w:r>
          </w:hyperlink>
        </w:p>
        <w:p w14:paraId="6AE7D329" w14:textId="01D5806B" w:rsidR="00193646" w:rsidRDefault="00193646">
          <w:pPr>
            <w:pStyle w:val="TOC2"/>
            <w:rPr>
              <w:rFonts w:eastAsiaTheme="minorEastAsia" w:cstheme="minorBidi"/>
              <w:b w:val="0"/>
              <w:bCs w:val="0"/>
            </w:rPr>
          </w:pPr>
          <w:hyperlink w:anchor="_Toc104544217" w:history="1">
            <w:r w:rsidRPr="000628A8">
              <w:rPr>
                <w:rStyle w:val="Hyperlink"/>
                <w:rFonts w:eastAsia="Calibri"/>
                <w:lang w:eastAsia="hr-HR"/>
              </w:rPr>
              <w:t>15.3. TOURISM CLUSTER 3 - Budva Riviera</w:t>
            </w:r>
            <w:r>
              <w:rPr>
                <w:webHidden/>
              </w:rPr>
              <w:tab/>
            </w:r>
            <w:r>
              <w:rPr>
                <w:webHidden/>
              </w:rPr>
              <w:fldChar w:fldCharType="begin"/>
            </w:r>
            <w:r>
              <w:rPr>
                <w:webHidden/>
              </w:rPr>
              <w:instrText xml:space="preserve"> PAGEREF _Toc104544217 \h </w:instrText>
            </w:r>
            <w:r>
              <w:rPr>
                <w:webHidden/>
              </w:rPr>
            </w:r>
            <w:r>
              <w:rPr>
                <w:webHidden/>
              </w:rPr>
              <w:fldChar w:fldCharType="separate"/>
            </w:r>
            <w:r>
              <w:rPr>
                <w:webHidden/>
              </w:rPr>
              <w:t>131</w:t>
            </w:r>
            <w:r>
              <w:rPr>
                <w:webHidden/>
              </w:rPr>
              <w:fldChar w:fldCharType="end"/>
            </w:r>
          </w:hyperlink>
        </w:p>
        <w:p w14:paraId="5A9CB851" w14:textId="43D5F4CF" w:rsidR="00193646" w:rsidRDefault="00193646">
          <w:pPr>
            <w:pStyle w:val="TOC2"/>
            <w:rPr>
              <w:rFonts w:eastAsiaTheme="minorEastAsia" w:cstheme="minorBidi"/>
              <w:b w:val="0"/>
              <w:bCs w:val="0"/>
            </w:rPr>
          </w:pPr>
          <w:hyperlink w:anchor="_Toc104544218" w:history="1">
            <w:r w:rsidRPr="000628A8">
              <w:rPr>
                <w:rStyle w:val="Hyperlink"/>
                <w:lang w:eastAsia="hr-HR"/>
              </w:rPr>
              <w:t>15.4. TOURIST CLUSTER 4 - Bay of Kotor</w:t>
            </w:r>
            <w:r>
              <w:rPr>
                <w:webHidden/>
              </w:rPr>
              <w:tab/>
            </w:r>
            <w:r>
              <w:rPr>
                <w:webHidden/>
              </w:rPr>
              <w:fldChar w:fldCharType="begin"/>
            </w:r>
            <w:r>
              <w:rPr>
                <w:webHidden/>
              </w:rPr>
              <w:instrText xml:space="preserve"> PAGEREF _Toc104544218 \h </w:instrText>
            </w:r>
            <w:r>
              <w:rPr>
                <w:webHidden/>
              </w:rPr>
            </w:r>
            <w:r>
              <w:rPr>
                <w:webHidden/>
              </w:rPr>
              <w:fldChar w:fldCharType="separate"/>
            </w:r>
            <w:r>
              <w:rPr>
                <w:webHidden/>
              </w:rPr>
              <w:t>133</w:t>
            </w:r>
            <w:r>
              <w:rPr>
                <w:webHidden/>
              </w:rPr>
              <w:fldChar w:fldCharType="end"/>
            </w:r>
          </w:hyperlink>
        </w:p>
        <w:p w14:paraId="4957CEF8" w14:textId="6E938B55" w:rsidR="00193646" w:rsidRDefault="00193646">
          <w:pPr>
            <w:pStyle w:val="TOC2"/>
            <w:rPr>
              <w:rFonts w:eastAsiaTheme="minorEastAsia" w:cstheme="minorBidi"/>
              <w:b w:val="0"/>
              <w:bCs w:val="0"/>
            </w:rPr>
          </w:pPr>
          <w:hyperlink w:anchor="_Toc104544219" w:history="1">
            <w:r w:rsidRPr="000628A8">
              <w:rPr>
                <w:rStyle w:val="Hyperlink"/>
                <w:lang w:eastAsia="hr-HR"/>
              </w:rPr>
              <w:t>15.5. TOURISM CLUSTER 5 – The Old Royal Capital Cetinje</w:t>
            </w:r>
            <w:r>
              <w:rPr>
                <w:webHidden/>
              </w:rPr>
              <w:tab/>
            </w:r>
            <w:r>
              <w:rPr>
                <w:webHidden/>
              </w:rPr>
              <w:fldChar w:fldCharType="begin"/>
            </w:r>
            <w:r>
              <w:rPr>
                <w:webHidden/>
              </w:rPr>
              <w:instrText xml:space="preserve"> PAGEREF _Toc104544219 \h </w:instrText>
            </w:r>
            <w:r>
              <w:rPr>
                <w:webHidden/>
              </w:rPr>
            </w:r>
            <w:r>
              <w:rPr>
                <w:webHidden/>
              </w:rPr>
              <w:fldChar w:fldCharType="separate"/>
            </w:r>
            <w:r>
              <w:rPr>
                <w:webHidden/>
              </w:rPr>
              <w:t>137</w:t>
            </w:r>
            <w:r>
              <w:rPr>
                <w:webHidden/>
              </w:rPr>
              <w:fldChar w:fldCharType="end"/>
            </w:r>
          </w:hyperlink>
        </w:p>
        <w:p w14:paraId="48ABEE3D" w14:textId="1F13AC13" w:rsidR="00193646" w:rsidRDefault="00193646">
          <w:pPr>
            <w:pStyle w:val="TOC2"/>
            <w:rPr>
              <w:rFonts w:eastAsiaTheme="minorEastAsia" w:cstheme="minorBidi"/>
              <w:b w:val="0"/>
              <w:bCs w:val="0"/>
            </w:rPr>
          </w:pPr>
          <w:hyperlink w:anchor="_Toc104544220" w:history="1">
            <w:r w:rsidRPr="000628A8">
              <w:rPr>
                <w:rStyle w:val="Hyperlink"/>
              </w:rPr>
              <w:t>15.6. TOURISM CLUSTER 6 – The Capital City with the Central region</w:t>
            </w:r>
            <w:r>
              <w:rPr>
                <w:webHidden/>
              </w:rPr>
              <w:tab/>
            </w:r>
            <w:r>
              <w:rPr>
                <w:webHidden/>
              </w:rPr>
              <w:fldChar w:fldCharType="begin"/>
            </w:r>
            <w:r>
              <w:rPr>
                <w:webHidden/>
              </w:rPr>
              <w:instrText xml:space="preserve"> PAGEREF _Toc104544220 \h </w:instrText>
            </w:r>
            <w:r>
              <w:rPr>
                <w:webHidden/>
              </w:rPr>
            </w:r>
            <w:r>
              <w:rPr>
                <w:webHidden/>
              </w:rPr>
              <w:fldChar w:fldCharType="separate"/>
            </w:r>
            <w:r>
              <w:rPr>
                <w:webHidden/>
              </w:rPr>
              <w:t>139</w:t>
            </w:r>
            <w:r>
              <w:rPr>
                <w:webHidden/>
              </w:rPr>
              <w:fldChar w:fldCharType="end"/>
            </w:r>
          </w:hyperlink>
        </w:p>
        <w:p w14:paraId="06DF7474" w14:textId="4F7772B5" w:rsidR="00193646" w:rsidRDefault="00193646">
          <w:pPr>
            <w:pStyle w:val="TOC2"/>
            <w:rPr>
              <w:rFonts w:eastAsiaTheme="minorEastAsia" w:cstheme="minorBidi"/>
              <w:b w:val="0"/>
              <w:bCs w:val="0"/>
            </w:rPr>
          </w:pPr>
          <w:hyperlink w:anchor="_Toc104544221" w:history="1">
            <w:r w:rsidRPr="000628A8">
              <w:rPr>
                <w:rStyle w:val="Hyperlink"/>
                <w:lang w:eastAsia="hr-HR"/>
              </w:rPr>
              <w:t>15.7. TOURISM CLUSTER 7 – Bjelasica, Komovi and Prokletije</w:t>
            </w:r>
            <w:r>
              <w:rPr>
                <w:webHidden/>
              </w:rPr>
              <w:tab/>
            </w:r>
            <w:r>
              <w:rPr>
                <w:webHidden/>
              </w:rPr>
              <w:fldChar w:fldCharType="begin"/>
            </w:r>
            <w:r>
              <w:rPr>
                <w:webHidden/>
              </w:rPr>
              <w:instrText xml:space="preserve"> PAGEREF _Toc104544221 \h </w:instrText>
            </w:r>
            <w:r>
              <w:rPr>
                <w:webHidden/>
              </w:rPr>
            </w:r>
            <w:r>
              <w:rPr>
                <w:webHidden/>
              </w:rPr>
              <w:fldChar w:fldCharType="separate"/>
            </w:r>
            <w:r>
              <w:rPr>
                <w:webHidden/>
              </w:rPr>
              <w:t>143</w:t>
            </w:r>
            <w:r>
              <w:rPr>
                <w:webHidden/>
              </w:rPr>
              <w:fldChar w:fldCharType="end"/>
            </w:r>
          </w:hyperlink>
        </w:p>
        <w:p w14:paraId="458334E5" w14:textId="73623FEE" w:rsidR="00193646" w:rsidRDefault="00193646">
          <w:pPr>
            <w:pStyle w:val="TOC2"/>
            <w:rPr>
              <w:rFonts w:eastAsiaTheme="minorEastAsia" w:cstheme="minorBidi"/>
              <w:b w:val="0"/>
              <w:bCs w:val="0"/>
            </w:rPr>
          </w:pPr>
          <w:hyperlink w:anchor="_Toc104544222" w:history="1">
            <w:r w:rsidRPr="000628A8">
              <w:rPr>
                <w:rStyle w:val="Hyperlink"/>
                <w:lang w:eastAsia="hr-HR"/>
              </w:rPr>
              <w:t>15.8. TOURISM CLUSTER  8 – Durmitor and Sinjajevina with Tara and Piva rivers</w:t>
            </w:r>
            <w:r>
              <w:rPr>
                <w:webHidden/>
              </w:rPr>
              <w:tab/>
            </w:r>
            <w:r>
              <w:rPr>
                <w:webHidden/>
              </w:rPr>
              <w:fldChar w:fldCharType="begin"/>
            </w:r>
            <w:r>
              <w:rPr>
                <w:webHidden/>
              </w:rPr>
              <w:instrText xml:space="preserve"> PAGEREF _Toc104544222 \h </w:instrText>
            </w:r>
            <w:r>
              <w:rPr>
                <w:webHidden/>
              </w:rPr>
            </w:r>
            <w:r>
              <w:rPr>
                <w:webHidden/>
              </w:rPr>
              <w:fldChar w:fldCharType="separate"/>
            </w:r>
            <w:r>
              <w:rPr>
                <w:webHidden/>
              </w:rPr>
              <w:t>145</w:t>
            </w:r>
            <w:r>
              <w:rPr>
                <w:webHidden/>
              </w:rPr>
              <w:fldChar w:fldCharType="end"/>
            </w:r>
          </w:hyperlink>
        </w:p>
        <w:p w14:paraId="55911C38" w14:textId="07ADC2D4" w:rsidR="00193646" w:rsidRDefault="00193646">
          <w:pPr>
            <w:pStyle w:val="TOC1"/>
            <w:tabs>
              <w:tab w:val="right" w:leader="dot" w:pos="9017"/>
            </w:tabs>
            <w:rPr>
              <w:rFonts w:eastAsiaTheme="minorEastAsia"/>
              <w:noProof/>
            </w:rPr>
          </w:pPr>
          <w:hyperlink w:anchor="_Toc104544223" w:history="1">
            <w:r w:rsidRPr="000628A8">
              <w:rPr>
                <w:rStyle w:val="Hyperlink"/>
                <w:noProof/>
              </w:rPr>
              <w:t>16. STRATEGIC AND OPERATIONAL GOALS OF TOURISM DEVELOPMENT OF MONTENEGRO 2022 - 2025</w:t>
            </w:r>
            <w:r>
              <w:rPr>
                <w:noProof/>
                <w:webHidden/>
              </w:rPr>
              <w:tab/>
            </w:r>
            <w:r>
              <w:rPr>
                <w:noProof/>
                <w:webHidden/>
              </w:rPr>
              <w:fldChar w:fldCharType="begin"/>
            </w:r>
            <w:r>
              <w:rPr>
                <w:noProof/>
                <w:webHidden/>
              </w:rPr>
              <w:instrText xml:space="preserve"> PAGEREF _Toc104544223 \h </w:instrText>
            </w:r>
            <w:r>
              <w:rPr>
                <w:noProof/>
                <w:webHidden/>
              </w:rPr>
            </w:r>
            <w:r>
              <w:rPr>
                <w:noProof/>
                <w:webHidden/>
              </w:rPr>
              <w:fldChar w:fldCharType="separate"/>
            </w:r>
            <w:r>
              <w:rPr>
                <w:noProof/>
                <w:webHidden/>
              </w:rPr>
              <w:t>153</w:t>
            </w:r>
            <w:r>
              <w:rPr>
                <w:noProof/>
                <w:webHidden/>
              </w:rPr>
              <w:fldChar w:fldCharType="end"/>
            </w:r>
          </w:hyperlink>
        </w:p>
        <w:p w14:paraId="3AF460D1" w14:textId="0D67D12F" w:rsidR="00193646" w:rsidRDefault="00193646">
          <w:pPr>
            <w:pStyle w:val="TOC1"/>
            <w:tabs>
              <w:tab w:val="right" w:leader="dot" w:pos="9017"/>
            </w:tabs>
            <w:rPr>
              <w:rFonts w:eastAsiaTheme="minorEastAsia"/>
              <w:noProof/>
            </w:rPr>
          </w:pPr>
          <w:hyperlink w:anchor="_Toc104544224" w:history="1">
            <w:r w:rsidRPr="000628A8">
              <w:rPr>
                <w:rStyle w:val="Hyperlink"/>
                <w:noProof/>
              </w:rPr>
              <w:t>17. STRATEGY IMPLEMENTATION</w:t>
            </w:r>
            <w:r>
              <w:rPr>
                <w:noProof/>
                <w:webHidden/>
              </w:rPr>
              <w:tab/>
            </w:r>
            <w:r>
              <w:rPr>
                <w:noProof/>
                <w:webHidden/>
              </w:rPr>
              <w:fldChar w:fldCharType="begin"/>
            </w:r>
            <w:r>
              <w:rPr>
                <w:noProof/>
                <w:webHidden/>
              </w:rPr>
              <w:instrText xml:space="preserve"> PAGEREF _Toc104544224 \h </w:instrText>
            </w:r>
            <w:r>
              <w:rPr>
                <w:noProof/>
                <w:webHidden/>
              </w:rPr>
            </w:r>
            <w:r>
              <w:rPr>
                <w:noProof/>
                <w:webHidden/>
              </w:rPr>
              <w:fldChar w:fldCharType="separate"/>
            </w:r>
            <w:r>
              <w:rPr>
                <w:noProof/>
                <w:webHidden/>
              </w:rPr>
              <w:t>158</w:t>
            </w:r>
            <w:r>
              <w:rPr>
                <w:noProof/>
                <w:webHidden/>
              </w:rPr>
              <w:fldChar w:fldCharType="end"/>
            </w:r>
          </w:hyperlink>
        </w:p>
        <w:p w14:paraId="4C330EE9" w14:textId="30A7AAA0" w:rsidR="00193646" w:rsidRDefault="00193646">
          <w:pPr>
            <w:pStyle w:val="TOC2"/>
            <w:rPr>
              <w:rFonts w:eastAsiaTheme="minorEastAsia" w:cstheme="minorBidi"/>
              <w:b w:val="0"/>
              <w:bCs w:val="0"/>
            </w:rPr>
          </w:pPr>
          <w:hyperlink w:anchor="_Toc104544225" w:history="1">
            <w:r w:rsidRPr="000628A8">
              <w:rPr>
                <w:rStyle w:val="Hyperlink"/>
              </w:rPr>
              <w:t>17.1. Financial framework for the implementation of activities</w:t>
            </w:r>
            <w:r>
              <w:rPr>
                <w:webHidden/>
              </w:rPr>
              <w:tab/>
            </w:r>
            <w:r>
              <w:rPr>
                <w:webHidden/>
              </w:rPr>
              <w:fldChar w:fldCharType="begin"/>
            </w:r>
            <w:r>
              <w:rPr>
                <w:webHidden/>
              </w:rPr>
              <w:instrText xml:space="preserve"> PAGEREF _Toc104544225 \h </w:instrText>
            </w:r>
            <w:r>
              <w:rPr>
                <w:webHidden/>
              </w:rPr>
            </w:r>
            <w:r>
              <w:rPr>
                <w:webHidden/>
              </w:rPr>
              <w:fldChar w:fldCharType="separate"/>
            </w:r>
            <w:r>
              <w:rPr>
                <w:webHidden/>
              </w:rPr>
              <w:t>158</w:t>
            </w:r>
            <w:r>
              <w:rPr>
                <w:webHidden/>
              </w:rPr>
              <w:fldChar w:fldCharType="end"/>
            </w:r>
          </w:hyperlink>
        </w:p>
        <w:p w14:paraId="5DCFEA71" w14:textId="2A95A4B5" w:rsidR="00193646" w:rsidRDefault="00193646">
          <w:pPr>
            <w:pStyle w:val="TOC1"/>
            <w:tabs>
              <w:tab w:val="right" w:leader="dot" w:pos="9017"/>
            </w:tabs>
            <w:rPr>
              <w:rFonts w:eastAsiaTheme="minorEastAsia"/>
              <w:noProof/>
            </w:rPr>
          </w:pPr>
          <w:hyperlink w:anchor="_Toc104544226" w:history="1">
            <w:r w:rsidRPr="000628A8">
              <w:rPr>
                <w:rStyle w:val="Hyperlink"/>
                <w:noProof/>
              </w:rPr>
              <w:t>18. MONITORING, EVALUATION AND REPORTING ON THE IMPLEMENTATION OF THE ACTION PLAN</w:t>
            </w:r>
            <w:r>
              <w:rPr>
                <w:noProof/>
                <w:webHidden/>
              </w:rPr>
              <w:tab/>
            </w:r>
            <w:r>
              <w:rPr>
                <w:noProof/>
                <w:webHidden/>
              </w:rPr>
              <w:fldChar w:fldCharType="begin"/>
            </w:r>
            <w:r>
              <w:rPr>
                <w:noProof/>
                <w:webHidden/>
              </w:rPr>
              <w:instrText xml:space="preserve"> PAGEREF _Toc104544226 \h </w:instrText>
            </w:r>
            <w:r>
              <w:rPr>
                <w:noProof/>
                <w:webHidden/>
              </w:rPr>
            </w:r>
            <w:r>
              <w:rPr>
                <w:noProof/>
                <w:webHidden/>
              </w:rPr>
              <w:fldChar w:fldCharType="separate"/>
            </w:r>
            <w:r>
              <w:rPr>
                <w:noProof/>
                <w:webHidden/>
              </w:rPr>
              <w:t>160</w:t>
            </w:r>
            <w:r>
              <w:rPr>
                <w:noProof/>
                <w:webHidden/>
              </w:rPr>
              <w:fldChar w:fldCharType="end"/>
            </w:r>
          </w:hyperlink>
        </w:p>
        <w:p w14:paraId="0C61DD2D" w14:textId="2A9EEDA9" w:rsidR="00193646" w:rsidRDefault="00193646">
          <w:pPr>
            <w:pStyle w:val="TOC1"/>
            <w:tabs>
              <w:tab w:val="right" w:leader="dot" w:pos="9017"/>
            </w:tabs>
            <w:rPr>
              <w:rFonts w:eastAsiaTheme="minorEastAsia"/>
              <w:noProof/>
            </w:rPr>
          </w:pPr>
          <w:hyperlink w:anchor="_Toc104544227" w:history="1">
            <w:r w:rsidRPr="000628A8">
              <w:rPr>
                <w:rStyle w:val="Hyperlink"/>
                <w:rFonts w:eastAsia="Calibri"/>
                <w:noProof/>
              </w:rPr>
              <w:t>19. ACTION PLAN</w:t>
            </w:r>
            <w:r>
              <w:rPr>
                <w:noProof/>
                <w:webHidden/>
              </w:rPr>
              <w:tab/>
            </w:r>
            <w:r>
              <w:rPr>
                <w:noProof/>
                <w:webHidden/>
              </w:rPr>
              <w:fldChar w:fldCharType="begin"/>
            </w:r>
            <w:r>
              <w:rPr>
                <w:noProof/>
                <w:webHidden/>
              </w:rPr>
              <w:instrText xml:space="preserve"> PAGEREF _Toc104544227 \h </w:instrText>
            </w:r>
            <w:r>
              <w:rPr>
                <w:noProof/>
                <w:webHidden/>
              </w:rPr>
            </w:r>
            <w:r>
              <w:rPr>
                <w:noProof/>
                <w:webHidden/>
              </w:rPr>
              <w:fldChar w:fldCharType="separate"/>
            </w:r>
            <w:r>
              <w:rPr>
                <w:noProof/>
                <w:webHidden/>
              </w:rPr>
              <w:t>162</w:t>
            </w:r>
            <w:r>
              <w:rPr>
                <w:noProof/>
                <w:webHidden/>
              </w:rPr>
              <w:fldChar w:fldCharType="end"/>
            </w:r>
          </w:hyperlink>
        </w:p>
        <w:p w14:paraId="216EBEF2" w14:textId="2A8BD1AD" w:rsidR="00193646" w:rsidRDefault="00193646">
          <w:pPr>
            <w:pStyle w:val="TOC1"/>
            <w:tabs>
              <w:tab w:val="right" w:leader="dot" w:pos="9017"/>
            </w:tabs>
            <w:rPr>
              <w:rFonts w:eastAsiaTheme="minorEastAsia"/>
              <w:noProof/>
            </w:rPr>
          </w:pPr>
          <w:hyperlink w:anchor="_Toc104544228" w:history="1">
            <w:r w:rsidRPr="000628A8">
              <w:rPr>
                <w:rStyle w:val="Hyperlink"/>
                <w:rFonts w:ascii="Calibri" w:eastAsia="Times New Roman" w:hAnsi="Calibri" w:cs="Calibri"/>
                <w:b/>
                <w:noProof/>
              </w:rPr>
              <w:t>20. COMMUNICATION PLAN</w:t>
            </w:r>
            <w:r>
              <w:rPr>
                <w:noProof/>
                <w:webHidden/>
              </w:rPr>
              <w:tab/>
            </w:r>
            <w:r>
              <w:rPr>
                <w:noProof/>
                <w:webHidden/>
              </w:rPr>
              <w:fldChar w:fldCharType="begin"/>
            </w:r>
            <w:r>
              <w:rPr>
                <w:noProof/>
                <w:webHidden/>
              </w:rPr>
              <w:instrText xml:space="preserve"> PAGEREF _Toc104544228 \h </w:instrText>
            </w:r>
            <w:r>
              <w:rPr>
                <w:noProof/>
                <w:webHidden/>
              </w:rPr>
            </w:r>
            <w:r>
              <w:rPr>
                <w:noProof/>
                <w:webHidden/>
              </w:rPr>
              <w:fldChar w:fldCharType="separate"/>
            </w:r>
            <w:r>
              <w:rPr>
                <w:noProof/>
                <w:webHidden/>
              </w:rPr>
              <w:t>209</w:t>
            </w:r>
            <w:r>
              <w:rPr>
                <w:noProof/>
                <w:webHidden/>
              </w:rPr>
              <w:fldChar w:fldCharType="end"/>
            </w:r>
          </w:hyperlink>
        </w:p>
        <w:p w14:paraId="30A01B36" w14:textId="528D3AE7" w:rsidR="00193646" w:rsidRDefault="00193646">
          <w:pPr>
            <w:pStyle w:val="TOC1"/>
            <w:tabs>
              <w:tab w:val="right" w:leader="dot" w:pos="9017"/>
            </w:tabs>
            <w:rPr>
              <w:rFonts w:eastAsiaTheme="minorEastAsia"/>
              <w:noProof/>
            </w:rPr>
          </w:pPr>
          <w:hyperlink w:anchor="_Toc104544229" w:history="1">
            <w:r w:rsidRPr="000628A8">
              <w:rPr>
                <w:rStyle w:val="Hyperlink"/>
                <w:rFonts w:eastAsia="Times New Roman"/>
                <w:noProof/>
                <w:lang w:eastAsia="hr-HR"/>
              </w:rPr>
              <w:t>Annex I: Partnerships in tourism</w:t>
            </w:r>
            <w:r>
              <w:rPr>
                <w:noProof/>
                <w:webHidden/>
              </w:rPr>
              <w:tab/>
            </w:r>
            <w:r>
              <w:rPr>
                <w:noProof/>
                <w:webHidden/>
              </w:rPr>
              <w:fldChar w:fldCharType="begin"/>
            </w:r>
            <w:r>
              <w:rPr>
                <w:noProof/>
                <w:webHidden/>
              </w:rPr>
              <w:instrText xml:space="preserve"> PAGEREF _Toc104544229 \h </w:instrText>
            </w:r>
            <w:r>
              <w:rPr>
                <w:noProof/>
                <w:webHidden/>
              </w:rPr>
            </w:r>
            <w:r>
              <w:rPr>
                <w:noProof/>
                <w:webHidden/>
              </w:rPr>
              <w:fldChar w:fldCharType="separate"/>
            </w:r>
            <w:r>
              <w:rPr>
                <w:noProof/>
                <w:webHidden/>
              </w:rPr>
              <w:t>210</w:t>
            </w:r>
            <w:r>
              <w:rPr>
                <w:noProof/>
                <w:webHidden/>
              </w:rPr>
              <w:fldChar w:fldCharType="end"/>
            </w:r>
          </w:hyperlink>
        </w:p>
        <w:p w14:paraId="0940C388" w14:textId="52367F66" w:rsidR="00193646" w:rsidRDefault="00193646">
          <w:pPr>
            <w:pStyle w:val="TOC1"/>
            <w:tabs>
              <w:tab w:val="right" w:leader="dot" w:pos="9017"/>
            </w:tabs>
            <w:rPr>
              <w:rFonts w:eastAsiaTheme="minorEastAsia"/>
              <w:noProof/>
            </w:rPr>
          </w:pPr>
          <w:hyperlink w:anchor="_Toc104544230" w:history="1">
            <w:r w:rsidRPr="000628A8">
              <w:rPr>
                <w:rStyle w:val="Hyperlink"/>
                <w:rFonts w:eastAsia="Calibri"/>
                <w:noProof/>
              </w:rPr>
              <w:t>Annex II: Investment activities in the tourism sector</w:t>
            </w:r>
            <w:r>
              <w:rPr>
                <w:noProof/>
                <w:webHidden/>
              </w:rPr>
              <w:tab/>
            </w:r>
            <w:r>
              <w:rPr>
                <w:noProof/>
                <w:webHidden/>
              </w:rPr>
              <w:fldChar w:fldCharType="begin"/>
            </w:r>
            <w:r>
              <w:rPr>
                <w:noProof/>
                <w:webHidden/>
              </w:rPr>
              <w:instrText xml:space="preserve"> PAGEREF _Toc104544230 \h </w:instrText>
            </w:r>
            <w:r>
              <w:rPr>
                <w:noProof/>
                <w:webHidden/>
              </w:rPr>
            </w:r>
            <w:r>
              <w:rPr>
                <w:noProof/>
                <w:webHidden/>
              </w:rPr>
              <w:fldChar w:fldCharType="separate"/>
            </w:r>
            <w:r>
              <w:rPr>
                <w:noProof/>
                <w:webHidden/>
              </w:rPr>
              <w:t>216</w:t>
            </w:r>
            <w:r>
              <w:rPr>
                <w:noProof/>
                <w:webHidden/>
              </w:rPr>
              <w:fldChar w:fldCharType="end"/>
            </w:r>
          </w:hyperlink>
        </w:p>
        <w:p w14:paraId="06A545E1" w14:textId="11EBD711" w:rsidR="006B2751" w:rsidRDefault="00A91F31" w:rsidP="006B2751">
          <w:pPr>
            <w:spacing w:after="120"/>
          </w:pPr>
          <w:r w:rsidRPr="003C7CB1">
            <w:rPr>
              <w:b/>
              <w:bCs/>
            </w:rPr>
            <w:fldChar w:fldCharType="end"/>
          </w:r>
        </w:p>
        <w:p w14:paraId="14F83133" w14:textId="63244CA2" w:rsidR="00A91F31" w:rsidRPr="003C7CB1" w:rsidRDefault="00193646" w:rsidP="00084317">
          <w:pPr>
            <w:spacing w:after="120"/>
          </w:pPr>
        </w:p>
      </w:sdtContent>
    </w:sdt>
    <w:p w14:paraId="594ED62D" w14:textId="13140D47" w:rsidR="00656D4B" w:rsidRPr="003C7CB1" w:rsidRDefault="00656D4B">
      <w:pPr>
        <w:spacing w:after="0" w:line="240" w:lineRule="auto"/>
        <w:rPr>
          <w:rFonts w:eastAsiaTheme="majorEastAsia" w:cstheme="majorBidi"/>
          <w:b/>
          <w:color w:val="2F5496" w:themeColor="accent1" w:themeShade="BF"/>
          <w:sz w:val="28"/>
          <w:szCs w:val="32"/>
        </w:rPr>
      </w:pPr>
      <w:r w:rsidRPr="003C7CB1">
        <w:rPr>
          <w:noProof/>
        </w:rPr>
        <w:lastRenderedPageBreak/>
        <w:drawing>
          <wp:inline distT="0" distB="0" distL="0" distR="0" wp14:anchorId="034E1D9C" wp14:editId="1E8640DD">
            <wp:extent cx="5732145" cy="8108211"/>
            <wp:effectExtent l="0" t="0" r="1905"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r w:rsidRPr="003C7CB1">
        <w:br w:type="page"/>
      </w:r>
    </w:p>
    <w:p w14:paraId="68C28087" w14:textId="77777777" w:rsidR="00E732FA" w:rsidRPr="003C7CB1" w:rsidRDefault="00E732FA" w:rsidP="00E732FA">
      <w:pPr>
        <w:pStyle w:val="Heading1"/>
        <w:numPr>
          <w:ilvl w:val="0"/>
          <w:numId w:val="70"/>
        </w:numPr>
      </w:pPr>
      <w:bookmarkStart w:id="3" w:name="_Toc102133783"/>
      <w:bookmarkStart w:id="4" w:name="_Toc104544167"/>
      <w:bookmarkEnd w:id="2"/>
      <w:bookmarkEnd w:id="1"/>
      <w:r w:rsidRPr="003C7CB1">
        <w:lastRenderedPageBreak/>
        <w:t>INTRODUCTION</w:t>
      </w:r>
      <w:bookmarkEnd w:id="3"/>
      <w:bookmarkEnd w:id="4"/>
      <w:r w:rsidRPr="003C7CB1">
        <w:t xml:space="preserve"> </w:t>
      </w:r>
    </w:p>
    <w:p w14:paraId="08C9B123" w14:textId="77777777" w:rsidR="00E732FA" w:rsidRPr="003C7CB1" w:rsidRDefault="00E732FA" w:rsidP="00E732FA">
      <w:pPr>
        <w:pStyle w:val="Heading2"/>
        <w:numPr>
          <w:ilvl w:val="1"/>
          <w:numId w:val="70"/>
        </w:numPr>
        <w:rPr>
          <w:sz w:val="26"/>
        </w:rPr>
      </w:pPr>
      <w:bookmarkStart w:id="5" w:name="_Toc91286151"/>
      <w:bookmarkStart w:id="6" w:name="_Toc95302993"/>
      <w:bookmarkStart w:id="7" w:name="_Toc102133784"/>
      <w:bookmarkStart w:id="8" w:name="_Toc104544168"/>
      <w:r w:rsidRPr="003C7CB1">
        <w:rPr>
          <w:sz w:val="26"/>
        </w:rPr>
        <w:t>Touri</w:t>
      </w:r>
      <w:bookmarkEnd w:id="5"/>
      <w:bookmarkEnd w:id="6"/>
      <w:r w:rsidRPr="003C7CB1">
        <w:rPr>
          <w:sz w:val="26"/>
        </w:rPr>
        <w:t>sm in Montenegro</w:t>
      </w:r>
      <w:bookmarkEnd w:id="7"/>
      <w:bookmarkEnd w:id="8"/>
      <w:r w:rsidRPr="003C7CB1">
        <w:rPr>
          <w:sz w:val="26"/>
        </w:rPr>
        <w:t xml:space="preserve"> </w:t>
      </w:r>
    </w:p>
    <w:p w14:paraId="3C9D3A05" w14:textId="77777777" w:rsidR="00E732FA" w:rsidRPr="003C7CB1" w:rsidRDefault="00E732FA" w:rsidP="00E732FA">
      <w:pPr>
        <w:spacing w:after="120" w:line="240" w:lineRule="auto"/>
        <w:jc w:val="both"/>
        <w:rPr>
          <w:rFonts w:cstheme="minorHAnsi"/>
          <w:sz w:val="24"/>
          <w:szCs w:val="24"/>
        </w:rPr>
      </w:pPr>
    </w:p>
    <w:p w14:paraId="76C7B565"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Tourism is a strategic economic branch of the Montenegrin economy. Until 2020, which is characterized by the outbreak of the COVID-19 pandemic, from year to year, the tourism sector had recorded an increase in the number of tourists and overnight stays, investments, and final revenues. </w:t>
      </w:r>
    </w:p>
    <w:p w14:paraId="6686CCE4"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The key indicators from the report</w:t>
      </w:r>
      <w:r w:rsidRPr="003C7CB1">
        <w:rPr>
          <w:rStyle w:val="FootnoteReference"/>
          <w:sz w:val="24"/>
          <w:szCs w:val="24"/>
        </w:rPr>
        <w:footnoteReference w:id="1"/>
      </w:r>
      <w:r w:rsidRPr="003C7CB1">
        <w:rPr>
          <w:rFonts w:cstheme="minorHAnsi"/>
          <w:sz w:val="24"/>
          <w:szCs w:val="24"/>
        </w:rPr>
        <w:t xml:space="preserve"> of the World Travel and Tourism Council (WTTC) for Montenegro, which refer to 2019, are the following: total (direct and indirect) contribution of the tourism and travel sector to gross domestic product (GDP) was 30.9%, the total contribution to employment was 31.9%, and the share of tourism in total exports was 52.6%. If we look at the data for the period from 2009 to 2019, it can be stated that the number of tourists increased by 119%, the number of overnight stays by 91%, and the total revenue by 92%. Statistics also show that over 90% of tourist visits are in the coastal region and mainly during the short summer period (June-September).  </w:t>
      </w:r>
    </w:p>
    <w:p w14:paraId="5C6F2191"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In order to further develop tourism to ensure employment increase, raise living standards, ensure more balanced regional development, but also improve the global recognizability of the country, the Government of Montenegro opted for continuous sustainable development of tourism, focusing on efficient use of resources, promoting Montenegro as sustainable, inclusive, green and smart tourist destinations. When creating a strategic approach, it is important to respect the constitutional provision that Montenegro is an ecological state, as well as the framework provided by the adoption of the National Strategy for Sustainable Development of Montenegro until 2030, which includes the principles of sustainability from the United Nations Agenda for Sustainable Development until 2030. </w:t>
      </w:r>
    </w:p>
    <w:p w14:paraId="2E67903E"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Montenegro is recognized as a country rich in natural diversity in a small territory, a country of contrasts of North and South, with five national parks, five UNESCO World Heritage Sites, six nature parks, two marine protected areas, three Ramsar sites and numerous lakes, with rich cultural and historical and multicultural heritage, authentic gastronomy, and whose potentials have not been adequately and sufficiently valorized so far, in order to create a year-round tourist destination.</w:t>
      </w:r>
      <w:r w:rsidRPr="003C7CB1">
        <w:t xml:space="preserve"> </w:t>
      </w:r>
      <w:r w:rsidRPr="003C7CB1">
        <w:rPr>
          <w:rFonts w:cstheme="minorHAnsi"/>
          <w:b/>
          <w:sz w:val="24"/>
          <w:szCs w:val="24"/>
        </w:rPr>
        <w:t>In order to achieve the above in the best possible way, the Concept of the Spatial Plan of Montenegro until 2040 for the field of tourism was used for the development of this Strategy in order to harmonize them. In other words, the project teams for the preparation of both documents directly cooperated, exchanged data and visions in the direction of defining common positions on the development of tourism in Montenegro.</w:t>
      </w:r>
      <w:r w:rsidRPr="003C7CB1">
        <w:t xml:space="preserve"> </w:t>
      </w:r>
      <w:r w:rsidRPr="003C7CB1">
        <w:rPr>
          <w:rFonts w:cstheme="minorHAnsi"/>
          <w:b/>
          <w:sz w:val="24"/>
          <w:szCs w:val="24"/>
        </w:rPr>
        <w:t>In that sense, the visions for the development of tourism clusters in this Strategy are fully compatible with the visions for the development of the regions defined in the Concept of the Spatial Plan of Montenegro until 2040</w:t>
      </w:r>
      <w:r w:rsidRPr="003C7CB1">
        <w:rPr>
          <w:rFonts w:cstheme="minorHAnsi"/>
          <w:sz w:val="24"/>
          <w:szCs w:val="24"/>
        </w:rPr>
        <w:t xml:space="preserve">. </w:t>
      </w:r>
    </w:p>
    <w:p w14:paraId="561568D3" w14:textId="77777777"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Despite the progress made in the previous period, tourism has not developed in accordance with the principles of sustainability and preservation of the environment and resources.</w:t>
      </w:r>
      <w:r w:rsidRPr="003C7CB1">
        <w:t xml:space="preserve"> </w:t>
      </w:r>
      <w:r w:rsidRPr="003C7CB1">
        <w:rPr>
          <w:rFonts w:asciiTheme="minorHAnsi" w:hAnsiTheme="minorHAnsi" w:cs="Arial"/>
          <w:sz w:val="24"/>
          <w:szCs w:val="24"/>
        </w:rPr>
        <w:t xml:space="preserve">Among the goals of this Strategy, in addition to the segment of sustainability, special attention was paid to challenges such as: reducing seasonality with diversification of products and services, reducing regional development imbalance, improving the tourist experience, increasing the number of high-capacity accommodation in the Central and Northern region, </w:t>
      </w:r>
      <w:r w:rsidRPr="003C7CB1">
        <w:rPr>
          <w:rFonts w:asciiTheme="minorHAnsi" w:hAnsiTheme="minorHAnsi" w:cs="Arial"/>
          <w:sz w:val="24"/>
          <w:szCs w:val="24"/>
        </w:rPr>
        <w:lastRenderedPageBreak/>
        <w:t xml:space="preserve">improving accessibility by transport, implementation of innovative solutions and modern technologies, improving destination management, improving destination promotion, strengthening public-private partnerships, all in correlation with the strategic goals of the Government of Montenegro aimed at raising living standards. </w:t>
      </w:r>
    </w:p>
    <w:p w14:paraId="0E633960" w14:textId="77777777"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 xml:space="preserve">In order to achieve better results in the tourism sector, it is necessary to diversify products and services. It can be achieved through continuous work on the sustainable use of all natural and created potentials that Montenegro has. By diversification, the product would exceed the offer of “sun and sea”, as Montenegro is most often perceived as a tourist destination, and that would result with extended tourist season and balanced regional development, reducing the pressure on the coast, while respecting the principles of sustainable development of the destination. Tourism, as the dominant development branch of Montenegro, is of key importance for achieving economic stability. As such, it promotes the further development of complementary industries, mostly agriculture and food industry, transport, trade, and construction. Complementarity with other sectors is the basis for wider coverage and further concretization of development plans, activities and measures that apply to the entire economy. </w:t>
      </w:r>
    </w:p>
    <w:p w14:paraId="0F9CDFBC" w14:textId="77777777"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The global crisis in 2008 significantly affected the destabilization of tourism in Montenegro. In that year, the Montenegro Tourism Development Strategy until 2020 was adopted.</w:t>
      </w:r>
      <w:r w:rsidRPr="003C7CB1">
        <w:t xml:space="preserve"> </w:t>
      </w:r>
      <w:r w:rsidRPr="003C7CB1">
        <w:rPr>
          <w:rFonts w:asciiTheme="minorHAnsi" w:hAnsiTheme="minorHAnsi" w:cs="Arial"/>
          <w:sz w:val="24"/>
          <w:szCs w:val="24"/>
        </w:rPr>
        <w:t xml:space="preserve">This Strategy defines the strategic goal of tourism development, which reads: By applying the principles and sustainable development goals, Montenegro will create a strong position of a global high-quality tourist destination, tourism will provide the Montenegrin population with enough jobs and raise living standards, and the country will generate revenue in a stable and reliable way. However, the strategic and operational goals of the Strategy have not been implemented, as evidenced by numerous inherited problems and the situation in which tourism in Montenegro is, which is partly caused by the global economic crisis. </w:t>
      </w:r>
    </w:p>
    <w:p w14:paraId="103FEA32" w14:textId="6D2ED14A"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 xml:space="preserve">The Ministry of Economic Development has initiated the development of a new Montenegro Tourism Development Strategy </w:t>
      </w:r>
      <w:r w:rsidR="00EC0F06">
        <w:rPr>
          <w:rFonts w:asciiTheme="minorHAnsi" w:hAnsiTheme="minorHAnsi" w:cs="Arial"/>
          <w:sz w:val="24"/>
          <w:szCs w:val="24"/>
        </w:rPr>
        <w:t xml:space="preserve">2022-2025 </w:t>
      </w:r>
      <w:r w:rsidRPr="003C7CB1">
        <w:rPr>
          <w:rFonts w:asciiTheme="minorHAnsi" w:hAnsiTheme="minorHAnsi" w:cs="Arial"/>
          <w:sz w:val="24"/>
          <w:szCs w:val="24"/>
        </w:rPr>
        <w:t>with the Action Pla</w:t>
      </w:r>
      <w:r w:rsidR="00EC0F06">
        <w:rPr>
          <w:rFonts w:asciiTheme="minorHAnsi" w:hAnsiTheme="minorHAnsi" w:cs="Arial"/>
          <w:sz w:val="24"/>
          <w:szCs w:val="24"/>
        </w:rPr>
        <w:t>n</w:t>
      </w:r>
      <w:r w:rsidRPr="003C7CB1">
        <w:rPr>
          <w:rFonts w:asciiTheme="minorHAnsi" w:hAnsiTheme="minorHAnsi" w:cs="Arial"/>
          <w:sz w:val="24"/>
          <w:szCs w:val="24"/>
        </w:rPr>
        <w:t xml:space="preserve">.  The </w:t>
      </w:r>
      <w:r w:rsidR="00EC0F06">
        <w:rPr>
          <w:rFonts w:asciiTheme="minorHAnsi" w:hAnsiTheme="minorHAnsi" w:cs="Arial"/>
          <w:sz w:val="24"/>
          <w:szCs w:val="24"/>
        </w:rPr>
        <w:t>S</w:t>
      </w:r>
      <w:r w:rsidRPr="003C7CB1">
        <w:rPr>
          <w:rFonts w:asciiTheme="minorHAnsi" w:hAnsiTheme="minorHAnsi" w:cs="Arial"/>
          <w:sz w:val="24"/>
          <w:szCs w:val="24"/>
        </w:rPr>
        <w:t>trategy refers to a four-year period due to more efficient strategic planning of tourism development in the conditions of altered reality, in accordance with the current pandemic and other potential challenges.</w:t>
      </w:r>
      <w:r w:rsidRPr="003C7CB1">
        <w:t xml:space="preserve"> </w:t>
      </w:r>
      <w:r w:rsidRPr="003C7CB1">
        <w:rPr>
          <w:rFonts w:asciiTheme="minorHAnsi" w:hAnsiTheme="minorHAnsi" w:cs="Arial"/>
          <w:sz w:val="24"/>
          <w:szCs w:val="24"/>
        </w:rPr>
        <w:t xml:space="preserve">The Strategy is an umbrella strategic document, which identifies opportunities for further development of tourism, taking into account the principles of sustainability, compliance, potential, development needs and requirements of the economy, domestic and foreign markets.  </w:t>
      </w:r>
    </w:p>
    <w:p w14:paraId="7F082ACB" w14:textId="3248A38D"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 xml:space="preserve">During the drafting of the Strategy, trends in the international market were taken into account, as well as the health and economic crisis caused by the COVID-19 pandemic. Therefore, it seems that it is the right moment to, in addition to the recovery of tourism, pay attention to the creation of a new development and management model. In this regard, Montenegro Tourism Development Strategy </w:t>
      </w:r>
      <w:r w:rsidR="00A52706">
        <w:rPr>
          <w:rFonts w:asciiTheme="minorHAnsi" w:hAnsiTheme="minorHAnsi" w:cs="Arial"/>
          <w:sz w:val="24"/>
          <w:szCs w:val="24"/>
        </w:rPr>
        <w:t>2022</w:t>
      </w:r>
      <w:r w:rsidR="00A52706">
        <w:rPr>
          <w:rFonts w:asciiTheme="minorHAnsi" w:hAnsiTheme="minorHAnsi" w:cs="Arial"/>
          <w:sz w:val="24"/>
          <w:szCs w:val="24"/>
          <w:lang w:val="sr-Latn-ME"/>
        </w:rPr>
        <w:t xml:space="preserve">-2025 </w:t>
      </w:r>
      <w:r w:rsidRPr="003C7CB1">
        <w:rPr>
          <w:rFonts w:asciiTheme="minorHAnsi" w:hAnsiTheme="minorHAnsi" w:cs="Arial"/>
          <w:sz w:val="24"/>
          <w:szCs w:val="24"/>
        </w:rPr>
        <w:t xml:space="preserve">with the Action Plan defines the directions of tourism development, with the development of competitiveness and better positioning of Montenegro on the global tourism map. The </w:t>
      </w:r>
      <w:r w:rsidR="00A0637E">
        <w:rPr>
          <w:rFonts w:asciiTheme="minorHAnsi" w:hAnsiTheme="minorHAnsi" w:cs="Arial"/>
          <w:sz w:val="24"/>
          <w:szCs w:val="24"/>
        </w:rPr>
        <w:t>A</w:t>
      </w:r>
      <w:r w:rsidRPr="003C7CB1">
        <w:rPr>
          <w:rFonts w:asciiTheme="minorHAnsi" w:hAnsiTheme="minorHAnsi" w:cs="Arial"/>
          <w:sz w:val="24"/>
          <w:szCs w:val="24"/>
        </w:rPr>
        <w:t xml:space="preserve">ction </w:t>
      </w:r>
      <w:r w:rsidR="00E15414">
        <w:rPr>
          <w:rFonts w:asciiTheme="minorHAnsi" w:hAnsiTheme="minorHAnsi" w:cs="Arial"/>
          <w:sz w:val="24"/>
          <w:szCs w:val="24"/>
        </w:rPr>
        <w:t>P</w:t>
      </w:r>
      <w:r w:rsidRPr="003C7CB1">
        <w:rPr>
          <w:rFonts w:asciiTheme="minorHAnsi" w:hAnsiTheme="minorHAnsi" w:cs="Arial"/>
          <w:sz w:val="24"/>
          <w:szCs w:val="24"/>
        </w:rPr>
        <w:t xml:space="preserve">lan defines key measures and activities as well as their holders, and envisages deadlines and financial framework for their implementation. </w:t>
      </w:r>
    </w:p>
    <w:p w14:paraId="775EBB82" w14:textId="77777777"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 xml:space="preserve">The preparation of the document included a wide range of stakeholders, at the state and local level, partners from the public and private sector - relevant ministries and other institutions with public authority, academia, the National Tourism Organization of Montenegro and local </w:t>
      </w:r>
      <w:r w:rsidRPr="003C7CB1">
        <w:rPr>
          <w:rFonts w:asciiTheme="minorHAnsi" w:hAnsiTheme="minorHAnsi" w:cs="Arial"/>
          <w:sz w:val="24"/>
          <w:szCs w:val="24"/>
        </w:rPr>
        <w:lastRenderedPageBreak/>
        <w:t>tourism organizations, tourism, business and tourism associations, the NGO sector, but also international actors such as the World Bank, the European Bank for Reconstruction and Development (EBRD), the German Agency for International Cooperation (GIZ) and the UN Development Program (UNDP).</w:t>
      </w:r>
      <w:r w:rsidRPr="003C7CB1">
        <w:t xml:space="preserve"> </w:t>
      </w:r>
      <w:r w:rsidRPr="003C7CB1">
        <w:rPr>
          <w:rFonts w:asciiTheme="minorHAnsi" w:hAnsiTheme="minorHAnsi" w:cs="Arial"/>
          <w:sz w:val="24"/>
          <w:szCs w:val="24"/>
        </w:rPr>
        <w:t xml:space="preserve">During the preparation of both the text of the Strategy and the Action Plan, it was taken into account that specific activities and projects of other relevant ministries (transport, energy, utilities, etc.) that are in the function of tourism development, are in principle presented in the Action Plan of this Strategy, because their specific and detailed implementation is the subject of the scope of work of relevant ministries, with a tendency to avoid overlapping in terms of inter-ministerial cooperation and taking into account cross-cutting documents. </w:t>
      </w:r>
    </w:p>
    <w:p w14:paraId="084C5D8C" w14:textId="77777777"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 xml:space="preserve">The engagement of the United Nations World Tourism Organization (UNWTO) should be especially emphasized, since it followed the entire process of drafting the Strategy and with its suggestions and reports made by experts, contributed to harmonizing the goals of this Strategy with UNWTO goals and current, very demanding, present and future trends in the international tourism market, analyzing the Montenegrin market as well. Due to all of the above, the Strategy is internationally recognized. </w:t>
      </w:r>
    </w:p>
    <w:p w14:paraId="74AD65F3" w14:textId="3728B5B8" w:rsidR="00E732FA" w:rsidRPr="003C7CB1" w:rsidRDefault="00E732FA" w:rsidP="00E732FA">
      <w:pPr>
        <w:pStyle w:val="HTMLPreformatted"/>
        <w:spacing w:after="120"/>
        <w:jc w:val="both"/>
        <w:rPr>
          <w:rFonts w:asciiTheme="minorHAnsi" w:hAnsiTheme="minorHAnsi" w:cs="Arial"/>
          <w:sz w:val="24"/>
          <w:szCs w:val="24"/>
        </w:rPr>
      </w:pPr>
      <w:r w:rsidRPr="003C7CB1">
        <w:rPr>
          <w:rFonts w:asciiTheme="minorHAnsi" w:hAnsiTheme="minorHAnsi" w:cs="Arial"/>
          <w:sz w:val="24"/>
          <w:szCs w:val="24"/>
        </w:rPr>
        <w:t xml:space="preserve">Partnerships at all levels are envisaged for the implementation of the Action Plan measures, especially at the level of public and private sectors, because only through synergy, as well as comprehensive networking of a large number of stakeholders, tourism can fully contribute to Montenegro's economic prosperity. </w:t>
      </w:r>
      <w:r w:rsidR="00765B94">
        <w:rPr>
          <w:rFonts w:asciiTheme="minorHAnsi" w:hAnsiTheme="minorHAnsi" w:cs="Arial"/>
          <w:sz w:val="24"/>
          <w:szCs w:val="24"/>
        </w:rPr>
        <w:t xml:space="preserve">                                                                                                       </w:t>
      </w:r>
    </w:p>
    <w:p w14:paraId="3B2D0DEB" w14:textId="77777777" w:rsidR="00E732FA" w:rsidRPr="003C7CB1" w:rsidRDefault="00E732FA" w:rsidP="00E732FA">
      <w:pPr>
        <w:spacing w:after="0" w:line="240" w:lineRule="auto"/>
        <w:jc w:val="both"/>
        <w:rPr>
          <w:rFonts w:cs="Arial"/>
          <w:b/>
          <w:color w:val="1F3864" w:themeColor="accent1" w:themeShade="80"/>
          <w:sz w:val="24"/>
          <w:szCs w:val="24"/>
        </w:rPr>
      </w:pPr>
    </w:p>
    <w:p w14:paraId="4A7BC6EA" w14:textId="77777777" w:rsidR="00E732FA" w:rsidRPr="003C7CB1" w:rsidRDefault="00E732FA" w:rsidP="00E732FA">
      <w:pPr>
        <w:pStyle w:val="Heading2"/>
        <w:numPr>
          <w:ilvl w:val="1"/>
          <w:numId w:val="70"/>
        </w:numPr>
        <w:rPr>
          <w:sz w:val="26"/>
        </w:rPr>
      </w:pPr>
      <w:bookmarkStart w:id="9" w:name="_Toc102133785"/>
      <w:bookmarkStart w:id="10" w:name="_Toc104544169"/>
      <w:r w:rsidRPr="003C7CB1">
        <w:rPr>
          <w:sz w:val="26"/>
        </w:rPr>
        <w:t>Institutional, Legislative and Strategic Framework</w:t>
      </w:r>
      <w:bookmarkEnd w:id="9"/>
      <w:bookmarkEnd w:id="10"/>
      <w:r w:rsidRPr="003C7CB1">
        <w:rPr>
          <w:sz w:val="26"/>
        </w:rPr>
        <w:t xml:space="preserve"> </w:t>
      </w:r>
    </w:p>
    <w:p w14:paraId="098AD0FC" w14:textId="77777777" w:rsidR="00E732FA" w:rsidRPr="003C7CB1" w:rsidRDefault="00E732FA" w:rsidP="00E732FA">
      <w:pPr>
        <w:spacing w:after="0"/>
        <w:jc w:val="both"/>
        <w:rPr>
          <w:rFonts w:cs="Arial"/>
          <w:b/>
          <w:color w:val="1F3864" w:themeColor="accent1" w:themeShade="80"/>
          <w:sz w:val="24"/>
          <w:szCs w:val="24"/>
        </w:rPr>
      </w:pPr>
    </w:p>
    <w:p w14:paraId="2D7FFC16" w14:textId="77777777" w:rsidR="00E732FA" w:rsidRPr="003C7CB1" w:rsidRDefault="00E732FA" w:rsidP="00E732FA">
      <w:pPr>
        <w:spacing w:after="120" w:line="240" w:lineRule="auto"/>
        <w:jc w:val="both"/>
        <w:rPr>
          <w:rFonts w:cs="Arial"/>
          <w:b/>
          <w:i/>
          <w:sz w:val="24"/>
          <w:szCs w:val="24"/>
          <w:u w:val="single"/>
        </w:rPr>
      </w:pPr>
      <w:r w:rsidRPr="003C7CB1">
        <w:rPr>
          <w:rFonts w:cs="Arial"/>
          <w:b/>
          <w:i/>
          <w:sz w:val="24"/>
          <w:szCs w:val="24"/>
          <w:u w:val="single"/>
        </w:rPr>
        <w:t xml:space="preserve">Institutional framework and establishment of the National Tourism Council </w:t>
      </w:r>
    </w:p>
    <w:p w14:paraId="21F695BC" w14:textId="77777777" w:rsidR="00E732FA" w:rsidRPr="003C7CB1" w:rsidRDefault="00E732FA" w:rsidP="00E732FA">
      <w:pPr>
        <w:spacing w:after="120" w:line="240" w:lineRule="auto"/>
        <w:jc w:val="both"/>
        <w:rPr>
          <w:rFonts w:cs="Arial"/>
          <w:sz w:val="24"/>
          <w:szCs w:val="24"/>
        </w:rPr>
      </w:pPr>
      <w:r w:rsidRPr="003C7CB1">
        <w:rPr>
          <w:rFonts w:cs="Arial"/>
          <w:sz w:val="24"/>
          <w:szCs w:val="24"/>
        </w:rPr>
        <w:t xml:space="preserve">In the existing institutional system, the Ministry of Economic Development, responsible for tourism, the National Tourism Organization of Montenegro and local tourism organizations have a leading role in defining development policies in tourism, destination management and creating a tourism product. </w:t>
      </w:r>
    </w:p>
    <w:p w14:paraId="0BDB1A8D" w14:textId="19EBFD4B" w:rsidR="00E732FA" w:rsidRPr="003C7CB1" w:rsidRDefault="00E732FA" w:rsidP="00E732FA">
      <w:pPr>
        <w:spacing w:after="120" w:line="240" w:lineRule="auto"/>
        <w:jc w:val="both"/>
        <w:rPr>
          <w:rFonts w:cs="Arial"/>
          <w:sz w:val="24"/>
          <w:szCs w:val="24"/>
        </w:rPr>
      </w:pPr>
      <w:r w:rsidRPr="003C7CB1">
        <w:rPr>
          <w:rFonts w:cs="Arial"/>
          <w:sz w:val="24"/>
          <w:szCs w:val="24"/>
        </w:rPr>
        <w:t xml:space="preserve">Taking into account the large share of tourism in GDP and its dominant impact on economic flows in the country, this Strategy proposes the establishment of the </w:t>
      </w:r>
      <w:r w:rsidRPr="003C7CB1">
        <w:rPr>
          <w:rFonts w:cs="Arial"/>
          <w:b/>
          <w:sz w:val="24"/>
          <w:szCs w:val="24"/>
        </w:rPr>
        <w:t>National Tourism Council</w:t>
      </w:r>
      <w:r w:rsidRPr="003C7CB1">
        <w:rPr>
          <w:rFonts w:cs="Arial"/>
          <w:sz w:val="24"/>
          <w:szCs w:val="24"/>
        </w:rPr>
        <w:t>, a body whose task would be to strengthen tourism as a sector, both nationally and internationally.</w:t>
      </w:r>
      <w:r w:rsidRPr="003C7CB1">
        <w:t xml:space="preserve"> </w:t>
      </w:r>
      <w:r w:rsidRPr="003C7CB1">
        <w:rPr>
          <w:rFonts w:cs="Arial"/>
          <w:sz w:val="24"/>
          <w:szCs w:val="24"/>
        </w:rPr>
        <w:t>The mission of the National Council would consist of proposing and implementing activities of importance for all entities in the country in the field of tourism and complementary branches, as well as raising standards in this sector with the aim of better global positioning of Montenegro as a tourist destination,</w:t>
      </w:r>
      <w:r w:rsidRPr="003C7CB1">
        <w:t xml:space="preserve"> </w:t>
      </w:r>
      <w:r w:rsidRPr="003C7CB1">
        <w:rPr>
          <w:rFonts w:cs="Arial"/>
          <w:sz w:val="24"/>
          <w:szCs w:val="24"/>
        </w:rPr>
        <w:t>strengthening the economy through better integration of tourism and other branches of the economy, creating a stable business and investment tourist environment and greater tourist satisfaction.</w:t>
      </w:r>
      <w:r w:rsidRPr="003C7CB1">
        <w:t xml:space="preserve"> </w:t>
      </w:r>
      <w:r w:rsidRPr="003C7CB1">
        <w:rPr>
          <w:rFonts w:cs="Arial"/>
          <w:sz w:val="24"/>
          <w:szCs w:val="24"/>
        </w:rPr>
        <w:t xml:space="preserve">The National Council would have a role in controlling the implementation of this Strategy, and it would include representatives of the private sector, which would further strengthen public-private partnership and the role of the private sector in making strategic decisions in the field of tourism. </w:t>
      </w:r>
      <w:r w:rsidR="00765B94">
        <w:rPr>
          <w:rFonts w:cs="Arial"/>
          <w:sz w:val="24"/>
          <w:szCs w:val="24"/>
        </w:rPr>
        <w:t xml:space="preserve">                                                                                                   </w:t>
      </w:r>
    </w:p>
    <w:p w14:paraId="6F96511C" w14:textId="2C4C325A" w:rsidR="00E732FA" w:rsidRPr="003C7CB1" w:rsidRDefault="00E732FA" w:rsidP="00E732FA">
      <w:pPr>
        <w:spacing w:after="120" w:line="240" w:lineRule="auto"/>
        <w:jc w:val="both"/>
        <w:rPr>
          <w:rFonts w:ascii="Calibri" w:eastAsia="Calibri" w:hAnsi="Calibri" w:cs="Arial"/>
          <w:sz w:val="24"/>
          <w:szCs w:val="24"/>
        </w:rPr>
      </w:pPr>
      <w:r w:rsidRPr="003C7CB1">
        <w:rPr>
          <w:rFonts w:ascii="Calibri" w:eastAsia="Calibri" w:hAnsi="Calibri" w:cs="Arial"/>
          <w:sz w:val="24"/>
          <w:szCs w:val="24"/>
        </w:rPr>
        <w:t xml:space="preserve">Bearing in mind the need to improve the business and investment environment, as well as to create a new model of tourist destination management, it is necessary to consider the possibility of restructuring tourist and economic bodies in the field of tourism in the coming </w:t>
      </w:r>
      <w:r w:rsidRPr="003C7CB1">
        <w:rPr>
          <w:rFonts w:ascii="Calibri" w:eastAsia="Calibri" w:hAnsi="Calibri" w:cs="Arial"/>
          <w:sz w:val="24"/>
          <w:szCs w:val="24"/>
        </w:rPr>
        <w:lastRenderedPageBreak/>
        <w:t>period, by introducing a destination management model. Within the destination management, it is necessary to improve the functioning and coordination of destination promotion, with the aim to better position Montenegro in the competitive international tourism market.</w:t>
      </w:r>
      <w:r w:rsidRPr="003C7CB1">
        <w:t xml:space="preserve"> </w:t>
      </w:r>
      <w:r w:rsidRPr="003C7CB1">
        <w:rPr>
          <w:rFonts w:ascii="Calibri" w:eastAsia="Calibri" w:hAnsi="Calibri" w:cs="Arial"/>
          <w:sz w:val="24"/>
          <w:szCs w:val="24"/>
        </w:rPr>
        <w:t xml:space="preserve">The synergy of the National Tourism Organization of Montenegro with local tourism organizations and other tourism actors is necessary through the strengthening of public-private partnership, which should be the backbone of the future functioning of the sector. </w:t>
      </w:r>
      <w:r w:rsidR="00765B94">
        <w:rPr>
          <w:rFonts w:cs="Arial"/>
          <w:sz w:val="24"/>
          <w:szCs w:val="24"/>
        </w:rPr>
        <w:t xml:space="preserve">                                                                                                   </w:t>
      </w:r>
    </w:p>
    <w:p w14:paraId="74B2A0B8" w14:textId="77777777" w:rsidR="00E732FA" w:rsidRPr="003C7CB1" w:rsidRDefault="00E732FA" w:rsidP="00E732FA">
      <w:pPr>
        <w:spacing w:after="120" w:line="240" w:lineRule="auto"/>
        <w:jc w:val="both"/>
        <w:rPr>
          <w:rFonts w:ascii="Calibri" w:eastAsia="Calibri" w:hAnsi="Calibri" w:cs="Arial"/>
          <w:sz w:val="24"/>
          <w:szCs w:val="24"/>
        </w:rPr>
      </w:pPr>
      <w:r w:rsidRPr="003C7CB1">
        <w:rPr>
          <w:rFonts w:ascii="Calibri" w:eastAsia="Calibri" w:hAnsi="Calibri" w:cs="Arial"/>
          <w:sz w:val="24"/>
          <w:szCs w:val="24"/>
        </w:rPr>
        <w:t>A significant role in the institutional system in the context of tourism is played by the PE National Parks of Montenegro, as an enterprise that manages 7.7% of ​​our territory, but also by the Public Enterprise for Coastal Zone, which manages approximately 300 km of beaches.</w:t>
      </w:r>
      <w:r w:rsidRPr="003C7CB1">
        <w:t xml:space="preserve"> </w:t>
      </w:r>
      <w:r w:rsidRPr="003C7CB1">
        <w:rPr>
          <w:rFonts w:ascii="Calibri" w:eastAsia="Calibri" w:hAnsi="Calibri" w:cs="Arial"/>
          <w:sz w:val="24"/>
          <w:szCs w:val="24"/>
        </w:rPr>
        <w:t xml:space="preserve">The role of these two enterprises should be further strengthened in the context of tourism, as they represent valuable partners in the system of planning, management, valorization and implementation of projects in tourism. In addition to the above, special attention should be paid to a number of companies which are of strategic importance, in terms of defining their future ownership, management and organizational structure. </w:t>
      </w:r>
    </w:p>
    <w:p w14:paraId="03CCB54C" w14:textId="77777777" w:rsidR="00E732FA" w:rsidRPr="003C7CB1" w:rsidRDefault="00E732FA" w:rsidP="00E732FA">
      <w:pPr>
        <w:spacing w:after="120" w:line="240" w:lineRule="auto"/>
        <w:jc w:val="both"/>
        <w:rPr>
          <w:rFonts w:ascii="Calibri" w:eastAsia="Calibri" w:hAnsi="Calibri" w:cs="Calibri"/>
          <w:color w:val="292929"/>
          <w:sz w:val="24"/>
          <w:szCs w:val="24"/>
        </w:rPr>
      </w:pPr>
    </w:p>
    <w:p w14:paraId="5F53E13A" w14:textId="77777777" w:rsidR="00E732FA" w:rsidRPr="003C7CB1" w:rsidRDefault="00E732FA" w:rsidP="00E732FA">
      <w:pPr>
        <w:spacing w:after="120" w:line="240" w:lineRule="auto"/>
        <w:jc w:val="both"/>
        <w:rPr>
          <w:rFonts w:cs="Arial"/>
          <w:b/>
          <w:i/>
          <w:sz w:val="24"/>
          <w:szCs w:val="24"/>
          <w:u w:val="single"/>
        </w:rPr>
      </w:pPr>
      <w:r w:rsidRPr="003C7CB1">
        <w:rPr>
          <w:rFonts w:cs="Arial"/>
          <w:b/>
          <w:i/>
          <w:sz w:val="24"/>
          <w:szCs w:val="24"/>
          <w:u w:val="single"/>
        </w:rPr>
        <w:t xml:space="preserve">Legislative framework and standards in tourism </w:t>
      </w:r>
    </w:p>
    <w:p w14:paraId="2FF445E3" w14:textId="02347DC4" w:rsidR="00E732FA" w:rsidRPr="003C7CB1" w:rsidRDefault="00E732FA" w:rsidP="00E732FA">
      <w:pPr>
        <w:spacing w:after="120" w:line="240" w:lineRule="auto"/>
        <w:jc w:val="both"/>
        <w:rPr>
          <w:rFonts w:ascii="Calibri" w:eastAsia="Calibri" w:hAnsi="Calibri" w:cs="Calibri"/>
          <w:sz w:val="24"/>
          <w:szCs w:val="24"/>
        </w:rPr>
      </w:pPr>
      <w:r w:rsidRPr="003C7CB1">
        <w:rPr>
          <w:rFonts w:cs="Arial"/>
          <w:sz w:val="24"/>
          <w:szCs w:val="24"/>
        </w:rPr>
        <w:t>The legal basis for the preparation and adoption of the Tourism Development Strategy is contained in the Law on Tourism and Hospitality (“Official Gazette of Montenegro”, No. 02/18, 013/18, 25/19, 67/19, 76/20, 130/21), which stipulates that tourism development is planned by the Tourism Development Strategy. In addition to the Law on Tourism and Hospitality, the legislative framework for tourism is also regulated by the Law on Tourism Organizations</w:t>
      </w:r>
      <w:r w:rsidRPr="003C7CB1">
        <w:rPr>
          <w:rFonts w:ascii="Calibri" w:eastAsia="Calibri" w:hAnsi="Calibri" w:cs="Calibri"/>
          <w:sz w:val="24"/>
          <w:szCs w:val="24"/>
          <w:vertAlign w:val="superscript"/>
        </w:rPr>
        <w:footnoteReference w:id="2"/>
      </w:r>
      <w:r w:rsidRPr="003C7CB1">
        <w:rPr>
          <w:rFonts w:cs="Arial"/>
          <w:sz w:val="24"/>
          <w:szCs w:val="24"/>
        </w:rPr>
        <w:t>, the Law on Tourist Tax</w:t>
      </w:r>
      <w:r w:rsidRPr="003C7CB1">
        <w:rPr>
          <w:rFonts w:ascii="Calibri" w:eastAsia="Calibri" w:hAnsi="Calibri" w:cs="Calibri"/>
          <w:sz w:val="24"/>
          <w:szCs w:val="24"/>
          <w:vertAlign w:val="superscript"/>
        </w:rPr>
        <w:footnoteReference w:id="3"/>
      </w:r>
      <w:r w:rsidRPr="003C7CB1">
        <w:rPr>
          <w:rFonts w:cs="Arial"/>
          <w:sz w:val="24"/>
          <w:szCs w:val="24"/>
        </w:rPr>
        <w:t>, the Law on Mountain Paths</w:t>
      </w:r>
      <w:r w:rsidRPr="003C7CB1">
        <w:rPr>
          <w:rFonts w:ascii="Calibri" w:eastAsia="Calibri" w:hAnsi="Calibri" w:cs="Calibri"/>
          <w:sz w:val="24"/>
          <w:szCs w:val="24"/>
          <w:vertAlign w:val="superscript"/>
        </w:rPr>
        <w:footnoteReference w:id="4"/>
      </w:r>
      <w:r w:rsidRPr="003C7CB1">
        <w:rPr>
          <w:rFonts w:cs="Arial"/>
          <w:sz w:val="24"/>
          <w:szCs w:val="24"/>
        </w:rPr>
        <w:t>, the Law on Ski Resorts</w:t>
      </w:r>
      <w:r w:rsidRPr="003C7CB1">
        <w:rPr>
          <w:rFonts w:ascii="Calibri" w:eastAsia="Calibri" w:hAnsi="Calibri" w:cs="Calibri"/>
          <w:sz w:val="24"/>
          <w:szCs w:val="24"/>
          <w:vertAlign w:val="superscript"/>
        </w:rPr>
        <w:footnoteReference w:id="5"/>
      </w:r>
      <w:r w:rsidRPr="003C7CB1">
        <w:rPr>
          <w:rFonts w:ascii="Calibri" w:eastAsia="Calibri" w:hAnsi="Calibri" w:cs="Calibri"/>
          <w:sz w:val="24"/>
          <w:szCs w:val="24"/>
        </w:rPr>
        <w:t xml:space="preserve"> </w:t>
      </w:r>
      <w:r w:rsidRPr="003C7CB1">
        <w:rPr>
          <w:rFonts w:cs="Arial"/>
          <w:sz w:val="24"/>
          <w:szCs w:val="24"/>
        </w:rPr>
        <w:t>and the Law on Rafting</w:t>
      </w:r>
      <w:r w:rsidRPr="003C7CB1">
        <w:rPr>
          <w:rFonts w:ascii="Calibri" w:eastAsia="Calibri" w:hAnsi="Calibri" w:cs="Calibri"/>
          <w:sz w:val="24"/>
          <w:szCs w:val="24"/>
          <w:vertAlign w:val="superscript"/>
        </w:rPr>
        <w:footnoteReference w:id="6"/>
      </w:r>
      <w:r w:rsidRPr="003C7CB1">
        <w:rPr>
          <w:rFonts w:ascii="Calibri" w:eastAsia="Calibri" w:hAnsi="Calibri" w:cs="Calibri"/>
          <w:sz w:val="24"/>
          <w:szCs w:val="24"/>
        </w:rPr>
        <w:t xml:space="preserve">. </w:t>
      </w:r>
      <w:r w:rsidR="00765B94">
        <w:rPr>
          <w:rFonts w:cs="Arial"/>
          <w:sz w:val="24"/>
          <w:szCs w:val="24"/>
        </w:rPr>
        <w:t xml:space="preserve">                                                                                                   </w:t>
      </w:r>
    </w:p>
    <w:p w14:paraId="4929EACF" w14:textId="77777777" w:rsidR="00E732FA" w:rsidRPr="003C7CB1" w:rsidRDefault="00E732FA" w:rsidP="00E732FA">
      <w:pPr>
        <w:spacing w:after="120" w:line="240" w:lineRule="auto"/>
        <w:jc w:val="both"/>
        <w:rPr>
          <w:rFonts w:cs="Arial"/>
          <w:sz w:val="24"/>
          <w:szCs w:val="24"/>
        </w:rPr>
      </w:pPr>
      <w:r w:rsidRPr="003C7CB1">
        <w:rPr>
          <w:rFonts w:cs="Arial"/>
          <w:sz w:val="24"/>
          <w:szCs w:val="24"/>
        </w:rPr>
        <w:t xml:space="preserve">With the aim of further harmonization of the national legislation with European legislation, as well as further normative improvement of business in the field of tourism, activities on the preparation of the new Law on Tourism and Hospitality are in the final stage for forwarding to the Government of Montenegro for adoption. </w:t>
      </w:r>
    </w:p>
    <w:p w14:paraId="6821DCC4" w14:textId="77777777" w:rsidR="00E732FA" w:rsidRPr="003C7CB1" w:rsidRDefault="00E732FA" w:rsidP="00E732FA">
      <w:pPr>
        <w:spacing w:after="120" w:line="240" w:lineRule="auto"/>
        <w:jc w:val="both"/>
        <w:rPr>
          <w:rFonts w:cs="Arial"/>
          <w:sz w:val="24"/>
          <w:szCs w:val="24"/>
        </w:rPr>
      </w:pPr>
      <w:r w:rsidRPr="003C7CB1">
        <w:rPr>
          <w:rFonts w:cs="Arial"/>
          <w:sz w:val="24"/>
          <w:szCs w:val="24"/>
        </w:rPr>
        <w:t>The legal solutions defined by the Law on Spatial Planning and Construction</w:t>
      </w:r>
      <w:r w:rsidRPr="003C7CB1">
        <w:t xml:space="preserve"> </w:t>
      </w:r>
      <w:r w:rsidRPr="003C7CB1">
        <w:rPr>
          <w:rFonts w:cs="Arial"/>
          <w:sz w:val="24"/>
          <w:szCs w:val="24"/>
        </w:rPr>
        <w:t xml:space="preserve">of Structures, the Law on Nature Protection, the Law on National Parks, the Law on Strategic Environmental Impact Assessment and the Law on Environmental Impact Assessment, with which the degree of necessary coherence is achieved, have a direct impact on the tourism sector. </w:t>
      </w:r>
    </w:p>
    <w:p w14:paraId="761F35AC" w14:textId="51DEACBF" w:rsidR="00E732FA" w:rsidRPr="003C7CB1" w:rsidRDefault="00E732FA" w:rsidP="00E732FA">
      <w:pPr>
        <w:spacing w:after="120" w:line="240" w:lineRule="auto"/>
        <w:jc w:val="both"/>
        <w:rPr>
          <w:rFonts w:cs="Arial"/>
          <w:sz w:val="24"/>
          <w:szCs w:val="24"/>
        </w:rPr>
      </w:pPr>
      <w:r w:rsidRPr="003C7CB1">
        <w:rPr>
          <w:rFonts w:cs="Arial"/>
          <w:sz w:val="24"/>
          <w:szCs w:val="24"/>
        </w:rPr>
        <w:t xml:space="preserve">In order to raise the level of competitiveness of the </w:t>
      </w:r>
      <w:r w:rsidR="00C65FFD">
        <w:rPr>
          <w:rFonts w:cs="Arial"/>
          <w:sz w:val="24"/>
          <w:szCs w:val="24"/>
        </w:rPr>
        <w:t>tourism product</w:t>
      </w:r>
      <w:r w:rsidRPr="003C7CB1">
        <w:rPr>
          <w:rFonts w:cs="Arial"/>
          <w:sz w:val="24"/>
          <w:szCs w:val="24"/>
        </w:rPr>
        <w:t xml:space="preserve">, while following modern tourist trends, the need for constant upgrading of the tourist business is set as an imperative, where the quality of services (products) is the basic means for success. In the direction of </w:t>
      </w:r>
      <w:r w:rsidRPr="003C7CB1">
        <w:rPr>
          <w:rFonts w:cs="Arial"/>
          <w:sz w:val="24"/>
          <w:szCs w:val="24"/>
        </w:rPr>
        <w:lastRenderedPageBreak/>
        <w:t xml:space="preserve">achieving a high level of service quality, satisfactory results are achieved with the implementation of ISO standards, as international proof of quality. </w:t>
      </w:r>
    </w:p>
    <w:p w14:paraId="265B0BF6" w14:textId="32C97E3A" w:rsidR="00E732FA" w:rsidRPr="003C7CB1" w:rsidRDefault="00E732FA" w:rsidP="00E732FA">
      <w:pPr>
        <w:spacing w:after="120" w:line="240" w:lineRule="auto"/>
        <w:jc w:val="both"/>
        <w:rPr>
          <w:rFonts w:cs="Arial"/>
          <w:sz w:val="24"/>
          <w:szCs w:val="24"/>
        </w:rPr>
      </w:pPr>
      <w:r w:rsidRPr="003C7CB1">
        <w:rPr>
          <w:rFonts w:cs="Arial"/>
          <w:sz w:val="24"/>
          <w:szCs w:val="24"/>
        </w:rPr>
        <w:t xml:space="preserve">Quality management standards are especially important in tourism because the focus is on “human”, who is becoming more and more demanding tourists, so adapting to changes in the international tourism market creates opportunities and increases the competitiveness of the destination. In this regard, the COVID-19 pandemic has further heightened the need for standardization.  </w:t>
      </w:r>
      <w:r w:rsidR="00765B94">
        <w:rPr>
          <w:rFonts w:cs="Arial"/>
          <w:sz w:val="24"/>
          <w:szCs w:val="24"/>
        </w:rPr>
        <w:t xml:space="preserve">                                                                                                   </w:t>
      </w:r>
    </w:p>
    <w:p w14:paraId="0DE6953E" w14:textId="77777777" w:rsidR="00E732FA" w:rsidRPr="003C7CB1" w:rsidRDefault="00E732FA" w:rsidP="00E732FA">
      <w:pPr>
        <w:spacing w:after="120" w:line="240" w:lineRule="auto"/>
        <w:jc w:val="both"/>
        <w:rPr>
          <w:rFonts w:cs="Arial"/>
          <w:sz w:val="24"/>
          <w:szCs w:val="24"/>
        </w:rPr>
      </w:pPr>
      <w:r w:rsidRPr="003C7CB1">
        <w:rPr>
          <w:rFonts w:cs="Arial"/>
          <w:sz w:val="24"/>
          <w:szCs w:val="24"/>
        </w:rPr>
        <w:t>As a service activity, tourism puts in the forefront the emotional and spiritual component, in relation to the material component of the product, service or experience.</w:t>
      </w:r>
      <w:r w:rsidRPr="003C7CB1">
        <w:t xml:space="preserve"> </w:t>
      </w:r>
      <w:r w:rsidRPr="003C7CB1">
        <w:rPr>
          <w:rFonts w:cs="Arial"/>
          <w:sz w:val="24"/>
          <w:szCs w:val="24"/>
        </w:rPr>
        <w:t xml:space="preserve">The quality of the above grows with the greater commitment of the service provider and its contribution to make tourists satisfied and safe, i.e., that their travel, rest and leisure be in the function of raising the levels of satisfaction and quality of their life.  </w:t>
      </w:r>
    </w:p>
    <w:p w14:paraId="61F819D4" w14:textId="77777777" w:rsidR="00E732FA" w:rsidRPr="003C7CB1" w:rsidRDefault="00E732FA" w:rsidP="00E732FA">
      <w:pPr>
        <w:spacing w:after="120" w:line="240" w:lineRule="auto"/>
        <w:jc w:val="both"/>
        <w:rPr>
          <w:rFonts w:cs="Arial"/>
          <w:sz w:val="24"/>
          <w:szCs w:val="24"/>
        </w:rPr>
      </w:pPr>
      <w:r w:rsidRPr="003C7CB1">
        <w:rPr>
          <w:rFonts w:cs="Arial"/>
          <w:sz w:val="24"/>
          <w:szCs w:val="24"/>
        </w:rPr>
        <w:t>Standards improve orderliness and guarantee an organized approach to managing processes that meet the needs and requirements of service users / tourists, but also exceed their expectations. The quality of</w:t>
      </w:r>
      <w:r w:rsidRPr="003C7CB1">
        <w:t xml:space="preserve"> </w:t>
      </w:r>
      <w:r w:rsidRPr="003C7CB1">
        <w:rPr>
          <w:rFonts w:cs="Arial"/>
          <w:sz w:val="24"/>
          <w:szCs w:val="24"/>
        </w:rPr>
        <w:t xml:space="preserve">orderliness of the tourist destination is, among other things, reflected in the accommodation capacities that are improved by applying standards for: system requirements for adequate quality management, environmental protection, food safety, health and safety at work, energy management, information security, specialization for hotels, various types of tourism, travel, etc.  </w:t>
      </w:r>
    </w:p>
    <w:p w14:paraId="0603BD99" w14:textId="77777777" w:rsidR="00E732FA" w:rsidRPr="003C7CB1" w:rsidRDefault="00E732FA" w:rsidP="00E732FA">
      <w:pPr>
        <w:pStyle w:val="bnr-ttl"/>
        <w:spacing w:before="0" w:beforeAutospacing="0" w:after="120" w:afterAutospacing="0"/>
        <w:jc w:val="both"/>
        <w:rPr>
          <w:rFonts w:asciiTheme="minorHAnsi" w:hAnsiTheme="minorHAnsi" w:cs="Calibri"/>
          <w:b/>
          <w:i/>
          <w:u w:val="single"/>
        </w:rPr>
      </w:pPr>
      <w:r w:rsidRPr="003C7CB1">
        <w:rPr>
          <w:rFonts w:asciiTheme="minorHAnsi" w:hAnsiTheme="minorHAnsi" w:cs="Calibri"/>
          <w:b/>
          <w:i/>
          <w:u w:val="single"/>
        </w:rPr>
        <w:t>Strategic framework</w:t>
      </w:r>
    </w:p>
    <w:p w14:paraId="588D596B" w14:textId="77777777" w:rsidR="00E732FA" w:rsidRPr="003C7CB1" w:rsidRDefault="00E732FA" w:rsidP="00E732FA">
      <w:pPr>
        <w:pStyle w:val="bnr-ttl"/>
        <w:spacing w:before="0" w:beforeAutospacing="0" w:after="120" w:afterAutospacing="0"/>
        <w:jc w:val="both"/>
        <w:rPr>
          <w:rFonts w:asciiTheme="minorHAnsi" w:hAnsiTheme="minorHAnsi" w:cstheme="minorHAnsi"/>
        </w:rPr>
      </w:pPr>
      <w:r w:rsidRPr="003C7CB1">
        <w:rPr>
          <w:rFonts w:asciiTheme="minorHAnsi" w:hAnsiTheme="minorHAnsi" w:cstheme="minorHAnsi"/>
        </w:rPr>
        <w:t>In 2015, under the auspices of the United Nations (UN), world leaders adopted the universal 2030 Agenda for Sustainable Development, which is based on seventeen Sustainable Development Goals (SDGs), the fulfillment of which should result in achieving the ultimate goal, and that is a better future for humanity.</w:t>
      </w:r>
      <w:r w:rsidRPr="003C7CB1">
        <w:t xml:space="preserve"> </w:t>
      </w:r>
      <w:r w:rsidRPr="003C7CB1">
        <w:rPr>
          <w:rFonts w:asciiTheme="minorHAnsi" w:hAnsiTheme="minorHAnsi" w:cstheme="minorHAnsi"/>
        </w:rPr>
        <w:t>Taking into account the nature of tourism as a driver of economies around the world, and considering the 17 above mentioned UN goals, it is possible to conclude that tourism has the potential to contribute to the achievement of all, directly or indirectly, depending on the type of goal. Analysis of 17 sustainable development goals indicates that tourism is included in the measures under goals 8, 12, 14 and 17. These 4 Tourism SDGs include economic growth and "work for everybody", sustainable patterns of production and consumption, conservation and sustainable use of seas, oceans and their resources, as well as partnerships in order to achieve all goals. Therefore, the goal of tourism development should be based on the creation of policies and business practices at the national level, which will be in the function of achieving these goals, while raising public awareness of tourism and the importance of UN sustainable development goals.</w:t>
      </w:r>
      <w:r w:rsidRPr="003C7CB1">
        <w:t xml:space="preserve"> </w:t>
      </w:r>
      <w:r w:rsidRPr="003C7CB1">
        <w:rPr>
          <w:rFonts w:asciiTheme="minorHAnsi" w:hAnsiTheme="minorHAnsi" w:cstheme="minorHAnsi"/>
        </w:rPr>
        <w:t xml:space="preserve">All national and international strategic documents are based on UN strategic development goals.  </w:t>
      </w:r>
    </w:p>
    <w:p w14:paraId="41AC389C" w14:textId="27371949" w:rsidR="00E732FA" w:rsidRPr="003C7CB1" w:rsidRDefault="00E732FA" w:rsidP="00E732FA">
      <w:pPr>
        <w:pStyle w:val="bnr-ttl"/>
        <w:spacing w:before="0" w:beforeAutospacing="0" w:line="675" w:lineRule="atLeast"/>
        <w:jc w:val="center"/>
        <w:rPr>
          <w:rFonts w:asciiTheme="minorHAnsi" w:hAnsiTheme="minorHAnsi" w:cstheme="minorHAnsi"/>
        </w:rPr>
      </w:pPr>
      <w:r w:rsidRPr="003C7CB1">
        <w:rPr>
          <w:rFonts w:asciiTheme="minorHAnsi" w:hAnsiTheme="minorHAnsi"/>
          <w:noProof/>
        </w:rPr>
        <mc:AlternateContent>
          <mc:Choice Requires="wps">
            <w:drawing>
              <wp:inline distT="0" distB="0" distL="0" distR="0" wp14:anchorId="0A2B4B6C" wp14:editId="07D1DE3D">
                <wp:extent cx="304800" cy="304800"/>
                <wp:effectExtent l="0" t="0" r="0" b="0"/>
                <wp:docPr id="91" name="AutoShape 1" descr="https://tourism4sdgs.org/wp-content/themes/unwto/images/round-chart.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AF105" id="AutoShape 1" o:spid="_x0000_s1026" alt="https://tourism4sdgs.org/wp-content/themes/unwto/images/round-chart.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KK+1uMCAAAIBg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3C7CB1">
        <w:rPr>
          <w:rFonts w:asciiTheme="minorHAnsi" w:hAnsiTheme="minorHAnsi" w:cstheme="minorHAnsi"/>
        </w:rPr>
        <w:t xml:space="preserve"> </w:t>
      </w:r>
    </w:p>
    <w:p w14:paraId="197CE107" w14:textId="4A1B5BB7" w:rsidR="00974BCD" w:rsidRDefault="0072105E" w:rsidP="00E732FA">
      <w:pPr>
        <w:pStyle w:val="bnr-ttl"/>
        <w:spacing w:before="0" w:beforeAutospacing="0" w:after="120" w:afterAutospacing="0" w:line="276" w:lineRule="auto"/>
        <w:jc w:val="both"/>
        <w:rPr>
          <w:rFonts w:asciiTheme="minorHAnsi" w:hAnsiTheme="minorHAnsi" w:cstheme="minorHAnsi"/>
        </w:rPr>
      </w:pPr>
      <w:r>
        <w:rPr>
          <w:noProof/>
        </w:rPr>
        <w:lastRenderedPageBreak/>
        <w:drawing>
          <wp:inline distT="0" distB="0" distL="0" distR="0" wp14:anchorId="2B3A3B1E" wp14:editId="56052230">
            <wp:extent cx="5580713" cy="38039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5976" cy="3855204"/>
                    </a:xfrm>
                    <a:prstGeom prst="rect">
                      <a:avLst/>
                    </a:prstGeom>
                    <a:noFill/>
                    <a:ln>
                      <a:noFill/>
                    </a:ln>
                  </pic:spPr>
                </pic:pic>
              </a:graphicData>
            </a:graphic>
          </wp:inline>
        </w:drawing>
      </w:r>
    </w:p>
    <w:p w14:paraId="0704913E" w14:textId="6FEE0684" w:rsidR="00E732FA" w:rsidRPr="003C7CB1" w:rsidRDefault="00E732FA" w:rsidP="00E732FA">
      <w:pPr>
        <w:pStyle w:val="bnr-ttl"/>
        <w:spacing w:before="0" w:beforeAutospacing="0" w:after="120" w:afterAutospacing="0" w:line="276" w:lineRule="auto"/>
        <w:jc w:val="both"/>
        <w:rPr>
          <w:rFonts w:asciiTheme="minorHAnsi" w:hAnsiTheme="minorHAnsi" w:cstheme="minorHAnsi"/>
        </w:rPr>
      </w:pPr>
      <w:r w:rsidRPr="003C7CB1">
        <w:rPr>
          <w:rFonts w:asciiTheme="minorHAnsi" w:hAnsiTheme="minorHAnsi" w:cstheme="minorHAnsi"/>
        </w:rPr>
        <w:t xml:space="preserve">The following is an overview of the Strategic, National and International Framework, whose priorities are correlated with the priorities of Montenegro Tourism Development Strategy </w:t>
      </w:r>
      <w:r w:rsidR="00A54840" w:rsidRPr="003C7CB1">
        <w:rPr>
          <w:rFonts w:asciiTheme="minorHAnsi" w:hAnsiTheme="minorHAnsi" w:cstheme="minorHAnsi"/>
        </w:rPr>
        <w:t>2022-2025</w:t>
      </w:r>
      <w:r w:rsidR="00A54840">
        <w:rPr>
          <w:rFonts w:asciiTheme="minorHAnsi" w:hAnsiTheme="minorHAnsi" w:cstheme="minorHAnsi"/>
        </w:rPr>
        <w:t xml:space="preserve"> </w:t>
      </w:r>
      <w:r w:rsidRPr="003C7CB1">
        <w:rPr>
          <w:rFonts w:asciiTheme="minorHAnsi" w:hAnsiTheme="minorHAnsi" w:cstheme="minorHAnsi"/>
        </w:rPr>
        <w:t>with the Action Plan.</w:t>
      </w:r>
      <w:r w:rsidR="00765B94">
        <w:rPr>
          <w:rFonts w:asciiTheme="minorHAnsi" w:hAnsiTheme="minorHAnsi" w:cs="Arial"/>
        </w:rPr>
        <w:t xml:space="preserve">                                                                                                   </w:t>
      </w:r>
    </w:p>
    <w:p w14:paraId="55449F76" w14:textId="77777777" w:rsidR="00E732FA" w:rsidRPr="003C7CB1" w:rsidRDefault="00E732FA" w:rsidP="00E732FA">
      <w:pPr>
        <w:pStyle w:val="bnr-ttl"/>
        <w:spacing w:before="0" w:beforeAutospacing="0" w:after="120" w:afterAutospacing="0" w:line="276" w:lineRule="auto"/>
        <w:rPr>
          <w:rFonts w:asciiTheme="minorHAnsi" w:hAnsiTheme="minorHAnsi" w:cstheme="minorHAnsi"/>
        </w:rPr>
      </w:pPr>
    </w:p>
    <w:p w14:paraId="39A21CB6" w14:textId="77777777" w:rsidR="00E732FA" w:rsidRPr="003C7CB1" w:rsidRDefault="00E732FA" w:rsidP="00E732FA">
      <w:pPr>
        <w:pStyle w:val="bnr-ttl"/>
        <w:spacing w:before="0" w:beforeAutospacing="0" w:after="120" w:afterAutospacing="0" w:line="276" w:lineRule="auto"/>
        <w:rPr>
          <w:rFonts w:asciiTheme="minorHAnsi" w:hAnsiTheme="minorHAnsi" w:cstheme="minorHAnsi"/>
        </w:rPr>
      </w:pPr>
    </w:p>
    <w:p w14:paraId="1B345360" w14:textId="788F0F5B" w:rsidR="00E732FA" w:rsidRPr="003C7CB1" w:rsidRDefault="00E732FA" w:rsidP="00E732FA">
      <w:pPr>
        <w:tabs>
          <w:tab w:val="left" w:pos="3084"/>
        </w:tabs>
        <w:jc w:val="center"/>
        <w:rPr>
          <w:rFonts w:cstheme="minorHAnsi"/>
          <w:b/>
          <w:bCs/>
          <w:sz w:val="20"/>
          <w:szCs w:val="20"/>
        </w:rPr>
      </w:pPr>
      <w:r w:rsidRPr="003C7CB1">
        <w:rPr>
          <w:rFonts w:cstheme="minorHAnsi"/>
          <w:b/>
          <w:iCs/>
          <w:sz w:val="20"/>
          <w:szCs w:val="20"/>
        </w:rPr>
        <w:t xml:space="preserve">Strategic framework of Montenegro Tourism Development Strategy </w:t>
      </w:r>
      <w:r w:rsidR="00A54840" w:rsidRPr="003C7CB1">
        <w:rPr>
          <w:rFonts w:cstheme="minorHAnsi"/>
          <w:b/>
          <w:iCs/>
          <w:sz w:val="20"/>
          <w:szCs w:val="20"/>
        </w:rPr>
        <w:t>2022-2025</w:t>
      </w:r>
      <w:r w:rsidR="00A54840">
        <w:rPr>
          <w:rFonts w:cstheme="minorHAnsi"/>
          <w:b/>
          <w:iCs/>
          <w:sz w:val="20"/>
          <w:szCs w:val="20"/>
        </w:rPr>
        <w:t xml:space="preserve"> </w:t>
      </w:r>
      <w:r w:rsidRPr="003C7CB1">
        <w:rPr>
          <w:rFonts w:cstheme="minorHAnsi"/>
          <w:b/>
          <w:iCs/>
          <w:sz w:val="20"/>
          <w:szCs w:val="20"/>
        </w:rPr>
        <w:t xml:space="preserve">with the Action Plan </w:t>
      </w:r>
    </w:p>
    <w:tbl>
      <w:tblPr>
        <w:tblW w:w="0" w:type="auto"/>
        <w:jc w:val="center"/>
        <w:tblLook w:val="04A0" w:firstRow="1" w:lastRow="0" w:firstColumn="1" w:lastColumn="0" w:noHBand="0" w:noVBand="1"/>
      </w:tblPr>
      <w:tblGrid>
        <w:gridCol w:w="2871"/>
        <w:gridCol w:w="337"/>
        <w:gridCol w:w="2759"/>
        <w:gridCol w:w="262"/>
        <w:gridCol w:w="2798"/>
      </w:tblGrid>
      <w:tr w:rsidR="00E732FA" w:rsidRPr="003C7CB1" w14:paraId="1CF4D277" w14:textId="77777777" w:rsidTr="00E732FA">
        <w:trPr>
          <w:trHeight w:val="465"/>
          <w:jc w:val="center"/>
        </w:trPr>
        <w:tc>
          <w:tcPr>
            <w:tcW w:w="2998" w:type="dxa"/>
            <w:tcBorders>
              <w:left w:val="nil"/>
              <w:bottom w:val="single" w:sz="4" w:space="0" w:color="auto"/>
              <w:right w:val="single" w:sz="4" w:space="0" w:color="auto"/>
            </w:tcBorders>
          </w:tcPr>
          <w:p w14:paraId="416F5ADF"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Europe 2020 Strategy and South East Europe 2020 Strategy </w:t>
            </w:r>
          </w:p>
        </w:tc>
        <w:tc>
          <w:tcPr>
            <w:tcW w:w="346" w:type="dxa"/>
            <w:tcBorders>
              <w:top w:val="nil"/>
              <w:left w:val="single" w:sz="4" w:space="0" w:color="auto"/>
              <w:bottom w:val="single" w:sz="4" w:space="0" w:color="auto"/>
              <w:right w:val="single" w:sz="4" w:space="0" w:color="auto"/>
            </w:tcBorders>
          </w:tcPr>
          <w:p w14:paraId="67FE0469"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left w:val="single" w:sz="4" w:space="0" w:color="auto"/>
              <w:bottom w:val="single" w:sz="4" w:space="0" w:color="auto"/>
              <w:right w:val="single" w:sz="4" w:space="0" w:color="auto"/>
            </w:tcBorders>
          </w:tcPr>
          <w:p w14:paraId="16FC2376"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Commitments from the EU accession process of Montenegro (Chapters 3, 20 and 27) </w:t>
            </w:r>
          </w:p>
        </w:tc>
        <w:tc>
          <w:tcPr>
            <w:tcW w:w="265" w:type="dxa"/>
            <w:tcBorders>
              <w:top w:val="nil"/>
              <w:left w:val="single" w:sz="4" w:space="0" w:color="auto"/>
              <w:bottom w:val="single" w:sz="4" w:space="0" w:color="auto"/>
              <w:right w:val="single" w:sz="4" w:space="0" w:color="auto"/>
            </w:tcBorders>
          </w:tcPr>
          <w:p w14:paraId="61E92E3F"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left w:val="single" w:sz="4" w:space="0" w:color="auto"/>
              <w:bottom w:val="single" w:sz="4" w:space="0" w:color="auto"/>
              <w:right w:val="nil"/>
            </w:tcBorders>
          </w:tcPr>
          <w:p w14:paraId="49A0128F"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Smart Specialization Strategy of Montenegro 2019-2024 </w:t>
            </w:r>
          </w:p>
        </w:tc>
      </w:tr>
      <w:tr w:rsidR="00E732FA" w:rsidRPr="003C7CB1" w14:paraId="3A7506C5" w14:textId="77777777" w:rsidTr="00E732FA">
        <w:trPr>
          <w:trHeight w:val="439"/>
          <w:jc w:val="center"/>
        </w:trPr>
        <w:tc>
          <w:tcPr>
            <w:tcW w:w="2998" w:type="dxa"/>
            <w:tcBorders>
              <w:top w:val="single" w:sz="4" w:space="0" w:color="auto"/>
              <w:left w:val="nil"/>
              <w:bottom w:val="single" w:sz="4" w:space="0" w:color="auto"/>
              <w:right w:val="single" w:sz="4" w:space="0" w:color="auto"/>
            </w:tcBorders>
          </w:tcPr>
          <w:p w14:paraId="773AE2E3"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Multiannual Financial Framework EU 2021-2027 </w:t>
            </w:r>
          </w:p>
        </w:tc>
        <w:tc>
          <w:tcPr>
            <w:tcW w:w="346" w:type="dxa"/>
            <w:tcBorders>
              <w:top w:val="single" w:sz="4" w:space="0" w:color="auto"/>
              <w:left w:val="single" w:sz="4" w:space="0" w:color="auto"/>
              <w:bottom w:val="single" w:sz="4" w:space="0" w:color="auto"/>
              <w:right w:val="single" w:sz="4" w:space="0" w:color="auto"/>
            </w:tcBorders>
          </w:tcPr>
          <w:p w14:paraId="291F1F7E"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2A07F686"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National Strategy for Sustainable Development of Montenegro until 2030 </w:t>
            </w:r>
          </w:p>
        </w:tc>
        <w:tc>
          <w:tcPr>
            <w:tcW w:w="265" w:type="dxa"/>
            <w:tcBorders>
              <w:top w:val="single" w:sz="4" w:space="0" w:color="auto"/>
              <w:left w:val="single" w:sz="4" w:space="0" w:color="auto"/>
              <w:bottom w:val="single" w:sz="4" w:space="0" w:color="auto"/>
              <w:right w:val="single" w:sz="4" w:space="0" w:color="auto"/>
            </w:tcBorders>
          </w:tcPr>
          <w:p w14:paraId="0E892CAD"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3F83B2F4"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National Strategy in the field of Climate Change until 2030 </w:t>
            </w:r>
          </w:p>
        </w:tc>
      </w:tr>
      <w:tr w:rsidR="00E732FA" w:rsidRPr="003C7CB1" w14:paraId="2DF79BFE" w14:textId="77777777" w:rsidTr="00E732FA">
        <w:trPr>
          <w:jc w:val="center"/>
        </w:trPr>
        <w:tc>
          <w:tcPr>
            <w:tcW w:w="2998" w:type="dxa"/>
            <w:tcBorders>
              <w:top w:val="single" w:sz="4" w:space="0" w:color="auto"/>
              <w:left w:val="nil"/>
              <w:bottom w:val="single" w:sz="4" w:space="0" w:color="auto"/>
              <w:right w:val="single" w:sz="4" w:space="0" w:color="auto"/>
            </w:tcBorders>
          </w:tcPr>
          <w:p w14:paraId="36917C06"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EU: Tourism and Transport in 2020 and beyond</w:t>
            </w:r>
          </w:p>
        </w:tc>
        <w:tc>
          <w:tcPr>
            <w:tcW w:w="346" w:type="dxa"/>
            <w:tcBorders>
              <w:top w:val="single" w:sz="4" w:space="0" w:color="auto"/>
              <w:left w:val="single" w:sz="4" w:space="0" w:color="auto"/>
              <w:bottom w:val="single" w:sz="4" w:space="0" w:color="auto"/>
              <w:right w:val="single" w:sz="4" w:space="0" w:color="auto"/>
            </w:tcBorders>
          </w:tcPr>
          <w:p w14:paraId="064FBE76"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3C4A64E6"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Montenegro Development Directions 2018-2021 </w:t>
            </w:r>
          </w:p>
        </w:tc>
        <w:tc>
          <w:tcPr>
            <w:tcW w:w="265" w:type="dxa"/>
            <w:tcBorders>
              <w:top w:val="single" w:sz="4" w:space="0" w:color="auto"/>
              <w:left w:val="single" w:sz="4" w:space="0" w:color="auto"/>
              <w:bottom w:val="single" w:sz="4" w:space="0" w:color="auto"/>
              <w:right w:val="single" w:sz="4" w:space="0" w:color="auto"/>
            </w:tcBorders>
          </w:tcPr>
          <w:p w14:paraId="0D0D8F98"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5C4A6AFF"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Strategy for the Development of Micro, Small and Medium Enterprises (MSMEs) in Montenegro 2018-2022 </w:t>
            </w:r>
          </w:p>
        </w:tc>
      </w:tr>
      <w:tr w:rsidR="00E732FA" w:rsidRPr="003C7CB1" w14:paraId="30B0C9C7" w14:textId="77777777" w:rsidTr="00E732FA">
        <w:trPr>
          <w:trHeight w:val="697"/>
          <w:jc w:val="center"/>
        </w:trPr>
        <w:tc>
          <w:tcPr>
            <w:tcW w:w="2998" w:type="dxa"/>
            <w:tcBorders>
              <w:top w:val="single" w:sz="4" w:space="0" w:color="auto"/>
              <w:left w:val="nil"/>
              <w:bottom w:val="single" w:sz="4" w:space="0" w:color="auto"/>
              <w:right w:val="single" w:sz="4" w:space="0" w:color="auto"/>
            </w:tcBorders>
          </w:tcPr>
          <w:p w14:paraId="0F283392"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EU macro-regional strategy: for the Adriatic-Ionian region 2014-2020 (EUSAIR) and EUSDR</w:t>
            </w:r>
          </w:p>
        </w:tc>
        <w:tc>
          <w:tcPr>
            <w:tcW w:w="346" w:type="dxa"/>
            <w:tcBorders>
              <w:top w:val="single" w:sz="4" w:space="0" w:color="auto"/>
              <w:left w:val="single" w:sz="4" w:space="0" w:color="auto"/>
              <w:bottom w:val="single" w:sz="4" w:space="0" w:color="auto"/>
              <w:right w:val="single" w:sz="4" w:space="0" w:color="auto"/>
            </w:tcBorders>
          </w:tcPr>
          <w:p w14:paraId="144F28C8"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3BDC31BC"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Montenegro’s Program of Accession to the European Union 2020 – 2022 </w:t>
            </w:r>
          </w:p>
        </w:tc>
        <w:tc>
          <w:tcPr>
            <w:tcW w:w="265" w:type="dxa"/>
            <w:tcBorders>
              <w:top w:val="single" w:sz="4" w:space="0" w:color="auto"/>
              <w:left w:val="single" w:sz="4" w:space="0" w:color="auto"/>
              <w:bottom w:val="single" w:sz="4" w:space="0" w:color="auto"/>
              <w:right w:val="single" w:sz="4" w:space="0" w:color="auto"/>
            </w:tcBorders>
          </w:tcPr>
          <w:p w14:paraId="096CD22A"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2EC75912"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Strategy for the Development of Official Statistics 2019-2023 </w:t>
            </w:r>
          </w:p>
        </w:tc>
      </w:tr>
      <w:tr w:rsidR="00E732FA" w:rsidRPr="003C7CB1" w14:paraId="5F60C65C" w14:textId="77777777" w:rsidTr="00E732FA">
        <w:trPr>
          <w:jc w:val="center"/>
        </w:trPr>
        <w:tc>
          <w:tcPr>
            <w:tcW w:w="2998" w:type="dxa"/>
            <w:tcBorders>
              <w:top w:val="single" w:sz="4" w:space="0" w:color="auto"/>
              <w:left w:val="nil"/>
              <w:bottom w:val="single" w:sz="4" w:space="0" w:color="auto"/>
              <w:right w:val="single" w:sz="4" w:space="0" w:color="auto"/>
            </w:tcBorders>
          </w:tcPr>
          <w:p w14:paraId="0939A0A7"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Europe's moment: Repair and Prepare for the Next Generation</w:t>
            </w:r>
          </w:p>
        </w:tc>
        <w:tc>
          <w:tcPr>
            <w:tcW w:w="346" w:type="dxa"/>
            <w:tcBorders>
              <w:top w:val="single" w:sz="4" w:space="0" w:color="auto"/>
              <w:left w:val="single" w:sz="4" w:space="0" w:color="auto"/>
              <w:bottom w:val="single" w:sz="4" w:space="0" w:color="auto"/>
              <w:right w:val="single" w:sz="4" w:space="0" w:color="auto"/>
            </w:tcBorders>
          </w:tcPr>
          <w:p w14:paraId="02D4D37B"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39C1BAA0"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Montenegro Economic Reform Program </w:t>
            </w:r>
          </w:p>
          <w:p w14:paraId="582154A8"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2022 – 2024 </w:t>
            </w:r>
          </w:p>
        </w:tc>
        <w:tc>
          <w:tcPr>
            <w:tcW w:w="265" w:type="dxa"/>
            <w:tcBorders>
              <w:top w:val="single" w:sz="4" w:space="0" w:color="auto"/>
              <w:left w:val="single" w:sz="4" w:space="0" w:color="auto"/>
              <w:bottom w:val="single" w:sz="4" w:space="0" w:color="auto"/>
              <w:right w:val="single" w:sz="4" w:space="0" w:color="auto"/>
            </w:tcBorders>
          </w:tcPr>
          <w:p w14:paraId="11B99B48"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1886E25D"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Disaster risk reduction strategy</w:t>
            </w:r>
          </w:p>
          <w:p w14:paraId="09A6CF06"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2018-2023 </w:t>
            </w:r>
          </w:p>
        </w:tc>
      </w:tr>
      <w:tr w:rsidR="00E732FA" w:rsidRPr="003C7CB1" w14:paraId="26E9D164" w14:textId="77777777" w:rsidTr="00E732FA">
        <w:trPr>
          <w:jc w:val="center"/>
        </w:trPr>
        <w:tc>
          <w:tcPr>
            <w:tcW w:w="2998" w:type="dxa"/>
            <w:tcBorders>
              <w:top w:val="single" w:sz="4" w:space="0" w:color="auto"/>
              <w:left w:val="nil"/>
              <w:bottom w:val="single" w:sz="4" w:space="0" w:color="auto"/>
              <w:right w:val="single" w:sz="4" w:space="0" w:color="auto"/>
            </w:tcBorders>
          </w:tcPr>
          <w:p w14:paraId="1EA6A592"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For a new EU integrated Tourism Policy: EUROPE – 27. countries, one destination</w:t>
            </w:r>
          </w:p>
        </w:tc>
        <w:tc>
          <w:tcPr>
            <w:tcW w:w="346" w:type="dxa"/>
            <w:tcBorders>
              <w:top w:val="single" w:sz="4" w:space="0" w:color="auto"/>
              <w:left w:val="single" w:sz="4" w:space="0" w:color="auto"/>
              <w:bottom w:val="single" w:sz="4" w:space="0" w:color="auto"/>
              <w:right w:val="single" w:sz="4" w:space="0" w:color="auto"/>
            </w:tcBorders>
          </w:tcPr>
          <w:p w14:paraId="7A2A85F6"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4C6229D9"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Macroeconomic and fiscal policy guidelines for the period</w:t>
            </w:r>
          </w:p>
          <w:p w14:paraId="6CEC50DB"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2020 -2023</w:t>
            </w:r>
          </w:p>
        </w:tc>
        <w:tc>
          <w:tcPr>
            <w:tcW w:w="265" w:type="dxa"/>
            <w:tcBorders>
              <w:top w:val="single" w:sz="4" w:space="0" w:color="auto"/>
              <w:left w:val="single" w:sz="4" w:space="0" w:color="auto"/>
              <w:bottom w:val="single" w:sz="4" w:space="0" w:color="auto"/>
              <w:right w:val="single" w:sz="4" w:space="0" w:color="auto"/>
            </w:tcBorders>
          </w:tcPr>
          <w:p w14:paraId="40E6D865"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shd w:val="clear" w:color="auto" w:fill="auto"/>
          </w:tcPr>
          <w:p w14:paraId="730877D3"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National Employment Strategy 2021-2025 </w:t>
            </w:r>
          </w:p>
        </w:tc>
      </w:tr>
      <w:tr w:rsidR="00E732FA" w:rsidRPr="003C7CB1" w14:paraId="6FAE9365" w14:textId="77777777" w:rsidTr="00E732FA">
        <w:trPr>
          <w:jc w:val="center"/>
        </w:trPr>
        <w:tc>
          <w:tcPr>
            <w:tcW w:w="2998" w:type="dxa"/>
            <w:tcBorders>
              <w:top w:val="single" w:sz="4" w:space="0" w:color="auto"/>
              <w:left w:val="nil"/>
              <w:bottom w:val="single" w:sz="4" w:space="0" w:color="auto"/>
              <w:right w:val="single" w:sz="4" w:space="0" w:color="auto"/>
            </w:tcBorders>
          </w:tcPr>
          <w:p w14:paraId="7312A6FE"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lastRenderedPageBreak/>
              <w:t xml:space="preserve">Europe, the world's number one tourist destination, new policy framework for tourism in Europe </w:t>
            </w:r>
          </w:p>
        </w:tc>
        <w:tc>
          <w:tcPr>
            <w:tcW w:w="346" w:type="dxa"/>
            <w:tcBorders>
              <w:top w:val="single" w:sz="4" w:space="0" w:color="auto"/>
              <w:left w:val="single" w:sz="4" w:space="0" w:color="auto"/>
              <w:bottom w:val="single" w:sz="4" w:space="0" w:color="auto"/>
              <w:right w:val="single" w:sz="4" w:space="0" w:color="auto"/>
            </w:tcBorders>
          </w:tcPr>
          <w:p w14:paraId="2D9D4AEC"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065001E6"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Economic and Investment Plan for the Western Balkans </w:t>
            </w:r>
          </w:p>
        </w:tc>
        <w:tc>
          <w:tcPr>
            <w:tcW w:w="265" w:type="dxa"/>
            <w:tcBorders>
              <w:top w:val="single" w:sz="4" w:space="0" w:color="auto"/>
              <w:left w:val="single" w:sz="4" w:space="0" w:color="auto"/>
              <w:bottom w:val="single" w:sz="4" w:space="0" w:color="auto"/>
              <w:right w:val="single" w:sz="4" w:space="0" w:color="auto"/>
            </w:tcBorders>
          </w:tcPr>
          <w:p w14:paraId="466596F1"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425C72D8"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Strategy for the Development of Women's Entrepreneurship of Montenegro 2021 – 2024 </w:t>
            </w:r>
          </w:p>
        </w:tc>
      </w:tr>
      <w:tr w:rsidR="00E732FA" w:rsidRPr="003C7CB1" w14:paraId="184B8A98" w14:textId="77777777" w:rsidTr="00E732FA">
        <w:trPr>
          <w:jc w:val="center"/>
        </w:trPr>
        <w:tc>
          <w:tcPr>
            <w:tcW w:w="2998" w:type="dxa"/>
            <w:tcBorders>
              <w:top w:val="single" w:sz="4" w:space="0" w:color="auto"/>
              <w:left w:val="nil"/>
              <w:bottom w:val="single" w:sz="4" w:space="0" w:color="auto"/>
              <w:right w:val="single" w:sz="4" w:space="0" w:color="auto"/>
            </w:tcBorders>
          </w:tcPr>
          <w:p w14:paraId="17597C1C" w14:textId="77777777" w:rsidR="00E732FA" w:rsidRPr="003C7CB1" w:rsidRDefault="00E732FA" w:rsidP="00E732FA">
            <w:pPr>
              <w:tabs>
                <w:tab w:val="left" w:pos="3084"/>
              </w:tabs>
              <w:spacing w:after="0" w:line="240" w:lineRule="auto"/>
              <w:jc w:val="center"/>
              <w:rPr>
                <w:rFonts w:cstheme="minorHAnsi"/>
                <w:sz w:val="20"/>
                <w:szCs w:val="20"/>
              </w:rPr>
            </w:pPr>
          </w:p>
        </w:tc>
        <w:tc>
          <w:tcPr>
            <w:tcW w:w="346" w:type="dxa"/>
            <w:tcBorders>
              <w:top w:val="single" w:sz="4" w:space="0" w:color="auto"/>
              <w:left w:val="single" w:sz="4" w:space="0" w:color="auto"/>
              <w:bottom w:val="single" w:sz="4" w:space="0" w:color="auto"/>
              <w:right w:val="single" w:sz="4" w:space="0" w:color="auto"/>
            </w:tcBorders>
          </w:tcPr>
          <w:p w14:paraId="5EFAFFBC"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5E31A6A9"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Europe now! </w:t>
            </w:r>
          </w:p>
        </w:tc>
        <w:tc>
          <w:tcPr>
            <w:tcW w:w="265" w:type="dxa"/>
            <w:tcBorders>
              <w:top w:val="single" w:sz="4" w:space="0" w:color="auto"/>
              <w:left w:val="single" w:sz="4" w:space="0" w:color="auto"/>
              <w:bottom w:val="single" w:sz="4" w:space="0" w:color="auto"/>
              <w:right w:val="single" w:sz="4" w:space="0" w:color="auto"/>
            </w:tcBorders>
          </w:tcPr>
          <w:p w14:paraId="31D399A8"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1DBA89F7"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Strategy for Regional Development of Montenegro 2014-2020 </w:t>
            </w:r>
          </w:p>
        </w:tc>
      </w:tr>
      <w:tr w:rsidR="00E732FA" w:rsidRPr="003C7CB1" w14:paraId="73365713" w14:textId="77777777" w:rsidTr="00E732FA">
        <w:trPr>
          <w:jc w:val="center"/>
        </w:trPr>
        <w:tc>
          <w:tcPr>
            <w:tcW w:w="2998" w:type="dxa"/>
            <w:tcBorders>
              <w:top w:val="single" w:sz="4" w:space="0" w:color="auto"/>
              <w:left w:val="nil"/>
              <w:bottom w:val="single" w:sz="4" w:space="0" w:color="auto"/>
              <w:right w:val="single" w:sz="4" w:space="0" w:color="auto"/>
            </w:tcBorders>
            <w:vAlign w:val="center"/>
          </w:tcPr>
          <w:p w14:paraId="2510B619" w14:textId="77777777" w:rsidR="00E732FA" w:rsidRPr="003C7CB1" w:rsidRDefault="00E732FA" w:rsidP="00E732FA">
            <w:pPr>
              <w:tabs>
                <w:tab w:val="left" w:pos="3084"/>
              </w:tabs>
              <w:spacing w:after="0" w:line="240" w:lineRule="auto"/>
              <w:jc w:val="center"/>
              <w:rPr>
                <w:rFonts w:cstheme="minorHAnsi"/>
                <w:b/>
                <w:bCs/>
                <w:color w:val="323E4F" w:themeColor="text2" w:themeShade="BF"/>
                <w:sz w:val="20"/>
                <w:szCs w:val="20"/>
              </w:rPr>
            </w:pPr>
            <w:r w:rsidRPr="003C7CB1">
              <w:rPr>
                <w:rFonts w:cstheme="minorHAnsi"/>
                <w:b/>
                <w:bCs/>
                <w:color w:val="323E4F" w:themeColor="text2" w:themeShade="BF"/>
                <w:sz w:val="20"/>
                <w:szCs w:val="20"/>
              </w:rPr>
              <w:t>Strategic framework of the EU</w:t>
            </w:r>
          </w:p>
        </w:tc>
        <w:tc>
          <w:tcPr>
            <w:tcW w:w="346" w:type="dxa"/>
            <w:tcBorders>
              <w:top w:val="single" w:sz="4" w:space="0" w:color="auto"/>
              <w:left w:val="single" w:sz="4" w:space="0" w:color="auto"/>
              <w:bottom w:val="single" w:sz="4" w:space="0" w:color="auto"/>
              <w:right w:val="single" w:sz="4" w:space="0" w:color="auto"/>
            </w:tcBorders>
            <w:vAlign w:val="center"/>
          </w:tcPr>
          <w:p w14:paraId="0D269E7F" w14:textId="77777777" w:rsidR="00E732FA" w:rsidRPr="003C7CB1" w:rsidRDefault="00E732FA" w:rsidP="00E732FA">
            <w:pPr>
              <w:tabs>
                <w:tab w:val="left" w:pos="3084"/>
              </w:tabs>
              <w:spacing w:after="0" w:line="240" w:lineRule="auto"/>
              <w:jc w:val="both"/>
              <w:rPr>
                <w:rFonts w:cstheme="minorHAnsi"/>
                <w:color w:val="323E4F" w:themeColor="text2" w:themeShade="BF"/>
                <w:sz w:val="20"/>
                <w:szCs w:val="20"/>
              </w:rPr>
            </w:pPr>
          </w:p>
        </w:tc>
        <w:tc>
          <w:tcPr>
            <w:tcW w:w="2859" w:type="dxa"/>
            <w:tcBorders>
              <w:top w:val="single" w:sz="4" w:space="0" w:color="auto"/>
              <w:left w:val="single" w:sz="4" w:space="0" w:color="auto"/>
              <w:bottom w:val="single" w:sz="4" w:space="0" w:color="auto"/>
              <w:right w:val="single" w:sz="4" w:space="0" w:color="auto"/>
            </w:tcBorders>
            <w:vAlign w:val="center"/>
          </w:tcPr>
          <w:p w14:paraId="1D9B3792" w14:textId="77777777" w:rsidR="00E732FA" w:rsidRPr="003C7CB1" w:rsidRDefault="00E732FA" w:rsidP="00E732FA">
            <w:pPr>
              <w:tabs>
                <w:tab w:val="left" w:pos="3084"/>
              </w:tabs>
              <w:spacing w:after="0" w:line="240" w:lineRule="auto"/>
              <w:jc w:val="center"/>
              <w:rPr>
                <w:rFonts w:cstheme="minorHAnsi"/>
                <w:b/>
                <w:bCs/>
                <w:color w:val="323E4F" w:themeColor="text2" w:themeShade="BF"/>
                <w:sz w:val="20"/>
                <w:szCs w:val="20"/>
              </w:rPr>
            </w:pPr>
            <w:r w:rsidRPr="003C7CB1">
              <w:rPr>
                <w:rFonts w:cstheme="minorHAnsi"/>
                <w:b/>
                <w:bCs/>
                <w:color w:val="323E4F" w:themeColor="text2" w:themeShade="BF"/>
                <w:sz w:val="20"/>
                <w:szCs w:val="20"/>
              </w:rPr>
              <w:t>Obligations of Montenegro in the process of accession of Montenegro to the EU and the Strategic Framework of Montenegro</w:t>
            </w:r>
          </w:p>
        </w:tc>
        <w:tc>
          <w:tcPr>
            <w:tcW w:w="265" w:type="dxa"/>
            <w:tcBorders>
              <w:top w:val="single" w:sz="4" w:space="0" w:color="auto"/>
              <w:left w:val="single" w:sz="4" w:space="0" w:color="auto"/>
              <w:bottom w:val="single" w:sz="4" w:space="0" w:color="auto"/>
              <w:right w:val="single" w:sz="4" w:space="0" w:color="auto"/>
            </w:tcBorders>
            <w:vAlign w:val="center"/>
          </w:tcPr>
          <w:p w14:paraId="66AF8FD0" w14:textId="77777777" w:rsidR="00E732FA" w:rsidRPr="003C7CB1" w:rsidRDefault="00E732FA" w:rsidP="00E732FA">
            <w:pPr>
              <w:tabs>
                <w:tab w:val="left" w:pos="3084"/>
              </w:tabs>
              <w:spacing w:after="0" w:line="240" w:lineRule="auto"/>
              <w:jc w:val="both"/>
              <w:rPr>
                <w:rFonts w:cstheme="minorHAnsi"/>
                <w:color w:val="323E4F" w:themeColor="text2" w:themeShade="BF"/>
                <w:sz w:val="20"/>
                <w:szCs w:val="20"/>
              </w:rPr>
            </w:pPr>
          </w:p>
        </w:tc>
        <w:tc>
          <w:tcPr>
            <w:tcW w:w="2892" w:type="dxa"/>
            <w:tcBorders>
              <w:top w:val="single" w:sz="4" w:space="0" w:color="auto"/>
              <w:left w:val="single" w:sz="4" w:space="0" w:color="auto"/>
              <w:bottom w:val="single" w:sz="4" w:space="0" w:color="auto"/>
              <w:right w:val="nil"/>
            </w:tcBorders>
            <w:vAlign w:val="center"/>
          </w:tcPr>
          <w:p w14:paraId="782D0C1B" w14:textId="77777777" w:rsidR="00E732FA" w:rsidRPr="003C7CB1" w:rsidRDefault="00E732FA" w:rsidP="00E732FA">
            <w:pPr>
              <w:tabs>
                <w:tab w:val="left" w:pos="3084"/>
              </w:tabs>
              <w:spacing w:after="0" w:line="240" w:lineRule="auto"/>
              <w:jc w:val="center"/>
              <w:rPr>
                <w:rFonts w:cstheme="minorHAnsi"/>
                <w:b/>
                <w:bCs/>
                <w:color w:val="323E4F" w:themeColor="text2" w:themeShade="BF"/>
                <w:sz w:val="20"/>
                <w:szCs w:val="20"/>
              </w:rPr>
            </w:pPr>
            <w:r w:rsidRPr="003C7CB1">
              <w:rPr>
                <w:rFonts w:cstheme="minorHAnsi"/>
                <w:b/>
                <w:bCs/>
                <w:color w:val="323E4F" w:themeColor="text2" w:themeShade="BF"/>
                <w:sz w:val="20"/>
                <w:szCs w:val="20"/>
              </w:rPr>
              <w:t>Strategic framework of Montenegro</w:t>
            </w:r>
          </w:p>
        </w:tc>
      </w:tr>
      <w:tr w:rsidR="00E732FA" w:rsidRPr="003C7CB1" w14:paraId="34ECF7DA" w14:textId="77777777" w:rsidTr="00E732FA">
        <w:trPr>
          <w:trHeight w:val="404"/>
          <w:jc w:val="center"/>
        </w:trPr>
        <w:tc>
          <w:tcPr>
            <w:tcW w:w="2998" w:type="dxa"/>
            <w:tcBorders>
              <w:top w:val="single" w:sz="4" w:space="0" w:color="auto"/>
              <w:left w:val="nil"/>
              <w:bottom w:val="single" w:sz="4" w:space="0" w:color="auto"/>
              <w:right w:val="single" w:sz="4" w:space="0" w:color="auto"/>
            </w:tcBorders>
          </w:tcPr>
          <w:p w14:paraId="06B76A11" w14:textId="77777777" w:rsidR="00E732FA" w:rsidRPr="003C7CB1" w:rsidRDefault="00E732FA" w:rsidP="00E732FA">
            <w:pPr>
              <w:tabs>
                <w:tab w:val="left" w:pos="3084"/>
              </w:tabs>
              <w:jc w:val="both"/>
              <w:rPr>
                <w:rFonts w:cstheme="minorHAnsi"/>
                <w:sz w:val="20"/>
                <w:szCs w:val="20"/>
              </w:rPr>
            </w:pPr>
            <w:r w:rsidRPr="003C7CB1">
              <w:rPr>
                <w:rFonts w:cstheme="minorHAnsi"/>
                <w:noProof/>
                <w:sz w:val="20"/>
                <w:szCs w:val="20"/>
              </w:rPr>
              <mc:AlternateContent>
                <mc:Choice Requires="wps">
                  <w:drawing>
                    <wp:anchor distT="0" distB="0" distL="114296" distR="114296" simplePos="0" relativeHeight="251859456" behindDoc="0" locked="0" layoutInCell="1" allowOverlap="1" wp14:anchorId="242D9BB1" wp14:editId="04BA9E82">
                      <wp:simplePos x="0" y="0"/>
                      <wp:positionH relativeFrom="column">
                        <wp:posOffset>777239</wp:posOffset>
                      </wp:positionH>
                      <wp:positionV relativeFrom="paragraph">
                        <wp:posOffset>5080</wp:posOffset>
                      </wp:positionV>
                      <wp:extent cx="0" cy="190500"/>
                      <wp:effectExtent l="76200" t="0" r="57150" b="57150"/>
                      <wp:wrapNone/>
                      <wp:docPr id="9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51A9CDE" id="_x0000_t32" coordsize="21600,21600" o:spt="32" o:oned="t" path="m,l21600,21600e" filled="f">
                      <v:path arrowok="t" fillok="f" o:connecttype="none"/>
                      <o:lock v:ext="edit" shapetype="t"/>
                    </v:shapetype>
                    <v:shape id="Straight Arrow Connector 11" o:spid="_x0000_s1026" type="#_x0000_t32" style="position:absolute;margin-left:61.2pt;margin-top:.4pt;width:0;height:15pt;z-index:2518594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" strokecolor="#4472c4" strokeweight=".5pt">
                      <v:stroke endarrow="block" joinstyle="miter"/>
                      <o:lock v:ext="edit" shapetype="f"/>
                    </v:shape>
                  </w:pict>
                </mc:Fallback>
              </mc:AlternateContent>
            </w:r>
          </w:p>
        </w:tc>
        <w:tc>
          <w:tcPr>
            <w:tcW w:w="346" w:type="dxa"/>
            <w:tcBorders>
              <w:top w:val="single" w:sz="4" w:space="0" w:color="auto"/>
              <w:left w:val="single" w:sz="4" w:space="0" w:color="auto"/>
              <w:bottom w:val="single" w:sz="4" w:space="0" w:color="auto"/>
              <w:right w:val="single" w:sz="4" w:space="0" w:color="auto"/>
            </w:tcBorders>
          </w:tcPr>
          <w:p w14:paraId="456CD2E3" w14:textId="77777777" w:rsidR="00E732FA" w:rsidRPr="003C7CB1" w:rsidRDefault="00E732FA" w:rsidP="00E732FA">
            <w:pPr>
              <w:tabs>
                <w:tab w:val="left" w:pos="3084"/>
              </w:tabs>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7AE31797" w14:textId="77777777" w:rsidR="00E732FA" w:rsidRPr="003C7CB1" w:rsidRDefault="00E732FA" w:rsidP="00E732FA">
            <w:pPr>
              <w:tabs>
                <w:tab w:val="left" w:pos="3084"/>
              </w:tabs>
              <w:jc w:val="both"/>
              <w:rPr>
                <w:rFonts w:cstheme="minorHAnsi"/>
                <w:sz w:val="20"/>
                <w:szCs w:val="20"/>
              </w:rPr>
            </w:pPr>
            <w:r w:rsidRPr="003C7CB1">
              <w:rPr>
                <w:rFonts w:cstheme="minorHAnsi"/>
                <w:noProof/>
                <w:sz w:val="20"/>
                <w:szCs w:val="20"/>
              </w:rPr>
              <mc:AlternateContent>
                <mc:Choice Requires="wps">
                  <w:drawing>
                    <wp:anchor distT="0" distB="0" distL="114300" distR="114300" simplePos="0" relativeHeight="251860480" behindDoc="0" locked="0" layoutInCell="1" allowOverlap="1" wp14:anchorId="065FA677" wp14:editId="1E81D06A">
                      <wp:simplePos x="0" y="0"/>
                      <wp:positionH relativeFrom="column">
                        <wp:posOffset>825500</wp:posOffset>
                      </wp:positionH>
                      <wp:positionV relativeFrom="paragraph">
                        <wp:posOffset>5080</wp:posOffset>
                      </wp:positionV>
                      <wp:extent cx="7620" cy="236220"/>
                      <wp:effectExtent l="76200" t="0" r="68580" b="49530"/>
                      <wp:wrapNone/>
                      <wp:docPr id="8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362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620865" id="Straight Arrow Connector 12" o:spid="_x0000_s1026" type="#_x0000_t32" style="position:absolute;margin-left:65pt;margin-top:.4pt;width:.6pt;height:18.6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" strokecolor="#4472c4" strokeweight=".5pt">
                      <v:stroke endarrow="block" joinstyle="miter"/>
                      <o:lock v:ext="edit" shapetype="f"/>
                    </v:shape>
                  </w:pict>
                </mc:Fallback>
              </mc:AlternateContent>
            </w:r>
          </w:p>
        </w:tc>
        <w:tc>
          <w:tcPr>
            <w:tcW w:w="265" w:type="dxa"/>
            <w:tcBorders>
              <w:top w:val="single" w:sz="4" w:space="0" w:color="auto"/>
              <w:left w:val="single" w:sz="4" w:space="0" w:color="auto"/>
              <w:bottom w:val="single" w:sz="4" w:space="0" w:color="auto"/>
              <w:right w:val="single" w:sz="4" w:space="0" w:color="auto"/>
            </w:tcBorders>
          </w:tcPr>
          <w:p w14:paraId="750D06D8" w14:textId="77777777" w:rsidR="00E732FA" w:rsidRPr="003C7CB1" w:rsidRDefault="00E732FA" w:rsidP="00E732FA">
            <w:pPr>
              <w:tabs>
                <w:tab w:val="left" w:pos="3084"/>
              </w:tabs>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0FCC8A94" w14:textId="77777777" w:rsidR="00E732FA" w:rsidRPr="003C7CB1" w:rsidRDefault="00E732FA" w:rsidP="00E732FA">
            <w:pPr>
              <w:tabs>
                <w:tab w:val="left" w:pos="3084"/>
              </w:tabs>
              <w:jc w:val="both"/>
              <w:rPr>
                <w:rFonts w:cstheme="minorHAnsi"/>
                <w:sz w:val="20"/>
                <w:szCs w:val="20"/>
              </w:rPr>
            </w:pPr>
            <w:r w:rsidRPr="003C7CB1">
              <w:rPr>
                <w:rFonts w:cstheme="minorHAnsi"/>
                <w:noProof/>
                <w:sz w:val="20"/>
                <w:szCs w:val="20"/>
              </w:rPr>
              <mc:AlternateContent>
                <mc:Choice Requires="wps">
                  <w:drawing>
                    <wp:anchor distT="0" distB="0" distL="114300" distR="114300" simplePos="0" relativeHeight="251861504" behindDoc="0" locked="0" layoutInCell="1" allowOverlap="1" wp14:anchorId="75253A49" wp14:editId="303A032C">
                      <wp:simplePos x="0" y="0"/>
                      <wp:positionH relativeFrom="column">
                        <wp:posOffset>723900</wp:posOffset>
                      </wp:positionH>
                      <wp:positionV relativeFrom="paragraph">
                        <wp:posOffset>5080</wp:posOffset>
                      </wp:positionV>
                      <wp:extent cx="15240" cy="251460"/>
                      <wp:effectExtent l="57150" t="0" r="60960" b="53340"/>
                      <wp:wrapNone/>
                      <wp:docPr id="88"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2514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7F2F698" id="Straight Arrow Connector 17" o:spid="_x0000_s1026" type="#_x0000_t32" style="position:absolute;margin-left:57pt;margin-top:.4pt;width:1.2pt;height:19.8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" strokecolor="#4472c4" strokeweight=".5pt">
                      <v:stroke endarrow="block" joinstyle="miter"/>
                      <o:lock v:ext="edit" shapetype="f"/>
                    </v:shape>
                  </w:pict>
                </mc:Fallback>
              </mc:AlternateContent>
            </w:r>
          </w:p>
        </w:tc>
      </w:tr>
      <w:tr w:rsidR="00E732FA" w:rsidRPr="003C7CB1" w14:paraId="1D272D02" w14:textId="77777777" w:rsidTr="00E732FA">
        <w:trPr>
          <w:trHeight w:val="404"/>
          <w:jc w:val="center"/>
        </w:trPr>
        <w:tc>
          <w:tcPr>
            <w:tcW w:w="2998" w:type="dxa"/>
            <w:tcBorders>
              <w:top w:val="single" w:sz="4" w:space="0" w:color="auto"/>
              <w:left w:val="nil"/>
              <w:bottom w:val="single" w:sz="4" w:space="0" w:color="auto"/>
              <w:right w:val="single" w:sz="4" w:space="0" w:color="auto"/>
            </w:tcBorders>
          </w:tcPr>
          <w:p w14:paraId="01ED46DB" w14:textId="77777777" w:rsidR="00E732FA" w:rsidRPr="003C7CB1" w:rsidRDefault="00E732FA" w:rsidP="00E732FA">
            <w:pPr>
              <w:tabs>
                <w:tab w:val="left" w:pos="3084"/>
              </w:tabs>
              <w:jc w:val="both"/>
              <w:rPr>
                <w:rFonts w:cstheme="minorHAnsi"/>
                <w:sz w:val="20"/>
                <w:szCs w:val="20"/>
              </w:rPr>
            </w:pPr>
          </w:p>
        </w:tc>
        <w:tc>
          <w:tcPr>
            <w:tcW w:w="346" w:type="dxa"/>
            <w:tcBorders>
              <w:top w:val="single" w:sz="4" w:space="0" w:color="auto"/>
              <w:left w:val="single" w:sz="4" w:space="0" w:color="auto"/>
              <w:bottom w:val="single" w:sz="4" w:space="0" w:color="auto"/>
              <w:right w:val="single" w:sz="4" w:space="0" w:color="auto"/>
            </w:tcBorders>
          </w:tcPr>
          <w:p w14:paraId="06C3FF2D" w14:textId="77777777" w:rsidR="00E732FA" w:rsidRPr="003C7CB1" w:rsidRDefault="00E732FA" w:rsidP="00E732FA">
            <w:pPr>
              <w:tabs>
                <w:tab w:val="left" w:pos="3084"/>
              </w:tabs>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28211CFF" w14:textId="77777777" w:rsidR="00E732FA" w:rsidRPr="003C7CB1" w:rsidRDefault="00E732FA" w:rsidP="00E732FA">
            <w:pPr>
              <w:tabs>
                <w:tab w:val="left" w:pos="3084"/>
              </w:tabs>
              <w:jc w:val="both"/>
              <w:rPr>
                <w:rFonts w:cstheme="minorHAnsi"/>
                <w:sz w:val="20"/>
                <w:szCs w:val="20"/>
              </w:rPr>
            </w:pPr>
          </w:p>
        </w:tc>
        <w:tc>
          <w:tcPr>
            <w:tcW w:w="265" w:type="dxa"/>
            <w:tcBorders>
              <w:top w:val="single" w:sz="4" w:space="0" w:color="auto"/>
              <w:left w:val="single" w:sz="4" w:space="0" w:color="auto"/>
              <w:bottom w:val="single" w:sz="4" w:space="0" w:color="auto"/>
              <w:right w:val="single" w:sz="4" w:space="0" w:color="auto"/>
            </w:tcBorders>
          </w:tcPr>
          <w:p w14:paraId="19621D39" w14:textId="77777777" w:rsidR="00E732FA" w:rsidRPr="003C7CB1" w:rsidRDefault="00E732FA" w:rsidP="00E732FA">
            <w:pPr>
              <w:tabs>
                <w:tab w:val="left" w:pos="3084"/>
              </w:tabs>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6407DFF2" w14:textId="77777777" w:rsidR="00E732FA" w:rsidRPr="003C7CB1" w:rsidRDefault="00E732FA" w:rsidP="00E732FA">
            <w:pPr>
              <w:tabs>
                <w:tab w:val="left" w:pos="3084"/>
              </w:tabs>
              <w:jc w:val="both"/>
              <w:rPr>
                <w:rFonts w:cstheme="minorHAnsi"/>
                <w:sz w:val="20"/>
                <w:szCs w:val="20"/>
              </w:rPr>
            </w:pPr>
          </w:p>
        </w:tc>
      </w:tr>
      <w:tr w:rsidR="00E732FA" w:rsidRPr="003C7CB1" w14:paraId="3FB4D278" w14:textId="77777777" w:rsidTr="00E732FA">
        <w:trPr>
          <w:trHeight w:val="341"/>
          <w:jc w:val="center"/>
        </w:trPr>
        <w:tc>
          <w:tcPr>
            <w:tcW w:w="9360" w:type="dxa"/>
            <w:gridSpan w:val="5"/>
            <w:tcBorders>
              <w:top w:val="single" w:sz="4" w:space="0" w:color="auto"/>
              <w:left w:val="nil"/>
              <w:bottom w:val="single" w:sz="4" w:space="0" w:color="auto"/>
              <w:right w:val="nil"/>
            </w:tcBorders>
            <w:shd w:val="clear" w:color="auto" w:fill="B4C6E7" w:themeFill="accent1" w:themeFillTint="66"/>
            <w:vAlign w:val="center"/>
          </w:tcPr>
          <w:p w14:paraId="02F658AF" w14:textId="77777777" w:rsidR="00E732FA" w:rsidRPr="003C7CB1" w:rsidRDefault="00E732FA" w:rsidP="00E732FA">
            <w:pPr>
              <w:tabs>
                <w:tab w:val="left" w:pos="3084"/>
              </w:tabs>
              <w:jc w:val="center"/>
              <w:rPr>
                <w:rFonts w:cstheme="minorHAnsi"/>
                <w:b/>
                <w:bCs/>
                <w:sz w:val="20"/>
                <w:szCs w:val="20"/>
              </w:rPr>
            </w:pPr>
            <w:r w:rsidRPr="003C7CB1">
              <w:rPr>
                <w:rFonts w:cstheme="minorHAnsi"/>
                <w:b/>
                <w:bCs/>
                <w:noProof/>
                <w:sz w:val="20"/>
                <w:szCs w:val="20"/>
              </w:rPr>
              <mc:AlternateContent>
                <mc:Choice Requires="wps">
                  <w:drawing>
                    <wp:anchor distT="0" distB="0" distL="114296" distR="114296" simplePos="0" relativeHeight="251862528" behindDoc="0" locked="0" layoutInCell="1" allowOverlap="1" wp14:anchorId="3C98842E" wp14:editId="4213A058">
                      <wp:simplePos x="0" y="0"/>
                      <wp:positionH relativeFrom="column">
                        <wp:posOffset>4884419</wp:posOffset>
                      </wp:positionH>
                      <wp:positionV relativeFrom="paragraph">
                        <wp:posOffset>199390</wp:posOffset>
                      </wp:positionV>
                      <wp:extent cx="0" cy="220980"/>
                      <wp:effectExtent l="76200" t="38100" r="57150" b="26670"/>
                      <wp:wrapNone/>
                      <wp:docPr id="8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09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A27AC3" id="Straight Arrow Connector 16" o:spid="_x0000_s1026" type="#_x0000_t32" style="position:absolute;margin-left:384.6pt;margin-top:15.7pt;width:0;height:17.4pt;flip:y;z-index:2518625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" strokecolor="#4472c4" strokeweight=".5pt">
                      <v:stroke endarrow="block" joinstyle="miter"/>
                      <o:lock v:ext="edit" shapetype="f"/>
                    </v:shape>
                  </w:pict>
                </mc:Fallback>
              </mc:AlternateContent>
            </w:r>
            <w:r w:rsidRPr="003C7CB1">
              <w:rPr>
                <w:rFonts w:cstheme="minorHAnsi"/>
                <w:b/>
                <w:bCs/>
                <w:noProof/>
                <w:sz w:val="20"/>
                <w:szCs w:val="20"/>
              </w:rPr>
              <mc:AlternateContent>
                <mc:Choice Requires="wps">
                  <w:drawing>
                    <wp:anchor distT="0" distB="0" distL="114296" distR="114296" simplePos="0" relativeHeight="251863552" behindDoc="0" locked="0" layoutInCell="1" allowOverlap="1" wp14:anchorId="05FB1C53" wp14:editId="0D7A5327">
                      <wp:simplePos x="0" y="0"/>
                      <wp:positionH relativeFrom="column">
                        <wp:posOffset>2979419</wp:posOffset>
                      </wp:positionH>
                      <wp:positionV relativeFrom="paragraph">
                        <wp:posOffset>191770</wp:posOffset>
                      </wp:positionV>
                      <wp:extent cx="0" cy="213360"/>
                      <wp:effectExtent l="76200" t="38100" r="57150" b="15240"/>
                      <wp:wrapNone/>
                      <wp:docPr id="8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33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3FE936" id="Straight Arrow Connector 15" o:spid="_x0000_s1026" type="#_x0000_t32" style="position:absolute;margin-left:234.6pt;margin-top:15.1pt;width:0;height:16.8pt;flip:y;z-index:251863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" strokecolor="#4472c4" strokeweight=".5pt">
                      <v:stroke endarrow="block" joinstyle="miter"/>
                      <o:lock v:ext="edit" shapetype="f"/>
                    </v:shape>
                  </w:pict>
                </mc:Fallback>
              </mc:AlternateContent>
            </w:r>
            <w:r w:rsidRPr="003C7CB1">
              <w:rPr>
                <w:rFonts w:cstheme="minorHAnsi"/>
                <w:b/>
                <w:bCs/>
                <w:noProof/>
                <w:sz w:val="20"/>
                <w:szCs w:val="20"/>
              </w:rPr>
              <mc:AlternateContent>
                <mc:Choice Requires="wps">
                  <w:drawing>
                    <wp:anchor distT="0" distB="0" distL="114296" distR="114296" simplePos="0" relativeHeight="251864576" behindDoc="0" locked="0" layoutInCell="1" allowOverlap="1" wp14:anchorId="28D4BF15" wp14:editId="04B36026">
                      <wp:simplePos x="0" y="0"/>
                      <wp:positionH relativeFrom="column">
                        <wp:posOffset>746759</wp:posOffset>
                      </wp:positionH>
                      <wp:positionV relativeFrom="paragraph">
                        <wp:posOffset>199390</wp:posOffset>
                      </wp:positionV>
                      <wp:extent cx="0" cy="228600"/>
                      <wp:effectExtent l="76200" t="38100" r="57150" b="19050"/>
                      <wp:wrapNone/>
                      <wp:docPr id="8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8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0414705" id="Straight Arrow Connector 14" o:spid="_x0000_s1026" type="#_x0000_t32" style="position:absolute;margin-left:58.8pt;margin-top:15.7pt;width:0;height:18pt;flip:y;z-index:251864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" strokecolor="#4472c4" strokeweight=".5pt">
                      <v:stroke endarrow="block" joinstyle="miter"/>
                      <o:lock v:ext="edit" shapetype="f"/>
                    </v:shape>
                  </w:pict>
                </mc:Fallback>
              </mc:AlternateContent>
            </w:r>
            <w:r w:rsidRPr="003C7CB1">
              <w:t xml:space="preserve"> </w:t>
            </w:r>
            <w:r w:rsidRPr="003C7CB1">
              <w:rPr>
                <w:rFonts w:cstheme="minorHAnsi"/>
                <w:b/>
                <w:bCs/>
                <w:sz w:val="20"/>
                <w:szCs w:val="20"/>
              </w:rPr>
              <w:t>MONTENEGRO TOURISM DEVELOPMENT STRATEGY 2022-2025</w:t>
            </w:r>
          </w:p>
        </w:tc>
      </w:tr>
      <w:tr w:rsidR="00E732FA" w:rsidRPr="003C7CB1" w14:paraId="7121167D" w14:textId="77777777" w:rsidTr="00E732FA">
        <w:trPr>
          <w:trHeight w:val="305"/>
          <w:jc w:val="center"/>
        </w:trPr>
        <w:tc>
          <w:tcPr>
            <w:tcW w:w="2998" w:type="dxa"/>
            <w:tcBorders>
              <w:top w:val="single" w:sz="4" w:space="0" w:color="auto"/>
              <w:left w:val="nil"/>
              <w:bottom w:val="single" w:sz="4" w:space="0" w:color="auto"/>
              <w:right w:val="single" w:sz="4" w:space="0" w:color="auto"/>
            </w:tcBorders>
          </w:tcPr>
          <w:p w14:paraId="16FB1579" w14:textId="77777777" w:rsidR="00E732FA" w:rsidRPr="003C7CB1" w:rsidRDefault="00E732FA" w:rsidP="00E732FA">
            <w:pPr>
              <w:tabs>
                <w:tab w:val="left" w:pos="3084"/>
              </w:tabs>
              <w:jc w:val="both"/>
              <w:rPr>
                <w:rFonts w:cstheme="minorHAnsi"/>
                <w:sz w:val="20"/>
                <w:szCs w:val="20"/>
              </w:rPr>
            </w:pPr>
          </w:p>
        </w:tc>
        <w:tc>
          <w:tcPr>
            <w:tcW w:w="346" w:type="dxa"/>
            <w:tcBorders>
              <w:top w:val="single" w:sz="4" w:space="0" w:color="auto"/>
              <w:left w:val="single" w:sz="4" w:space="0" w:color="auto"/>
              <w:bottom w:val="single" w:sz="4" w:space="0" w:color="auto"/>
              <w:right w:val="single" w:sz="4" w:space="0" w:color="auto"/>
            </w:tcBorders>
          </w:tcPr>
          <w:p w14:paraId="39737F33" w14:textId="77777777" w:rsidR="00E732FA" w:rsidRPr="003C7CB1" w:rsidRDefault="00E732FA" w:rsidP="00E732FA">
            <w:pPr>
              <w:tabs>
                <w:tab w:val="left" w:pos="3084"/>
              </w:tabs>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1EE3A2DE" w14:textId="77777777" w:rsidR="00E732FA" w:rsidRPr="003C7CB1" w:rsidRDefault="00E732FA" w:rsidP="00E732FA">
            <w:pPr>
              <w:tabs>
                <w:tab w:val="left" w:pos="3084"/>
              </w:tabs>
              <w:jc w:val="both"/>
              <w:rPr>
                <w:rFonts w:cstheme="minorHAnsi"/>
                <w:sz w:val="20"/>
                <w:szCs w:val="20"/>
              </w:rPr>
            </w:pPr>
            <w:r w:rsidRPr="003C7CB1">
              <w:rPr>
                <w:rFonts w:cstheme="minorHAnsi"/>
                <w:sz w:val="20"/>
                <w:szCs w:val="20"/>
              </w:rPr>
              <w:t xml:space="preserve"> </w:t>
            </w:r>
          </w:p>
        </w:tc>
        <w:tc>
          <w:tcPr>
            <w:tcW w:w="265" w:type="dxa"/>
            <w:tcBorders>
              <w:top w:val="single" w:sz="4" w:space="0" w:color="auto"/>
              <w:left w:val="single" w:sz="4" w:space="0" w:color="auto"/>
              <w:bottom w:val="single" w:sz="4" w:space="0" w:color="auto"/>
              <w:right w:val="single" w:sz="4" w:space="0" w:color="auto"/>
            </w:tcBorders>
          </w:tcPr>
          <w:p w14:paraId="1DEBE23C" w14:textId="77777777" w:rsidR="00E732FA" w:rsidRPr="003C7CB1" w:rsidRDefault="00E732FA" w:rsidP="00E732FA">
            <w:pPr>
              <w:tabs>
                <w:tab w:val="left" w:pos="3084"/>
              </w:tabs>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7D52EB7D" w14:textId="77777777" w:rsidR="00E732FA" w:rsidRPr="003C7CB1" w:rsidRDefault="00E732FA" w:rsidP="00E732FA">
            <w:pPr>
              <w:tabs>
                <w:tab w:val="left" w:pos="3084"/>
              </w:tabs>
              <w:jc w:val="both"/>
              <w:rPr>
                <w:rFonts w:cstheme="minorHAnsi"/>
                <w:sz w:val="20"/>
                <w:szCs w:val="20"/>
              </w:rPr>
            </w:pPr>
          </w:p>
        </w:tc>
      </w:tr>
      <w:tr w:rsidR="00E732FA" w:rsidRPr="003C7CB1" w14:paraId="226DA053" w14:textId="77777777" w:rsidTr="00E732FA">
        <w:trPr>
          <w:jc w:val="center"/>
        </w:trPr>
        <w:tc>
          <w:tcPr>
            <w:tcW w:w="2998" w:type="dxa"/>
            <w:tcBorders>
              <w:top w:val="single" w:sz="4" w:space="0" w:color="auto"/>
              <w:left w:val="nil"/>
              <w:bottom w:val="single" w:sz="4" w:space="0" w:color="auto"/>
              <w:right w:val="single" w:sz="4" w:space="0" w:color="auto"/>
            </w:tcBorders>
          </w:tcPr>
          <w:p w14:paraId="1D68B1D3" w14:textId="77777777" w:rsidR="00E732FA" w:rsidRPr="003C7CB1" w:rsidRDefault="00E732FA" w:rsidP="00E732FA">
            <w:pPr>
              <w:tabs>
                <w:tab w:val="left" w:pos="3084"/>
              </w:tabs>
              <w:jc w:val="center"/>
              <w:rPr>
                <w:rFonts w:cstheme="minorHAnsi"/>
                <w:b/>
                <w:bCs/>
                <w:color w:val="323E4F" w:themeColor="text2" w:themeShade="BF"/>
                <w:sz w:val="20"/>
                <w:szCs w:val="20"/>
              </w:rPr>
            </w:pPr>
            <w:r w:rsidRPr="003C7CB1">
              <w:rPr>
                <w:rFonts w:cstheme="minorHAnsi"/>
                <w:b/>
                <w:bCs/>
                <w:color w:val="323E4F" w:themeColor="text2" w:themeShade="BF"/>
                <w:sz w:val="20"/>
                <w:szCs w:val="20"/>
              </w:rPr>
              <w:t xml:space="preserve">Sectoral strategies </w:t>
            </w:r>
          </w:p>
        </w:tc>
        <w:tc>
          <w:tcPr>
            <w:tcW w:w="346" w:type="dxa"/>
            <w:tcBorders>
              <w:top w:val="single" w:sz="4" w:space="0" w:color="auto"/>
              <w:left w:val="single" w:sz="4" w:space="0" w:color="auto"/>
              <w:bottom w:val="single" w:sz="4" w:space="0" w:color="auto"/>
              <w:right w:val="single" w:sz="4" w:space="0" w:color="auto"/>
            </w:tcBorders>
          </w:tcPr>
          <w:p w14:paraId="547A9B3B" w14:textId="77777777" w:rsidR="00E732FA" w:rsidRPr="003C7CB1" w:rsidRDefault="00E732FA" w:rsidP="00E732FA">
            <w:pPr>
              <w:tabs>
                <w:tab w:val="left" w:pos="3084"/>
              </w:tabs>
              <w:jc w:val="both"/>
              <w:rPr>
                <w:rFonts w:cstheme="minorHAnsi"/>
                <w:b/>
                <w:bCs/>
                <w:color w:val="323E4F" w:themeColor="text2" w:themeShade="BF"/>
                <w:sz w:val="20"/>
                <w:szCs w:val="20"/>
              </w:rPr>
            </w:pPr>
          </w:p>
        </w:tc>
        <w:tc>
          <w:tcPr>
            <w:tcW w:w="2859" w:type="dxa"/>
            <w:tcBorders>
              <w:top w:val="single" w:sz="4" w:space="0" w:color="auto"/>
              <w:left w:val="single" w:sz="4" w:space="0" w:color="auto"/>
              <w:bottom w:val="single" w:sz="4" w:space="0" w:color="auto"/>
              <w:right w:val="single" w:sz="4" w:space="0" w:color="auto"/>
            </w:tcBorders>
          </w:tcPr>
          <w:p w14:paraId="7EA20D62" w14:textId="77777777" w:rsidR="00E732FA" w:rsidRPr="003C7CB1" w:rsidRDefault="00E732FA" w:rsidP="00E732FA">
            <w:pPr>
              <w:tabs>
                <w:tab w:val="left" w:pos="3084"/>
              </w:tabs>
              <w:jc w:val="center"/>
              <w:rPr>
                <w:rFonts w:cstheme="minorHAnsi"/>
                <w:b/>
                <w:bCs/>
                <w:color w:val="323E4F" w:themeColor="text2" w:themeShade="BF"/>
                <w:sz w:val="20"/>
                <w:szCs w:val="20"/>
              </w:rPr>
            </w:pPr>
            <w:r w:rsidRPr="003C7CB1">
              <w:rPr>
                <w:rFonts w:cstheme="minorHAnsi"/>
                <w:b/>
                <w:bCs/>
                <w:color w:val="323E4F" w:themeColor="text2" w:themeShade="BF"/>
                <w:sz w:val="20"/>
                <w:szCs w:val="20"/>
              </w:rPr>
              <w:t xml:space="preserve">Thematic Strategies / Programs </w:t>
            </w:r>
          </w:p>
        </w:tc>
        <w:tc>
          <w:tcPr>
            <w:tcW w:w="265" w:type="dxa"/>
            <w:tcBorders>
              <w:top w:val="single" w:sz="4" w:space="0" w:color="auto"/>
              <w:left w:val="single" w:sz="4" w:space="0" w:color="auto"/>
              <w:bottom w:val="single" w:sz="4" w:space="0" w:color="auto"/>
              <w:right w:val="single" w:sz="4" w:space="0" w:color="auto"/>
            </w:tcBorders>
          </w:tcPr>
          <w:p w14:paraId="29E85879" w14:textId="77777777" w:rsidR="00E732FA" w:rsidRPr="003C7CB1" w:rsidRDefault="00E732FA" w:rsidP="00E732FA">
            <w:pPr>
              <w:tabs>
                <w:tab w:val="left" w:pos="3084"/>
              </w:tabs>
              <w:jc w:val="both"/>
              <w:rPr>
                <w:rFonts w:cstheme="minorHAnsi"/>
                <w:b/>
                <w:bCs/>
                <w:color w:val="323E4F" w:themeColor="text2" w:themeShade="BF"/>
                <w:sz w:val="20"/>
                <w:szCs w:val="20"/>
              </w:rPr>
            </w:pPr>
          </w:p>
        </w:tc>
        <w:tc>
          <w:tcPr>
            <w:tcW w:w="2892" w:type="dxa"/>
            <w:tcBorders>
              <w:top w:val="single" w:sz="4" w:space="0" w:color="auto"/>
              <w:left w:val="single" w:sz="4" w:space="0" w:color="auto"/>
              <w:bottom w:val="single" w:sz="4" w:space="0" w:color="auto"/>
              <w:right w:val="nil"/>
            </w:tcBorders>
          </w:tcPr>
          <w:p w14:paraId="5196D4C6" w14:textId="77777777" w:rsidR="00E732FA" w:rsidRPr="003C7CB1" w:rsidRDefault="00E732FA" w:rsidP="00E732FA">
            <w:pPr>
              <w:tabs>
                <w:tab w:val="left" w:pos="3084"/>
              </w:tabs>
              <w:jc w:val="center"/>
              <w:rPr>
                <w:rFonts w:cstheme="minorHAnsi"/>
                <w:b/>
                <w:bCs/>
                <w:color w:val="323E4F" w:themeColor="text2" w:themeShade="BF"/>
                <w:sz w:val="20"/>
                <w:szCs w:val="20"/>
              </w:rPr>
            </w:pPr>
            <w:r w:rsidRPr="003C7CB1">
              <w:rPr>
                <w:rFonts w:cstheme="minorHAnsi"/>
                <w:b/>
                <w:bCs/>
                <w:color w:val="323E4F" w:themeColor="text2" w:themeShade="BF"/>
                <w:sz w:val="20"/>
                <w:szCs w:val="20"/>
              </w:rPr>
              <w:t xml:space="preserve">Other relevant documents </w:t>
            </w:r>
          </w:p>
        </w:tc>
      </w:tr>
      <w:tr w:rsidR="00E732FA" w:rsidRPr="003C7CB1" w14:paraId="4F347AFA" w14:textId="77777777" w:rsidTr="00E732FA">
        <w:trPr>
          <w:jc w:val="center"/>
        </w:trPr>
        <w:tc>
          <w:tcPr>
            <w:tcW w:w="2998" w:type="dxa"/>
            <w:tcBorders>
              <w:top w:val="single" w:sz="4" w:space="0" w:color="auto"/>
              <w:left w:val="nil"/>
              <w:bottom w:val="single" w:sz="4" w:space="0" w:color="auto"/>
              <w:right w:val="single" w:sz="4" w:space="0" w:color="auto"/>
            </w:tcBorders>
          </w:tcPr>
          <w:p w14:paraId="62AC554F"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Industrial policy of Montenegro 2019 – 2023 </w:t>
            </w:r>
          </w:p>
        </w:tc>
        <w:tc>
          <w:tcPr>
            <w:tcW w:w="346" w:type="dxa"/>
            <w:tcBorders>
              <w:top w:val="single" w:sz="4" w:space="0" w:color="auto"/>
              <w:left w:val="single" w:sz="4" w:space="0" w:color="auto"/>
              <w:bottom w:val="single" w:sz="4" w:space="0" w:color="auto"/>
              <w:right w:val="single" w:sz="4" w:space="0" w:color="auto"/>
            </w:tcBorders>
          </w:tcPr>
          <w:p w14:paraId="0851AAA5"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400C217B"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Strategy of scientific research activity 2017 – 2021  </w:t>
            </w:r>
          </w:p>
        </w:tc>
        <w:tc>
          <w:tcPr>
            <w:tcW w:w="265" w:type="dxa"/>
            <w:tcBorders>
              <w:top w:val="single" w:sz="4" w:space="0" w:color="auto"/>
              <w:left w:val="single" w:sz="4" w:space="0" w:color="auto"/>
              <w:bottom w:val="single" w:sz="4" w:space="0" w:color="auto"/>
              <w:right w:val="single" w:sz="4" w:space="0" w:color="auto"/>
            </w:tcBorders>
          </w:tcPr>
          <w:p w14:paraId="2C6D4599"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7713D738"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European Green Deal Investment Plan 2021-2030</w:t>
            </w:r>
          </w:p>
        </w:tc>
      </w:tr>
      <w:tr w:rsidR="00E732FA" w:rsidRPr="003C7CB1" w14:paraId="520823E4" w14:textId="77777777" w:rsidTr="00E732FA">
        <w:trPr>
          <w:jc w:val="center"/>
        </w:trPr>
        <w:tc>
          <w:tcPr>
            <w:tcW w:w="2998" w:type="dxa"/>
            <w:tcBorders>
              <w:top w:val="single" w:sz="4" w:space="0" w:color="auto"/>
              <w:left w:val="nil"/>
              <w:bottom w:val="single" w:sz="4" w:space="0" w:color="auto"/>
              <w:right w:val="single" w:sz="4" w:space="0" w:color="auto"/>
            </w:tcBorders>
          </w:tcPr>
          <w:p w14:paraId="2B5E9792"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Strategy for the Development of Forests and Forestry 2014-2023, National Forestry Strategy </w:t>
            </w:r>
          </w:p>
        </w:tc>
        <w:tc>
          <w:tcPr>
            <w:tcW w:w="346" w:type="dxa"/>
            <w:tcBorders>
              <w:top w:val="single" w:sz="4" w:space="0" w:color="auto"/>
              <w:left w:val="single" w:sz="4" w:space="0" w:color="auto"/>
              <w:bottom w:val="single" w:sz="4" w:space="0" w:color="auto"/>
              <w:right w:val="single" w:sz="4" w:space="0" w:color="auto"/>
            </w:tcBorders>
          </w:tcPr>
          <w:p w14:paraId="66E99234"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299AD0C0"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Cultural Tourism Development Program of Montenegro</w:t>
            </w:r>
          </w:p>
          <w:p w14:paraId="334712E5"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2019 -2021 </w:t>
            </w:r>
          </w:p>
        </w:tc>
        <w:tc>
          <w:tcPr>
            <w:tcW w:w="265" w:type="dxa"/>
            <w:tcBorders>
              <w:top w:val="single" w:sz="4" w:space="0" w:color="auto"/>
              <w:left w:val="single" w:sz="4" w:space="0" w:color="auto"/>
              <w:bottom w:val="single" w:sz="4" w:space="0" w:color="auto"/>
              <w:right w:val="single" w:sz="4" w:space="0" w:color="auto"/>
            </w:tcBorders>
          </w:tcPr>
          <w:p w14:paraId="48AC970F"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202BF950"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Study and road-map for policy and incentive options for green businesses in agricultural, tourism and energy sectors </w:t>
            </w:r>
          </w:p>
        </w:tc>
      </w:tr>
      <w:tr w:rsidR="00E732FA" w:rsidRPr="003C7CB1" w14:paraId="0E9802FB" w14:textId="77777777" w:rsidTr="00E732FA">
        <w:trPr>
          <w:jc w:val="center"/>
        </w:trPr>
        <w:tc>
          <w:tcPr>
            <w:tcW w:w="2998" w:type="dxa"/>
            <w:tcBorders>
              <w:top w:val="single" w:sz="4" w:space="0" w:color="auto"/>
              <w:left w:val="nil"/>
              <w:bottom w:val="single" w:sz="4" w:space="0" w:color="auto"/>
              <w:right w:val="single" w:sz="4" w:space="0" w:color="auto"/>
            </w:tcBorders>
          </w:tcPr>
          <w:p w14:paraId="1D55B3A7"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Energy Development Strategy of Montenegro until 2030 </w:t>
            </w:r>
          </w:p>
        </w:tc>
        <w:tc>
          <w:tcPr>
            <w:tcW w:w="346" w:type="dxa"/>
            <w:tcBorders>
              <w:top w:val="single" w:sz="4" w:space="0" w:color="auto"/>
              <w:left w:val="single" w:sz="4" w:space="0" w:color="auto"/>
              <w:bottom w:val="single" w:sz="4" w:space="0" w:color="auto"/>
              <w:right w:val="single" w:sz="4" w:space="0" w:color="auto"/>
            </w:tcBorders>
          </w:tcPr>
          <w:p w14:paraId="7BD9CEA1" w14:textId="77777777" w:rsidR="00E732FA" w:rsidRPr="003C7CB1" w:rsidRDefault="00E732FA" w:rsidP="00E732FA">
            <w:pPr>
              <w:tabs>
                <w:tab w:val="left" w:pos="3084"/>
              </w:tabs>
              <w:spacing w:after="0" w:line="240" w:lineRule="auto"/>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6DD8E2D5"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Health Tourism Development Program of Montenegro 2021-2023 </w:t>
            </w:r>
          </w:p>
        </w:tc>
        <w:tc>
          <w:tcPr>
            <w:tcW w:w="265" w:type="dxa"/>
            <w:tcBorders>
              <w:top w:val="single" w:sz="4" w:space="0" w:color="auto"/>
              <w:left w:val="single" w:sz="4" w:space="0" w:color="auto"/>
              <w:bottom w:val="single" w:sz="4" w:space="0" w:color="auto"/>
              <w:right w:val="single" w:sz="4" w:space="0" w:color="auto"/>
            </w:tcBorders>
          </w:tcPr>
          <w:p w14:paraId="3482F865" w14:textId="77777777" w:rsidR="00E732FA" w:rsidRPr="003C7CB1" w:rsidRDefault="00E732FA" w:rsidP="00E732FA">
            <w:pPr>
              <w:tabs>
                <w:tab w:val="left" w:pos="3084"/>
              </w:tabs>
              <w:spacing w:after="0" w:line="240" w:lineRule="auto"/>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1F800DA4" w14:textId="77777777" w:rsidR="00E732FA" w:rsidRPr="003C7CB1" w:rsidRDefault="00E732FA" w:rsidP="00E732FA">
            <w:pPr>
              <w:tabs>
                <w:tab w:val="left" w:pos="3084"/>
              </w:tabs>
              <w:spacing w:after="0" w:line="240" w:lineRule="auto"/>
              <w:jc w:val="center"/>
              <w:rPr>
                <w:rFonts w:cstheme="minorHAnsi"/>
                <w:sz w:val="20"/>
                <w:szCs w:val="20"/>
              </w:rPr>
            </w:pPr>
            <w:r w:rsidRPr="003C7CB1">
              <w:rPr>
                <w:rFonts w:cstheme="minorHAnsi"/>
                <w:sz w:val="20"/>
                <w:szCs w:val="20"/>
              </w:rPr>
              <w:t xml:space="preserve">EC 2020 Progress Report on Montenegro </w:t>
            </w:r>
          </w:p>
        </w:tc>
      </w:tr>
      <w:tr w:rsidR="00E732FA" w:rsidRPr="003C7CB1" w14:paraId="0825AFA4" w14:textId="77777777" w:rsidTr="00E732FA">
        <w:trPr>
          <w:jc w:val="center"/>
        </w:trPr>
        <w:tc>
          <w:tcPr>
            <w:tcW w:w="2998" w:type="dxa"/>
            <w:tcBorders>
              <w:top w:val="single" w:sz="4" w:space="0" w:color="auto"/>
              <w:left w:val="nil"/>
              <w:bottom w:val="single" w:sz="4" w:space="0" w:color="auto"/>
              <w:right w:val="single" w:sz="4" w:space="0" w:color="auto"/>
            </w:tcBorders>
          </w:tcPr>
          <w:p w14:paraId="78B705B6" w14:textId="77777777" w:rsidR="00E732FA" w:rsidRPr="003C7CB1" w:rsidRDefault="00E732FA" w:rsidP="00E732FA">
            <w:pPr>
              <w:tabs>
                <w:tab w:val="left" w:pos="3084"/>
              </w:tabs>
              <w:spacing w:after="0"/>
              <w:jc w:val="center"/>
              <w:rPr>
                <w:rFonts w:cstheme="minorHAnsi"/>
                <w:sz w:val="20"/>
                <w:szCs w:val="20"/>
              </w:rPr>
            </w:pPr>
            <w:r w:rsidRPr="003C7CB1">
              <w:rPr>
                <w:rFonts w:cstheme="minorHAnsi"/>
                <w:sz w:val="20"/>
                <w:szCs w:val="20"/>
              </w:rPr>
              <w:t xml:space="preserve">Transport Development Strategy 2019-2035 </w:t>
            </w:r>
          </w:p>
        </w:tc>
        <w:tc>
          <w:tcPr>
            <w:tcW w:w="346" w:type="dxa"/>
            <w:tcBorders>
              <w:top w:val="single" w:sz="4" w:space="0" w:color="auto"/>
              <w:left w:val="single" w:sz="4" w:space="0" w:color="auto"/>
              <w:bottom w:val="single" w:sz="4" w:space="0" w:color="auto"/>
              <w:right w:val="single" w:sz="4" w:space="0" w:color="auto"/>
            </w:tcBorders>
          </w:tcPr>
          <w:p w14:paraId="20630F9B" w14:textId="77777777" w:rsidR="00E732FA" w:rsidRPr="003C7CB1" w:rsidRDefault="00E732FA" w:rsidP="00E732FA">
            <w:pPr>
              <w:tabs>
                <w:tab w:val="left" w:pos="3084"/>
              </w:tabs>
              <w:spacing w:after="0"/>
              <w:jc w:val="both"/>
              <w:rPr>
                <w:rFonts w:cstheme="minorHAnsi"/>
                <w:sz w:val="20"/>
                <w:szCs w:val="20"/>
              </w:rPr>
            </w:pPr>
          </w:p>
        </w:tc>
        <w:tc>
          <w:tcPr>
            <w:tcW w:w="2859" w:type="dxa"/>
            <w:tcBorders>
              <w:top w:val="single" w:sz="4" w:space="0" w:color="auto"/>
              <w:left w:val="single" w:sz="4" w:space="0" w:color="auto"/>
              <w:bottom w:val="single" w:sz="4" w:space="0" w:color="auto"/>
              <w:right w:val="single" w:sz="4" w:space="0" w:color="auto"/>
            </w:tcBorders>
          </w:tcPr>
          <w:p w14:paraId="135A63C9" w14:textId="77777777" w:rsidR="00E732FA" w:rsidRPr="003C7CB1" w:rsidRDefault="00E732FA" w:rsidP="00E732FA">
            <w:pPr>
              <w:tabs>
                <w:tab w:val="left" w:pos="3084"/>
              </w:tabs>
              <w:spacing w:after="0"/>
              <w:jc w:val="center"/>
              <w:rPr>
                <w:rFonts w:cstheme="minorHAnsi"/>
                <w:sz w:val="20"/>
                <w:szCs w:val="20"/>
              </w:rPr>
            </w:pPr>
            <w:r w:rsidRPr="003C7CB1">
              <w:rPr>
                <w:rFonts w:cstheme="minorHAnsi"/>
                <w:sz w:val="20"/>
                <w:szCs w:val="20"/>
              </w:rPr>
              <w:t>Program of Rural Tourism Development of Montenegro 2019 - 2021</w:t>
            </w:r>
          </w:p>
        </w:tc>
        <w:tc>
          <w:tcPr>
            <w:tcW w:w="265" w:type="dxa"/>
            <w:tcBorders>
              <w:top w:val="single" w:sz="4" w:space="0" w:color="auto"/>
              <w:left w:val="single" w:sz="4" w:space="0" w:color="auto"/>
              <w:bottom w:val="single" w:sz="4" w:space="0" w:color="auto"/>
              <w:right w:val="single" w:sz="4" w:space="0" w:color="auto"/>
            </w:tcBorders>
          </w:tcPr>
          <w:p w14:paraId="0DB2CB86" w14:textId="77777777" w:rsidR="00E732FA" w:rsidRPr="003C7CB1" w:rsidRDefault="00E732FA" w:rsidP="00E732FA">
            <w:pPr>
              <w:tabs>
                <w:tab w:val="left" w:pos="3084"/>
              </w:tabs>
              <w:spacing w:after="0"/>
              <w:jc w:val="both"/>
              <w:rPr>
                <w:rFonts w:cstheme="minorHAnsi"/>
                <w:sz w:val="20"/>
                <w:szCs w:val="20"/>
              </w:rPr>
            </w:pPr>
          </w:p>
        </w:tc>
        <w:tc>
          <w:tcPr>
            <w:tcW w:w="2892" w:type="dxa"/>
            <w:tcBorders>
              <w:top w:val="single" w:sz="4" w:space="0" w:color="auto"/>
              <w:left w:val="single" w:sz="4" w:space="0" w:color="auto"/>
              <w:bottom w:val="single" w:sz="4" w:space="0" w:color="auto"/>
              <w:right w:val="nil"/>
            </w:tcBorders>
          </w:tcPr>
          <w:p w14:paraId="1F367B52" w14:textId="77777777" w:rsidR="00E732FA" w:rsidRPr="003C7CB1" w:rsidRDefault="00E732FA" w:rsidP="00E732FA">
            <w:pPr>
              <w:tabs>
                <w:tab w:val="left" w:pos="3084"/>
              </w:tabs>
              <w:spacing w:after="0"/>
              <w:jc w:val="center"/>
              <w:rPr>
                <w:rFonts w:cstheme="minorHAnsi"/>
                <w:sz w:val="20"/>
                <w:szCs w:val="20"/>
              </w:rPr>
            </w:pPr>
            <w:r w:rsidRPr="003C7CB1">
              <w:rPr>
                <w:rFonts w:cstheme="minorHAnsi"/>
                <w:sz w:val="20"/>
                <w:szCs w:val="20"/>
              </w:rPr>
              <w:t xml:space="preserve">GHG emissions from tourism 2018 </w:t>
            </w:r>
          </w:p>
        </w:tc>
      </w:tr>
      <w:tr w:rsidR="00E732FA" w:rsidRPr="003C7CB1" w14:paraId="5CF1B086" w14:textId="77777777" w:rsidTr="00E732FA">
        <w:trPr>
          <w:trHeight w:val="70"/>
          <w:jc w:val="center"/>
        </w:trPr>
        <w:tc>
          <w:tcPr>
            <w:tcW w:w="2998" w:type="dxa"/>
            <w:tcBorders>
              <w:top w:val="single" w:sz="4" w:space="0" w:color="auto"/>
              <w:left w:val="nil"/>
              <w:right w:val="single" w:sz="4" w:space="0" w:color="auto"/>
            </w:tcBorders>
          </w:tcPr>
          <w:p w14:paraId="28CFD88F" w14:textId="77777777" w:rsidR="00E732FA" w:rsidRPr="003C7CB1" w:rsidRDefault="00E732FA" w:rsidP="00E732FA">
            <w:pPr>
              <w:tabs>
                <w:tab w:val="left" w:pos="3084"/>
              </w:tabs>
              <w:spacing w:after="0"/>
              <w:jc w:val="center"/>
              <w:rPr>
                <w:rFonts w:cstheme="minorHAnsi"/>
                <w:sz w:val="20"/>
                <w:szCs w:val="20"/>
              </w:rPr>
            </w:pPr>
            <w:r w:rsidRPr="003C7CB1">
              <w:rPr>
                <w:rFonts w:cstheme="minorHAnsi"/>
                <w:sz w:val="20"/>
                <w:szCs w:val="20"/>
              </w:rPr>
              <w:t>Strategy for the development of agriculture and rural areas in Montenegro</w:t>
            </w:r>
          </w:p>
          <w:p w14:paraId="48B39F58" w14:textId="77777777" w:rsidR="00E732FA" w:rsidRPr="003C7CB1" w:rsidRDefault="00E732FA" w:rsidP="00E732FA">
            <w:pPr>
              <w:tabs>
                <w:tab w:val="left" w:pos="3084"/>
              </w:tabs>
              <w:spacing w:after="0"/>
              <w:jc w:val="center"/>
              <w:rPr>
                <w:rFonts w:cstheme="minorHAnsi"/>
                <w:sz w:val="20"/>
                <w:szCs w:val="20"/>
              </w:rPr>
            </w:pPr>
            <w:r w:rsidRPr="003C7CB1">
              <w:rPr>
                <w:rFonts w:cstheme="minorHAnsi"/>
                <w:sz w:val="20"/>
                <w:szCs w:val="20"/>
              </w:rPr>
              <w:t>2015-2020</w:t>
            </w:r>
          </w:p>
        </w:tc>
        <w:tc>
          <w:tcPr>
            <w:tcW w:w="346" w:type="dxa"/>
            <w:tcBorders>
              <w:top w:val="single" w:sz="4" w:space="0" w:color="auto"/>
              <w:left w:val="single" w:sz="4" w:space="0" w:color="auto"/>
              <w:bottom w:val="nil"/>
              <w:right w:val="single" w:sz="4" w:space="0" w:color="auto"/>
            </w:tcBorders>
          </w:tcPr>
          <w:p w14:paraId="2DF4D20E" w14:textId="77777777" w:rsidR="00E732FA" w:rsidRPr="003C7CB1" w:rsidRDefault="00E732FA" w:rsidP="00E732FA">
            <w:pPr>
              <w:tabs>
                <w:tab w:val="left" w:pos="3084"/>
              </w:tabs>
              <w:jc w:val="both"/>
              <w:rPr>
                <w:rFonts w:cstheme="minorHAnsi"/>
                <w:sz w:val="20"/>
                <w:szCs w:val="20"/>
              </w:rPr>
            </w:pPr>
          </w:p>
        </w:tc>
        <w:tc>
          <w:tcPr>
            <w:tcW w:w="2859" w:type="dxa"/>
            <w:tcBorders>
              <w:top w:val="single" w:sz="4" w:space="0" w:color="auto"/>
              <w:left w:val="single" w:sz="4" w:space="0" w:color="auto"/>
              <w:right w:val="single" w:sz="4" w:space="0" w:color="auto"/>
            </w:tcBorders>
          </w:tcPr>
          <w:p w14:paraId="242B29D2" w14:textId="77777777" w:rsidR="00E732FA" w:rsidRPr="003C7CB1" w:rsidRDefault="00E732FA" w:rsidP="00E732FA">
            <w:pPr>
              <w:tabs>
                <w:tab w:val="left" w:pos="3084"/>
              </w:tabs>
              <w:jc w:val="center"/>
              <w:rPr>
                <w:rFonts w:cstheme="minorHAnsi"/>
                <w:sz w:val="20"/>
                <w:szCs w:val="20"/>
              </w:rPr>
            </w:pPr>
          </w:p>
        </w:tc>
        <w:tc>
          <w:tcPr>
            <w:tcW w:w="265" w:type="dxa"/>
            <w:tcBorders>
              <w:top w:val="single" w:sz="4" w:space="0" w:color="auto"/>
              <w:left w:val="single" w:sz="4" w:space="0" w:color="auto"/>
              <w:bottom w:val="nil"/>
              <w:right w:val="single" w:sz="4" w:space="0" w:color="auto"/>
            </w:tcBorders>
          </w:tcPr>
          <w:p w14:paraId="26F022C0" w14:textId="77777777" w:rsidR="00E732FA" w:rsidRPr="003C7CB1" w:rsidRDefault="00E732FA" w:rsidP="00E732FA">
            <w:pPr>
              <w:tabs>
                <w:tab w:val="left" w:pos="3084"/>
              </w:tabs>
              <w:jc w:val="both"/>
              <w:rPr>
                <w:rFonts w:cstheme="minorHAnsi"/>
                <w:sz w:val="20"/>
                <w:szCs w:val="20"/>
              </w:rPr>
            </w:pPr>
          </w:p>
        </w:tc>
        <w:tc>
          <w:tcPr>
            <w:tcW w:w="2892" w:type="dxa"/>
            <w:tcBorders>
              <w:top w:val="single" w:sz="4" w:space="0" w:color="auto"/>
              <w:left w:val="single" w:sz="4" w:space="0" w:color="auto"/>
              <w:right w:val="nil"/>
            </w:tcBorders>
          </w:tcPr>
          <w:p w14:paraId="6571E1D6" w14:textId="77777777" w:rsidR="00E732FA" w:rsidRPr="003C7CB1" w:rsidRDefault="00E732FA" w:rsidP="00E732FA">
            <w:pPr>
              <w:tabs>
                <w:tab w:val="left" w:pos="3084"/>
              </w:tabs>
              <w:jc w:val="center"/>
              <w:rPr>
                <w:rFonts w:cstheme="minorHAnsi"/>
                <w:sz w:val="20"/>
                <w:szCs w:val="20"/>
              </w:rPr>
            </w:pPr>
            <w:r w:rsidRPr="003C7CB1">
              <w:rPr>
                <w:rFonts w:cstheme="minorHAnsi"/>
                <w:sz w:val="20"/>
                <w:szCs w:val="20"/>
              </w:rPr>
              <w:t xml:space="preserve"> </w:t>
            </w:r>
          </w:p>
        </w:tc>
      </w:tr>
    </w:tbl>
    <w:p w14:paraId="3F0DE018" w14:textId="77777777" w:rsidR="00E732FA" w:rsidRPr="003C7CB1" w:rsidRDefault="00E732FA" w:rsidP="00E732FA">
      <w:pPr>
        <w:spacing w:after="120"/>
        <w:contextualSpacing/>
        <w:rPr>
          <w:rFonts w:ascii="Calibri" w:eastAsia="Calibri" w:hAnsi="Calibri" w:cs="Calibri"/>
          <w:b/>
          <w:i/>
          <w:sz w:val="24"/>
          <w:szCs w:val="24"/>
          <w:u w:val="single"/>
        </w:rPr>
      </w:pPr>
    </w:p>
    <w:p w14:paraId="125AC347" w14:textId="77777777" w:rsidR="00E732FA" w:rsidRPr="003C7CB1" w:rsidRDefault="00E732FA" w:rsidP="00E732FA">
      <w:pPr>
        <w:spacing w:after="120"/>
        <w:contextualSpacing/>
        <w:rPr>
          <w:rFonts w:ascii="Calibri" w:eastAsia="Calibri" w:hAnsi="Calibri" w:cs="Calibri"/>
          <w:b/>
          <w:i/>
          <w:sz w:val="24"/>
          <w:szCs w:val="24"/>
          <w:u w:val="single"/>
        </w:rPr>
      </w:pPr>
    </w:p>
    <w:p w14:paraId="3F022401" w14:textId="77777777" w:rsidR="00E732FA" w:rsidRPr="003C7CB1" w:rsidRDefault="00E732FA" w:rsidP="00E732FA">
      <w:pPr>
        <w:spacing w:after="120"/>
        <w:contextualSpacing/>
        <w:rPr>
          <w:rFonts w:ascii="Calibri" w:eastAsia="Calibri" w:hAnsi="Calibri" w:cs="Calibri"/>
          <w:b/>
          <w:i/>
          <w:sz w:val="24"/>
          <w:szCs w:val="24"/>
          <w:u w:val="single"/>
        </w:rPr>
      </w:pPr>
    </w:p>
    <w:p w14:paraId="502C1075" w14:textId="33621B80" w:rsidR="00E732FA" w:rsidRPr="003C7CB1" w:rsidRDefault="00E732FA" w:rsidP="00E732FA">
      <w:pPr>
        <w:spacing w:after="120"/>
        <w:contextualSpacing/>
        <w:jc w:val="both"/>
        <w:rPr>
          <w:rFonts w:ascii="Calibri" w:eastAsia="Calibri" w:hAnsi="Calibri" w:cs="Calibri"/>
          <w:b/>
          <w:i/>
          <w:sz w:val="24"/>
          <w:szCs w:val="24"/>
          <w:u w:val="single"/>
        </w:rPr>
      </w:pPr>
      <w:r w:rsidRPr="003C7CB1">
        <w:rPr>
          <w:rFonts w:ascii="Calibri" w:eastAsia="Calibri" w:hAnsi="Calibri" w:cs="Calibri"/>
          <w:b/>
          <w:i/>
          <w:sz w:val="24"/>
          <w:szCs w:val="24"/>
          <w:u w:val="single"/>
        </w:rPr>
        <w:t xml:space="preserve">Harmonization of Montenegro Tourism Development Strategy </w:t>
      </w:r>
      <w:r w:rsidR="00A54840" w:rsidRPr="003C7CB1">
        <w:rPr>
          <w:rFonts w:ascii="Calibri" w:eastAsia="Calibri" w:hAnsi="Calibri" w:cs="Calibri"/>
          <w:b/>
          <w:i/>
          <w:sz w:val="24"/>
          <w:szCs w:val="24"/>
          <w:u w:val="single"/>
        </w:rPr>
        <w:t>2022-2025</w:t>
      </w:r>
      <w:r w:rsidR="00A54840">
        <w:rPr>
          <w:rFonts w:ascii="Calibri" w:eastAsia="Calibri" w:hAnsi="Calibri" w:cs="Calibri"/>
          <w:b/>
          <w:i/>
          <w:sz w:val="24"/>
          <w:szCs w:val="24"/>
          <w:u w:val="single"/>
        </w:rPr>
        <w:t xml:space="preserve"> </w:t>
      </w:r>
      <w:r w:rsidRPr="003C7CB1">
        <w:rPr>
          <w:rFonts w:ascii="Calibri" w:eastAsia="Calibri" w:hAnsi="Calibri" w:cs="Calibri"/>
          <w:b/>
          <w:i/>
          <w:sz w:val="24"/>
          <w:szCs w:val="24"/>
          <w:u w:val="single"/>
        </w:rPr>
        <w:t xml:space="preserve">with the Action Plan  with the existing strategic framework </w:t>
      </w:r>
    </w:p>
    <w:p w14:paraId="45802707" w14:textId="77777777" w:rsidR="00E732FA" w:rsidRPr="003C7CB1" w:rsidRDefault="00E732FA" w:rsidP="00E732FA">
      <w:pPr>
        <w:spacing w:after="120"/>
        <w:contextualSpacing/>
        <w:rPr>
          <w:rFonts w:ascii="Calibri" w:eastAsia="Calibri" w:hAnsi="Calibri" w:cs="Calibri"/>
          <w:b/>
          <w:color w:val="1F3864" w:themeColor="accent1" w:themeShade="80"/>
          <w:sz w:val="24"/>
          <w:szCs w:val="24"/>
        </w:rPr>
      </w:pPr>
    </w:p>
    <w:p w14:paraId="60661F2B" w14:textId="488245C7" w:rsidR="00E732FA" w:rsidRPr="003C7CB1" w:rsidRDefault="00E732FA" w:rsidP="00E732FA">
      <w:pPr>
        <w:spacing w:after="120" w:line="240" w:lineRule="auto"/>
        <w:jc w:val="both"/>
        <w:rPr>
          <w:rFonts w:ascii="Calibri" w:eastAsia="Calibri" w:hAnsi="Calibri" w:cs="Calibri"/>
          <w:color w:val="000000"/>
          <w:sz w:val="24"/>
          <w:szCs w:val="24"/>
        </w:rPr>
      </w:pPr>
      <w:r w:rsidRPr="003C7CB1">
        <w:rPr>
          <w:rFonts w:ascii="Calibri" w:eastAsia="Calibri" w:hAnsi="Calibri" w:cs="Calibri"/>
          <w:color w:val="000000"/>
          <w:sz w:val="24"/>
          <w:szCs w:val="24"/>
        </w:rPr>
        <w:t xml:space="preserve">Understanding the current development concept, based on information on the achieved level of implementation of relevant policies, is one of the preconditions for establishing a framework for more efficient tourism development. In this regard, relevant policies and documents that represent a strategic framework at the national level and are important for identifying development potentials and orientations formulated in horizontal and thematic policies have been identified and analyzed.  </w:t>
      </w:r>
      <w:r w:rsidR="00765B94">
        <w:rPr>
          <w:rFonts w:cs="Arial"/>
          <w:sz w:val="24"/>
          <w:szCs w:val="24"/>
        </w:rPr>
        <w:t xml:space="preserve">                                                                                                   </w:t>
      </w:r>
    </w:p>
    <w:p w14:paraId="48C6967A" w14:textId="02148C3C" w:rsidR="00E732FA" w:rsidRPr="003C7CB1" w:rsidRDefault="00E732FA" w:rsidP="00E732FA">
      <w:pPr>
        <w:spacing w:after="120" w:line="240" w:lineRule="auto"/>
        <w:jc w:val="both"/>
        <w:rPr>
          <w:rFonts w:ascii="Calibri" w:eastAsia="Calibri" w:hAnsi="Calibri" w:cs="Calibri"/>
          <w:color w:val="000000"/>
          <w:sz w:val="24"/>
          <w:szCs w:val="24"/>
        </w:rPr>
      </w:pPr>
      <w:r w:rsidRPr="003C7CB1">
        <w:rPr>
          <w:rFonts w:ascii="Calibri" w:eastAsia="Calibri" w:hAnsi="Calibri" w:cs="Calibri"/>
          <w:color w:val="000000"/>
          <w:sz w:val="24"/>
          <w:szCs w:val="24"/>
        </w:rPr>
        <w:lastRenderedPageBreak/>
        <w:t xml:space="preserve">Montenegro Tourism Development Strategy </w:t>
      </w:r>
      <w:r w:rsidR="00520F7D" w:rsidRPr="003C7CB1">
        <w:rPr>
          <w:rFonts w:ascii="Calibri" w:eastAsia="Calibri" w:hAnsi="Calibri" w:cs="Calibri"/>
          <w:color w:val="000000"/>
          <w:sz w:val="24"/>
          <w:szCs w:val="24"/>
        </w:rPr>
        <w:t>2022-2025</w:t>
      </w:r>
      <w:r w:rsidR="00520F7D">
        <w:rPr>
          <w:rFonts w:ascii="Calibri" w:eastAsia="Calibri" w:hAnsi="Calibri" w:cs="Calibri"/>
          <w:color w:val="000000"/>
          <w:sz w:val="24"/>
          <w:szCs w:val="24"/>
        </w:rPr>
        <w:t xml:space="preserve"> </w:t>
      </w:r>
      <w:r w:rsidRPr="003C7CB1">
        <w:rPr>
          <w:rFonts w:ascii="Calibri" w:eastAsia="Calibri" w:hAnsi="Calibri" w:cs="Calibri"/>
          <w:color w:val="000000"/>
          <w:sz w:val="24"/>
          <w:szCs w:val="24"/>
        </w:rPr>
        <w:t>with the Action Plan, as shown in the review of the Strategic Framework, is correlated with strategic national and EU documents.</w:t>
      </w:r>
      <w:r w:rsidRPr="003C7CB1">
        <w:t xml:space="preserve"> </w:t>
      </w:r>
      <w:r w:rsidRPr="003C7CB1">
        <w:rPr>
          <w:rFonts w:ascii="Calibri" w:eastAsia="Calibri" w:hAnsi="Calibri" w:cs="Calibri"/>
          <w:color w:val="000000"/>
          <w:sz w:val="24"/>
          <w:szCs w:val="24"/>
        </w:rPr>
        <w:t xml:space="preserve">The key recommendations for formulating the Strategy stem from the process of creating a comprehensive development policy of Montenegro and harmonization with the strategic principles of the EU. They refer to the choice of measures application of which would effectively increase the competitiveness of Montenegro in the international tourism market. </w:t>
      </w:r>
    </w:p>
    <w:p w14:paraId="0587A8B4" w14:textId="77777777" w:rsidR="00E732FA" w:rsidRPr="003C7CB1" w:rsidRDefault="00E732FA" w:rsidP="00E732FA">
      <w:pPr>
        <w:spacing w:after="120" w:line="240" w:lineRule="auto"/>
        <w:jc w:val="both"/>
        <w:rPr>
          <w:rFonts w:ascii="Calibri" w:eastAsia="Calibri" w:hAnsi="Calibri" w:cs="Calibri"/>
          <w:color w:val="000000"/>
          <w:sz w:val="24"/>
          <w:szCs w:val="24"/>
        </w:rPr>
      </w:pPr>
      <w:r w:rsidRPr="003C7CB1">
        <w:rPr>
          <w:rFonts w:ascii="Calibri" w:eastAsia="Calibri" w:hAnsi="Calibri" w:cs="Calibri"/>
          <w:color w:val="000000"/>
          <w:sz w:val="24"/>
          <w:szCs w:val="24"/>
        </w:rPr>
        <w:t xml:space="preserve">The basic directions of tourism development identified in the Strategy, which relate to sustainable, inclusive, smart, green and safe tourism, are a strong link with the umbrella international and national documents. </w:t>
      </w:r>
    </w:p>
    <w:p w14:paraId="405FC7D3" w14:textId="77777777" w:rsidR="00E732FA" w:rsidRPr="003C7CB1" w:rsidRDefault="00E732FA" w:rsidP="00E732FA">
      <w:pPr>
        <w:spacing w:after="120" w:line="240" w:lineRule="auto"/>
        <w:jc w:val="both"/>
        <w:rPr>
          <w:rFonts w:ascii="Calibri" w:eastAsia="Calibri" w:hAnsi="Calibri" w:cs="Calibri"/>
          <w:color w:val="000000"/>
          <w:sz w:val="24"/>
          <w:szCs w:val="24"/>
        </w:rPr>
      </w:pPr>
    </w:p>
    <w:p w14:paraId="3581B99A" w14:textId="77777777" w:rsidR="00E732FA" w:rsidRPr="003C7CB1" w:rsidRDefault="00E732FA" w:rsidP="00E732FA">
      <w:pPr>
        <w:spacing w:after="120" w:line="240" w:lineRule="auto"/>
        <w:jc w:val="both"/>
        <w:rPr>
          <w:rFonts w:ascii="Calibri" w:eastAsia="Calibri" w:hAnsi="Calibri" w:cs="Calibri"/>
          <w:i/>
          <w:sz w:val="24"/>
          <w:szCs w:val="24"/>
          <w:u w:val="single"/>
        </w:rPr>
      </w:pPr>
      <w:r w:rsidRPr="003C7CB1">
        <w:rPr>
          <w:rFonts w:ascii="Calibri" w:eastAsia="Calibri" w:hAnsi="Calibri" w:cs="Calibri"/>
          <w:b/>
          <w:i/>
          <w:sz w:val="24"/>
          <w:szCs w:val="24"/>
          <w:u w:val="single"/>
        </w:rPr>
        <w:t xml:space="preserve">National framework  </w:t>
      </w:r>
    </w:p>
    <w:p w14:paraId="4CBA1B84"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b/>
          <w:i/>
          <w:sz w:val="24"/>
          <w:szCs w:val="24"/>
        </w:rPr>
        <w:t xml:space="preserve">The National Strategy for Sustainable Development until 2030 </w:t>
      </w:r>
      <w:r w:rsidRPr="003C7CB1">
        <w:rPr>
          <w:rFonts w:ascii="Calibri" w:eastAsia="Calibri" w:hAnsi="Calibri" w:cs="Calibri"/>
          <w:sz w:val="24"/>
          <w:szCs w:val="24"/>
        </w:rPr>
        <w:t>is the umbrella, horizontal and long-term development strategy of Montenegro, which refers not only to the environment and economy, but also to human resources and social capital that should enable prosperous development of Montenegro.</w:t>
      </w:r>
      <w:r w:rsidRPr="003C7CB1">
        <w:t xml:space="preserve"> </w:t>
      </w:r>
      <w:r w:rsidRPr="003C7CB1">
        <w:rPr>
          <w:rFonts w:ascii="Calibri" w:eastAsia="Calibri" w:hAnsi="Calibri" w:cs="Calibri"/>
          <w:sz w:val="24"/>
          <w:szCs w:val="24"/>
        </w:rPr>
        <w:t xml:space="preserve">Project activities in the tourism sector are primarily based on compliance with the principles of sustainability defined by the National Strategy for Sustainable Development of Montenegro until 2030.  </w:t>
      </w:r>
    </w:p>
    <w:p w14:paraId="1ABE773D"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In terms of implementing the National Strategy for Sustainable Development until 2030, as an umbrella document for sustainable development, which is in line with the sustainable development goals of the UN Agenda until 2030, Montenegro has committed itself to:</w:t>
      </w:r>
    </w:p>
    <w:p w14:paraId="17F1224C" w14:textId="77777777" w:rsidR="00E732FA" w:rsidRPr="003C7CB1" w:rsidRDefault="00E732FA" w:rsidP="00E732FA">
      <w:pPr>
        <w:pStyle w:val="ListParagraph"/>
        <w:numPr>
          <w:ilvl w:val="0"/>
          <w:numId w:val="44"/>
        </w:num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improve the local entrepreneurial infrastructure and business environment for the development of entrepreneurship and small and medium-sized enterprises (SGD 8.9.1) in order to put into operation national, local and tourist business zones, through financial support for infrastructure equipment, improvement of the promotion programs, introduction of tax and administrative relief at the state and local levels, as well as an increase in investment in tourism encouraged by </w:t>
      </w:r>
      <w:proofErr w:type="spellStart"/>
      <w:r w:rsidRPr="003C7CB1">
        <w:rPr>
          <w:rFonts w:ascii="Calibri" w:eastAsia="Calibri" w:hAnsi="Calibri" w:cs="Calibri"/>
          <w:sz w:val="24"/>
          <w:szCs w:val="24"/>
        </w:rPr>
        <w:t>fiscalization</w:t>
      </w:r>
      <w:proofErr w:type="spellEnd"/>
      <w:r w:rsidRPr="003C7CB1">
        <w:rPr>
          <w:rFonts w:ascii="Calibri" w:eastAsia="Calibri" w:hAnsi="Calibri" w:cs="Calibri"/>
          <w:sz w:val="24"/>
          <w:szCs w:val="24"/>
        </w:rPr>
        <w:t xml:space="preserve"> measures. The goal will be achieved through additional relieves for investors investing in tourism in the northern and central region of Montenegro, and through the model of tourist development zones (green investments in tourism) which will be regulated by special regulations and through the model of establishing, managing and functioning of zones of national interest (SGD 8-8.3); </w:t>
      </w:r>
    </w:p>
    <w:p w14:paraId="18BD8DDC" w14:textId="77777777" w:rsidR="00E732FA" w:rsidRPr="003C7CB1" w:rsidRDefault="00E732FA" w:rsidP="00E732FA">
      <w:pPr>
        <w:pStyle w:val="ListParagraph"/>
        <w:numPr>
          <w:ilvl w:val="0"/>
          <w:numId w:val="44"/>
        </w:num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strengthen incentives and tax relieves in tourism for the construction of high-class hotels and strengthening new forms of offer, in accordance with the principles of sustainable development and strategic planning documents (reducing return on investment in high-class hotels from 20 to 12 years, and significant net positive impact on public finance, as well as employment growth);  </w:t>
      </w:r>
    </w:p>
    <w:p w14:paraId="3AF7F901" w14:textId="77777777" w:rsidR="00E732FA" w:rsidRPr="003C7CB1" w:rsidRDefault="00E732FA" w:rsidP="00E732FA">
      <w:pPr>
        <w:pStyle w:val="ListParagraph"/>
        <w:numPr>
          <w:ilvl w:val="0"/>
          <w:numId w:val="44"/>
        </w:num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improve the importance of culture as a fundamental value of spiritual, social and economic development that significantly improves the quality of life of citizens, promote cultural tourism as one of the most important branches of tourism and enable its sustainability with an emphasis on cultural and eco-tourism, since</w:t>
      </w:r>
      <w:r w:rsidRPr="003C7CB1">
        <w:t xml:space="preserve"> </w:t>
      </w:r>
      <w:r w:rsidRPr="003C7CB1">
        <w:rPr>
          <w:rFonts w:ascii="Calibri" w:eastAsia="Calibri" w:hAnsi="Calibri" w:cs="Calibri"/>
          <w:sz w:val="24"/>
          <w:szCs w:val="24"/>
        </w:rPr>
        <w:t xml:space="preserve">it is necessary to establish sustainable use of cultural heritage through their and the development of other forms of tourism, as well as agriculture, crafts and creative industries (SDG 11 (11.4) and SDG 8 (8.9)); </w:t>
      </w:r>
    </w:p>
    <w:p w14:paraId="56186B29" w14:textId="48BBB557" w:rsidR="00E732FA" w:rsidRPr="003C7CB1" w:rsidRDefault="00E732FA" w:rsidP="00E732FA">
      <w:pPr>
        <w:pStyle w:val="ListParagraph"/>
        <w:numPr>
          <w:ilvl w:val="0"/>
          <w:numId w:val="44"/>
        </w:num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improve the efficiency of resources in the field of tourism: encourage greening of tourism and improve the efficiency of resources by supporting green investments in </w:t>
      </w:r>
      <w:r w:rsidRPr="003C7CB1">
        <w:rPr>
          <w:rFonts w:ascii="Calibri" w:eastAsia="Calibri" w:hAnsi="Calibri" w:cs="Calibri"/>
          <w:sz w:val="24"/>
          <w:szCs w:val="24"/>
        </w:rPr>
        <w:lastRenderedPageBreak/>
        <w:t xml:space="preserve">hotel and hospitality facilities, as well as capacities for water supply and waste management during the construction; reduce the amount of waste from tourism activities and improve the management of existing waste; protect vulnerable ecosystems from the impact of tourism development; stimulate the introduction of new green technologies in tourism; encourage the preservation of the attractiveness of the destination in the long run, including innovation through environmental management, marketing, new business or organizational forms; improve regulation in markets where price signals are ineffective (creating better price signals and market-based instruments that will be able to reduce costs incurred due to negative environmental externalities); introduce green public procurement to encourage the development of green innovation (link to goal 4.5 NSSD), SDG 6 (6.3), 7 (7.3), 11 (11.6), 12 (12.b), 15 (15.5).  </w:t>
      </w:r>
      <w:r w:rsidR="00765B94">
        <w:rPr>
          <w:rFonts w:cs="Arial"/>
          <w:sz w:val="24"/>
          <w:szCs w:val="24"/>
        </w:rPr>
        <w:t xml:space="preserve">                                                                                                   </w:t>
      </w:r>
    </w:p>
    <w:p w14:paraId="01D3EEE5" w14:textId="43567385"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The implementation of the principle of sustainability is aimed at creating preconditions for an even tourist offer from the regional aspect, in accordance with the </w:t>
      </w:r>
      <w:r w:rsidRPr="003C7CB1">
        <w:rPr>
          <w:rFonts w:ascii="Calibri" w:eastAsia="Calibri" w:hAnsi="Calibri" w:cs="Calibri"/>
          <w:b/>
          <w:sz w:val="24"/>
          <w:szCs w:val="24"/>
        </w:rPr>
        <w:t>Strategy for</w:t>
      </w:r>
      <w:r w:rsidRPr="003C7CB1">
        <w:rPr>
          <w:rFonts w:ascii="Calibri" w:eastAsia="Calibri" w:hAnsi="Calibri" w:cs="Calibri"/>
          <w:sz w:val="24"/>
          <w:szCs w:val="24"/>
        </w:rPr>
        <w:t xml:space="preserve"> </w:t>
      </w:r>
      <w:r w:rsidRPr="003C7CB1">
        <w:rPr>
          <w:rFonts w:ascii="Calibri" w:eastAsia="Calibri" w:hAnsi="Calibri" w:cs="Calibri"/>
          <w:b/>
          <w:sz w:val="24"/>
          <w:szCs w:val="24"/>
        </w:rPr>
        <w:t>Regional Development of Montenegro 2014-2020</w:t>
      </w:r>
      <w:r w:rsidRPr="003C7CB1">
        <w:rPr>
          <w:rFonts w:ascii="Calibri" w:eastAsia="Calibri" w:hAnsi="Calibri" w:cs="Calibri"/>
          <w:sz w:val="24"/>
          <w:szCs w:val="24"/>
        </w:rPr>
        <w:t xml:space="preserve">. The tourism development strategy emphasizes the faster development of the North, which creates the conditions for regional tourist offers to be better harmonized. In this way, in the end, the reduction of differences in the development of the economy between the North and the coastal area will be ensured, because tourism is an activity with multiplicative effects on other economic branches. In addition to the above, the improvement of the </w:t>
      </w:r>
      <w:r w:rsidR="00C65FFD">
        <w:rPr>
          <w:rFonts w:ascii="Calibri" w:eastAsia="Calibri" w:hAnsi="Calibri" w:cs="Calibri"/>
          <w:sz w:val="24"/>
          <w:szCs w:val="24"/>
        </w:rPr>
        <w:t>tourism product</w:t>
      </w:r>
      <w:r w:rsidRPr="003C7CB1">
        <w:rPr>
          <w:rFonts w:ascii="Calibri" w:eastAsia="Calibri" w:hAnsi="Calibri" w:cs="Calibri"/>
          <w:sz w:val="24"/>
          <w:szCs w:val="24"/>
        </w:rPr>
        <w:t xml:space="preserve"> aims to increase the number of newly created jobs and reduce migration from the North to the South, while raising the living standards of the population, in accordance with the </w:t>
      </w:r>
      <w:r w:rsidRPr="003C7CB1">
        <w:rPr>
          <w:rFonts w:ascii="Calibri" w:eastAsia="Calibri" w:hAnsi="Calibri" w:cs="Calibri"/>
          <w:b/>
          <w:sz w:val="24"/>
          <w:szCs w:val="24"/>
        </w:rPr>
        <w:t>National Employment Strategy 2021-2025</w:t>
      </w:r>
      <w:r w:rsidRPr="003C7CB1">
        <w:rPr>
          <w:rFonts w:ascii="Calibri" w:eastAsia="Calibri" w:hAnsi="Calibri" w:cs="Calibri"/>
          <w:sz w:val="24"/>
          <w:szCs w:val="24"/>
        </w:rPr>
        <w:t xml:space="preserve">. </w:t>
      </w:r>
    </w:p>
    <w:p w14:paraId="3A80895B"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In the sector of tourism, the holders of activities are primarily micro, small and medium-sized enterprises, which creates the preconditions for developing a family business that enables the employment of greater number of women (in the tourism sector more than 50% of employees are women) and young people, and in correlation with </w:t>
      </w:r>
      <w:r w:rsidRPr="003C7CB1">
        <w:rPr>
          <w:rFonts w:ascii="Calibri" w:eastAsia="Calibri" w:hAnsi="Calibri" w:cs="Calibri"/>
          <w:b/>
          <w:sz w:val="24"/>
          <w:szCs w:val="24"/>
        </w:rPr>
        <w:t>the Strategy for the Development of Micro, Small and Medium Enterprises 2018-2022, the Strategy for the Development of Agriculture and Rural Areas in Montenegro 2015-2020 and the Strategy for the Development of Women's Entrepreneurship 2021-2024</w:t>
      </w:r>
      <w:r w:rsidRPr="003C7CB1">
        <w:rPr>
          <w:rFonts w:ascii="Calibri" w:eastAsia="Calibri" w:hAnsi="Calibri" w:cs="Calibri"/>
          <w:sz w:val="24"/>
          <w:szCs w:val="24"/>
        </w:rPr>
        <w:t xml:space="preserve">. </w:t>
      </w:r>
    </w:p>
    <w:p w14:paraId="70222A72" w14:textId="6428A079"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In order to provide preconditions for achieving tourism prosperity, special attention is paid to improving the accessibility of Montenegro, from the aspect of international, regional and domestic markets, in accordance with the </w:t>
      </w:r>
      <w:r w:rsidRPr="003C7CB1">
        <w:rPr>
          <w:rFonts w:ascii="Calibri" w:eastAsia="Calibri" w:hAnsi="Calibri" w:cs="Calibri"/>
          <w:b/>
          <w:sz w:val="24"/>
          <w:szCs w:val="24"/>
        </w:rPr>
        <w:t>Transport Development Strategy for the period 2018-2035</w:t>
      </w:r>
      <w:r w:rsidRPr="003C7CB1">
        <w:rPr>
          <w:rFonts w:ascii="Calibri" w:eastAsia="Calibri" w:hAnsi="Calibri" w:cs="Calibri"/>
          <w:sz w:val="24"/>
          <w:szCs w:val="24"/>
        </w:rPr>
        <w:t xml:space="preserve">. </w:t>
      </w:r>
      <w:r w:rsidR="00765B94">
        <w:rPr>
          <w:rFonts w:cs="Arial"/>
          <w:sz w:val="24"/>
          <w:szCs w:val="24"/>
        </w:rPr>
        <w:t xml:space="preserve">                                                                                                   </w:t>
      </w:r>
    </w:p>
    <w:p w14:paraId="69C345B5"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Improvement of destination management, which is one of the goals of the development of this Strategy, will be implemented through project activities of the </w:t>
      </w:r>
      <w:r w:rsidRPr="003C7CB1">
        <w:rPr>
          <w:rFonts w:ascii="Calibri" w:eastAsia="Calibri" w:hAnsi="Calibri" w:cs="Calibri"/>
          <w:b/>
          <w:sz w:val="24"/>
          <w:szCs w:val="24"/>
        </w:rPr>
        <w:t>National Brand Development Strategy of Montenegro 2022-2026</w:t>
      </w:r>
      <w:r w:rsidRPr="003C7CB1">
        <w:rPr>
          <w:rFonts w:ascii="Calibri" w:eastAsia="Calibri" w:hAnsi="Calibri" w:cs="Calibri"/>
          <w:sz w:val="24"/>
          <w:szCs w:val="24"/>
        </w:rPr>
        <w:t xml:space="preserve"> which states that “successful national branding also accumulates economic results which are reflected, among other things, in the development of tourism, i.e., greater attractiveness of the country for tourists”. </w:t>
      </w:r>
    </w:p>
    <w:p w14:paraId="035618FC"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As one of the economic priorities of Montenegro, tourism is recognized in the following development documents of the Government of Montenegro: </w:t>
      </w:r>
    </w:p>
    <w:p w14:paraId="19092210" w14:textId="05A121F2"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b/>
          <w:sz w:val="24"/>
          <w:szCs w:val="24"/>
        </w:rPr>
        <w:t>Directions of development of Montenegro 2018-2021</w:t>
      </w:r>
      <w:r w:rsidRPr="003C7CB1">
        <w:rPr>
          <w:rFonts w:ascii="Calibri" w:eastAsia="Calibri" w:hAnsi="Calibri" w:cs="Calibri"/>
          <w:sz w:val="24"/>
          <w:szCs w:val="24"/>
        </w:rPr>
        <w:t>, a medium-term umbrella development implementation document, in which the strategic goal of development of Montenegro was determined, which is increasing the quality of life in the long run.</w:t>
      </w:r>
      <w:r w:rsidRPr="003C7CB1">
        <w:t xml:space="preserve"> </w:t>
      </w:r>
      <w:r w:rsidRPr="003C7CB1">
        <w:rPr>
          <w:rFonts w:ascii="Calibri" w:eastAsia="Calibri" w:hAnsi="Calibri" w:cs="Calibri"/>
          <w:sz w:val="24"/>
          <w:szCs w:val="24"/>
        </w:rPr>
        <w:t xml:space="preserve">In order to achieve the strategic development goal, four priority development sectors have been formally identified: tourism (“Tourism and Cultural Tourism”), energy, agriculture and rural </w:t>
      </w:r>
      <w:r w:rsidRPr="003C7CB1">
        <w:rPr>
          <w:rFonts w:ascii="Calibri" w:eastAsia="Calibri" w:hAnsi="Calibri" w:cs="Calibri"/>
          <w:sz w:val="24"/>
          <w:szCs w:val="24"/>
        </w:rPr>
        <w:lastRenderedPageBreak/>
        <w:t>development, and manufacturing industry.</w:t>
      </w:r>
      <w:r w:rsidRPr="003C7CB1">
        <w:t xml:space="preserve"> </w:t>
      </w:r>
      <w:r w:rsidRPr="003C7CB1">
        <w:rPr>
          <w:rFonts w:ascii="Calibri" w:eastAsia="Calibri" w:hAnsi="Calibri" w:cs="Calibri"/>
          <w:sz w:val="24"/>
          <w:szCs w:val="24"/>
        </w:rPr>
        <w:t xml:space="preserve">The plan in 2022 is to adopt the Directions of Development of Montenegro 2022-2025, which will be based on the current situation, at the national, regional and global level, as well as expectations, i.e., plans contained in sectoral strategic development documents;  </w:t>
      </w:r>
      <w:r w:rsidR="00765B94">
        <w:rPr>
          <w:rFonts w:cs="Arial"/>
          <w:sz w:val="24"/>
          <w:szCs w:val="24"/>
        </w:rPr>
        <w:t xml:space="preserve">                                                                                                   </w:t>
      </w:r>
    </w:p>
    <w:p w14:paraId="0E6C813A" w14:textId="119FE82E"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b/>
          <w:sz w:val="24"/>
          <w:szCs w:val="24"/>
        </w:rPr>
        <w:t>Montenegro Economic Reform Program 2022-2024</w:t>
      </w:r>
      <w:r w:rsidRPr="003C7CB1">
        <w:rPr>
          <w:rFonts w:ascii="Calibri" w:eastAsia="Calibri" w:hAnsi="Calibri" w:cs="Calibri"/>
          <w:sz w:val="24"/>
          <w:szCs w:val="24"/>
        </w:rPr>
        <w:t xml:space="preserve"> is the most important document of Montenegro in the economic dialogue with the European Union and the key strategic document of the country for medium-term macroeconomic and fiscal programming, which contains the accompanying agenda of structural reforms which are important for reducing or eliminating obstacles to economic growth and strengthening overall competitiveness.</w:t>
      </w:r>
      <w:r w:rsidRPr="003C7CB1">
        <w:t xml:space="preserve"> </w:t>
      </w:r>
      <w:r w:rsidRPr="003C7CB1">
        <w:rPr>
          <w:rFonts w:ascii="Calibri" w:eastAsia="Calibri" w:hAnsi="Calibri" w:cs="Calibri"/>
          <w:sz w:val="24"/>
          <w:szCs w:val="24"/>
        </w:rPr>
        <w:t xml:space="preserve">Tourism has been identified through two priority reform measures, as follows: “Information systems with a mobile application for monitoring tourism parameters” and “Sustainable green tourism”; </w:t>
      </w:r>
      <w:r w:rsidR="00765B94">
        <w:rPr>
          <w:rFonts w:cs="Arial"/>
          <w:sz w:val="24"/>
          <w:szCs w:val="24"/>
        </w:rPr>
        <w:t xml:space="preserve">                                                                                                   </w:t>
      </w:r>
    </w:p>
    <w:p w14:paraId="73A6577F"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b/>
          <w:sz w:val="24"/>
          <w:szCs w:val="24"/>
        </w:rPr>
        <w:t>The “Europe Now!” reform program for a more inclusive and sustainable model of economic development of Montenegro</w:t>
      </w:r>
      <w:r w:rsidRPr="003C7CB1">
        <w:rPr>
          <w:rFonts w:ascii="Calibri" w:eastAsia="Calibri" w:hAnsi="Calibri" w:cs="Calibri"/>
          <w:sz w:val="24"/>
          <w:szCs w:val="24"/>
        </w:rPr>
        <w:t xml:space="preserve"> - At the end of December 2021, the Parliament of Montenegro adopted the Law on Budget for 2022, which is part of the “Europe Now “economic program. The goal of the Program is to achieve inclusive economic growth that will contribute to improving the quality of life of all citizens of Montenegro, i.e., reducing poverty, unemployment, preventing young people and skilled labor force from leaving the country, so the Government of Montenegro, in terms of proactive action, proposed a set of reform measures which is contained in this Program. The unambiguous orientation of the Government is reflected in improving the living standard and employment of citizens, improving the business and investment environment, reducing the gray economy and creating a sustainable, smart and inclusive economic model, in order to create a more favorable environment for living and working in Montenegro. In accordance with the above, the economic program – “Europe Now!” defines the following goals: increasing the living standard of citizens, employment growth, reducing the gray economy in the labor market and improving the business and investment environment;  </w:t>
      </w:r>
    </w:p>
    <w:p w14:paraId="4F77A3A3"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b/>
          <w:sz w:val="24"/>
          <w:szCs w:val="24"/>
        </w:rPr>
        <w:t>Smart Specialization Strategy 2019-2024</w:t>
      </w:r>
      <w:r w:rsidRPr="003C7CB1">
        <w:rPr>
          <w:rFonts w:ascii="Calibri" w:eastAsia="Calibri" w:hAnsi="Calibri" w:cs="Calibri"/>
          <w:sz w:val="24"/>
          <w:szCs w:val="24"/>
        </w:rPr>
        <w:t xml:space="preserve"> - Based on the strategic vision of the development of Montenegro, by applying the S3 methodology and implementing the process of entrepreneurial discovery, four priority economic areas have been defined as follows: renewable energy sources and energy efficiency; sustainable agriculture and food value chain; </w:t>
      </w:r>
      <w:r w:rsidRPr="003C7CB1">
        <w:rPr>
          <w:rFonts w:ascii="Calibri" w:eastAsia="Calibri" w:hAnsi="Calibri" w:cs="Calibri"/>
          <w:b/>
          <w:sz w:val="24"/>
          <w:szCs w:val="24"/>
        </w:rPr>
        <w:t>sustainable and health tourism</w:t>
      </w:r>
      <w:r w:rsidRPr="003C7CB1">
        <w:rPr>
          <w:rFonts w:ascii="Calibri" w:eastAsia="Calibri" w:hAnsi="Calibri" w:cs="Calibri"/>
          <w:sz w:val="24"/>
          <w:szCs w:val="24"/>
        </w:rPr>
        <w:t xml:space="preserve"> and ICT. Health tourism is growing steadily and is one of the most promising segments of the offer on the global market. According to the strategy of smart specialization, tourism and health, are, among others, the basic pillars of the sustainable development.</w:t>
      </w:r>
      <w:r w:rsidRPr="003C7CB1">
        <w:t xml:space="preserve"> </w:t>
      </w:r>
      <w:r w:rsidRPr="003C7CB1">
        <w:rPr>
          <w:rFonts w:ascii="Calibri" w:eastAsia="Calibri" w:hAnsi="Calibri" w:cs="Calibri"/>
          <w:sz w:val="24"/>
          <w:szCs w:val="24"/>
        </w:rPr>
        <w:t>Cooperation between the tourism and health sectors in Montenegro enables the achievement of a synergy effect for the improvement of health tourism, but also the year-round tourist offer.</w:t>
      </w:r>
      <w:r w:rsidRPr="003C7CB1">
        <w:t xml:space="preserve"> </w:t>
      </w:r>
      <w:r w:rsidRPr="003C7CB1">
        <w:rPr>
          <w:rFonts w:ascii="Calibri" w:eastAsia="Calibri" w:hAnsi="Calibri" w:cs="Calibri"/>
          <w:sz w:val="24"/>
          <w:szCs w:val="24"/>
        </w:rPr>
        <w:t xml:space="preserve">Montenegro with its geographical position, numerous natural tourist attractions, rich cultural heritage and developed offer in the segment of rehabilitation, prevention, dentistry and cosmetic surgery, has all the conditions to become an internationally recognized destination for health tourism. The vision of Montenegro for 2024 is the following: an internationally recognized destination for sustainable and health tourism with a year-round and diversified tourist offer based on the principles of sustainability, equality, competitiveness, innovation and authenticity.  </w:t>
      </w:r>
    </w:p>
    <w:p w14:paraId="3BCD91D6" w14:textId="2042CEE4" w:rsidR="00E732FA" w:rsidRDefault="00E732FA" w:rsidP="00E732FA">
      <w:pPr>
        <w:spacing w:after="120" w:line="240" w:lineRule="auto"/>
        <w:contextualSpacing/>
        <w:jc w:val="both"/>
        <w:rPr>
          <w:rFonts w:ascii="Calibri" w:eastAsia="Calibri" w:hAnsi="Calibri" w:cs="Calibri"/>
          <w:b/>
          <w:i/>
          <w:sz w:val="24"/>
          <w:szCs w:val="24"/>
          <w:u w:val="single"/>
        </w:rPr>
      </w:pPr>
    </w:p>
    <w:p w14:paraId="3E07D19B" w14:textId="4D00EA72" w:rsidR="006A1DDA" w:rsidRDefault="006A1DDA" w:rsidP="00E732FA">
      <w:pPr>
        <w:spacing w:after="120" w:line="240" w:lineRule="auto"/>
        <w:contextualSpacing/>
        <w:jc w:val="both"/>
        <w:rPr>
          <w:rFonts w:ascii="Calibri" w:eastAsia="Calibri" w:hAnsi="Calibri" w:cs="Calibri"/>
          <w:b/>
          <w:i/>
          <w:sz w:val="24"/>
          <w:szCs w:val="24"/>
          <w:u w:val="single"/>
        </w:rPr>
      </w:pPr>
    </w:p>
    <w:p w14:paraId="372EE7AA" w14:textId="77777777" w:rsidR="006A1DDA" w:rsidRPr="003C7CB1" w:rsidRDefault="006A1DDA" w:rsidP="00E732FA">
      <w:pPr>
        <w:spacing w:after="120" w:line="240" w:lineRule="auto"/>
        <w:contextualSpacing/>
        <w:jc w:val="both"/>
        <w:rPr>
          <w:rFonts w:ascii="Calibri" w:eastAsia="Calibri" w:hAnsi="Calibri" w:cs="Calibri"/>
          <w:b/>
          <w:i/>
          <w:sz w:val="24"/>
          <w:szCs w:val="24"/>
          <w:u w:val="single"/>
        </w:rPr>
      </w:pPr>
    </w:p>
    <w:p w14:paraId="58608E9D" w14:textId="77777777" w:rsidR="00E732FA" w:rsidRPr="003C7CB1" w:rsidRDefault="00E732FA" w:rsidP="00E732FA">
      <w:pPr>
        <w:spacing w:after="120" w:line="240" w:lineRule="auto"/>
        <w:contextualSpacing/>
        <w:jc w:val="both"/>
        <w:rPr>
          <w:rFonts w:ascii="Calibri" w:eastAsia="Calibri" w:hAnsi="Calibri" w:cs="Calibri"/>
          <w:b/>
          <w:i/>
          <w:sz w:val="24"/>
          <w:szCs w:val="24"/>
          <w:u w:val="single"/>
        </w:rPr>
      </w:pPr>
      <w:r w:rsidRPr="003C7CB1">
        <w:rPr>
          <w:rFonts w:ascii="Calibri" w:eastAsia="Calibri" w:hAnsi="Calibri" w:cs="Calibri"/>
          <w:b/>
          <w:i/>
          <w:sz w:val="24"/>
          <w:szCs w:val="24"/>
          <w:u w:val="single"/>
        </w:rPr>
        <w:lastRenderedPageBreak/>
        <w:t xml:space="preserve">Green growth and circular economy </w:t>
      </w:r>
    </w:p>
    <w:p w14:paraId="0B4C0F01" w14:textId="77777777" w:rsidR="00E732FA" w:rsidRPr="003C7CB1" w:rsidRDefault="00E732FA" w:rsidP="00E732FA">
      <w:pPr>
        <w:spacing w:after="120" w:line="240" w:lineRule="auto"/>
        <w:jc w:val="both"/>
        <w:rPr>
          <w:rFonts w:ascii="Calibri" w:eastAsia="Calibri" w:hAnsi="Calibri" w:cs="Calibri"/>
          <w:sz w:val="24"/>
          <w:szCs w:val="24"/>
        </w:rPr>
      </w:pPr>
    </w:p>
    <w:p w14:paraId="7FE85766" w14:textId="3E9AE715"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Montenegro, which is very tourism-oriented and declared an ecological state, must pay special attention to the valorization of green growth and circular economy, by integrating demographic, social, nature and economic aspects of economic development, as stated in the National Strategy for Sustainable Development of Montenegro until 2030, which transferred the universal UN sustainable development goals to the national context. </w:t>
      </w:r>
      <w:r w:rsidRPr="003C7CB1">
        <w:rPr>
          <w:rFonts w:ascii="Calibri" w:eastAsia="Calibri" w:hAnsi="Calibri" w:cs="Calibri"/>
          <w:b/>
          <w:sz w:val="24"/>
          <w:szCs w:val="24"/>
        </w:rPr>
        <w:t>Industrial policy of Montenegro 2019-2023</w:t>
      </w:r>
      <w:r w:rsidRPr="003C7CB1">
        <w:rPr>
          <w:rFonts w:ascii="Calibri" w:eastAsia="Calibri" w:hAnsi="Calibri" w:cs="Calibri"/>
          <w:sz w:val="24"/>
          <w:szCs w:val="24"/>
        </w:rPr>
        <w:t xml:space="preserve"> accepts the principles based on the development of green economy, resource efficiency and sustainable production and consumption, industrial waste management, introduction of environmental standards and defining measures and activities for their implementation. </w:t>
      </w:r>
      <w:r w:rsidR="00765B94">
        <w:rPr>
          <w:rFonts w:cs="Arial"/>
          <w:sz w:val="24"/>
          <w:szCs w:val="24"/>
        </w:rPr>
        <w:t xml:space="preserve">                                                                                                   </w:t>
      </w:r>
    </w:p>
    <w:p w14:paraId="0F6DF38C"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Special attention in the horizontal harmonization of strategic documents is paid to the analysis of harmonization with specific </w:t>
      </w:r>
      <w:r w:rsidRPr="003C7CB1">
        <w:rPr>
          <w:rFonts w:ascii="Calibri" w:eastAsia="Calibri" w:hAnsi="Calibri" w:cs="Calibri"/>
          <w:b/>
          <w:sz w:val="24"/>
          <w:szCs w:val="24"/>
        </w:rPr>
        <w:t>thematic strategies</w:t>
      </w:r>
      <w:r w:rsidRPr="003C7CB1">
        <w:rPr>
          <w:rFonts w:ascii="Calibri" w:eastAsia="Calibri" w:hAnsi="Calibri" w:cs="Calibri"/>
          <w:sz w:val="24"/>
          <w:szCs w:val="24"/>
        </w:rPr>
        <w:t>.</w:t>
      </w:r>
      <w:r w:rsidRPr="003C7CB1">
        <w:t xml:space="preserve"> </w:t>
      </w:r>
      <w:r w:rsidRPr="003C7CB1">
        <w:rPr>
          <w:rFonts w:ascii="Calibri" w:eastAsia="Calibri" w:hAnsi="Calibri" w:cs="Calibri"/>
          <w:sz w:val="24"/>
          <w:szCs w:val="24"/>
        </w:rPr>
        <w:t xml:space="preserve">Taking into account the strategic goal of tourism development and the need for diversification of the tourism product, the Government of Montenegro adopted </w:t>
      </w:r>
      <w:r w:rsidRPr="003C7CB1">
        <w:rPr>
          <w:rFonts w:ascii="Calibri" w:eastAsia="Calibri" w:hAnsi="Calibri" w:cs="Calibri"/>
          <w:b/>
          <w:sz w:val="24"/>
          <w:szCs w:val="24"/>
        </w:rPr>
        <w:t>the Program of Rural Tourism Development with the Action Plan until 2021, Cultural Tourism Development Program with the Action Plan 2019-2021</w:t>
      </w:r>
      <w:r w:rsidRPr="003C7CB1">
        <w:rPr>
          <w:rFonts w:ascii="Calibri" w:eastAsia="Calibri" w:hAnsi="Calibri" w:cs="Calibri"/>
          <w:sz w:val="24"/>
          <w:szCs w:val="24"/>
        </w:rPr>
        <w:t xml:space="preserve">, and </w:t>
      </w:r>
      <w:r w:rsidRPr="003C7CB1">
        <w:rPr>
          <w:rFonts w:ascii="Calibri" w:eastAsia="Calibri" w:hAnsi="Calibri" w:cs="Calibri"/>
          <w:b/>
          <w:sz w:val="24"/>
          <w:szCs w:val="24"/>
        </w:rPr>
        <w:t>Health Tourism Development Program with the Action Plan 2021 -2023</w:t>
      </w:r>
      <w:r w:rsidRPr="003C7CB1">
        <w:rPr>
          <w:rFonts w:ascii="Calibri" w:eastAsia="Calibri" w:hAnsi="Calibri" w:cs="Calibri"/>
          <w:sz w:val="24"/>
          <w:szCs w:val="24"/>
        </w:rPr>
        <w:t xml:space="preserve">, which define the topics of these important forms of tourism, restrictions but also measures, recommendations and guidelines regarding their development. </w:t>
      </w:r>
    </w:p>
    <w:p w14:paraId="0824EF58" w14:textId="579FD736"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 xml:space="preserve">The strategic goal of rural tourism development is defined by </w:t>
      </w:r>
      <w:r w:rsidRPr="003C7CB1">
        <w:rPr>
          <w:rFonts w:ascii="Calibri" w:eastAsia="Calibri" w:hAnsi="Calibri" w:cs="Calibri"/>
          <w:b/>
          <w:sz w:val="24"/>
          <w:szCs w:val="24"/>
        </w:rPr>
        <w:t>the Program of Rural Tourism Development 2019-2021</w:t>
      </w:r>
      <w:r w:rsidRPr="003C7CB1">
        <w:rPr>
          <w:rFonts w:ascii="Calibri" w:eastAsia="Calibri" w:hAnsi="Calibri" w:cs="Calibri"/>
          <w:sz w:val="24"/>
          <w:szCs w:val="24"/>
        </w:rPr>
        <w:t xml:space="preserve"> and it is aimed at developing a diversified and authentic rural tourist offer of Montenegro, which will create a basis for the improvement of the living standards of the population and stopping the depopulation of rural areas. The program was not fully implemented due to the COVID-19 pandemic, so the continuation of implementation is envisaged by this Strategy. </w:t>
      </w:r>
      <w:r w:rsidR="00765B94">
        <w:rPr>
          <w:rFonts w:cs="Arial"/>
          <w:sz w:val="24"/>
          <w:szCs w:val="24"/>
        </w:rPr>
        <w:t xml:space="preserve">                                                                                                   </w:t>
      </w:r>
    </w:p>
    <w:p w14:paraId="0BFEC043" w14:textId="77777777" w:rsidR="00E732FA" w:rsidRPr="003C7CB1"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b/>
          <w:sz w:val="24"/>
          <w:szCs w:val="24"/>
        </w:rPr>
        <w:t>Cultural Tourism Development Program of Montenegro with the Action Plan 2019-2021</w:t>
      </w:r>
      <w:r w:rsidRPr="003C7CB1">
        <w:rPr>
          <w:rFonts w:ascii="Calibri" w:eastAsia="Calibri" w:hAnsi="Calibri" w:cs="Calibri"/>
          <w:sz w:val="24"/>
          <w:szCs w:val="24"/>
        </w:rPr>
        <w:t xml:space="preserve"> envisages to enrich the tourist offer through the valorization of cultural heritage, while creating conditions for additional revenue, given that analyzes indicate that tourists whose main reasons for travel are cultural facilities, belong to the category of tourists who are willing to spend extra money on this type of tourist offer.</w:t>
      </w:r>
      <w:r w:rsidRPr="003C7CB1">
        <w:t xml:space="preserve"> </w:t>
      </w:r>
      <w:r w:rsidRPr="003C7CB1">
        <w:rPr>
          <w:rFonts w:ascii="Calibri" w:eastAsia="Calibri" w:hAnsi="Calibri" w:cs="Calibri"/>
          <w:sz w:val="24"/>
          <w:szCs w:val="24"/>
        </w:rPr>
        <w:t xml:space="preserve">Due to the COVID-19 pandemic, this Program was not implemented either, so the continuation of its implementation is envisaged by the new Tourism Strategy. </w:t>
      </w:r>
    </w:p>
    <w:p w14:paraId="47229425" w14:textId="35099628" w:rsidR="00E732FA" w:rsidRDefault="00E732FA" w:rsidP="00E732FA">
      <w:pPr>
        <w:spacing w:after="120" w:line="240" w:lineRule="auto"/>
        <w:jc w:val="both"/>
        <w:rPr>
          <w:rFonts w:ascii="Calibri" w:eastAsia="Calibri" w:hAnsi="Calibri" w:cs="Calibri"/>
          <w:sz w:val="24"/>
          <w:szCs w:val="24"/>
        </w:rPr>
      </w:pPr>
      <w:r w:rsidRPr="003C7CB1">
        <w:rPr>
          <w:rFonts w:ascii="Calibri" w:eastAsia="Calibri" w:hAnsi="Calibri" w:cs="Calibri"/>
          <w:sz w:val="24"/>
          <w:szCs w:val="24"/>
        </w:rPr>
        <w:t>Based on the analysis of the situation,</w:t>
      </w:r>
      <w:r w:rsidRPr="003C7CB1">
        <w:rPr>
          <w:rFonts w:ascii="Calibri" w:eastAsia="Calibri" w:hAnsi="Calibri" w:cs="Calibri"/>
          <w:b/>
          <w:sz w:val="24"/>
          <w:szCs w:val="24"/>
        </w:rPr>
        <w:t xml:space="preserve"> the Health Tourism Development Program of Montenegro with the Action Plan 2021-2023</w:t>
      </w:r>
      <w:r w:rsidRPr="003C7CB1">
        <w:rPr>
          <w:rFonts w:ascii="Calibri" w:eastAsia="Calibri" w:hAnsi="Calibri" w:cs="Calibri"/>
          <w:sz w:val="24"/>
          <w:szCs w:val="24"/>
        </w:rPr>
        <w:t xml:space="preserve"> defines key measures and goals for more intensive development of this form of tourism, in order to create preconditions for its more efficient development and creation of new jobs. This document will contribute to the improvement of the legislative framework for the development of health tourism, improvement and strengthening of the overall health infrastructure, positioning and recognition of Montenegro as a destination for health tourism. </w:t>
      </w:r>
    </w:p>
    <w:p w14:paraId="4BD253D3" w14:textId="5EE69094" w:rsidR="00FC20EC" w:rsidRDefault="00FC20EC" w:rsidP="00E732FA">
      <w:pPr>
        <w:spacing w:after="120" w:line="240" w:lineRule="auto"/>
        <w:jc w:val="both"/>
        <w:rPr>
          <w:rFonts w:ascii="Calibri" w:eastAsia="Calibri" w:hAnsi="Calibri" w:cs="Calibri"/>
          <w:b/>
          <w:sz w:val="24"/>
          <w:szCs w:val="24"/>
        </w:rPr>
      </w:pPr>
    </w:p>
    <w:p w14:paraId="4E45702E" w14:textId="58ED7C8F" w:rsidR="00FC20EC" w:rsidRDefault="00FC20EC" w:rsidP="00E732FA">
      <w:pPr>
        <w:spacing w:after="120" w:line="240" w:lineRule="auto"/>
        <w:jc w:val="both"/>
        <w:rPr>
          <w:rFonts w:ascii="Calibri" w:eastAsia="Calibri" w:hAnsi="Calibri" w:cs="Calibri"/>
          <w:b/>
          <w:sz w:val="24"/>
          <w:szCs w:val="24"/>
        </w:rPr>
      </w:pPr>
    </w:p>
    <w:p w14:paraId="29D070B6" w14:textId="77777777" w:rsidR="00FC20EC" w:rsidRPr="003C7CB1" w:rsidRDefault="00FC20EC" w:rsidP="00E732FA">
      <w:pPr>
        <w:spacing w:after="120" w:line="240" w:lineRule="auto"/>
        <w:jc w:val="both"/>
        <w:rPr>
          <w:rFonts w:ascii="Calibri" w:eastAsia="Calibri" w:hAnsi="Calibri" w:cs="Calibri"/>
          <w:b/>
          <w:sz w:val="24"/>
          <w:szCs w:val="24"/>
        </w:rPr>
      </w:pPr>
    </w:p>
    <w:p w14:paraId="149A2610" w14:textId="77777777" w:rsidR="00E732FA" w:rsidRPr="003C7CB1" w:rsidRDefault="00E732FA" w:rsidP="00E732FA">
      <w:pPr>
        <w:spacing w:after="120"/>
        <w:contextualSpacing/>
        <w:jc w:val="both"/>
        <w:rPr>
          <w:rFonts w:ascii="Calibri" w:eastAsia="Calibri" w:hAnsi="Calibri" w:cs="Calibri"/>
          <w:b/>
          <w:bCs/>
          <w:color w:val="2F5496" w:themeColor="accent1" w:themeShade="BF"/>
          <w:sz w:val="24"/>
          <w:szCs w:val="24"/>
          <w:lang w:eastAsia="hr-HR"/>
        </w:rPr>
      </w:pPr>
      <w:r w:rsidRPr="003C7CB1">
        <w:rPr>
          <w:rFonts w:ascii="Calibri" w:eastAsia="Calibri" w:hAnsi="Calibri" w:cs="Calibri"/>
          <w:b/>
          <w:bCs/>
          <w:color w:val="2F5496" w:themeColor="accent1" w:themeShade="BF"/>
          <w:sz w:val="24"/>
          <w:szCs w:val="24"/>
          <w:lang w:eastAsia="hr-HR"/>
        </w:rPr>
        <w:lastRenderedPageBreak/>
        <w:t xml:space="preserve">Harmonization with key EU policies in the context of the European integration process and regional cooperation </w:t>
      </w:r>
    </w:p>
    <w:p w14:paraId="78B2E663" w14:textId="77777777" w:rsidR="00E732FA" w:rsidRPr="003C7CB1" w:rsidRDefault="00E732FA" w:rsidP="00E732FA">
      <w:pPr>
        <w:pStyle w:val="ListParagraph"/>
        <w:numPr>
          <w:ilvl w:val="0"/>
          <w:numId w:val="50"/>
        </w:numPr>
        <w:spacing w:after="120"/>
        <w:jc w:val="both"/>
        <w:rPr>
          <w:rFonts w:ascii="Calibri" w:eastAsia="Calibri" w:hAnsi="Calibri" w:cs="Calibri"/>
          <w:b/>
          <w:bCs/>
          <w:sz w:val="24"/>
          <w:szCs w:val="24"/>
          <w:lang w:eastAsia="hr-HR"/>
        </w:rPr>
      </w:pPr>
      <w:r w:rsidRPr="003C7CB1">
        <w:rPr>
          <w:rFonts w:ascii="Calibri" w:eastAsia="Calibri" w:hAnsi="Calibri" w:cs="Calibri"/>
          <w:b/>
          <w:bCs/>
          <w:sz w:val="24"/>
          <w:szCs w:val="24"/>
          <w:lang w:eastAsia="hr-HR"/>
        </w:rPr>
        <w:t>Commitments from the process of Montenegro's accession to the EU (Chapters 3, 18, 19, 20, 27 and 28):</w:t>
      </w:r>
    </w:p>
    <w:p w14:paraId="023D551C"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Chapter 3</w:t>
      </w:r>
      <w:r w:rsidRPr="003C7CB1">
        <w:rPr>
          <w:rFonts w:ascii="Calibri" w:eastAsia="Calibri" w:hAnsi="Calibri" w:cs="Calibri"/>
          <w:bCs/>
          <w:color w:val="000000"/>
          <w:sz w:val="24"/>
          <w:szCs w:val="24"/>
          <w:lang w:eastAsia="hr-HR"/>
        </w:rPr>
        <w:t xml:space="preserve"> – The freedom to provide services from the aspect of tourism enables the functioning of the internal market of the European Union and includes the right of establishment of a company in any member state of the Union. Establishment of a company means the right to start and pursue activities in any Member State, by founding companies or as self-employed persons.</w:t>
      </w:r>
      <w:r w:rsidRPr="003C7CB1">
        <w:t xml:space="preserve"> </w:t>
      </w:r>
      <w:r w:rsidRPr="003C7CB1">
        <w:rPr>
          <w:rFonts w:ascii="Calibri" w:eastAsia="Calibri" w:hAnsi="Calibri" w:cs="Calibri"/>
          <w:bCs/>
          <w:color w:val="000000"/>
          <w:sz w:val="24"/>
          <w:szCs w:val="24"/>
          <w:lang w:eastAsia="hr-HR"/>
        </w:rPr>
        <w:t xml:space="preserve">The right to establish a company will enable Montenegrin business entities to initiate, start and pursue economic activities in a stable and continuous manner in one or more Member States of the Union.  </w:t>
      </w:r>
    </w:p>
    <w:p w14:paraId="05F6D171" w14:textId="2A101081"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 xml:space="preserve">Chapter 18 </w:t>
      </w:r>
      <w:r w:rsidRPr="003C7CB1">
        <w:rPr>
          <w:rFonts w:ascii="Calibri" w:eastAsia="Calibri" w:hAnsi="Calibri" w:cs="Calibri"/>
          <w:bCs/>
          <w:color w:val="000000"/>
          <w:sz w:val="24"/>
          <w:szCs w:val="24"/>
          <w:lang w:eastAsia="hr-HR"/>
        </w:rPr>
        <w:t>– Statistics is important as an instrument for monitoring and adopting development policies, and is primarily based on quantitative indicators.</w:t>
      </w:r>
      <w:r w:rsidRPr="003C7CB1">
        <w:t xml:space="preserve"> </w:t>
      </w:r>
      <w:r w:rsidRPr="003C7CB1">
        <w:rPr>
          <w:rFonts w:ascii="Calibri" w:eastAsia="Calibri" w:hAnsi="Calibri" w:cs="Calibri"/>
          <w:bCs/>
          <w:color w:val="000000"/>
          <w:sz w:val="24"/>
          <w:szCs w:val="24"/>
          <w:lang w:eastAsia="hr-HR"/>
        </w:rPr>
        <w:t xml:space="preserve">Economic policy makers should continuously monitor the development of statistics in tourism, and contribute to greater harmonization with the EU statistical system through joint inter-institutional efforts. </w:t>
      </w:r>
      <w:r w:rsidR="00765B94">
        <w:rPr>
          <w:rFonts w:cs="Arial"/>
          <w:sz w:val="24"/>
          <w:szCs w:val="24"/>
        </w:rPr>
        <w:t xml:space="preserve">                                                                                                   </w:t>
      </w:r>
    </w:p>
    <w:p w14:paraId="68CD8D5B" w14:textId="34680724"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In Montenegro, the need for better statistical reports, primarily in terms of their timeliness, comprehensiveness and accuracy, is especially evident after MONSTAT, in 2017, began implementing EU Regulation 692/2011. This regulation defines that EU member states that have less than 1% of the total annual number of overnight stays in tourist accommodation facilities in the European Union, may process data on the number of tourist arrivals and overnight stays only for tourist facilities in hotels and other collective accommodation, while publishing data from private accommodation is not required. As Montenegro is below the 1% threshold, taking into account the national interest in data on tourist arrivals and overnight stays in individual / private accommodation, MONSTAT publishes data on individual / private accommodation on an annual basis. However, publishing annual data on touri</w:t>
      </w:r>
      <w:r w:rsidR="0048604F">
        <w:rPr>
          <w:rFonts w:ascii="Calibri" w:eastAsia="Calibri" w:hAnsi="Calibri" w:cs="Calibri"/>
          <w:bCs/>
          <w:color w:val="000000"/>
          <w:sz w:val="24"/>
          <w:szCs w:val="24"/>
          <w:lang w:eastAsia="hr-HR"/>
        </w:rPr>
        <w:t>sm turnover</w:t>
      </w:r>
      <w:r w:rsidRPr="003C7CB1">
        <w:rPr>
          <w:rFonts w:ascii="Calibri" w:eastAsia="Calibri" w:hAnsi="Calibri" w:cs="Calibri"/>
          <w:bCs/>
          <w:color w:val="000000"/>
          <w:sz w:val="24"/>
          <w:szCs w:val="24"/>
          <w:lang w:eastAsia="hr-HR"/>
        </w:rPr>
        <w:t xml:space="preserve"> in individual / private accommodation, which accounts for about 70% of total touris</w:t>
      </w:r>
      <w:r w:rsidR="0048604F">
        <w:rPr>
          <w:rFonts w:ascii="Calibri" w:eastAsia="Calibri" w:hAnsi="Calibri" w:cs="Calibri"/>
          <w:bCs/>
          <w:color w:val="000000"/>
          <w:sz w:val="24"/>
          <w:szCs w:val="24"/>
          <w:lang w:eastAsia="hr-HR"/>
        </w:rPr>
        <w:t>m turnover</w:t>
      </w:r>
      <w:r w:rsidRPr="003C7CB1">
        <w:rPr>
          <w:rFonts w:ascii="Calibri" w:eastAsia="Calibri" w:hAnsi="Calibri" w:cs="Calibri"/>
          <w:bCs/>
          <w:color w:val="000000"/>
          <w:sz w:val="24"/>
          <w:szCs w:val="24"/>
          <w:lang w:eastAsia="hr-HR"/>
        </w:rPr>
        <w:t>, is a problem both in terms of quality data processing and analysis during the year and in terms of the need for possible rapid response to changes in tourism market, which was especially evident during the crisis in 2020. The crisis caused by the war in Ukraine has additionally highlighted this problem, which indicates the need to find a fast and efficient model for obtaining data on total t</w:t>
      </w:r>
      <w:r w:rsidR="00DE6615">
        <w:rPr>
          <w:rFonts w:ascii="Calibri" w:eastAsia="Calibri" w:hAnsi="Calibri" w:cs="Calibri"/>
          <w:bCs/>
          <w:color w:val="000000"/>
          <w:sz w:val="24"/>
          <w:szCs w:val="24"/>
          <w:lang w:eastAsia="hr-HR"/>
        </w:rPr>
        <w:t>urnover</w:t>
      </w:r>
      <w:r w:rsidRPr="003C7CB1">
        <w:rPr>
          <w:rFonts w:ascii="Calibri" w:eastAsia="Calibri" w:hAnsi="Calibri" w:cs="Calibri"/>
          <w:bCs/>
          <w:color w:val="000000"/>
          <w:sz w:val="24"/>
          <w:szCs w:val="24"/>
          <w:lang w:eastAsia="hr-HR"/>
        </w:rPr>
        <w:t xml:space="preserve"> in the shortest possible time intervals. </w:t>
      </w:r>
    </w:p>
    <w:p w14:paraId="30B4BA76" w14:textId="4555EF31"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On the other hand, we highlight the example of good practice in statistical data processing. Specifically, it is about a pilot project - Tourism Satellite Accounting - TSA, which was experimentally implemented in Montenegro in 2011.</w:t>
      </w:r>
      <w:r w:rsidRPr="003C7CB1">
        <w:t xml:space="preserve"> </w:t>
      </w:r>
      <w:r w:rsidRPr="003C7CB1">
        <w:rPr>
          <w:rFonts w:ascii="Calibri" w:eastAsia="Calibri" w:hAnsi="Calibri" w:cs="Calibri"/>
          <w:bCs/>
          <w:color w:val="000000"/>
          <w:sz w:val="24"/>
          <w:szCs w:val="24"/>
          <w:lang w:eastAsia="hr-HR"/>
        </w:rPr>
        <w:t xml:space="preserve">The aim of the application of tourism satellite accounting is to measure the economic effects of tourism based on a comparison of tourism-generated demand for products and services, as well as their supply. All aspects of demand for products and services related to the activities of visitors, the connection with the supply of these products and services in the economy are also analyzed in detail and the relationship of supply with other economic aspects is described. The project was implemented by MONSTAT in cooperation with the Central Bank of Montenegro, the then Ministry of Sustainable Development and Tourism, the National Tourism Organization of Montenegro, the Faculty of Tourism Bar and the Institute for Strategic Studies and Prognoses. </w:t>
      </w:r>
      <w:r w:rsidRPr="003C7CB1">
        <w:rPr>
          <w:rFonts w:ascii="Calibri" w:eastAsia="Calibri" w:hAnsi="Calibri" w:cs="Calibri"/>
          <w:bCs/>
          <w:color w:val="000000"/>
          <w:sz w:val="24"/>
          <w:szCs w:val="24"/>
          <w:lang w:eastAsia="hr-HR"/>
        </w:rPr>
        <w:lastRenderedPageBreak/>
        <w:t xml:space="preserve">The project is financed from IPA funds, as a financial pre-accession instrument of assistance to Montenegro.   </w:t>
      </w:r>
      <w:r w:rsidR="00765B94">
        <w:rPr>
          <w:rFonts w:cs="Arial"/>
          <w:sz w:val="24"/>
          <w:szCs w:val="24"/>
        </w:rPr>
        <w:t xml:space="preserve">                                                                                                   </w:t>
      </w:r>
    </w:p>
    <w:p w14:paraId="20620654"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 xml:space="preserve">Bearing in mind that the process of determining revenue from tourism, i.e., daily consumption of tourists in Montenegro is still non-standardized (i.e., it is primarily based on MONSTAT data and research done by the Central Bank of Montenegro), it is necessary to intensify activities on the introduction of tourism satellite accounting and improving the revenue estimation methodology applied by the CBM.   </w:t>
      </w:r>
    </w:p>
    <w:p w14:paraId="6B99869A"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color w:val="000000"/>
          <w:sz w:val="24"/>
          <w:szCs w:val="24"/>
          <w:lang w:eastAsia="hr-HR"/>
        </w:rPr>
        <w:t>Chapter 19</w:t>
      </w:r>
      <w:r w:rsidRPr="003C7CB1">
        <w:rPr>
          <w:rFonts w:ascii="Calibri" w:eastAsia="Calibri" w:hAnsi="Calibri" w:cs="Calibri"/>
          <w:bCs/>
          <w:color w:val="000000"/>
          <w:sz w:val="24"/>
          <w:szCs w:val="24"/>
          <w:lang w:eastAsia="hr-HR"/>
        </w:rPr>
        <w:t xml:space="preserve"> – Social policy and employment - includes the EU acquis in the field of social policy and employment.</w:t>
      </w:r>
      <w:r w:rsidRPr="003C7CB1">
        <w:t xml:space="preserve"> </w:t>
      </w:r>
      <w:r w:rsidRPr="003C7CB1">
        <w:rPr>
          <w:rFonts w:ascii="Calibri" w:eastAsia="Calibri" w:hAnsi="Calibri" w:cs="Calibri"/>
          <w:bCs/>
          <w:color w:val="000000"/>
          <w:sz w:val="24"/>
          <w:szCs w:val="24"/>
          <w:lang w:eastAsia="hr-HR"/>
        </w:rPr>
        <w:t xml:space="preserve">Policies in these areas primarily rely on the provisions of Article 3 of the Treaty on European Union, which states that the Union's basic objectives include: full employment, social rights and protection, equality between men and women, intergenerational solidarity, protection of the rights of the child, combating social exclusion and discrimination. </w:t>
      </w:r>
    </w:p>
    <w:p w14:paraId="7BCDA3B9" w14:textId="0CC60BD6"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Chapter 20</w:t>
      </w:r>
      <w:r w:rsidRPr="003C7CB1">
        <w:rPr>
          <w:rFonts w:ascii="Calibri" w:eastAsia="Calibri" w:hAnsi="Calibri" w:cs="Calibri"/>
          <w:bCs/>
          <w:color w:val="000000"/>
          <w:sz w:val="24"/>
          <w:szCs w:val="24"/>
          <w:lang w:eastAsia="hr-HR"/>
        </w:rPr>
        <w:t xml:space="preserve"> – Enterprise and industrial policy - the goal is to create a favorable environment for producers and entrepreneurs by supporting competitiveness and equal business activities in Europe and around the world. Topics covered by the EU acquis are industrial policy, instruments of financial assistance to small and medium-sized enterprises, the tourism industry, the aerospace and maritime industry, the wood industry, the steel and metals industry.  </w:t>
      </w:r>
      <w:r w:rsidR="00765B94">
        <w:rPr>
          <w:rFonts w:cs="Arial"/>
          <w:sz w:val="24"/>
          <w:szCs w:val="24"/>
        </w:rPr>
        <w:t xml:space="preserve">                                                                                                   </w:t>
      </w:r>
    </w:p>
    <w:p w14:paraId="1B0EF20F"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Chapter 27</w:t>
      </w:r>
      <w:r w:rsidRPr="003C7CB1">
        <w:rPr>
          <w:rFonts w:ascii="Calibri" w:eastAsia="Calibri" w:hAnsi="Calibri" w:cs="Calibri"/>
          <w:bCs/>
          <w:color w:val="000000"/>
          <w:sz w:val="24"/>
          <w:szCs w:val="24"/>
          <w:lang w:eastAsia="hr-HR"/>
        </w:rPr>
        <w:t xml:space="preserve"> – The environment includes a significant scope of the EU acquis which is also demanding for the current Member States: horizontal legislation, water and air quality, waste management, nature protection, industrial pollution control and risk management, chemicals and genetically modified organisms (GMOs), noise and forestry , consistent application of which will create an optimal environment for further development and promotion of Montenegrin tourism and the determinant of Montenegro as an ecological state arising from the Constitution.</w:t>
      </w:r>
    </w:p>
    <w:p w14:paraId="2768FB0C"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 xml:space="preserve">Chapter 28 – </w:t>
      </w:r>
      <w:r w:rsidRPr="003C7CB1">
        <w:rPr>
          <w:rFonts w:ascii="Calibri" w:eastAsia="Calibri" w:hAnsi="Calibri" w:cs="Calibri"/>
          <w:bCs/>
          <w:color w:val="000000"/>
          <w:sz w:val="24"/>
          <w:szCs w:val="24"/>
          <w:lang w:eastAsia="hr-HR"/>
        </w:rPr>
        <w:t>It consists of two major areas: consumer and health protection.</w:t>
      </w:r>
      <w:r w:rsidRPr="003C7CB1">
        <w:t xml:space="preserve"> </w:t>
      </w:r>
      <w:r w:rsidRPr="003C7CB1">
        <w:rPr>
          <w:rFonts w:ascii="Calibri" w:eastAsia="Calibri" w:hAnsi="Calibri" w:cs="Calibri"/>
          <w:bCs/>
          <w:color w:val="000000"/>
          <w:sz w:val="24"/>
          <w:szCs w:val="24"/>
          <w:lang w:eastAsia="hr-HR"/>
        </w:rPr>
        <w:t>The goal of consumer protection policy is to protect the economic interests of consumers, product safety, provide information on goods and services, educate consumers about their rights, as well as provide a legal remedy in case of violation of consumer rights. EU consumer legislation offers the possibility of out-of-court settlement of disputes, the right to compensation, the right to unilateral termination of contracts and contributes to the overall strengthening of consumer awareness and a secure EU market for all consumers.</w:t>
      </w:r>
      <w:r w:rsidRPr="003C7CB1">
        <w:t xml:space="preserve"> </w:t>
      </w:r>
      <w:r w:rsidRPr="003C7CB1">
        <w:rPr>
          <w:rFonts w:ascii="Calibri" w:eastAsia="Calibri" w:hAnsi="Calibri" w:cs="Calibri"/>
          <w:bCs/>
          <w:color w:val="000000"/>
          <w:sz w:val="24"/>
          <w:szCs w:val="24"/>
          <w:lang w:eastAsia="hr-HR"/>
        </w:rPr>
        <w:t>Consumer protection is an area of ​​public interest and is in the function of ensuring the quality of life of all citizens of the European Union.</w:t>
      </w:r>
    </w:p>
    <w:p w14:paraId="0173CDC9" w14:textId="77777777" w:rsidR="00E732FA" w:rsidRPr="003C7CB1" w:rsidRDefault="00E732FA" w:rsidP="00E732FA">
      <w:pPr>
        <w:pStyle w:val="ListParagraph"/>
        <w:numPr>
          <w:ilvl w:val="0"/>
          <w:numId w:val="50"/>
        </w:numPr>
        <w:spacing w:after="120" w:line="240" w:lineRule="auto"/>
        <w:jc w:val="both"/>
        <w:rPr>
          <w:rFonts w:ascii="Calibri" w:eastAsia="Calibri" w:hAnsi="Calibri" w:cs="Calibri"/>
          <w:b/>
          <w:sz w:val="24"/>
          <w:szCs w:val="24"/>
          <w:lang w:eastAsia="hr-HR"/>
        </w:rPr>
      </w:pPr>
      <w:r w:rsidRPr="003C7CB1">
        <w:rPr>
          <w:rFonts w:ascii="Calibri" w:eastAsia="Calibri" w:hAnsi="Calibri" w:cs="Calibri"/>
          <w:b/>
          <w:sz w:val="24"/>
          <w:szCs w:val="24"/>
          <w:lang w:eastAsia="hr-HR"/>
        </w:rPr>
        <w:t>EU programs and funds</w:t>
      </w:r>
      <w:r w:rsidRPr="003C7CB1">
        <w:rPr>
          <w:vertAlign w:val="superscript"/>
          <w:lang w:eastAsia="hr-HR"/>
        </w:rPr>
        <w:footnoteReference w:id="7"/>
      </w:r>
      <w:r w:rsidRPr="003C7CB1">
        <w:rPr>
          <w:rFonts w:ascii="Calibri" w:eastAsia="Calibri" w:hAnsi="Calibri" w:cs="Calibri"/>
          <w:b/>
          <w:sz w:val="24"/>
          <w:szCs w:val="24"/>
          <w:lang w:eastAsia="hr-HR"/>
        </w:rPr>
        <w:t xml:space="preserve"> </w:t>
      </w:r>
    </w:p>
    <w:p w14:paraId="52AA4400" w14:textId="77777777"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The existence of this strategic document creates an opportunity, and in many segments it is a precondition for applying for funds offered by various international sources of funding</w:t>
      </w:r>
      <w:r w:rsidRPr="003C7CB1">
        <w:rPr>
          <w:rFonts w:ascii="Calibri" w:eastAsia="Calibri" w:hAnsi="Calibri" w:cs="Calibri"/>
          <w:sz w:val="24"/>
          <w:szCs w:val="24"/>
          <w:lang w:eastAsia="hr-HR"/>
        </w:rPr>
        <w:t>.</w:t>
      </w:r>
      <w:r w:rsidRPr="003C7CB1">
        <w:t xml:space="preserve"> </w:t>
      </w:r>
      <w:r w:rsidRPr="003C7CB1">
        <w:rPr>
          <w:rFonts w:ascii="Calibri" w:eastAsia="Calibri" w:hAnsi="Calibri" w:cs="Calibri"/>
          <w:sz w:val="24"/>
          <w:szCs w:val="24"/>
          <w:lang w:eastAsia="hr-HR"/>
        </w:rPr>
        <w:t xml:space="preserve">Therefore, the Strategy represents a perspective for the use of many financial potentials, both for the relevant ministry, or other institutions of the public administration system, and other tourism actors who have so-called cross-cutting activities related to this Strategy. </w:t>
      </w:r>
    </w:p>
    <w:p w14:paraId="68FFA5BD" w14:textId="064505D5"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sz w:val="24"/>
          <w:szCs w:val="24"/>
          <w:lang w:eastAsia="hr-HR"/>
        </w:rPr>
        <w:lastRenderedPageBreak/>
        <w:t>In 2006, the European Union established the Instrument for Pre-Accession Assistance (IPA)</w:t>
      </w:r>
      <w:r w:rsidRPr="003C7CB1">
        <w:rPr>
          <w:rFonts w:ascii="Calibri" w:eastAsia="Calibri" w:hAnsi="Calibri" w:cs="Calibri"/>
          <w:sz w:val="24"/>
          <w:szCs w:val="24"/>
          <w:vertAlign w:val="superscript"/>
          <w:lang w:eastAsia="hr-HR"/>
        </w:rPr>
        <w:footnoteReference w:id="8"/>
      </w:r>
      <w:r w:rsidRPr="003C7CB1">
        <w:rPr>
          <w:rFonts w:ascii="Calibri" w:eastAsia="Calibri" w:hAnsi="Calibri" w:cs="Calibri"/>
          <w:sz w:val="24"/>
          <w:szCs w:val="24"/>
          <w:lang w:eastAsia="hr-HR"/>
        </w:rPr>
        <w:t>, with the aim of supporting institution building, implementing key reform processes on the path to the EU accession, but also supporting socio-economic development.</w:t>
      </w:r>
      <w:r w:rsidRPr="003C7CB1">
        <w:t xml:space="preserve"> </w:t>
      </w:r>
      <w:r w:rsidRPr="003C7CB1">
        <w:rPr>
          <w:rFonts w:ascii="Calibri" w:eastAsia="Calibri" w:hAnsi="Calibri" w:cs="Calibri"/>
          <w:sz w:val="24"/>
          <w:szCs w:val="24"/>
          <w:lang w:eastAsia="hr-HR"/>
        </w:rPr>
        <w:t>So far, projects financed by IPA funds through the financial perspe</w:t>
      </w:r>
      <w:r w:rsidR="003C7CB1">
        <w:rPr>
          <w:rFonts w:ascii="Calibri" w:eastAsia="Calibri" w:hAnsi="Calibri" w:cs="Calibri"/>
          <w:sz w:val="24"/>
          <w:szCs w:val="24"/>
          <w:lang w:eastAsia="hr-HR"/>
        </w:rPr>
        <w:t>ctives of IPA 2007-2013 (IPA I)</w:t>
      </w:r>
      <w:r w:rsidRPr="003C7CB1">
        <w:rPr>
          <w:rFonts w:ascii="Calibri" w:eastAsia="Calibri" w:hAnsi="Calibri" w:cs="Calibri"/>
          <w:sz w:val="24"/>
          <w:szCs w:val="24"/>
          <w:lang w:eastAsia="hr-HR"/>
        </w:rPr>
        <w:t xml:space="preserve"> and IPA 2014-2020 (IPA II) have been implemented and are still being implemented in Montenegro, and IPA 2021-2027 (IPA III) is being prepared. IPA also includes support provided through regional programs and instruments, such as the Multi-Beneficiary IPA Program, the Western Balkans Investment Framework and the EU Programs, as well as through cross-border and transnational cooperation programs. The IPA function is to assist countries which are in negotiations with the EU in achieving sustainable development and poverty rate reduction, and is also a preparation for the use of EU structural and cohesion funds, which are available after accession to the European Union. </w:t>
      </w:r>
    </w:p>
    <w:p w14:paraId="328644FD" w14:textId="24C0CCD6"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sz w:val="24"/>
          <w:szCs w:val="24"/>
          <w:lang w:eastAsia="hr-HR"/>
        </w:rPr>
        <w:t xml:space="preserve">Under the IPA I and IPA II programs, support was implemented through several components / sectors. Tourism is not recognized separately anywhere, but the components / sectors have been comprehensively defined, so many projects in the field of tourism have been financed from these funds. </w:t>
      </w:r>
      <w:r w:rsidR="00765B94">
        <w:rPr>
          <w:rFonts w:cs="Arial"/>
          <w:sz w:val="24"/>
          <w:szCs w:val="24"/>
        </w:rPr>
        <w:t xml:space="preserve">                                                                                                   </w:t>
      </w:r>
    </w:p>
    <w:p w14:paraId="64116504" w14:textId="137EFB25"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sz w:val="24"/>
          <w:szCs w:val="24"/>
          <w:lang w:eastAsia="hr-HR"/>
        </w:rPr>
        <w:t>Under the IPA I financial perspective (2007-2013), the European Commission has allocated a total of EUR 235 million to Montenegro through 5 components.</w:t>
      </w:r>
      <w:r w:rsidRPr="003C7CB1">
        <w:t xml:space="preserve"> </w:t>
      </w:r>
      <w:r w:rsidRPr="003C7CB1">
        <w:rPr>
          <w:rFonts w:ascii="Calibri" w:eastAsia="Calibri" w:hAnsi="Calibri" w:cs="Calibri"/>
          <w:sz w:val="24"/>
          <w:szCs w:val="24"/>
          <w:lang w:eastAsia="hr-HR"/>
        </w:rPr>
        <w:t xml:space="preserve">Under the IPA II financial perspective (2014-2020), the European Commission has allocated EUR 279.1 million of support to Montenegro, directed through 8 components within which numerous projects in tourism have been implemented. When it comes to IPA III, funds available for all Western Balkan countries for the financial perspective 2021-2027 will amount to more than 14 billion euros.  </w:t>
      </w:r>
      <w:r w:rsidR="00765B94">
        <w:rPr>
          <w:rFonts w:cs="Arial"/>
          <w:sz w:val="24"/>
          <w:szCs w:val="24"/>
        </w:rPr>
        <w:t xml:space="preserve">                                                                                                   </w:t>
      </w:r>
    </w:p>
    <w:p w14:paraId="0A5D32C2" w14:textId="67A358F7"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sz w:val="24"/>
          <w:szCs w:val="24"/>
          <w:lang w:eastAsia="hr-HR"/>
        </w:rPr>
        <w:t>Apart from the IPA program, in the previous period Montenegro has participated and will continue to participate in some other EU programs, including Horizon 2020, Creative Europe, Erasmus +, COSME, Europe for Citizens, European Program for Employme</w:t>
      </w:r>
      <w:r w:rsidR="003C7CB1">
        <w:rPr>
          <w:rFonts w:ascii="Calibri" w:eastAsia="Calibri" w:hAnsi="Calibri" w:cs="Calibri"/>
          <w:sz w:val="24"/>
          <w:szCs w:val="24"/>
          <w:lang w:eastAsia="hr-HR"/>
        </w:rPr>
        <w:t>nt and Social Innovation (</w:t>
      </w:r>
      <w:proofErr w:type="spellStart"/>
      <w:r w:rsidR="003C7CB1">
        <w:rPr>
          <w:rFonts w:ascii="Calibri" w:eastAsia="Calibri" w:hAnsi="Calibri" w:cs="Calibri"/>
          <w:sz w:val="24"/>
          <w:szCs w:val="24"/>
          <w:lang w:eastAsia="hr-HR"/>
        </w:rPr>
        <w:t>EaSI</w:t>
      </w:r>
      <w:proofErr w:type="spellEnd"/>
      <w:r w:rsidR="003C7CB1">
        <w:rPr>
          <w:rFonts w:ascii="Calibri" w:eastAsia="Calibri" w:hAnsi="Calibri" w:cs="Calibri"/>
          <w:sz w:val="24"/>
          <w:szCs w:val="24"/>
          <w:lang w:eastAsia="hr-HR"/>
        </w:rPr>
        <w:t>)</w:t>
      </w:r>
      <w:r w:rsidRPr="003C7CB1">
        <w:rPr>
          <w:rFonts w:ascii="Calibri" w:eastAsia="Calibri" w:hAnsi="Calibri" w:cs="Calibri"/>
          <w:sz w:val="24"/>
          <w:szCs w:val="24"/>
          <w:lang w:eastAsia="hr-HR"/>
        </w:rPr>
        <w:t xml:space="preserve">, IPARD II and III, etc., which are also relevant in the field of tourism. </w:t>
      </w:r>
    </w:p>
    <w:p w14:paraId="3470E9F6" w14:textId="77777777"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sz w:val="24"/>
          <w:szCs w:val="24"/>
          <w:lang w:eastAsia="hr-HR"/>
        </w:rPr>
        <w:t xml:space="preserve">The same as before, beneficiaries of funds for tourism projects can be non-profit entities with public authorities at the national and local level, NGOs, associations and unions, universities, and other non-profit entities whose activities are harmonized with the subject of the project. </w:t>
      </w:r>
    </w:p>
    <w:p w14:paraId="6ACC3FA8" w14:textId="09758646"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sz w:val="24"/>
          <w:szCs w:val="24"/>
          <w:lang w:eastAsia="hr-HR"/>
        </w:rPr>
        <w:t xml:space="preserve">The following are some examples of projects in the field of tourism whose implementation is underway, and within the European Territorial Cooperation Program, which includes partners from Montenegro:  </w:t>
      </w:r>
      <w:r w:rsidR="00765B94">
        <w:rPr>
          <w:rFonts w:cs="Arial"/>
          <w:sz w:val="24"/>
          <w:szCs w:val="24"/>
        </w:rPr>
        <w:t xml:space="preserve">                                                                                                   </w:t>
      </w:r>
    </w:p>
    <w:p w14:paraId="38B30033" w14:textId="77777777" w:rsidR="00E732FA" w:rsidRPr="003C7CB1" w:rsidRDefault="00E732FA" w:rsidP="00E732FA">
      <w:pPr>
        <w:spacing w:after="120" w:line="240" w:lineRule="auto"/>
        <w:jc w:val="both"/>
        <w:rPr>
          <w:rFonts w:ascii="Calibri" w:eastAsia="Calibri" w:hAnsi="Calibri" w:cs="Calibri"/>
          <w:sz w:val="24"/>
          <w:szCs w:val="24"/>
          <w:lang w:eastAsia="hr-HR"/>
        </w:rPr>
      </w:pPr>
    </w:p>
    <w:p w14:paraId="461B7B38" w14:textId="77777777" w:rsidR="00E732FA" w:rsidRPr="003C7CB1" w:rsidRDefault="00E732FA" w:rsidP="00E732FA">
      <w:pPr>
        <w:pStyle w:val="ListParagraph"/>
        <w:numPr>
          <w:ilvl w:val="0"/>
          <w:numId w:val="50"/>
        </w:numPr>
        <w:spacing w:after="120" w:line="240" w:lineRule="auto"/>
        <w:jc w:val="both"/>
        <w:rPr>
          <w:rFonts w:ascii="Calibri" w:eastAsia="Calibri" w:hAnsi="Calibri" w:cs="Calibri"/>
          <w:b/>
          <w:sz w:val="24"/>
          <w:szCs w:val="24"/>
          <w:lang w:eastAsia="hr-HR"/>
        </w:rPr>
      </w:pPr>
      <w:r w:rsidRPr="003C7CB1">
        <w:rPr>
          <w:rFonts w:ascii="Calibri" w:eastAsia="Calibri" w:hAnsi="Calibri" w:cs="Calibri"/>
          <w:b/>
          <w:sz w:val="24"/>
          <w:szCs w:val="24"/>
          <w:lang w:eastAsia="hr-HR"/>
        </w:rPr>
        <w:t>Projects financed from trilateral programs</w:t>
      </w:r>
    </w:p>
    <w:p w14:paraId="2752F341" w14:textId="1A2DE86E" w:rsidR="00E732FA" w:rsidRPr="003C7CB1" w:rsidRDefault="00E732FA" w:rsidP="00E732FA">
      <w:pPr>
        <w:spacing w:after="120" w:line="240" w:lineRule="auto"/>
        <w:jc w:val="both"/>
        <w:rPr>
          <w:rFonts w:ascii="Calibri" w:eastAsia="Calibri" w:hAnsi="Calibri" w:cs="Calibri"/>
          <w:b/>
          <w:sz w:val="24"/>
          <w:szCs w:val="24"/>
          <w:lang w:eastAsia="hr-HR"/>
        </w:rPr>
      </w:pPr>
      <w:r w:rsidRPr="003C7CB1">
        <w:rPr>
          <w:rFonts w:ascii="Calibri" w:eastAsia="Calibri" w:hAnsi="Calibri" w:cs="Calibri"/>
          <w:b/>
          <w:sz w:val="24"/>
          <w:szCs w:val="24"/>
          <w:lang w:eastAsia="hr-HR"/>
        </w:rPr>
        <w:t>Due Mari - Next Generation Tourism Development / May 15, 2019 – November 14, 2022/</w:t>
      </w:r>
      <w:r w:rsidRPr="003C7CB1">
        <w:rPr>
          <w:rFonts w:ascii="Calibri" w:eastAsia="Calibri" w:hAnsi="Calibri" w:cs="Calibri"/>
          <w:b/>
          <w:sz w:val="24"/>
          <w:szCs w:val="24"/>
          <w:vertAlign w:val="superscript"/>
          <w:lang w:eastAsia="hr-HR"/>
        </w:rPr>
        <w:footnoteReference w:id="9"/>
      </w:r>
      <w:r w:rsidRPr="003C7CB1">
        <w:rPr>
          <w:rFonts w:ascii="Calibri" w:eastAsia="Calibri" w:hAnsi="Calibri" w:cs="Calibri"/>
          <w:sz w:val="24"/>
          <w:szCs w:val="24"/>
          <w:lang w:eastAsia="hr-HR"/>
        </w:rPr>
        <w:t>, is a thematic project within the Interreg IPA CBC Italy – Albania - Montenegro program. The total budget of the project is 5,206,934.15 euros.</w:t>
      </w:r>
      <w:r w:rsidRPr="003C7CB1">
        <w:t xml:space="preserve"> </w:t>
      </w:r>
      <w:r w:rsidRPr="003C7CB1">
        <w:rPr>
          <w:rFonts w:ascii="Calibri" w:eastAsia="Calibri" w:hAnsi="Calibri" w:cs="Calibri"/>
          <w:sz w:val="24"/>
          <w:szCs w:val="24"/>
          <w:lang w:eastAsia="hr-HR"/>
        </w:rPr>
        <w:t xml:space="preserve">On the Montenegrin side, the partners are the Ministry of Economic Development and the National Tourism Organization of Montenegro, and the Ministry of Education, Science, Culture and Sports is an associate partner. The aim of the project is to synchronize the economic development of tourism, taking </w:t>
      </w:r>
      <w:r w:rsidRPr="003C7CB1">
        <w:rPr>
          <w:rFonts w:ascii="Calibri" w:eastAsia="Calibri" w:hAnsi="Calibri" w:cs="Calibri"/>
          <w:sz w:val="24"/>
          <w:szCs w:val="24"/>
          <w:lang w:eastAsia="hr-HR"/>
        </w:rPr>
        <w:lastRenderedPageBreak/>
        <w:t xml:space="preserve">into account the advantages of the program area, through the use of smart technologies and better presentation of local and regional cultural and natural sites. Specific contributions for Montenegro are: collecting data from 270 tourist (cultural and natural) localities in Montenegro in the form of 360◦ videos and photos, creating a Due Mari virtual route, posting data on a common virtual V3D platform, new website of the National Tourism Organization of Montenegro, joint </w:t>
      </w:r>
      <w:r w:rsidR="00FD206D">
        <w:rPr>
          <w:rFonts w:ascii="Calibri" w:eastAsia="Calibri" w:hAnsi="Calibri" w:cs="Calibri"/>
          <w:sz w:val="24"/>
          <w:szCs w:val="24"/>
          <w:lang w:eastAsia="hr-HR"/>
        </w:rPr>
        <w:t>S</w:t>
      </w:r>
      <w:r w:rsidRPr="003C7CB1">
        <w:rPr>
          <w:rFonts w:ascii="Calibri" w:eastAsia="Calibri" w:hAnsi="Calibri" w:cs="Calibri"/>
          <w:sz w:val="24"/>
          <w:szCs w:val="24"/>
          <w:lang w:eastAsia="hr-HR"/>
        </w:rPr>
        <w:t xml:space="preserve">trategy and </w:t>
      </w:r>
      <w:r w:rsidR="00FD206D">
        <w:rPr>
          <w:rFonts w:ascii="Calibri" w:eastAsia="Calibri" w:hAnsi="Calibri" w:cs="Calibri"/>
          <w:sz w:val="24"/>
          <w:szCs w:val="24"/>
          <w:lang w:eastAsia="hr-HR"/>
        </w:rPr>
        <w:t>A</w:t>
      </w:r>
      <w:r w:rsidRPr="003C7CB1">
        <w:rPr>
          <w:rFonts w:ascii="Calibri" w:eastAsia="Calibri" w:hAnsi="Calibri" w:cs="Calibri"/>
          <w:sz w:val="24"/>
          <w:szCs w:val="24"/>
          <w:lang w:eastAsia="hr-HR"/>
        </w:rPr>
        <w:t xml:space="preserve">ction </w:t>
      </w:r>
      <w:r w:rsidR="00FD206D">
        <w:rPr>
          <w:rFonts w:ascii="Calibri" w:eastAsia="Calibri" w:hAnsi="Calibri" w:cs="Calibri"/>
          <w:sz w:val="24"/>
          <w:szCs w:val="24"/>
          <w:lang w:eastAsia="hr-HR"/>
        </w:rPr>
        <w:t>P</w:t>
      </w:r>
      <w:r w:rsidRPr="003C7CB1">
        <w:rPr>
          <w:rFonts w:ascii="Calibri" w:eastAsia="Calibri" w:hAnsi="Calibri" w:cs="Calibri"/>
          <w:sz w:val="24"/>
          <w:szCs w:val="24"/>
          <w:lang w:eastAsia="hr-HR"/>
        </w:rPr>
        <w:t xml:space="preserve">lan on </w:t>
      </w:r>
      <w:r w:rsidR="00FD206D">
        <w:rPr>
          <w:rFonts w:ascii="Calibri" w:eastAsia="Calibri" w:hAnsi="Calibri" w:cs="Calibri"/>
          <w:sz w:val="24"/>
          <w:szCs w:val="24"/>
          <w:lang w:eastAsia="hr-HR"/>
        </w:rPr>
        <w:t>S</w:t>
      </w:r>
      <w:r w:rsidRPr="003C7CB1">
        <w:rPr>
          <w:rFonts w:ascii="Calibri" w:eastAsia="Calibri" w:hAnsi="Calibri" w:cs="Calibri"/>
          <w:sz w:val="24"/>
          <w:szCs w:val="24"/>
          <w:lang w:eastAsia="hr-HR"/>
        </w:rPr>
        <w:t xml:space="preserve">ustainable </w:t>
      </w:r>
      <w:r w:rsidR="00FD206D">
        <w:rPr>
          <w:rFonts w:ascii="Calibri" w:eastAsia="Calibri" w:hAnsi="Calibri" w:cs="Calibri"/>
          <w:sz w:val="24"/>
          <w:szCs w:val="24"/>
          <w:lang w:eastAsia="hr-HR"/>
        </w:rPr>
        <w:t>M</w:t>
      </w:r>
      <w:r w:rsidRPr="003C7CB1">
        <w:rPr>
          <w:rFonts w:ascii="Calibri" w:eastAsia="Calibri" w:hAnsi="Calibri" w:cs="Calibri"/>
          <w:sz w:val="24"/>
          <w:szCs w:val="24"/>
          <w:lang w:eastAsia="hr-HR"/>
        </w:rPr>
        <w:t>anagement of the Due Mari platform and route, guidelines on the use of innovative digital media in joint promotion through the Due Mari tourism platform, exchange of experiences and modernization of the tourist offer, creation of a new tourist offer, etc.</w:t>
      </w:r>
      <w:r w:rsidRPr="003C7CB1">
        <w:rPr>
          <w:rFonts w:ascii="Calibri" w:eastAsia="Calibri" w:hAnsi="Calibri" w:cs="Calibri"/>
          <w:b/>
          <w:sz w:val="24"/>
          <w:szCs w:val="24"/>
          <w:lang w:eastAsia="hr-HR"/>
        </w:rPr>
        <w:t xml:space="preserve">  </w:t>
      </w:r>
    </w:p>
    <w:p w14:paraId="344ACB46" w14:textId="77777777" w:rsidR="00E732FA" w:rsidRPr="003C7CB1" w:rsidRDefault="00E732FA" w:rsidP="00E732FA">
      <w:pPr>
        <w:spacing w:after="120" w:line="240" w:lineRule="auto"/>
        <w:jc w:val="both"/>
        <w:rPr>
          <w:rFonts w:ascii="Calibri" w:eastAsia="Calibri" w:hAnsi="Calibri" w:cs="Calibri"/>
          <w:b/>
          <w:sz w:val="24"/>
          <w:szCs w:val="24"/>
          <w:lang w:eastAsia="hr-HR"/>
        </w:rPr>
      </w:pPr>
    </w:p>
    <w:p w14:paraId="3464FAEC" w14:textId="7CACD802"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WRECKS4ALL - Protecting Underwater Heritage Through its Digitalization and Valorization as a Novel Touristic Offer / August 15, 2020 – August 14, 2022 /</w:t>
      </w:r>
      <w:r w:rsidRPr="003C7CB1">
        <w:rPr>
          <w:rFonts w:ascii="Calibri" w:eastAsia="Calibri" w:hAnsi="Calibri" w:cs="Calibri"/>
          <w:sz w:val="24"/>
          <w:szCs w:val="24"/>
          <w:vertAlign w:val="superscript"/>
          <w:lang w:eastAsia="hr-HR"/>
        </w:rPr>
        <w:footnoteReference w:id="10"/>
      </w:r>
      <w:r w:rsidRPr="003C7CB1">
        <w:rPr>
          <w:rFonts w:ascii="Calibri" w:eastAsia="Calibri" w:hAnsi="Calibri" w:cs="Calibri"/>
          <w:sz w:val="24"/>
          <w:szCs w:val="24"/>
          <w:lang w:eastAsia="hr-HR"/>
        </w:rPr>
        <w:t>, is a project implemented within the second call of the Interreg IPA CBC Croatia – Bosnia and Herzegovina – Montenegro. The total budget of the project is 1,016,778.32 euros. Project partners from Montenegro are the University of Montenegro - Faculty of Maritime Studies and the Tourism Organization of Municipality of Bar, and other partners are the Tourist Board of Herzegovina - Neretva Canton and the University of Split - Faculty of Maritime Studies.</w:t>
      </w:r>
      <w:r w:rsidRPr="003C7CB1">
        <w:t xml:space="preserve"> </w:t>
      </w:r>
      <w:r w:rsidRPr="003C7CB1">
        <w:rPr>
          <w:rFonts w:ascii="Calibri" w:eastAsia="Calibri" w:hAnsi="Calibri" w:cs="Calibri"/>
          <w:sz w:val="24"/>
          <w:szCs w:val="24"/>
          <w:lang w:eastAsia="hr-HR"/>
        </w:rPr>
        <w:t xml:space="preserve">The main goal of the project is the valorization of the underwater cultural heritage of the eastern Adriatic in order to create a more diverse tourist offer and sustainable use of the cultural heritage of the cross-border area. </w:t>
      </w:r>
      <w:r w:rsidR="00765B94">
        <w:rPr>
          <w:rFonts w:cs="Arial"/>
          <w:sz w:val="24"/>
          <w:szCs w:val="24"/>
        </w:rPr>
        <w:t xml:space="preserve">                                                                                                   </w:t>
      </w:r>
    </w:p>
    <w:p w14:paraId="20FAF5F2" w14:textId="77777777" w:rsidR="00E732FA" w:rsidRPr="003C7CB1" w:rsidRDefault="00E732FA" w:rsidP="00E732FA">
      <w:pPr>
        <w:spacing w:after="120" w:line="240" w:lineRule="auto"/>
        <w:jc w:val="both"/>
        <w:rPr>
          <w:rFonts w:ascii="Calibri" w:eastAsia="Calibri" w:hAnsi="Calibri" w:cs="Calibri"/>
          <w:sz w:val="24"/>
          <w:szCs w:val="24"/>
          <w:lang w:eastAsia="hr-HR"/>
        </w:rPr>
      </w:pPr>
      <w:proofErr w:type="spellStart"/>
      <w:r w:rsidRPr="003C7CB1">
        <w:rPr>
          <w:rFonts w:ascii="Calibri" w:eastAsia="Calibri" w:hAnsi="Calibri" w:cs="Calibri"/>
          <w:b/>
          <w:sz w:val="24"/>
          <w:szCs w:val="24"/>
          <w:lang w:eastAsia="hr-HR"/>
        </w:rPr>
        <w:t>ePATH</w:t>
      </w:r>
      <w:proofErr w:type="spellEnd"/>
      <w:r w:rsidRPr="003C7CB1">
        <w:rPr>
          <w:rFonts w:ascii="Calibri" w:eastAsia="Calibri" w:hAnsi="Calibri" w:cs="Calibri"/>
          <w:b/>
          <w:sz w:val="24"/>
          <w:szCs w:val="24"/>
          <w:lang w:eastAsia="hr-HR"/>
        </w:rPr>
        <w:t xml:space="preserve"> - Endemic Pathway /November 01, 2020 – October 31, 2022/</w:t>
      </w:r>
      <w:r w:rsidRPr="003C7CB1">
        <w:rPr>
          <w:rFonts w:ascii="Calibri" w:eastAsia="Calibri" w:hAnsi="Calibri" w:cs="Calibri"/>
          <w:b/>
          <w:sz w:val="24"/>
          <w:szCs w:val="24"/>
          <w:vertAlign w:val="superscript"/>
          <w:lang w:eastAsia="hr-HR"/>
        </w:rPr>
        <w:t xml:space="preserve"> </w:t>
      </w:r>
      <w:r w:rsidRPr="003C7CB1">
        <w:rPr>
          <w:rFonts w:ascii="Calibri" w:eastAsia="Calibri" w:hAnsi="Calibri" w:cs="Calibri"/>
          <w:b/>
          <w:sz w:val="24"/>
          <w:szCs w:val="24"/>
          <w:vertAlign w:val="superscript"/>
          <w:lang w:eastAsia="hr-HR"/>
        </w:rPr>
        <w:footnoteReference w:id="11"/>
      </w:r>
      <w:r w:rsidRPr="003C7CB1">
        <w:rPr>
          <w:rFonts w:ascii="Calibri" w:eastAsia="Calibri" w:hAnsi="Calibri" w:cs="Calibri"/>
          <w:sz w:val="24"/>
          <w:szCs w:val="24"/>
          <w:lang w:eastAsia="hr-HR"/>
        </w:rPr>
        <w:t xml:space="preserve"> is a project implemented within the second call of the Interreg IPA CBC Croatia – Bosnia and Herzegovina – Montenegro.</w:t>
      </w:r>
      <w:r w:rsidRPr="003C7CB1">
        <w:t xml:space="preserve"> </w:t>
      </w:r>
      <w:r w:rsidRPr="003C7CB1">
        <w:rPr>
          <w:rFonts w:ascii="Calibri" w:eastAsia="Calibri" w:hAnsi="Calibri" w:cs="Calibri"/>
          <w:sz w:val="24"/>
          <w:szCs w:val="24"/>
          <w:lang w:eastAsia="hr-HR"/>
        </w:rPr>
        <w:t xml:space="preserve">The total budget of the project is 1,540,375.30 euros. The partners in the project are the Public Enterprise of </w:t>
      </w:r>
      <w:proofErr w:type="spellStart"/>
      <w:r w:rsidRPr="003C7CB1">
        <w:rPr>
          <w:rFonts w:ascii="Calibri" w:eastAsia="Calibri" w:hAnsi="Calibri" w:cs="Calibri"/>
          <w:sz w:val="24"/>
          <w:szCs w:val="24"/>
          <w:lang w:eastAsia="hr-HR"/>
        </w:rPr>
        <w:t>Hutovo</w:t>
      </w:r>
      <w:proofErr w:type="spellEnd"/>
      <w:r w:rsidRPr="003C7CB1">
        <w:rPr>
          <w:rFonts w:ascii="Calibri" w:eastAsia="Calibri" w:hAnsi="Calibri" w:cs="Calibri"/>
          <w:sz w:val="24"/>
          <w:szCs w:val="24"/>
          <w:lang w:eastAsia="hr-HR"/>
        </w:rPr>
        <w:t xml:space="preserve"> </w:t>
      </w:r>
      <w:proofErr w:type="spellStart"/>
      <w:r w:rsidRPr="003C7CB1">
        <w:rPr>
          <w:rFonts w:ascii="Calibri" w:eastAsia="Calibri" w:hAnsi="Calibri" w:cs="Calibri"/>
          <w:sz w:val="24"/>
          <w:szCs w:val="24"/>
          <w:lang w:eastAsia="hr-HR"/>
        </w:rPr>
        <w:t>Blato</w:t>
      </w:r>
      <w:proofErr w:type="spellEnd"/>
      <w:r w:rsidRPr="003C7CB1">
        <w:rPr>
          <w:rFonts w:ascii="Calibri" w:eastAsia="Calibri" w:hAnsi="Calibri" w:cs="Calibri"/>
          <w:sz w:val="24"/>
          <w:szCs w:val="24"/>
          <w:lang w:eastAsia="hr-HR"/>
        </w:rPr>
        <w:t xml:space="preserve"> Nature Park from Bosnia and Herzegovina, the City of </w:t>
      </w:r>
      <w:proofErr w:type="spellStart"/>
      <w:r w:rsidRPr="003C7CB1">
        <w:rPr>
          <w:rFonts w:ascii="Calibri" w:eastAsia="Calibri" w:hAnsi="Calibri" w:cs="Calibri"/>
          <w:sz w:val="24"/>
          <w:szCs w:val="24"/>
          <w:lang w:eastAsia="hr-HR"/>
        </w:rPr>
        <w:t>Makarska</w:t>
      </w:r>
      <w:proofErr w:type="spellEnd"/>
      <w:r w:rsidRPr="003C7CB1">
        <w:rPr>
          <w:rFonts w:ascii="Calibri" w:eastAsia="Calibri" w:hAnsi="Calibri" w:cs="Calibri"/>
          <w:sz w:val="24"/>
          <w:szCs w:val="24"/>
          <w:lang w:eastAsia="hr-HR"/>
        </w:rPr>
        <w:t xml:space="preserve"> from Croatia and the Public Enterprise for Coastal Zone of Montenegro. The main goal of the project is to improve the tourist offer and preserve the natural and cultural heritage of the cross-border area by developing new natural and cultural trails. </w:t>
      </w:r>
    </w:p>
    <w:p w14:paraId="56B9FFF5" w14:textId="77777777"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ĆIRO II - Cross-border Thematic Tourism Destination: Old Narrow Gauge Railway / September 01, 2020 – August 31, 2022/</w:t>
      </w:r>
      <w:r w:rsidRPr="003C7CB1">
        <w:rPr>
          <w:rFonts w:ascii="Calibri" w:eastAsia="Calibri" w:hAnsi="Calibri" w:cs="Calibri"/>
          <w:b/>
          <w:sz w:val="24"/>
          <w:szCs w:val="24"/>
          <w:vertAlign w:val="superscript"/>
          <w:lang w:eastAsia="hr-HR"/>
        </w:rPr>
        <w:footnoteReference w:id="12"/>
      </w:r>
      <w:r w:rsidRPr="003C7CB1">
        <w:rPr>
          <w:rFonts w:ascii="Calibri" w:eastAsia="Calibri" w:hAnsi="Calibri" w:cs="Calibri"/>
          <w:sz w:val="24"/>
          <w:szCs w:val="24"/>
          <w:lang w:eastAsia="hr-HR"/>
        </w:rPr>
        <w:t xml:space="preserve">, is a project implemented within the second call of the Interreg IPA CBC Croatia – Bosnia and Herzegovina – Montenegro. The total budget of the project is 1,770,362.68 euros. The project partners are the Agency for Construction and Development of Herceg Novi, the municipality of </w:t>
      </w:r>
      <w:proofErr w:type="spellStart"/>
      <w:r w:rsidRPr="003C7CB1">
        <w:rPr>
          <w:rFonts w:ascii="Calibri" w:eastAsia="Calibri" w:hAnsi="Calibri" w:cs="Calibri"/>
          <w:sz w:val="24"/>
          <w:szCs w:val="24"/>
          <w:lang w:eastAsia="hr-HR"/>
        </w:rPr>
        <w:t>Ravno</w:t>
      </w:r>
      <w:proofErr w:type="spellEnd"/>
      <w:r w:rsidRPr="003C7CB1">
        <w:rPr>
          <w:rFonts w:ascii="Calibri" w:eastAsia="Calibri" w:hAnsi="Calibri" w:cs="Calibri"/>
          <w:sz w:val="24"/>
          <w:szCs w:val="24"/>
          <w:lang w:eastAsia="hr-HR"/>
        </w:rPr>
        <w:t xml:space="preserve"> - Bosnia and Herzegovina and the municipality of </w:t>
      </w:r>
      <w:proofErr w:type="spellStart"/>
      <w:r w:rsidRPr="003C7CB1">
        <w:rPr>
          <w:rFonts w:ascii="Calibri" w:eastAsia="Calibri" w:hAnsi="Calibri" w:cs="Calibri"/>
          <w:sz w:val="24"/>
          <w:szCs w:val="24"/>
          <w:lang w:eastAsia="hr-HR"/>
        </w:rPr>
        <w:t>Konavle</w:t>
      </w:r>
      <w:proofErr w:type="spellEnd"/>
      <w:r w:rsidRPr="003C7CB1">
        <w:rPr>
          <w:rFonts w:ascii="Calibri" w:eastAsia="Calibri" w:hAnsi="Calibri" w:cs="Calibri"/>
          <w:sz w:val="24"/>
          <w:szCs w:val="24"/>
          <w:lang w:eastAsia="hr-HR"/>
        </w:rPr>
        <w:t xml:space="preserve"> - Croatia.</w:t>
      </w:r>
      <w:r w:rsidRPr="003C7CB1">
        <w:t xml:space="preserve"> </w:t>
      </w:r>
      <w:r w:rsidRPr="003C7CB1">
        <w:rPr>
          <w:rFonts w:ascii="Calibri" w:eastAsia="Calibri" w:hAnsi="Calibri" w:cs="Calibri"/>
          <w:sz w:val="24"/>
          <w:szCs w:val="24"/>
          <w:lang w:eastAsia="hr-HR"/>
        </w:rPr>
        <w:t>The main goal of the project is to strengthen and make the offer of the neighboring areas of Herzegovina, Dubrovnik-Neretva County and the Bay of Kotor more diverse, through the tourist development of the old narrow gauge railway called ĆIRO.</w:t>
      </w:r>
      <w:r w:rsidRPr="003C7CB1">
        <w:t xml:space="preserve"> </w:t>
      </w:r>
      <w:r w:rsidRPr="003C7CB1">
        <w:rPr>
          <w:rFonts w:ascii="Calibri" w:eastAsia="Calibri" w:hAnsi="Calibri" w:cs="Calibri"/>
          <w:sz w:val="24"/>
          <w:szCs w:val="24"/>
          <w:lang w:eastAsia="hr-HR"/>
        </w:rPr>
        <w:t xml:space="preserve">In Montenegro, a part of the bicycle path on the </w:t>
      </w:r>
      <w:proofErr w:type="spellStart"/>
      <w:r w:rsidRPr="003C7CB1">
        <w:rPr>
          <w:rFonts w:ascii="Calibri" w:eastAsia="Calibri" w:hAnsi="Calibri" w:cs="Calibri"/>
          <w:sz w:val="24"/>
          <w:szCs w:val="24"/>
          <w:lang w:eastAsia="hr-HR"/>
        </w:rPr>
        <w:t>Sutorina</w:t>
      </w:r>
      <w:proofErr w:type="spellEnd"/>
      <w:r w:rsidRPr="003C7CB1">
        <w:rPr>
          <w:rFonts w:ascii="Calibri" w:eastAsia="Calibri" w:hAnsi="Calibri" w:cs="Calibri"/>
          <w:sz w:val="24"/>
          <w:szCs w:val="24"/>
          <w:lang w:eastAsia="hr-HR"/>
        </w:rPr>
        <w:t xml:space="preserve"> - </w:t>
      </w:r>
      <w:proofErr w:type="spellStart"/>
      <w:r w:rsidRPr="003C7CB1">
        <w:rPr>
          <w:rFonts w:ascii="Calibri" w:eastAsia="Calibri" w:hAnsi="Calibri" w:cs="Calibri"/>
          <w:sz w:val="24"/>
          <w:szCs w:val="24"/>
          <w:lang w:eastAsia="hr-HR"/>
        </w:rPr>
        <w:t>Njivice</w:t>
      </w:r>
      <w:proofErr w:type="spellEnd"/>
      <w:r w:rsidRPr="003C7CB1">
        <w:rPr>
          <w:rFonts w:ascii="Calibri" w:eastAsia="Calibri" w:hAnsi="Calibri" w:cs="Calibri"/>
          <w:sz w:val="24"/>
          <w:szCs w:val="24"/>
          <w:lang w:eastAsia="hr-HR"/>
        </w:rPr>
        <w:t xml:space="preserve"> route will also be reconstructed, as well as the road to the old railway station of </w:t>
      </w:r>
      <w:proofErr w:type="spellStart"/>
      <w:r w:rsidRPr="003C7CB1">
        <w:rPr>
          <w:rFonts w:ascii="Calibri" w:eastAsia="Calibri" w:hAnsi="Calibri" w:cs="Calibri"/>
          <w:sz w:val="24"/>
          <w:szCs w:val="24"/>
          <w:lang w:eastAsia="hr-HR"/>
        </w:rPr>
        <w:t>Sutorina</w:t>
      </w:r>
      <w:proofErr w:type="spellEnd"/>
      <w:r w:rsidRPr="003C7CB1">
        <w:rPr>
          <w:rFonts w:ascii="Calibri" w:eastAsia="Calibri" w:hAnsi="Calibri" w:cs="Calibri"/>
          <w:sz w:val="24"/>
          <w:szCs w:val="24"/>
          <w:lang w:eastAsia="hr-HR"/>
        </w:rPr>
        <w:t xml:space="preserve">. </w:t>
      </w:r>
    </w:p>
    <w:p w14:paraId="389D38F0" w14:textId="77777777" w:rsidR="00E732FA" w:rsidRPr="003C7CB1" w:rsidRDefault="00E732FA" w:rsidP="00E732FA">
      <w:pPr>
        <w:spacing w:after="120" w:line="240" w:lineRule="auto"/>
        <w:jc w:val="both"/>
        <w:rPr>
          <w:rFonts w:ascii="Calibri" w:eastAsia="Calibri" w:hAnsi="Calibri" w:cs="Calibri"/>
          <w:sz w:val="24"/>
          <w:szCs w:val="24"/>
          <w:lang w:eastAsia="hr-HR"/>
        </w:rPr>
      </w:pPr>
      <w:proofErr w:type="spellStart"/>
      <w:r w:rsidRPr="003C7CB1">
        <w:rPr>
          <w:rFonts w:ascii="Calibri" w:eastAsia="Calibri" w:hAnsi="Calibri" w:cs="Calibri"/>
          <w:b/>
          <w:sz w:val="24"/>
          <w:szCs w:val="24"/>
          <w:lang w:eastAsia="hr-HR"/>
        </w:rPr>
        <w:t>HeritageREVIVED</w:t>
      </w:r>
      <w:proofErr w:type="spellEnd"/>
      <w:r w:rsidRPr="003C7CB1">
        <w:rPr>
          <w:rFonts w:ascii="Calibri" w:eastAsia="Calibri" w:hAnsi="Calibri" w:cs="Calibri"/>
          <w:b/>
          <w:sz w:val="24"/>
          <w:szCs w:val="24"/>
          <w:lang w:eastAsia="hr-HR"/>
        </w:rPr>
        <w:t xml:space="preserve"> - Preservation, Valorization and Promotion of Cultural Heritage on the Outskirts of Urban Areas /October 15, 2020 – October 14, 2022/</w:t>
      </w:r>
      <w:r w:rsidRPr="003C7CB1">
        <w:rPr>
          <w:rFonts w:ascii="Calibri" w:eastAsia="Calibri" w:hAnsi="Calibri" w:cs="Calibri"/>
          <w:b/>
          <w:sz w:val="24"/>
          <w:szCs w:val="24"/>
          <w:vertAlign w:val="superscript"/>
          <w:lang w:eastAsia="hr-HR"/>
        </w:rPr>
        <w:footnoteReference w:id="13"/>
      </w:r>
      <w:r w:rsidRPr="003C7CB1">
        <w:rPr>
          <w:rFonts w:ascii="Calibri" w:eastAsia="Calibri" w:hAnsi="Calibri" w:cs="Calibri"/>
          <w:sz w:val="24"/>
          <w:szCs w:val="24"/>
          <w:lang w:eastAsia="hr-HR"/>
        </w:rPr>
        <w:t xml:space="preserve">, is a project implemented within the second call of the Interreg IPA CBC Croatia – Bosnia and Herzegovina – Montenegro. The total budget of the project is 1,965,441.19 euros. The project is </w:t>
      </w:r>
      <w:r w:rsidRPr="003C7CB1">
        <w:rPr>
          <w:rFonts w:ascii="Calibri" w:eastAsia="Calibri" w:hAnsi="Calibri" w:cs="Calibri"/>
          <w:sz w:val="24"/>
          <w:szCs w:val="24"/>
          <w:lang w:eastAsia="hr-HR"/>
        </w:rPr>
        <w:lastRenderedPageBreak/>
        <w:t xml:space="preserve">implemented by the Municipality of Ulcinj in cooperation with partners from Bosnia and Herzegovina (PI Development Agency of the West Herzegovina County and City of </w:t>
      </w:r>
      <w:proofErr w:type="spellStart"/>
      <w:r w:rsidRPr="003C7CB1">
        <w:rPr>
          <w:rFonts w:ascii="Calibri" w:eastAsia="Calibri" w:hAnsi="Calibri" w:cs="Calibri"/>
          <w:sz w:val="24"/>
          <w:szCs w:val="24"/>
          <w:lang w:eastAsia="hr-HR"/>
        </w:rPr>
        <w:t>Ljubuški</w:t>
      </w:r>
      <w:proofErr w:type="spellEnd"/>
      <w:r w:rsidRPr="003C7CB1">
        <w:rPr>
          <w:rFonts w:ascii="Calibri" w:eastAsia="Calibri" w:hAnsi="Calibri" w:cs="Calibri"/>
          <w:sz w:val="24"/>
          <w:szCs w:val="24"/>
          <w:lang w:eastAsia="hr-HR"/>
        </w:rPr>
        <w:t xml:space="preserve">) and Croatia (City of </w:t>
      </w:r>
      <w:proofErr w:type="spellStart"/>
      <w:r w:rsidRPr="003C7CB1">
        <w:rPr>
          <w:rFonts w:ascii="Calibri" w:eastAsia="Calibri" w:hAnsi="Calibri" w:cs="Calibri"/>
          <w:sz w:val="24"/>
          <w:szCs w:val="24"/>
          <w:lang w:eastAsia="hr-HR"/>
        </w:rPr>
        <w:t>Solin</w:t>
      </w:r>
      <w:proofErr w:type="spellEnd"/>
      <w:r w:rsidRPr="003C7CB1">
        <w:rPr>
          <w:rFonts w:ascii="Calibri" w:eastAsia="Calibri" w:hAnsi="Calibri" w:cs="Calibri"/>
          <w:sz w:val="24"/>
          <w:szCs w:val="24"/>
          <w:lang w:eastAsia="hr-HR"/>
        </w:rPr>
        <w:t xml:space="preserve"> and County Road Administration Split). The project aims to promote and create a more diverse tourist offer of the cross-border area through revitalization and sustainable use of neglected cultural heritage. </w:t>
      </w:r>
    </w:p>
    <w:p w14:paraId="029E2E5A" w14:textId="77777777" w:rsidR="00E732FA" w:rsidRPr="003C7CB1" w:rsidRDefault="00E732FA" w:rsidP="00E732FA">
      <w:pPr>
        <w:spacing w:after="120" w:line="240" w:lineRule="auto"/>
        <w:jc w:val="both"/>
        <w:rPr>
          <w:rFonts w:ascii="Calibri" w:eastAsia="Calibri" w:hAnsi="Calibri" w:cs="Calibri"/>
          <w:b/>
          <w:sz w:val="24"/>
          <w:szCs w:val="24"/>
          <w:lang w:eastAsia="hr-HR"/>
        </w:rPr>
      </w:pPr>
      <w:proofErr w:type="spellStart"/>
      <w:r w:rsidRPr="003C7CB1">
        <w:rPr>
          <w:rFonts w:ascii="Calibri" w:eastAsia="Calibri" w:hAnsi="Calibri" w:cs="Calibri"/>
          <w:b/>
          <w:sz w:val="24"/>
          <w:szCs w:val="24"/>
          <w:lang w:eastAsia="hr-HR"/>
        </w:rPr>
        <w:t>CUHaCHa</w:t>
      </w:r>
      <w:proofErr w:type="spellEnd"/>
      <w:r w:rsidRPr="003C7CB1">
        <w:rPr>
          <w:rFonts w:ascii="Calibri" w:eastAsia="Calibri" w:hAnsi="Calibri" w:cs="Calibri"/>
          <w:b/>
          <w:sz w:val="24"/>
          <w:szCs w:val="24"/>
          <w:lang w:eastAsia="hr-HR"/>
        </w:rPr>
        <w:t xml:space="preserve"> - Enhancing Sustainable Tourism Development through Culinary Heritage / August 15, 2020 – August 15, 2022/</w:t>
      </w:r>
      <w:r w:rsidRPr="003C7CB1">
        <w:rPr>
          <w:rFonts w:ascii="Calibri" w:eastAsia="Calibri" w:hAnsi="Calibri" w:cs="Calibri"/>
          <w:sz w:val="24"/>
          <w:szCs w:val="24"/>
          <w:lang w:eastAsia="hr-HR"/>
        </w:rPr>
        <w:t xml:space="preserve">, is a project implemented within the second call of Interreg IPA CBC Croatia – Bosnia and Herzegovina – Montenegro. The total budget of the project is 710,946.24 euros. The project partner from Montenegro is the municipality of </w:t>
      </w:r>
      <w:proofErr w:type="spellStart"/>
      <w:r w:rsidRPr="003C7CB1">
        <w:rPr>
          <w:rFonts w:ascii="Calibri" w:eastAsia="Calibri" w:hAnsi="Calibri" w:cs="Calibri"/>
          <w:sz w:val="24"/>
          <w:szCs w:val="24"/>
          <w:lang w:eastAsia="hr-HR"/>
        </w:rPr>
        <w:t>Tivat</w:t>
      </w:r>
      <w:proofErr w:type="spellEnd"/>
      <w:r w:rsidRPr="003C7CB1">
        <w:rPr>
          <w:rFonts w:ascii="Calibri" w:eastAsia="Calibri" w:hAnsi="Calibri" w:cs="Calibri"/>
          <w:sz w:val="24"/>
          <w:szCs w:val="24"/>
          <w:lang w:eastAsia="hr-HR"/>
        </w:rPr>
        <w:t>, and other partners are the Zadar County Rural Development Agency, Croatia, the Ministry of Education, Science, Culture and Sports of Herzegovina-Neretva Canton, Bosnia and Herzegovina and Zadar Canton, Croatia.</w:t>
      </w:r>
      <w:r w:rsidRPr="003C7CB1">
        <w:t xml:space="preserve"> </w:t>
      </w:r>
      <w:r w:rsidRPr="003C7CB1">
        <w:rPr>
          <w:rFonts w:ascii="Calibri" w:eastAsia="Calibri" w:hAnsi="Calibri" w:cs="Calibri"/>
          <w:sz w:val="24"/>
          <w:szCs w:val="24"/>
          <w:lang w:eastAsia="hr-HR"/>
        </w:rPr>
        <w:t xml:space="preserve">Research of culinary heritage, recipes and old methods of food preparation, creation of culinary heritage trails, equipping traditional kitchens, one in each partner country which will promote the culinary heritage of project areas in various cooking classes, are just some of the project activities. </w:t>
      </w:r>
    </w:p>
    <w:p w14:paraId="0964DA09" w14:textId="77777777" w:rsidR="00E732FA" w:rsidRPr="003C7CB1" w:rsidRDefault="00E732FA" w:rsidP="00E732FA">
      <w:pPr>
        <w:spacing w:after="120" w:line="240" w:lineRule="auto"/>
        <w:jc w:val="both"/>
        <w:rPr>
          <w:rFonts w:ascii="Calibri" w:eastAsia="Calibri" w:hAnsi="Calibri" w:cs="Calibri"/>
          <w:sz w:val="24"/>
          <w:szCs w:val="24"/>
          <w:lang w:eastAsia="hr-HR"/>
        </w:rPr>
      </w:pPr>
    </w:p>
    <w:p w14:paraId="7D0D4C9B" w14:textId="77777777" w:rsidR="00E732FA" w:rsidRPr="003C7CB1" w:rsidRDefault="00E732FA" w:rsidP="00E732FA">
      <w:pPr>
        <w:pStyle w:val="ListParagraph"/>
        <w:numPr>
          <w:ilvl w:val="0"/>
          <w:numId w:val="50"/>
        </w:numPr>
        <w:spacing w:after="120" w:line="240" w:lineRule="auto"/>
        <w:jc w:val="both"/>
        <w:rPr>
          <w:rFonts w:ascii="Calibri" w:eastAsia="Calibri" w:hAnsi="Calibri" w:cs="Calibri"/>
          <w:b/>
          <w:sz w:val="24"/>
          <w:szCs w:val="24"/>
          <w:lang w:eastAsia="hr-HR"/>
        </w:rPr>
      </w:pPr>
      <w:r w:rsidRPr="003C7CB1">
        <w:rPr>
          <w:rFonts w:ascii="Calibri" w:eastAsia="Calibri" w:hAnsi="Calibri" w:cs="Calibri"/>
          <w:b/>
          <w:sz w:val="24"/>
          <w:szCs w:val="24"/>
          <w:lang w:eastAsia="hr-HR"/>
        </w:rPr>
        <w:t>Projects financed from bilateral programs</w:t>
      </w:r>
    </w:p>
    <w:p w14:paraId="0240D622" w14:textId="08433470"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Cult Bike Route / July 15, 2021. – January 15, 2022/</w:t>
      </w:r>
      <w:r w:rsidR="006B0D77">
        <w:rPr>
          <w:rStyle w:val="FootnoteReference"/>
          <w:rFonts w:ascii="Calibri" w:eastAsia="Calibri" w:hAnsi="Calibri" w:cs="Calibri"/>
          <w:b/>
          <w:sz w:val="24"/>
          <w:szCs w:val="24"/>
          <w:lang w:eastAsia="hr-HR"/>
        </w:rPr>
        <w:footnoteReference w:id="14"/>
      </w:r>
      <w:r w:rsidRPr="003C7CB1">
        <w:rPr>
          <w:rFonts w:ascii="Calibri" w:eastAsia="Calibri" w:hAnsi="Calibri" w:cs="Calibri"/>
          <w:b/>
          <w:sz w:val="24"/>
          <w:szCs w:val="24"/>
          <w:lang w:eastAsia="hr-HR"/>
        </w:rPr>
        <w:t xml:space="preserve"> </w:t>
      </w:r>
      <w:r w:rsidRPr="003C7CB1">
        <w:rPr>
          <w:rFonts w:ascii="Calibri" w:eastAsia="Calibri" w:hAnsi="Calibri" w:cs="Calibri"/>
          <w:sz w:val="24"/>
          <w:szCs w:val="24"/>
          <w:lang w:eastAsia="hr-HR"/>
        </w:rPr>
        <w:t>is a project implemented within the second call of the IPA Cross-Border Cooperation Program Serbia – Montenegro. The total budget of the project is 299,898.00 euros.</w:t>
      </w:r>
      <w:r w:rsidRPr="003C7CB1">
        <w:t xml:space="preserve"> </w:t>
      </w:r>
      <w:r w:rsidRPr="003C7CB1">
        <w:rPr>
          <w:rFonts w:ascii="Calibri" w:eastAsia="Calibri" w:hAnsi="Calibri" w:cs="Calibri"/>
          <w:sz w:val="24"/>
          <w:szCs w:val="24"/>
          <w:lang w:eastAsia="hr-HR"/>
        </w:rPr>
        <w:t xml:space="preserve">The partners in the project are the Ministry of Education, Science, Culture and Sports of Montenegro, the Discover Serbia NGO from </w:t>
      </w:r>
      <w:proofErr w:type="spellStart"/>
      <w:r w:rsidRPr="003C7CB1">
        <w:rPr>
          <w:rFonts w:ascii="Calibri" w:eastAsia="Calibri" w:hAnsi="Calibri" w:cs="Calibri"/>
          <w:sz w:val="24"/>
          <w:szCs w:val="24"/>
          <w:lang w:eastAsia="hr-HR"/>
        </w:rPr>
        <w:t>Priboj</w:t>
      </w:r>
      <w:proofErr w:type="spellEnd"/>
      <w:r w:rsidRPr="003C7CB1">
        <w:rPr>
          <w:rFonts w:ascii="Calibri" w:eastAsia="Calibri" w:hAnsi="Calibri" w:cs="Calibri"/>
          <w:sz w:val="24"/>
          <w:szCs w:val="24"/>
          <w:lang w:eastAsia="hr-HR"/>
        </w:rPr>
        <w:t xml:space="preserve"> and the Students’ Association of the Faculty of Transport</w:t>
      </w:r>
      <w:r w:rsidRPr="003C7CB1">
        <w:t xml:space="preserve"> </w:t>
      </w:r>
      <w:r w:rsidRPr="003C7CB1">
        <w:rPr>
          <w:rFonts w:ascii="Calibri" w:eastAsia="Calibri" w:hAnsi="Calibri" w:cs="Calibri"/>
          <w:sz w:val="24"/>
          <w:szCs w:val="24"/>
          <w:lang w:eastAsia="hr-HR"/>
        </w:rPr>
        <w:t xml:space="preserve">and Traffic Engineering, Belgrade. The aim of the project is to develop a new cultural cycling route - CULT Bike Route - which connects </w:t>
      </w:r>
      <w:proofErr w:type="spellStart"/>
      <w:r w:rsidRPr="003C7CB1">
        <w:rPr>
          <w:rFonts w:ascii="Calibri" w:eastAsia="Calibri" w:hAnsi="Calibri" w:cs="Calibri"/>
          <w:sz w:val="24"/>
          <w:szCs w:val="24"/>
          <w:lang w:eastAsia="hr-HR"/>
        </w:rPr>
        <w:t>Eurovelo</w:t>
      </w:r>
      <w:proofErr w:type="spellEnd"/>
      <w:r w:rsidRPr="003C7CB1">
        <w:rPr>
          <w:rFonts w:ascii="Calibri" w:eastAsia="Calibri" w:hAnsi="Calibri" w:cs="Calibri"/>
          <w:sz w:val="24"/>
          <w:szCs w:val="24"/>
          <w:lang w:eastAsia="hr-HR"/>
        </w:rPr>
        <w:t xml:space="preserve"> 8 with </w:t>
      </w:r>
      <w:proofErr w:type="spellStart"/>
      <w:r w:rsidRPr="003C7CB1">
        <w:rPr>
          <w:rFonts w:ascii="Calibri" w:eastAsia="Calibri" w:hAnsi="Calibri" w:cs="Calibri"/>
          <w:sz w:val="24"/>
          <w:szCs w:val="24"/>
          <w:lang w:eastAsia="hr-HR"/>
        </w:rPr>
        <w:t>Eurovelo</w:t>
      </w:r>
      <w:proofErr w:type="spellEnd"/>
      <w:r w:rsidRPr="003C7CB1">
        <w:rPr>
          <w:rFonts w:ascii="Calibri" w:eastAsia="Calibri" w:hAnsi="Calibri" w:cs="Calibri"/>
          <w:sz w:val="24"/>
          <w:szCs w:val="24"/>
          <w:lang w:eastAsia="hr-HR"/>
        </w:rPr>
        <w:t xml:space="preserve"> 6/11. </w:t>
      </w:r>
    </w:p>
    <w:p w14:paraId="0C63760D" w14:textId="580D46F8"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Cultural heritage - Treasure of Cross Border Region</w:t>
      </w:r>
      <w:r w:rsidRPr="003C7CB1">
        <w:rPr>
          <w:rFonts w:ascii="Calibri" w:eastAsia="Calibri" w:hAnsi="Calibri" w:cs="Calibri"/>
          <w:b/>
          <w:sz w:val="24"/>
          <w:szCs w:val="24"/>
          <w:vertAlign w:val="superscript"/>
          <w:lang w:eastAsia="hr-HR"/>
        </w:rPr>
        <w:footnoteReference w:id="15"/>
      </w:r>
      <w:r w:rsidRPr="003C7CB1">
        <w:rPr>
          <w:rFonts w:ascii="Calibri" w:eastAsia="Calibri" w:hAnsi="Calibri" w:cs="Calibri"/>
          <w:sz w:val="24"/>
          <w:szCs w:val="24"/>
          <w:lang w:eastAsia="hr-HR"/>
        </w:rPr>
        <w:t xml:space="preserve">, is a project implemented within the second call of the IPA Cross-border Cooperation Program Montenegro – Kosovo. The total budget of the project is 421,066.31 euros. The project is being implemented by the municipalities of </w:t>
      </w:r>
      <w:proofErr w:type="spellStart"/>
      <w:r w:rsidRPr="003C7CB1">
        <w:rPr>
          <w:rFonts w:ascii="Calibri" w:eastAsia="Calibri" w:hAnsi="Calibri" w:cs="Calibri"/>
          <w:sz w:val="24"/>
          <w:szCs w:val="24"/>
          <w:lang w:eastAsia="hr-HR"/>
        </w:rPr>
        <w:t>Gusinje</w:t>
      </w:r>
      <w:proofErr w:type="spellEnd"/>
      <w:r w:rsidRPr="003C7CB1">
        <w:rPr>
          <w:rFonts w:ascii="Calibri" w:eastAsia="Calibri" w:hAnsi="Calibri" w:cs="Calibri"/>
          <w:sz w:val="24"/>
          <w:szCs w:val="24"/>
          <w:lang w:eastAsia="hr-HR"/>
        </w:rPr>
        <w:t xml:space="preserve"> and </w:t>
      </w:r>
      <w:proofErr w:type="spellStart"/>
      <w:r w:rsidRPr="003C7CB1">
        <w:rPr>
          <w:rFonts w:ascii="Calibri" w:eastAsia="Calibri" w:hAnsi="Calibri" w:cs="Calibri"/>
          <w:sz w:val="24"/>
          <w:szCs w:val="24"/>
          <w:lang w:eastAsia="hr-HR"/>
        </w:rPr>
        <w:t>Peja</w:t>
      </w:r>
      <w:proofErr w:type="spellEnd"/>
      <w:r w:rsidRPr="003C7CB1">
        <w:rPr>
          <w:rFonts w:ascii="Calibri" w:eastAsia="Calibri" w:hAnsi="Calibri" w:cs="Calibri"/>
          <w:sz w:val="24"/>
          <w:szCs w:val="24"/>
          <w:lang w:eastAsia="hr-HR"/>
        </w:rPr>
        <w:t xml:space="preserve">. The goal of the project is to contribute to the valorization of the cultural heritage of the Prokletije region by establishing new cultural routes and trails as a new </w:t>
      </w:r>
      <w:r w:rsidR="00C65FFD">
        <w:rPr>
          <w:rFonts w:ascii="Calibri" w:eastAsia="Calibri" w:hAnsi="Calibri" w:cs="Calibri"/>
          <w:sz w:val="24"/>
          <w:szCs w:val="24"/>
          <w:lang w:eastAsia="hr-HR"/>
        </w:rPr>
        <w:t>tourism product</w:t>
      </w:r>
      <w:r w:rsidRPr="003C7CB1">
        <w:rPr>
          <w:rFonts w:ascii="Calibri" w:eastAsia="Calibri" w:hAnsi="Calibri" w:cs="Calibri"/>
          <w:sz w:val="24"/>
          <w:szCs w:val="24"/>
          <w:lang w:eastAsia="hr-HR"/>
        </w:rPr>
        <w:t xml:space="preserve"> and offer in the target area.</w:t>
      </w:r>
      <w:r w:rsidRPr="003C7CB1">
        <w:t xml:space="preserve"> </w:t>
      </w:r>
      <w:r w:rsidRPr="003C7CB1">
        <w:rPr>
          <w:rFonts w:ascii="Calibri" w:eastAsia="Calibri" w:hAnsi="Calibri" w:cs="Calibri"/>
          <w:sz w:val="24"/>
          <w:szCs w:val="24"/>
          <w:lang w:eastAsia="hr-HR"/>
        </w:rPr>
        <w:t xml:space="preserve">The project will also engage and improve the knowledge and skills of people from rural areas to provide tourism services. </w:t>
      </w:r>
    </w:p>
    <w:p w14:paraId="5EB47DD5" w14:textId="77777777"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Katun Roads of Montenegro and Bosnia and Herzegovina /June 05, 2020 – June 04, 2022/</w:t>
      </w:r>
      <w:r w:rsidRPr="003C7CB1">
        <w:rPr>
          <w:rFonts w:ascii="Calibri" w:eastAsia="Calibri" w:hAnsi="Calibri" w:cs="Calibri"/>
          <w:b/>
          <w:sz w:val="24"/>
          <w:szCs w:val="24"/>
          <w:vertAlign w:val="superscript"/>
          <w:lang w:eastAsia="hr-HR"/>
        </w:rPr>
        <w:footnoteReference w:id="16"/>
      </w:r>
      <w:r w:rsidRPr="003C7CB1">
        <w:rPr>
          <w:rFonts w:ascii="Calibri" w:eastAsia="Calibri" w:hAnsi="Calibri" w:cs="Calibri"/>
          <w:b/>
          <w:sz w:val="24"/>
          <w:szCs w:val="24"/>
          <w:lang w:eastAsia="hr-HR"/>
        </w:rPr>
        <w:t>,</w:t>
      </w:r>
      <w:r w:rsidRPr="003C7CB1">
        <w:rPr>
          <w:rFonts w:ascii="Calibri" w:eastAsia="Calibri" w:hAnsi="Calibri" w:cs="Calibri"/>
          <w:sz w:val="24"/>
          <w:szCs w:val="24"/>
          <w:lang w:eastAsia="hr-HR"/>
        </w:rPr>
        <w:t xml:space="preserve"> is a project implemented within the second call of the IPA Cross-border Cooperation Program Bosnia and Herzegovina – Montenegro. The total budget of the project is 466,530.53 euros. The project is implemented by the National Tourist Organization of Montenegro, Sarajevo Regional Development Agency SERDA, Faculty of Agriculture and Food, University of Sarajevo, Municipality of </w:t>
      </w:r>
      <w:proofErr w:type="spellStart"/>
      <w:r w:rsidRPr="003C7CB1">
        <w:rPr>
          <w:rFonts w:ascii="Calibri" w:eastAsia="Calibri" w:hAnsi="Calibri" w:cs="Calibri"/>
          <w:sz w:val="24"/>
          <w:szCs w:val="24"/>
          <w:lang w:eastAsia="hr-HR"/>
        </w:rPr>
        <w:t>Fojnica</w:t>
      </w:r>
      <w:proofErr w:type="spellEnd"/>
      <w:r w:rsidRPr="003C7CB1">
        <w:rPr>
          <w:rFonts w:ascii="Calibri" w:eastAsia="Calibri" w:hAnsi="Calibri" w:cs="Calibri"/>
          <w:sz w:val="24"/>
          <w:szCs w:val="24"/>
          <w:lang w:eastAsia="hr-HR"/>
        </w:rPr>
        <w:t xml:space="preserve"> and Regional Development Agency for </w:t>
      </w:r>
      <w:proofErr w:type="spellStart"/>
      <w:r w:rsidRPr="003C7CB1">
        <w:rPr>
          <w:rFonts w:ascii="Calibri" w:eastAsia="Calibri" w:hAnsi="Calibri" w:cs="Calibri"/>
          <w:sz w:val="24"/>
          <w:szCs w:val="24"/>
          <w:lang w:eastAsia="hr-HR"/>
        </w:rPr>
        <w:t>Bjelasica</w:t>
      </w:r>
      <w:proofErr w:type="spellEnd"/>
      <w:r w:rsidRPr="003C7CB1">
        <w:rPr>
          <w:rFonts w:ascii="Calibri" w:eastAsia="Calibri" w:hAnsi="Calibri" w:cs="Calibri"/>
          <w:sz w:val="24"/>
          <w:szCs w:val="24"/>
          <w:lang w:eastAsia="hr-HR"/>
        </w:rPr>
        <w:t xml:space="preserve">, </w:t>
      </w:r>
      <w:proofErr w:type="spellStart"/>
      <w:r w:rsidRPr="003C7CB1">
        <w:rPr>
          <w:rFonts w:ascii="Calibri" w:eastAsia="Calibri" w:hAnsi="Calibri" w:cs="Calibri"/>
          <w:sz w:val="24"/>
          <w:szCs w:val="24"/>
          <w:lang w:eastAsia="hr-HR"/>
        </w:rPr>
        <w:t>Komovi</w:t>
      </w:r>
      <w:proofErr w:type="spellEnd"/>
      <w:r w:rsidRPr="003C7CB1">
        <w:rPr>
          <w:rFonts w:ascii="Calibri" w:eastAsia="Calibri" w:hAnsi="Calibri" w:cs="Calibri"/>
          <w:sz w:val="24"/>
          <w:szCs w:val="24"/>
          <w:lang w:eastAsia="hr-HR"/>
        </w:rPr>
        <w:t xml:space="preserve"> and Prokletije.</w:t>
      </w:r>
      <w:r w:rsidRPr="003C7CB1">
        <w:t xml:space="preserve"> </w:t>
      </w:r>
      <w:r w:rsidRPr="003C7CB1">
        <w:rPr>
          <w:rFonts w:ascii="Calibri" w:eastAsia="Calibri" w:hAnsi="Calibri" w:cs="Calibri"/>
          <w:sz w:val="24"/>
          <w:szCs w:val="24"/>
          <w:lang w:eastAsia="hr-HR"/>
        </w:rPr>
        <w:t xml:space="preserve">The general goal of the project is to diversify the tourist offer of the cross-border area on the basis of natural and cultural heritage, with an emphasis on rural areas, i.e., katuns. </w:t>
      </w:r>
    </w:p>
    <w:p w14:paraId="4D4C2C2F" w14:textId="77777777" w:rsidR="00E732FA" w:rsidRPr="003C7CB1" w:rsidRDefault="00E732FA" w:rsidP="00E732FA">
      <w:pPr>
        <w:spacing w:after="120" w:line="240" w:lineRule="auto"/>
        <w:jc w:val="both"/>
        <w:rPr>
          <w:rFonts w:ascii="Calibri" w:eastAsia="Calibri" w:hAnsi="Calibri" w:cs="Calibri"/>
          <w:sz w:val="24"/>
          <w:szCs w:val="24"/>
          <w:lang w:eastAsia="hr-HR"/>
        </w:rPr>
      </w:pPr>
    </w:p>
    <w:p w14:paraId="7E47F37E" w14:textId="77777777" w:rsidR="00E732FA" w:rsidRPr="003C7CB1" w:rsidRDefault="00E732FA" w:rsidP="00E732FA">
      <w:pPr>
        <w:pStyle w:val="ListParagraph"/>
        <w:numPr>
          <w:ilvl w:val="0"/>
          <w:numId w:val="50"/>
        </w:numPr>
        <w:spacing w:after="120" w:line="240" w:lineRule="auto"/>
        <w:jc w:val="both"/>
        <w:rPr>
          <w:rFonts w:ascii="Calibri" w:eastAsia="Calibri" w:hAnsi="Calibri" w:cs="Calibri"/>
          <w:b/>
          <w:sz w:val="24"/>
          <w:szCs w:val="24"/>
          <w:lang w:eastAsia="hr-HR"/>
        </w:rPr>
      </w:pPr>
      <w:r w:rsidRPr="003C7CB1">
        <w:rPr>
          <w:rFonts w:ascii="Calibri" w:eastAsia="Calibri" w:hAnsi="Calibri" w:cs="Calibri"/>
          <w:b/>
          <w:sz w:val="24"/>
          <w:szCs w:val="24"/>
          <w:lang w:eastAsia="hr-HR"/>
        </w:rPr>
        <w:lastRenderedPageBreak/>
        <w:t xml:space="preserve">Mediterranean program  </w:t>
      </w:r>
    </w:p>
    <w:p w14:paraId="2955229C" w14:textId="405C2054"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SMARTMED - Empower Mediterranean for Smart Tourism /September 01, 2019 – September 30, 2022/</w:t>
      </w:r>
      <w:r w:rsidRPr="003C7CB1">
        <w:rPr>
          <w:rFonts w:ascii="Calibri" w:eastAsia="Calibri" w:hAnsi="Calibri" w:cs="Calibri"/>
          <w:sz w:val="24"/>
          <w:szCs w:val="24"/>
          <w:lang w:eastAsia="hr-HR"/>
        </w:rPr>
        <w:t>, is a project that is being implemented within the Interreg Med Program, and the Ministry of Economic Development participates as an IPA partner.</w:t>
      </w:r>
      <w:r w:rsidRPr="003C7CB1">
        <w:t xml:space="preserve"> </w:t>
      </w:r>
      <w:r w:rsidRPr="003C7CB1">
        <w:rPr>
          <w:rFonts w:ascii="Calibri" w:eastAsia="Calibri" w:hAnsi="Calibri" w:cs="Calibri"/>
          <w:sz w:val="24"/>
          <w:szCs w:val="24"/>
          <w:lang w:eastAsia="hr-HR"/>
        </w:rPr>
        <w:t xml:space="preserve">The goal of the SMARTMED project is to develop the Mediterranean as an attractive, smart and inclusive destination. The main challenges that the SMARTMED project has to face are the pronounced seasonality and the lack of effective cooperation among the key tourism </w:t>
      </w:r>
      <w:proofErr w:type="spellStart"/>
      <w:r w:rsidRPr="003C7CB1">
        <w:rPr>
          <w:rFonts w:ascii="Calibri" w:eastAsia="Calibri" w:hAnsi="Calibri" w:cs="Calibri"/>
          <w:sz w:val="24"/>
          <w:szCs w:val="24"/>
          <w:lang w:eastAsia="hr-HR"/>
        </w:rPr>
        <w:t>strakeholders</w:t>
      </w:r>
      <w:proofErr w:type="spellEnd"/>
      <w:r w:rsidRPr="003C7CB1">
        <w:rPr>
          <w:rFonts w:ascii="Calibri" w:eastAsia="Calibri" w:hAnsi="Calibri" w:cs="Calibri"/>
          <w:sz w:val="24"/>
          <w:szCs w:val="24"/>
          <w:lang w:eastAsia="hr-HR"/>
        </w:rPr>
        <w:t>. Seasonality is reflected in high concentration of touris</w:t>
      </w:r>
      <w:r w:rsidR="0064118C">
        <w:rPr>
          <w:rFonts w:ascii="Calibri" w:eastAsia="Calibri" w:hAnsi="Calibri" w:cs="Calibri"/>
          <w:sz w:val="24"/>
          <w:szCs w:val="24"/>
          <w:lang w:eastAsia="hr-HR"/>
        </w:rPr>
        <w:t>m turnover</w:t>
      </w:r>
      <w:r w:rsidRPr="003C7CB1">
        <w:rPr>
          <w:rFonts w:ascii="Calibri" w:eastAsia="Calibri" w:hAnsi="Calibri" w:cs="Calibri"/>
          <w:sz w:val="24"/>
          <w:szCs w:val="24"/>
          <w:lang w:eastAsia="hr-HR"/>
        </w:rPr>
        <w:t xml:space="preserve"> in time (in a specific, short period of the year, mainly in the summer months) and space (coastal area and a certain number of coastal towns).</w:t>
      </w:r>
      <w:r w:rsidRPr="003C7CB1">
        <w:t xml:space="preserve"> </w:t>
      </w:r>
      <w:r w:rsidRPr="003C7CB1">
        <w:rPr>
          <w:rFonts w:ascii="Calibri" w:eastAsia="Calibri" w:hAnsi="Calibri" w:cs="Calibri"/>
          <w:sz w:val="24"/>
          <w:szCs w:val="24"/>
          <w:lang w:eastAsia="hr-HR"/>
        </w:rPr>
        <w:t>The main result of the SMARTMED project is the definition of a new business model of SMART tourism.</w:t>
      </w:r>
      <w:r w:rsidRPr="003C7CB1">
        <w:t xml:space="preserve"> </w:t>
      </w:r>
      <w:r w:rsidRPr="003C7CB1">
        <w:rPr>
          <w:rFonts w:ascii="Calibri" w:eastAsia="Calibri" w:hAnsi="Calibri" w:cs="Calibri"/>
          <w:sz w:val="24"/>
          <w:szCs w:val="24"/>
          <w:lang w:eastAsia="hr-HR"/>
        </w:rPr>
        <w:t>In addition to the leading partner of the project, the Ministry of Tourism and Sports of the Republic of Croatia, 12 other partners are participating in the project.</w:t>
      </w:r>
      <w:r w:rsidRPr="003C7CB1">
        <w:t xml:space="preserve"> </w:t>
      </w:r>
      <w:r w:rsidRPr="003C7CB1">
        <w:rPr>
          <w:rFonts w:ascii="Calibri" w:eastAsia="Calibri" w:hAnsi="Calibri" w:cs="Calibri"/>
          <w:sz w:val="24"/>
          <w:szCs w:val="24"/>
          <w:lang w:eastAsia="hr-HR"/>
        </w:rPr>
        <w:t xml:space="preserve">The total budget of the project is 3,000,000.00 euros, of which 2.55 million euros are co-financed from the European Regional Development Fund. The budget of the Ministry of Economic Development is 35,000.00 euros. </w:t>
      </w:r>
    </w:p>
    <w:p w14:paraId="421D7BA3" w14:textId="0DE7C7DB" w:rsidR="00E732FA" w:rsidRPr="003C7CB1" w:rsidRDefault="00E732FA" w:rsidP="00E732FA">
      <w:pPr>
        <w:spacing w:after="120" w:line="240" w:lineRule="auto"/>
        <w:jc w:val="both"/>
        <w:rPr>
          <w:rFonts w:ascii="Calibri" w:eastAsia="Calibri" w:hAnsi="Calibri" w:cs="Calibri"/>
          <w:sz w:val="24"/>
          <w:szCs w:val="24"/>
          <w:lang w:eastAsia="hr-HR"/>
        </w:rPr>
      </w:pPr>
      <w:r w:rsidRPr="003C7CB1">
        <w:rPr>
          <w:rFonts w:ascii="Calibri" w:eastAsia="Calibri" w:hAnsi="Calibri" w:cs="Calibri"/>
          <w:b/>
          <w:sz w:val="24"/>
          <w:szCs w:val="24"/>
          <w:lang w:eastAsia="hr-HR"/>
        </w:rPr>
        <w:t>Alter Eco Plus - Alternative Tourist Strategies to Enhance the Local Sustainable Development of Tourism by Promoting Mediterranean Identity /June 01, 2021 – June 30, 2022/</w:t>
      </w:r>
      <w:r w:rsidRPr="003C7CB1">
        <w:rPr>
          <w:rFonts w:ascii="Calibri" w:eastAsia="Calibri" w:hAnsi="Calibri" w:cs="Calibri"/>
          <w:sz w:val="24"/>
          <w:szCs w:val="24"/>
          <w:lang w:eastAsia="hr-HR"/>
        </w:rPr>
        <w:t xml:space="preserve">, is a project that is being implemented within the Interreg MED program, and the Ministry of Economic Development participates as an IPA partner. The total budget of the project is 400,000.00 euros, and the budget of MED is 50,000.00 euros. The partnership agreement for the Alter Eco Plus project was signed between the Ca 'Foscari University of Venice - Department of Economics, as the lead partner and the Valencia Institute of Building, the Government of Catalonia - Directorate General for Tourism, Development Agency of South Aegean Region - </w:t>
      </w:r>
      <w:proofErr w:type="spellStart"/>
      <w:r w:rsidRPr="003C7CB1">
        <w:rPr>
          <w:rFonts w:ascii="Calibri" w:eastAsia="Calibri" w:hAnsi="Calibri" w:cs="Calibri"/>
          <w:sz w:val="24"/>
          <w:szCs w:val="24"/>
          <w:lang w:eastAsia="hr-HR"/>
        </w:rPr>
        <w:t>Energeiaki</w:t>
      </w:r>
      <w:proofErr w:type="spellEnd"/>
      <w:r w:rsidRPr="003C7CB1">
        <w:rPr>
          <w:rFonts w:ascii="Calibri" w:eastAsia="Calibri" w:hAnsi="Calibri" w:cs="Calibri"/>
          <w:sz w:val="24"/>
          <w:szCs w:val="24"/>
          <w:lang w:eastAsia="hr-HR"/>
        </w:rPr>
        <w:t xml:space="preserve"> S.A., Ministry of Economic Development Montenegro, Dubrovnik-Neretva County - Department for Economy and Maritime Affairs, as partners.</w:t>
      </w:r>
      <w:r w:rsidRPr="003C7CB1">
        <w:t xml:space="preserve"> </w:t>
      </w:r>
      <w:r w:rsidRPr="003C7CB1">
        <w:rPr>
          <w:rFonts w:ascii="Calibri" w:eastAsia="Calibri" w:hAnsi="Calibri" w:cs="Calibri"/>
          <w:sz w:val="24"/>
          <w:szCs w:val="24"/>
          <w:lang w:eastAsia="hr-HR"/>
        </w:rPr>
        <w:t xml:space="preserve">The task of the project is to find the optimal way to overcome the shortcomings and improve the capacity in the sustainable development of tourism by determining the “carrying capacity limit” for tourist places.  </w:t>
      </w:r>
      <w:r w:rsidR="00765B94">
        <w:rPr>
          <w:rFonts w:cs="Arial"/>
          <w:sz w:val="24"/>
          <w:szCs w:val="24"/>
        </w:rPr>
        <w:t xml:space="preserve">                                                                                                   </w:t>
      </w:r>
    </w:p>
    <w:p w14:paraId="001CE234" w14:textId="77777777" w:rsidR="00E732FA" w:rsidRPr="003C7CB1" w:rsidRDefault="00E732FA" w:rsidP="00E732FA">
      <w:pPr>
        <w:spacing w:after="120" w:line="240" w:lineRule="auto"/>
        <w:jc w:val="both"/>
        <w:rPr>
          <w:rFonts w:ascii="Calibri" w:eastAsia="Calibri" w:hAnsi="Calibri" w:cs="Calibri"/>
          <w:sz w:val="24"/>
          <w:szCs w:val="24"/>
          <w:lang w:eastAsia="hr-HR"/>
        </w:rPr>
      </w:pPr>
    </w:p>
    <w:p w14:paraId="6F1E8B07" w14:textId="77777777" w:rsidR="00E732FA" w:rsidRPr="003C7CB1" w:rsidRDefault="00E732FA" w:rsidP="00E732FA">
      <w:pPr>
        <w:pStyle w:val="ListParagraph"/>
        <w:numPr>
          <w:ilvl w:val="0"/>
          <w:numId w:val="50"/>
        </w:numPr>
        <w:spacing w:after="120" w:line="240" w:lineRule="auto"/>
        <w:jc w:val="both"/>
        <w:rPr>
          <w:rFonts w:ascii="Calibri" w:eastAsia="Calibri" w:hAnsi="Calibri" w:cs="Calibri"/>
          <w:b/>
          <w:bCs/>
          <w:sz w:val="24"/>
          <w:szCs w:val="24"/>
          <w:lang w:eastAsia="hr-HR"/>
        </w:rPr>
      </w:pPr>
      <w:r w:rsidRPr="003C7CB1">
        <w:rPr>
          <w:rFonts w:ascii="Calibri" w:eastAsia="Calibri" w:hAnsi="Calibri" w:cs="Calibri"/>
          <w:b/>
          <w:bCs/>
          <w:sz w:val="24"/>
          <w:szCs w:val="24"/>
          <w:lang w:eastAsia="hr-HR"/>
        </w:rPr>
        <w:t>European Green Deal</w:t>
      </w:r>
    </w:p>
    <w:p w14:paraId="01C876D9"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 xml:space="preserve">The European Green Deal 2019 is a development strategy goals of which are also implemented in the development documents of Montenegro. Its goal is to transform into a righteous and more prosperous society, with a modern, resource-efficient and competitive economy, with reduced CO2 emissions, where economic growth is separate from resource use. The aim of this strategy is to protect, but also to encourage human, social, natural and economic capital, and to help achieve the UN sustainable development goals in the countries. </w:t>
      </w:r>
    </w:p>
    <w:p w14:paraId="02840288"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All 27 EU member states have bound to transform the EU into the first climate-neutral continent by 2050. In order to achieve the above, they have committed to reduce</w:t>
      </w:r>
      <w:r w:rsidRPr="003C7CB1">
        <w:t xml:space="preserve"> </w:t>
      </w:r>
      <w:r w:rsidRPr="003C7CB1">
        <w:rPr>
          <w:rFonts w:ascii="Calibri" w:eastAsia="Calibri" w:hAnsi="Calibri" w:cs="Calibri"/>
          <w:bCs/>
          <w:color w:val="000000"/>
          <w:sz w:val="24"/>
          <w:szCs w:val="24"/>
          <w:lang w:eastAsia="hr-HR"/>
        </w:rPr>
        <w:t xml:space="preserve">greenhouse gas emissions by at least 55% by 2030, compared to the levels from 1990. The idea is to review every existing law on climate values, and also to lay a stronger foundation for the circular economy with the new legislation. </w:t>
      </w:r>
    </w:p>
    <w:p w14:paraId="1D61C885"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 xml:space="preserve">The overarching aim of the European Green Deal is for the European Union to become the world's first climate-neutral bloc and encourage more active action in a number of different sectors, including construction, energy, transport, agriculture and food production, and so on.  </w:t>
      </w:r>
    </w:p>
    <w:p w14:paraId="4B5647C4"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lastRenderedPageBreak/>
        <w:t>As the main driver of economic development and investment in Montenegro, the tourism sector is directly and indirectly responsible for a large part of GHG emissions, especially those originating from transport and accommodation facilities.</w:t>
      </w:r>
      <w:r w:rsidRPr="003C7CB1">
        <w:t xml:space="preserve"> </w:t>
      </w:r>
      <w:r w:rsidRPr="003C7CB1">
        <w:rPr>
          <w:rFonts w:ascii="Calibri" w:eastAsia="Calibri" w:hAnsi="Calibri" w:cs="Calibri"/>
          <w:bCs/>
          <w:color w:val="000000"/>
          <w:sz w:val="24"/>
          <w:szCs w:val="24"/>
          <w:lang w:eastAsia="hr-HR"/>
        </w:rPr>
        <w:t>In this regard, in cooperation with UNDP, Montenegro has implemented an innovative project - Towards Carbon Neutral Tourism in Montenegro funded by the GEF. The project aimed to contribute to the reduction of greenhouse gas emissions (primarily CO2) in the tourism sector and significantly reduce the negative impact on the environment.</w:t>
      </w:r>
      <w:r w:rsidRPr="003C7CB1">
        <w:t xml:space="preserve"> </w:t>
      </w:r>
      <w:r w:rsidRPr="003C7CB1">
        <w:rPr>
          <w:sz w:val="24"/>
        </w:rPr>
        <w:t>Support was granted to 32 investment projects introducing energy efficiency measures and using renewable energy sources</w:t>
      </w:r>
      <w:r w:rsidRPr="003C7CB1">
        <w:rPr>
          <w:rFonts w:ascii="Calibri" w:eastAsia="Calibri" w:hAnsi="Calibri" w:cs="Calibri"/>
          <w:bCs/>
          <w:color w:val="000000"/>
          <w:sz w:val="24"/>
          <w:szCs w:val="24"/>
          <w:lang w:eastAsia="hr-HR"/>
        </w:rPr>
        <w:t xml:space="preserve">, while about 30 hotels received a green certification and thus </w:t>
      </w:r>
      <w:r w:rsidRPr="003C7CB1">
        <w:rPr>
          <w:rFonts w:ascii="Calibri" w:eastAsia="Calibri" w:hAnsi="Calibri" w:cs="Calibri"/>
          <w:b/>
          <w:bCs/>
          <w:color w:val="000000"/>
          <w:sz w:val="24"/>
          <w:szCs w:val="24"/>
          <w:lang w:eastAsia="hr-HR"/>
        </w:rPr>
        <w:t>contributed to reducing CO2 emissions, while raising public awareness of the importance of nature protection and climate change at the same time</w:t>
      </w:r>
      <w:r w:rsidRPr="003C7CB1">
        <w:rPr>
          <w:rFonts w:ascii="Calibri" w:eastAsia="Calibri" w:hAnsi="Calibri" w:cs="Calibri"/>
          <w:bCs/>
          <w:color w:val="000000"/>
          <w:sz w:val="24"/>
          <w:szCs w:val="24"/>
          <w:lang w:eastAsia="hr-HR"/>
        </w:rPr>
        <w:t>.</w:t>
      </w:r>
      <w:r w:rsidRPr="003C7CB1">
        <w:t xml:space="preserve"> </w:t>
      </w:r>
      <w:r w:rsidRPr="003C7CB1">
        <w:rPr>
          <w:rFonts w:ascii="Calibri" w:eastAsia="Calibri" w:hAnsi="Calibri" w:cs="Calibri"/>
          <w:bCs/>
          <w:color w:val="000000"/>
          <w:sz w:val="24"/>
          <w:szCs w:val="24"/>
          <w:lang w:eastAsia="hr-HR"/>
        </w:rPr>
        <w:t xml:space="preserve">The project helped establishment of Eco Fund that will support the implementation of sustainable projects under the polluter pays principle. </w:t>
      </w:r>
    </w:p>
    <w:p w14:paraId="480BF7E7" w14:textId="77777777" w:rsidR="00E732FA" w:rsidRPr="003C7CB1" w:rsidRDefault="00E732FA" w:rsidP="00E732FA">
      <w:pPr>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The Economic and Investment Plan for the Western Balkans</w:t>
      </w:r>
      <w:r w:rsidRPr="003C7CB1">
        <w:rPr>
          <w:rFonts w:ascii="Calibri" w:eastAsia="Calibri" w:hAnsi="Calibri" w:cs="Calibri"/>
          <w:bCs/>
          <w:color w:val="000000"/>
          <w:sz w:val="24"/>
          <w:szCs w:val="24"/>
          <w:lang w:eastAsia="hr-HR"/>
        </w:rPr>
        <w:t>, adopted by the European Commission on October 6, 2020, aims to encourage the region's long-term economic recovery, support green and digital transition, strengthen regional integration and moving closer to the European Union.</w:t>
      </w:r>
      <w:r w:rsidRPr="003C7CB1">
        <w:t xml:space="preserve"> </w:t>
      </w:r>
      <w:r w:rsidRPr="003C7CB1">
        <w:rPr>
          <w:rFonts w:ascii="Calibri" w:eastAsia="Calibri" w:hAnsi="Calibri" w:cs="Calibri"/>
          <w:bCs/>
          <w:color w:val="000000"/>
          <w:sz w:val="24"/>
          <w:szCs w:val="24"/>
          <w:lang w:eastAsia="hr-HR"/>
        </w:rPr>
        <w:t xml:space="preserve">The investment plan will be a key driver that will enable public and private investments of European and international financial institutions in the region. Among other things, the Plan defines the priority of “private sector competitiveness”, in order to provide conditions for increasing the amount of grants while guaranteeing capacity to support the private sector while mobilizing aid for sustainable rural development. </w:t>
      </w:r>
    </w:p>
    <w:p w14:paraId="0E32409F" w14:textId="77777777" w:rsidR="00E732FA" w:rsidRPr="003C7CB1" w:rsidRDefault="00E732FA" w:rsidP="00E732FA">
      <w:pPr>
        <w:shd w:val="clear" w:color="auto" w:fill="FFFFFF"/>
        <w:spacing w:after="120" w:line="240" w:lineRule="auto"/>
        <w:jc w:val="both"/>
        <w:rPr>
          <w:rFonts w:ascii="Calibri" w:eastAsia="Calibri" w:hAnsi="Calibri" w:cs="Times New Roman"/>
          <w:sz w:val="24"/>
          <w:szCs w:val="24"/>
        </w:rPr>
      </w:pPr>
    </w:p>
    <w:p w14:paraId="38E5D639" w14:textId="77777777" w:rsidR="00E732FA" w:rsidRPr="003C7CB1" w:rsidRDefault="00E732FA" w:rsidP="00E732FA">
      <w:pPr>
        <w:pStyle w:val="ListParagraph"/>
        <w:numPr>
          <w:ilvl w:val="0"/>
          <w:numId w:val="50"/>
        </w:numPr>
        <w:shd w:val="clear" w:color="auto" w:fill="FFFFFF"/>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sz w:val="24"/>
          <w:szCs w:val="24"/>
          <w:lang w:eastAsia="hr-HR"/>
        </w:rPr>
        <w:t>Regional cooperation</w:t>
      </w:r>
    </w:p>
    <w:p w14:paraId="645826F7" w14:textId="77777777" w:rsidR="00E732FA" w:rsidRPr="003C7CB1" w:rsidRDefault="00E732FA" w:rsidP="00E732FA">
      <w:pPr>
        <w:shd w:val="clear" w:color="auto" w:fill="FFFFFF"/>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 xml:space="preserve">The strategic goals presented by </w:t>
      </w:r>
      <w:r w:rsidRPr="003C7CB1">
        <w:rPr>
          <w:rFonts w:ascii="Calibri" w:eastAsia="Calibri" w:hAnsi="Calibri" w:cs="Calibri"/>
          <w:b/>
          <w:bCs/>
          <w:color w:val="000000"/>
          <w:sz w:val="24"/>
          <w:szCs w:val="24"/>
          <w:lang w:eastAsia="hr-HR"/>
        </w:rPr>
        <w:t>the Europe 2020 Strategy</w:t>
      </w:r>
      <w:r w:rsidRPr="003C7CB1">
        <w:rPr>
          <w:rFonts w:ascii="Calibri" w:eastAsia="Calibri" w:hAnsi="Calibri" w:cs="Calibri"/>
          <w:bCs/>
          <w:color w:val="000000"/>
          <w:sz w:val="24"/>
          <w:szCs w:val="24"/>
          <w:lang w:eastAsia="hr-HR"/>
        </w:rPr>
        <w:t xml:space="preserve"> are further developed through </w:t>
      </w:r>
      <w:r w:rsidRPr="003C7CB1">
        <w:rPr>
          <w:rFonts w:ascii="Calibri" w:eastAsia="Calibri" w:hAnsi="Calibri" w:cs="Calibri"/>
          <w:b/>
          <w:bCs/>
          <w:color w:val="000000"/>
          <w:sz w:val="24"/>
          <w:szCs w:val="24"/>
          <w:lang w:eastAsia="hr-HR"/>
        </w:rPr>
        <w:t>the South East Europe 2020 Strategy, the Strategy for the Adriatic and Ionian Region, the EU Strategy for the Danube Region and the Central European Initiative</w:t>
      </w:r>
      <w:r w:rsidRPr="003C7CB1">
        <w:rPr>
          <w:rFonts w:ascii="Calibri" w:eastAsia="Calibri" w:hAnsi="Calibri" w:cs="Calibri"/>
          <w:bCs/>
          <w:color w:val="000000"/>
          <w:sz w:val="24"/>
          <w:szCs w:val="24"/>
          <w:lang w:eastAsia="hr-HR"/>
        </w:rPr>
        <w:t xml:space="preserve">, but from the aspect of the region, their potentials and advantages that can provide faster and sustainable economic growth and development, while removing recorded barriers at the same time and overcoming weaknesses that are barriers to development. </w:t>
      </w:r>
    </w:p>
    <w:p w14:paraId="24DBBEE7" w14:textId="0FEACB3E" w:rsidR="00E732FA" w:rsidRPr="003C7CB1" w:rsidRDefault="00E732FA" w:rsidP="00E732FA">
      <w:pPr>
        <w:shd w:val="clear" w:color="auto" w:fill="FFFFFF"/>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The EU Strategy for the Adriatic and Ionian Region (EUSAIR)</w:t>
      </w:r>
      <w:r w:rsidRPr="003C7CB1">
        <w:rPr>
          <w:rFonts w:ascii="Calibri" w:eastAsia="Calibri" w:hAnsi="Calibri" w:cs="Calibri"/>
          <w:bCs/>
          <w:color w:val="000000"/>
          <w:sz w:val="24"/>
          <w:szCs w:val="24"/>
          <w:lang w:eastAsia="hr-HR"/>
        </w:rPr>
        <w:t xml:space="preserve"> includes nine countries in the Adriatic-Ionian region: Italy, Greece, Slovenia, Croatia, Serbia, Montenegro, Bosnia and Herzegovina, North Macedonia and Albania.</w:t>
      </w:r>
      <w:r w:rsidRPr="003C7CB1">
        <w:t xml:space="preserve"> </w:t>
      </w:r>
      <w:r w:rsidRPr="003C7CB1">
        <w:rPr>
          <w:rFonts w:ascii="Calibri" w:eastAsia="Calibri" w:hAnsi="Calibri" w:cs="Calibri"/>
          <w:bCs/>
          <w:color w:val="000000"/>
          <w:sz w:val="24"/>
          <w:szCs w:val="24"/>
          <w:lang w:eastAsia="hr-HR"/>
        </w:rPr>
        <w:t xml:space="preserve">The main goal is the accelerated socio-economic development of the Adriatic-Ionian macro region through enhanced cooperation among the nine countries in the fields of transport infrastructure, energy, blue growth, and tourism and biodiversity conservation, while maximizing the contribution of tourism to growth and employment and promoting cooperation between EU countries, especially by exchanging good practices. </w:t>
      </w:r>
      <w:r w:rsidR="00765B94">
        <w:rPr>
          <w:rFonts w:cs="Arial"/>
          <w:sz w:val="24"/>
          <w:szCs w:val="24"/>
        </w:rPr>
        <w:t xml:space="preserve">                                                                                                   </w:t>
      </w:r>
    </w:p>
    <w:p w14:paraId="1D377059" w14:textId="77777777" w:rsidR="00E732FA" w:rsidRPr="003C7CB1" w:rsidRDefault="00E732FA" w:rsidP="00E732FA">
      <w:pPr>
        <w:shd w:val="clear" w:color="auto" w:fill="FFFFFF"/>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t>The European Union Strategy for the Danube Region (EUSDR)</w:t>
      </w:r>
      <w:r w:rsidRPr="003C7CB1">
        <w:rPr>
          <w:rFonts w:ascii="Calibri" w:eastAsia="Calibri" w:hAnsi="Calibri" w:cs="Calibri"/>
          <w:bCs/>
          <w:color w:val="000000"/>
          <w:sz w:val="24"/>
          <w:szCs w:val="24"/>
          <w:lang w:eastAsia="hr-HR"/>
        </w:rPr>
        <w:t xml:space="preserve"> was adopted in the field of regional connection and cooperation of the Danube region, which includes 14 countries: Austria, Bulgaria, Germany, Hungary, Romania, Slovakia, Croatia, Serbia, Moldova, Ukraine, The Czech Republic, Slovenia, Montenegro and Bosnia and Herzegovina.</w:t>
      </w:r>
      <w:r w:rsidRPr="003C7CB1">
        <w:t xml:space="preserve"> </w:t>
      </w:r>
      <w:r w:rsidRPr="003C7CB1">
        <w:rPr>
          <w:rFonts w:ascii="Calibri" w:eastAsia="Calibri" w:hAnsi="Calibri" w:cs="Calibri"/>
          <w:bCs/>
          <w:color w:val="000000"/>
          <w:sz w:val="24"/>
          <w:szCs w:val="24"/>
          <w:lang w:eastAsia="hr-HR"/>
        </w:rPr>
        <w:t xml:space="preserve">The strategy is based on four pillars and 11 priority areas, where for the field of tourism development, the importance of connecting people and countries through culture and tourism within priority area 3 (To promote culture and tourism, people to people contacts) is especially emphasized.  </w:t>
      </w:r>
    </w:p>
    <w:p w14:paraId="72DDC44C" w14:textId="77777777" w:rsidR="00E732FA" w:rsidRPr="003C7CB1" w:rsidRDefault="00E732FA" w:rsidP="00E732FA">
      <w:pPr>
        <w:shd w:val="clear" w:color="auto" w:fill="FFFFFF"/>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
          <w:bCs/>
          <w:color w:val="000000"/>
          <w:sz w:val="24"/>
          <w:szCs w:val="24"/>
          <w:lang w:eastAsia="hr-HR"/>
        </w:rPr>
        <w:lastRenderedPageBreak/>
        <w:t>Central European Initiative (CEI)</w:t>
      </w:r>
      <w:r w:rsidRPr="003C7CB1">
        <w:rPr>
          <w:rFonts w:ascii="Calibri" w:eastAsia="Calibri" w:hAnsi="Calibri" w:cs="Calibri"/>
          <w:bCs/>
          <w:color w:val="000000"/>
          <w:sz w:val="24"/>
          <w:szCs w:val="24"/>
          <w:lang w:eastAsia="hr-HR"/>
        </w:rPr>
        <w:t xml:space="preserve"> - In 2021, Montenegro continued its presidency of the Initiative, which began in 2020, which confirmed its commitment to regional cooperation, further progress in EU integration process, development of good neighborly relations, as well as active engagement in numerous project activities within the Initiative.</w:t>
      </w:r>
      <w:r w:rsidRPr="003C7CB1">
        <w:t xml:space="preserve"> </w:t>
      </w:r>
      <w:r w:rsidRPr="003C7CB1">
        <w:rPr>
          <w:rFonts w:ascii="Calibri" w:eastAsia="Calibri" w:hAnsi="Calibri" w:cs="Calibri"/>
          <w:bCs/>
          <w:color w:val="000000"/>
          <w:sz w:val="24"/>
          <w:szCs w:val="24"/>
          <w:lang w:eastAsia="hr-HR"/>
        </w:rPr>
        <w:t xml:space="preserve">In the period marked by the COVID-19 pandemic, regional cooperation has gained importance, and the effectiveness of the Initiative in strengthening partnerships with all CEI member states, the Secretariat and other relevant regional actors is ensured through constructive dialogues and project-oriented cooperation in strategic areas. Montenegro is the first country since the establishment of the CEI to chair the Initiative for two years in a row.  </w:t>
      </w:r>
    </w:p>
    <w:p w14:paraId="40C079C4" w14:textId="77777777" w:rsidR="00E732FA" w:rsidRPr="003C7CB1" w:rsidRDefault="00E732FA" w:rsidP="00E732FA">
      <w:pPr>
        <w:shd w:val="clear" w:color="auto" w:fill="FFFFFF"/>
        <w:spacing w:after="120" w:line="240" w:lineRule="auto"/>
        <w:jc w:val="both"/>
        <w:rPr>
          <w:rFonts w:ascii="Calibri" w:eastAsia="Calibri" w:hAnsi="Calibri" w:cs="Calibri"/>
          <w:bCs/>
          <w:color w:val="000000"/>
          <w:sz w:val="24"/>
          <w:szCs w:val="24"/>
          <w:lang w:eastAsia="hr-HR"/>
        </w:rPr>
      </w:pPr>
      <w:r w:rsidRPr="003C7CB1">
        <w:rPr>
          <w:rFonts w:ascii="Calibri" w:eastAsia="Calibri" w:hAnsi="Calibri" w:cs="Calibri"/>
          <w:bCs/>
          <w:color w:val="000000"/>
          <w:sz w:val="24"/>
          <w:szCs w:val="24"/>
          <w:lang w:eastAsia="hr-HR"/>
        </w:rPr>
        <w:t xml:space="preserve">All these activities and projects in which special emphasis is placed on synchronization with EU legislation and funds will contribute to more efficient and effective economic and sustainable development of tourism, i.e., improving the position of Montenegro on the international economic scene. According to the report of the World Economic Forum on the competitiveness of travel and tourism for 2019, Montenegro was ranked 67th out of 140 countries in terms of competitiveness and was better positioned compared to the countries of the Region (Table 1). </w:t>
      </w:r>
    </w:p>
    <w:p w14:paraId="330C2C3F" w14:textId="77777777" w:rsidR="00E732FA" w:rsidRPr="003C7CB1" w:rsidRDefault="00E732FA" w:rsidP="00E732FA">
      <w:pPr>
        <w:spacing w:after="120" w:line="240" w:lineRule="auto"/>
        <w:jc w:val="both"/>
        <w:rPr>
          <w:rFonts w:cstheme="minorHAnsi"/>
          <w:sz w:val="24"/>
          <w:szCs w:val="24"/>
        </w:rPr>
      </w:pPr>
    </w:p>
    <w:p w14:paraId="750A30C5" w14:textId="3AA37068" w:rsidR="00E732FA" w:rsidRPr="003C7CB1" w:rsidRDefault="00E732FA" w:rsidP="00E732FA">
      <w:pPr>
        <w:spacing w:after="120" w:line="240" w:lineRule="auto"/>
        <w:jc w:val="center"/>
        <w:rPr>
          <w:rFonts w:cstheme="minorHAnsi"/>
          <w:b/>
        </w:rPr>
      </w:pPr>
      <w:r w:rsidRPr="003C7CB1">
        <w:rPr>
          <w:rFonts w:cstheme="minorHAnsi"/>
          <w:b/>
        </w:rPr>
        <w:t>Table No.</w:t>
      </w:r>
      <w:r w:rsidR="003C7CB1">
        <w:rPr>
          <w:rFonts w:cstheme="minorHAnsi"/>
          <w:b/>
        </w:rPr>
        <w:t xml:space="preserve"> </w:t>
      </w:r>
      <w:r w:rsidRPr="003C7CB1">
        <w:rPr>
          <w:rFonts w:cstheme="minorHAnsi"/>
          <w:b/>
        </w:rPr>
        <w:t xml:space="preserve">1: World Economic Forum - Tourism and Travel / Competitiveness Index, 2019 </w:t>
      </w:r>
    </w:p>
    <w:tbl>
      <w:tblPr>
        <w:tblW w:w="3590" w:type="pct"/>
        <w:jc w:val="center"/>
        <w:tblLook w:val="00A0" w:firstRow="1" w:lastRow="0" w:firstColumn="1" w:lastColumn="0" w:noHBand="0" w:noVBand="0"/>
      </w:tblPr>
      <w:tblGrid>
        <w:gridCol w:w="3909"/>
        <w:gridCol w:w="2565"/>
      </w:tblGrid>
      <w:tr w:rsidR="00E732FA" w:rsidRPr="003C7CB1" w14:paraId="639B01B1" w14:textId="77777777" w:rsidTr="00E732FA">
        <w:trPr>
          <w:trHeight w:val="402"/>
          <w:jc w:val="center"/>
        </w:trPr>
        <w:tc>
          <w:tcPr>
            <w:tcW w:w="3019" w:type="pct"/>
            <w:tcBorders>
              <w:top w:val="single" w:sz="4" w:space="0" w:color="auto"/>
              <w:left w:val="single" w:sz="4" w:space="0" w:color="auto"/>
              <w:bottom w:val="single" w:sz="4" w:space="0" w:color="auto"/>
              <w:right w:val="single" w:sz="4" w:space="0" w:color="auto"/>
            </w:tcBorders>
            <w:noWrap/>
            <w:vAlign w:val="center"/>
          </w:tcPr>
          <w:p w14:paraId="22FDE523" w14:textId="77777777" w:rsidR="00E732FA" w:rsidRPr="003C7CB1" w:rsidRDefault="00E732FA" w:rsidP="00E732FA">
            <w:pPr>
              <w:spacing w:after="120" w:line="240" w:lineRule="auto"/>
              <w:jc w:val="center"/>
              <w:rPr>
                <w:rFonts w:eastAsia="Calibri" w:cs="Arial"/>
                <w:b/>
                <w:bCs/>
              </w:rPr>
            </w:pPr>
            <w:r w:rsidRPr="003C7CB1">
              <w:rPr>
                <w:rFonts w:eastAsia="Calibri" w:cs="Arial"/>
                <w:b/>
                <w:bCs/>
              </w:rPr>
              <w:t xml:space="preserve">Country </w:t>
            </w:r>
          </w:p>
        </w:tc>
        <w:tc>
          <w:tcPr>
            <w:tcW w:w="1981" w:type="pct"/>
            <w:tcBorders>
              <w:top w:val="single" w:sz="4" w:space="0" w:color="auto"/>
              <w:left w:val="nil"/>
              <w:bottom w:val="single" w:sz="4" w:space="0" w:color="auto"/>
              <w:right w:val="single" w:sz="4" w:space="0" w:color="auto"/>
            </w:tcBorders>
            <w:noWrap/>
            <w:vAlign w:val="center"/>
          </w:tcPr>
          <w:p w14:paraId="014C3507" w14:textId="77777777" w:rsidR="00E732FA" w:rsidRPr="003C7CB1" w:rsidRDefault="00E732FA" w:rsidP="00E732FA">
            <w:pPr>
              <w:spacing w:after="120" w:line="240" w:lineRule="auto"/>
              <w:jc w:val="center"/>
              <w:rPr>
                <w:rFonts w:eastAsia="Calibri" w:cs="Arial"/>
                <w:b/>
                <w:bCs/>
              </w:rPr>
            </w:pPr>
            <w:r w:rsidRPr="003C7CB1">
              <w:rPr>
                <w:rFonts w:eastAsia="Calibri" w:cs="Arial"/>
                <w:b/>
                <w:bCs/>
              </w:rPr>
              <w:t xml:space="preserve">Rank of 140 </w:t>
            </w:r>
          </w:p>
        </w:tc>
      </w:tr>
      <w:tr w:rsidR="00E732FA" w:rsidRPr="003C7CB1" w14:paraId="1385C6BD"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4C9CCD53" w14:textId="77777777" w:rsidR="00E732FA" w:rsidRPr="003C7CB1" w:rsidRDefault="00E732FA" w:rsidP="00E732FA">
            <w:pPr>
              <w:spacing w:after="120" w:line="240" w:lineRule="auto"/>
              <w:rPr>
                <w:rFonts w:eastAsia="Calibri" w:cs="Arial"/>
                <w:b/>
                <w:bCs/>
              </w:rPr>
            </w:pPr>
            <w:r w:rsidRPr="003C7CB1">
              <w:rPr>
                <w:rFonts w:eastAsia="Calibri" w:cs="Arial"/>
                <w:b/>
                <w:bCs/>
              </w:rPr>
              <w:t xml:space="preserve">Montenegro </w:t>
            </w:r>
          </w:p>
        </w:tc>
        <w:tc>
          <w:tcPr>
            <w:tcW w:w="1981" w:type="pct"/>
            <w:tcBorders>
              <w:top w:val="nil"/>
              <w:left w:val="nil"/>
              <w:bottom w:val="single" w:sz="4" w:space="0" w:color="auto"/>
              <w:right w:val="single" w:sz="4" w:space="0" w:color="auto"/>
            </w:tcBorders>
            <w:noWrap/>
            <w:vAlign w:val="center"/>
          </w:tcPr>
          <w:p w14:paraId="367DCF48" w14:textId="77777777" w:rsidR="00E732FA" w:rsidRPr="003C7CB1" w:rsidRDefault="00E732FA" w:rsidP="00E732FA">
            <w:pPr>
              <w:spacing w:after="120" w:line="240" w:lineRule="auto"/>
              <w:jc w:val="center"/>
              <w:rPr>
                <w:rFonts w:eastAsia="Calibri" w:cs="Arial"/>
                <w:b/>
                <w:bCs/>
              </w:rPr>
            </w:pPr>
            <w:r w:rsidRPr="003C7CB1">
              <w:rPr>
                <w:rFonts w:eastAsia="Calibri" w:cs="Arial"/>
                <w:b/>
                <w:bCs/>
              </w:rPr>
              <w:t xml:space="preserve">67 </w:t>
            </w:r>
          </w:p>
        </w:tc>
      </w:tr>
      <w:tr w:rsidR="00E732FA" w:rsidRPr="003C7CB1" w14:paraId="243EAA95"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0E260260" w14:textId="77777777" w:rsidR="00E732FA" w:rsidRPr="003C7CB1" w:rsidRDefault="00E732FA" w:rsidP="00E732FA">
            <w:pPr>
              <w:spacing w:after="120" w:line="240" w:lineRule="auto"/>
              <w:rPr>
                <w:rFonts w:eastAsia="Calibri" w:cs="Arial"/>
              </w:rPr>
            </w:pPr>
            <w:r w:rsidRPr="003C7CB1">
              <w:rPr>
                <w:rFonts w:eastAsia="Calibri" w:cs="Arial"/>
              </w:rPr>
              <w:t xml:space="preserve">Albania </w:t>
            </w:r>
          </w:p>
        </w:tc>
        <w:tc>
          <w:tcPr>
            <w:tcW w:w="1981" w:type="pct"/>
            <w:tcBorders>
              <w:top w:val="nil"/>
              <w:left w:val="nil"/>
              <w:bottom w:val="single" w:sz="4" w:space="0" w:color="auto"/>
              <w:right w:val="single" w:sz="4" w:space="0" w:color="auto"/>
            </w:tcBorders>
            <w:noWrap/>
            <w:vAlign w:val="center"/>
          </w:tcPr>
          <w:p w14:paraId="6335DBD0"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86 </w:t>
            </w:r>
          </w:p>
        </w:tc>
      </w:tr>
      <w:tr w:rsidR="00E732FA" w:rsidRPr="003C7CB1" w14:paraId="647855A1"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1322DED0" w14:textId="77777777" w:rsidR="00E732FA" w:rsidRPr="003C7CB1" w:rsidRDefault="00E732FA" w:rsidP="00E732FA">
            <w:pPr>
              <w:spacing w:after="120" w:line="240" w:lineRule="auto"/>
              <w:rPr>
                <w:rFonts w:eastAsia="Calibri" w:cs="Arial"/>
              </w:rPr>
            </w:pPr>
            <w:r w:rsidRPr="003C7CB1">
              <w:rPr>
                <w:rFonts w:eastAsia="Calibri" w:cs="Arial"/>
              </w:rPr>
              <w:t xml:space="preserve">Bosnia and Herzegovina </w:t>
            </w:r>
          </w:p>
        </w:tc>
        <w:tc>
          <w:tcPr>
            <w:tcW w:w="1981" w:type="pct"/>
            <w:tcBorders>
              <w:top w:val="nil"/>
              <w:left w:val="nil"/>
              <w:bottom w:val="single" w:sz="4" w:space="0" w:color="auto"/>
              <w:right w:val="single" w:sz="4" w:space="0" w:color="auto"/>
            </w:tcBorders>
            <w:noWrap/>
            <w:vAlign w:val="center"/>
          </w:tcPr>
          <w:p w14:paraId="3BCA8C62"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105 </w:t>
            </w:r>
          </w:p>
        </w:tc>
      </w:tr>
      <w:tr w:rsidR="00E732FA" w:rsidRPr="003C7CB1" w14:paraId="0C04642D"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7779ED02" w14:textId="77777777" w:rsidR="00E732FA" w:rsidRPr="003C7CB1" w:rsidRDefault="00E732FA" w:rsidP="00E732FA">
            <w:pPr>
              <w:spacing w:after="120" w:line="240" w:lineRule="auto"/>
              <w:rPr>
                <w:rFonts w:eastAsia="Calibri" w:cs="Arial"/>
              </w:rPr>
            </w:pPr>
            <w:r w:rsidRPr="003C7CB1">
              <w:rPr>
                <w:rFonts w:eastAsia="Calibri" w:cs="Arial"/>
              </w:rPr>
              <w:t xml:space="preserve">Greece </w:t>
            </w:r>
          </w:p>
        </w:tc>
        <w:tc>
          <w:tcPr>
            <w:tcW w:w="1981" w:type="pct"/>
            <w:tcBorders>
              <w:top w:val="nil"/>
              <w:left w:val="nil"/>
              <w:bottom w:val="single" w:sz="4" w:space="0" w:color="auto"/>
              <w:right w:val="single" w:sz="4" w:space="0" w:color="auto"/>
            </w:tcBorders>
            <w:noWrap/>
            <w:vAlign w:val="center"/>
          </w:tcPr>
          <w:p w14:paraId="1B8658AB"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25 </w:t>
            </w:r>
          </w:p>
        </w:tc>
      </w:tr>
      <w:tr w:rsidR="00E732FA" w:rsidRPr="003C7CB1" w14:paraId="22340019"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1F83D3D6" w14:textId="77777777" w:rsidR="00E732FA" w:rsidRPr="003C7CB1" w:rsidRDefault="00E732FA" w:rsidP="00E732FA">
            <w:pPr>
              <w:spacing w:after="120" w:line="240" w:lineRule="auto"/>
              <w:rPr>
                <w:rFonts w:eastAsia="Calibri" w:cs="Arial"/>
              </w:rPr>
            </w:pPr>
            <w:r w:rsidRPr="003C7CB1">
              <w:rPr>
                <w:rFonts w:eastAsia="Calibri" w:cs="Arial"/>
              </w:rPr>
              <w:t xml:space="preserve">Croatia </w:t>
            </w:r>
          </w:p>
        </w:tc>
        <w:tc>
          <w:tcPr>
            <w:tcW w:w="1981" w:type="pct"/>
            <w:tcBorders>
              <w:top w:val="nil"/>
              <w:left w:val="nil"/>
              <w:bottom w:val="single" w:sz="4" w:space="0" w:color="auto"/>
              <w:right w:val="single" w:sz="4" w:space="0" w:color="auto"/>
            </w:tcBorders>
            <w:noWrap/>
            <w:vAlign w:val="center"/>
          </w:tcPr>
          <w:p w14:paraId="1F628924"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27 </w:t>
            </w:r>
          </w:p>
        </w:tc>
      </w:tr>
      <w:tr w:rsidR="00E732FA" w:rsidRPr="003C7CB1" w14:paraId="3ABDECD9"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3FF486A4" w14:textId="77777777" w:rsidR="00E732FA" w:rsidRPr="003C7CB1" w:rsidRDefault="00E732FA" w:rsidP="00E732FA">
            <w:pPr>
              <w:spacing w:after="120" w:line="240" w:lineRule="auto"/>
              <w:rPr>
                <w:rFonts w:eastAsia="Calibri" w:cs="Arial"/>
              </w:rPr>
            </w:pPr>
            <w:r w:rsidRPr="003C7CB1">
              <w:rPr>
                <w:rFonts w:eastAsia="Calibri" w:cs="Arial"/>
              </w:rPr>
              <w:t xml:space="preserve">Italy </w:t>
            </w:r>
          </w:p>
        </w:tc>
        <w:tc>
          <w:tcPr>
            <w:tcW w:w="1981" w:type="pct"/>
            <w:tcBorders>
              <w:top w:val="nil"/>
              <w:left w:val="nil"/>
              <w:bottom w:val="single" w:sz="4" w:space="0" w:color="auto"/>
              <w:right w:val="single" w:sz="4" w:space="0" w:color="auto"/>
            </w:tcBorders>
            <w:noWrap/>
            <w:vAlign w:val="center"/>
          </w:tcPr>
          <w:p w14:paraId="22DE06F7"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8 </w:t>
            </w:r>
          </w:p>
        </w:tc>
      </w:tr>
      <w:tr w:rsidR="00E732FA" w:rsidRPr="003C7CB1" w14:paraId="0E0B1252"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233426BD" w14:textId="77777777" w:rsidR="00E732FA" w:rsidRPr="003C7CB1" w:rsidRDefault="00E732FA" w:rsidP="00E732FA">
            <w:pPr>
              <w:spacing w:after="120" w:line="240" w:lineRule="auto"/>
              <w:rPr>
                <w:rFonts w:eastAsia="Calibri" w:cs="Arial"/>
              </w:rPr>
            </w:pPr>
            <w:r w:rsidRPr="003C7CB1">
              <w:rPr>
                <w:rFonts w:eastAsia="Calibri" w:cs="Arial"/>
              </w:rPr>
              <w:t xml:space="preserve">North Macedonia  </w:t>
            </w:r>
          </w:p>
        </w:tc>
        <w:tc>
          <w:tcPr>
            <w:tcW w:w="1981" w:type="pct"/>
            <w:tcBorders>
              <w:top w:val="nil"/>
              <w:left w:val="nil"/>
              <w:bottom w:val="single" w:sz="4" w:space="0" w:color="auto"/>
              <w:right w:val="single" w:sz="4" w:space="0" w:color="auto"/>
            </w:tcBorders>
            <w:noWrap/>
            <w:vAlign w:val="center"/>
          </w:tcPr>
          <w:p w14:paraId="22BED556"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101 </w:t>
            </w:r>
          </w:p>
        </w:tc>
      </w:tr>
      <w:tr w:rsidR="00E732FA" w:rsidRPr="003C7CB1" w14:paraId="0D670A2E"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59CA919B" w14:textId="77777777" w:rsidR="00E732FA" w:rsidRPr="003C7CB1" w:rsidRDefault="00E732FA" w:rsidP="00E732FA">
            <w:pPr>
              <w:spacing w:after="120" w:line="240" w:lineRule="auto"/>
              <w:rPr>
                <w:rFonts w:eastAsia="Calibri" w:cs="Arial"/>
              </w:rPr>
            </w:pPr>
            <w:r w:rsidRPr="003C7CB1">
              <w:rPr>
                <w:rFonts w:eastAsia="Calibri" w:cs="Arial"/>
              </w:rPr>
              <w:t xml:space="preserve">Slovenia </w:t>
            </w:r>
          </w:p>
        </w:tc>
        <w:tc>
          <w:tcPr>
            <w:tcW w:w="1981" w:type="pct"/>
            <w:tcBorders>
              <w:top w:val="nil"/>
              <w:left w:val="nil"/>
              <w:bottom w:val="single" w:sz="4" w:space="0" w:color="auto"/>
              <w:right w:val="single" w:sz="4" w:space="0" w:color="auto"/>
            </w:tcBorders>
            <w:noWrap/>
            <w:vAlign w:val="center"/>
          </w:tcPr>
          <w:p w14:paraId="4B40BB87"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36 </w:t>
            </w:r>
          </w:p>
        </w:tc>
      </w:tr>
      <w:tr w:rsidR="00E732FA" w:rsidRPr="003C7CB1" w14:paraId="7489300B" w14:textId="77777777" w:rsidTr="00E732FA">
        <w:trPr>
          <w:trHeight w:val="402"/>
          <w:jc w:val="center"/>
        </w:trPr>
        <w:tc>
          <w:tcPr>
            <w:tcW w:w="3019" w:type="pct"/>
            <w:tcBorders>
              <w:top w:val="nil"/>
              <w:left w:val="single" w:sz="4" w:space="0" w:color="auto"/>
              <w:bottom w:val="single" w:sz="4" w:space="0" w:color="auto"/>
              <w:right w:val="single" w:sz="4" w:space="0" w:color="auto"/>
            </w:tcBorders>
            <w:noWrap/>
            <w:vAlign w:val="center"/>
          </w:tcPr>
          <w:p w14:paraId="44FE3BE9" w14:textId="77777777" w:rsidR="00E732FA" w:rsidRPr="003C7CB1" w:rsidRDefault="00E732FA" w:rsidP="00E732FA">
            <w:pPr>
              <w:spacing w:after="120" w:line="240" w:lineRule="auto"/>
              <w:rPr>
                <w:rFonts w:eastAsia="Calibri" w:cs="Arial"/>
              </w:rPr>
            </w:pPr>
            <w:r w:rsidRPr="003C7CB1">
              <w:rPr>
                <w:rFonts w:eastAsia="Calibri" w:cs="Arial"/>
              </w:rPr>
              <w:t xml:space="preserve">Serbia </w:t>
            </w:r>
          </w:p>
        </w:tc>
        <w:tc>
          <w:tcPr>
            <w:tcW w:w="1981" w:type="pct"/>
            <w:tcBorders>
              <w:top w:val="nil"/>
              <w:left w:val="nil"/>
              <w:bottom w:val="single" w:sz="4" w:space="0" w:color="auto"/>
              <w:right w:val="single" w:sz="4" w:space="0" w:color="auto"/>
            </w:tcBorders>
            <w:noWrap/>
            <w:vAlign w:val="center"/>
          </w:tcPr>
          <w:p w14:paraId="684D3222" w14:textId="77777777" w:rsidR="00E732FA" w:rsidRPr="003C7CB1" w:rsidRDefault="00E732FA" w:rsidP="00E732FA">
            <w:pPr>
              <w:spacing w:after="120" w:line="240" w:lineRule="auto"/>
              <w:jc w:val="center"/>
              <w:rPr>
                <w:rFonts w:eastAsia="Calibri" w:cs="Arial"/>
              </w:rPr>
            </w:pPr>
            <w:r w:rsidRPr="003C7CB1">
              <w:rPr>
                <w:rFonts w:eastAsia="Calibri" w:cs="Arial"/>
              </w:rPr>
              <w:t xml:space="preserve">83 </w:t>
            </w:r>
          </w:p>
        </w:tc>
      </w:tr>
    </w:tbl>
    <w:p w14:paraId="4E051333" w14:textId="77777777" w:rsidR="00E732FA" w:rsidRPr="003C7CB1" w:rsidRDefault="00E732FA" w:rsidP="00E732FA">
      <w:pPr>
        <w:spacing w:after="120" w:line="240" w:lineRule="auto"/>
        <w:jc w:val="both"/>
        <w:rPr>
          <w:rFonts w:cstheme="minorHAnsi"/>
          <w:i/>
          <w:sz w:val="20"/>
          <w:szCs w:val="20"/>
        </w:rPr>
      </w:pPr>
      <w:r w:rsidRPr="003C7CB1">
        <w:rPr>
          <w:rFonts w:cstheme="minorHAnsi"/>
          <w:i/>
          <w:sz w:val="20"/>
          <w:szCs w:val="20"/>
        </w:rPr>
        <w:t>Source: World Economic Forum, https://</w:t>
      </w:r>
      <w:r w:rsidRPr="003C7CB1">
        <w:rPr>
          <w:sz w:val="20"/>
          <w:szCs w:val="20"/>
        </w:rPr>
        <w:t xml:space="preserve"> </w:t>
      </w:r>
      <w:hyperlink r:id="rId11" w:history="1">
        <w:r w:rsidRPr="003C7CB1">
          <w:rPr>
            <w:rStyle w:val="Hyperlink"/>
            <w:rFonts w:cstheme="minorHAnsi"/>
            <w:i/>
            <w:sz w:val="20"/>
            <w:szCs w:val="20"/>
          </w:rPr>
          <w:t>https://reports.weforum.org/travel-and-tourism-competitiveness-report-2019/rankings/</w:t>
        </w:r>
      </w:hyperlink>
      <w:r w:rsidRPr="003C7CB1">
        <w:rPr>
          <w:rFonts w:cstheme="minorHAnsi"/>
          <w:i/>
          <w:sz w:val="20"/>
          <w:szCs w:val="20"/>
        </w:rPr>
        <w:t xml:space="preserve">  </w:t>
      </w:r>
    </w:p>
    <w:p w14:paraId="33BE7973" w14:textId="77777777" w:rsidR="00E732FA" w:rsidRPr="003C7CB1" w:rsidRDefault="00E732FA" w:rsidP="00E732FA">
      <w:pPr>
        <w:spacing w:after="0" w:line="240" w:lineRule="auto"/>
        <w:rPr>
          <w:rFonts w:cs="Arial"/>
          <w:b/>
          <w:sz w:val="24"/>
          <w:szCs w:val="24"/>
        </w:rPr>
      </w:pPr>
    </w:p>
    <w:p w14:paraId="2D45F62A" w14:textId="77777777" w:rsidR="00E732FA" w:rsidRPr="003C7CB1" w:rsidRDefault="00E732FA" w:rsidP="00E732FA">
      <w:bookmarkStart w:id="11" w:name="_Toc91286153"/>
      <w:r w:rsidRPr="003C7CB1">
        <w:rPr>
          <w:noProof/>
        </w:rPr>
        <w:lastRenderedPageBreak/>
        <w:drawing>
          <wp:inline distT="0" distB="0" distL="0" distR="0" wp14:anchorId="707C4B46" wp14:editId="73269B0E">
            <wp:extent cx="5684256" cy="8040471"/>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4256" cy="8040471"/>
                    </a:xfrm>
                    <a:prstGeom prst="rect">
                      <a:avLst/>
                    </a:prstGeom>
                  </pic:spPr>
                </pic:pic>
              </a:graphicData>
            </a:graphic>
          </wp:inline>
        </w:drawing>
      </w:r>
    </w:p>
    <w:tbl>
      <w:tblPr>
        <w:tblW w:w="0" w:type="auto"/>
        <w:tblLook w:val="04A0" w:firstRow="1" w:lastRow="0" w:firstColumn="1" w:lastColumn="0" w:noHBand="0" w:noVBand="1"/>
      </w:tblPr>
      <w:tblGrid>
        <w:gridCol w:w="9027"/>
      </w:tblGrid>
      <w:tr w:rsidR="00E732FA" w:rsidRPr="003C7CB1" w14:paraId="00749CC8" w14:textId="77777777" w:rsidTr="00E732FA">
        <w:tc>
          <w:tcPr>
            <w:tcW w:w="9027" w:type="dxa"/>
            <w:shd w:val="clear" w:color="auto" w:fill="auto"/>
          </w:tcPr>
          <w:p w14:paraId="70016460" w14:textId="77777777" w:rsidR="00E732FA" w:rsidRPr="003C7CB1" w:rsidRDefault="00E732FA" w:rsidP="00E732FA">
            <w:pPr>
              <w:pStyle w:val="Heading1"/>
              <w:numPr>
                <w:ilvl w:val="0"/>
                <w:numId w:val="70"/>
              </w:numPr>
              <w:spacing w:before="0" w:after="120" w:line="276" w:lineRule="auto"/>
              <w:rPr>
                <w:color w:val="000000"/>
                <w:lang w:eastAsia="hr-HR"/>
              </w:rPr>
            </w:pPr>
            <w:bookmarkStart w:id="12" w:name="_Toc102133786"/>
            <w:bookmarkStart w:id="13" w:name="_Toc104544170"/>
            <w:bookmarkEnd w:id="11"/>
            <w:r w:rsidRPr="003C7CB1">
              <w:rPr>
                <w:lang w:eastAsia="hr-HR"/>
              </w:rPr>
              <w:lastRenderedPageBreak/>
              <w:t>SITUATION ANALYSIS</w:t>
            </w:r>
            <w:bookmarkEnd w:id="12"/>
            <w:bookmarkEnd w:id="13"/>
            <w:r w:rsidRPr="003C7CB1">
              <w:rPr>
                <w:lang w:eastAsia="hr-HR"/>
              </w:rPr>
              <w:t xml:space="preserve"> </w:t>
            </w:r>
          </w:p>
        </w:tc>
      </w:tr>
    </w:tbl>
    <w:p w14:paraId="14AF5955" w14:textId="77777777" w:rsidR="00E732FA" w:rsidRPr="003C7CB1" w:rsidRDefault="00E732FA" w:rsidP="00E732FA">
      <w:pPr>
        <w:pStyle w:val="Heading2"/>
        <w:spacing w:before="0" w:after="120" w:line="276" w:lineRule="auto"/>
        <w:rPr>
          <w:lang w:eastAsia="hr-HR"/>
        </w:rPr>
      </w:pPr>
      <w:bookmarkStart w:id="14" w:name="_Toc91286154"/>
      <w:bookmarkStart w:id="15" w:name="_Toc95302996"/>
      <w:bookmarkStart w:id="16" w:name="_Toc102133787"/>
      <w:bookmarkStart w:id="17" w:name="_Toc104544171"/>
      <w:r w:rsidRPr="003C7CB1">
        <w:rPr>
          <w:lang w:eastAsia="hr-HR"/>
        </w:rPr>
        <w:t xml:space="preserve">2.1. </w:t>
      </w:r>
      <w:bookmarkEnd w:id="14"/>
      <w:bookmarkEnd w:id="15"/>
      <w:r w:rsidRPr="003C7CB1">
        <w:rPr>
          <w:lang w:eastAsia="hr-HR"/>
        </w:rPr>
        <w:t>Implementation of the Montenegro Tourism Development Strategy until 2020</w:t>
      </w:r>
      <w:bookmarkEnd w:id="16"/>
      <w:bookmarkEnd w:id="17"/>
      <w:r w:rsidRPr="003C7CB1">
        <w:rPr>
          <w:lang w:eastAsia="hr-HR"/>
        </w:rPr>
        <w:t xml:space="preserve"> </w:t>
      </w:r>
    </w:p>
    <w:p w14:paraId="2602DFF5" w14:textId="3D83C338" w:rsidR="00E732FA" w:rsidRPr="003C7CB1" w:rsidRDefault="00E732FA" w:rsidP="00E732FA">
      <w:pPr>
        <w:spacing w:after="120" w:line="240" w:lineRule="auto"/>
        <w:jc w:val="both"/>
        <w:rPr>
          <w:rFonts w:cs="Arial"/>
          <w:sz w:val="24"/>
          <w:szCs w:val="24"/>
        </w:rPr>
      </w:pPr>
      <w:r w:rsidRPr="003C7CB1">
        <w:rPr>
          <w:rFonts w:cs="Arial"/>
          <w:sz w:val="24"/>
          <w:szCs w:val="24"/>
        </w:rPr>
        <w:t xml:space="preserve">The Montenegro Tourism Development Strategy until 2020 was adopted by the Government of Montenegro in December 2008, and it defined a strategic goal which reads: “By applying the principles and sustainable development goals, Montenegro will create a strong position of a global high-quality tourist destination, tourism will provide the Montenegrin population with enough jobs and raise living standards, and the country will generate revenue in a stable and reliable way.” </w:t>
      </w:r>
      <w:r w:rsidR="00765B94">
        <w:rPr>
          <w:rFonts w:cs="Arial"/>
          <w:sz w:val="24"/>
          <w:szCs w:val="24"/>
        </w:rPr>
        <w:t xml:space="preserve">                                                                                                   </w:t>
      </w:r>
    </w:p>
    <w:p w14:paraId="57568352" w14:textId="72F29DA3" w:rsidR="00E732FA" w:rsidRPr="003C7CB1" w:rsidRDefault="00E732FA" w:rsidP="00E732FA">
      <w:pPr>
        <w:spacing w:after="120" w:line="240" w:lineRule="auto"/>
        <w:jc w:val="both"/>
        <w:rPr>
          <w:rFonts w:cs="Arial"/>
          <w:sz w:val="24"/>
          <w:szCs w:val="24"/>
        </w:rPr>
      </w:pPr>
      <w:r w:rsidRPr="003C7CB1">
        <w:rPr>
          <w:rFonts w:cs="Arial"/>
          <w:sz w:val="24"/>
          <w:szCs w:val="24"/>
        </w:rPr>
        <w:t xml:space="preserve">In order to achieve this goal, the Strategy also includes an Action Plan with holders of responsibility. The </w:t>
      </w:r>
      <w:r w:rsidR="003066A4">
        <w:rPr>
          <w:rFonts w:cs="Arial"/>
          <w:sz w:val="24"/>
          <w:szCs w:val="24"/>
        </w:rPr>
        <w:t>A</w:t>
      </w:r>
      <w:r w:rsidRPr="003C7CB1">
        <w:rPr>
          <w:rFonts w:cs="Arial"/>
          <w:sz w:val="24"/>
          <w:szCs w:val="24"/>
        </w:rPr>
        <w:t xml:space="preserve">ction </w:t>
      </w:r>
      <w:r w:rsidR="003066A4">
        <w:rPr>
          <w:rFonts w:cs="Arial"/>
          <w:sz w:val="24"/>
          <w:szCs w:val="24"/>
        </w:rPr>
        <w:t>P</w:t>
      </w:r>
      <w:r w:rsidRPr="003C7CB1">
        <w:rPr>
          <w:rFonts w:cs="Arial"/>
          <w:sz w:val="24"/>
          <w:szCs w:val="24"/>
        </w:rPr>
        <w:t xml:space="preserve">lan contained five operational </w:t>
      </w:r>
      <w:r w:rsidR="00C65FFD">
        <w:rPr>
          <w:rFonts w:cs="Arial"/>
          <w:sz w:val="24"/>
          <w:szCs w:val="24"/>
        </w:rPr>
        <w:t>goal</w:t>
      </w:r>
      <w:r w:rsidRPr="003C7CB1">
        <w:rPr>
          <w:rFonts w:cs="Arial"/>
          <w:sz w:val="24"/>
          <w:szCs w:val="24"/>
        </w:rPr>
        <w:t xml:space="preserve">s (with measures and priorities), as follows: </w:t>
      </w:r>
    </w:p>
    <w:p w14:paraId="2CF8C3A9" w14:textId="77777777" w:rsidR="00E732FA" w:rsidRPr="003C7CB1" w:rsidRDefault="00E732FA" w:rsidP="00E732FA">
      <w:pPr>
        <w:numPr>
          <w:ilvl w:val="0"/>
          <w:numId w:val="5"/>
        </w:numPr>
        <w:spacing w:after="120" w:line="240" w:lineRule="auto"/>
        <w:ind w:left="630"/>
        <w:jc w:val="both"/>
        <w:rPr>
          <w:rFonts w:eastAsia="Times New Roman" w:cs="Arial"/>
          <w:sz w:val="24"/>
          <w:szCs w:val="24"/>
        </w:rPr>
      </w:pPr>
      <w:r w:rsidRPr="003C7CB1">
        <w:rPr>
          <w:rFonts w:eastAsia="Times New Roman" w:cs="Arial"/>
          <w:sz w:val="24"/>
          <w:szCs w:val="24"/>
        </w:rPr>
        <w:t xml:space="preserve">Montenegro develops tourist and accompanying infrastructure with the aim of achieving the strategic goal;  </w:t>
      </w:r>
    </w:p>
    <w:p w14:paraId="5E76E48A" w14:textId="77777777" w:rsidR="00E732FA" w:rsidRPr="003C7CB1" w:rsidRDefault="00E732FA" w:rsidP="00E732FA">
      <w:pPr>
        <w:numPr>
          <w:ilvl w:val="0"/>
          <w:numId w:val="5"/>
        </w:numPr>
        <w:spacing w:after="120" w:line="240" w:lineRule="auto"/>
        <w:ind w:left="630"/>
        <w:jc w:val="both"/>
        <w:rPr>
          <w:rFonts w:eastAsia="Times New Roman" w:cs="Arial"/>
          <w:sz w:val="24"/>
          <w:szCs w:val="24"/>
        </w:rPr>
      </w:pPr>
      <w:r w:rsidRPr="003C7CB1">
        <w:rPr>
          <w:rFonts w:eastAsia="Times New Roman" w:cs="Arial"/>
          <w:sz w:val="24"/>
          <w:szCs w:val="24"/>
        </w:rPr>
        <w:t xml:space="preserve">Montenegro forms a special, unique sales offer; </w:t>
      </w:r>
    </w:p>
    <w:p w14:paraId="122A5A2D" w14:textId="77777777" w:rsidR="00E732FA" w:rsidRPr="003C7CB1" w:rsidRDefault="00E732FA" w:rsidP="00E732FA">
      <w:pPr>
        <w:numPr>
          <w:ilvl w:val="0"/>
          <w:numId w:val="5"/>
        </w:numPr>
        <w:spacing w:after="120" w:line="240" w:lineRule="auto"/>
        <w:ind w:left="630"/>
        <w:jc w:val="both"/>
        <w:rPr>
          <w:rFonts w:eastAsia="Times New Roman" w:cs="Arial"/>
          <w:sz w:val="24"/>
          <w:szCs w:val="24"/>
        </w:rPr>
      </w:pPr>
      <w:r w:rsidRPr="003C7CB1">
        <w:rPr>
          <w:rFonts w:eastAsia="Times New Roman" w:cs="Arial"/>
          <w:sz w:val="24"/>
          <w:szCs w:val="24"/>
        </w:rPr>
        <w:t xml:space="preserve">Montenegro is known and accepted as a “year-round” tourist destination; </w:t>
      </w:r>
    </w:p>
    <w:p w14:paraId="7DD2343B" w14:textId="77777777" w:rsidR="00E732FA" w:rsidRPr="003C7CB1" w:rsidRDefault="00E732FA" w:rsidP="00E732FA">
      <w:pPr>
        <w:numPr>
          <w:ilvl w:val="0"/>
          <w:numId w:val="5"/>
        </w:numPr>
        <w:spacing w:after="120" w:line="240" w:lineRule="auto"/>
        <w:ind w:left="630"/>
        <w:jc w:val="both"/>
        <w:rPr>
          <w:rFonts w:eastAsia="Times New Roman" w:cs="Arial"/>
          <w:sz w:val="24"/>
          <w:szCs w:val="24"/>
        </w:rPr>
      </w:pPr>
      <w:r w:rsidRPr="003C7CB1">
        <w:rPr>
          <w:rFonts w:eastAsia="Times New Roman" w:cs="Arial"/>
          <w:sz w:val="24"/>
          <w:szCs w:val="24"/>
        </w:rPr>
        <w:t xml:space="preserve">Institutional and legal framework meets the requirements of successful and sustainable tourism development; </w:t>
      </w:r>
    </w:p>
    <w:p w14:paraId="042AAB01" w14:textId="77777777" w:rsidR="00E732FA" w:rsidRPr="003C7CB1" w:rsidRDefault="00E732FA" w:rsidP="00E732FA">
      <w:pPr>
        <w:numPr>
          <w:ilvl w:val="0"/>
          <w:numId w:val="5"/>
        </w:numPr>
        <w:spacing w:after="120" w:line="240" w:lineRule="auto"/>
        <w:ind w:left="630"/>
        <w:jc w:val="both"/>
        <w:rPr>
          <w:rFonts w:eastAsia="Times New Roman" w:cs="Arial"/>
          <w:sz w:val="24"/>
          <w:szCs w:val="24"/>
        </w:rPr>
      </w:pPr>
      <w:r w:rsidRPr="003C7CB1">
        <w:rPr>
          <w:rFonts w:eastAsia="Times New Roman" w:cs="Arial"/>
          <w:sz w:val="24"/>
          <w:szCs w:val="24"/>
        </w:rPr>
        <w:t xml:space="preserve">The local population is increasingly involved in the tourism industry (“internal marketing”). </w:t>
      </w:r>
    </w:p>
    <w:p w14:paraId="73EF0AAB"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Taking into account that the Montenegro Tourism Development Strategy until 2020 did not contain indicators on the implementation of individual measures, and sources of financing, it made it impossible to determine the degree of implementation of the Action Plan for the twelve-year period of the strategic document.</w:t>
      </w:r>
      <w:r w:rsidRPr="003C7CB1">
        <w:t xml:space="preserve"> </w:t>
      </w:r>
      <w:r w:rsidRPr="003C7CB1">
        <w:rPr>
          <w:rFonts w:eastAsia="Times New Roman" w:cs="Arial"/>
          <w:sz w:val="24"/>
          <w:szCs w:val="24"/>
        </w:rPr>
        <w:t>In the implementation analysis of the Action Plan of the Montenegro Tourism Development Strategy until 2020, the following was stated:</w:t>
      </w:r>
    </w:p>
    <w:p w14:paraId="34794300"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unsatisfactory condition of infrastructure related to traffic accessibility, water supply, quality of maintenance and improvement of the energy network, etc., as well as waste separation and disposal; </w:t>
      </w:r>
    </w:p>
    <w:p w14:paraId="2B0C1AA9" w14:textId="09440232"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regional inequality of tourist offer (at the annual level, on average, 95% of touris</w:t>
      </w:r>
      <w:r w:rsidR="00C00A99">
        <w:rPr>
          <w:rFonts w:cs="Arial"/>
          <w:sz w:val="24"/>
          <w:szCs w:val="24"/>
        </w:rPr>
        <w:t xml:space="preserve">m turnover </w:t>
      </w:r>
      <w:r w:rsidRPr="003C7CB1">
        <w:rPr>
          <w:rFonts w:cs="Arial"/>
          <w:sz w:val="24"/>
          <w:szCs w:val="24"/>
        </w:rPr>
        <w:t xml:space="preserve">is generated in the coastal region of Montenegro, and as much as 40% of accommodation facilities are located only in the municipality of </w:t>
      </w:r>
      <w:proofErr w:type="spellStart"/>
      <w:r w:rsidRPr="003C7CB1">
        <w:rPr>
          <w:rFonts w:cs="Arial"/>
          <w:sz w:val="24"/>
          <w:szCs w:val="24"/>
        </w:rPr>
        <w:t>Budva</w:t>
      </w:r>
      <w:proofErr w:type="spellEnd"/>
      <w:r w:rsidRPr="003C7CB1">
        <w:rPr>
          <w:rFonts w:cs="Arial"/>
          <w:sz w:val="24"/>
          <w:szCs w:val="24"/>
        </w:rPr>
        <w:t xml:space="preserve">; regional imbalance in the development of tourist offer is characterized by excessive reliance on the coast and seasonal tourism); </w:t>
      </w:r>
    </w:p>
    <w:p w14:paraId="0A67A010" w14:textId="3F3AFF2A"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high seasonality in the business of the tourism industry (at the annual level, on average, 70% of the touris</w:t>
      </w:r>
      <w:r w:rsidR="00C00A99">
        <w:rPr>
          <w:rFonts w:cs="Arial"/>
          <w:sz w:val="24"/>
          <w:szCs w:val="24"/>
        </w:rPr>
        <w:t>m turnover</w:t>
      </w:r>
      <w:r w:rsidRPr="003C7CB1">
        <w:rPr>
          <w:rFonts w:cs="Arial"/>
          <w:sz w:val="24"/>
          <w:szCs w:val="24"/>
        </w:rPr>
        <w:t xml:space="preserve"> is generated in the period June-August); </w:t>
      </w:r>
    </w:p>
    <w:p w14:paraId="4474310C"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a significant share of the gray economy in all segments of tourism (it is estimated that approximately 1/3 of GDP is generated in the informal business zone, i.e., 26-31%</w:t>
      </w:r>
      <w:r w:rsidRPr="003C7CB1">
        <w:rPr>
          <w:rStyle w:val="FootnoteReference"/>
          <w:rFonts w:cstheme="minorHAnsi"/>
          <w:sz w:val="24"/>
          <w:szCs w:val="24"/>
        </w:rPr>
        <w:footnoteReference w:id="17"/>
      </w:r>
      <w:r w:rsidRPr="003C7CB1">
        <w:rPr>
          <w:rFonts w:cs="Arial"/>
          <w:sz w:val="24"/>
          <w:szCs w:val="24"/>
        </w:rPr>
        <w:t xml:space="preserve">); </w:t>
      </w:r>
    </w:p>
    <w:p w14:paraId="388A6BC8" w14:textId="3CD319B0"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unsatisfactory level of service quality and education of staff in tourism, which requires additional efforts to improve kno</w:t>
      </w:r>
      <w:r w:rsidR="003C7CB1">
        <w:rPr>
          <w:rFonts w:cs="Arial"/>
          <w:sz w:val="24"/>
          <w:szCs w:val="24"/>
        </w:rPr>
        <w:t xml:space="preserve">wledge, professional abilities </w:t>
      </w:r>
      <w:r w:rsidRPr="003C7CB1">
        <w:rPr>
          <w:rFonts w:cs="Arial"/>
          <w:sz w:val="24"/>
          <w:szCs w:val="24"/>
        </w:rPr>
        <w:t xml:space="preserve">and a set of skills, such as communication skills, knowledge of English and other foreign languages, education of </w:t>
      </w:r>
      <w:r w:rsidRPr="003C7CB1">
        <w:rPr>
          <w:rFonts w:cs="Arial"/>
          <w:sz w:val="24"/>
          <w:szCs w:val="24"/>
        </w:rPr>
        <w:lastRenderedPageBreak/>
        <w:t xml:space="preserve">local people about tourism potentials, in order to actively participate in creating tourist experiences;  </w:t>
      </w:r>
    </w:p>
    <w:p w14:paraId="3155AA01" w14:textId="296AFB8E"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the need to expand the scope of the methodology for collecting statistical data by the Statistical Office - MONSTAT and the accuracy of this methodology, in order to obtain accurate data on touris</w:t>
      </w:r>
      <w:r w:rsidR="00F66FD4">
        <w:rPr>
          <w:rFonts w:cs="Arial"/>
          <w:sz w:val="24"/>
          <w:szCs w:val="24"/>
        </w:rPr>
        <w:t>m turnover</w:t>
      </w:r>
      <w:r w:rsidRPr="003C7CB1">
        <w:rPr>
          <w:rFonts w:cs="Arial"/>
          <w:sz w:val="24"/>
          <w:szCs w:val="24"/>
        </w:rPr>
        <w:t xml:space="preserve"> in real time, in all types of accommodation; </w:t>
      </w:r>
    </w:p>
    <w:p w14:paraId="3E67B3BE"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insufficient number of high quality hospitality facilities; </w:t>
      </w:r>
    </w:p>
    <w:p w14:paraId="2B674F86"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limited marketing impact, inadequate and insufficient promotion of the destination, where special attention is paid to the lack of a recognizable destination brand, but also to the need to strengthen public-private partnerships in this segment; </w:t>
      </w:r>
    </w:p>
    <w:p w14:paraId="356296CE"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inefficient destination management and devastation of space due to unplanned construction and poor urban planning;  </w:t>
      </w:r>
    </w:p>
    <w:p w14:paraId="22402F7C" w14:textId="02E50FF1"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insufficient valorization for the purpose of developing special forms of tourism and product diversification; </w:t>
      </w:r>
      <w:r w:rsidR="00765B94">
        <w:rPr>
          <w:rFonts w:cs="Arial"/>
          <w:sz w:val="24"/>
          <w:szCs w:val="24"/>
        </w:rPr>
        <w:t xml:space="preserve">                                                                                                   </w:t>
      </w:r>
    </w:p>
    <w:p w14:paraId="136A68F0"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lack of cooperation among key stakeholders in the tourism industry; </w:t>
      </w:r>
    </w:p>
    <w:p w14:paraId="74487E33"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inadequately defined target markets from the aspect of marketing and promotion; </w:t>
      </w:r>
    </w:p>
    <w:p w14:paraId="1C1E6184" w14:textId="77777777" w:rsidR="00E732FA" w:rsidRPr="003C7CB1" w:rsidRDefault="00E732FA" w:rsidP="00E732FA">
      <w:pPr>
        <w:pStyle w:val="ListParagraph"/>
        <w:numPr>
          <w:ilvl w:val="0"/>
          <w:numId w:val="6"/>
        </w:numPr>
        <w:spacing w:after="120" w:line="240" w:lineRule="auto"/>
        <w:jc w:val="both"/>
        <w:rPr>
          <w:rFonts w:cs="Arial"/>
          <w:sz w:val="24"/>
          <w:szCs w:val="24"/>
        </w:rPr>
      </w:pPr>
      <w:r w:rsidRPr="003C7CB1">
        <w:rPr>
          <w:rFonts w:cs="Arial"/>
          <w:sz w:val="24"/>
          <w:szCs w:val="24"/>
        </w:rPr>
        <w:t xml:space="preserve">unfulfilled investment commitments including failed privatizations. </w:t>
      </w:r>
    </w:p>
    <w:p w14:paraId="548FC983" w14:textId="77777777" w:rsidR="00E732FA" w:rsidRPr="003C7CB1" w:rsidRDefault="00E732FA" w:rsidP="00E732FA">
      <w:pPr>
        <w:pStyle w:val="ListParagraph"/>
        <w:spacing w:after="0"/>
        <w:ind w:left="357"/>
        <w:contextualSpacing w:val="0"/>
        <w:jc w:val="both"/>
        <w:rPr>
          <w:rFonts w:cs="Arial"/>
          <w:sz w:val="24"/>
          <w:szCs w:val="24"/>
        </w:rPr>
      </w:pPr>
    </w:p>
    <w:p w14:paraId="2B328826" w14:textId="77777777" w:rsidR="00E732FA" w:rsidRPr="003C7CB1" w:rsidRDefault="00E732FA" w:rsidP="00E732FA">
      <w:pPr>
        <w:pStyle w:val="Heading2"/>
        <w:spacing w:before="0" w:after="120" w:line="276" w:lineRule="auto"/>
        <w:jc w:val="both"/>
        <w:rPr>
          <w:sz w:val="26"/>
          <w:lang w:eastAsia="hr-HR"/>
        </w:rPr>
      </w:pPr>
      <w:bookmarkStart w:id="18" w:name="_Toc91286155"/>
      <w:bookmarkStart w:id="19" w:name="_Toc95302997"/>
      <w:bookmarkStart w:id="20" w:name="_Toc102133788"/>
      <w:bookmarkStart w:id="21" w:name="_Toc104544172"/>
      <w:r w:rsidRPr="003C7CB1">
        <w:rPr>
          <w:sz w:val="26"/>
          <w:lang w:eastAsia="hr-HR"/>
        </w:rPr>
        <w:t xml:space="preserve">2.2. </w:t>
      </w:r>
      <w:bookmarkEnd w:id="18"/>
      <w:bookmarkEnd w:id="19"/>
      <w:r w:rsidRPr="003C7CB1">
        <w:rPr>
          <w:sz w:val="26"/>
          <w:lang w:eastAsia="hr-HR"/>
        </w:rPr>
        <w:t>Quantitative and Qualitative Analysis of Tourism Parameters</w:t>
      </w:r>
      <w:bookmarkEnd w:id="20"/>
      <w:bookmarkEnd w:id="21"/>
      <w:r w:rsidRPr="003C7CB1">
        <w:rPr>
          <w:sz w:val="26"/>
          <w:lang w:eastAsia="hr-HR"/>
        </w:rPr>
        <w:t xml:space="preserve"> </w:t>
      </w:r>
    </w:p>
    <w:p w14:paraId="4C9DE050" w14:textId="77777777" w:rsidR="00E732FA" w:rsidRPr="003C7CB1" w:rsidRDefault="00E732FA" w:rsidP="00E732FA">
      <w:pPr>
        <w:spacing w:after="120" w:line="240" w:lineRule="auto"/>
        <w:jc w:val="both"/>
        <w:rPr>
          <w:rFonts w:cstheme="minorHAnsi"/>
          <w:bCs/>
          <w:color w:val="000000"/>
          <w:sz w:val="24"/>
          <w:szCs w:val="24"/>
          <w:lang w:eastAsia="hr-HR"/>
        </w:rPr>
      </w:pPr>
      <w:r w:rsidRPr="003C7CB1">
        <w:rPr>
          <w:rFonts w:cstheme="minorHAnsi"/>
          <w:bCs/>
          <w:color w:val="000000"/>
          <w:sz w:val="24"/>
          <w:szCs w:val="24"/>
          <w:lang w:eastAsia="hr-HR"/>
        </w:rPr>
        <w:t>The analysis of tourism parameters is based on official data from MONSTAT and the Central Bank of Montenegro.</w:t>
      </w:r>
      <w:r w:rsidRPr="003C7CB1">
        <w:t xml:space="preserve"> </w:t>
      </w:r>
      <w:r w:rsidRPr="003C7CB1">
        <w:rPr>
          <w:rFonts w:cstheme="minorHAnsi"/>
          <w:bCs/>
          <w:color w:val="000000"/>
          <w:sz w:val="24"/>
          <w:szCs w:val="24"/>
          <w:lang w:eastAsia="hr-HR"/>
        </w:rPr>
        <w:t xml:space="preserve">It refers to the period 2009-2019, while 2020 was separately analyzed, given its specifics caused by the COVID-19 pandemic. </w:t>
      </w:r>
    </w:p>
    <w:p w14:paraId="5FB333FA" w14:textId="77777777" w:rsidR="00E732FA" w:rsidRPr="003C7CB1" w:rsidRDefault="00E732FA" w:rsidP="00E732FA">
      <w:pPr>
        <w:pStyle w:val="Heading3"/>
        <w:spacing w:before="0" w:after="120" w:line="240" w:lineRule="auto"/>
        <w:ind w:left="720"/>
        <w:jc w:val="both"/>
        <w:rPr>
          <w:b/>
          <w:color w:val="2F5496" w:themeColor="accent1" w:themeShade="BF"/>
          <w:lang w:eastAsia="hr-HR"/>
        </w:rPr>
      </w:pPr>
      <w:bookmarkStart w:id="22" w:name="_Toc91286156"/>
      <w:bookmarkStart w:id="23" w:name="_Toc95302998"/>
      <w:bookmarkStart w:id="24" w:name="_Toc102133789"/>
      <w:bookmarkStart w:id="25" w:name="_Toc104544173"/>
      <w:r w:rsidRPr="003C7CB1">
        <w:rPr>
          <w:b/>
          <w:color w:val="2F5496" w:themeColor="accent1" w:themeShade="BF"/>
          <w:lang w:eastAsia="hr-HR"/>
        </w:rPr>
        <w:t xml:space="preserve">2.2.1. </w:t>
      </w:r>
      <w:bookmarkEnd w:id="22"/>
      <w:bookmarkEnd w:id="23"/>
      <w:r w:rsidRPr="003C7CB1">
        <w:rPr>
          <w:b/>
          <w:color w:val="2F5496" w:themeColor="accent1" w:themeShade="BF"/>
          <w:lang w:eastAsia="hr-HR"/>
        </w:rPr>
        <w:t>Tourist Arrivals and Overnight Stays</w:t>
      </w:r>
      <w:bookmarkEnd w:id="24"/>
      <w:bookmarkEnd w:id="25"/>
      <w:r w:rsidRPr="003C7CB1">
        <w:rPr>
          <w:b/>
          <w:color w:val="2F5496" w:themeColor="accent1" w:themeShade="BF"/>
          <w:lang w:eastAsia="hr-HR"/>
        </w:rPr>
        <w:t xml:space="preserve"> </w:t>
      </w:r>
    </w:p>
    <w:p w14:paraId="78DDF2A1" w14:textId="77777777" w:rsidR="00E732FA" w:rsidRPr="003C7CB1" w:rsidRDefault="00E732FA" w:rsidP="00E732FA">
      <w:pPr>
        <w:spacing w:after="120" w:line="240" w:lineRule="auto"/>
        <w:jc w:val="both"/>
        <w:rPr>
          <w:rFonts w:cstheme="minorHAnsi"/>
          <w:bCs/>
          <w:color w:val="000000"/>
          <w:sz w:val="24"/>
          <w:szCs w:val="24"/>
          <w:lang w:eastAsia="hr-HR"/>
        </w:rPr>
      </w:pPr>
      <w:r w:rsidRPr="003C7CB1">
        <w:rPr>
          <w:rFonts w:cstheme="minorHAnsi"/>
          <w:bCs/>
          <w:color w:val="000000"/>
          <w:sz w:val="24"/>
          <w:szCs w:val="24"/>
          <w:lang w:eastAsia="hr-HR"/>
        </w:rPr>
        <w:t xml:space="preserve">During the period from 2009 to 2019, Montenegro recorded a constant increase in </w:t>
      </w:r>
      <w:r w:rsidRPr="003C7CB1">
        <w:rPr>
          <w:rFonts w:cstheme="minorHAnsi"/>
          <w:b/>
          <w:bCs/>
          <w:color w:val="000000"/>
          <w:sz w:val="24"/>
          <w:szCs w:val="24"/>
          <w:lang w:eastAsia="hr-HR"/>
        </w:rPr>
        <w:t>the</w:t>
      </w:r>
      <w:r w:rsidRPr="003C7CB1">
        <w:rPr>
          <w:rFonts w:cstheme="minorHAnsi"/>
          <w:bCs/>
          <w:color w:val="000000"/>
          <w:sz w:val="24"/>
          <w:szCs w:val="24"/>
          <w:lang w:eastAsia="hr-HR"/>
        </w:rPr>
        <w:t xml:space="preserve"> </w:t>
      </w:r>
      <w:r w:rsidRPr="003C7CB1">
        <w:rPr>
          <w:rFonts w:cstheme="minorHAnsi"/>
          <w:b/>
          <w:bCs/>
          <w:color w:val="000000"/>
          <w:sz w:val="24"/>
          <w:szCs w:val="24"/>
          <w:lang w:eastAsia="hr-HR"/>
        </w:rPr>
        <w:t>number of tourist arrivals and overnight stays</w:t>
      </w:r>
      <w:r w:rsidRPr="003C7CB1">
        <w:rPr>
          <w:rFonts w:cstheme="minorHAnsi"/>
          <w:bCs/>
          <w:color w:val="000000"/>
          <w:sz w:val="24"/>
          <w:szCs w:val="24"/>
          <w:lang w:eastAsia="hr-HR"/>
        </w:rPr>
        <w:t>. In 2019, the second largest increase in international tourist arrivals in Europe was recorded in the tourism sector of Montenegro, by 20.84% ​​compared to 2018.</w:t>
      </w:r>
      <w:r w:rsidRPr="003C7CB1">
        <w:t xml:space="preserve"> </w:t>
      </w:r>
      <w:r w:rsidRPr="003C7CB1">
        <w:rPr>
          <w:rFonts w:cstheme="minorHAnsi"/>
          <w:bCs/>
          <w:color w:val="000000"/>
          <w:sz w:val="24"/>
          <w:szCs w:val="24"/>
          <w:lang w:eastAsia="hr-HR"/>
        </w:rPr>
        <w:t xml:space="preserve">Specifically, Montenegro, which has only 0.6 million people, was visited by more than 2.6 million international tourists. </w:t>
      </w:r>
    </w:p>
    <w:p w14:paraId="75B21182" w14:textId="4C487351" w:rsidR="00E732FA" w:rsidRPr="003C7CB1" w:rsidRDefault="00E732FA" w:rsidP="00E732FA">
      <w:pPr>
        <w:spacing w:after="120" w:line="240" w:lineRule="auto"/>
        <w:jc w:val="both"/>
        <w:rPr>
          <w:rFonts w:cstheme="minorHAnsi"/>
          <w:bCs/>
          <w:color w:val="000000"/>
          <w:sz w:val="24"/>
          <w:szCs w:val="24"/>
          <w:lang w:eastAsia="hr-HR"/>
        </w:rPr>
      </w:pPr>
      <w:r w:rsidRPr="003C7CB1">
        <w:rPr>
          <w:rFonts w:cstheme="minorHAnsi"/>
          <w:bCs/>
          <w:color w:val="000000"/>
          <w:sz w:val="24"/>
          <w:szCs w:val="24"/>
          <w:lang w:eastAsia="hr-HR"/>
        </w:rPr>
        <w:t>In 2019, when compared to 2009, the increase in the number of tourist arrivals was 119%, while the increase in the number of overnight stays was 91%, which means that touris</w:t>
      </w:r>
      <w:r w:rsidR="0071700F">
        <w:rPr>
          <w:rFonts w:cstheme="minorHAnsi"/>
          <w:bCs/>
          <w:color w:val="000000"/>
          <w:sz w:val="24"/>
          <w:szCs w:val="24"/>
          <w:lang w:eastAsia="hr-HR"/>
        </w:rPr>
        <w:t>m turnover</w:t>
      </w:r>
      <w:r w:rsidRPr="003C7CB1">
        <w:rPr>
          <w:rFonts w:cstheme="minorHAnsi"/>
          <w:bCs/>
          <w:color w:val="000000"/>
          <w:sz w:val="24"/>
          <w:szCs w:val="24"/>
          <w:lang w:eastAsia="hr-HR"/>
        </w:rPr>
        <w:t xml:space="preserve"> in the country doubled in this period. The number of overnight stays in 2019 was 14.5 million or 11.8% more than in 2018. Out of this amount, domestic tourists accounted for 0.52 million overnight stays or 7.4% more than in 2018, while foreign tourists accounted for 13.9 million overnight stays or 12% more than in the previous year. (Table No. 2 and Chart No. 1)  </w:t>
      </w:r>
    </w:p>
    <w:p w14:paraId="4B568E5A" w14:textId="77777777" w:rsidR="00E732FA" w:rsidRPr="003C7CB1" w:rsidRDefault="00E732FA" w:rsidP="00E732FA">
      <w:pPr>
        <w:spacing w:after="0"/>
        <w:jc w:val="both"/>
        <w:rPr>
          <w:rFonts w:cstheme="minorHAnsi"/>
          <w:bCs/>
          <w:color w:val="000000"/>
          <w:sz w:val="24"/>
          <w:szCs w:val="24"/>
          <w:lang w:eastAsia="hr-HR"/>
        </w:rPr>
      </w:pPr>
    </w:p>
    <w:p w14:paraId="52A002B6" w14:textId="77777777" w:rsidR="00E732FA" w:rsidRPr="003C7CB1" w:rsidRDefault="00E732FA" w:rsidP="00E732FA">
      <w:pPr>
        <w:spacing w:after="0"/>
        <w:jc w:val="both"/>
        <w:rPr>
          <w:rFonts w:cstheme="minorHAnsi"/>
          <w:bCs/>
          <w:color w:val="000000"/>
          <w:sz w:val="24"/>
          <w:szCs w:val="24"/>
          <w:lang w:eastAsia="hr-HR"/>
        </w:rPr>
      </w:pPr>
    </w:p>
    <w:p w14:paraId="5F94EF29" w14:textId="77777777" w:rsidR="00E732FA" w:rsidRPr="003C7CB1" w:rsidRDefault="00E732FA" w:rsidP="00E732FA">
      <w:pPr>
        <w:spacing w:after="0"/>
        <w:jc w:val="both"/>
        <w:rPr>
          <w:rFonts w:cstheme="minorHAnsi"/>
          <w:bCs/>
          <w:color w:val="000000"/>
          <w:sz w:val="24"/>
          <w:szCs w:val="24"/>
          <w:lang w:eastAsia="hr-HR"/>
        </w:rPr>
      </w:pPr>
    </w:p>
    <w:p w14:paraId="6FA7D913" w14:textId="77777777" w:rsidR="00E732FA" w:rsidRPr="003C7CB1" w:rsidRDefault="00E732FA" w:rsidP="00E732FA">
      <w:pPr>
        <w:spacing w:after="0"/>
        <w:jc w:val="both"/>
        <w:rPr>
          <w:rFonts w:cstheme="minorHAnsi"/>
          <w:bCs/>
          <w:color w:val="000000"/>
          <w:sz w:val="24"/>
          <w:szCs w:val="24"/>
          <w:lang w:eastAsia="hr-HR"/>
        </w:rPr>
      </w:pPr>
    </w:p>
    <w:p w14:paraId="153F9E4C" w14:textId="77777777" w:rsidR="00E732FA" w:rsidRPr="003C7CB1" w:rsidRDefault="00E732FA" w:rsidP="00E732FA">
      <w:pPr>
        <w:spacing w:after="0"/>
        <w:jc w:val="both"/>
        <w:rPr>
          <w:rFonts w:cstheme="minorHAnsi"/>
          <w:bCs/>
          <w:color w:val="000000"/>
          <w:sz w:val="24"/>
          <w:szCs w:val="24"/>
          <w:lang w:eastAsia="hr-HR"/>
        </w:rPr>
      </w:pPr>
    </w:p>
    <w:p w14:paraId="44A88EC5" w14:textId="77777777" w:rsidR="00E732FA" w:rsidRPr="003C7CB1" w:rsidRDefault="00E732FA" w:rsidP="00E732FA">
      <w:pPr>
        <w:spacing w:after="0"/>
        <w:jc w:val="both"/>
        <w:rPr>
          <w:rFonts w:cstheme="minorHAnsi"/>
          <w:bCs/>
          <w:color w:val="000000"/>
          <w:sz w:val="24"/>
          <w:szCs w:val="24"/>
          <w:lang w:eastAsia="hr-HR"/>
        </w:rPr>
      </w:pPr>
    </w:p>
    <w:p w14:paraId="1179E825" w14:textId="77777777" w:rsidR="00E732FA" w:rsidRPr="003C7CB1" w:rsidRDefault="00E732FA" w:rsidP="00E732FA">
      <w:pPr>
        <w:spacing w:after="0"/>
        <w:jc w:val="both"/>
        <w:rPr>
          <w:rFonts w:cstheme="minorHAnsi"/>
          <w:bCs/>
          <w:color w:val="000000"/>
          <w:sz w:val="24"/>
          <w:szCs w:val="24"/>
          <w:lang w:eastAsia="hr-HR"/>
        </w:rPr>
      </w:pPr>
    </w:p>
    <w:p w14:paraId="0CCB9F59" w14:textId="77777777" w:rsidR="00E732FA" w:rsidRPr="003C7CB1" w:rsidRDefault="00E732FA" w:rsidP="00E732FA">
      <w:pPr>
        <w:spacing w:after="0"/>
        <w:jc w:val="both"/>
        <w:rPr>
          <w:rFonts w:cstheme="minorHAnsi"/>
          <w:bCs/>
          <w:color w:val="000000"/>
          <w:sz w:val="24"/>
          <w:szCs w:val="24"/>
          <w:lang w:eastAsia="hr-HR"/>
        </w:rPr>
      </w:pPr>
    </w:p>
    <w:p w14:paraId="7AACCCE1" w14:textId="77777777" w:rsidR="00E732FA" w:rsidRPr="003C7CB1" w:rsidRDefault="00E732FA" w:rsidP="00E732FA">
      <w:pPr>
        <w:spacing w:after="0"/>
        <w:jc w:val="center"/>
        <w:rPr>
          <w:rFonts w:cstheme="minorHAnsi"/>
          <w:b/>
          <w:bCs/>
          <w:color w:val="000000"/>
          <w:lang w:eastAsia="hr-HR"/>
        </w:rPr>
      </w:pPr>
      <w:r w:rsidRPr="003C7CB1">
        <w:rPr>
          <w:rFonts w:cstheme="minorHAnsi"/>
          <w:b/>
          <w:bCs/>
          <w:color w:val="000000"/>
          <w:lang w:eastAsia="hr-HR"/>
        </w:rPr>
        <w:lastRenderedPageBreak/>
        <w:t>Table no. 2 - Number of tourist arrivals and overnight stays, Montenegro, period 2009-2019</w:t>
      </w:r>
      <w:r w:rsidRPr="003C7CB1">
        <w:rPr>
          <w:rStyle w:val="FootnoteReference"/>
          <w:rFonts w:cstheme="minorHAnsi"/>
          <w:b/>
          <w:bCs/>
          <w:color w:val="000000"/>
          <w:lang w:eastAsia="hr-HR"/>
        </w:rPr>
        <w:footnoteReference w:id="18"/>
      </w:r>
      <w:r w:rsidRPr="003C7CB1">
        <w:rPr>
          <w:rFonts w:cstheme="minorHAnsi"/>
          <w:b/>
          <w:bCs/>
          <w:color w:val="000000"/>
          <w:lang w:eastAsia="hr-HR"/>
        </w:rPr>
        <w:t xml:space="preserve"> </w:t>
      </w:r>
    </w:p>
    <w:tbl>
      <w:tblPr>
        <w:tblStyle w:val="GridTable5Dark-Accent52"/>
        <w:tblW w:w="4187" w:type="pct"/>
        <w:jc w:val="center"/>
        <w:tblLook w:val="04A0" w:firstRow="1" w:lastRow="0" w:firstColumn="1" w:lastColumn="0" w:noHBand="0" w:noVBand="1"/>
      </w:tblPr>
      <w:tblGrid>
        <w:gridCol w:w="822"/>
        <w:gridCol w:w="1110"/>
        <w:gridCol w:w="1073"/>
        <w:gridCol w:w="1107"/>
        <w:gridCol w:w="1222"/>
        <w:gridCol w:w="1107"/>
        <w:gridCol w:w="1218"/>
      </w:tblGrid>
      <w:tr w:rsidR="00E732FA" w:rsidRPr="003C7CB1" w14:paraId="2C160DF5" w14:textId="77777777" w:rsidTr="00E732FA">
        <w:trPr>
          <w:cnfStyle w:val="100000000000" w:firstRow="1" w:lastRow="0" w:firstColumn="0" w:lastColumn="0" w:oddVBand="0" w:evenVBand="0" w:oddHBand="0"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523CD2BE" w14:textId="77777777" w:rsidR="00E732FA" w:rsidRPr="003C7CB1" w:rsidRDefault="00E732FA" w:rsidP="00E732FA">
            <w:pPr>
              <w:spacing w:after="160"/>
              <w:rPr>
                <w:rFonts w:cstheme="minorHAnsi"/>
              </w:rPr>
            </w:pPr>
            <w:r w:rsidRPr="003C7CB1">
              <w:rPr>
                <w:rFonts w:cstheme="minorHAnsi"/>
              </w:rPr>
              <w:t> </w:t>
            </w:r>
          </w:p>
        </w:tc>
        <w:tc>
          <w:tcPr>
            <w:tcW w:w="2095" w:type="pct"/>
            <w:gridSpan w:val="3"/>
            <w:noWrap/>
            <w:hideMark/>
          </w:tcPr>
          <w:p w14:paraId="026D985F" w14:textId="77777777" w:rsidR="00E732FA" w:rsidRPr="003C7CB1" w:rsidRDefault="00E732FA" w:rsidP="00E732FA">
            <w:pPr>
              <w:spacing w:after="16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Arrivals </w:t>
            </w:r>
          </w:p>
        </w:tc>
        <w:tc>
          <w:tcPr>
            <w:tcW w:w="2354" w:type="pct"/>
            <w:gridSpan w:val="3"/>
            <w:noWrap/>
            <w:hideMark/>
          </w:tcPr>
          <w:p w14:paraId="417B23B7" w14:textId="77777777" w:rsidR="00E732FA" w:rsidRPr="003C7CB1" w:rsidRDefault="00E732FA" w:rsidP="00E732FA">
            <w:pPr>
              <w:spacing w:after="16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Overnight stays </w:t>
            </w:r>
          </w:p>
        </w:tc>
      </w:tr>
      <w:tr w:rsidR="00E732FA" w:rsidRPr="003C7CB1" w14:paraId="601AC2DF" w14:textId="77777777" w:rsidTr="00E732FA">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550" w:type="pct"/>
            <w:noWrap/>
          </w:tcPr>
          <w:p w14:paraId="65223EC0" w14:textId="77777777" w:rsidR="00E732FA" w:rsidRPr="003C7CB1" w:rsidRDefault="00E732FA" w:rsidP="00E732FA">
            <w:pPr>
              <w:spacing w:after="160"/>
              <w:rPr>
                <w:rFonts w:cstheme="minorHAnsi"/>
              </w:rPr>
            </w:pPr>
          </w:p>
        </w:tc>
        <w:tc>
          <w:tcPr>
            <w:tcW w:w="738" w:type="pct"/>
            <w:noWrap/>
          </w:tcPr>
          <w:p w14:paraId="6DCE4847" w14:textId="77777777" w:rsidR="00E732FA" w:rsidRPr="003C7CB1" w:rsidRDefault="00E732FA" w:rsidP="00E732FA">
            <w:pPr>
              <w:jc w:val="center"/>
              <w:cnfStyle w:val="000000100000" w:firstRow="0" w:lastRow="0" w:firstColumn="0" w:lastColumn="0" w:oddVBand="0" w:evenVBand="0" w:oddHBand="1" w:evenHBand="0" w:firstRowFirstColumn="0" w:firstRowLastColumn="0" w:lastRowFirstColumn="0" w:lastRowLastColumn="0"/>
              <w:rPr>
                <w:b/>
              </w:rPr>
            </w:pPr>
            <w:r w:rsidRPr="003C7CB1">
              <w:rPr>
                <w:b/>
              </w:rPr>
              <w:t xml:space="preserve">Total </w:t>
            </w:r>
          </w:p>
        </w:tc>
        <w:tc>
          <w:tcPr>
            <w:tcW w:w="623" w:type="pct"/>
            <w:noWrap/>
          </w:tcPr>
          <w:p w14:paraId="1DB7C7A7" w14:textId="77777777" w:rsidR="00E732FA" w:rsidRPr="003C7CB1" w:rsidRDefault="00E732FA" w:rsidP="00E732FA">
            <w:pPr>
              <w:jc w:val="center"/>
              <w:cnfStyle w:val="000000100000" w:firstRow="0" w:lastRow="0" w:firstColumn="0" w:lastColumn="0" w:oddVBand="0" w:evenVBand="0" w:oddHBand="1" w:evenHBand="0" w:firstRowFirstColumn="0" w:firstRowLastColumn="0" w:lastRowFirstColumn="0" w:lastRowLastColumn="0"/>
              <w:rPr>
                <w:b/>
              </w:rPr>
            </w:pPr>
            <w:r w:rsidRPr="003C7CB1">
              <w:rPr>
                <w:b/>
              </w:rPr>
              <w:t xml:space="preserve">Domestic </w:t>
            </w:r>
          </w:p>
        </w:tc>
        <w:tc>
          <w:tcPr>
            <w:tcW w:w="734" w:type="pct"/>
            <w:noWrap/>
          </w:tcPr>
          <w:p w14:paraId="2E730EE3" w14:textId="77777777" w:rsidR="00E732FA" w:rsidRPr="003C7CB1" w:rsidRDefault="00E732FA" w:rsidP="00E732FA">
            <w:pPr>
              <w:jc w:val="center"/>
              <w:cnfStyle w:val="000000100000" w:firstRow="0" w:lastRow="0" w:firstColumn="0" w:lastColumn="0" w:oddVBand="0" w:evenVBand="0" w:oddHBand="1" w:evenHBand="0" w:firstRowFirstColumn="0" w:firstRowLastColumn="0" w:lastRowFirstColumn="0" w:lastRowLastColumn="0"/>
              <w:rPr>
                <w:b/>
              </w:rPr>
            </w:pPr>
            <w:r w:rsidRPr="003C7CB1">
              <w:rPr>
                <w:b/>
              </w:rPr>
              <w:t xml:space="preserve">Foreign </w:t>
            </w:r>
          </w:p>
        </w:tc>
        <w:tc>
          <w:tcPr>
            <w:tcW w:w="812" w:type="pct"/>
            <w:noWrap/>
          </w:tcPr>
          <w:p w14:paraId="0F0EDD4E" w14:textId="77777777" w:rsidR="00E732FA" w:rsidRPr="003C7CB1" w:rsidRDefault="00E732FA" w:rsidP="00E732FA">
            <w:pPr>
              <w:jc w:val="center"/>
              <w:cnfStyle w:val="000000100000" w:firstRow="0" w:lastRow="0" w:firstColumn="0" w:lastColumn="0" w:oddVBand="0" w:evenVBand="0" w:oddHBand="1" w:evenHBand="0" w:firstRowFirstColumn="0" w:firstRowLastColumn="0" w:lastRowFirstColumn="0" w:lastRowLastColumn="0"/>
              <w:rPr>
                <w:b/>
              </w:rPr>
            </w:pPr>
            <w:r w:rsidRPr="003C7CB1">
              <w:rPr>
                <w:b/>
              </w:rPr>
              <w:t xml:space="preserve">Total </w:t>
            </w:r>
          </w:p>
        </w:tc>
        <w:tc>
          <w:tcPr>
            <w:tcW w:w="734" w:type="pct"/>
            <w:noWrap/>
          </w:tcPr>
          <w:p w14:paraId="484CADB6" w14:textId="77777777" w:rsidR="00E732FA" w:rsidRPr="003C7CB1" w:rsidRDefault="00E732FA" w:rsidP="00E732FA">
            <w:pPr>
              <w:jc w:val="center"/>
              <w:cnfStyle w:val="000000100000" w:firstRow="0" w:lastRow="0" w:firstColumn="0" w:lastColumn="0" w:oddVBand="0" w:evenVBand="0" w:oddHBand="1" w:evenHBand="0" w:firstRowFirstColumn="0" w:firstRowLastColumn="0" w:lastRowFirstColumn="0" w:lastRowLastColumn="0"/>
              <w:rPr>
                <w:b/>
              </w:rPr>
            </w:pPr>
            <w:r w:rsidRPr="003C7CB1">
              <w:rPr>
                <w:b/>
              </w:rPr>
              <w:t xml:space="preserve">Domestic </w:t>
            </w:r>
          </w:p>
        </w:tc>
        <w:tc>
          <w:tcPr>
            <w:tcW w:w="809" w:type="pct"/>
            <w:noWrap/>
          </w:tcPr>
          <w:p w14:paraId="40B0F7AF" w14:textId="77777777" w:rsidR="00E732FA" w:rsidRPr="003C7CB1" w:rsidRDefault="00E732FA" w:rsidP="00E732FA">
            <w:pPr>
              <w:jc w:val="center"/>
              <w:cnfStyle w:val="000000100000" w:firstRow="0" w:lastRow="0" w:firstColumn="0" w:lastColumn="0" w:oddVBand="0" w:evenVBand="0" w:oddHBand="1" w:evenHBand="0" w:firstRowFirstColumn="0" w:firstRowLastColumn="0" w:lastRowFirstColumn="0" w:lastRowLastColumn="0"/>
              <w:rPr>
                <w:b/>
              </w:rPr>
            </w:pPr>
            <w:r w:rsidRPr="003C7CB1">
              <w:rPr>
                <w:b/>
              </w:rPr>
              <w:t xml:space="preserve">Foreign </w:t>
            </w:r>
          </w:p>
        </w:tc>
      </w:tr>
      <w:tr w:rsidR="00E732FA" w:rsidRPr="003C7CB1" w14:paraId="366E0B21" w14:textId="77777777" w:rsidTr="00E732FA">
        <w:trPr>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tcPr>
          <w:p w14:paraId="7DB2DE18" w14:textId="77777777" w:rsidR="00E732FA" w:rsidRPr="003C7CB1" w:rsidRDefault="00E732FA" w:rsidP="00E732FA">
            <w:pPr>
              <w:spacing w:after="160"/>
              <w:rPr>
                <w:rFonts w:cstheme="minorHAnsi"/>
              </w:rPr>
            </w:pPr>
            <w:r w:rsidRPr="003C7CB1">
              <w:rPr>
                <w:rFonts w:cstheme="minorHAnsi"/>
              </w:rPr>
              <w:t xml:space="preserve">2009 </w:t>
            </w:r>
          </w:p>
        </w:tc>
        <w:tc>
          <w:tcPr>
            <w:tcW w:w="738" w:type="pct"/>
            <w:noWrap/>
          </w:tcPr>
          <w:p w14:paraId="51FF2CF0"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1,207,694 </w:t>
            </w:r>
          </w:p>
        </w:tc>
        <w:tc>
          <w:tcPr>
            <w:tcW w:w="623" w:type="pct"/>
            <w:noWrap/>
          </w:tcPr>
          <w:p w14:paraId="456BD485"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163,680 </w:t>
            </w:r>
          </w:p>
        </w:tc>
        <w:tc>
          <w:tcPr>
            <w:tcW w:w="734" w:type="pct"/>
            <w:noWrap/>
          </w:tcPr>
          <w:p w14:paraId="54C4CA48"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1,440,014 </w:t>
            </w:r>
          </w:p>
        </w:tc>
        <w:tc>
          <w:tcPr>
            <w:tcW w:w="812" w:type="pct"/>
            <w:noWrap/>
          </w:tcPr>
          <w:p w14:paraId="1C910F70"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7,552,006 </w:t>
            </w:r>
          </w:p>
        </w:tc>
        <w:tc>
          <w:tcPr>
            <w:tcW w:w="734" w:type="pct"/>
            <w:noWrap/>
          </w:tcPr>
          <w:p w14:paraId="040A0904"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856,332 </w:t>
            </w:r>
          </w:p>
        </w:tc>
        <w:tc>
          <w:tcPr>
            <w:tcW w:w="809" w:type="pct"/>
            <w:noWrap/>
          </w:tcPr>
          <w:p w14:paraId="1008A351"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6,695,674 </w:t>
            </w:r>
          </w:p>
        </w:tc>
      </w:tr>
      <w:tr w:rsidR="00E732FA" w:rsidRPr="003C7CB1" w14:paraId="4DDE3442" w14:textId="77777777" w:rsidTr="00E732F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tcPr>
          <w:p w14:paraId="36ADCD60" w14:textId="77777777" w:rsidR="00E732FA" w:rsidRPr="003C7CB1" w:rsidRDefault="00E732FA" w:rsidP="00E732FA">
            <w:pPr>
              <w:spacing w:after="160"/>
              <w:rPr>
                <w:rFonts w:cstheme="minorHAnsi"/>
              </w:rPr>
            </w:pPr>
            <w:r w:rsidRPr="003C7CB1">
              <w:rPr>
                <w:rFonts w:cstheme="minorHAnsi"/>
              </w:rPr>
              <w:t xml:space="preserve">2010 </w:t>
            </w:r>
          </w:p>
        </w:tc>
        <w:tc>
          <w:tcPr>
            <w:tcW w:w="738" w:type="pct"/>
            <w:noWrap/>
          </w:tcPr>
          <w:p w14:paraId="44ACB44A"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1,262,985 </w:t>
            </w:r>
          </w:p>
        </w:tc>
        <w:tc>
          <w:tcPr>
            <w:tcW w:w="623" w:type="pct"/>
            <w:noWrap/>
          </w:tcPr>
          <w:p w14:paraId="308D619C"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175,191 </w:t>
            </w:r>
          </w:p>
        </w:tc>
        <w:tc>
          <w:tcPr>
            <w:tcW w:w="734" w:type="pct"/>
            <w:noWrap/>
          </w:tcPr>
          <w:p w14:paraId="3AE678A3"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1,087,794 </w:t>
            </w:r>
          </w:p>
        </w:tc>
        <w:tc>
          <w:tcPr>
            <w:tcW w:w="812" w:type="pct"/>
            <w:noWrap/>
          </w:tcPr>
          <w:p w14:paraId="36AECC53"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7,964,893 </w:t>
            </w:r>
          </w:p>
        </w:tc>
        <w:tc>
          <w:tcPr>
            <w:tcW w:w="734" w:type="pct"/>
            <w:noWrap/>
          </w:tcPr>
          <w:p w14:paraId="6AE14E16"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987,033 </w:t>
            </w:r>
          </w:p>
        </w:tc>
        <w:tc>
          <w:tcPr>
            <w:tcW w:w="809" w:type="pct"/>
            <w:noWrap/>
          </w:tcPr>
          <w:p w14:paraId="607D9C33"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6,977,860 </w:t>
            </w:r>
          </w:p>
        </w:tc>
      </w:tr>
      <w:tr w:rsidR="00E732FA" w:rsidRPr="003C7CB1" w14:paraId="0A638710" w14:textId="77777777" w:rsidTr="00E732FA">
        <w:trPr>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tcPr>
          <w:p w14:paraId="608798BF" w14:textId="77777777" w:rsidR="00E732FA" w:rsidRPr="003C7CB1" w:rsidRDefault="00E732FA" w:rsidP="00E732FA">
            <w:pPr>
              <w:spacing w:after="160"/>
              <w:rPr>
                <w:rFonts w:cstheme="minorHAnsi"/>
              </w:rPr>
            </w:pPr>
            <w:r w:rsidRPr="003C7CB1">
              <w:rPr>
                <w:rFonts w:cstheme="minorHAnsi"/>
              </w:rPr>
              <w:t xml:space="preserve">2011 </w:t>
            </w:r>
          </w:p>
        </w:tc>
        <w:tc>
          <w:tcPr>
            <w:tcW w:w="738" w:type="pct"/>
            <w:noWrap/>
          </w:tcPr>
          <w:p w14:paraId="4CFBD03F"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1,373,454 </w:t>
            </w:r>
          </w:p>
        </w:tc>
        <w:tc>
          <w:tcPr>
            <w:tcW w:w="623" w:type="pct"/>
            <w:noWrap/>
          </w:tcPr>
          <w:p w14:paraId="7370DA33"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172,355 </w:t>
            </w:r>
          </w:p>
        </w:tc>
        <w:tc>
          <w:tcPr>
            <w:tcW w:w="734" w:type="pct"/>
            <w:noWrap/>
          </w:tcPr>
          <w:p w14:paraId="4B6FC426"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1,201,099 </w:t>
            </w:r>
          </w:p>
        </w:tc>
        <w:tc>
          <w:tcPr>
            <w:tcW w:w="812" w:type="pct"/>
            <w:noWrap/>
          </w:tcPr>
          <w:p w14:paraId="19C4B5C1"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8,775,171 </w:t>
            </w:r>
          </w:p>
        </w:tc>
        <w:tc>
          <w:tcPr>
            <w:tcW w:w="734" w:type="pct"/>
            <w:noWrap/>
          </w:tcPr>
          <w:p w14:paraId="2A7D7FB0"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956,368 </w:t>
            </w:r>
          </w:p>
        </w:tc>
        <w:tc>
          <w:tcPr>
            <w:tcW w:w="809" w:type="pct"/>
            <w:noWrap/>
          </w:tcPr>
          <w:p w14:paraId="2B983CDC"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7,818,803 </w:t>
            </w:r>
          </w:p>
        </w:tc>
      </w:tr>
      <w:tr w:rsidR="00E732FA" w:rsidRPr="003C7CB1" w14:paraId="23A48752" w14:textId="77777777" w:rsidTr="00E732F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tcPr>
          <w:p w14:paraId="27411AB3" w14:textId="77777777" w:rsidR="00E732FA" w:rsidRPr="003C7CB1" w:rsidRDefault="00E732FA" w:rsidP="00E732FA">
            <w:pPr>
              <w:spacing w:after="160"/>
              <w:rPr>
                <w:rFonts w:cstheme="minorHAnsi"/>
              </w:rPr>
            </w:pPr>
            <w:r w:rsidRPr="003C7CB1">
              <w:rPr>
                <w:rFonts w:cstheme="minorHAnsi"/>
              </w:rPr>
              <w:t xml:space="preserve">2012 </w:t>
            </w:r>
          </w:p>
        </w:tc>
        <w:tc>
          <w:tcPr>
            <w:tcW w:w="738" w:type="pct"/>
            <w:noWrap/>
          </w:tcPr>
          <w:p w14:paraId="07AA0D1D"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1,439,500 </w:t>
            </w:r>
          </w:p>
        </w:tc>
        <w:tc>
          <w:tcPr>
            <w:tcW w:w="623" w:type="pct"/>
            <w:noWrap/>
          </w:tcPr>
          <w:p w14:paraId="21C5BAF9"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175,337 </w:t>
            </w:r>
          </w:p>
        </w:tc>
        <w:tc>
          <w:tcPr>
            <w:tcW w:w="734" w:type="pct"/>
            <w:noWrap/>
          </w:tcPr>
          <w:p w14:paraId="39A2A718"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1,264,164 </w:t>
            </w:r>
          </w:p>
        </w:tc>
        <w:tc>
          <w:tcPr>
            <w:tcW w:w="812" w:type="pct"/>
            <w:noWrap/>
          </w:tcPr>
          <w:p w14:paraId="2FF105E2"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9,151,236 </w:t>
            </w:r>
          </w:p>
        </w:tc>
        <w:tc>
          <w:tcPr>
            <w:tcW w:w="734" w:type="pct"/>
            <w:noWrap/>
          </w:tcPr>
          <w:p w14:paraId="4C7B717D"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1,008,229 </w:t>
            </w:r>
          </w:p>
        </w:tc>
        <w:tc>
          <w:tcPr>
            <w:tcW w:w="809" w:type="pct"/>
            <w:noWrap/>
          </w:tcPr>
          <w:p w14:paraId="36BD9FB4"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8,143,007 </w:t>
            </w:r>
          </w:p>
        </w:tc>
      </w:tr>
      <w:tr w:rsidR="00E732FA" w:rsidRPr="003C7CB1" w14:paraId="3767EB93" w14:textId="77777777" w:rsidTr="00E732FA">
        <w:trPr>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tcPr>
          <w:p w14:paraId="79E820D7" w14:textId="77777777" w:rsidR="00E732FA" w:rsidRPr="003C7CB1" w:rsidRDefault="00E732FA" w:rsidP="00E732FA">
            <w:pPr>
              <w:spacing w:after="160"/>
              <w:rPr>
                <w:rFonts w:cstheme="minorHAnsi"/>
              </w:rPr>
            </w:pPr>
            <w:r w:rsidRPr="003C7CB1">
              <w:rPr>
                <w:rFonts w:cstheme="minorHAnsi"/>
              </w:rPr>
              <w:t xml:space="preserve">2013 </w:t>
            </w:r>
          </w:p>
        </w:tc>
        <w:tc>
          <w:tcPr>
            <w:tcW w:w="738" w:type="pct"/>
            <w:noWrap/>
          </w:tcPr>
          <w:p w14:paraId="5940BFF4"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1,492,006 </w:t>
            </w:r>
          </w:p>
        </w:tc>
        <w:tc>
          <w:tcPr>
            <w:tcW w:w="623" w:type="pct"/>
            <w:noWrap/>
          </w:tcPr>
          <w:p w14:paraId="2410EA8E"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167,603 </w:t>
            </w:r>
          </w:p>
        </w:tc>
        <w:tc>
          <w:tcPr>
            <w:tcW w:w="734" w:type="pct"/>
            <w:noWrap/>
          </w:tcPr>
          <w:p w14:paraId="3803072E"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1,324,403 </w:t>
            </w:r>
          </w:p>
        </w:tc>
        <w:tc>
          <w:tcPr>
            <w:tcW w:w="812" w:type="pct"/>
            <w:noWrap/>
          </w:tcPr>
          <w:p w14:paraId="67372F06"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9,411,943 </w:t>
            </w:r>
          </w:p>
        </w:tc>
        <w:tc>
          <w:tcPr>
            <w:tcW w:w="734" w:type="pct"/>
            <w:noWrap/>
          </w:tcPr>
          <w:p w14:paraId="4B13E5AD"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997,728 </w:t>
            </w:r>
          </w:p>
        </w:tc>
        <w:tc>
          <w:tcPr>
            <w:tcW w:w="809" w:type="pct"/>
            <w:noWrap/>
          </w:tcPr>
          <w:p w14:paraId="555EF849"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8,414,215 </w:t>
            </w:r>
          </w:p>
        </w:tc>
      </w:tr>
      <w:tr w:rsidR="00E732FA" w:rsidRPr="003C7CB1" w14:paraId="6645732D" w14:textId="77777777" w:rsidTr="00E732F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28C54530" w14:textId="77777777" w:rsidR="00E732FA" w:rsidRPr="003C7CB1" w:rsidRDefault="00E732FA" w:rsidP="00E732FA">
            <w:pPr>
              <w:spacing w:after="160"/>
              <w:rPr>
                <w:rFonts w:cstheme="minorHAnsi"/>
              </w:rPr>
            </w:pPr>
            <w:r w:rsidRPr="003C7CB1">
              <w:rPr>
                <w:rFonts w:cstheme="minorHAnsi"/>
              </w:rPr>
              <w:t xml:space="preserve">2014 </w:t>
            </w:r>
          </w:p>
        </w:tc>
        <w:tc>
          <w:tcPr>
            <w:tcW w:w="738" w:type="pct"/>
            <w:noWrap/>
          </w:tcPr>
          <w:p w14:paraId="32FC13A9"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1,517,376 </w:t>
            </w:r>
          </w:p>
        </w:tc>
        <w:tc>
          <w:tcPr>
            <w:tcW w:w="623" w:type="pct"/>
            <w:noWrap/>
          </w:tcPr>
          <w:p w14:paraId="0B8B1057"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197,079 </w:t>
            </w:r>
          </w:p>
        </w:tc>
        <w:tc>
          <w:tcPr>
            <w:tcW w:w="734" w:type="pct"/>
            <w:noWrap/>
          </w:tcPr>
          <w:p w14:paraId="70FE9A31"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1,350,297 </w:t>
            </w:r>
          </w:p>
        </w:tc>
        <w:tc>
          <w:tcPr>
            <w:tcW w:w="812" w:type="pct"/>
            <w:noWrap/>
          </w:tcPr>
          <w:p w14:paraId="726E39AA"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9,553,783 </w:t>
            </w:r>
          </w:p>
        </w:tc>
        <w:tc>
          <w:tcPr>
            <w:tcW w:w="734" w:type="pct"/>
            <w:noWrap/>
          </w:tcPr>
          <w:p w14:paraId="09A7364F"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957,127 </w:t>
            </w:r>
          </w:p>
        </w:tc>
        <w:tc>
          <w:tcPr>
            <w:tcW w:w="809" w:type="pct"/>
            <w:noWrap/>
          </w:tcPr>
          <w:p w14:paraId="6EDB1870"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8,595,656 </w:t>
            </w:r>
          </w:p>
        </w:tc>
      </w:tr>
      <w:tr w:rsidR="00E732FA" w:rsidRPr="003C7CB1" w14:paraId="655CEECF" w14:textId="77777777" w:rsidTr="00E732FA">
        <w:trPr>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1160742B" w14:textId="77777777" w:rsidR="00E732FA" w:rsidRPr="003C7CB1" w:rsidRDefault="00E732FA" w:rsidP="00E732FA">
            <w:pPr>
              <w:spacing w:after="160"/>
              <w:rPr>
                <w:rFonts w:cstheme="minorHAnsi"/>
              </w:rPr>
            </w:pPr>
            <w:r w:rsidRPr="003C7CB1">
              <w:rPr>
                <w:rFonts w:cstheme="minorHAnsi"/>
              </w:rPr>
              <w:t xml:space="preserve">2015 </w:t>
            </w:r>
          </w:p>
        </w:tc>
        <w:tc>
          <w:tcPr>
            <w:tcW w:w="738" w:type="pct"/>
            <w:noWrap/>
            <w:hideMark/>
          </w:tcPr>
          <w:p w14:paraId="3C5561E6"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1,713,109 </w:t>
            </w:r>
          </w:p>
        </w:tc>
        <w:tc>
          <w:tcPr>
            <w:tcW w:w="623" w:type="pct"/>
            <w:noWrap/>
            <w:hideMark/>
          </w:tcPr>
          <w:p w14:paraId="32998AF3"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153,185 </w:t>
            </w:r>
          </w:p>
        </w:tc>
        <w:tc>
          <w:tcPr>
            <w:tcW w:w="734" w:type="pct"/>
            <w:noWrap/>
            <w:hideMark/>
          </w:tcPr>
          <w:p w14:paraId="47745050"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1,559,924 </w:t>
            </w:r>
          </w:p>
        </w:tc>
        <w:tc>
          <w:tcPr>
            <w:tcW w:w="812" w:type="pct"/>
            <w:noWrap/>
            <w:hideMark/>
          </w:tcPr>
          <w:p w14:paraId="5439E434"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11,054,947 </w:t>
            </w:r>
          </w:p>
        </w:tc>
        <w:tc>
          <w:tcPr>
            <w:tcW w:w="734" w:type="pct"/>
            <w:noWrap/>
            <w:hideMark/>
          </w:tcPr>
          <w:p w14:paraId="4BF4823F"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747,576 </w:t>
            </w:r>
          </w:p>
        </w:tc>
        <w:tc>
          <w:tcPr>
            <w:tcW w:w="809" w:type="pct"/>
            <w:noWrap/>
            <w:hideMark/>
          </w:tcPr>
          <w:p w14:paraId="7E357F2D"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10,307,371 </w:t>
            </w:r>
          </w:p>
        </w:tc>
      </w:tr>
      <w:tr w:rsidR="00E732FA" w:rsidRPr="003C7CB1" w14:paraId="61037850" w14:textId="77777777" w:rsidTr="00E732F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39427901" w14:textId="77777777" w:rsidR="00E732FA" w:rsidRPr="003C7CB1" w:rsidRDefault="00E732FA" w:rsidP="00E732FA">
            <w:pPr>
              <w:spacing w:after="160"/>
              <w:rPr>
                <w:rFonts w:cstheme="minorHAnsi"/>
              </w:rPr>
            </w:pPr>
            <w:r w:rsidRPr="003C7CB1">
              <w:rPr>
                <w:rFonts w:cstheme="minorHAnsi"/>
              </w:rPr>
              <w:t xml:space="preserve">2016 </w:t>
            </w:r>
          </w:p>
        </w:tc>
        <w:tc>
          <w:tcPr>
            <w:tcW w:w="738" w:type="pct"/>
            <w:noWrap/>
            <w:hideMark/>
          </w:tcPr>
          <w:p w14:paraId="4628F43A"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1,813,817 </w:t>
            </w:r>
          </w:p>
        </w:tc>
        <w:tc>
          <w:tcPr>
            <w:tcW w:w="623" w:type="pct"/>
            <w:noWrap/>
            <w:hideMark/>
          </w:tcPr>
          <w:p w14:paraId="2C2E3F3F"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151,696 </w:t>
            </w:r>
          </w:p>
        </w:tc>
        <w:tc>
          <w:tcPr>
            <w:tcW w:w="734" w:type="pct"/>
            <w:noWrap/>
            <w:hideMark/>
          </w:tcPr>
          <w:p w14:paraId="053D1621"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1,662,121 </w:t>
            </w:r>
          </w:p>
        </w:tc>
        <w:tc>
          <w:tcPr>
            <w:tcW w:w="812" w:type="pct"/>
            <w:noWrap/>
            <w:hideMark/>
          </w:tcPr>
          <w:p w14:paraId="138692FC"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11,250,005 </w:t>
            </w:r>
          </w:p>
        </w:tc>
        <w:tc>
          <w:tcPr>
            <w:tcW w:w="734" w:type="pct"/>
            <w:noWrap/>
            <w:hideMark/>
          </w:tcPr>
          <w:p w14:paraId="2CC17A5B"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721,530 </w:t>
            </w:r>
          </w:p>
        </w:tc>
        <w:tc>
          <w:tcPr>
            <w:tcW w:w="809" w:type="pct"/>
            <w:noWrap/>
            <w:hideMark/>
          </w:tcPr>
          <w:p w14:paraId="157FC05D"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10,528,475 </w:t>
            </w:r>
          </w:p>
        </w:tc>
      </w:tr>
      <w:tr w:rsidR="00E732FA" w:rsidRPr="003C7CB1" w14:paraId="341D1E53" w14:textId="77777777" w:rsidTr="00E732FA">
        <w:trPr>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5D2B8EAB" w14:textId="77777777" w:rsidR="00E732FA" w:rsidRPr="003C7CB1" w:rsidRDefault="00E732FA" w:rsidP="00E732FA">
            <w:pPr>
              <w:spacing w:after="160"/>
              <w:rPr>
                <w:rFonts w:cstheme="minorHAnsi"/>
              </w:rPr>
            </w:pPr>
            <w:r w:rsidRPr="003C7CB1">
              <w:rPr>
                <w:rFonts w:cstheme="minorHAnsi"/>
              </w:rPr>
              <w:t>2017 *</w:t>
            </w:r>
          </w:p>
        </w:tc>
        <w:tc>
          <w:tcPr>
            <w:tcW w:w="738" w:type="pct"/>
            <w:noWrap/>
            <w:hideMark/>
          </w:tcPr>
          <w:p w14:paraId="6B0D2EC1"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2,000,009 </w:t>
            </w:r>
          </w:p>
        </w:tc>
        <w:tc>
          <w:tcPr>
            <w:tcW w:w="623" w:type="pct"/>
            <w:noWrap/>
            <w:hideMark/>
          </w:tcPr>
          <w:p w14:paraId="73C78CE2"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122,797 </w:t>
            </w:r>
          </w:p>
        </w:tc>
        <w:tc>
          <w:tcPr>
            <w:tcW w:w="734" w:type="pct"/>
            <w:noWrap/>
            <w:hideMark/>
          </w:tcPr>
          <w:p w14:paraId="4974B429"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1,877,212 </w:t>
            </w:r>
          </w:p>
        </w:tc>
        <w:tc>
          <w:tcPr>
            <w:tcW w:w="812" w:type="pct"/>
            <w:noWrap/>
            <w:hideMark/>
          </w:tcPr>
          <w:p w14:paraId="1D305EB1"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11,953,316 </w:t>
            </w:r>
          </w:p>
        </w:tc>
        <w:tc>
          <w:tcPr>
            <w:tcW w:w="734" w:type="pct"/>
            <w:noWrap/>
            <w:hideMark/>
          </w:tcPr>
          <w:p w14:paraId="63AD5EF3"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483,184 </w:t>
            </w:r>
          </w:p>
        </w:tc>
        <w:tc>
          <w:tcPr>
            <w:tcW w:w="809" w:type="pct"/>
            <w:noWrap/>
            <w:hideMark/>
          </w:tcPr>
          <w:p w14:paraId="0D208864"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11,470,132 </w:t>
            </w:r>
          </w:p>
        </w:tc>
      </w:tr>
      <w:tr w:rsidR="00E732FA" w:rsidRPr="003C7CB1" w14:paraId="4A89CCF6" w14:textId="77777777" w:rsidTr="00E732F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5C212041" w14:textId="77777777" w:rsidR="00E732FA" w:rsidRPr="003C7CB1" w:rsidRDefault="00E732FA" w:rsidP="00E732FA">
            <w:pPr>
              <w:spacing w:after="160"/>
              <w:rPr>
                <w:rFonts w:cstheme="minorHAnsi"/>
              </w:rPr>
            </w:pPr>
            <w:r w:rsidRPr="003C7CB1">
              <w:rPr>
                <w:rFonts w:cstheme="minorHAnsi"/>
              </w:rPr>
              <w:t xml:space="preserve">2018 </w:t>
            </w:r>
          </w:p>
        </w:tc>
        <w:tc>
          <w:tcPr>
            <w:tcW w:w="738" w:type="pct"/>
            <w:noWrap/>
            <w:hideMark/>
          </w:tcPr>
          <w:p w14:paraId="7DDF501A"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2,204,856 </w:t>
            </w:r>
          </w:p>
        </w:tc>
        <w:tc>
          <w:tcPr>
            <w:tcW w:w="623" w:type="pct"/>
            <w:noWrap/>
            <w:hideMark/>
          </w:tcPr>
          <w:p w14:paraId="7B10E443"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128,053 </w:t>
            </w:r>
          </w:p>
        </w:tc>
        <w:tc>
          <w:tcPr>
            <w:tcW w:w="734" w:type="pct"/>
            <w:noWrap/>
            <w:hideMark/>
          </w:tcPr>
          <w:p w14:paraId="5211D10E"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2,076,803 </w:t>
            </w:r>
          </w:p>
        </w:tc>
        <w:tc>
          <w:tcPr>
            <w:tcW w:w="812" w:type="pct"/>
            <w:noWrap/>
            <w:hideMark/>
          </w:tcPr>
          <w:p w14:paraId="108DE386"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3C7CB1">
              <w:rPr>
                <w:rFonts w:cstheme="minorHAnsi"/>
                <w:b/>
                <w:bCs/>
              </w:rPr>
              <w:t xml:space="preserve">12,930,334 </w:t>
            </w:r>
          </w:p>
        </w:tc>
        <w:tc>
          <w:tcPr>
            <w:tcW w:w="734" w:type="pct"/>
            <w:noWrap/>
            <w:hideMark/>
          </w:tcPr>
          <w:p w14:paraId="2E5E5290"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486,524 </w:t>
            </w:r>
          </w:p>
        </w:tc>
        <w:tc>
          <w:tcPr>
            <w:tcW w:w="809" w:type="pct"/>
            <w:noWrap/>
            <w:hideMark/>
          </w:tcPr>
          <w:p w14:paraId="739231B4" w14:textId="77777777" w:rsidR="00E732FA" w:rsidRPr="003C7CB1" w:rsidRDefault="00E732FA" w:rsidP="00E732FA">
            <w:pPr>
              <w:spacing w:after="16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12,443,810 </w:t>
            </w:r>
          </w:p>
        </w:tc>
      </w:tr>
      <w:tr w:rsidR="00E732FA" w:rsidRPr="003C7CB1" w14:paraId="0637A0BA" w14:textId="77777777" w:rsidTr="00E732FA">
        <w:trPr>
          <w:trHeight w:val="210"/>
          <w:jc w:val="center"/>
        </w:trPr>
        <w:tc>
          <w:tcPr>
            <w:cnfStyle w:val="001000000000" w:firstRow="0" w:lastRow="0" w:firstColumn="1" w:lastColumn="0" w:oddVBand="0" w:evenVBand="0" w:oddHBand="0" w:evenHBand="0" w:firstRowFirstColumn="0" w:firstRowLastColumn="0" w:lastRowFirstColumn="0" w:lastRowLastColumn="0"/>
            <w:tcW w:w="550" w:type="pct"/>
            <w:noWrap/>
            <w:hideMark/>
          </w:tcPr>
          <w:p w14:paraId="2388DBE6" w14:textId="77777777" w:rsidR="00E732FA" w:rsidRPr="003C7CB1" w:rsidRDefault="00E732FA" w:rsidP="00E732FA">
            <w:pPr>
              <w:spacing w:after="160"/>
              <w:rPr>
                <w:rFonts w:cstheme="minorHAnsi"/>
              </w:rPr>
            </w:pPr>
            <w:r w:rsidRPr="003C7CB1">
              <w:rPr>
                <w:rFonts w:cstheme="minorHAnsi"/>
              </w:rPr>
              <w:t xml:space="preserve">2019 </w:t>
            </w:r>
          </w:p>
        </w:tc>
        <w:tc>
          <w:tcPr>
            <w:tcW w:w="738" w:type="pct"/>
            <w:noWrap/>
            <w:hideMark/>
          </w:tcPr>
          <w:p w14:paraId="5468DAEC"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2,645,217 </w:t>
            </w:r>
          </w:p>
        </w:tc>
        <w:tc>
          <w:tcPr>
            <w:tcW w:w="623" w:type="pct"/>
            <w:noWrap/>
            <w:hideMark/>
          </w:tcPr>
          <w:p w14:paraId="55A37DCE"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135,592 </w:t>
            </w:r>
          </w:p>
        </w:tc>
        <w:tc>
          <w:tcPr>
            <w:tcW w:w="734" w:type="pct"/>
            <w:noWrap/>
            <w:hideMark/>
          </w:tcPr>
          <w:p w14:paraId="7C1E1B27"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2,509,625 </w:t>
            </w:r>
          </w:p>
        </w:tc>
        <w:tc>
          <w:tcPr>
            <w:tcW w:w="812" w:type="pct"/>
            <w:noWrap/>
            <w:hideMark/>
          </w:tcPr>
          <w:p w14:paraId="2A04A6C6"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3C7CB1">
              <w:rPr>
                <w:rFonts w:cstheme="minorHAnsi"/>
                <w:b/>
                <w:bCs/>
              </w:rPr>
              <w:t xml:space="preserve">14,455,920 </w:t>
            </w:r>
          </w:p>
        </w:tc>
        <w:tc>
          <w:tcPr>
            <w:tcW w:w="734" w:type="pct"/>
            <w:noWrap/>
            <w:hideMark/>
          </w:tcPr>
          <w:p w14:paraId="0F7EBA4C"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522,382 </w:t>
            </w:r>
          </w:p>
        </w:tc>
        <w:tc>
          <w:tcPr>
            <w:tcW w:w="809" w:type="pct"/>
            <w:noWrap/>
            <w:hideMark/>
          </w:tcPr>
          <w:p w14:paraId="0BBDAA36" w14:textId="77777777" w:rsidR="00E732FA" w:rsidRPr="003C7CB1" w:rsidRDefault="00E732FA" w:rsidP="00E732FA">
            <w:pPr>
              <w:spacing w:after="16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13,933,538 </w:t>
            </w:r>
          </w:p>
        </w:tc>
      </w:tr>
    </w:tbl>
    <w:p w14:paraId="1F1DC182" w14:textId="77777777" w:rsidR="00E732FA" w:rsidRPr="003C7CB1" w:rsidRDefault="00E732FA" w:rsidP="00E732FA">
      <w:pPr>
        <w:spacing w:after="0" w:line="240" w:lineRule="auto"/>
        <w:jc w:val="both"/>
        <w:rPr>
          <w:rFonts w:cstheme="minorHAnsi"/>
          <w:bCs/>
          <w:color w:val="000000"/>
          <w:sz w:val="18"/>
          <w:szCs w:val="18"/>
          <w:lang w:eastAsia="hr-HR"/>
        </w:rPr>
      </w:pPr>
      <w:r w:rsidRPr="003C7CB1">
        <w:rPr>
          <w:rFonts w:cstheme="minorHAnsi"/>
          <w:bCs/>
          <w:color w:val="000000"/>
          <w:sz w:val="18"/>
          <w:szCs w:val="18"/>
          <w:lang w:eastAsia="hr-HR"/>
        </w:rPr>
        <w:t xml:space="preserve">       </w:t>
      </w:r>
    </w:p>
    <w:p w14:paraId="53956C12" w14:textId="77777777" w:rsidR="00E732FA" w:rsidRPr="003C7CB1" w:rsidRDefault="00E732FA" w:rsidP="00E732FA">
      <w:pPr>
        <w:spacing w:after="0" w:line="240" w:lineRule="auto"/>
        <w:rPr>
          <w:rStyle w:val="Hyperlink"/>
          <w:rFonts w:cstheme="minorHAnsi"/>
          <w:bCs/>
          <w:i/>
          <w:sz w:val="20"/>
          <w:szCs w:val="20"/>
          <w:lang w:eastAsia="hr-HR"/>
        </w:rPr>
      </w:pPr>
      <w:r w:rsidRPr="003C7CB1">
        <w:rPr>
          <w:rFonts w:cstheme="minorHAnsi"/>
          <w:bCs/>
          <w:i/>
          <w:color w:val="000000"/>
          <w:sz w:val="20"/>
          <w:szCs w:val="20"/>
          <w:lang w:eastAsia="hr-HR"/>
        </w:rPr>
        <w:t xml:space="preserve">               Source: Statistical Office (MONSTAT), </w:t>
      </w:r>
      <w:hyperlink r:id="rId13" w:history="1">
        <w:r w:rsidRPr="003C7CB1">
          <w:rPr>
            <w:rStyle w:val="Hyperlink"/>
            <w:rFonts w:cstheme="minorHAnsi"/>
            <w:bCs/>
            <w:i/>
            <w:sz w:val="20"/>
            <w:szCs w:val="20"/>
            <w:lang w:eastAsia="hr-HR"/>
          </w:rPr>
          <w:t>http://monstat.org/cg/page.php?id=44&amp;pageid=44</w:t>
        </w:r>
      </w:hyperlink>
      <w:r w:rsidRPr="003C7CB1">
        <w:rPr>
          <w:rStyle w:val="Hyperlink"/>
          <w:rFonts w:cstheme="minorHAnsi"/>
          <w:bCs/>
          <w:i/>
          <w:sz w:val="20"/>
          <w:szCs w:val="20"/>
          <w:lang w:eastAsia="hr-HR"/>
        </w:rPr>
        <w:t xml:space="preserve"> </w:t>
      </w:r>
    </w:p>
    <w:p w14:paraId="265FD232" w14:textId="77777777" w:rsidR="00E732FA" w:rsidRPr="003C7CB1" w:rsidRDefault="00E732FA" w:rsidP="00E732FA">
      <w:pPr>
        <w:spacing w:after="0"/>
        <w:rPr>
          <w:rFonts w:cstheme="minorHAnsi"/>
          <w:b/>
          <w:bCs/>
          <w:color w:val="000000"/>
          <w:sz w:val="20"/>
          <w:szCs w:val="20"/>
          <w:lang w:eastAsia="hr-HR"/>
        </w:rPr>
      </w:pPr>
    </w:p>
    <w:p w14:paraId="450F91F8" w14:textId="77777777" w:rsidR="00E732FA" w:rsidRPr="003C7CB1" w:rsidRDefault="00E732FA" w:rsidP="00E732FA">
      <w:pPr>
        <w:spacing w:after="0"/>
        <w:jc w:val="center"/>
        <w:rPr>
          <w:rFonts w:cstheme="minorHAnsi"/>
          <w:b/>
          <w:bCs/>
          <w:color w:val="000000"/>
          <w:sz w:val="20"/>
          <w:szCs w:val="20"/>
          <w:lang w:eastAsia="hr-HR"/>
        </w:rPr>
      </w:pPr>
    </w:p>
    <w:p w14:paraId="015FADB7" w14:textId="77777777" w:rsidR="00E732FA" w:rsidRPr="003C7CB1" w:rsidRDefault="00E732FA" w:rsidP="00E732FA">
      <w:pPr>
        <w:spacing w:after="0"/>
        <w:jc w:val="center"/>
        <w:rPr>
          <w:rFonts w:cstheme="minorHAnsi"/>
          <w:b/>
          <w:bCs/>
          <w:color w:val="000000"/>
          <w:lang w:eastAsia="hr-HR"/>
        </w:rPr>
      </w:pPr>
      <w:r w:rsidRPr="003C7CB1">
        <w:rPr>
          <w:rFonts w:cstheme="minorHAnsi"/>
          <w:b/>
          <w:bCs/>
          <w:color w:val="000000"/>
          <w:lang w:eastAsia="hr-HR"/>
        </w:rPr>
        <w:t>Chart no. 1 - Number of tourist arrivals and overnight stays, Montenegro, period 2009-2019</w:t>
      </w:r>
    </w:p>
    <w:p w14:paraId="4E97F80E" w14:textId="77777777" w:rsidR="00E732FA" w:rsidRPr="003C7CB1" w:rsidRDefault="00E732FA" w:rsidP="00E732FA">
      <w:pPr>
        <w:spacing w:after="0"/>
        <w:jc w:val="center"/>
        <w:rPr>
          <w:rFonts w:cstheme="minorHAnsi"/>
          <w:b/>
          <w:bCs/>
          <w:color w:val="000000"/>
          <w:sz w:val="20"/>
          <w:szCs w:val="20"/>
          <w:lang w:eastAsia="hr-HR"/>
        </w:rPr>
      </w:pPr>
    </w:p>
    <w:p w14:paraId="3714223B" w14:textId="77777777" w:rsidR="00E732FA" w:rsidRPr="003C7CB1" w:rsidRDefault="00E732FA" w:rsidP="00E732FA">
      <w:pPr>
        <w:spacing w:after="0" w:line="240" w:lineRule="auto"/>
        <w:jc w:val="center"/>
        <w:rPr>
          <w:rFonts w:cstheme="minorHAnsi"/>
          <w:bCs/>
          <w:color w:val="000000"/>
          <w:sz w:val="24"/>
          <w:szCs w:val="24"/>
          <w:lang w:eastAsia="hr-HR"/>
        </w:rPr>
      </w:pPr>
      <w:r w:rsidRPr="003C7CB1">
        <w:rPr>
          <w:rFonts w:cstheme="minorHAnsi"/>
          <w:bCs/>
          <w:noProof/>
          <w:color w:val="000000"/>
          <w:sz w:val="24"/>
          <w:szCs w:val="24"/>
        </w:rPr>
        <w:drawing>
          <wp:inline distT="0" distB="0" distL="0" distR="0" wp14:anchorId="754631CE" wp14:editId="20F1A60C">
            <wp:extent cx="5311140" cy="2111298"/>
            <wp:effectExtent l="0" t="0" r="3810" b="381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71FB04" w14:textId="77777777" w:rsidR="00E732FA" w:rsidRPr="003C7CB1" w:rsidRDefault="00E732FA" w:rsidP="00E732FA">
      <w:pPr>
        <w:spacing w:after="0" w:line="240" w:lineRule="auto"/>
        <w:rPr>
          <w:rFonts w:cstheme="minorHAnsi"/>
          <w:bCs/>
          <w:i/>
          <w:iCs/>
          <w:color w:val="000000"/>
          <w:sz w:val="20"/>
          <w:szCs w:val="20"/>
          <w:lang w:eastAsia="hr-HR"/>
        </w:rPr>
      </w:pPr>
      <w:r w:rsidRPr="003C7CB1">
        <w:rPr>
          <w:rFonts w:cstheme="minorHAnsi"/>
          <w:bCs/>
          <w:i/>
          <w:iCs/>
          <w:color w:val="000000"/>
          <w:sz w:val="20"/>
          <w:szCs w:val="20"/>
          <w:lang w:eastAsia="hr-HR"/>
        </w:rPr>
        <w:t xml:space="preserve">       Source: Statistical Office (MONSTAT), edited by the Ministry of Economic Development</w:t>
      </w:r>
    </w:p>
    <w:p w14:paraId="21B78A2B" w14:textId="77777777" w:rsidR="00E732FA" w:rsidRPr="003C7CB1" w:rsidRDefault="00E732FA" w:rsidP="00E732FA">
      <w:pPr>
        <w:spacing w:after="0" w:line="240" w:lineRule="auto"/>
        <w:rPr>
          <w:rFonts w:cstheme="minorHAnsi"/>
          <w:bCs/>
          <w:i/>
          <w:iCs/>
          <w:color w:val="000000"/>
          <w:sz w:val="20"/>
          <w:szCs w:val="20"/>
          <w:lang w:eastAsia="hr-HR"/>
        </w:rPr>
      </w:pPr>
    </w:p>
    <w:p w14:paraId="193C5290" w14:textId="0F05CD0B" w:rsidR="00E732FA" w:rsidRPr="003C7CB1" w:rsidRDefault="00E732FA" w:rsidP="00E732FA">
      <w:pPr>
        <w:spacing w:after="120" w:line="240" w:lineRule="auto"/>
        <w:jc w:val="both"/>
        <w:rPr>
          <w:rFonts w:cstheme="minorHAnsi"/>
          <w:sz w:val="24"/>
          <w:szCs w:val="24"/>
        </w:rPr>
      </w:pPr>
      <w:r w:rsidRPr="003C7CB1">
        <w:rPr>
          <w:rFonts w:cstheme="minorHAnsi"/>
          <w:sz w:val="24"/>
          <w:szCs w:val="24"/>
        </w:rPr>
        <w:t>The following are a few characteristics of touris</w:t>
      </w:r>
      <w:r w:rsidR="008568EC">
        <w:rPr>
          <w:rFonts w:cstheme="minorHAnsi"/>
          <w:sz w:val="24"/>
          <w:szCs w:val="24"/>
        </w:rPr>
        <w:t>m turnover</w:t>
      </w:r>
      <w:r w:rsidRPr="003C7CB1">
        <w:rPr>
          <w:rFonts w:cstheme="minorHAnsi"/>
          <w:sz w:val="24"/>
          <w:szCs w:val="24"/>
        </w:rPr>
        <w:t xml:space="preserve"> in 2019 that apply analogously to all years in the observed period: </w:t>
      </w:r>
    </w:p>
    <w:p w14:paraId="3A3827F8" w14:textId="77777777" w:rsidR="00E732FA" w:rsidRPr="003C7CB1" w:rsidRDefault="00E732FA" w:rsidP="00E732FA">
      <w:pPr>
        <w:pStyle w:val="ListParagraph"/>
        <w:numPr>
          <w:ilvl w:val="0"/>
          <w:numId w:val="44"/>
        </w:numPr>
        <w:spacing w:after="120" w:line="240" w:lineRule="auto"/>
        <w:jc w:val="both"/>
        <w:rPr>
          <w:rFonts w:cstheme="minorHAnsi"/>
          <w:sz w:val="24"/>
          <w:szCs w:val="24"/>
        </w:rPr>
      </w:pPr>
      <w:r w:rsidRPr="003C7CB1">
        <w:rPr>
          <w:rFonts w:cstheme="minorHAnsi"/>
          <w:sz w:val="24"/>
          <w:szCs w:val="24"/>
        </w:rPr>
        <w:lastRenderedPageBreak/>
        <w:t xml:space="preserve">from the aspect of all types of accommodation capacities, i.e., collective (hotels, tourist settlements, motels, boarding houses, and similar facilities) and individual (private accommodation: rooms, houses, apartments and flats) accommodation capacities - 32.4% of the total number of overnight stays accounted for collective and 67.6% for individual accommodation;  </w:t>
      </w:r>
    </w:p>
    <w:p w14:paraId="17621DC7" w14:textId="77777777" w:rsidR="00E732FA" w:rsidRPr="003C7CB1" w:rsidRDefault="00E732FA" w:rsidP="00E732FA">
      <w:pPr>
        <w:pStyle w:val="ListParagraph"/>
        <w:numPr>
          <w:ilvl w:val="0"/>
          <w:numId w:val="44"/>
        </w:numPr>
        <w:spacing w:after="120" w:line="240" w:lineRule="auto"/>
        <w:jc w:val="both"/>
        <w:rPr>
          <w:rFonts w:cstheme="minorHAnsi"/>
          <w:sz w:val="24"/>
          <w:szCs w:val="24"/>
        </w:rPr>
      </w:pPr>
      <w:r w:rsidRPr="003C7CB1">
        <w:rPr>
          <w:rFonts w:cstheme="minorHAnsi"/>
          <w:sz w:val="24"/>
          <w:szCs w:val="24"/>
        </w:rPr>
        <w:t xml:space="preserve">within all types of accommodation, the share of the number of overnight stays in hotels was 21.7%. </w:t>
      </w:r>
    </w:p>
    <w:p w14:paraId="2A1D161D" w14:textId="230D98FC" w:rsidR="00E732FA" w:rsidRPr="003C7CB1" w:rsidRDefault="00E732FA" w:rsidP="00E732FA">
      <w:pPr>
        <w:spacing w:after="120" w:line="240" w:lineRule="auto"/>
        <w:jc w:val="both"/>
        <w:rPr>
          <w:rFonts w:cstheme="minorHAnsi"/>
          <w:sz w:val="24"/>
          <w:szCs w:val="24"/>
        </w:rPr>
      </w:pPr>
      <w:r w:rsidRPr="003C7CB1">
        <w:rPr>
          <w:rFonts w:cstheme="minorHAnsi"/>
          <w:sz w:val="24"/>
          <w:szCs w:val="24"/>
        </w:rPr>
        <w:t>Therefore, the largest part of touris</w:t>
      </w:r>
      <w:r w:rsidR="002D0B92">
        <w:rPr>
          <w:rFonts w:cstheme="minorHAnsi"/>
          <w:sz w:val="24"/>
          <w:szCs w:val="24"/>
        </w:rPr>
        <w:t>m turnover</w:t>
      </w:r>
      <w:r w:rsidRPr="003C7CB1">
        <w:rPr>
          <w:rFonts w:cstheme="minorHAnsi"/>
          <w:sz w:val="24"/>
          <w:szCs w:val="24"/>
        </w:rPr>
        <w:t xml:space="preserve"> in Montenegro is generated in individual (private) accommodation, while t</w:t>
      </w:r>
      <w:r w:rsidR="002D0B92">
        <w:rPr>
          <w:rFonts w:cstheme="minorHAnsi"/>
          <w:sz w:val="24"/>
          <w:szCs w:val="24"/>
        </w:rPr>
        <w:t>urnover</w:t>
      </w:r>
      <w:r w:rsidRPr="003C7CB1">
        <w:rPr>
          <w:rFonts w:cstheme="minorHAnsi"/>
          <w:sz w:val="24"/>
          <w:szCs w:val="24"/>
        </w:rPr>
        <w:t xml:space="preserve"> in hotels accounts for only about 20% of t</w:t>
      </w:r>
      <w:r w:rsidR="002D0B92">
        <w:rPr>
          <w:rFonts w:cstheme="minorHAnsi"/>
          <w:sz w:val="24"/>
          <w:szCs w:val="24"/>
        </w:rPr>
        <w:t>urnover</w:t>
      </w:r>
      <w:r w:rsidRPr="003C7CB1">
        <w:rPr>
          <w:rFonts w:cstheme="minorHAnsi"/>
          <w:sz w:val="24"/>
          <w:szCs w:val="24"/>
        </w:rPr>
        <w:t xml:space="preserve"> in all types of accommodation facilities.</w:t>
      </w:r>
      <w:r w:rsidRPr="003C7CB1">
        <w:t xml:space="preserve"> </w:t>
      </w:r>
      <w:r w:rsidRPr="003C7CB1">
        <w:rPr>
          <w:rFonts w:cstheme="minorHAnsi"/>
          <w:sz w:val="24"/>
          <w:szCs w:val="24"/>
        </w:rPr>
        <w:t xml:space="preserve">As the hotel industry, according to numerous analyzes, is the most important segment of the tourist offer, it is unequivocal that there is a need to improve the structure of accommodation capacities aiming to increase the share of hotels in total capacities.  </w:t>
      </w:r>
    </w:p>
    <w:p w14:paraId="38E62091" w14:textId="5EC62626" w:rsidR="00E732FA" w:rsidRPr="003C7CB1" w:rsidRDefault="00E732FA" w:rsidP="00E732FA">
      <w:pPr>
        <w:spacing w:after="120" w:line="240" w:lineRule="auto"/>
        <w:jc w:val="both"/>
        <w:rPr>
          <w:rFonts w:cstheme="minorHAnsi"/>
          <w:sz w:val="24"/>
          <w:szCs w:val="24"/>
        </w:rPr>
      </w:pPr>
      <w:r w:rsidRPr="003C7CB1">
        <w:rPr>
          <w:rFonts w:cstheme="minorHAnsi"/>
          <w:sz w:val="24"/>
          <w:szCs w:val="24"/>
        </w:rPr>
        <w:t>When it comes to touris</w:t>
      </w:r>
      <w:r w:rsidR="002D0B92">
        <w:rPr>
          <w:rFonts w:cstheme="minorHAnsi"/>
          <w:sz w:val="24"/>
          <w:szCs w:val="24"/>
        </w:rPr>
        <w:t>m turnover</w:t>
      </w:r>
      <w:r w:rsidRPr="003C7CB1">
        <w:rPr>
          <w:rFonts w:cstheme="minorHAnsi"/>
          <w:sz w:val="24"/>
          <w:szCs w:val="24"/>
        </w:rPr>
        <w:t xml:space="preserve">, it is important to note that a large part of it (unregistered) is generated through business in the gray zone, which is one of the long-standing problems in the tourism industry and is the basis for intensifying and improving inspection services. </w:t>
      </w:r>
    </w:p>
    <w:p w14:paraId="6F7C1FD5" w14:textId="77777777" w:rsidR="00E732FA" w:rsidRPr="003C7CB1" w:rsidRDefault="00E732FA" w:rsidP="00E732FA">
      <w:pPr>
        <w:spacing w:after="120" w:line="240" w:lineRule="auto"/>
        <w:jc w:val="both"/>
        <w:rPr>
          <w:rFonts w:cstheme="minorHAnsi"/>
          <w:sz w:val="24"/>
          <w:szCs w:val="24"/>
        </w:rPr>
      </w:pPr>
    </w:p>
    <w:p w14:paraId="07DE2153" w14:textId="77777777" w:rsidR="00E732FA" w:rsidRPr="003C7CB1" w:rsidRDefault="00E732FA" w:rsidP="00E732FA">
      <w:pPr>
        <w:pStyle w:val="Heading3"/>
        <w:spacing w:before="0" w:after="120" w:line="276" w:lineRule="auto"/>
        <w:ind w:left="720"/>
        <w:rPr>
          <w:b/>
          <w:color w:val="2F5496" w:themeColor="accent1" w:themeShade="BF"/>
        </w:rPr>
      </w:pPr>
      <w:bookmarkStart w:id="26" w:name="_Toc91286157"/>
      <w:bookmarkStart w:id="27" w:name="_Toc95302999"/>
      <w:bookmarkStart w:id="28" w:name="_Toc102133790"/>
      <w:bookmarkStart w:id="29" w:name="_Toc104544174"/>
      <w:r w:rsidRPr="003C7CB1">
        <w:rPr>
          <w:b/>
          <w:color w:val="2F5496" w:themeColor="accent1" w:themeShade="BF"/>
        </w:rPr>
        <w:t xml:space="preserve">2.2.2. </w:t>
      </w:r>
      <w:bookmarkEnd w:id="26"/>
      <w:bookmarkEnd w:id="27"/>
      <w:r w:rsidRPr="003C7CB1">
        <w:rPr>
          <w:b/>
          <w:color w:val="2F5496" w:themeColor="accent1" w:themeShade="BF"/>
        </w:rPr>
        <w:t>Tourism Revenues</w:t>
      </w:r>
      <w:bookmarkEnd w:id="28"/>
      <w:bookmarkEnd w:id="29"/>
      <w:r w:rsidRPr="003C7CB1">
        <w:rPr>
          <w:b/>
          <w:color w:val="2F5496" w:themeColor="accent1" w:themeShade="BF"/>
        </w:rPr>
        <w:t xml:space="preserve"> </w:t>
      </w:r>
    </w:p>
    <w:p w14:paraId="6FB112D7" w14:textId="7DE02817" w:rsidR="00E732FA" w:rsidRPr="003C7CB1" w:rsidRDefault="00E732FA" w:rsidP="00E732FA">
      <w:pPr>
        <w:spacing w:after="120" w:line="240" w:lineRule="auto"/>
        <w:jc w:val="both"/>
        <w:rPr>
          <w:rFonts w:cs="Arial"/>
          <w:bCs/>
          <w:color w:val="000000" w:themeColor="text1"/>
          <w:sz w:val="24"/>
          <w:szCs w:val="24"/>
        </w:rPr>
      </w:pPr>
      <w:bookmarkStart w:id="30" w:name="_Hlk97639959"/>
      <w:r w:rsidRPr="003C7CB1">
        <w:rPr>
          <w:rFonts w:cs="Arial"/>
          <w:bCs/>
          <w:color w:val="000000" w:themeColor="text1"/>
          <w:sz w:val="24"/>
          <w:szCs w:val="24"/>
        </w:rPr>
        <w:t>Revenues in tourism were constantly increasing, if we look at the period ending in 2019, primarily due to the continuous increase in the number of overnight stays. The Central Bank of Montenegro (CBM) estimates tourism revenues from foreign guests (who account for about 90% of total revenues on an annual basis) on a quarterly basis, while the Ministry estimates revenues from domestic guests (at an average annual level of about 10% of total revenues). According to the above calculation methodology, with an estimate of t</w:t>
      </w:r>
      <w:r w:rsidR="007224D0">
        <w:rPr>
          <w:rFonts w:cs="Arial"/>
          <w:bCs/>
          <w:color w:val="000000" w:themeColor="text1"/>
          <w:sz w:val="24"/>
          <w:szCs w:val="24"/>
        </w:rPr>
        <w:t>urnover</w:t>
      </w:r>
      <w:r w:rsidRPr="003C7CB1">
        <w:rPr>
          <w:rFonts w:cs="Arial"/>
          <w:bCs/>
          <w:color w:val="000000" w:themeColor="text1"/>
          <w:sz w:val="24"/>
          <w:szCs w:val="24"/>
        </w:rPr>
        <w:t xml:space="preserve"> in the gray economy, revenues generated in 2019 are 92% higher than in 2009 (Table 3 and Chart 2). Over the last five years, and before the COVID-19 pandemic, tourism revenues in Montenegro had grown at an average annual rate of about 10%. </w:t>
      </w:r>
    </w:p>
    <w:bookmarkEnd w:id="30"/>
    <w:p w14:paraId="772CA9F4" w14:textId="77777777" w:rsidR="00E732FA" w:rsidRPr="003C7CB1" w:rsidRDefault="00E732FA" w:rsidP="00E732FA">
      <w:pPr>
        <w:pStyle w:val="Default"/>
        <w:jc w:val="center"/>
        <w:rPr>
          <w:rFonts w:asciiTheme="minorHAnsi" w:hAnsiTheme="minorHAnsi"/>
          <w:b/>
          <w:i/>
          <w:sz w:val="22"/>
          <w:szCs w:val="22"/>
        </w:rPr>
      </w:pPr>
      <w:r w:rsidRPr="003C7CB1">
        <w:rPr>
          <w:rFonts w:asciiTheme="minorHAnsi" w:hAnsiTheme="minorHAnsi"/>
          <w:b/>
          <w:i/>
          <w:sz w:val="22"/>
          <w:szCs w:val="22"/>
        </w:rPr>
        <w:t xml:space="preserve">Table 3: Revenues from travel / tourism from domestic and foreign guests </w:t>
      </w:r>
    </w:p>
    <w:p w14:paraId="0780EC8E" w14:textId="77777777" w:rsidR="00E732FA" w:rsidRPr="003C7CB1" w:rsidRDefault="00E732FA" w:rsidP="00E732FA">
      <w:pPr>
        <w:pStyle w:val="Default"/>
        <w:jc w:val="center"/>
        <w:rPr>
          <w:rFonts w:asciiTheme="minorHAnsi" w:hAnsiTheme="minorHAnsi"/>
          <w:b/>
          <w:i/>
          <w:sz w:val="22"/>
          <w:szCs w:val="22"/>
        </w:rPr>
      </w:pPr>
    </w:p>
    <w:tbl>
      <w:tblPr>
        <w:tblStyle w:val="GridTable5Dark-Accent52"/>
        <w:tblW w:w="4296" w:type="pct"/>
        <w:jc w:val="center"/>
        <w:tblLook w:val="04A0" w:firstRow="1" w:lastRow="0" w:firstColumn="1" w:lastColumn="0" w:noHBand="0" w:noVBand="1"/>
      </w:tblPr>
      <w:tblGrid>
        <w:gridCol w:w="2457"/>
        <w:gridCol w:w="2834"/>
        <w:gridCol w:w="2456"/>
      </w:tblGrid>
      <w:tr w:rsidR="00E732FA" w:rsidRPr="003C7CB1" w14:paraId="57F0AA3B" w14:textId="77777777" w:rsidTr="00E732FA">
        <w:trPr>
          <w:cnfStyle w:val="100000000000" w:firstRow="1" w:lastRow="0" w:firstColumn="0" w:lastColumn="0" w:oddVBand="0" w:evenVBand="0" w:oddHBand="0"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77FFC140" w14:textId="77777777" w:rsidR="00E732FA" w:rsidRPr="003C7CB1" w:rsidRDefault="00E732FA" w:rsidP="00E732FA">
            <w:pPr>
              <w:spacing w:after="0" w:line="240" w:lineRule="auto"/>
              <w:jc w:val="center"/>
              <w:rPr>
                <w:rFonts w:eastAsia="Times New Roman" w:cstheme="minorHAnsi"/>
                <w:i/>
              </w:rPr>
            </w:pPr>
            <w:r w:rsidRPr="003C7CB1">
              <w:rPr>
                <w:rFonts w:eastAsia="Times New Roman" w:cstheme="minorHAnsi"/>
                <w:i/>
              </w:rPr>
              <w:t xml:space="preserve">Year </w:t>
            </w:r>
          </w:p>
        </w:tc>
        <w:tc>
          <w:tcPr>
            <w:tcW w:w="1829" w:type="pct"/>
            <w:noWrap/>
            <w:hideMark/>
          </w:tcPr>
          <w:p w14:paraId="29A5A0E6"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i/>
              </w:rPr>
            </w:pPr>
            <w:r w:rsidRPr="003C7CB1">
              <w:rPr>
                <w:rFonts w:eastAsia="Times New Roman" w:cstheme="minorHAnsi"/>
                <w:i/>
              </w:rPr>
              <w:t>Amount of revenue</w:t>
            </w:r>
          </w:p>
        </w:tc>
        <w:tc>
          <w:tcPr>
            <w:tcW w:w="1585" w:type="pct"/>
            <w:noWrap/>
            <w:hideMark/>
          </w:tcPr>
          <w:p w14:paraId="521A59B7"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i/>
              </w:rPr>
            </w:pPr>
            <w:r w:rsidRPr="003C7CB1">
              <w:rPr>
                <w:rFonts w:eastAsia="Times New Roman" w:cstheme="minorHAnsi"/>
                <w:i/>
              </w:rPr>
              <w:t>Index</w:t>
            </w:r>
          </w:p>
        </w:tc>
      </w:tr>
      <w:tr w:rsidR="00E732FA" w:rsidRPr="003C7CB1" w14:paraId="24888513"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46BF70BA"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2009 </w:t>
            </w:r>
          </w:p>
        </w:tc>
        <w:tc>
          <w:tcPr>
            <w:tcW w:w="1829" w:type="pct"/>
            <w:noWrap/>
            <w:hideMark/>
          </w:tcPr>
          <w:p w14:paraId="39545A80"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C7CB1">
              <w:rPr>
                <w:rFonts w:ascii="Calibri" w:eastAsia="Times New Roman" w:hAnsi="Calibri" w:cs="Calibri"/>
                <w:color w:val="000000"/>
              </w:rPr>
              <w:t xml:space="preserve">€ </w:t>
            </w:r>
            <w:r w:rsidRPr="003C7CB1">
              <w:rPr>
                <w:rFonts w:eastAsia="Times New Roman" w:cstheme="minorHAnsi"/>
              </w:rPr>
              <w:t>597</w:t>
            </w:r>
            <w:r w:rsidRPr="003C7CB1">
              <w:rPr>
                <w:rFonts w:ascii="Calibri" w:eastAsia="Times New Roman" w:hAnsi="Calibri" w:cs="Calibri"/>
                <w:color w:val="000000"/>
              </w:rPr>
              <w:t xml:space="preserve"> million </w:t>
            </w:r>
          </w:p>
        </w:tc>
        <w:tc>
          <w:tcPr>
            <w:tcW w:w="1585" w:type="pct"/>
            <w:noWrap/>
            <w:hideMark/>
          </w:tcPr>
          <w:p w14:paraId="7420AC8D"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C7CB1">
              <w:rPr>
                <w:rFonts w:eastAsia="Times New Roman" w:cstheme="minorHAnsi"/>
              </w:rPr>
              <w:t>-</w:t>
            </w:r>
          </w:p>
        </w:tc>
      </w:tr>
      <w:tr w:rsidR="00E732FA" w:rsidRPr="003C7CB1" w14:paraId="23BAE53F" w14:textId="77777777" w:rsidTr="00E732FA">
        <w:trPr>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2465FA74"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2010 </w:t>
            </w:r>
          </w:p>
        </w:tc>
        <w:tc>
          <w:tcPr>
            <w:tcW w:w="1829" w:type="pct"/>
            <w:noWrap/>
            <w:hideMark/>
          </w:tcPr>
          <w:p w14:paraId="7745F1BB"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C7CB1">
              <w:rPr>
                <w:rFonts w:ascii="Calibri" w:eastAsia="Times New Roman" w:hAnsi="Calibri" w:cs="Calibri"/>
                <w:color w:val="000000"/>
              </w:rPr>
              <w:t xml:space="preserve">€ </w:t>
            </w:r>
            <w:r w:rsidRPr="003C7CB1">
              <w:rPr>
                <w:rFonts w:eastAsia="Times New Roman" w:cstheme="minorHAnsi"/>
              </w:rPr>
              <w:t>635</w:t>
            </w:r>
            <w:r w:rsidRPr="003C7CB1">
              <w:rPr>
                <w:rFonts w:ascii="Calibri" w:eastAsia="Times New Roman" w:hAnsi="Calibri" w:cs="Calibri"/>
                <w:color w:val="000000"/>
              </w:rPr>
              <w:t xml:space="preserve"> million </w:t>
            </w:r>
          </w:p>
        </w:tc>
        <w:tc>
          <w:tcPr>
            <w:tcW w:w="1585" w:type="pct"/>
            <w:noWrap/>
            <w:hideMark/>
          </w:tcPr>
          <w:p w14:paraId="5157789C"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C7CB1">
              <w:rPr>
                <w:rFonts w:eastAsia="Times New Roman" w:cstheme="minorHAnsi"/>
              </w:rPr>
              <w:t>106</w:t>
            </w:r>
          </w:p>
        </w:tc>
      </w:tr>
      <w:tr w:rsidR="00E732FA" w:rsidRPr="003C7CB1" w14:paraId="497F32E5"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53F95CEE"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2011 </w:t>
            </w:r>
          </w:p>
        </w:tc>
        <w:tc>
          <w:tcPr>
            <w:tcW w:w="1829" w:type="pct"/>
            <w:noWrap/>
            <w:hideMark/>
          </w:tcPr>
          <w:p w14:paraId="206EF566"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C7CB1">
              <w:rPr>
                <w:rFonts w:ascii="Calibri" w:eastAsia="Times New Roman" w:hAnsi="Calibri" w:cs="Calibri"/>
                <w:color w:val="000000"/>
              </w:rPr>
              <w:t xml:space="preserve">€ </w:t>
            </w:r>
            <w:r w:rsidRPr="003C7CB1">
              <w:rPr>
                <w:rFonts w:eastAsia="Times New Roman" w:cstheme="minorHAnsi"/>
              </w:rPr>
              <w:t>671</w:t>
            </w:r>
            <w:r w:rsidRPr="003C7CB1">
              <w:t xml:space="preserve"> </w:t>
            </w:r>
            <w:r w:rsidRPr="003C7CB1">
              <w:rPr>
                <w:rFonts w:ascii="Calibri" w:eastAsia="Times New Roman" w:hAnsi="Calibri" w:cs="Calibri"/>
                <w:color w:val="000000"/>
              </w:rPr>
              <w:t xml:space="preserve">million </w:t>
            </w:r>
          </w:p>
        </w:tc>
        <w:tc>
          <w:tcPr>
            <w:tcW w:w="1585" w:type="pct"/>
            <w:noWrap/>
            <w:hideMark/>
          </w:tcPr>
          <w:p w14:paraId="5BC902D9"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C7CB1">
              <w:rPr>
                <w:rFonts w:eastAsia="Times New Roman" w:cstheme="minorHAnsi"/>
              </w:rPr>
              <w:t>106</w:t>
            </w:r>
          </w:p>
        </w:tc>
      </w:tr>
      <w:tr w:rsidR="00E732FA" w:rsidRPr="003C7CB1" w14:paraId="5F6B1A44" w14:textId="77777777" w:rsidTr="00E732FA">
        <w:trPr>
          <w:trHeight w:val="155"/>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2FD062E5"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2012 </w:t>
            </w:r>
          </w:p>
        </w:tc>
        <w:tc>
          <w:tcPr>
            <w:tcW w:w="1829" w:type="pct"/>
            <w:noWrap/>
            <w:hideMark/>
          </w:tcPr>
          <w:p w14:paraId="686EADA7"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C7CB1">
              <w:rPr>
                <w:rFonts w:ascii="Calibri" w:eastAsia="Times New Roman" w:hAnsi="Calibri" w:cs="Calibri"/>
                <w:color w:val="000000"/>
              </w:rPr>
              <w:t xml:space="preserve">€ </w:t>
            </w:r>
            <w:r w:rsidRPr="003C7CB1">
              <w:rPr>
                <w:rFonts w:eastAsia="Times New Roman" w:cstheme="minorHAnsi"/>
              </w:rPr>
              <w:t>700</w:t>
            </w:r>
            <w:r w:rsidRPr="003C7CB1">
              <w:t xml:space="preserve"> </w:t>
            </w:r>
            <w:r w:rsidRPr="003C7CB1">
              <w:rPr>
                <w:rFonts w:ascii="Calibri" w:eastAsia="Times New Roman" w:hAnsi="Calibri" w:cs="Calibri"/>
                <w:color w:val="000000"/>
              </w:rPr>
              <w:t xml:space="preserve">million </w:t>
            </w:r>
          </w:p>
        </w:tc>
        <w:tc>
          <w:tcPr>
            <w:tcW w:w="1585" w:type="pct"/>
            <w:noWrap/>
            <w:hideMark/>
          </w:tcPr>
          <w:p w14:paraId="7908BDED"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C7CB1">
              <w:rPr>
                <w:rFonts w:eastAsia="Times New Roman" w:cstheme="minorHAnsi"/>
              </w:rPr>
              <w:t>104</w:t>
            </w:r>
          </w:p>
        </w:tc>
      </w:tr>
      <w:tr w:rsidR="00E732FA" w:rsidRPr="003C7CB1" w14:paraId="1DE4E60B"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2ADB9592"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2013 </w:t>
            </w:r>
          </w:p>
        </w:tc>
        <w:tc>
          <w:tcPr>
            <w:tcW w:w="1829" w:type="pct"/>
            <w:noWrap/>
            <w:hideMark/>
          </w:tcPr>
          <w:p w14:paraId="4505C6F9"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C7CB1">
              <w:rPr>
                <w:rFonts w:eastAsia="Times New Roman" w:cstheme="minorHAnsi"/>
              </w:rPr>
              <w:t xml:space="preserve">€ 721 million </w:t>
            </w:r>
          </w:p>
        </w:tc>
        <w:tc>
          <w:tcPr>
            <w:tcW w:w="1585" w:type="pct"/>
            <w:noWrap/>
            <w:hideMark/>
          </w:tcPr>
          <w:p w14:paraId="09AF1C7F"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3C7CB1">
              <w:rPr>
                <w:rFonts w:eastAsia="Times New Roman" w:cstheme="minorHAnsi"/>
              </w:rPr>
              <w:t>103</w:t>
            </w:r>
          </w:p>
        </w:tc>
      </w:tr>
      <w:tr w:rsidR="00E732FA" w:rsidRPr="003C7CB1" w14:paraId="1053E621" w14:textId="77777777" w:rsidTr="00E732FA">
        <w:trPr>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7159E66C"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2014 </w:t>
            </w:r>
          </w:p>
        </w:tc>
        <w:tc>
          <w:tcPr>
            <w:tcW w:w="1829" w:type="pct"/>
            <w:noWrap/>
            <w:hideMark/>
          </w:tcPr>
          <w:p w14:paraId="20E9A071"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C7CB1">
              <w:rPr>
                <w:rFonts w:eastAsia="Times New Roman" w:cstheme="minorHAnsi"/>
              </w:rPr>
              <w:t xml:space="preserve">€ 729 million </w:t>
            </w:r>
          </w:p>
        </w:tc>
        <w:tc>
          <w:tcPr>
            <w:tcW w:w="1585" w:type="pct"/>
            <w:noWrap/>
            <w:hideMark/>
          </w:tcPr>
          <w:p w14:paraId="3DBCD569"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C7CB1">
              <w:rPr>
                <w:rFonts w:eastAsia="Times New Roman" w:cstheme="minorHAnsi"/>
              </w:rPr>
              <w:t>101.1</w:t>
            </w:r>
          </w:p>
        </w:tc>
      </w:tr>
      <w:tr w:rsidR="00E732FA" w:rsidRPr="003C7CB1" w14:paraId="67630C7B"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tcPr>
          <w:p w14:paraId="7DB03050"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2015 </w:t>
            </w:r>
          </w:p>
        </w:tc>
        <w:tc>
          <w:tcPr>
            <w:tcW w:w="1829" w:type="pct"/>
            <w:noWrap/>
          </w:tcPr>
          <w:p w14:paraId="6B3A7355"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rPr>
            </w:pPr>
            <w:r w:rsidRPr="003C7CB1">
              <w:rPr>
                <w:rFonts w:ascii="Calibri" w:eastAsia="Times New Roman" w:hAnsi="Calibri" w:cs="Calibri"/>
                <w:color w:val="000000"/>
              </w:rPr>
              <w:t xml:space="preserve">€ 862 million </w:t>
            </w:r>
          </w:p>
        </w:tc>
        <w:tc>
          <w:tcPr>
            <w:tcW w:w="1585" w:type="pct"/>
            <w:noWrap/>
          </w:tcPr>
          <w:p w14:paraId="3C6770E6"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rPr>
            </w:pPr>
            <w:r w:rsidRPr="003C7CB1">
              <w:rPr>
                <w:rFonts w:eastAsia="Times New Roman" w:cstheme="minorHAnsi"/>
              </w:rPr>
              <w:t>118.2</w:t>
            </w:r>
          </w:p>
        </w:tc>
      </w:tr>
      <w:tr w:rsidR="00E732FA" w:rsidRPr="003C7CB1" w14:paraId="09D497C5" w14:textId="77777777" w:rsidTr="00E732FA">
        <w:trPr>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5DE2BE39"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2016 </w:t>
            </w:r>
          </w:p>
        </w:tc>
        <w:tc>
          <w:tcPr>
            <w:tcW w:w="1829" w:type="pct"/>
            <w:noWrap/>
            <w:hideMark/>
          </w:tcPr>
          <w:p w14:paraId="5EA86DFE"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 xml:space="preserve">€ 881 million </w:t>
            </w:r>
          </w:p>
        </w:tc>
        <w:tc>
          <w:tcPr>
            <w:tcW w:w="1585" w:type="pct"/>
            <w:noWrap/>
            <w:hideMark/>
          </w:tcPr>
          <w:p w14:paraId="7E908894"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102.2</w:t>
            </w:r>
          </w:p>
        </w:tc>
      </w:tr>
      <w:tr w:rsidR="00E732FA" w:rsidRPr="003C7CB1" w14:paraId="4C9A073A"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3BCF19BD"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2017 </w:t>
            </w:r>
          </w:p>
        </w:tc>
        <w:tc>
          <w:tcPr>
            <w:tcW w:w="1829" w:type="pct"/>
            <w:noWrap/>
            <w:hideMark/>
          </w:tcPr>
          <w:p w14:paraId="131B31D8"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 xml:space="preserve">€ 959 million </w:t>
            </w:r>
          </w:p>
        </w:tc>
        <w:tc>
          <w:tcPr>
            <w:tcW w:w="1585" w:type="pct"/>
            <w:noWrap/>
            <w:hideMark/>
          </w:tcPr>
          <w:p w14:paraId="1553D834"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108.8</w:t>
            </w:r>
          </w:p>
        </w:tc>
      </w:tr>
      <w:tr w:rsidR="00E732FA" w:rsidRPr="003C7CB1" w14:paraId="3A438D77" w14:textId="77777777" w:rsidTr="00E732FA">
        <w:trPr>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4C1408B9"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2018 </w:t>
            </w:r>
          </w:p>
        </w:tc>
        <w:tc>
          <w:tcPr>
            <w:tcW w:w="1829" w:type="pct"/>
            <w:noWrap/>
            <w:hideMark/>
          </w:tcPr>
          <w:p w14:paraId="379F7414" w14:textId="77777777" w:rsidR="00E732FA" w:rsidRPr="003C7CB1" w:rsidRDefault="00E732FA" w:rsidP="00E732F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 xml:space="preserve">           €  1.039 billion </w:t>
            </w:r>
          </w:p>
        </w:tc>
        <w:tc>
          <w:tcPr>
            <w:tcW w:w="1585" w:type="pct"/>
            <w:noWrap/>
            <w:hideMark/>
          </w:tcPr>
          <w:p w14:paraId="7B34F90E"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108.3</w:t>
            </w:r>
          </w:p>
        </w:tc>
      </w:tr>
      <w:tr w:rsidR="00E732FA" w:rsidRPr="003C7CB1" w14:paraId="7511FE0D"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586" w:type="pct"/>
            <w:noWrap/>
            <w:hideMark/>
          </w:tcPr>
          <w:p w14:paraId="4C96DFFA" w14:textId="77777777" w:rsidR="00E732FA" w:rsidRPr="003C7CB1" w:rsidRDefault="00E732FA" w:rsidP="00E732FA">
            <w:pPr>
              <w:spacing w:after="0" w:line="240" w:lineRule="auto"/>
              <w:jc w:val="center"/>
              <w:rPr>
                <w:rFonts w:eastAsia="Times New Roman" w:cstheme="minorHAnsi"/>
              </w:rPr>
            </w:pPr>
            <w:r w:rsidRPr="003C7CB1">
              <w:rPr>
                <w:rFonts w:eastAsia="Times New Roman" w:cstheme="minorHAnsi"/>
              </w:rPr>
              <w:t xml:space="preserve">2019 </w:t>
            </w:r>
          </w:p>
        </w:tc>
        <w:tc>
          <w:tcPr>
            <w:tcW w:w="1829" w:type="pct"/>
            <w:noWrap/>
            <w:hideMark/>
          </w:tcPr>
          <w:p w14:paraId="531B5A2D" w14:textId="77777777" w:rsidR="00E732FA" w:rsidRPr="003C7CB1" w:rsidRDefault="00E732FA" w:rsidP="00E732F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 xml:space="preserve">           €  1.140 billion </w:t>
            </w:r>
          </w:p>
        </w:tc>
        <w:tc>
          <w:tcPr>
            <w:tcW w:w="1585" w:type="pct"/>
            <w:noWrap/>
            <w:hideMark/>
          </w:tcPr>
          <w:p w14:paraId="5B5F60D0"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C7CB1">
              <w:rPr>
                <w:rFonts w:ascii="Calibri" w:eastAsia="Times New Roman" w:hAnsi="Calibri" w:cs="Calibri"/>
                <w:color w:val="000000"/>
              </w:rPr>
              <w:t>109.7</w:t>
            </w:r>
          </w:p>
        </w:tc>
      </w:tr>
    </w:tbl>
    <w:p w14:paraId="4E4C278B" w14:textId="77777777" w:rsidR="00E732FA" w:rsidRPr="003C7CB1" w:rsidRDefault="00E732FA" w:rsidP="00E732FA">
      <w:pPr>
        <w:spacing w:after="0" w:line="240" w:lineRule="auto"/>
        <w:rPr>
          <w:color w:val="0563C1" w:themeColor="hyperlink"/>
          <w:sz w:val="20"/>
          <w:szCs w:val="20"/>
          <w:u w:val="single"/>
        </w:rPr>
      </w:pPr>
      <w:r w:rsidRPr="003C7CB1">
        <w:rPr>
          <w:i/>
          <w:iCs/>
          <w:sz w:val="20"/>
          <w:szCs w:val="20"/>
        </w:rPr>
        <w:t xml:space="preserve">Source: Assessment of the Ministry of Economic Development based on data from the Central Bank of Montenegro, </w:t>
      </w:r>
      <w:hyperlink r:id="rId15" w:history="1">
        <w:r w:rsidRPr="003C7CB1">
          <w:rPr>
            <w:rStyle w:val="Hyperlink"/>
            <w:sz w:val="20"/>
            <w:szCs w:val="20"/>
          </w:rPr>
          <w:t>https://www.cbcg.me/me/statistika/statisticki-podaci/ekonomski-odnosi-sa-inostranstvom/platni-bilans</w:t>
        </w:r>
      </w:hyperlink>
      <w:r w:rsidRPr="003C7CB1">
        <w:rPr>
          <w:rStyle w:val="Hyperlink"/>
          <w:sz w:val="20"/>
          <w:szCs w:val="20"/>
        </w:rPr>
        <w:t xml:space="preserve"> </w:t>
      </w:r>
    </w:p>
    <w:p w14:paraId="5A95CBD9" w14:textId="77777777" w:rsidR="00E732FA" w:rsidRPr="003C7CB1" w:rsidRDefault="00E732FA" w:rsidP="00E732FA">
      <w:pPr>
        <w:spacing w:after="0" w:line="240" w:lineRule="auto"/>
        <w:rPr>
          <w:rFonts w:eastAsia="Times New Roman" w:cs="Arial"/>
          <w:b/>
          <w:sz w:val="20"/>
          <w:szCs w:val="20"/>
        </w:rPr>
      </w:pPr>
    </w:p>
    <w:p w14:paraId="3FBA2131" w14:textId="77777777" w:rsidR="00E732FA" w:rsidRPr="003C7CB1" w:rsidRDefault="00E732FA" w:rsidP="00E732FA">
      <w:pPr>
        <w:spacing w:after="0" w:line="240" w:lineRule="auto"/>
        <w:rPr>
          <w:rFonts w:eastAsia="Times New Roman" w:cs="Arial"/>
          <w:b/>
          <w:sz w:val="20"/>
          <w:szCs w:val="20"/>
        </w:rPr>
      </w:pPr>
    </w:p>
    <w:p w14:paraId="62983B13" w14:textId="77777777" w:rsidR="00E732FA" w:rsidRPr="003C7CB1" w:rsidRDefault="00E732FA" w:rsidP="00E732FA">
      <w:pPr>
        <w:spacing w:after="0" w:line="240" w:lineRule="auto"/>
        <w:jc w:val="center"/>
        <w:rPr>
          <w:rFonts w:eastAsia="Times New Roman" w:cs="Arial"/>
          <w:b/>
        </w:rPr>
      </w:pPr>
      <w:r w:rsidRPr="003C7CB1">
        <w:rPr>
          <w:rFonts w:eastAsia="Times New Roman" w:cs="Arial"/>
          <w:b/>
        </w:rPr>
        <w:lastRenderedPageBreak/>
        <w:t>Chart no. 2 -</w:t>
      </w:r>
      <w:r w:rsidRPr="003C7CB1">
        <w:rPr>
          <w:rFonts w:eastAsia="Times New Roman" w:cs="Arial"/>
        </w:rPr>
        <w:t xml:space="preserve"> </w:t>
      </w:r>
      <w:r w:rsidRPr="003C7CB1">
        <w:rPr>
          <w:rFonts w:eastAsia="Times New Roman" w:cs="Arial"/>
          <w:b/>
        </w:rPr>
        <w:t xml:space="preserve">Overview of tourism revenue growth for the period from 2009 to 2019 </w:t>
      </w:r>
    </w:p>
    <w:p w14:paraId="051F45C9" w14:textId="77777777" w:rsidR="00E732FA" w:rsidRPr="003C7CB1" w:rsidRDefault="00E732FA" w:rsidP="00E732FA">
      <w:pPr>
        <w:spacing w:after="0" w:line="240" w:lineRule="auto"/>
        <w:jc w:val="center"/>
        <w:rPr>
          <w:rFonts w:eastAsia="Times New Roman" w:cs="Arial"/>
        </w:rPr>
      </w:pPr>
    </w:p>
    <w:p w14:paraId="1BC4E97E" w14:textId="77777777" w:rsidR="00E732FA" w:rsidRPr="003C7CB1" w:rsidRDefault="00E732FA" w:rsidP="00E732FA">
      <w:pPr>
        <w:spacing w:after="0" w:line="240" w:lineRule="auto"/>
        <w:jc w:val="center"/>
        <w:rPr>
          <w:rFonts w:eastAsia="Times New Roman" w:cs="Arial"/>
          <w:sz w:val="24"/>
          <w:szCs w:val="24"/>
        </w:rPr>
      </w:pPr>
      <w:r w:rsidRPr="003C7CB1">
        <w:rPr>
          <w:noProof/>
        </w:rPr>
        <w:drawing>
          <wp:inline distT="0" distB="0" distL="0" distR="0" wp14:anchorId="717BD7B9" wp14:editId="370FCB58">
            <wp:extent cx="5281295" cy="2198350"/>
            <wp:effectExtent l="0" t="0" r="14605" b="12065"/>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3E4676" w14:textId="77777777" w:rsidR="00E732FA" w:rsidRPr="003C7CB1" w:rsidRDefault="00E732FA" w:rsidP="00E732FA">
      <w:pPr>
        <w:spacing w:after="0" w:line="240" w:lineRule="auto"/>
        <w:jc w:val="both"/>
        <w:rPr>
          <w:rFonts w:eastAsia="Times New Roman" w:cs="Arial"/>
          <w:i/>
          <w:sz w:val="20"/>
          <w:szCs w:val="20"/>
        </w:rPr>
      </w:pPr>
      <w:r w:rsidRPr="003C7CB1">
        <w:rPr>
          <w:rFonts w:eastAsia="Times New Roman" w:cs="Arial"/>
          <w:i/>
          <w:sz w:val="20"/>
          <w:szCs w:val="20"/>
        </w:rPr>
        <w:t xml:space="preserve">Source: Ministry of Economic Development based on data from the Central Bank of Montenegro, </w:t>
      </w:r>
      <w:hyperlink r:id="rId17" w:history="1">
        <w:r w:rsidRPr="003C7CB1">
          <w:rPr>
            <w:rStyle w:val="Hyperlink"/>
            <w:rFonts w:eastAsia="Times New Roman" w:cs="Arial"/>
            <w:i/>
            <w:sz w:val="20"/>
            <w:szCs w:val="20"/>
          </w:rPr>
          <w:t>https://www.cbcg.me/me/statistika/statisticki-podaci/ekonomski-odnosi-sa-inostranstvom/platni-bilans</w:t>
        </w:r>
      </w:hyperlink>
      <w:r w:rsidRPr="003C7CB1">
        <w:rPr>
          <w:rStyle w:val="Hyperlink"/>
          <w:rFonts w:eastAsia="Times New Roman" w:cs="Arial"/>
          <w:i/>
          <w:sz w:val="20"/>
          <w:szCs w:val="20"/>
        </w:rPr>
        <w:t xml:space="preserve"> </w:t>
      </w:r>
    </w:p>
    <w:p w14:paraId="2C2205D8" w14:textId="77777777" w:rsidR="00E732FA" w:rsidRPr="003C7CB1" w:rsidRDefault="00E732FA" w:rsidP="00E732FA">
      <w:pPr>
        <w:spacing w:after="0" w:line="240" w:lineRule="auto"/>
        <w:jc w:val="both"/>
        <w:rPr>
          <w:rFonts w:eastAsia="Times New Roman" w:cs="Arial"/>
          <w:i/>
          <w:sz w:val="20"/>
          <w:szCs w:val="20"/>
        </w:rPr>
      </w:pPr>
    </w:p>
    <w:p w14:paraId="3046F561" w14:textId="15ED5A86" w:rsidR="00E732FA" w:rsidRPr="003C7CB1" w:rsidRDefault="00E732FA" w:rsidP="00E732FA">
      <w:pPr>
        <w:spacing w:after="120" w:line="240" w:lineRule="auto"/>
        <w:jc w:val="both"/>
        <w:rPr>
          <w:rFonts w:eastAsia="Times New Roman" w:cs="Arial"/>
          <w:sz w:val="24"/>
          <w:szCs w:val="24"/>
        </w:rPr>
      </w:pPr>
      <w:bookmarkStart w:id="31" w:name="_Hlk86526237"/>
      <w:r w:rsidRPr="003C7CB1">
        <w:rPr>
          <w:rFonts w:eastAsia="Times New Roman" w:cs="Arial"/>
          <w:sz w:val="24"/>
          <w:szCs w:val="24"/>
        </w:rPr>
        <w:t>This positive trend in touris</w:t>
      </w:r>
      <w:r w:rsidR="00613BF3">
        <w:rPr>
          <w:rFonts w:eastAsia="Times New Roman" w:cs="Arial"/>
          <w:sz w:val="24"/>
          <w:szCs w:val="24"/>
        </w:rPr>
        <w:t>m turnover</w:t>
      </w:r>
      <w:r w:rsidRPr="003C7CB1">
        <w:rPr>
          <w:rFonts w:eastAsia="Times New Roman" w:cs="Arial"/>
          <w:sz w:val="24"/>
          <w:szCs w:val="24"/>
        </w:rPr>
        <w:t xml:space="preserve"> was confirmed by the report</w:t>
      </w:r>
      <w:r w:rsidRPr="003C7CB1">
        <w:rPr>
          <w:rStyle w:val="FootnoteReference"/>
          <w:rFonts w:eastAsia="Times New Roman" w:cs="Arial"/>
          <w:sz w:val="24"/>
          <w:szCs w:val="24"/>
        </w:rPr>
        <w:footnoteReference w:id="19"/>
      </w:r>
      <w:r w:rsidRPr="003C7CB1">
        <w:rPr>
          <w:rFonts w:eastAsia="Times New Roman" w:cs="Arial"/>
          <w:sz w:val="24"/>
          <w:szCs w:val="24"/>
        </w:rPr>
        <w:t xml:space="preserve"> of the World Travel and Tourism Council (WTTC), according to which in 2019, the total (direct and indirect) contribution of tourism to GDP was 30.9 % (the largest share since 2003 when the WTTC started writing reports for Montenegro), and the total contribution of tourism to employment was 31.9%, while the share of tourism in total exports was 52.6%.  These data confirm the predictions of the WTTC from previous years, when Montenegro was at the very top of the countries in terms of speed of development in the next </w:t>
      </w:r>
      <w:r w:rsidR="003C7CB1" w:rsidRPr="003C7CB1">
        <w:rPr>
          <w:rFonts w:eastAsia="Times New Roman" w:cs="Arial"/>
          <w:sz w:val="24"/>
          <w:szCs w:val="24"/>
        </w:rPr>
        <w:t>ten-year</w:t>
      </w:r>
      <w:r w:rsidRPr="003C7CB1">
        <w:rPr>
          <w:rFonts w:eastAsia="Times New Roman" w:cs="Arial"/>
          <w:sz w:val="24"/>
          <w:szCs w:val="24"/>
        </w:rPr>
        <w:t xml:space="preserve"> period. </w:t>
      </w:r>
    </w:p>
    <w:p w14:paraId="174127FD" w14:textId="77777777" w:rsidR="00E732FA" w:rsidRPr="003C7CB1" w:rsidRDefault="00E732FA" w:rsidP="00E732FA">
      <w:pPr>
        <w:pStyle w:val="Heading3"/>
        <w:spacing w:before="0" w:after="120" w:line="276" w:lineRule="auto"/>
        <w:ind w:left="720"/>
        <w:rPr>
          <w:b/>
          <w:color w:val="2F5496" w:themeColor="accent1" w:themeShade="BF"/>
          <w:shd w:val="clear" w:color="auto" w:fill="FFFFFF" w:themeFill="background1"/>
        </w:rPr>
      </w:pPr>
      <w:bookmarkStart w:id="32" w:name="_Toc91286158"/>
      <w:bookmarkStart w:id="33" w:name="_Toc95303000"/>
      <w:bookmarkStart w:id="34" w:name="_Toc102133791"/>
      <w:bookmarkStart w:id="35" w:name="_Toc104544175"/>
      <w:bookmarkEnd w:id="31"/>
      <w:r w:rsidRPr="003C7CB1">
        <w:rPr>
          <w:b/>
          <w:color w:val="2F5496" w:themeColor="accent1" w:themeShade="BF"/>
          <w:shd w:val="clear" w:color="auto" w:fill="FFFFFF" w:themeFill="background1"/>
        </w:rPr>
        <w:t xml:space="preserve">2.2.3. </w:t>
      </w:r>
      <w:bookmarkEnd w:id="32"/>
      <w:bookmarkEnd w:id="33"/>
      <w:r w:rsidRPr="003C7CB1">
        <w:rPr>
          <w:b/>
          <w:color w:val="2F5496" w:themeColor="accent1" w:themeShade="BF"/>
          <w:shd w:val="clear" w:color="auto" w:fill="FFFFFF" w:themeFill="background1"/>
        </w:rPr>
        <w:t>Seasonality and regional inequality</w:t>
      </w:r>
      <w:bookmarkEnd w:id="34"/>
      <w:bookmarkEnd w:id="35"/>
      <w:r w:rsidRPr="003C7CB1">
        <w:rPr>
          <w:b/>
          <w:color w:val="2F5496" w:themeColor="accent1" w:themeShade="BF"/>
          <w:shd w:val="clear" w:color="auto" w:fill="FFFFFF" w:themeFill="background1"/>
        </w:rPr>
        <w:t xml:space="preserve"> </w:t>
      </w:r>
    </w:p>
    <w:p w14:paraId="39A7CC35" w14:textId="6F49F5AA" w:rsidR="00E732FA" w:rsidRPr="003C7CB1" w:rsidRDefault="00E732FA" w:rsidP="00E732FA">
      <w:pPr>
        <w:spacing w:after="120" w:line="240" w:lineRule="auto"/>
        <w:jc w:val="both"/>
        <w:rPr>
          <w:rFonts w:cstheme="minorHAnsi"/>
          <w:sz w:val="24"/>
          <w:szCs w:val="24"/>
          <w:shd w:val="clear" w:color="auto" w:fill="FFFFFF" w:themeFill="background1"/>
        </w:rPr>
      </w:pPr>
      <w:r w:rsidRPr="003C7CB1">
        <w:rPr>
          <w:rFonts w:cstheme="minorHAnsi"/>
          <w:sz w:val="24"/>
          <w:szCs w:val="24"/>
          <w:shd w:val="clear" w:color="auto" w:fill="FFFFFF" w:themeFill="background1"/>
        </w:rPr>
        <w:t>Analyzes of recorded touris</w:t>
      </w:r>
      <w:r w:rsidR="00613BF3">
        <w:rPr>
          <w:rFonts w:cstheme="minorHAnsi"/>
          <w:sz w:val="24"/>
          <w:szCs w:val="24"/>
          <w:shd w:val="clear" w:color="auto" w:fill="FFFFFF" w:themeFill="background1"/>
        </w:rPr>
        <w:t>m turnover</w:t>
      </w:r>
      <w:r w:rsidRPr="003C7CB1">
        <w:rPr>
          <w:rFonts w:cstheme="minorHAnsi"/>
          <w:sz w:val="24"/>
          <w:szCs w:val="24"/>
          <w:shd w:val="clear" w:color="auto" w:fill="FFFFFF" w:themeFill="background1"/>
        </w:rPr>
        <w:t xml:space="preserve"> by months in the period from 2009 to 2019, indicate the fact that in addition to a significant increase in the number of overnight stays from year to year, the main tourist season has been extended. Considering the statistical data of the past years, the duration of the main tourist season has been extended to a certain extent, therefore, it can be stated that the season started earlier (April) and ended later (October).  </w:t>
      </w:r>
    </w:p>
    <w:p w14:paraId="7551E90A" w14:textId="4B7AB18D" w:rsidR="00E732FA" w:rsidRPr="003C7CB1" w:rsidRDefault="00E732FA" w:rsidP="00E732FA">
      <w:pPr>
        <w:spacing w:after="120" w:line="240" w:lineRule="auto"/>
        <w:jc w:val="both"/>
        <w:rPr>
          <w:rFonts w:cstheme="minorHAnsi"/>
          <w:sz w:val="24"/>
          <w:szCs w:val="24"/>
          <w:shd w:val="clear" w:color="auto" w:fill="FFFFFF" w:themeFill="background1"/>
        </w:rPr>
      </w:pPr>
      <w:r w:rsidRPr="003C7CB1">
        <w:rPr>
          <w:rFonts w:cstheme="minorHAnsi"/>
          <w:sz w:val="24"/>
          <w:szCs w:val="24"/>
          <w:shd w:val="clear" w:color="auto" w:fill="FFFFFF" w:themeFill="background1"/>
        </w:rPr>
        <w:t>Specifically, the analyzes indicate the fact that the share of generated touris</w:t>
      </w:r>
      <w:r w:rsidR="00613BF3">
        <w:rPr>
          <w:rFonts w:cstheme="minorHAnsi"/>
          <w:sz w:val="24"/>
          <w:szCs w:val="24"/>
          <w:shd w:val="clear" w:color="auto" w:fill="FFFFFF" w:themeFill="background1"/>
        </w:rPr>
        <w:t>m turnover</w:t>
      </w:r>
      <w:r w:rsidRPr="003C7CB1">
        <w:rPr>
          <w:rFonts w:cstheme="minorHAnsi"/>
          <w:sz w:val="24"/>
          <w:szCs w:val="24"/>
          <w:shd w:val="clear" w:color="auto" w:fill="FFFFFF" w:themeFill="background1"/>
        </w:rPr>
        <w:t xml:space="preserve"> in April and October in 2019 when compared to the same months in 2009 increased by 88.18% and 129.26%, respectively (in absolute terms, the increase is for more than 3 or 4 times respectively). The overview is below: </w:t>
      </w:r>
      <w:r w:rsidR="00765B94">
        <w:rPr>
          <w:rFonts w:cs="Arial"/>
          <w:sz w:val="24"/>
          <w:szCs w:val="24"/>
        </w:rPr>
        <w:t xml:space="preserve">                                                                                                   </w:t>
      </w:r>
    </w:p>
    <w:p w14:paraId="62661207" w14:textId="77777777" w:rsidR="00E732FA" w:rsidRPr="003C7CB1" w:rsidRDefault="00E732FA" w:rsidP="00E732FA">
      <w:pPr>
        <w:spacing w:after="120" w:line="240" w:lineRule="auto"/>
        <w:jc w:val="both"/>
        <w:rPr>
          <w:rFonts w:cstheme="minorHAnsi"/>
          <w:sz w:val="24"/>
          <w:szCs w:val="24"/>
        </w:rPr>
      </w:pPr>
    </w:p>
    <w:tbl>
      <w:tblPr>
        <w:tblW w:w="7657" w:type="dxa"/>
        <w:jc w:val="center"/>
        <w:tblLook w:val="04A0" w:firstRow="1" w:lastRow="0" w:firstColumn="1" w:lastColumn="0" w:noHBand="0" w:noVBand="1"/>
      </w:tblPr>
      <w:tblGrid>
        <w:gridCol w:w="3403"/>
        <w:gridCol w:w="1454"/>
        <w:gridCol w:w="1400"/>
        <w:gridCol w:w="1400"/>
      </w:tblGrid>
      <w:tr w:rsidR="00E732FA" w:rsidRPr="003C7CB1" w14:paraId="5DE2D9B7" w14:textId="77777777" w:rsidTr="00E732FA">
        <w:trPr>
          <w:trHeight w:val="90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E77E1"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Number of overnight stays </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0BD9A458"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2009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78280E3"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2019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4975D4B"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Index 2019 / 2009 </w:t>
            </w:r>
          </w:p>
        </w:tc>
      </w:tr>
      <w:tr w:rsidR="00E732FA" w:rsidRPr="003C7CB1" w14:paraId="3FF55A53" w14:textId="77777777" w:rsidTr="00E732FA">
        <w:trPr>
          <w:trHeight w:val="300"/>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2C728A8" w14:textId="77777777" w:rsidR="00E732FA" w:rsidRPr="003C7CB1" w:rsidRDefault="00E732FA" w:rsidP="00E732FA">
            <w:pPr>
              <w:spacing w:after="0" w:line="240" w:lineRule="auto"/>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Total  </w:t>
            </w:r>
          </w:p>
        </w:tc>
        <w:tc>
          <w:tcPr>
            <w:tcW w:w="1454" w:type="dxa"/>
            <w:tcBorders>
              <w:top w:val="nil"/>
              <w:left w:val="nil"/>
              <w:bottom w:val="single" w:sz="4" w:space="0" w:color="auto"/>
              <w:right w:val="single" w:sz="4" w:space="0" w:color="auto"/>
            </w:tcBorders>
            <w:shd w:val="clear" w:color="auto" w:fill="auto"/>
            <w:noWrap/>
            <w:vAlign w:val="bottom"/>
            <w:hideMark/>
          </w:tcPr>
          <w:p w14:paraId="0D6F9372"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7,550,846 </w:t>
            </w:r>
          </w:p>
        </w:tc>
        <w:tc>
          <w:tcPr>
            <w:tcW w:w="1400" w:type="dxa"/>
            <w:tcBorders>
              <w:top w:val="nil"/>
              <w:left w:val="nil"/>
              <w:bottom w:val="single" w:sz="4" w:space="0" w:color="auto"/>
              <w:right w:val="single" w:sz="4" w:space="0" w:color="auto"/>
            </w:tcBorders>
            <w:shd w:val="clear" w:color="auto" w:fill="auto"/>
            <w:noWrap/>
            <w:vAlign w:val="bottom"/>
            <w:hideMark/>
          </w:tcPr>
          <w:p w14:paraId="0C782ACC"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14,447,880 </w:t>
            </w:r>
          </w:p>
        </w:tc>
        <w:tc>
          <w:tcPr>
            <w:tcW w:w="1400" w:type="dxa"/>
            <w:tcBorders>
              <w:top w:val="nil"/>
              <w:left w:val="nil"/>
              <w:bottom w:val="single" w:sz="4" w:space="0" w:color="auto"/>
              <w:right w:val="single" w:sz="4" w:space="0" w:color="auto"/>
            </w:tcBorders>
            <w:shd w:val="clear" w:color="auto" w:fill="auto"/>
            <w:noWrap/>
            <w:vAlign w:val="bottom"/>
            <w:hideMark/>
          </w:tcPr>
          <w:p w14:paraId="790E984A"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191.34 </w:t>
            </w:r>
          </w:p>
        </w:tc>
      </w:tr>
      <w:tr w:rsidR="00E732FA" w:rsidRPr="003C7CB1" w14:paraId="030A5FB6" w14:textId="77777777" w:rsidTr="00E732FA">
        <w:trPr>
          <w:trHeight w:val="300"/>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296FD57" w14:textId="77777777" w:rsidR="00E732FA" w:rsidRPr="003C7CB1" w:rsidRDefault="00E732FA" w:rsidP="00E732FA">
            <w:pPr>
              <w:spacing w:after="0" w:line="240" w:lineRule="auto"/>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April </w:t>
            </w:r>
          </w:p>
        </w:tc>
        <w:tc>
          <w:tcPr>
            <w:tcW w:w="1454" w:type="dxa"/>
            <w:tcBorders>
              <w:top w:val="nil"/>
              <w:left w:val="nil"/>
              <w:bottom w:val="single" w:sz="4" w:space="0" w:color="auto"/>
              <w:right w:val="single" w:sz="4" w:space="0" w:color="auto"/>
            </w:tcBorders>
            <w:shd w:val="clear" w:color="auto" w:fill="auto"/>
            <w:noWrap/>
            <w:vAlign w:val="bottom"/>
            <w:hideMark/>
          </w:tcPr>
          <w:p w14:paraId="3581CE9E"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123,582 </w:t>
            </w:r>
          </w:p>
        </w:tc>
        <w:tc>
          <w:tcPr>
            <w:tcW w:w="1400" w:type="dxa"/>
            <w:tcBorders>
              <w:top w:val="nil"/>
              <w:left w:val="nil"/>
              <w:bottom w:val="single" w:sz="4" w:space="0" w:color="auto"/>
              <w:right w:val="single" w:sz="4" w:space="0" w:color="auto"/>
            </w:tcBorders>
            <w:shd w:val="clear" w:color="auto" w:fill="auto"/>
            <w:noWrap/>
            <w:vAlign w:val="bottom"/>
            <w:hideMark/>
          </w:tcPr>
          <w:p w14:paraId="4FE05F56"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444,973 </w:t>
            </w:r>
          </w:p>
        </w:tc>
        <w:tc>
          <w:tcPr>
            <w:tcW w:w="1400" w:type="dxa"/>
            <w:tcBorders>
              <w:top w:val="nil"/>
              <w:left w:val="nil"/>
              <w:bottom w:val="single" w:sz="4" w:space="0" w:color="auto"/>
              <w:right w:val="single" w:sz="4" w:space="0" w:color="auto"/>
            </w:tcBorders>
            <w:shd w:val="clear" w:color="auto" w:fill="auto"/>
            <w:noWrap/>
            <w:vAlign w:val="bottom"/>
            <w:hideMark/>
          </w:tcPr>
          <w:p w14:paraId="6DB63B35"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360.06 </w:t>
            </w:r>
          </w:p>
        </w:tc>
      </w:tr>
      <w:tr w:rsidR="00E732FA" w:rsidRPr="003C7CB1" w14:paraId="02666410" w14:textId="77777777" w:rsidTr="00E732FA">
        <w:trPr>
          <w:trHeight w:val="300"/>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0067B8B"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April in total</w:t>
            </w:r>
          </w:p>
        </w:tc>
        <w:tc>
          <w:tcPr>
            <w:tcW w:w="1454" w:type="dxa"/>
            <w:tcBorders>
              <w:top w:val="nil"/>
              <w:left w:val="nil"/>
              <w:bottom w:val="single" w:sz="4" w:space="0" w:color="auto"/>
              <w:right w:val="single" w:sz="4" w:space="0" w:color="auto"/>
            </w:tcBorders>
            <w:shd w:val="clear" w:color="auto" w:fill="auto"/>
            <w:noWrap/>
            <w:vAlign w:val="bottom"/>
            <w:hideMark/>
          </w:tcPr>
          <w:p w14:paraId="53BE66B4"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1.64 </w:t>
            </w:r>
          </w:p>
        </w:tc>
        <w:tc>
          <w:tcPr>
            <w:tcW w:w="1400" w:type="dxa"/>
            <w:tcBorders>
              <w:top w:val="nil"/>
              <w:left w:val="nil"/>
              <w:bottom w:val="single" w:sz="4" w:space="0" w:color="auto"/>
              <w:right w:val="single" w:sz="4" w:space="0" w:color="auto"/>
            </w:tcBorders>
            <w:shd w:val="clear" w:color="auto" w:fill="auto"/>
            <w:noWrap/>
            <w:vAlign w:val="bottom"/>
            <w:hideMark/>
          </w:tcPr>
          <w:p w14:paraId="4A76E4C0"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3.08 </w:t>
            </w:r>
          </w:p>
        </w:tc>
        <w:tc>
          <w:tcPr>
            <w:tcW w:w="1400" w:type="dxa"/>
            <w:tcBorders>
              <w:top w:val="nil"/>
              <w:left w:val="nil"/>
              <w:bottom w:val="single" w:sz="4" w:space="0" w:color="auto"/>
              <w:right w:val="single" w:sz="4" w:space="0" w:color="auto"/>
            </w:tcBorders>
            <w:shd w:val="clear" w:color="auto" w:fill="auto"/>
            <w:noWrap/>
            <w:vAlign w:val="bottom"/>
            <w:hideMark/>
          </w:tcPr>
          <w:p w14:paraId="4E328007"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188.18 </w:t>
            </w:r>
          </w:p>
        </w:tc>
      </w:tr>
      <w:tr w:rsidR="00E732FA" w:rsidRPr="003C7CB1" w14:paraId="3C039824" w14:textId="77777777" w:rsidTr="00E732FA">
        <w:trPr>
          <w:trHeight w:val="300"/>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D197349" w14:textId="77777777" w:rsidR="00E732FA" w:rsidRPr="003C7CB1" w:rsidRDefault="00E732FA" w:rsidP="00E732FA">
            <w:pPr>
              <w:spacing w:after="0" w:line="240" w:lineRule="auto"/>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October </w:t>
            </w:r>
          </w:p>
        </w:tc>
        <w:tc>
          <w:tcPr>
            <w:tcW w:w="1454" w:type="dxa"/>
            <w:tcBorders>
              <w:top w:val="nil"/>
              <w:left w:val="nil"/>
              <w:bottom w:val="single" w:sz="4" w:space="0" w:color="auto"/>
              <w:right w:val="single" w:sz="4" w:space="0" w:color="auto"/>
            </w:tcBorders>
            <w:shd w:val="clear" w:color="auto" w:fill="auto"/>
            <w:noWrap/>
            <w:vAlign w:val="bottom"/>
            <w:hideMark/>
          </w:tcPr>
          <w:p w14:paraId="44687736"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143,609 </w:t>
            </w:r>
          </w:p>
        </w:tc>
        <w:tc>
          <w:tcPr>
            <w:tcW w:w="1400" w:type="dxa"/>
            <w:tcBorders>
              <w:top w:val="nil"/>
              <w:left w:val="nil"/>
              <w:bottom w:val="single" w:sz="4" w:space="0" w:color="auto"/>
              <w:right w:val="single" w:sz="4" w:space="0" w:color="auto"/>
            </w:tcBorders>
            <w:shd w:val="clear" w:color="auto" w:fill="auto"/>
            <w:noWrap/>
            <w:vAlign w:val="bottom"/>
            <w:hideMark/>
          </w:tcPr>
          <w:p w14:paraId="76B22C3A"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629,957 </w:t>
            </w:r>
          </w:p>
        </w:tc>
        <w:tc>
          <w:tcPr>
            <w:tcW w:w="1400" w:type="dxa"/>
            <w:tcBorders>
              <w:top w:val="nil"/>
              <w:left w:val="nil"/>
              <w:bottom w:val="single" w:sz="4" w:space="0" w:color="auto"/>
              <w:right w:val="single" w:sz="4" w:space="0" w:color="auto"/>
            </w:tcBorders>
            <w:shd w:val="clear" w:color="auto" w:fill="auto"/>
            <w:noWrap/>
            <w:vAlign w:val="bottom"/>
            <w:hideMark/>
          </w:tcPr>
          <w:p w14:paraId="2C57B691"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438.66 </w:t>
            </w:r>
          </w:p>
        </w:tc>
      </w:tr>
      <w:tr w:rsidR="00E732FA" w:rsidRPr="003C7CB1" w14:paraId="5F439408" w14:textId="77777777" w:rsidTr="00E732FA">
        <w:trPr>
          <w:trHeight w:val="300"/>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0F07125"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October in total</w:t>
            </w:r>
          </w:p>
        </w:tc>
        <w:tc>
          <w:tcPr>
            <w:tcW w:w="1454" w:type="dxa"/>
            <w:tcBorders>
              <w:top w:val="nil"/>
              <w:left w:val="nil"/>
              <w:bottom w:val="single" w:sz="4" w:space="0" w:color="auto"/>
              <w:right w:val="single" w:sz="4" w:space="0" w:color="auto"/>
            </w:tcBorders>
            <w:shd w:val="clear" w:color="auto" w:fill="auto"/>
            <w:noWrap/>
            <w:vAlign w:val="bottom"/>
            <w:hideMark/>
          </w:tcPr>
          <w:p w14:paraId="53319100"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1.90 </w:t>
            </w:r>
          </w:p>
        </w:tc>
        <w:tc>
          <w:tcPr>
            <w:tcW w:w="1400" w:type="dxa"/>
            <w:tcBorders>
              <w:top w:val="nil"/>
              <w:left w:val="nil"/>
              <w:bottom w:val="single" w:sz="4" w:space="0" w:color="auto"/>
              <w:right w:val="single" w:sz="4" w:space="0" w:color="auto"/>
            </w:tcBorders>
            <w:shd w:val="clear" w:color="auto" w:fill="auto"/>
            <w:noWrap/>
            <w:vAlign w:val="bottom"/>
            <w:hideMark/>
          </w:tcPr>
          <w:p w14:paraId="2F9490E1"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4.36 </w:t>
            </w:r>
          </w:p>
        </w:tc>
        <w:tc>
          <w:tcPr>
            <w:tcW w:w="1400" w:type="dxa"/>
            <w:tcBorders>
              <w:top w:val="nil"/>
              <w:left w:val="nil"/>
              <w:bottom w:val="single" w:sz="4" w:space="0" w:color="auto"/>
              <w:right w:val="single" w:sz="4" w:space="0" w:color="auto"/>
            </w:tcBorders>
            <w:shd w:val="clear" w:color="auto" w:fill="auto"/>
            <w:noWrap/>
            <w:vAlign w:val="bottom"/>
            <w:hideMark/>
          </w:tcPr>
          <w:p w14:paraId="7186E672"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229.26 </w:t>
            </w:r>
          </w:p>
        </w:tc>
      </w:tr>
    </w:tbl>
    <w:p w14:paraId="3E92D10C" w14:textId="77777777" w:rsidR="00E732FA" w:rsidRPr="003C7CB1" w:rsidRDefault="00E732FA" w:rsidP="00E732FA">
      <w:pPr>
        <w:spacing w:after="120" w:line="240" w:lineRule="auto"/>
        <w:jc w:val="both"/>
        <w:rPr>
          <w:rFonts w:cstheme="minorHAnsi"/>
          <w:sz w:val="24"/>
          <w:szCs w:val="24"/>
        </w:rPr>
      </w:pPr>
    </w:p>
    <w:p w14:paraId="216A808B" w14:textId="5078357A" w:rsidR="00E732FA" w:rsidRPr="003C7CB1" w:rsidRDefault="00E732FA" w:rsidP="00E732FA">
      <w:pPr>
        <w:spacing w:after="120" w:line="240" w:lineRule="auto"/>
        <w:jc w:val="both"/>
        <w:rPr>
          <w:rFonts w:cstheme="minorHAnsi"/>
          <w:sz w:val="24"/>
          <w:szCs w:val="24"/>
        </w:rPr>
      </w:pPr>
      <w:r w:rsidRPr="003C7CB1">
        <w:rPr>
          <w:rFonts w:cstheme="minorHAnsi"/>
          <w:sz w:val="24"/>
          <w:szCs w:val="24"/>
        </w:rPr>
        <w:t>When it comes to the analysis of touris</w:t>
      </w:r>
      <w:r w:rsidR="00D56974">
        <w:rPr>
          <w:rFonts w:cstheme="minorHAnsi"/>
          <w:sz w:val="24"/>
          <w:szCs w:val="24"/>
        </w:rPr>
        <w:t>m turnover</w:t>
      </w:r>
      <w:r w:rsidRPr="003C7CB1">
        <w:rPr>
          <w:rFonts w:cstheme="minorHAnsi"/>
          <w:sz w:val="24"/>
          <w:szCs w:val="24"/>
        </w:rPr>
        <w:t xml:space="preserve"> in the peak of the season, i.e., in the period of June-July-August, its share in total t</w:t>
      </w:r>
      <w:r w:rsidR="00D56974">
        <w:rPr>
          <w:rFonts w:cstheme="minorHAnsi"/>
          <w:sz w:val="24"/>
          <w:szCs w:val="24"/>
        </w:rPr>
        <w:t>urnover</w:t>
      </w:r>
      <w:r w:rsidRPr="003C7CB1">
        <w:rPr>
          <w:rFonts w:cstheme="minorHAnsi"/>
          <w:sz w:val="24"/>
          <w:szCs w:val="24"/>
        </w:rPr>
        <w:t xml:space="preserve"> decreased in 2019 compared to 2009 by 9.37% (i.e., it decreased from 74.83% in 2009 to 67.82% in 2019):  </w:t>
      </w:r>
    </w:p>
    <w:tbl>
      <w:tblPr>
        <w:tblW w:w="7666" w:type="dxa"/>
        <w:jc w:val="center"/>
        <w:tblLook w:val="04A0" w:firstRow="1" w:lastRow="0" w:firstColumn="1" w:lastColumn="0" w:noHBand="0" w:noVBand="1"/>
      </w:tblPr>
      <w:tblGrid>
        <w:gridCol w:w="3465"/>
        <w:gridCol w:w="1205"/>
        <w:gridCol w:w="1309"/>
        <w:gridCol w:w="1687"/>
      </w:tblGrid>
      <w:tr w:rsidR="00E732FA" w:rsidRPr="003C7CB1" w14:paraId="25529B85" w14:textId="77777777" w:rsidTr="00E732FA">
        <w:trPr>
          <w:trHeight w:val="900"/>
          <w:jc w:val="center"/>
        </w:trPr>
        <w:tc>
          <w:tcPr>
            <w:tcW w:w="34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21D68"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Number of overnight stays </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50BEC824"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2009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10F11C"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2019  </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1EFE8575"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Index 2019 / 2009 </w:t>
            </w:r>
          </w:p>
        </w:tc>
      </w:tr>
      <w:tr w:rsidR="00E732FA" w:rsidRPr="003C7CB1" w14:paraId="63AFEB1D" w14:textId="77777777" w:rsidTr="00E732FA">
        <w:trPr>
          <w:trHeight w:val="300"/>
          <w:jc w:val="center"/>
        </w:trPr>
        <w:tc>
          <w:tcPr>
            <w:tcW w:w="3489" w:type="dxa"/>
            <w:tcBorders>
              <w:top w:val="nil"/>
              <w:left w:val="single" w:sz="4" w:space="0" w:color="auto"/>
              <w:bottom w:val="single" w:sz="4" w:space="0" w:color="auto"/>
              <w:right w:val="single" w:sz="4" w:space="0" w:color="auto"/>
            </w:tcBorders>
            <w:shd w:val="clear" w:color="auto" w:fill="auto"/>
            <w:vAlign w:val="center"/>
            <w:hideMark/>
          </w:tcPr>
          <w:p w14:paraId="6D24F1C4" w14:textId="77777777" w:rsidR="00E732FA" w:rsidRPr="003C7CB1" w:rsidRDefault="00E732FA" w:rsidP="00E732FA">
            <w:pPr>
              <w:spacing w:after="0" w:line="240" w:lineRule="auto"/>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Total </w:t>
            </w:r>
          </w:p>
        </w:tc>
        <w:tc>
          <w:tcPr>
            <w:tcW w:w="1205" w:type="dxa"/>
            <w:tcBorders>
              <w:top w:val="nil"/>
              <w:left w:val="nil"/>
              <w:bottom w:val="single" w:sz="4" w:space="0" w:color="auto"/>
              <w:right w:val="single" w:sz="4" w:space="0" w:color="auto"/>
            </w:tcBorders>
            <w:shd w:val="clear" w:color="auto" w:fill="auto"/>
            <w:vAlign w:val="center"/>
            <w:hideMark/>
          </w:tcPr>
          <w:p w14:paraId="3D5BCBBD"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7,550,846 </w:t>
            </w:r>
          </w:p>
        </w:tc>
        <w:tc>
          <w:tcPr>
            <w:tcW w:w="1276" w:type="dxa"/>
            <w:tcBorders>
              <w:top w:val="nil"/>
              <w:left w:val="nil"/>
              <w:bottom w:val="single" w:sz="4" w:space="0" w:color="auto"/>
              <w:right w:val="single" w:sz="4" w:space="0" w:color="auto"/>
            </w:tcBorders>
            <w:shd w:val="clear" w:color="auto" w:fill="auto"/>
            <w:vAlign w:val="center"/>
            <w:hideMark/>
          </w:tcPr>
          <w:p w14:paraId="05A3DBEB"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14,447,880 </w:t>
            </w:r>
          </w:p>
        </w:tc>
        <w:tc>
          <w:tcPr>
            <w:tcW w:w="1696" w:type="dxa"/>
            <w:tcBorders>
              <w:top w:val="nil"/>
              <w:left w:val="nil"/>
              <w:bottom w:val="single" w:sz="4" w:space="0" w:color="auto"/>
              <w:right w:val="single" w:sz="4" w:space="0" w:color="auto"/>
            </w:tcBorders>
            <w:shd w:val="clear" w:color="auto" w:fill="auto"/>
            <w:vAlign w:val="center"/>
            <w:hideMark/>
          </w:tcPr>
          <w:p w14:paraId="7A387A12"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191.34 </w:t>
            </w:r>
          </w:p>
        </w:tc>
      </w:tr>
      <w:tr w:rsidR="00E732FA" w:rsidRPr="003C7CB1" w14:paraId="2FF63624" w14:textId="77777777" w:rsidTr="00E732FA">
        <w:trPr>
          <w:trHeight w:val="300"/>
          <w:jc w:val="center"/>
        </w:trPr>
        <w:tc>
          <w:tcPr>
            <w:tcW w:w="3489" w:type="dxa"/>
            <w:tcBorders>
              <w:top w:val="nil"/>
              <w:left w:val="single" w:sz="4" w:space="0" w:color="auto"/>
              <w:bottom w:val="single" w:sz="4" w:space="0" w:color="auto"/>
              <w:right w:val="single" w:sz="4" w:space="0" w:color="auto"/>
            </w:tcBorders>
            <w:shd w:val="clear" w:color="auto" w:fill="auto"/>
            <w:vAlign w:val="center"/>
            <w:hideMark/>
          </w:tcPr>
          <w:p w14:paraId="6EDBAAFF" w14:textId="77777777" w:rsidR="00E732FA" w:rsidRPr="003C7CB1" w:rsidRDefault="00E732FA" w:rsidP="00E732FA">
            <w:pPr>
              <w:spacing w:after="0" w:line="240" w:lineRule="auto"/>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June-July-August </w:t>
            </w:r>
          </w:p>
        </w:tc>
        <w:tc>
          <w:tcPr>
            <w:tcW w:w="1205" w:type="dxa"/>
            <w:tcBorders>
              <w:top w:val="nil"/>
              <w:left w:val="nil"/>
              <w:bottom w:val="single" w:sz="4" w:space="0" w:color="auto"/>
              <w:right w:val="single" w:sz="4" w:space="0" w:color="auto"/>
            </w:tcBorders>
            <w:shd w:val="clear" w:color="auto" w:fill="auto"/>
            <w:vAlign w:val="center"/>
            <w:hideMark/>
          </w:tcPr>
          <w:p w14:paraId="7C3BF550"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5,650,447 </w:t>
            </w:r>
          </w:p>
        </w:tc>
        <w:tc>
          <w:tcPr>
            <w:tcW w:w="1276" w:type="dxa"/>
            <w:tcBorders>
              <w:top w:val="nil"/>
              <w:left w:val="nil"/>
              <w:bottom w:val="single" w:sz="4" w:space="0" w:color="auto"/>
              <w:right w:val="single" w:sz="4" w:space="0" w:color="auto"/>
            </w:tcBorders>
            <w:shd w:val="clear" w:color="auto" w:fill="auto"/>
            <w:vAlign w:val="center"/>
            <w:hideMark/>
          </w:tcPr>
          <w:p w14:paraId="233F07DC"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9,798,478 </w:t>
            </w:r>
          </w:p>
        </w:tc>
        <w:tc>
          <w:tcPr>
            <w:tcW w:w="1696" w:type="dxa"/>
            <w:tcBorders>
              <w:top w:val="nil"/>
              <w:left w:val="nil"/>
              <w:bottom w:val="single" w:sz="4" w:space="0" w:color="auto"/>
              <w:right w:val="single" w:sz="4" w:space="0" w:color="auto"/>
            </w:tcBorders>
            <w:shd w:val="clear" w:color="auto" w:fill="auto"/>
            <w:vAlign w:val="center"/>
            <w:hideMark/>
          </w:tcPr>
          <w:p w14:paraId="441D37E5" w14:textId="77777777" w:rsidR="00E732FA" w:rsidRPr="003C7CB1" w:rsidRDefault="00E732FA" w:rsidP="00E732FA">
            <w:pPr>
              <w:spacing w:after="0" w:line="240" w:lineRule="auto"/>
              <w:jc w:val="right"/>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173.41 </w:t>
            </w:r>
          </w:p>
        </w:tc>
      </w:tr>
      <w:tr w:rsidR="00E732FA" w:rsidRPr="003C7CB1" w14:paraId="377D3B4C" w14:textId="77777777" w:rsidTr="00E732FA">
        <w:trPr>
          <w:trHeight w:val="300"/>
          <w:jc w:val="center"/>
        </w:trPr>
        <w:tc>
          <w:tcPr>
            <w:tcW w:w="3489" w:type="dxa"/>
            <w:tcBorders>
              <w:top w:val="nil"/>
              <w:left w:val="single" w:sz="4" w:space="0" w:color="auto"/>
              <w:bottom w:val="single" w:sz="4" w:space="0" w:color="auto"/>
              <w:right w:val="single" w:sz="4" w:space="0" w:color="auto"/>
            </w:tcBorders>
            <w:shd w:val="clear" w:color="auto" w:fill="auto"/>
            <w:vAlign w:val="center"/>
            <w:hideMark/>
          </w:tcPr>
          <w:p w14:paraId="1387D6C7" w14:textId="77777777" w:rsidR="00E732FA" w:rsidRPr="003C7CB1" w:rsidRDefault="00E732FA" w:rsidP="00E732FA">
            <w:pPr>
              <w:spacing w:after="0" w:line="240" w:lineRule="auto"/>
              <w:jc w:val="center"/>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 VI-VII-VIII in total </w:t>
            </w:r>
          </w:p>
        </w:tc>
        <w:tc>
          <w:tcPr>
            <w:tcW w:w="1205" w:type="dxa"/>
            <w:tcBorders>
              <w:top w:val="nil"/>
              <w:left w:val="nil"/>
              <w:bottom w:val="single" w:sz="4" w:space="0" w:color="auto"/>
              <w:right w:val="single" w:sz="4" w:space="0" w:color="auto"/>
            </w:tcBorders>
            <w:shd w:val="clear" w:color="auto" w:fill="auto"/>
            <w:vAlign w:val="center"/>
            <w:hideMark/>
          </w:tcPr>
          <w:p w14:paraId="5D473FA5"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74.83 </w:t>
            </w:r>
          </w:p>
        </w:tc>
        <w:tc>
          <w:tcPr>
            <w:tcW w:w="1276" w:type="dxa"/>
            <w:tcBorders>
              <w:top w:val="nil"/>
              <w:left w:val="nil"/>
              <w:bottom w:val="single" w:sz="4" w:space="0" w:color="auto"/>
              <w:right w:val="single" w:sz="4" w:space="0" w:color="auto"/>
            </w:tcBorders>
            <w:shd w:val="clear" w:color="auto" w:fill="auto"/>
            <w:vAlign w:val="center"/>
            <w:hideMark/>
          </w:tcPr>
          <w:p w14:paraId="1161955B" w14:textId="77777777" w:rsidR="00E732FA" w:rsidRPr="003C7CB1" w:rsidRDefault="00E732FA" w:rsidP="00E732FA">
            <w:pPr>
              <w:spacing w:after="0" w:line="240" w:lineRule="auto"/>
              <w:jc w:val="right"/>
              <w:rPr>
                <w:rFonts w:ascii="Calibri" w:eastAsia="Times New Roman" w:hAnsi="Calibri" w:cs="Calibri"/>
                <w:b/>
                <w:bCs/>
                <w:color w:val="000000"/>
                <w:sz w:val="24"/>
                <w:szCs w:val="24"/>
              </w:rPr>
            </w:pPr>
            <w:r w:rsidRPr="003C7CB1">
              <w:rPr>
                <w:rFonts w:ascii="Calibri" w:eastAsia="Times New Roman" w:hAnsi="Calibri" w:cs="Calibri"/>
                <w:b/>
                <w:bCs/>
                <w:color w:val="000000"/>
                <w:sz w:val="24"/>
                <w:szCs w:val="24"/>
              </w:rPr>
              <w:t xml:space="preserve">67.82 </w:t>
            </w:r>
          </w:p>
        </w:tc>
        <w:tc>
          <w:tcPr>
            <w:tcW w:w="1696" w:type="dxa"/>
            <w:tcBorders>
              <w:top w:val="nil"/>
              <w:left w:val="nil"/>
              <w:bottom w:val="single" w:sz="4" w:space="0" w:color="auto"/>
              <w:right w:val="single" w:sz="4" w:space="0" w:color="auto"/>
            </w:tcBorders>
            <w:shd w:val="clear" w:color="auto" w:fill="auto"/>
            <w:vAlign w:val="center"/>
            <w:hideMark/>
          </w:tcPr>
          <w:p w14:paraId="67AB7390" w14:textId="77777777" w:rsidR="00E732FA" w:rsidRPr="003C7CB1" w:rsidRDefault="00E732FA" w:rsidP="00E732FA">
            <w:pPr>
              <w:spacing w:after="0" w:line="240" w:lineRule="auto"/>
              <w:jc w:val="right"/>
              <w:rPr>
                <w:rFonts w:ascii="Calibri" w:eastAsia="Times New Roman" w:hAnsi="Calibri" w:cs="Calibri"/>
                <w:b/>
                <w:color w:val="000000"/>
                <w:sz w:val="24"/>
                <w:szCs w:val="24"/>
              </w:rPr>
            </w:pPr>
            <w:r w:rsidRPr="003C7CB1">
              <w:rPr>
                <w:rFonts w:ascii="Calibri" w:eastAsia="Times New Roman" w:hAnsi="Calibri" w:cs="Calibri"/>
                <w:b/>
                <w:color w:val="000000"/>
                <w:sz w:val="24"/>
                <w:szCs w:val="24"/>
              </w:rPr>
              <w:t xml:space="preserve">90.63 </w:t>
            </w:r>
          </w:p>
        </w:tc>
      </w:tr>
    </w:tbl>
    <w:p w14:paraId="5A58A03C" w14:textId="77777777" w:rsidR="00E732FA" w:rsidRPr="003C7CB1" w:rsidRDefault="00E732FA" w:rsidP="00E732FA">
      <w:pPr>
        <w:spacing w:after="120" w:line="240" w:lineRule="auto"/>
        <w:jc w:val="both"/>
        <w:rPr>
          <w:rFonts w:cstheme="minorHAnsi"/>
          <w:sz w:val="24"/>
          <w:szCs w:val="24"/>
        </w:rPr>
      </w:pPr>
    </w:p>
    <w:p w14:paraId="1507FE88"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However, despite the above, it can be concluded that there is still a </w:t>
      </w:r>
      <w:r w:rsidRPr="003C7CB1">
        <w:rPr>
          <w:rFonts w:cstheme="minorHAnsi"/>
          <w:b/>
          <w:sz w:val="24"/>
          <w:szCs w:val="24"/>
        </w:rPr>
        <w:t>pronounced seasonality</w:t>
      </w:r>
      <w:r w:rsidRPr="003C7CB1">
        <w:rPr>
          <w:rFonts w:cstheme="minorHAnsi"/>
          <w:sz w:val="24"/>
          <w:szCs w:val="24"/>
        </w:rPr>
        <w:t xml:space="preserve"> and high concentration of tourists in the coastal region during the main tourist season (June-July-August), resulting in huge pressures on infrastructure, environmental segments, beach capacities, local population, etc. (Chart No. 3).   </w:t>
      </w:r>
    </w:p>
    <w:p w14:paraId="6EBC6DFC" w14:textId="77777777" w:rsidR="00E732FA" w:rsidRPr="003C7CB1" w:rsidRDefault="00E732FA" w:rsidP="00E732FA">
      <w:pPr>
        <w:spacing w:after="120" w:line="240" w:lineRule="auto"/>
        <w:jc w:val="both"/>
        <w:rPr>
          <w:rFonts w:cstheme="minorHAnsi"/>
          <w:sz w:val="24"/>
          <w:szCs w:val="24"/>
        </w:rPr>
      </w:pPr>
    </w:p>
    <w:p w14:paraId="4DD460CB" w14:textId="77777777" w:rsidR="00E732FA" w:rsidRPr="003C7CB1" w:rsidRDefault="00E732FA" w:rsidP="00E732FA">
      <w:pPr>
        <w:rPr>
          <w:rFonts w:cstheme="minorHAnsi"/>
          <w:sz w:val="24"/>
          <w:szCs w:val="24"/>
        </w:rPr>
      </w:pPr>
      <w:r w:rsidRPr="003C7CB1">
        <w:rPr>
          <w:rFonts w:cstheme="minorHAnsi"/>
          <w:b/>
        </w:rPr>
        <w:t xml:space="preserve">       Chart No. 3 - Overview of generated overnight stays in the period 2009-2019, by months</w:t>
      </w:r>
      <w:r w:rsidRPr="003C7CB1">
        <w:rPr>
          <w:rFonts w:cstheme="minorHAnsi"/>
          <w:noProof/>
          <w:sz w:val="24"/>
          <w:szCs w:val="24"/>
        </w:rPr>
        <w:drawing>
          <wp:inline distT="0" distB="0" distL="0" distR="0" wp14:anchorId="73F8C19D" wp14:editId="29288B4A">
            <wp:extent cx="5628535" cy="2831465"/>
            <wp:effectExtent l="0" t="0" r="10795" b="698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7923C83" w14:textId="77777777" w:rsidR="00E732FA" w:rsidRPr="003C7CB1" w:rsidRDefault="00E732FA" w:rsidP="00E732FA">
      <w:pPr>
        <w:spacing w:after="0" w:line="240" w:lineRule="auto"/>
        <w:jc w:val="both"/>
        <w:rPr>
          <w:rFonts w:cstheme="minorHAnsi"/>
          <w:i/>
          <w:sz w:val="20"/>
          <w:szCs w:val="20"/>
        </w:rPr>
      </w:pPr>
      <w:r w:rsidRPr="003C7CB1">
        <w:rPr>
          <w:rFonts w:cstheme="minorHAnsi"/>
          <w:i/>
          <w:sz w:val="20"/>
          <w:szCs w:val="20"/>
        </w:rPr>
        <w:t xml:space="preserve">Source: Statistical Office (MONSTAT), edited by the Ministry of Economic Development </w:t>
      </w:r>
    </w:p>
    <w:p w14:paraId="70285596" w14:textId="77777777" w:rsidR="00E732FA" w:rsidRPr="003C7CB1" w:rsidRDefault="00193646" w:rsidP="00E732FA">
      <w:pPr>
        <w:spacing w:after="0" w:line="240" w:lineRule="auto"/>
        <w:jc w:val="both"/>
        <w:rPr>
          <w:rFonts w:cstheme="minorHAnsi"/>
          <w:sz w:val="20"/>
          <w:szCs w:val="20"/>
        </w:rPr>
      </w:pPr>
      <w:hyperlink r:id="rId19" w:history="1">
        <w:r w:rsidR="00E732FA" w:rsidRPr="003C7CB1">
          <w:rPr>
            <w:rStyle w:val="Hyperlink"/>
            <w:rFonts w:cstheme="minorHAnsi"/>
            <w:sz w:val="20"/>
            <w:szCs w:val="20"/>
          </w:rPr>
          <w:t>http://monstat.org/cg/page.php?id=366&amp;pageid=44</w:t>
        </w:r>
      </w:hyperlink>
      <w:r w:rsidR="00E732FA" w:rsidRPr="003C7CB1">
        <w:rPr>
          <w:rStyle w:val="Hyperlink"/>
          <w:rFonts w:cstheme="minorHAnsi"/>
          <w:sz w:val="20"/>
          <w:szCs w:val="20"/>
        </w:rPr>
        <w:t xml:space="preserve"> </w:t>
      </w:r>
    </w:p>
    <w:p w14:paraId="56686030" w14:textId="77777777" w:rsidR="00E732FA" w:rsidRPr="003C7CB1" w:rsidRDefault="00E732FA" w:rsidP="00E732FA">
      <w:pPr>
        <w:spacing w:after="0" w:line="240" w:lineRule="auto"/>
        <w:jc w:val="both"/>
        <w:rPr>
          <w:rStyle w:val="Hyperlink"/>
          <w:rFonts w:cstheme="minorHAnsi"/>
          <w:sz w:val="20"/>
          <w:szCs w:val="20"/>
        </w:rPr>
      </w:pPr>
    </w:p>
    <w:p w14:paraId="7D3F05A6" w14:textId="77777777" w:rsidR="00E732FA" w:rsidRPr="003C7CB1" w:rsidRDefault="00E732FA" w:rsidP="00E732FA">
      <w:pPr>
        <w:spacing w:line="240" w:lineRule="auto"/>
        <w:jc w:val="both"/>
        <w:rPr>
          <w:rStyle w:val="Hyperlink"/>
          <w:rFonts w:cstheme="minorHAnsi"/>
          <w:color w:val="auto"/>
          <w:sz w:val="24"/>
          <w:szCs w:val="24"/>
          <w:u w:val="none"/>
        </w:rPr>
      </w:pPr>
      <w:r w:rsidRPr="003C7CB1">
        <w:rPr>
          <w:rStyle w:val="Hyperlink"/>
          <w:rFonts w:cstheme="minorHAnsi"/>
          <w:color w:val="auto"/>
          <w:sz w:val="24"/>
          <w:szCs w:val="24"/>
          <w:u w:val="none"/>
        </w:rPr>
        <w:t>The pronounced seasonality in the tourism industry business is primarily caused by the main motives for coming to Montenegro. Specifically, according to the survey conducted among visitors (Guest survey 2017, NTO Montenegro and Survey on the attitudes and consumption of tourists in Bar in 2019, TO Bar), the main reasons for staying in Montenegro are holidays (69%, or 74.8%) and entertainment (58% and 49.3%, respectively).</w:t>
      </w:r>
      <w:r w:rsidRPr="003C7CB1">
        <w:t xml:space="preserve"> </w:t>
      </w:r>
      <w:r w:rsidRPr="003C7CB1">
        <w:rPr>
          <w:rStyle w:val="Hyperlink"/>
          <w:rFonts w:cstheme="minorHAnsi"/>
          <w:color w:val="auto"/>
          <w:sz w:val="24"/>
          <w:szCs w:val="24"/>
          <w:u w:val="none"/>
        </w:rPr>
        <w:t xml:space="preserve">These motives are the main causes of a high degree of seasonality, because they are predominantly related to the tourist offer during the summer tourist season.  </w:t>
      </w:r>
    </w:p>
    <w:p w14:paraId="75C8A6F0" w14:textId="77777777" w:rsidR="00E732FA" w:rsidRPr="003C7CB1" w:rsidRDefault="00E732FA" w:rsidP="00E732FA">
      <w:pPr>
        <w:spacing w:line="240" w:lineRule="auto"/>
        <w:jc w:val="both"/>
        <w:rPr>
          <w:rStyle w:val="Hyperlink"/>
          <w:rFonts w:cstheme="minorHAnsi"/>
          <w:color w:val="auto"/>
          <w:sz w:val="24"/>
          <w:szCs w:val="24"/>
          <w:u w:val="none"/>
        </w:rPr>
      </w:pPr>
    </w:p>
    <w:p w14:paraId="32567480" w14:textId="0529E245" w:rsidR="00EA7B37" w:rsidRDefault="00EA7B37" w:rsidP="00E02FA8">
      <w:pPr>
        <w:jc w:val="center"/>
        <w:rPr>
          <w:rFonts w:cstheme="minorHAnsi"/>
          <w:sz w:val="24"/>
          <w:szCs w:val="24"/>
        </w:rPr>
      </w:pPr>
      <w:r>
        <w:rPr>
          <w:noProof/>
        </w:rPr>
        <w:lastRenderedPageBreak/>
        <w:drawing>
          <wp:inline distT="0" distB="0" distL="0" distR="0" wp14:anchorId="3555C450" wp14:editId="33931482">
            <wp:extent cx="2397760" cy="1792224"/>
            <wp:effectExtent l="0" t="0" r="2540" b="0"/>
            <wp:docPr id="71" name="Picture 71" descr="cid:image011.jpg@01D871AF.6A27D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11.jpg@01D871AF.6A27D340"/>
                    <pic:cNvPicPr>
                      <a:picLocks noChangeAspect="1" noChangeArrowheads="1"/>
                    </pic:cNvPicPr>
                  </pic:nvPicPr>
                  <pic:blipFill rotWithShape="1">
                    <a:blip r:embed="rId20" r:link="rId21" cstate="print">
                      <a:extLst>
                        <a:ext uri="{28A0092B-C50C-407E-A947-70E740481C1C}">
                          <a14:useLocalDpi xmlns:a14="http://schemas.microsoft.com/office/drawing/2010/main" val="0"/>
                        </a:ext>
                      </a:extLst>
                    </a:blip>
                    <a:srcRect l="1348"/>
                    <a:stretch/>
                  </pic:blipFill>
                  <pic:spPr bwMode="auto">
                    <a:xfrm>
                      <a:off x="0" y="0"/>
                      <a:ext cx="2469044" cy="1845506"/>
                    </a:xfrm>
                    <a:prstGeom prst="rect">
                      <a:avLst/>
                    </a:prstGeom>
                    <a:noFill/>
                    <a:ln>
                      <a:noFill/>
                    </a:ln>
                    <a:extLst>
                      <a:ext uri="{53640926-AAD7-44D8-BBD7-CCE9431645EC}">
                        <a14:shadowObscured xmlns:a14="http://schemas.microsoft.com/office/drawing/2010/main"/>
                      </a:ext>
                    </a:extLst>
                  </pic:spPr>
                </pic:pic>
              </a:graphicData>
            </a:graphic>
          </wp:inline>
        </w:drawing>
      </w:r>
      <w:r w:rsidR="00F75414">
        <w:rPr>
          <w:noProof/>
        </w:rPr>
        <w:drawing>
          <wp:inline distT="0" distB="0" distL="0" distR="0" wp14:anchorId="18B6F716" wp14:editId="7743AA2D">
            <wp:extent cx="2326005" cy="1755379"/>
            <wp:effectExtent l="0" t="0" r="0" b="0"/>
            <wp:docPr id="48" name="Picture 48" descr="cid:image003.jpg@01D871AD.C865B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3.jpg@01D871AD.C865B820"/>
                    <pic:cNvPicPr>
                      <a:picLocks noChangeAspect="1" noChangeArrowheads="1"/>
                    </pic:cNvPicPr>
                  </pic:nvPicPr>
                  <pic:blipFill rotWithShape="1">
                    <a:blip r:embed="rId22" r:link="rId23" cstate="print">
                      <a:extLst>
                        <a:ext uri="{28A0092B-C50C-407E-A947-70E740481C1C}">
                          <a14:useLocalDpi xmlns:a14="http://schemas.microsoft.com/office/drawing/2010/main" val="0"/>
                        </a:ext>
                      </a:extLst>
                    </a:blip>
                    <a:srcRect l="2155" t="2147"/>
                    <a:stretch/>
                  </pic:blipFill>
                  <pic:spPr bwMode="auto">
                    <a:xfrm>
                      <a:off x="0" y="0"/>
                      <a:ext cx="2535323" cy="1913347"/>
                    </a:xfrm>
                    <a:prstGeom prst="rect">
                      <a:avLst/>
                    </a:prstGeom>
                    <a:noFill/>
                    <a:ln>
                      <a:noFill/>
                    </a:ln>
                    <a:extLst>
                      <a:ext uri="{53640926-AAD7-44D8-BBD7-CCE9431645EC}">
                        <a14:shadowObscured xmlns:a14="http://schemas.microsoft.com/office/drawing/2010/main"/>
                      </a:ext>
                    </a:extLst>
                  </pic:spPr>
                </pic:pic>
              </a:graphicData>
            </a:graphic>
          </wp:inline>
        </w:drawing>
      </w:r>
    </w:p>
    <w:p w14:paraId="7820F318" w14:textId="22EA151D" w:rsidR="00E732FA" w:rsidRPr="001A2AC1" w:rsidRDefault="00E732FA" w:rsidP="00201DA3">
      <w:pPr>
        <w:jc w:val="center"/>
        <w:rPr>
          <w:rFonts w:cstheme="minorHAnsi"/>
          <w:i/>
          <w:sz w:val="20"/>
          <w:szCs w:val="20"/>
        </w:rPr>
      </w:pPr>
      <w:r w:rsidRPr="003C7CB1">
        <w:rPr>
          <w:rFonts w:cstheme="minorHAnsi"/>
          <w:i/>
          <w:sz w:val="20"/>
          <w:szCs w:val="20"/>
        </w:rPr>
        <w:t>Source: NTO Survey - Guest survey 2017</w:t>
      </w:r>
    </w:p>
    <w:p w14:paraId="231AE77E" w14:textId="383567FB" w:rsidR="00E732FA" w:rsidRPr="00E02FA8" w:rsidRDefault="002A1916" w:rsidP="009B72EA">
      <w:pPr>
        <w:jc w:val="center"/>
        <w:rPr>
          <w:rFonts w:cstheme="minorHAnsi"/>
          <w:i/>
          <w:sz w:val="18"/>
          <w:szCs w:val="18"/>
        </w:rPr>
      </w:pPr>
      <w:r>
        <w:rPr>
          <w:noProof/>
        </w:rPr>
        <w:drawing>
          <wp:inline distT="0" distB="0" distL="0" distR="0" wp14:anchorId="3FEDEA6C" wp14:editId="753C5FAC">
            <wp:extent cx="5669280" cy="3430905"/>
            <wp:effectExtent l="0" t="0" r="7620" b="0"/>
            <wp:docPr id="22" name="Picture 22" descr="cid:image001.png@01D871AD.C865B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png@01D871AD.C865B82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669280" cy="3430905"/>
                    </a:xfrm>
                    <a:prstGeom prst="rect">
                      <a:avLst/>
                    </a:prstGeom>
                    <a:noFill/>
                    <a:ln>
                      <a:noFill/>
                    </a:ln>
                  </pic:spPr>
                </pic:pic>
              </a:graphicData>
            </a:graphic>
          </wp:inline>
        </w:drawing>
      </w:r>
      <w:r w:rsidR="00E732FA" w:rsidRPr="003C7CB1">
        <w:rPr>
          <w:rFonts w:cstheme="minorHAnsi"/>
          <w:i/>
          <w:iCs/>
          <w:sz w:val="20"/>
          <w:szCs w:val="20"/>
        </w:rPr>
        <w:t>Source: Survey on the attitudes and consumption of tourists in Bar in 2019, source TO Bar</w:t>
      </w:r>
    </w:p>
    <w:p w14:paraId="5A2F8558" w14:textId="77777777" w:rsidR="00E732FA" w:rsidRPr="003C7CB1" w:rsidRDefault="00E732FA" w:rsidP="00E732FA">
      <w:pPr>
        <w:jc w:val="both"/>
        <w:rPr>
          <w:rFonts w:cstheme="minorHAnsi"/>
          <w:i/>
          <w:iCs/>
          <w:sz w:val="20"/>
          <w:szCs w:val="20"/>
        </w:rPr>
      </w:pPr>
    </w:p>
    <w:p w14:paraId="6C1B6020" w14:textId="5DD77722" w:rsidR="00E732FA" w:rsidRPr="003C7CB1" w:rsidRDefault="00E732FA" w:rsidP="00E732FA">
      <w:pPr>
        <w:spacing w:after="120" w:line="240" w:lineRule="auto"/>
        <w:jc w:val="both"/>
        <w:rPr>
          <w:rFonts w:cstheme="minorHAnsi"/>
          <w:iCs/>
          <w:sz w:val="24"/>
          <w:szCs w:val="24"/>
        </w:rPr>
      </w:pPr>
      <w:r w:rsidRPr="003C7CB1">
        <w:rPr>
          <w:rFonts w:cstheme="minorHAnsi"/>
          <w:iCs/>
          <w:sz w:val="24"/>
          <w:szCs w:val="24"/>
        </w:rPr>
        <w:t>The results of the Guest survey 2017 are also confirmed through data obtained from analyzes of touris</w:t>
      </w:r>
      <w:r w:rsidR="00AA70A3">
        <w:rPr>
          <w:rFonts w:cstheme="minorHAnsi"/>
          <w:iCs/>
          <w:sz w:val="24"/>
          <w:szCs w:val="24"/>
        </w:rPr>
        <w:t>m turnover</w:t>
      </w:r>
      <w:r w:rsidRPr="003C7CB1">
        <w:rPr>
          <w:rFonts w:cstheme="minorHAnsi"/>
          <w:iCs/>
          <w:sz w:val="24"/>
          <w:szCs w:val="24"/>
        </w:rPr>
        <w:t xml:space="preserve"> (number of overnight stays) from the aspect of spatial distribution of tourist places, i.e., from the regional aspect (Table 4).  </w:t>
      </w:r>
    </w:p>
    <w:p w14:paraId="71439FB0" w14:textId="77777777" w:rsidR="00E732FA" w:rsidRPr="003C7CB1" w:rsidRDefault="00E732FA" w:rsidP="00E732FA">
      <w:pPr>
        <w:spacing w:after="120" w:line="240" w:lineRule="auto"/>
        <w:jc w:val="both"/>
        <w:rPr>
          <w:rFonts w:cstheme="minorHAnsi"/>
          <w:iCs/>
          <w:sz w:val="24"/>
          <w:szCs w:val="24"/>
        </w:rPr>
      </w:pPr>
    </w:p>
    <w:p w14:paraId="4A520AB6" w14:textId="77777777" w:rsidR="00E732FA" w:rsidRPr="003C7CB1" w:rsidRDefault="00E732FA" w:rsidP="00E732FA">
      <w:pPr>
        <w:spacing w:after="120" w:line="240" w:lineRule="auto"/>
        <w:jc w:val="both"/>
        <w:rPr>
          <w:rFonts w:cstheme="minorHAnsi"/>
          <w:iCs/>
          <w:sz w:val="24"/>
          <w:szCs w:val="24"/>
        </w:rPr>
      </w:pPr>
    </w:p>
    <w:p w14:paraId="4871D7FC" w14:textId="77777777" w:rsidR="00E732FA" w:rsidRPr="003C7CB1" w:rsidRDefault="00E732FA" w:rsidP="00E732FA">
      <w:pPr>
        <w:spacing w:after="120" w:line="240" w:lineRule="auto"/>
        <w:jc w:val="both"/>
        <w:rPr>
          <w:rFonts w:cstheme="minorHAnsi"/>
          <w:iCs/>
          <w:sz w:val="24"/>
          <w:szCs w:val="24"/>
        </w:rPr>
      </w:pPr>
    </w:p>
    <w:p w14:paraId="5277BFA7" w14:textId="77777777" w:rsidR="00E732FA" w:rsidRPr="003C7CB1" w:rsidRDefault="00E732FA" w:rsidP="00E732FA">
      <w:pPr>
        <w:spacing w:after="120" w:line="240" w:lineRule="auto"/>
        <w:jc w:val="both"/>
        <w:rPr>
          <w:rFonts w:cstheme="minorHAnsi"/>
          <w:iCs/>
          <w:sz w:val="24"/>
          <w:szCs w:val="24"/>
        </w:rPr>
      </w:pPr>
    </w:p>
    <w:p w14:paraId="57005317" w14:textId="77777777" w:rsidR="00E732FA" w:rsidRPr="003C7CB1" w:rsidRDefault="00E732FA" w:rsidP="00E732FA">
      <w:pPr>
        <w:spacing w:after="120" w:line="240" w:lineRule="auto"/>
        <w:jc w:val="both"/>
        <w:rPr>
          <w:rFonts w:cstheme="minorHAnsi"/>
          <w:iCs/>
          <w:sz w:val="24"/>
          <w:szCs w:val="24"/>
        </w:rPr>
      </w:pPr>
    </w:p>
    <w:p w14:paraId="42808900" w14:textId="77777777" w:rsidR="00E732FA" w:rsidRPr="003C7CB1" w:rsidRDefault="00E732FA" w:rsidP="00E732FA">
      <w:pPr>
        <w:spacing w:after="120" w:line="240" w:lineRule="auto"/>
        <w:jc w:val="both"/>
        <w:rPr>
          <w:rFonts w:cstheme="minorHAnsi"/>
          <w:iCs/>
          <w:sz w:val="24"/>
          <w:szCs w:val="24"/>
        </w:rPr>
      </w:pPr>
    </w:p>
    <w:p w14:paraId="28134751" w14:textId="77777777" w:rsidR="00E732FA" w:rsidRPr="003C7CB1" w:rsidRDefault="00E732FA" w:rsidP="001C47A6">
      <w:pPr>
        <w:spacing w:after="160"/>
        <w:rPr>
          <w:rFonts w:cstheme="minorHAnsi"/>
          <w:iCs/>
          <w:sz w:val="24"/>
          <w:szCs w:val="24"/>
        </w:rPr>
      </w:pPr>
    </w:p>
    <w:p w14:paraId="06A3B696" w14:textId="77777777" w:rsidR="00E732FA" w:rsidRPr="003C7CB1" w:rsidRDefault="00E732FA" w:rsidP="00E732FA">
      <w:pPr>
        <w:spacing w:after="160"/>
        <w:jc w:val="center"/>
        <w:rPr>
          <w:rFonts w:cstheme="minorHAnsi"/>
        </w:rPr>
      </w:pPr>
      <w:r w:rsidRPr="003C7CB1">
        <w:rPr>
          <w:rFonts w:cstheme="minorHAnsi"/>
          <w:b/>
          <w:bCs/>
        </w:rPr>
        <w:lastRenderedPageBreak/>
        <w:t>Table no. 4 - Tourist overnight stays according to the spatial distribution of tourist places</w:t>
      </w:r>
      <w:r w:rsidRPr="003C7CB1">
        <w:rPr>
          <w:rFonts w:cstheme="minorHAnsi"/>
          <w:b/>
        </w:rPr>
        <w:t xml:space="preserve">, 2009-2019 </w:t>
      </w:r>
      <w:r w:rsidRPr="003C7CB1">
        <w:rPr>
          <w:rFonts w:cstheme="minorHAnsi"/>
        </w:rPr>
        <w:t xml:space="preserve"> </w:t>
      </w:r>
    </w:p>
    <w:tbl>
      <w:tblPr>
        <w:tblStyle w:val="GridTable5Dark-Accent131"/>
        <w:tblW w:w="0" w:type="auto"/>
        <w:jc w:val="center"/>
        <w:tblLook w:val="04A0" w:firstRow="1" w:lastRow="0" w:firstColumn="1" w:lastColumn="0" w:noHBand="0" w:noVBand="1"/>
      </w:tblPr>
      <w:tblGrid>
        <w:gridCol w:w="1244"/>
        <w:gridCol w:w="1319"/>
        <w:gridCol w:w="1281"/>
        <w:gridCol w:w="1320"/>
        <w:gridCol w:w="1305"/>
        <w:gridCol w:w="1281"/>
        <w:gridCol w:w="1267"/>
      </w:tblGrid>
      <w:tr w:rsidR="00E732FA" w:rsidRPr="003C7CB1" w14:paraId="32081EC6" w14:textId="77777777" w:rsidTr="00E732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51A048E5" w14:textId="77777777" w:rsidR="00E732FA" w:rsidRPr="003C7CB1" w:rsidRDefault="00E732FA" w:rsidP="00E732FA">
            <w:pPr>
              <w:spacing w:after="0" w:line="240" w:lineRule="auto"/>
              <w:jc w:val="center"/>
              <w:rPr>
                <w:rFonts w:cstheme="minorHAnsi"/>
              </w:rPr>
            </w:pPr>
          </w:p>
        </w:tc>
        <w:tc>
          <w:tcPr>
            <w:tcW w:w="1319" w:type="dxa"/>
          </w:tcPr>
          <w:p w14:paraId="0D196012"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Total </w:t>
            </w:r>
          </w:p>
        </w:tc>
        <w:tc>
          <w:tcPr>
            <w:tcW w:w="1281" w:type="dxa"/>
          </w:tcPr>
          <w:p w14:paraId="21875514"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Capital City </w:t>
            </w:r>
          </w:p>
        </w:tc>
        <w:tc>
          <w:tcPr>
            <w:tcW w:w="1320" w:type="dxa"/>
          </w:tcPr>
          <w:p w14:paraId="5FD79F21"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Coastal places </w:t>
            </w:r>
          </w:p>
        </w:tc>
        <w:tc>
          <w:tcPr>
            <w:tcW w:w="1305" w:type="dxa"/>
          </w:tcPr>
          <w:p w14:paraId="6E009E09"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Mountain places </w:t>
            </w:r>
          </w:p>
        </w:tc>
        <w:tc>
          <w:tcPr>
            <w:tcW w:w="1281" w:type="dxa"/>
          </w:tcPr>
          <w:p w14:paraId="28BBB270"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Other tourist places </w:t>
            </w:r>
          </w:p>
        </w:tc>
        <w:tc>
          <w:tcPr>
            <w:tcW w:w="1267" w:type="dxa"/>
          </w:tcPr>
          <w:p w14:paraId="43B92D35"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Other places </w:t>
            </w:r>
          </w:p>
        </w:tc>
      </w:tr>
      <w:tr w:rsidR="00E732FA" w:rsidRPr="003C7CB1" w14:paraId="0D9F590F" w14:textId="77777777" w:rsidTr="00E73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7C916792" w14:textId="77777777" w:rsidR="00E732FA" w:rsidRPr="003C7CB1" w:rsidRDefault="00E732FA" w:rsidP="00E732FA">
            <w:pPr>
              <w:spacing w:after="0" w:line="240" w:lineRule="auto"/>
              <w:jc w:val="center"/>
              <w:rPr>
                <w:rFonts w:cstheme="minorHAnsi"/>
              </w:rPr>
            </w:pPr>
            <w:r w:rsidRPr="003C7CB1">
              <w:rPr>
                <w:rFonts w:cstheme="minorHAnsi"/>
              </w:rPr>
              <w:t xml:space="preserve">2009 </w:t>
            </w:r>
          </w:p>
        </w:tc>
        <w:tc>
          <w:tcPr>
            <w:tcW w:w="1319" w:type="dxa"/>
          </w:tcPr>
          <w:p w14:paraId="713F3D7A"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7,552,006 </w:t>
            </w:r>
          </w:p>
        </w:tc>
        <w:tc>
          <w:tcPr>
            <w:tcW w:w="1281" w:type="dxa"/>
          </w:tcPr>
          <w:p w14:paraId="222671D3"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103,464 </w:t>
            </w:r>
          </w:p>
        </w:tc>
        <w:tc>
          <w:tcPr>
            <w:tcW w:w="1320" w:type="dxa"/>
          </w:tcPr>
          <w:p w14:paraId="37E972E9"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7,244,830 </w:t>
            </w:r>
          </w:p>
        </w:tc>
        <w:tc>
          <w:tcPr>
            <w:tcW w:w="1305" w:type="dxa"/>
          </w:tcPr>
          <w:p w14:paraId="11EA2485"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99,500 </w:t>
            </w:r>
          </w:p>
        </w:tc>
        <w:tc>
          <w:tcPr>
            <w:tcW w:w="1281" w:type="dxa"/>
          </w:tcPr>
          <w:p w14:paraId="5E87CDEB"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102,208 </w:t>
            </w:r>
          </w:p>
        </w:tc>
        <w:tc>
          <w:tcPr>
            <w:tcW w:w="1267" w:type="dxa"/>
          </w:tcPr>
          <w:p w14:paraId="1AF394C7"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2,004 </w:t>
            </w:r>
          </w:p>
        </w:tc>
      </w:tr>
      <w:tr w:rsidR="00E732FA" w:rsidRPr="003C7CB1" w14:paraId="4FFA8013" w14:textId="77777777" w:rsidTr="00E732FA">
        <w:trPr>
          <w:jc w:val="center"/>
        </w:trPr>
        <w:tc>
          <w:tcPr>
            <w:cnfStyle w:val="001000000000" w:firstRow="0" w:lastRow="0" w:firstColumn="1" w:lastColumn="0" w:oddVBand="0" w:evenVBand="0" w:oddHBand="0" w:evenHBand="0" w:firstRowFirstColumn="0" w:firstRowLastColumn="0" w:lastRowFirstColumn="0" w:lastRowLastColumn="0"/>
            <w:tcW w:w="1244" w:type="dxa"/>
          </w:tcPr>
          <w:p w14:paraId="352841DB" w14:textId="77777777" w:rsidR="00E732FA" w:rsidRPr="003C7CB1" w:rsidRDefault="00E732FA" w:rsidP="00E732FA">
            <w:pPr>
              <w:spacing w:after="0" w:line="240" w:lineRule="auto"/>
              <w:jc w:val="center"/>
              <w:rPr>
                <w:rFonts w:cstheme="minorHAnsi"/>
              </w:rPr>
            </w:pPr>
            <w:r w:rsidRPr="003C7CB1">
              <w:rPr>
                <w:rFonts w:cstheme="minorHAnsi"/>
              </w:rPr>
              <w:t xml:space="preserve">2010  </w:t>
            </w:r>
          </w:p>
        </w:tc>
        <w:tc>
          <w:tcPr>
            <w:tcW w:w="1319" w:type="dxa"/>
          </w:tcPr>
          <w:p w14:paraId="64734B3E"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7,964,893 </w:t>
            </w:r>
          </w:p>
        </w:tc>
        <w:tc>
          <w:tcPr>
            <w:tcW w:w="1281" w:type="dxa"/>
          </w:tcPr>
          <w:p w14:paraId="361A7DD0"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112,569 </w:t>
            </w:r>
          </w:p>
        </w:tc>
        <w:tc>
          <w:tcPr>
            <w:tcW w:w="1320" w:type="dxa"/>
          </w:tcPr>
          <w:p w14:paraId="31596ACE"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7,643,320 </w:t>
            </w:r>
          </w:p>
        </w:tc>
        <w:tc>
          <w:tcPr>
            <w:tcW w:w="1305" w:type="dxa"/>
          </w:tcPr>
          <w:p w14:paraId="4E633D4C"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123,151 </w:t>
            </w:r>
          </w:p>
        </w:tc>
        <w:tc>
          <w:tcPr>
            <w:tcW w:w="1281" w:type="dxa"/>
          </w:tcPr>
          <w:p w14:paraId="50336BFE"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83,896 </w:t>
            </w:r>
          </w:p>
        </w:tc>
        <w:tc>
          <w:tcPr>
            <w:tcW w:w="1267" w:type="dxa"/>
          </w:tcPr>
          <w:p w14:paraId="5FC2D1E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1,957 </w:t>
            </w:r>
          </w:p>
        </w:tc>
      </w:tr>
      <w:tr w:rsidR="00E732FA" w:rsidRPr="003C7CB1" w14:paraId="5E9B61B5" w14:textId="77777777" w:rsidTr="00E73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581042DA" w14:textId="77777777" w:rsidR="00E732FA" w:rsidRPr="003C7CB1" w:rsidRDefault="00E732FA" w:rsidP="00E732FA">
            <w:pPr>
              <w:spacing w:after="0" w:line="240" w:lineRule="auto"/>
              <w:jc w:val="center"/>
              <w:rPr>
                <w:rFonts w:cstheme="minorHAnsi"/>
              </w:rPr>
            </w:pPr>
            <w:r w:rsidRPr="003C7CB1">
              <w:rPr>
                <w:rFonts w:cstheme="minorHAnsi"/>
              </w:rPr>
              <w:t xml:space="preserve">2011 </w:t>
            </w:r>
          </w:p>
        </w:tc>
        <w:tc>
          <w:tcPr>
            <w:tcW w:w="1319" w:type="dxa"/>
          </w:tcPr>
          <w:p w14:paraId="02E178E5"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8,775,171 </w:t>
            </w:r>
          </w:p>
        </w:tc>
        <w:tc>
          <w:tcPr>
            <w:tcW w:w="1281" w:type="dxa"/>
          </w:tcPr>
          <w:p w14:paraId="1EE7988C"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103,636 </w:t>
            </w:r>
          </w:p>
        </w:tc>
        <w:tc>
          <w:tcPr>
            <w:tcW w:w="1320" w:type="dxa"/>
          </w:tcPr>
          <w:p w14:paraId="35D404E9"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8,493,955 </w:t>
            </w:r>
          </w:p>
        </w:tc>
        <w:tc>
          <w:tcPr>
            <w:tcW w:w="1305" w:type="dxa"/>
          </w:tcPr>
          <w:p w14:paraId="21CD2527"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107,506 </w:t>
            </w:r>
          </w:p>
        </w:tc>
        <w:tc>
          <w:tcPr>
            <w:tcW w:w="1281" w:type="dxa"/>
          </w:tcPr>
          <w:p w14:paraId="56172015"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68,249 </w:t>
            </w:r>
          </w:p>
        </w:tc>
        <w:tc>
          <w:tcPr>
            <w:tcW w:w="1267" w:type="dxa"/>
          </w:tcPr>
          <w:p w14:paraId="5036BA71"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1,825  </w:t>
            </w:r>
          </w:p>
        </w:tc>
      </w:tr>
      <w:tr w:rsidR="00E732FA" w:rsidRPr="003C7CB1" w14:paraId="60B8FD6A" w14:textId="77777777" w:rsidTr="00E732FA">
        <w:trPr>
          <w:jc w:val="center"/>
        </w:trPr>
        <w:tc>
          <w:tcPr>
            <w:cnfStyle w:val="001000000000" w:firstRow="0" w:lastRow="0" w:firstColumn="1" w:lastColumn="0" w:oddVBand="0" w:evenVBand="0" w:oddHBand="0" w:evenHBand="0" w:firstRowFirstColumn="0" w:firstRowLastColumn="0" w:lastRowFirstColumn="0" w:lastRowLastColumn="0"/>
            <w:tcW w:w="1244" w:type="dxa"/>
          </w:tcPr>
          <w:p w14:paraId="0A0042BC" w14:textId="77777777" w:rsidR="00E732FA" w:rsidRPr="003C7CB1" w:rsidRDefault="00E732FA" w:rsidP="00E732FA">
            <w:pPr>
              <w:spacing w:after="0" w:line="240" w:lineRule="auto"/>
              <w:jc w:val="center"/>
              <w:rPr>
                <w:rFonts w:cstheme="minorHAnsi"/>
              </w:rPr>
            </w:pPr>
            <w:r w:rsidRPr="003C7CB1">
              <w:rPr>
                <w:rFonts w:cstheme="minorHAnsi"/>
              </w:rPr>
              <w:t xml:space="preserve">2012 </w:t>
            </w:r>
          </w:p>
        </w:tc>
        <w:tc>
          <w:tcPr>
            <w:tcW w:w="1319" w:type="dxa"/>
          </w:tcPr>
          <w:p w14:paraId="470CE1F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9,151,236 </w:t>
            </w:r>
          </w:p>
        </w:tc>
        <w:tc>
          <w:tcPr>
            <w:tcW w:w="1281" w:type="dxa"/>
          </w:tcPr>
          <w:p w14:paraId="5444A48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102,875 </w:t>
            </w:r>
          </w:p>
        </w:tc>
        <w:tc>
          <w:tcPr>
            <w:tcW w:w="1320" w:type="dxa"/>
          </w:tcPr>
          <w:p w14:paraId="6867CD6A"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8,858,226 </w:t>
            </w:r>
          </w:p>
        </w:tc>
        <w:tc>
          <w:tcPr>
            <w:tcW w:w="1305" w:type="dxa"/>
          </w:tcPr>
          <w:p w14:paraId="7140529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110,172 </w:t>
            </w:r>
          </w:p>
        </w:tc>
        <w:tc>
          <w:tcPr>
            <w:tcW w:w="1281" w:type="dxa"/>
          </w:tcPr>
          <w:p w14:paraId="4BAC769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76,002 </w:t>
            </w:r>
          </w:p>
        </w:tc>
        <w:tc>
          <w:tcPr>
            <w:tcW w:w="1267" w:type="dxa"/>
          </w:tcPr>
          <w:p w14:paraId="324D761D"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3,961 </w:t>
            </w:r>
          </w:p>
        </w:tc>
      </w:tr>
      <w:tr w:rsidR="00E732FA" w:rsidRPr="003C7CB1" w14:paraId="25CFF5F3" w14:textId="77777777" w:rsidTr="00E73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33DEC544" w14:textId="77777777" w:rsidR="00E732FA" w:rsidRPr="003C7CB1" w:rsidRDefault="00E732FA" w:rsidP="00E732FA">
            <w:pPr>
              <w:spacing w:after="0" w:line="240" w:lineRule="auto"/>
              <w:jc w:val="center"/>
              <w:rPr>
                <w:rFonts w:cstheme="minorHAnsi"/>
              </w:rPr>
            </w:pPr>
            <w:r w:rsidRPr="003C7CB1">
              <w:rPr>
                <w:rFonts w:cstheme="minorHAnsi"/>
              </w:rPr>
              <w:t xml:space="preserve">2013 </w:t>
            </w:r>
          </w:p>
        </w:tc>
        <w:tc>
          <w:tcPr>
            <w:tcW w:w="1319" w:type="dxa"/>
          </w:tcPr>
          <w:p w14:paraId="0442A1EA"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9,411,943 </w:t>
            </w:r>
          </w:p>
        </w:tc>
        <w:tc>
          <w:tcPr>
            <w:tcW w:w="1281" w:type="dxa"/>
          </w:tcPr>
          <w:p w14:paraId="0B4A4A2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116,532 </w:t>
            </w:r>
          </w:p>
        </w:tc>
        <w:tc>
          <w:tcPr>
            <w:tcW w:w="1320" w:type="dxa"/>
          </w:tcPr>
          <w:p w14:paraId="3C0C74B8"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9,128,809 </w:t>
            </w:r>
          </w:p>
        </w:tc>
        <w:tc>
          <w:tcPr>
            <w:tcW w:w="1305" w:type="dxa"/>
          </w:tcPr>
          <w:p w14:paraId="44E67E8D"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107,548 </w:t>
            </w:r>
          </w:p>
        </w:tc>
        <w:tc>
          <w:tcPr>
            <w:tcW w:w="1281" w:type="dxa"/>
          </w:tcPr>
          <w:p w14:paraId="5991BA8B"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56,136 </w:t>
            </w:r>
          </w:p>
        </w:tc>
        <w:tc>
          <w:tcPr>
            <w:tcW w:w="1267" w:type="dxa"/>
          </w:tcPr>
          <w:p w14:paraId="46AE3FBC"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2,918 </w:t>
            </w:r>
          </w:p>
        </w:tc>
      </w:tr>
      <w:tr w:rsidR="00E732FA" w:rsidRPr="003C7CB1" w14:paraId="51F17925" w14:textId="77777777" w:rsidTr="00E732FA">
        <w:trPr>
          <w:jc w:val="center"/>
        </w:trPr>
        <w:tc>
          <w:tcPr>
            <w:cnfStyle w:val="001000000000" w:firstRow="0" w:lastRow="0" w:firstColumn="1" w:lastColumn="0" w:oddVBand="0" w:evenVBand="0" w:oddHBand="0" w:evenHBand="0" w:firstRowFirstColumn="0" w:firstRowLastColumn="0" w:lastRowFirstColumn="0" w:lastRowLastColumn="0"/>
            <w:tcW w:w="1244" w:type="dxa"/>
          </w:tcPr>
          <w:p w14:paraId="361B3F46" w14:textId="77777777" w:rsidR="00E732FA" w:rsidRPr="003C7CB1" w:rsidRDefault="00E732FA" w:rsidP="00E732FA">
            <w:pPr>
              <w:spacing w:after="0" w:line="240" w:lineRule="auto"/>
              <w:jc w:val="center"/>
              <w:rPr>
                <w:rFonts w:cstheme="minorHAnsi"/>
              </w:rPr>
            </w:pPr>
            <w:r w:rsidRPr="003C7CB1">
              <w:rPr>
                <w:rFonts w:cstheme="minorHAnsi"/>
              </w:rPr>
              <w:t xml:space="preserve">2014 </w:t>
            </w:r>
          </w:p>
        </w:tc>
        <w:tc>
          <w:tcPr>
            <w:tcW w:w="1319" w:type="dxa"/>
          </w:tcPr>
          <w:p w14:paraId="4E572BA8"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9,553,783 </w:t>
            </w:r>
          </w:p>
        </w:tc>
        <w:tc>
          <w:tcPr>
            <w:tcW w:w="1281" w:type="dxa"/>
          </w:tcPr>
          <w:p w14:paraId="0132B3F6"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128,115 </w:t>
            </w:r>
          </w:p>
        </w:tc>
        <w:tc>
          <w:tcPr>
            <w:tcW w:w="1320" w:type="dxa"/>
          </w:tcPr>
          <w:p w14:paraId="112E9560"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9,258,017 </w:t>
            </w:r>
          </w:p>
        </w:tc>
        <w:tc>
          <w:tcPr>
            <w:tcW w:w="1305" w:type="dxa"/>
          </w:tcPr>
          <w:p w14:paraId="43252F69"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90,341 </w:t>
            </w:r>
          </w:p>
        </w:tc>
        <w:tc>
          <w:tcPr>
            <w:tcW w:w="1281" w:type="dxa"/>
          </w:tcPr>
          <w:p w14:paraId="0498A295"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75,154 </w:t>
            </w:r>
          </w:p>
        </w:tc>
        <w:tc>
          <w:tcPr>
            <w:tcW w:w="1267" w:type="dxa"/>
          </w:tcPr>
          <w:p w14:paraId="6EA1D83C"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2,156 </w:t>
            </w:r>
          </w:p>
        </w:tc>
      </w:tr>
      <w:tr w:rsidR="00E732FA" w:rsidRPr="003C7CB1" w14:paraId="02C35ADC" w14:textId="77777777" w:rsidTr="00E73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37C16A51" w14:textId="77777777" w:rsidR="00E732FA" w:rsidRPr="003C7CB1" w:rsidRDefault="00E732FA" w:rsidP="00E732FA">
            <w:pPr>
              <w:spacing w:after="0" w:line="240" w:lineRule="auto"/>
              <w:jc w:val="center"/>
              <w:rPr>
                <w:rFonts w:cstheme="minorHAnsi"/>
              </w:rPr>
            </w:pPr>
            <w:r w:rsidRPr="003C7CB1">
              <w:rPr>
                <w:rFonts w:cstheme="minorHAnsi"/>
              </w:rPr>
              <w:t xml:space="preserve">2015 </w:t>
            </w:r>
          </w:p>
        </w:tc>
        <w:tc>
          <w:tcPr>
            <w:tcW w:w="1319" w:type="dxa"/>
          </w:tcPr>
          <w:p w14:paraId="12187228"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11,054,947 </w:t>
            </w:r>
          </w:p>
        </w:tc>
        <w:tc>
          <w:tcPr>
            <w:tcW w:w="1281" w:type="dxa"/>
          </w:tcPr>
          <w:p w14:paraId="4EE01C02"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155,410 </w:t>
            </w:r>
          </w:p>
        </w:tc>
        <w:tc>
          <w:tcPr>
            <w:tcW w:w="1320" w:type="dxa"/>
          </w:tcPr>
          <w:p w14:paraId="069F4A67"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10,687,914 </w:t>
            </w:r>
          </w:p>
        </w:tc>
        <w:tc>
          <w:tcPr>
            <w:tcW w:w="1305" w:type="dxa"/>
          </w:tcPr>
          <w:p w14:paraId="27F60472"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127,448 </w:t>
            </w:r>
          </w:p>
        </w:tc>
        <w:tc>
          <w:tcPr>
            <w:tcW w:w="1281" w:type="dxa"/>
          </w:tcPr>
          <w:p w14:paraId="241557A4"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81,982 </w:t>
            </w:r>
          </w:p>
        </w:tc>
        <w:tc>
          <w:tcPr>
            <w:tcW w:w="1267" w:type="dxa"/>
          </w:tcPr>
          <w:p w14:paraId="61CFFA54"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2,193 </w:t>
            </w:r>
          </w:p>
        </w:tc>
      </w:tr>
      <w:tr w:rsidR="00E732FA" w:rsidRPr="003C7CB1" w14:paraId="72C30BD2" w14:textId="77777777" w:rsidTr="00E732FA">
        <w:trPr>
          <w:jc w:val="center"/>
        </w:trPr>
        <w:tc>
          <w:tcPr>
            <w:cnfStyle w:val="001000000000" w:firstRow="0" w:lastRow="0" w:firstColumn="1" w:lastColumn="0" w:oddVBand="0" w:evenVBand="0" w:oddHBand="0" w:evenHBand="0" w:firstRowFirstColumn="0" w:firstRowLastColumn="0" w:lastRowFirstColumn="0" w:lastRowLastColumn="0"/>
            <w:tcW w:w="1244" w:type="dxa"/>
          </w:tcPr>
          <w:p w14:paraId="1B816472" w14:textId="77777777" w:rsidR="00E732FA" w:rsidRPr="003C7CB1" w:rsidRDefault="00E732FA" w:rsidP="00E732FA">
            <w:pPr>
              <w:spacing w:after="0" w:line="240" w:lineRule="auto"/>
              <w:jc w:val="center"/>
              <w:rPr>
                <w:rFonts w:cstheme="minorHAnsi"/>
              </w:rPr>
            </w:pPr>
            <w:r w:rsidRPr="003C7CB1">
              <w:rPr>
                <w:rFonts w:cstheme="minorHAnsi"/>
              </w:rPr>
              <w:t xml:space="preserve">2016 </w:t>
            </w:r>
          </w:p>
        </w:tc>
        <w:tc>
          <w:tcPr>
            <w:tcW w:w="1319" w:type="dxa"/>
          </w:tcPr>
          <w:p w14:paraId="4DF71792"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11,250,005 </w:t>
            </w:r>
          </w:p>
        </w:tc>
        <w:tc>
          <w:tcPr>
            <w:tcW w:w="1281" w:type="dxa"/>
          </w:tcPr>
          <w:p w14:paraId="1B5028B0"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177,191 </w:t>
            </w:r>
          </w:p>
        </w:tc>
        <w:tc>
          <w:tcPr>
            <w:tcW w:w="1320" w:type="dxa"/>
          </w:tcPr>
          <w:p w14:paraId="6D35A9F2"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10,827,495 </w:t>
            </w:r>
          </w:p>
        </w:tc>
        <w:tc>
          <w:tcPr>
            <w:tcW w:w="1305" w:type="dxa"/>
          </w:tcPr>
          <w:p w14:paraId="3EC5AA17"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143,290 </w:t>
            </w:r>
          </w:p>
        </w:tc>
        <w:tc>
          <w:tcPr>
            <w:tcW w:w="1281" w:type="dxa"/>
          </w:tcPr>
          <w:p w14:paraId="401B13E4"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98,851 </w:t>
            </w:r>
          </w:p>
        </w:tc>
        <w:tc>
          <w:tcPr>
            <w:tcW w:w="1267" w:type="dxa"/>
          </w:tcPr>
          <w:p w14:paraId="69D6DC0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3,178 </w:t>
            </w:r>
          </w:p>
        </w:tc>
      </w:tr>
      <w:tr w:rsidR="00E732FA" w:rsidRPr="003C7CB1" w14:paraId="28705004" w14:textId="77777777" w:rsidTr="00E73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3FA961FD" w14:textId="77777777" w:rsidR="00E732FA" w:rsidRPr="003C7CB1" w:rsidRDefault="00E732FA" w:rsidP="00E732FA">
            <w:pPr>
              <w:spacing w:after="0" w:line="240" w:lineRule="auto"/>
              <w:jc w:val="center"/>
              <w:rPr>
                <w:rFonts w:cstheme="minorHAnsi"/>
              </w:rPr>
            </w:pPr>
            <w:r w:rsidRPr="003C7CB1">
              <w:rPr>
                <w:rFonts w:cstheme="minorHAnsi"/>
              </w:rPr>
              <w:t xml:space="preserve">2017 </w:t>
            </w:r>
          </w:p>
        </w:tc>
        <w:tc>
          <w:tcPr>
            <w:tcW w:w="1319" w:type="dxa"/>
          </w:tcPr>
          <w:p w14:paraId="6020F38F"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11,953,316 </w:t>
            </w:r>
          </w:p>
        </w:tc>
        <w:tc>
          <w:tcPr>
            <w:tcW w:w="1281" w:type="dxa"/>
          </w:tcPr>
          <w:p w14:paraId="6B2CAE2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261,219 </w:t>
            </w:r>
          </w:p>
        </w:tc>
        <w:tc>
          <w:tcPr>
            <w:tcW w:w="1320" w:type="dxa"/>
          </w:tcPr>
          <w:p w14:paraId="2C2316D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11,347,174 </w:t>
            </w:r>
          </w:p>
        </w:tc>
        <w:tc>
          <w:tcPr>
            <w:tcW w:w="1305" w:type="dxa"/>
          </w:tcPr>
          <w:p w14:paraId="59311BBD"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195,388 </w:t>
            </w:r>
          </w:p>
        </w:tc>
        <w:tc>
          <w:tcPr>
            <w:tcW w:w="1281" w:type="dxa"/>
          </w:tcPr>
          <w:p w14:paraId="4C01FA60"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136,026 </w:t>
            </w:r>
          </w:p>
        </w:tc>
        <w:tc>
          <w:tcPr>
            <w:tcW w:w="1267" w:type="dxa"/>
          </w:tcPr>
          <w:p w14:paraId="02EF111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13,509 </w:t>
            </w:r>
          </w:p>
        </w:tc>
      </w:tr>
      <w:tr w:rsidR="00E732FA" w:rsidRPr="003C7CB1" w14:paraId="55746D91" w14:textId="77777777" w:rsidTr="00E732FA">
        <w:trPr>
          <w:jc w:val="center"/>
        </w:trPr>
        <w:tc>
          <w:tcPr>
            <w:cnfStyle w:val="001000000000" w:firstRow="0" w:lastRow="0" w:firstColumn="1" w:lastColumn="0" w:oddVBand="0" w:evenVBand="0" w:oddHBand="0" w:evenHBand="0" w:firstRowFirstColumn="0" w:firstRowLastColumn="0" w:lastRowFirstColumn="0" w:lastRowLastColumn="0"/>
            <w:tcW w:w="1244" w:type="dxa"/>
          </w:tcPr>
          <w:p w14:paraId="77BA720F" w14:textId="77777777" w:rsidR="00E732FA" w:rsidRPr="003C7CB1" w:rsidRDefault="00E732FA" w:rsidP="00E732FA">
            <w:pPr>
              <w:spacing w:after="0" w:line="240" w:lineRule="auto"/>
              <w:jc w:val="center"/>
              <w:rPr>
                <w:rFonts w:cstheme="minorHAnsi"/>
              </w:rPr>
            </w:pPr>
            <w:r w:rsidRPr="003C7CB1">
              <w:rPr>
                <w:rFonts w:cstheme="minorHAnsi"/>
              </w:rPr>
              <w:t xml:space="preserve">2018 </w:t>
            </w:r>
          </w:p>
        </w:tc>
        <w:tc>
          <w:tcPr>
            <w:tcW w:w="1319" w:type="dxa"/>
          </w:tcPr>
          <w:p w14:paraId="46B69AAA"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12,930,334 </w:t>
            </w:r>
          </w:p>
        </w:tc>
        <w:tc>
          <w:tcPr>
            <w:tcW w:w="1281" w:type="dxa"/>
          </w:tcPr>
          <w:p w14:paraId="66585747"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282,757 </w:t>
            </w:r>
          </w:p>
        </w:tc>
        <w:tc>
          <w:tcPr>
            <w:tcW w:w="1320" w:type="dxa"/>
          </w:tcPr>
          <w:p w14:paraId="661931BB"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12,269,115 </w:t>
            </w:r>
          </w:p>
        </w:tc>
        <w:tc>
          <w:tcPr>
            <w:tcW w:w="1305" w:type="dxa"/>
          </w:tcPr>
          <w:p w14:paraId="6F95C532"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223,447 </w:t>
            </w:r>
          </w:p>
        </w:tc>
        <w:tc>
          <w:tcPr>
            <w:tcW w:w="1281" w:type="dxa"/>
          </w:tcPr>
          <w:p w14:paraId="5FBB0F7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142,408 </w:t>
            </w:r>
          </w:p>
        </w:tc>
        <w:tc>
          <w:tcPr>
            <w:tcW w:w="1267" w:type="dxa"/>
          </w:tcPr>
          <w:p w14:paraId="264C3AB1"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12,607 </w:t>
            </w:r>
          </w:p>
        </w:tc>
      </w:tr>
      <w:tr w:rsidR="00E732FA" w:rsidRPr="003C7CB1" w14:paraId="32E912B6" w14:textId="77777777" w:rsidTr="00E732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Pr>
          <w:p w14:paraId="6E9C48A3" w14:textId="77777777" w:rsidR="00E732FA" w:rsidRPr="003C7CB1" w:rsidRDefault="00E732FA" w:rsidP="00E732FA">
            <w:pPr>
              <w:spacing w:after="0" w:line="240" w:lineRule="auto"/>
              <w:jc w:val="center"/>
              <w:rPr>
                <w:rFonts w:cstheme="minorHAnsi"/>
              </w:rPr>
            </w:pPr>
            <w:r w:rsidRPr="003C7CB1">
              <w:rPr>
                <w:rFonts w:cstheme="minorHAnsi"/>
              </w:rPr>
              <w:t xml:space="preserve">2019 </w:t>
            </w:r>
          </w:p>
        </w:tc>
        <w:tc>
          <w:tcPr>
            <w:tcW w:w="1319" w:type="dxa"/>
          </w:tcPr>
          <w:p w14:paraId="7C9B83C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14,455,920 </w:t>
            </w:r>
          </w:p>
        </w:tc>
        <w:tc>
          <w:tcPr>
            <w:tcW w:w="1281" w:type="dxa"/>
          </w:tcPr>
          <w:p w14:paraId="751C79E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310,593 </w:t>
            </w:r>
          </w:p>
        </w:tc>
        <w:tc>
          <w:tcPr>
            <w:tcW w:w="1320" w:type="dxa"/>
          </w:tcPr>
          <w:p w14:paraId="607EA8A7"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13,714,814 </w:t>
            </w:r>
          </w:p>
        </w:tc>
        <w:tc>
          <w:tcPr>
            <w:tcW w:w="1305" w:type="dxa"/>
          </w:tcPr>
          <w:p w14:paraId="7618FEFC"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258,260 </w:t>
            </w:r>
          </w:p>
        </w:tc>
        <w:tc>
          <w:tcPr>
            <w:tcW w:w="1281" w:type="dxa"/>
          </w:tcPr>
          <w:p w14:paraId="37FAEE1A"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151,545 </w:t>
            </w:r>
          </w:p>
        </w:tc>
        <w:tc>
          <w:tcPr>
            <w:tcW w:w="1267" w:type="dxa"/>
          </w:tcPr>
          <w:p w14:paraId="308D2C4B"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20,708 </w:t>
            </w:r>
          </w:p>
        </w:tc>
      </w:tr>
    </w:tbl>
    <w:p w14:paraId="327FA550" w14:textId="77777777" w:rsidR="00E732FA" w:rsidRPr="003C7CB1" w:rsidRDefault="00E732FA" w:rsidP="00E732FA">
      <w:pPr>
        <w:rPr>
          <w:rFonts w:cstheme="minorHAnsi"/>
          <w:i/>
          <w:iCs/>
          <w:color w:val="0563C1" w:themeColor="hyperlink"/>
          <w:sz w:val="20"/>
          <w:szCs w:val="20"/>
          <w:u w:val="single"/>
        </w:rPr>
      </w:pPr>
      <w:r w:rsidRPr="003C7CB1">
        <w:rPr>
          <w:rFonts w:cstheme="minorHAnsi"/>
          <w:i/>
          <w:iCs/>
          <w:sz w:val="20"/>
          <w:szCs w:val="20"/>
        </w:rPr>
        <w:t xml:space="preserve">Source: Statistical Office (MONSTAT), </w:t>
      </w:r>
      <w:hyperlink r:id="rId26" w:history="1">
        <w:r w:rsidRPr="003C7CB1">
          <w:rPr>
            <w:rFonts w:cstheme="minorHAnsi"/>
            <w:i/>
            <w:iCs/>
            <w:color w:val="0563C1" w:themeColor="hyperlink"/>
            <w:sz w:val="20"/>
            <w:szCs w:val="20"/>
            <w:u w:val="single"/>
          </w:rPr>
          <w:t>http://monstat.org/uploads/files/publikacije/godisnjak%202020/19.pdf</w:t>
        </w:r>
      </w:hyperlink>
      <w:r w:rsidRPr="003C7CB1">
        <w:rPr>
          <w:rFonts w:cstheme="minorHAnsi"/>
          <w:i/>
          <w:iCs/>
          <w:color w:val="0563C1" w:themeColor="hyperlink"/>
          <w:sz w:val="20"/>
          <w:szCs w:val="20"/>
          <w:u w:val="single"/>
        </w:rPr>
        <w:t xml:space="preserve"> </w:t>
      </w:r>
    </w:p>
    <w:p w14:paraId="02A058B4" w14:textId="77777777" w:rsidR="001C47A6" w:rsidRDefault="001C47A6" w:rsidP="00E732FA">
      <w:pPr>
        <w:spacing w:after="120" w:line="240" w:lineRule="auto"/>
        <w:jc w:val="both"/>
        <w:rPr>
          <w:rFonts w:cstheme="minorHAnsi"/>
          <w:iCs/>
          <w:sz w:val="24"/>
          <w:szCs w:val="24"/>
        </w:rPr>
      </w:pPr>
    </w:p>
    <w:p w14:paraId="65F5B5B1" w14:textId="626CCA78" w:rsidR="00E732FA" w:rsidRPr="003C7CB1" w:rsidRDefault="00E732FA" w:rsidP="00E732FA">
      <w:pPr>
        <w:spacing w:after="120" w:line="240" w:lineRule="auto"/>
        <w:jc w:val="both"/>
        <w:rPr>
          <w:rFonts w:cstheme="minorHAnsi"/>
          <w:iCs/>
          <w:sz w:val="24"/>
          <w:szCs w:val="24"/>
        </w:rPr>
      </w:pPr>
      <w:r w:rsidRPr="003C7CB1">
        <w:rPr>
          <w:rFonts w:cstheme="minorHAnsi"/>
          <w:iCs/>
          <w:sz w:val="24"/>
          <w:szCs w:val="24"/>
        </w:rPr>
        <w:t>Most of it, i.e., 95% of touris</w:t>
      </w:r>
      <w:r w:rsidR="0062535C">
        <w:rPr>
          <w:rFonts w:cstheme="minorHAnsi"/>
          <w:iCs/>
          <w:sz w:val="24"/>
          <w:szCs w:val="24"/>
        </w:rPr>
        <w:t>m turnover</w:t>
      </w:r>
      <w:r w:rsidRPr="003C7CB1">
        <w:rPr>
          <w:rFonts w:cstheme="minorHAnsi"/>
          <w:iCs/>
          <w:sz w:val="24"/>
          <w:szCs w:val="24"/>
        </w:rPr>
        <w:t xml:space="preserve"> is generated in the coastal region, while in the rest of Montenegro only 5% of t</w:t>
      </w:r>
      <w:r w:rsidR="0062535C">
        <w:rPr>
          <w:rFonts w:cstheme="minorHAnsi"/>
          <w:iCs/>
          <w:sz w:val="24"/>
          <w:szCs w:val="24"/>
        </w:rPr>
        <w:t>urnover</w:t>
      </w:r>
      <w:r w:rsidRPr="003C7CB1">
        <w:rPr>
          <w:rFonts w:cstheme="minorHAnsi"/>
          <w:iCs/>
          <w:sz w:val="24"/>
          <w:szCs w:val="24"/>
        </w:rPr>
        <w:t xml:space="preserve"> is generated, i.e., in the central region 3% and in the North only 2% (Chart 4).</w:t>
      </w:r>
    </w:p>
    <w:p w14:paraId="1E483A05" w14:textId="4AB27C55" w:rsidR="00E732FA" w:rsidRPr="003C7CB1" w:rsidRDefault="00E732FA" w:rsidP="00E732FA">
      <w:pPr>
        <w:spacing w:after="0" w:line="240" w:lineRule="auto"/>
        <w:jc w:val="center"/>
        <w:rPr>
          <w:rFonts w:cstheme="minorHAnsi"/>
          <w:b/>
          <w:color w:val="000000" w:themeColor="text1"/>
        </w:rPr>
      </w:pPr>
      <w:r w:rsidRPr="003C7CB1">
        <w:rPr>
          <w:rFonts w:cstheme="minorHAnsi"/>
          <w:b/>
          <w:color w:val="000000" w:themeColor="text1"/>
        </w:rPr>
        <w:t>Chart no. 4 – Tourist t</w:t>
      </w:r>
      <w:r w:rsidR="0062535C">
        <w:rPr>
          <w:rFonts w:cstheme="minorHAnsi"/>
          <w:b/>
          <w:color w:val="000000" w:themeColor="text1"/>
        </w:rPr>
        <w:t>urnover</w:t>
      </w:r>
      <w:r w:rsidRPr="003C7CB1">
        <w:rPr>
          <w:rFonts w:cstheme="minorHAnsi"/>
          <w:b/>
          <w:color w:val="000000" w:themeColor="text1"/>
        </w:rPr>
        <w:t xml:space="preserve"> - number of overnight stays by regions, 2019 </w:t>
      </w:r>
    </w:p>
    <w:p w14:paraId="53E688D0" w14:textId="77777777" w:rsidR="00E732FA" w:rsidRPr="003C7CB1" w:rsidRDefault="00E732FA" w:rsidP="00E732FA">
      <w:pPr>
        <w:spacing w:after="0" w:line="240" w:lineRule="auto"/>
        <w:jc w:val="center"/>
        <w:rPr>
          <w:rFonts w:cstheme="minorHAnsi"/>
          <w:i/>
          <w:iCs/>
          <w:color w:val="0563C1" w:themeColor="hyperlink"/>
          <w:u w:val="single"/>
        </w:rPr>
      </w:pPr>
    </w:p>
    <w:p w14:paraId="4E1B79D7" w14:textId="77777777" w:rsidR="00E732FA" w:rsidRPr="003C7CB1" w:rsidRDefault="00E732FA" w:rsidP="00E732FA">
      <w:pPr>
        <w:rPr>
          <w:rFonts w:cstheme="minorHAnsi"/>
          <w:sz w:val="18"/>
          <w:szCs w:val="18"/>
        </w:rPr>
      </w:pPr>
      <w:r w:rsidRPr="003C7CB1">
        <w:rPr>
          <w:rFonts w:ascii="Calibri" w:eastAsia="Times New Roman" w:hAnsi="Calibri" w:cs="Calibri"/>
          <w:b/>
          <w:noProof/>
          <w:color w:val="000000"/>
          <w:sz w:val="20"/>
          <w:szCs w:val="20"/>
        </w:rPr>
        <w:drawing>
          <wp:anchor distT="0" distB="0" distL="114300" distR="114300" simplePos="0" relativeHeight="251872768" behindDoc="0" locked="0" layoutInCell="1" allowOverlap="1" wp14:anchorId="7E865A86" wp14:editId="034BCD54">
            <wp:simplePos x="0" y="0"/>
            <wp:positionH relativeFrom="column">
              <wp:posOffset>423746</wp:posOffset>
            </wp:positionH>
            <wp:positionV relativeFrom="paragraph">
              <wp:posOffset>32106</wp:posOffset>
            </wp:positionV>
            <wp:extent cx="5059680" cy="1984917"/>
            <wp:effectExtent l="0" t="0" r="7620" b="15875"/>
            <wp:wrapNone/>
            <wp:docPr id="152" name="Chart 152">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0F1E04A0" w14:textId="77777777" w:rsidR="00E732FA" w:rsidRPr="003C7CB1" w:rsidRDefault="00E732FA" w:rsidP="00E732FA">
      <w:pPr>
        <w:rPr>
          <w:rFonts w:cstheme="minorHAnsi"/>
          <w:sz w:val="18"/>
          <w:szCs w:val="18"/>
        </w:rPr>
      </w:pPr>
    </w:p>
    <w:p w14:paraId="0DA42799" w14:textId="77777777" w:rsidR="00E732FA" w:rsidRPr="003C7CB1" w:rsidRDefault="00E732FA" w:rsidP="00E732FA">
      <w:pPr>
        <w:ind w:left="1440"/>
        <w:jc w:val="both"/>
        <w:rPr>
          <w:rFonts w:cstheme="minorHAnsi"/>
          <w:sz w:val="24"/>
          <w:szCs w:val="24"/>
        </w:rPr>
      </w:pPr>
      <w:r w:rsidRPr="003C7CB1">
        <w:rPr>
          <w:rFonts w:cstheme="minorHAnsi"/>
          <w:sz w:val="24"/>
          <w:szCs w:val="24"/>
        </w:rPr>
        <w:t xml:space="preserve"> </w:t>
      </w:r>
    </w:p>
    <w:p w14:paraId="6D8FD845" w14:textId="77777777" w:rsidR="00E732FA" w:rsidRPr="003C7CB1" w:rsidRDefault="00E732FA" w:rsidP="00E732FA">
      <w:pPr>
        <w:spacing w:after="0" w:line="240" w:lineRule="auto"/>
        <w:rPr>
          <w:rFonts w:cstheme="minorHAnsi"/>
          <w:i/>
          <w:iCs/>
          <w:sz w:val="20"/>
          <w:szCs w:val="20"/>
        </w:rPr>
      </w:pPr>
    </w:p>
    <w:p w14:paraId="4268B80B" w14:textId="77777777" w:rsidR="00E732FA" w:rsidRPr="003C7CB1" w:rsidRDefault="00E732FA" w:rsidP="00E732FA">
      <w:pPr>
        <w:spacing w:after="0" w:line="240" w:lineRule="auto"/>
        <w:rPr>
          <w:rFonts w:cstheme="minorHAnsi"/>
          <w:i/>
          <w:iCs/>
          <w:sz w:val="20"/>
          <w:szCs w:val="20"/>
        </w:rPr>
      </w:pPr>
    </w:p>
    <w:p w14:paraId="466943E7" w14:textId="77777777" w:rsidR="00E732FA" w:rsidRPr="003C7CB1" w:rsidRDefault="00E732FA" w:rsidP="00E732FA">
      <w:pPr>
        <w:spacing w:after="0" w:line="240" w:lineRule="auto"/>
        <w:rPr>
          <w:rFonts w:cstheme="minorHAnsi"/>
          <w:i/>
          <w:iCs/>
          <w:sz w:val="20"/>
          <w:szCs w:val="20"/>
        </w:rPr>
      </w:pPr>
    </w:p>
    <w:p w14:paraId="4F5EE0D0" w14:textId="77777777" w:rsidR="00E732FA" w:rsidRPr="003C7CB1" w:rsidRDefault="00E732FA" w:rsidP="00E732FA">
      <w:pPr>
        <w:spacing w:after="0" w:line="240" w:lineRule="auto"/>
        <w:rPr>
          <w:rFonts w:cstheme="minorHAnsi"/>
          <w:i/>
          <w:iCs/>
          <w:sz w:val="20"/>
          <w:szCs w:val="20"/>
        </w:rPr>
      </w:pPr>
    </w:p>
    <w:p w14:paraId="05E37AFC" w14:textId="77777777" w:rsidR="00E732FA" w:rsidRPr="003C7CB1" w:rsidRDefault="00E732FA" w:rsidP="00E732FA">
      <w:pPr>
        <w:spacing w:after="0" w:line="240" w:lineRule="auto"/>
        <w:rPr>
          <w:rFonts w:cstheme="minorHAnsi"/>
          <w:i/>
          <w:iCs/>
          <w:sz w:val="20"/>
          <w:szCs w:val="20"/>
        </w:rPr>
      </w:pPr>
    </w:p>
    <w:p w14:paraId="02F1CCD9" w14:textId="77777777" w:rsidR="00E732FA" w:rsidRPr="003C7CB1" w:rsidRDefault="00E732FA" w:rsidP="00E732FA">
      <w:pPr>
        <w:spacing w:after="0" w:line="240" w:lineRule="auto"/>
        <w:rPr>
          <w:rFonts w:cstheme="minorHAnsi"/>
          <w:i/>
          <w:iCs/>
          <w:sz w:val="20"/>
          <w:szCs w:val="20"/>
        </w:rPr>
      </w:pPr>
    </w:p>
    <w:p w14:paraId="114C5642" w14:textId="77777777" w:rsidR="00E732FA" w:rsidRPr="003C7CB1" w:rsidRDefault="00E732FA" w:rsidP="00E732FA">
      <w:pPr>
        <w:spacing w:after="0" w:line="240" w:lineRule="auto"/>
        <w:jc w:val="center"/>
        <w:rPr>
          <w:rFonts w:cstheme="minorHAnsi"/>
          <w:i/>
          <w:iCs/>
          <w:sz w:val="20"/>
          <w:szCs w:val="20"/>
        </w:rPr>
      </w:pPr>
    </w:p>
    <w:p w14:paraId="3895E903" w14:textId="77777777" w:rsidR="00E732FA" w:rsidRPr="003C7CB1" w:rsidRDefault="00E732FA" w:rsidP="00E732FA">
      <w:pPr>
        <w:spacing w:after="0" w:line="240" w:lineRule="auto"/>
        <w:rPr>
          <w:rFonts w:cstheme="minorHAnsi"/>
          <w:i/>
          <w:iCs/>
          <w:sz w:val="20"/>
          <w:szCs w:val="20"/>
        </w:rPr>
      </w:pPr>
      <w:r w:rsidRPr="003C7CB1">
        <w:rPr>
          <w:rFonts w:cstheme="minorHAnsi"/>
          <w:i/>
          <w:iCs/>
          <w:sz w:val="20"/>
          <w:szCs w:val="20"/>
        </w:rPr>
        <w:t xml:space="preserve">              Source: Statistical Office (MONSTAT), edited by Ministry of Economic Development</w:t>
      </w:r>
    </w:p>
    <w:p w14:paraId="6A18EA0F" w14:textId="77777777" w:rsidR="00E732FA" w:rsidRPr="003C7CB1" w:rsidRDefault="00E732FA" w:rsidP="00E732FA">
      <w:pPr>
        <w:spacing w:after="0" w:line="240" w:lineRule="auto"/>
        <w:rPr>
          <w:rFonts w:cstheme="minorHAnsi"/>
          <w:i/>
          <w:iCs/>
          <w:sz w:val="20"/>
          <w:szCs w:val="20"/>
        </w:rPr>
      </w:pPr>
    </w:p>
    <w:p w14:paraId="58D836B6" w14:textId="77777777" w:rsidR="00E732FA" w:rsidRPr="003C7CB1" w:rsidRDefault="00E732FA" w:rsidP="00E732FA">
      <w:pPr>
        <w:spacing w:after="120" w:line="240" w:lineRule="auto"/>
        <w:jc w:val="both"/>
        <w:rPr>
          <w:rFonts w:cstheme="minorHAnsi"/>
          <w:iCs/>
          <w:sz w:val="24"/>
          <w:szCs w:val="24"/>
        </w:rPr>
      </w:pPr>
      <w:bookmarkStart w:id="36" w:name="_Toc91286159"/>
      <w:bookmarkStart w:id="37" w:name="_Toc95303001"/>
      <w:r w:rsidRPr="003C7CB1">
        <w:rPr>
          <w:rFonts w:cstheme="minorHAnsi"/>
          <w:iCs/>
          <w:sz w:val="24"/>
          <w:szCs w:val="24"/>
        </w:rPr>
        <w:t xml:space="preserve">In accordance with all the above, it can be stated that it is necessary to undertake activities to improve the offer and development of tourism products and services, primarily in municipalities in the North, but also in the central region of Montenegro, to create preconditions for reducing </w:t>
      </w:r>
      <w:r w:rsidRPr="003C7CB1">
        <w:rPr>
          <w:rFonts w:cstheme="minorHAnsi"/>
          <w:b/>
          <w:iCs/>
          <w:sz w:val="24"/>
          <w:szCs w:val="24"/>
        </w:rPr>
        <w:t>seasonality</w:t>
      </w:r>
      <w:r w:rsidRPr="003C7CB1">
        <w:rPr>
          <w:b/>
        </w:rPr>
        <w:t xml:space="preserve"> </w:t>
      </w:r>
      <w:r w:rsidRPr="003C7CB1">
        <w:rPr>
          <w:rFonts w:cstheme="minorHAnsi"/>
          <w:b/>
          <w:iCs/>
          <w:sz w:val="24"/>
          <w:szCs w:val="24"/>
        </w:rPr>
        <w:t>in business</w:t>
      </w:r>
      <w:r w:rsidRPr="003C7CB1">
        <w:rPr>
          <w:rFonts w:cstheme="minorHAnsi"/>
          <w:iCs/>
          <w:sz w:val="24"/>
          <w:szCs w:val="24"/>
        </w:rPr>
        <w:t xml:space="preserve"> and </w:t>
      </w:r>
      <w:r w:rsidRPr="003C7CB1">
        <w:rPr>
          <w:rFonts w:cstheme="minorHAnsi"/>
          <w:b/>
          <w:iCs/>
          <w:sz w:val="24"/>
          <w:szCs w:val="24"/>
        </w:rPr>
        <w:t xml:space="preserve">regional development inequalities </w:t>
      </w:r>
      <w:r w:rsidRPr="003C7CB1">
        <w:rPr>
          <w:rFonts w:cstheme="minorHAnsi"/>
          <w:iCs/>
          <w:sz w:val="24"/>
          <w:szCs w:val="24"/>
        </w:rPr>
        <w:t xml:space="preserve">at the state level.  </w:t>
      </w:r>
    </w:p>
    <w:p w14:paraId="79B7C838" w14:textId="77777777" w:rsidR="00E732FA" w:rsidRPr="003C7CB1" w:rsidRDefault="00E732FA" w:rsidP="00E732FA">
      <w:pPr>
        <w:spacing w:after="120" w:line="240" w:lineRule="auto"/>
        <w:jc w:val="both"/>
        <w:rPr>
          <w:rFonts w:cstheme="minorHAnsi"/>
          <w:iCs/>
          <w:sz w:val="24"/>
          <w:szCs w:val="24"/>
        </w:rPr>
      </w:pPr>
    </w:p>
    <w:p w14:paraId="1A88FFF6" w14:textId="774050EA" w:rsidR="00E732FA" w:rsidRPr="003C7CB1" w:rsidRDefault="00E732FA" w:rsidP="00E732FA">
      <w:pPr>
        <w:pStyle w:val="Heading3"/>
        <w:spacing w:before="0" w:after="120" w:line="276" w:lineRule="auto"/>
        <w:ind w:left="720"/>
        <w:rPr>
          <w:b/>
          <w:color w:val="2F5496" w:themeColor="accent1" w:themeShade="BF"/>
        </w:rPr>
      </w:pPr>
      <w:bookmarkStart w:id="38" w:name="_Toc102133792"/>
      <w:bookmarkStart w:id="39" w:name="_Toc104544176"/>
      <w:r w:rsidRPr="003C7CB1">
        <w:rPr>
          <w:b/>
          <w:color w:val="2F5496" w:themeColor="accent1" w:themeShade="BF"/>
        </w:rPr>
        <w:t xml:space="preserve">2.2.4. </w:t>
      </w:r>
      <w:bookmarkEnd w:id="36"/>
      <w:bookmarkEnd w:id="37"/>
      <w:r w:rsidRPr="003C7CB1">
        <w:rPr>
          <w:b/>
          <w:color w:val="2F5496" w:themeColor="accent1" w:themeShade="BF"/>
        </w:rPr>
        <w:t>Emitting markets and participation in touris</w:t>
      </w:r>
      <w:bookmarkEnd w:id="38"/>
      <w:r w:rsidR="00DE0F69">
        <w:rPr>
          <w:b/>
          <w:color w:val="2F5496" w:themeColor="accent1" w:themeShade="BF"/>
        </w:rPr>
        <w:t>m turnover</w:t>
      </w:r>
      <w:bookmarkEnd w:id="39"/>
      <w:r w:rsidRPr="003C7CB1">
        <w:rPr>
          <w:b/>
          <w:color w:val="2F5496" w:themeColor="accent1" w:themeShade="BF"/>
        </w:rPr>
        <w:t xml:space="preserve"> </w:t>
      </w:r>
    </w:p>
    <w:p w14:paraId="14D03E56" w14:textId="00A4DB88"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In the period from 2009 to 2019, there was a </w:t>
      </w:r>
      <w:r w:rsidRPr="003C7CB1">
        <w:rPr>
          <w:rFonts w:cstheme="minorHAnsi"/>
          <w:b/>
          <w:sz w:val="24"/>
          <w:szCs w:val="24"/>
        </w:rPr>
        <w:t>significant increase in touris</w:t>
      </w:r>
      <w:r w:rsidR="00DE0F69">
        <w:rPr>
          <w:rFonts w:cstheme="minorHAnsi"/>
          <w:b/>
          <w:sz w:val="24"/>
          <w:szCs w:val="24"/>
        </w:rPr>
        <w:t>m turnover</w:t>
      </w:r>
      <w:r w:rsidRPr="003C7CB1">
        <w:rPr>
          <w:rFonts w:cstheme="minorHAnsi"/>
          <w:b/>
          <w:sz w:val="24"/>
          <w:szCs w:val="24"/>
        </w:rPr>
        <w:t xml:space="preserve"> from emitting markets </w:t>
      </w:r>
      <w:r w:rsidRPr="003C7CB1">
        <w:rPr>
          <w:rFonts w:cstheme="minorHAnsi"/>
          <w:sz w:val="24"/>
          <w:szCs w:val="24"/>
        </w:rPr>
        <w:t xml:space="preserve">that are strategically important for Montenegro, i.e., from Western and </w:t>
      </w:r>
      <w:r w:rsidRPr="003C7CB1">
        <w:rPr>
          <w:rFonts w:cstheme="minorHAnsi"/>
          <w:sz w:val="24"/>
          <w:szCs w:val="24"/>
        </w:rPr>
        <w:lastRenderedPageBreak/>
        <w:t>Central European countries (Germany, Great Britain, Poland, Austria and France), and from Russia.</w:t>
      </w:r>
      <w:r w:rsidRPr="003C7CB1">
        <w:t xml:space="preserve"> </w:t>
      </w:r>
      <w:r w:rsidRPr="003C7CB1">
        <w:rPr>
          <w:rFonts w:cstheme="minorHAnsi"/>
          <w:sz w:val="24"/>
          <w:szCs w:val="24"/>
        </w:rPr>
        <w:t>During this period, touris</w:t>
      </w:r>
      <w:r w:rsidR="00DE0F69">
        <w:rPr>
          <w:rFonts w:cstheme="minorHAnsi"/>
          <w:sz w:val="24"/>
          <w:szCs w:val="24"/>
        </w:rPr>
        <w:t>m turnover</w:t>
      </w:r>
      <w:r w:rsidRPr="003C7CB1">
        <w:rPr>
          <w:rFonts w:cstheme="minorHAnsi"/>
          <w:sz w:val="24"/>
          <w:szCs w:val="24"/>
        </w:rPr>
        <w:t xml:space="preserve"> with Serbia was at a standard high level. </w:t>
      </w:r>
    </w:p>
    <w:p w14:paraId="13F4250A" w14:textId="54388E26" w:rsidR="00E732FA" w:rsidRPr="003C7CB1" w:rsidRDefault="00E732FA" w:rsidP="00E732FA">
      <w:pPr>
        <w:spacing w:after="120" w:line="240" w:lineRule="auto"/>
        <w:jc w:val="both"/>
        <w:rPr>
          <w:rFonts w:cstheme="minorHAnsi"/>
          <w:sz w:val="24"/>
          <w:szCs w:val="24"/>
        </w:rPr>
      </w:pPr>
      <w:r w:rsidRPr="003C7CB1">
        <w:rPr>
          <w:rFonts w:cstheme="minorHAnsi"/>
          <w:sz w:val="24"/>
          <w:szCs w:val="24"/>
        </w:rPr>
        <w:t>When it comes to arrivals, in 2019, compared to 2009, + 794.08% of tourists from Germany stayed in Montenegro, + 473.3% from Great Britain, + 409.5% from Poland, then +186.8% from Austria, + 172.3% from France and + 164.3% from Russia.</w:t>
      </w:r>
      <w:r w:rsidRPr="003C7CB1">
        <w:t xml:space="preserve"> </w:t>
      </w:r>
      <w:r w:rsidRPr="003C7CB1">
        <w:rPr>
          <w:rFonts w:cstheme="minorHAnsi"/>
          <w:sz w:val="24"/>
          <w:szCs w:val="24"/>
        </w:rPr>
        <w:t>There were 18.87% more tourists from Serbia, which indicates the continuity of a large share of arrivals from Serbia in the total number of tourists during the observed ten-year period.</w:t>
      </w:r>
      <w:r w:rsidRPr="003C7CB1">
        <w:t xml:space="preserve"> </w:t>
      </w:r>
      <w:r w:rsidRPr="003C7CB1">
        <w:rPr>
          <w:rFonts w:cstheme="minorHAnsi"/>
          <w:sz w:val="24"/>
          <w:szCs w:val="24"/>
        </w:rPr>
        <w:t xml:space="preserve">In terms of the number of overnight stays, the highest growth was recorded by tourists from Germany + 485.7%, then by Great Britain + 432.6%, Russia + 227.3% and Serbia + 30.0% when comparing 2019 and 2009 (Chart No. 5).   </w:t>
      </w:r>
      <w:r w:rsidR="00765B94">
        <w:rPr>
          <w:rFonts w:cs="Arial"/>
          <w:sz w:val="24"/>
          <w:szCs w:val="24"/>
        </w:rPr>
        <w:t xml:space="preserve">                                                                                                   </w:t>
      </w:r>
    </w:p>
    <w:p w14:paraId="183DA22A" w14:textId="77777777" w:rsidR="00E732FA" w:rsidRPr="003C7CB1" w:rsidRDefault="00E732FA" w:rsidP="00E732FA">
      <w:pPr>
        <w:spacing w:after="120" w:line="240" w:lineRule="auto"/>
        <w:jc w:val="both"/>
        <w:rPr>
          <w:rFonts w:cstheme="minorHAnsi"/>
          <w:sz w:val="24"/>
          <w:szCs w:val="24"/>
        </w:rPr>
      </w:pPr>
    </w:p>
    <w:p w14:paraId="0F82DB36" w14:textId="77777777" w:rsidR="00E732FA" w:rsidRPr="003C7CB1" w:rsidRDefault="00E732FA" w:rsidP="00E732FA">
      <w:pPr>
        <w:spacing w:after="0" w:line="240" w:lineRule="auto"/>
        <w:jc w:val="center"/>
        <w:rPr>
          <w:rFonts w:cstheme="minorHAnsi"/>
          <w:b/>
        </w:rPr>
      </w:pPr>
      <w:r w:rsidRPr="003C7CB1">
        <w:rPr>
          <w:rFonts w:cstheme="minorHAnsi"/>
          <w:b/>
          <w:bCs/>
        </w:rPr>
        <w:t>Chart No. 5 -</w:t>
      </w:r>
      <w:r w:rsidRPr="003C7CB1">
        <w:rPr>
          <w:rFonts w:cstheme="minorHAnsi"/>
          <w:b/>
        </w:rPr>
        <w:t xml:space="preserve"> Index of arrivals and overnight stays by country of affiliation, 2019/2009 </w:t>
      </w:r>
    </w:p>
    <w:p w14:paraId="79804B69" w14:textId="1C6AD3BF" w:rsidR="00B60F5C" w:rsidRDefault="00B60F5C" w:rsidP="00E732FA">
      <w:pPr>
        <w:spacing w:after="0" w:line="240" w:lineRule="auto"/>
        <w:rPr>
          <w:rFonts w:cstheme="minorHAnsi"/>
          <w:b/>
        </w:rPr>
      </w:pPr>
    </w:p>
    <w:p w14:paraId="494A0AA5" w14:textId="4920EAD7" w:rsidR="004A3641" w:rsidRDefault="004A3641" w:rsidP="004A3641">
      <w:pPr>
        <w:spacing w:after="0" w:line="240" w:lineRule="auto"/>
        <w:jc w:val="center"/>
        <w:rPr>
          <w:rFonts w:cstheme="minorHAnsi"/>
          <w:b/>
        </w:rPr>
      </w:pPr>
      <w:r>
        <w:rPr>
          <w:noProof/>
        </w:rPr>
        <w:drawing>
          <wp:inline distT="0" distB="0" distL="0" distR="0" wp14:anchorId="3188C60A" wp14:editId="21D668F9">
            <wp:extent cx="2713939" cy="1630170"/>
            <wp:effectExtent l="0" t="0" r="0" b="8255"/>
            <wp:docPr id="19" name="Picture 19" descr="cid:image002.png@01D871A4.90798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png@01D871A4.90798D50"/>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736707" cy="1643846"/>
                    </a:xfrm>
                    <a:prstGeom prst="rect">
                      <a:avLst/>
                    </a:prstGeom>
                    <a:noFill/>
                    <a:ln>
                      <a:noFill/>
                    </a:ln>
                  </pic:spPr>
                </pic:pic>
              </a:graphicData>
            </a:graphic>
          </wp:inline>
        </w:drawing>
      </w:r>
      <w:r>
        <w:rPr>
          <w:noProof/>
        </w:rPr>
        <w:drawing>
          <wp:inline distT="0" distB="0" distL="0" distR="0" wp14:anchorId="0EDE075C" wp14:editId="19247DDE">
            <wp:extent cx="2775357" cy="1620519"/>
            <wp:effectExtent l="0" t="0" r="6350" b="0"/>
            <wp:docPr id="20" name="Picture 20" descr="cid:image001.png@01D871A4.90798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871A4.90798D50"/>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2831154" cy="1653099"/>
                    </a:xfrm>
                    <a:prstGeom prst="rect">
                      <a:avLst/>
                    </a:prstGeom>
                    <a:noFill/>
                    <a:ln>
                      <a:noFill/>
                    </a:ln>
                  </pic:spPr>
                </pic:pic>
              </a:graphicData>
            </a:graphic>
          </wp:inline>
        </w:drawing>
      </w:r>
    </w:p>
    <w:p w14:paraId="3CD8ADF7" w14:textId="77777777" w:rsidR="00E732FA" w:rsidRPr="003C7CB1" w:rsidRDefault="00E732FA" w:rsidP="00E732FA">
      <w:pPr>
        <w:spacing w:after="0" w:line="240" w:lineRule="auto"/>
        <w:jc w:val="both"/>
        <w:rPr>
          <w:rStyle w:val="Hyperlink"/>
          <w:rFonts w:eastAsia="Times New Roman" w:cs="Arial"/>
          <w:i/>
          <w:color w:val="auto"/>
          <w:sz w:val="20"/>
          <w:szCs w:val="20"/>
          <w:u w:val="none"/>
        </w:rPr>
      </w:pPr>
      <w:r w:rsidRPr="003C7CB1">
        <w:rPr>
          <w:rFonts w:eastAsia="Times New Roman" w:cs="Arial"/>
          <w:i/>
          <w:sz w:val="20"/>
          <w:szCs w:val="20"/>
        </w:rPr>
        <w:t xml:space="preserve">Source: MONSTAT, </w:t>
      </w:r>
      <w:hyperlink r:id="rId32" w:history="1">
        <w:r w:rsidRPr="003C7CB1">
          <w:rPr>
            <w:rStyle w:val="Hyperlink"/>
            <w:rFonts w:eastAsia="Times New Roman" w:cs="Arial"/>
            <w:sz w:val="20"/>
            <w:szCs w:val="20"/>
          </w:rPr>
          <w:t>http://monstat.org/cg/page.php?id=366&amp;pageid=44</w:t>
        </w:r>
      </w:hyperlink>
      <w:r w:rsidRPr="003C7CB1">
        <w:rPr>
          <w:rStyle w:val="Hyperlink"/>
          <w:rFonts w:eastAsia="Times New Roman" w:cs="Arial"/>
          <w:sz w:val="20"/>
          <w:szCs w:val="20"/>
        </w:rPr>
        <w:t xml:space="preserve"> </w:t>
      </w:r>
    </w:p>
    <w:p w14:paraId="5F96A75C" w14:textId="77777777" w:rsidR="00E732FA" w:rsidRPr="003C7CB1" w:rsidRDefault="00E732FA" w:rsidP="00E732FA">
      <w:pPr>
        <w:spacing w:after="0" w:line="240" w:lineRule="auto"/>
        <w:jc w:val="center"/>
        <w:rPr>
          <w:rStyle w:val="Hyperlink"/>
          <w:rFonts w:eastAsia="Times New Roman" w:cs="Arial"/>
          <w:sz w:val="20"/>
          <w:szCs w:val="20"/>
        </w:rPr>
      </w:pPr>
    </w:p>
    <w:p w14:paraId="319F4AF7"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During 2019, according to the countries of affiliation, the largest part, i.e., 46.3% of the total number of foreign overnight stays (in all types of accommodation - collective and individual) were recorded by tourists from Russia (24.9%) and Serbia (21.4%), while the highest growth was recorded by tourists from Kosovo (169, 1%), followed by tourists from Germany (45.3%) and Great Britain (30.4%).</w:t>
      </w:r>
      <w:r w:rsidRPr="003C7CB1">
        <w:t xml:space="preserve"> </w:t>
      </w:r>
      <w:r w:rsidRPr="003C7CB1">
        <w:rPr>
          <w:rFonts w:cstheme="minorHAnsi"/>
          <w:sz w:val="24"/>
          <w:szCs w:val="24"/>
        </w:rPr>
        <w:t xml:space="preserve">When observed from the aspect of the structure of accommodation capacities, in 2019, tourists from Russia (29.1%) and Serbia (25.3%) were the ones who predominantly generated overnight stays in individual (“private”) accommodation. </w:t>
      </w:r>
    </w:p>
    <w:p w14:paraId="470BB7B4"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According to a survey conducted by the Rural Tourism Association - Tourism in villages and the Regional Development Agency for </w:t>
      </w:r>
      <w:proofErr w:type="spellStart"/>
      <w:r w:rsidRPr="003C7CB1">
        <w:rPr>
          <w:rFonts w:cstheme="minorHAnsi"/>
          <w:sz w:val="24"/>
          <w:szCs w:val="24"/>
        </w:rPr>
        <w:t>Bjelasica</w:t>
      </w:r>
      <w:proofErr w:type="spellEnd"/>
      <w:r w:rsidRPr="003C7CB1">
        <w:rPr>
          <w:rFonts w:cstheme="minorHAnsi"/>
          <w:sz w:val="24"/>
          <w:szCs w:val="24"/>
        </w:rPr>
        <w:t xml:space="preserve">, </w:t>
      </w:r>
      <w:proofErr w:type="spellStart"/>
      <w:r w:rsidRPr="003C7CB1">
        <w:rPr>
          <w:rFonts w:cstheme="minorHAnsi"/>
          <w:sz w:val="24"/>
          <w:szCs w:val="24"/>
        </w:rPr>
        <w:t>Komovi</w:t>
      </w:r>
      <w:proofErr w:type="spellEnd"/>
      <w:r w:rsidRPr="003C7CB1">
        <w:rPr>
          <w:rFonts w:cstheme="minorHAnsi"/>
          <w:sz w:val="24"/>
          <w:szCs w:val="24"/>
        </w:rPr>
        <w:t xml:space="preserve"> and Prokletije in 2021 (73 rural households participated) based on the question: “Which countries did your guests come from in the period before the pandemic?”, it was stated that France was listed as the source market by 40 respondents, Germany by 35, Russia by 26, etc., while some mentioned regions: Scandinavia, the Balkans and the like, as well as the US diaspora. (Chart No. 6)  </w:t>
      </w:r>
    </w:p>
    <w:p w14:paraId="2793434B" w14:textId="77777777" w:rsidR="00E732FA" w:rsidRPr="003C7CB1" w:rsidRDefault="00E732FA" w:rsidP="00E732FA">
      <w:pPr>
        <w:spacing w:line="240" w:lineRule="auto"/>
        <w:jc w:val="both"/>
        <w:rPr>
          <w:rFonts w:cstheme="minorHAnsi"/>
          <w:iCs/>
          <w:sz w:val="24"/>
          <w:szCs w:val="24"/>
        </w:rPr>
      </w:pPr>
    </w:p>
    <w:p w14:paraId="578951FC" w14:textId="77777777" w:rsidR="00E732FA" w:rsidRPr="003C7CB1" w:rsidRDefault="00E732FA" w:rsidP="00E732FA">
      <w:pPr>
        <w:spacing w:line="240" w:lineRule="auto"/>
        <w:jc w:val="both"/>
        <w:rPr>
          <w:rFonts w:cstheme="minorHAnsi"/>
          <w:iCs/>
          <w:sz w:val="24"/>
          <w:szCs w:val="24"/>
        </w:rPr>
      </w:pPr>
    </w:p>
    <w:p w14:paraId="4A1B2429" w14:textId="77777777" w:rsidR="00E732FA" w:rsidRPr="003C7CB1" w:rsidRDefault="00E732FA" w:rsidP="00E732FA">
      <w:pPr>
        <w:spacing w:line="240" w:lineRule="auto"/>
        <w:jc w:val="both"/>
        <w:rPr>
          <w:rFonts w:cstheme="minorHAnsi"/>
          <w:iCs/>
          <w:sz w:val="24"/>
          <w:szCs w:val="24"/>
        </w:rPr>
      </w:pPr>
    </w:p>
    <w:p w14:paraId="0E471D27" w14:textId="735C44F9" w:rsidR="00E732FA" w:rsidRDefault="00E732FA" w:rsidP="00E732FA">
      <w:pPr>
        <w:spacing w:line="240" w:lineRule="auto"/>
        <w:jc w:val="both"/>
        <w:rPr>
          <w:rFonts w:cstheme="minorHAnsi"/>
          <w:iCs/>
          <w:sz w:val="24"/>
          <w:szCs w:val="24"/>
        </w:rPr>
      </w:pPr>
    </w:p>
    <w:p w14:paraId="0D3D82D0" w14:textId="77777777" w:rsidR="00352B7D" w:rsidRPr="003C7CB1" w:rsidRDefault="00352B7D" w:rsidP="00E732FA">
      <w:pPr>
        <w:spacing w:line="240" w:lineRule="auto"/>
        <w:jc w:val="both"/>
        <w:rPr>
          <w:rFonts w:cstheme="minorHAnsi"/>
          <w:iCs/>
          <w:sz w:val="24"/>
          <w:szCs w:val="24"/>
        </w:rPr>
      </w:pPr>
    </w:p>
    <w:p w14:paraId="0AF68D4A" w14:textId="77777777" w:rsidR="00E732FA" w:rsidRPr="003C7CB1" w:rsidRDefault="00E732FA" w:rsidP="00E732FA">
      <w:pPr>
        <w:spacing w:after="0" w:line="240" w:lineRule="auto"/>
        <w:jc w:val="center"/>
        <w:rPr>
          <w:rFonts w:cstheme="minorHAnsi"/>
          <w:b/>
          <w:iCs/>
        </w:rPr>
      </w:pPr>
      <w:r w:rsidRPr="003C7CB1">
        <w:rPr>
          <w:rFonts w:cstheme="minorHAnsi"/>
          <w:b/>
          <w:iCs/>
        </w:rPr>
        <w:lastRenderedPageBreak/>
        <w:t xml:space="preserve">Chart No. 6 - The structure of guests in rural households before the COVID-19 pandemic  </w:t>
      </w:r>
    </w:p>
    <w:p w14:paraId="2F970575" w14:textId="77777777" w:rsidR="00E732FA" w:rsidRPr="003C7CB1" w:rsidRDefault="00E732FA" w:rsidP="00E732FA">
      <w:pPr>
        <w:spacing w:after="0" w:line="240" w:lineRule="auto"/>
        <w:jc w:val="center"/>
        <w:rPr>
          <w:rFonts w:cstheme="minorHAnsi"/>
          <w:b/>
          <w:iCs/>
        </w:rPr>
      </w:pPr>
    </w:p>
    <w:p w14:paraId="4FB92E79" w14:textId="77777777" w:rsidR="00E732FA" w:rsidRPr="003C7CB1" w:rsidRDefault="00E732FA" w:rsidP="00E732FA">
      <w:pPr>
        <w:spacing w:after="0" w:line="240" w:lineRule="auto"/>
        <w:jc w:val="center"/>
        <w:rPr>
          <w:rFonts w:cstheme="minorHAnsi"/>
          <w:iCs/>
          <w:sz w:val="20"/>
          <w:szCs w:val="20"/>
        </w:rPr>
      </w:pPr>
      <w:r w:rsidRPr="003C7CB1">
        <w:rPr>
          <w:noProof/>
        </w:rPr>
        <w:drawing>
          <wp:inline distT="0" distB="0" distL="0" distR="0" wp14:anchorId="379959FD" wp14:editId="111E12C2">
            <wp:extent cx="5768340" cy="2209800"/>
            <wp:effectExtent l="0" t="0" r="3810" b="0"/>
            <wp:docPr id="155" name="Chart 155">
              <a:extLst xmlns:a="http://schemas.openxmlformats.org/drawingml/2006/main">
                <a:ext uri="{FF2B5EF4-FFF2-40B4-BE49-F238E27FC236}">
                  <a16:creationId xmlns:a16="http://schemas.microsoft.com/office/drawing/2014/main" id="{ED1AC32F-CB92-4E7F-AB5E-6C14947D4F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E38B10D" w14:textId="77777777" w:rsidR="00E732FA" w:rsidRPr="003C7CB1" w:rsidRDefault="00E732FA" w:rsidP="00E732FA">
      <w:pPr>
        <w:spacing w:after="0" w:line="240" w:lineRule="auto"/>
        <w:jc w:val="both"/>
        <w:rPr>
          <w:rFonts w:cstheme="minorHAnsi"/>
          <w:i/>
          <w:iCs/>
          <w:sz w:val="20"/>
          <w:szCs w:val="20"/>
        </w:rPr>
      </w:pPr>
      <w:r w:rsidRPr="003C7CB1">
        <w:rPr>
          <w:rFonts w:cstheme="minorHAnsi"/>
          <w:i/>
          <w:iCs/>
          <w:sz w:val="20"/>
          <w:szCs w:val="20"/>
        </w:rPr>
        <w:t xml:space="preserve">Source: Survey conducted by the Rural Tourism Association - Tourism in villages and the Regional Development Agency for </w:t>
      </w:r>
      <w:proofErr w:type="spellStart"/>
      <w:r w:rsidRPr="003C7CB1">
        <w:rPr>
          <w:rFonts w:cstheme="minorHAnsi"/>
          <w:i/>
          <w:iCs/>
          <w:sz w:val="20"/>
          <w:szCs w:val="20"/>
        </w:rPr>
        <w:t>Bjelasica</w:t>
      </w:r>
      <w:proofErr w:type="spellEnd"/>
      <w:r w:rsidRPr="003C7CB1">
        <w:rPr>
          <w:rFonts w:cstheme="minorHAnsi"/>
          <w:i/>
          <w:iCs/>
          <w:sz w:val="20"/>
          <w:szCs w:val="20"/>
        </w:rPr>
        <w:t xml:space="preserve">, </w:t>
      </w:r>
      <w:proofErr w:type="spellStart"/>
      <w:r w:rsidRPr="003C7CB1">
        <w:rPr>
          <w:rFonts w:cstheme="minorHAnsi"/>
          <w:i/>
          <w:iCs/>
          <w:sz w:val="20"/>
          <w:szCs w:val="20"/>
        </w:rPr>
        <w:t>Komovi</w:t>
      </w:r>
      <w:proofErr w:type="spellEnd"/>
      <w:r w:rsidRPr="003C7CB1">
        <w:rPr>
          <w:rFonts w:cstheme="minorHAnsi"/>
          <w:i/>
          <w:iCs/>
          <w:sz w:val="20"/>
          <w:szCs w:val="20"/>
        </w:rPr>
        <w:t xml:space="preserve"> and Prokletije, May 2021  </w:t>
      </w:r>
    </w:p>
    <w:p w14:paraId="2FECF213" w14:textId="77777777" w:rsidR="00E732FA" w:rsidRPr="003C7CB1" w:rsidRDefault="00E732FA" w:rsidP="00E732FA">
      <w:pPr>
        <w:spacing w:after="0" w:line="240" w:lineRule="auto"/>
        <w:jc w:val="both"/>
        <w:rPr>
          <w:rFonts w:cstheme="minorHAnsi"/>
          <w:i/>
          <w:iCs/>
          <w:sz w:val="20"/>
          <w:szCs w:val="20"/>
        </w:rPr>
      </w:pPr>
    </w:p>
    <w:p w14:paraId="300F9F24" w14:textId="18B23055"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Considering the data related to the arrival of tourists in Montenegro in 2019, it can be stated that 52.25% of the total number of overnight stays were generated by tourists from Europe, compared to 2009 when that number was 47.7%. When it comes to the tourists from the Region, they were in the lead in the number of generated overnight stays in 2009 and accounted for 51.1%, and in 2019 they accounted for 38.4% of the total number of overnight stays.</w:t>
      </w:r>
      <w:r w:rsidRPr="003C7CB1">
        <w:t xml:space="preserve"> </w:t>
      </w:r>
      <w:r w:rsidRPr="003C7CB1">
        <w:rPr>
          <w:rFonts w:eastAsia="Times New Roman" w:cs="Arial"/>
          <w:sz w:val="24"/>
          <w:szCs w:val="24"/>
        </w:rPr>
        <w:t xml:space="preserve">By analyzing the structure of guests (EU countries, countries of the Region: Serbia, Bosnia and Herzegovina, Kosovo, North Macedonia and Albania and non-European countries), i.e., the number of their overnight stays, it can be stated that during the past ten years, due to investment activities to raise the quality of accommodation, relatively good </w:t>
      </w:r>
      <w:r w:rsidR="003C7CB1" w:rsidRPr="003C7CB1">
        <w:rPr>
          <w:rFonts w:eastAsia="Times New Roman" w:cs="Arial"/>
          <w:sz w:val="24"/>
          <w:szCs w:val="24"/>
        </w:rPr>
        <w:t>accessibility</w:t>
      </w:r>
      <w:r w:rsidRPr="003C7CB1">
        <w:rPr>
          <w:rFonts w:eastAsia="Times New Roman" w:cs="Arial"/>
          <w:sz w:val="24"/>
          <w:szCs w:val="24"/>
        </w:rPr>
        <w:t xml:space="preserve">, improving the quality of the </w:t>
      </w:r>
      <w:r w:rsidR="00C65FFD">
        <w:rPr>
          <w:rFonts w:eastAsia="Times New Roman" w:cs="Arial"/>
          <w:sz w:val="24"/>
          <w:szCs w:val="24"/>
        </w:rPr>
        <w:t>tourism product</w:t>
      </w:r>
      <w:r w:rsidRPr="003C7CB1">
        <w:rPr>
          <w:rFonts w:eastAsia="Times New Roman" w:cs="Arial"/>
          <w:sz w:val="24"/>
          <w:szCs w:val="24"/>
        </w:rPr>
        <w:t xml:space="preserve"> and promotional activities, there was a change in the structure of guests, and therefore, in 2019 in Montenegro there were more overnight stays of tourists from Europe compared to the predominantly more tourists from the Region in 2009. (Chart No. </w:t>
      </w:r>
      <w:r w:rsidR="003C7CB1" w:rsidRPr="003C7CB1">
        <w:rPr>
          <w:rFonts w:eastAsia="Times New Roman" w:cs="Arial"/>
          <w:sz w:val="24"/>
          <w:szCs w:val="24"/>
        </w:rPr>
        <w:t>7)</w:t>
      </w:r>
      <w:r w:rsidRPr="003C7CB1">
        <w:rPr>
          <w:rFonts w:eastAsia="Times New Roman" w:cs="Arial"/>
          <w:sz w:val="24"/>
          <w:szCs w:val="24"/>
        </w:rPr>
        <w:t xml:space="preserve"> </w:t>
      </w:r>
      <w:r w:rsidR="00765B94">
        <w:rPr>
          <w:rFonts w:cs="Arial"/>
          <w:sz w:val="24"/>
          <w:szCs w:val="24"/>
        </w:rPr>
        <w:t xml:space="preserve">                                                                                                   </w:t>
      </w:r>
    </w:p>
    <w:p w14:paraId="6258F28E" w14:textId="77777777" w:rsidR="00E732FA" w:rsidRPr="003C7CB1" w:rsidRDefault="00E732FA" w:rsidP="00E732FA">
      <w:pPr>
        <w:spacing w:after="120" w:line="240" w:lineRule="auto"/>
        <w:jc w:val="both"/>
        <w:rPr>
          <w:rFonts w:eastAsia="Times New Roman" w:cs="Arial"/>
          <w:sz w:val="24"/>
          <w:szCs w:val="24"/>
        </w:rPr>
      </w:pPr>
    </w:p>
    <w:p w14:paraId="095E208F" w14:textId="77777777" w:rsidR="00E732FA" w:rsidRPr="003C7CB1" w:rsidRDefault="00E732FA" w:rsidP="00E732FA">
      <w:pPr>
        <w:spacing w:after="0" w:line="240" w:lineRule="auto"/>
        <w:jc w:val="center"/>
        <w:rPr>
          <w:rFonts w:eastAsia="Times New Roman" w:cs="Arial"/>
          <w:b/>
        </w:rPr>
      </w:pPr>
      <w:r w:rsidRPr="003C7CB1">
        <w:rPr>
          <w:rFonts w:eastAsia="Times New Roman" w:cs="Arial"/>
          <w:noProof/>
          <w:sz w:val="24"/>
          <w:szCs w:val="24"/>
          <w:shd w:val="clear" w:color="auto" w:fill="8EAADB" w:themeFill="accent1" w:themeFillTint="99"/>
        </w:rPr>
        <w:drawing>
          <wp:anchor distT="0" distB="0" distL="114300" distR="114300" simplePos="0" relativeHeight="251895296" behindDoc="0" locked="0" layoutInCell="1" allowOverlap="1" wp14:anchorId="49C259C5" wp14:editId="3FFAA45F">
            <wp:simplePos x="0" y="0"/>
            <wp:positionH relativeFrom="margin">
              <wp:posOffset>0</wp:posOffset>
            </wp:positionH>
            <wp:positionV relativeFrom="paragraph">
              <wp:posOffset>389661</wp:posOffset>
            </wp:positionV>
            <wp:extent cx="5694680" cy="1820545"/>
            <wp:effectExtent l="0" t="0" r="1270" b="8255"/>
            <wp:wrapSquare wrapText="bothSides"/>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3C7CB1">
        <w:t xml:space="preserve"> </w:t>
      </w:r>
      <w:r w:rsidRPr="003C7CB1">
        <w:rPr>
          <w:rFonts w:eastAsia="Times New Roman" w:cs="Arial"/>
          <w:b/>
        </w:rPr>
        <w:t>Chart No. 7 –</w:t>
      </w:r>
      <w:r w:rsidRPr="003C7CB1">
        <w:rPr>
          <w:rFonts w:eastAsia="Times New Roman" w:cs="Arial"/>
          <w:b/>
          <w:i/>
        </w:rPr>
        <w:t xml:space="preserve"> Overview </w:t>
      </w:r>
      <w:r w:rsidRPr="003C7CB1">
        <w:rPr>
          <w:rFonts w:eastAsia="Times New Roman" w:cs="Arial"/>
          <w:b/>
        </w:rPr>
        <w:t>of the number of tourist overnight stays from Europe, the region and non-European countries</w:t>
      </w:r>
    </w:p>
    <w:p w14:paraId="7B13C1CC" w14:textId="77777777" w:rsidR="00E732FA" w:rsidRPr="003C7CB1" w:rsidRDefault="00E732FA" w:rsidP="00E732FA">
      <w:pPr>
        <w:spacing w:after="0" w:line="240" w:lineRule="auto"/>
        <w:rPr>
          <w:rFonts w:eastAsia="Times New Roman" w:cs="Arial"/>
          <w:b/>
          <w:i/>
        </w:rPr>
      </w:pPr>
    </w:p>
    <w:p w14:paraId="3FFEA3A0" w14:textId="77777777" w:rsidR="00E732FA" w:rsidRPr="003C7CB1" w:rsidRDefault="00E732FA" w:rsidP="00E732FA">
      <w:pPr>
        <w:spacing w:after="0" w:line="240" w:lineRule="auto"/>
        <w:rPr>
          <w:rStyle w:val="Hyperlink"/>
          <w:rFonts w:eastAsia="Times New Roman" w:cs="Arial"/>
          <w:color w:val="auto"/>
          <w:sz w:val="20"/>
          <w:szCs w:val="20"/>
        </w:rPr>
      </w:pPr>
      <w:r w:rsidRPr="003C7CB1">
        <w:rPr>
          <w:rFonts w:eastAsia="Times New Roman" w:cs="Arial"/>
          <w:i/>
          <w:sz w:val="20"/>
          <w:szCs w:val="20"/>
        </w:rPr>
        <w:t xml:space="preserve">Source: MONSTAT, edited by the Ministry of Economic Development </w:t>
      </w:r>
      <w:hyperlink r:id="rId35" w:history="1">
        <w:r w:rsidRPr="003C7CB1">
          <w:rPr>
            <w:rStyle w:val="Hyperlink"/>
            <w:rFonts w:eastAsia="Times New Roman" w:cs="Arial"/>
            <w:sz w:val="20"/>
            <w:szCs w:val="20"/>
          </w:rPr>
          <w:t>http://monstat.org/cg/page.php?id=366&amp;pageid=44</w:t>
        </w:r>
      </w:hyperlink>
      <w:r w:rsidRPr="003C7CB1">
        <w:rPr>
          <w:rStyle w:val="Hyperlink"/>
          <w:rFonts w:eastAsia="Times New Roman" w:cs="Arial"/>
          <w:color w:val="auto"/>
          <w:sz w:val="20"/>
          <w:szCs w:val="20"/>
        </w:rPr>
        <w:t xml:space="preserve"> </w:t>
      </w:r>
    </w:p>
    <w:p w14:paraId="26D7F5FC" w14:textId="77777777" w:rsidR="00E732FA" w:rsidRPr="003C7CB1" w:rsidRDefault="00E732FA" w:rsidP="00E732FA">
      <w:pPr>
        <w:spacing w:after="0" w:line="240" w:lineRule="auto"/>
        <w:jc w:val="center"/>
        <w:rPr>
          <w:rStyle w:val="Hyperlink"/>
          <w:rFonts w:eastAsia="Times New Roman" w:cs="Arial"/>
          <w:color w:val="auto"/>
          <w:sz w:val="20"/>
          <w:szCs w:val="20"/>
        </w:rPr>
      </w:pPr>
    </w:p>
    <w:p w14:paraId="46049B9D" w14:textId="77777777" w:rsidR="00E732FA" w:rsidRPr="003C7CB1" w:rsidRDefault="00E732FA" w:rsidP="00E732FA">
      <w:pPr>
        <w:spacing w:after="0" w:line="240" w:lineRule="auto"/>
        <w:rPr>
          <w:rStyle w:val="Hyperlink"/>
          <w:rFonts w:eastAsia="Times New Roman" w:cs="Arial"/>
          <w:color w:val="auto"/>
          <w:sz w:val="20"/>
          <w:szCs w:val="20"/>
        </w:rPr>
      </w:pPr>
    </w:p>
    <w:p w14:paraId="05931409" w14:textId="2D35362D" w:rsidR="00E732FA" w:rsidRDefault="00E732FA" w:rsidP="00CD4D50">
      <w:pPr>
        <w:spacing w:after="0" w:line="240" w:lineRule="auto"/>
        <w:rPr>
          <w:rStyle w:val="Hyperlink"/>
          <w:rFonts w:eastAsia="Times New Roman" w:cs="Arial"/>
          <w:color w:val="auto"/>
          <w:sz w:val="20"/>
          <w:szCs w:val="20"/>
        </w:rPr>
      </w:pPr>
    </w:p>
    <w:p w14:paraId="6D6C23AD" w14:textId="77777777" w:rsidR="00CD4D50" w:rsidRPr="003C7CB1" w:rsidRDefault="00CD4D50" w:rsidP="00CD4D50">
      <w:pPr>
        <w:spacing w:after="0" w:line="240" w:lineRule="auto"/>
        <w:rPr>
          <w:rStyle w:val="Hyperlink"/>
          <w:rFonts w:eastAsia="Times New Roman" w:cs="Arial"/>
          <w:color w:val="auto"/>
          <w:sz w:val="20"/>
          <w:szCs w:val="20"/>
        </w:rPr>
      </w:pPr>
    </w:p>
    <w:p w14:paraId="767451DE" w14:textId="05E14300" w:rsidR="00E732FA" w:rsidRPr="003C7CB1" w:rsidRDefault="00E732FA" w:rsidP="00E732FA">
      <w:pPr>
        <w:spacing w:after="0" w:line="240" w:lineRule="auto"/>
        <w:jc w:val="both"/>
        <w:rPr>
          <w:rStyle w:val="Hyperlink"/>
          <w:rFonts w:eastAsia="Times New Roman" w:cs="Arial"/>
          <w:color w:val="auto"/>
          <w:sz w:val="24"/>
          <w:szCs w:val="24"/>
          <w:u w:val="none"/>
        </w:rPr>
      </w:pPr>
      <w:r w:rsidRPr="003C7CB1">
        <w:rPr>
          <w:rStyle w:val="Hyperlink"/>
          <w:rFonts w:eastAsia="Times New Roman" w:cs="Arial"/>
          <w:color w:val="auto"/>
          <w:sz w:val="24"/>
          <w:szCs w:val="24"/>
          <w:u w:val="none"/>
        </w:rPr>
        <w:t>T</w:t>
      </w:r>
      <w:r w:rsidR="008B2BAE">
        <w:rPr>
          <w:rStyle w:val="Hyperlink"/>
          <w:rFonts w:eastAsia="Times New Roman" w:cs="Arial"/>
          <w:color w:val="auto"/>
          <w:sz w:val="24"/>
          <w:szCs w:val="24"/>
          <w:u w:val="none"/>
        </w:rPr>
        <w:t>urnover</w:t>
      </w:r>
      <w:r w:rsidRPr="003C7CB1">
        <w:rPr>
          <w:rStyle w:val="Hyperlink"/>
          <w:rFonts w:eastAsia="Times New Roman" w:cs="Arial"/>
          <w:color w:val="auto"/>
          <w:sz w:val="24"/>
          <w:szCs w:val="24"/>
          <w:u w:val="none"/>
        </w:rPr>
        <w:t xml:space="preserve"> generated in the period 2009/2019 observed by a more detailed overview of emitting tourist markets follows below:</w:t>
      </w:r>
    </w:p>
    <w:p w14:paraId="67759F1E" w14:textId="77777777" w:rsidR="00E732FA" w:rsidRPr="003C7CB1" w:rsidRDefault="00E732FA" w:rsidP="00E732FA">
      <w:pPr>
        <w:spacing w:after="0" w:line="240" w:lineRule="auto"/>
        <w:jc w:val="both"/>
        <w:rPr>
          <w:rStyle w:val="Hyperlink"/>
          <w:rFonts w:eastAsia="Times New Roman" w:cs="Arial"/>
          <w:color w:val="auto"/>
          <w:sz w:val="24"/>
          <w:szCs w:val="24"/>
          <w:u w:val="none"/>
        </w:rPr>
      </w:pPr>
    </w:p>
    <w:p w14:paraId="26662A47" w14:textId="77777777" w:rsidR="00E732FA" w:rsidRPr="003C7CB1" w:rsidRDefault="00E732FA" w:rsidP="00E732FA">
      <w:pPr>
        <w:spacing w:after="0" w:line="240" w:lineRule="auto"/>
        <w:jc w:val="both"/>
        <w:rPr>
          <w:rStyle w:val="Hyperlink"/>
          <w:rFonts w:eastAsia="Times New Roman" w:cs="Arial"/>
          <w:color w:val="auto"/>
          <w:sz w:val="20"/>
          <w:szCs w:val="20"/>
          <w:u w:val="none"/>
        </w:rPr>
      </w:pPr>
      <w:r w:rsidRPr="003C7CB1">
        <w:rPr>
          <w:rStyle w:val="Hyperlink"/>
          <w:rFonts w:eastAsia="Times New Roman" w:cs="Arial"/>
          <w:color w:val="auto"/>
          <w:sz w:val="20"/>
          <w:szCs w:val="20"/>
          <w:u w:val="none"/>
        </w:rPr>
        <w:t xml:space="preserve">  </w:t>
      </w:r>
    </w:p>
    <w:p w14:paraId="38709A3E" w14:textId="77777777" w:rsidR="00E732FA" w:rsidRPr="003C7CB1" w:rsidRDefault="00E732FA" w:rsidP="00E732FA">
      <w:pPr>
        <w:spacing w:after="0" w:line="240" w:lineRule="auto"/>
        <w:jc w:val="center"/>
        <w:rPr>
          <w:rStyle w:val="Hyperlink"/>
          <w:rFonts w:eastAsia="Times New Roman" w:cs="Arial"/>
          <w:color w:val="auto"/>
          <w:sz w:val="20"/>
          <w:szCs w:val="20"/>
        </w:rPr>
      </w:pPr>
      <w:r w:rsidRPr="003C7CB1">
        <w:rPr>
          <w:noProof/>
        </w:rPr>
        <w:drawing>
          <wp:inline distT="0" distB="0" distL="0" distR="0" wp14:anchorId="0D80A722" wp14:editId="1B9875EE">
            <wp:extent cx="5836285" cy="2517775"/>
            <wp:effectExtent l="0" t="0" r="12065" b="15875"/>
            <wp:docPr id="157" name="Chart 157">
              <a:extLst xmlns:a="http://schemas.openxmlformats.org/drawingml/2006/main">
                <a:ext uri="{FF2B5EF4-FFF2-40B4-BE49-F238E27FC236}">
                  <a16:creationId xmlns:a16="http://schemas.microsoft.com/office/drawing/2014/main" id="{5676DEB6-8CB0-4A22-9D28-A99982825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DA1C0E" w14:textId="77777777" w:rsidR="00E732FA" w:rsidRPr="003C7CB1" w:rsidRDefault="00E732FA" w:rsidP="00E732FA">
      <w:pPr>
        <w:spacing w:after="0" w:line="240" w:lineRule="auto"/>
        <w:jc w:val="center"/>
        <w:rPr>
          <w:rStyle w:val="Hyperlink"/>
          <w:rFonts w:eastAsia="Times New Roman" w:cs="Arial"/>
          <w:color w:val="auto"/>
          <w:sz w:val="20"/>
          <w:szCs w:val="20"/>
        </w:rPr>
      </w:pPr>
    </w:p>
    <w:p w14:paraId="147335A2" w14:textId="77777777" w:rsidR="00E732FA" w:rsidRPr="003C7CB1" w:rsidRDefault="00E732FA" w:rsidP="00E732FA">
      <w:pPr>
        <w:spacing w:after="0" w:line="240" w:lineRule="auto"/>
        <w:jc w:val="center"/>
        <w:rPr>
          <w:rStyle w:val="Hyperlink"/>
          <w:rFonts w:eastAsia="Times New Roman" w:cs="Arial"/>
          <w:color w:val="auto"/>
          <w:sz w:val="20"/>
          <w:szCs w:val="20"/>
        </w:rPr>
      </w:pPr>
    </w:p>
    <w:p w14:paraId="22DD3496" w14:textId="68A1A10D" w:rsidR="00E732FA" w:rsidRDefault="00E732FA" w:rsidP="00E732FA">
      <w:pPr>
        <w:spacing w:after="0" w:line="240" w:lineRule="auto"/>
        <w:jc w:val="center"/>
        <w:rPr>
          <w:rStyle w:val="Hyperlink"/>
          <w:rFonts w:eastAsia="Times New Roman" w:cs="Arial"/>
          <w:color w:val="auto"/>
          <w:sz w:val="20"/>
          <w:szCs w:val="20"/>
        </w:rPr>
      </w:pPr>
    </w:p>
    <w:p w14:paraId="1BAC5DA5" w14:textId="77777777" w:rsidR="00CD4D50" w:rsidRPr="003C7CB1" w:rsidRDefault="00CD4D50" w:rsidP="00E732FA">
      <w:pPr>
        <w:spacing w:after="0" w:line="240" w:lineRule="auto"/>
        <w:jc w:val="center"/>
        <w:rPr>
          <w:rStyle w:val="Hyperlink"/>
          <w:rFonts w:eastAsia="Times New Roman" w:cs="Arial"/>
          <w:color w:val="auto"/>
          <w:sz w:val="20"/>
          <w:szCs w:val="20"/>
        </w:rPr>
      </w:pPr>
    </w:p>
    <w:p w14:paraId="1B3722D4" w14:textId="77777777" w:rsidR="00E732FA" w:rsidRPr="003C7CB1" w:rsidRDefault="00E732FA" w:rsidP="00E732FA">
      <w:pPr>
        <w:spacing w:after="0" w:line="240" w:lineRule="auto"/>
        <w:jc w:val="center"/>
        <w:rPr>
          <w:rStyle w:val="Hyperlink"/>
          <w:rFonts w:eastAsia="Times New Roman" w:cs="Arial"/>
          <w:color w:val="auto"/>
          <w:sz w:val="20"/>
          <w:szCs w:val="20"/>
        </w:rPr>
      </w:pPr>
    </w:p>
    <w:p w14:paraId="2D3FEBAB" w14:textId="77777777" w:rsidR="00E732FA" w:rsidRPr="003C7CB1" w:rsidRDefault="00E732FA" w:rsidP="00E732FA">
      <w:pPr>
        <w:spacing w:after="0" w:line="240" w:lineRule="auto"/>
        <w:jc w:val="center"/>
        <w:rPr>
          <w:rStyle w:val="Hyperlink"/>
          <w:rFonts w:eastAsia="Times New Roman" w:cs="Arial"/>
          <w:color w:val="auto"/>
          <w:sz w:val="20"/>
          <w:szCs w:val="20"/>
        </w:rPr>
      </w:pPr>
      <w:r w:rsidRPr="003C7CB1">
        <w:rPr>
          <w:noProof/>
        </w:rPr>
        <w:drawing>
          <wp:inline distT="0" distB="0" distL="0" distR="0" wp14:anchorId="42F0F63D" wp14:editId="312366A4">
            <wp:extent cx="5836285" cy="2731618"/>
            <wp:effectExtent l="0" t="0" r="12065" b="12065"/>
            <wp:docPr id="158" name="Chart 158">
              <a:extLst xmlns:a="http://schemas.openxmlformats.org/drawingml/2006/main">
                <a:ext uri="{FF2B5EF4-FFF2-40B4-BE49-F238E27FC236}">
                  <a16:creationId xmlns:a16="http://schemas.microsoft.com/office/drawing/2014/main" id="{017E121B-A162-4135-9257-BBBA2E4C14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840D1FF" w14:textId="77777777" w:rsidR="00E732FA" w:rsidRPr="003C7CB1" w:rsidRDefault="00E732FA" w:rsidP="00E732FA">
      <w:pPr>
        <w:spacing w:after="120" w:line="240" w:lineRule="auto"/>
        <w:jc w:val="both"/>
        <w:rPr>
          <w:rFonts w:eastAsia="Times New Roman" w:cs="Arial"/>
          <w:sz w:val="24"/>
          <w:szCs w:val="24"/>
        </w:rPr>
      </w:pPr>
    </w:p>
    <w:p w14:paraId="39C4D311" w14:textId="77777777" w:rsidR="00E732FA" w:rsidRPr="003C7CB1" w:rsidRDefault="00E732FA" w:rsidP="00E732FA">
      <w:pPr>
        <w:spacing w:after="120" w:line="240" w:lineRule="auto"/>
        <w:jc w:val="both"/>
        <w:rPr>
          <w:rFonts w:eastAsia="Times New Roman" w:cs="Arial"/>
          <w:sz w:val="24"/>
          <w:szCs w:val="24"/>
        </w:rPr>
      </w:pPr>
    </w:p>
    <w:p w14:paraId="4EE20C31" w14:textId="77777777" w:rsidR="00E732FA" w:rsidRPr="003C7CB1" w:rsidRDefault="00E732FA" w:rsidP="00E732FA">
      <w:pPr>
        <w:spacing w:after="120" w:line="240" w:lineRule="auto"/>
        <w:jc w:val="both"/>
        <w:rPr>
          <w:rFonts w:eastAsia="Times New Roman" w:cs="Arial"/>
          <w:sz w:val="24"/>
          <w:szCs w:val="24"/>
        </w:rPr>
      </w:pPr>
    </w:p>
    <w:p w14:paraId="50FA858C" w14:textId="77777777" w:rsidR="00E732FA" w:rsidRPr="003C7CB1" w:rsidRDefault="00E732FA" w:rsidP="00E732FA">
      <w:pPr>
        <w:spacing w:after="120" w:line="240" w:lineRule="auto"/>
        <w:jc w:val="both"/>
        <w:rPr>
          <w:rFonts w:eastAsia="Times New Roman" w:cs="Arial"/>
          <w:sz w:val="24"/>
          <w:szCs w:val="24"/>
        </w:rPr>
      </w:pPr>
    </w:p>
    <w:p w14:paraId="35E22C38" w14:textId="77777777" w:rsidR="00E732FA" w:rsidRPr="003C7CB1" w:rsidRDefault="00E732FA" w:rsidP="00E732FA">
      <w:pPr>
        <w:spacing w:after="120" w:line="240" w:lineRule="auto"/>
        <w:jc w:val="both"/>
        <w:rPr>
          <w:rFonts w:eastAsia="Times New Roman" w:cs="Arial"/>
          <w:sz w:val="24"/>
          <w:szCs w:val="24"/>
        </w:rPr>
      </w:pPr>
    </w:p>
    <w:p w14:paraId="40C72A73" w14:textId="77777777" w:rsidR="00E732FA" w:rsidRPr="003C7CB1" w:rsidRDefault="00E732FA" w:rsidP="00E732FA">
      <w:pPr>
        <w:spacing w:after="120" w:line="240" w:lineRule="auto"/>
        <w:jc w:val="both"/>
        <w:rPr>
          <w:rFonts w:eastAsia="Times New Roman" w:cs="Arial"/>
          <w:sz w:val="24"/>
          <w:szCs w:val="24"/>
        </w:rPr>
      </w:pPr>
    </w:p>
    <w:p w14:paraId="33B449E8" w14:textId="06F4EF45"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lastRenderedPageBreak/>
        <w:t>Montenegro's connection with emitting markets is carried out by road, rail, sea and air transport (Table no. 5).</w:t>
      </w:r>
      <w:r w:rsidRPr="003C7CB1">
        <w:t xml:space="preserve"> </w:t>
      </w:r>
      <w:r w:rsidRPr="003C7CB1">
        <w:rPr>
          <w:rFonts w:eastAsia="Times New Roman" w:cs="Arial"/>
          <w:sz w:val="24"/>
          <w:szCs w:val="24"/>
        </w:rPr>
        <w:t>According to the data of the United Nations World Tourism Organization</w:t>
      </w:r>
      <w:r w:rsidRPr="003C7CB1">
        <w:rPr>
          <w:rStyle w:val="FootnoteReference"/>
          <w:rFonts w:eastAsia="Times New Roman" w:cs="Arial"/>
          <w:sz w:val="24"/>
          <w:szCs w:val="24"/>
        </w:rPr>
        <w:footnoteReference w:id="20"/>
      </w:r>
      <w:r w:rsidRPr="003C7CB1">
        <w:rPr>
          <w:rFonts w:eastAsia="Times New Roman" w:cs="Arial"/>
          <w:sz w:val="24"/>
          <w:szCs w:val="24"/>
        </w:rPr>
        <w:t xml:space="preserve"> for 2019, 59% of tourists traveled to their destination by air, 35% by road, 5% by sea, and only 1% by rail.  </w:t>
      </w:r>
      <w:r w:rsidR="00765B94">
        <w:rPr>
          <w:rFonts w:cs="Arial"/>
          <w:sz w:val="24"/>
          <w:szCs w:val="24"/>
        </w:rPr>
        <w:t xml:space="preserve">                                                                                                   </w:t>
      </w:r>
    </w:p>
    <w:p w14:paraId="268411BD" w14:textId="77777777" w:rsidR="00E732FA" w:rsidRPr="003C7CB1" w:rsidRDefault="00E732FA" w:rsidP="00E732FA">
      <w:pPr>
        <w:spacing w:after="0"/>
        <w:jc w:val="center"/>
        <w:rPr>
          <w:rFonts w:eastAsia="Times New Roman" w:cs="Arial"/>
          <w:b/>
        </w:rPr>
      </w:pPr>
      <w:r w:rsidRPr="003C7CB1">
        <w:rPr>
          <w:rFonts w:eastAsia="Times New Roman" w:cs="Arial"/>
          <w:b/>
        </w:rPr>
        <w:t>Table no. 5 - Travelers traffic by means of transport</w:t>
      </w:r>
    </w:p>
    <w:p w14:paraId="33A94BF0" w14:textId="77777777" w:rsidR="00E732FA" w:rsidRPr="003C7CB1" w:rsidRDefault="00E732FA" w:rsidP="00E732FA">
      <w:pPr>
        <w:spacing w:after="0"/>
        <w:jc w:val="center"/>
        <w:rPr>
          <w:rFonts w:eastAsia="Times New Roman" w:cs="Arial"/>
          <w:b/>
        </w:rPr>
      </w:pPr>
    </w:p>
    <w:tbl>
      <w:tblPr>
        <w:tblStyle w:val="TableGrid"/>
        <w:tblW w:w="0" w:type="auto"/>
        <w:jc w:val="center"/>
        <w:tblLook w:val="04A0" w:firstRow="1" w:lastRow="0" w:firstColumn="1" w:lastColumn="0" w:noHBand="0" w:noVBand="1"/>
      </w:tblPr>
      <w:tblGrid>
        <w:gridCol w:w="1540"/>
        <w:gridCol w:w="2003"/>
        <w:gridCol w:w="1555"/>
        <w:gridCol w:w="1418"/>
        <w:gridCol w:w="1498"/>
      </w:tblGrid>
      <w:tr w:rsidR="00E732FA" w:rsidRPr="003C7CB1" w14:paraId="31FE3310" w14:textId="77777777" w:rsidTr="00E732FA">
        <w:trPr>
          <w:trHeight w:val="359"/>
          <w:jc w:val="center"/>
        </w:trPr>
        <w:tc>
          <w:tcPr>
            <w:tcW w:w="1540" w:type="dxa"/>
            <w:shd w:val="clear" w:color="auto" w:fill="D9E2F3" w:themeFill="accent1" w:themeFillTint="33"/>
          </w:tcPr>
          <w:p w14:paraId="00D30C96" w14:textId="77777777" w:rsidR="00E732FA" w:rsidRPr="003C7CB1" w:rsidRDefault="00E732FA" w:rsidP="00E732FA">
            <w:pPr>
              <w:spacing w:after="0"/>
              <w:jc w:val="center"/>
              <w:rPr>
                <w:rFonts w:eastAsia="Times New Roman" w:cs="Arial"/>
                <w:b/>
                <w:bCs/>
                <w:sz w:val="24"/>
                <w:szCs w:val="24"/>
              </w:rPr>
            </w:pPr>
            <w:r w:rsidRPr="003C7CB1">
              <w:rPr>
                <w:rFonts w:eastAsia="Times New Roman" w:cs="Arial"/>
                <w:b/>
                <w:bCs/>
                <w:sz w:val="24"/>
                <w:szCs w:val="24"/>
              </w:rPr>
              <w:t xml:space="preserve">Means of transport  </w:t>
            </w:r>
          </w:p>
        </w:tc>
        <w:tc>
          <w:tcPr>
            <w:tcW w:w="2003" w:type="dxa"/>
            <w:shd w:val="clear" w:color="auto" w:fill="EDEDED" w:themeFill="accent3" w:themeFillTint="33"/>
          </w:tcPr>
          <w:p w14:paraId="3B96742A" w14:textId="77777777" w:rsidR="00E732FA" w:rsidRPr="003C7CB1" w:rsidRDefault="00E732FA" w:rsidP="00E732FA">
            <w:pPr>
              <w:spacing w:after="0"/>
              <w:jc w:val="center"/>
              <w:rPr>
                <w:rFonts w:eastAsia="Times New Roman" w:cs="Arial"/>
                <w:b/>
                <w:bCs/>
                <w:sz w:val="24"/>
                <w:szCs w:val="24"/>
              </w:rPr>
            </w:pPr>
            <w:r w:rsidRPr="003C7CB1">
              <w:rPr>
                <w:rFonts w:eastAsia="Times New Roman" w:cs="Arial"/>
                <w:b/>
                <w:bCs/>
                <w:sz w:val="24"/>
                <w:szCs w:val="24"/>
              </w:rPr>
              <w:t xml:space="preserve">2019 </w:t>
            </w:r>
          </w:p>
        </w:tc>
        <w:tc>
          <w:tcPr>
            <w:tcW w:w="1555" w:type="dxa"/>
            <w:shd w:val="clear" w:color="auto" w:fill="EDEDED" w:themeFill="accent3" w:themeFillTint="33"/>
          </w:tcPr>
          <w:p w14:paraId="15F34667" w14:textId="77777777" w:rsidR="00E732FA" w:rsidRPr="003C7CB1" w:rsidRDefault="00E732FA" w:rsidP="00E732FA">
            <w:pPr>
              <w:spacing w:after="0"/>
              <w:jc w:val="center"/>
              <w:rPr>
                <w:rFonts w:eastAsia="Times New Roman" w:cs="Arial"/>
                <w:b/>
                <w:bCs/>
                <w:sz w:val="24"/>
                <w:szCs w:val="24"/>
              </w:rPr>
            </w:pPr>
            <w:r w:rsidRPr="003C7CB1">
              <w:rPr>
                <w:rFonts w:eastAsia="Times New Roman" w:cs="Arial"/>
                <w:b/>
                <w:bCs/>
                <w:sz w:val="24"/>
                <w:szCs w:val="24"/>
              </w:rPr>
              <w:t xml:space="preserve">% of participation </w:t>
            </w:r>
          </w:p>
        </w:tc>
        <w:tc>
          <w:tcPr>
            <w:tcW w:w="1418" w:type="dxa"/>
            <w:shd w:val="clear" w:color="auto" w:fill="EDEDED" w:themeFill="accent3" w:themeFillTint="33"/>
          </w:tcPr>
          <w:p w14:paraId="30E0A5E0" w14:textId="77777777" w:rsidR="00E732FA" w:rsidRPr="003C7CB1" w:rsidRDefault="00E732FA" w:rsidP="00E732FA">
            <w:pPr>
              <w:spacing w:after="0"/>
              <w:jc w:val="center"/>
              <w:rPr>
                <w:rFonts w:eastAsia="Times New Roman" w:cs="Arial"/>
                <w:b/>
                <w:bCs/>
                <w:sz w:val="24"/>
                <w:szCs w:val="24"/>
              </w:rPr>
            </w:pPr>
            <w:r w:rsidRPr="003C7CB1">
              <w:rPr>
                <w:rFonts w:eastAsia="Times New Roman" w:cs="Arial"/>
                <w:b/>
                <w:bCs/>
                <w:sz w:val="24"/>
                <w:szCs w:val="24"/>
              </w:rPr>
              <w:t xml:space="preserve">2020 </w:t>
            </w:r>
          </w:p>
        </w:tc>
        <w:tc>
          <w:tcPr>
            <w:tcW w:w="1417" w:type="dxa"/>
            <w:shd w:val="clear" w:color="auto" w:fill="EDEDED" w:themeFill="accent3" w:themeFillTint="33"/>
          </w:tcPr>
          <w:p w14:paraId="35484EA7" w14:textId="77777777" w:rsidR="00E732FA" w:rsidRPr="003C7CB1" w:rsidRDefault="00E732FA" w:rsidP="00E732FA">
            <w:pPr>
              <w:spacing w:after="0"/>
              <w:jc w:val="center"/>
              <w:rPr>
                <w:rFonts w:eastAsia="Times New Roman" w:cs="Arial"/>
                <w:b/>
                <w:bCs/>
                <w:sz w:val="24"/>
                <w:szCs w:val="24"/>
              </w:rPr>
            </w:pPr>
            <w:r w:rsidRPr="003C7CB1">
              <w:rPr>
                <w:rFonts w:eastAsia="Times New Roman" w:cs="Arial"/>
                <w:b/>
                <w:bCs/>
                <w:sz w:val="24"/>
                <w:szCs w:val="24"/>
              </w:rPr>
              <w:t xml:space="preserve">% of participation </w:t>
            </w:r>
          </w:p>
        </w:tc>
      </w:tr>
      <w:tr w:rsidR="00E732FA" w:rsidRPr="003C7CB1" w14:paraId="690BC409" w14:textId="77777777" w:rsidTr="00E732FA">
        <w:trPr>
          <w:trHeight w:val="339"/>
          <w:jc w:val="center"/>
        </w:trPr>
        <w:tc>
          <w:tcPr>
            <w:tcW w:w="1540" w:type="dxa"/>
            <w:shd w:val="clear" w:color="auto" w:fill="D9E2F3" w:themeFill="accent1" w:themeFillTint="33"/>
          </w:tcPr>
          <w:p w14:paraId="7FF9B0D8" w14:textId="77777777" w:rsidR="00E732FA" w:rsidRPr="003C7CB1" w:rsidRDefault="00E732FA" w:rsidP="00E732FA">
            <w:pPr>
              <w:spacing w:after="0"/>
              <w:jc w:val="center"/>
              <w:rPr>
                <w:rFonts w:eastAsia="Times New Roman" w:cs="Arial"/>
                <w:bCs/>
                <w:sz w:val="24"/>
                <w:szCs w:val="24"/>
              </w:rPr>
            </w:pPr>
            <w:r w:rsidRPr="003C7CB1">
              <w:rPr>
                <w:rFonts w:eastAsia="Times New Roman" w:cs="Arial"/>
                <w:bCs/>
                <w:sz w:val="24"/>
                <w:szCs w:val="24"/>
              </w:rPr>
              <w:t xml:space="preserve">Road </w:t>
            </w:r>
          </w:p>
        </w:tc>
        <w:tc>
          <w:tcPr>
            <w:tcW w:w="2003" w:type="dxa"/>
            <w:vAlign w:val="center"/>
          </w:tcPr>
          <w:p w14:paraId="29024BFA"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16,456,269 </w:t>
            </w:r>
          </w:p>
        </w:tc>
        <w:tc>
          <w:tcPr>
            <w:tcW w:w="1555" w:type="dxa"/>
          </w:tcPr>
          <w:p w14:paraId="582972E3"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77.74 </w:t>
            </w:r>
          </w:p>
        </w:tc>
        <w:tc>
          <w:tcPr>
            <w:tcW w:w="1418" w:type="dxa"/>
            <w:vAlign w:val="center"/>
          </w:tcPr>
          <w:p w14:paraId="492949BA"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4,450,786 </w:t>
            </w:r>
          </w:p>
        </w:tc>
        <w:tc>
          <w:tcPr>
            <w:tcW w:w="1417" w:type="dxa"/>
          </w:tcPr>
          <w:p w14:paraId="4FFE478D"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88.12 </w:t>
            </w:r>
          </w:p>
        </w:tc>
      </w:tr>
      <w:tr w:rsidR="00E732FA" w:rsidRPr="003C7CB1" w14:paraId="184C8588" w14:textId="77777777" w:rsidTr="00E732FA">
        <w:trPr>
          <w:trHeight w:val="359"/>
          <w:jc w:val="center"/>
        </w:trPr>
        <w:tc>
          <w:tcPr>
            <w:tcW w:w="1540" w:type="dxa"/>
            <w:shd w:val="clear" w:color="auto" w:fill="D9E2F3" w:themeFill="accent1" w:themeFillTint="33"/>
          </w:tcPr>
          <w:p w14:paraId="036C88FB" w14:textId="77777777" w:rsidR="00E732FA" w:rsidRPr="003C7CB1" w:rsidRDefault="00E732FA" w:rsidP="00E732FA">
            <w:pPr>
              <w:spacing w:after="0"/>
              <w:jc w:val="center"/>
              <w:rPr>
                <w:rFonts w:eastAsia="Times New Roman" w:cs="Arial"/>
                <w:bCs/>
                <w:sz w:val="24"/>
                <w:szCs w:val="24"/>
              </w:rPr>
            </w:pPr>
            <w:r w:rsidRPr="003C7CB1">
              <w:rPr>
                <w:rFonts w:eastAsia="Times New Roman" w:cs="Arial"/>
                <w:bCs/>
                <w:sz w:val="24"/>
                <w:szCs w:val="24"/>
              </w:rPr>
              <w:t xml:space="preserve">Sea </w:t>
            </w:r>
          </w:p>
        </w:tc>
        <w:tc>
          <w:tcPr>
            <w:tcW w:w="2003" w:type="dxa"/>
            <w:vAlign w:val="center"/>
          </w:tcPr>
          <w:p w14:paraId="75CFB463"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1,906,836 </w:t>
            </w:r>
          </w:p>
        </w:tc>
        <w:tc>
          <w:tcPr>
            <w:tcW w:w="1555" w:type="dxa"/>
          </w:tcPr>
          <w:p w14:paraId="3C482470"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9.01 </w:t>
            </w:r>
          </w:p>
        </w:tc>
        <w:tc>
          <w:tcPr>
            <w:tcW w:w="1418" w:type="dxa"/>
            <w:vAlign w:val="center"/>
          </w:tcPr>
          <w:p w14:paraId="36AABAE0"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31,872 </w:t>
            </w:r>
          </w:p>
        </w:tc>
        <w:tc>
          <w:tcPr>
            <w:tcW w:w="1417" w:type="dxa"/>
          </w:tcPr>
          <w:p w14:paraId="4ECFE337"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0.63 </w:t>
            </w:r>
          </w:p>
        </w:tc>
      </w:tr>
      <w:tr w:rsidR="00E732FA" w:rsidRPr="003C7CB1" w14:paraId="2C64879A" w14:textId="77777777" w:rsidTr="00E732FA">
        <w:trPr>
          <w:trHeight w:val="339"/>
          <w:jc w:val="center"/>
        </w:trPr>
        <w:tc>
          <w:tcPr>
            <w:tcW w:w="1540" w:type="dxa"/>
            <w:shd w:val="clear" w:color="auto" w:fill="D9E2F3" w:themeFill="accent1" w:themeFillTint="33"/>
          </w:tcPr>
          <w:p w14:paraId="4AAB6FFF" w14:textId="77777777" w:rsidR="00E732FA" w:rsidRPr="003C7CB1" w:rsidRDefault="00E732FA" w:rsidP="00E732FA">
            <w:pPr>
              <w:spacing w:after="0"/>
              <w:jc w:val="center"/>
              <w:rPr>
                <w:rFonts w:eastAsia="Times New Roman" w:cs="Arial"/>
                <w:bCs/>
                <w:sz w:val="24"/>
                <w:szCs w:val="24"/>
              </w:rPr>
            </w:pPr>
            <w:r w:rsidRPr="003C7CB1">
              <w:rPr>
                <w:rFonts w:eastAsia="Times New Roman" w:cs="Arial"/>
                <w:bCs/>
                <w:sz w:val="24"/>
                <w:szCs w:val="24"/>
              </w:rPr>
              <w:t xml:space="preserve">Air </w:t>
            </w:r>
          </w:p>
        </w:tc>
        <w:tc>
          <w:tcPr>
            <w:tcW w:w="2003" w:type="dxa"/>
            <w:vAlign w:val="center"/>
          </w:tcPr>
          <w:p w14:paraId="2DF46F51"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2,636,540 </w:t>
            </w:r>
          </w:p>
        </w:tc>
        <w:tc>
          <w:tcPr>
            <w:tcW w:w="1555" w:type="dxa"/>
          </w:tcPr>
          <w:p w14:paraId="155F3C90"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12.46 </w:t>
            </w:r>
          </w:p>
        </w:tc>
        <w:tc>
          <w:tcPr>
            <w:tcW w:w="1418" w:type="dxa"/>
            <w:vAlign w:val="center"/>
          </w:tcPr>
          <w:p w14:paraId="01A31464"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534,887 </w:t>
            </w:r>
          </w:p>
        </w:tc>
        <w:tc>
          <w:tcPr>
            <w:tcW w:w="1417" w:type="dxa"/>
          </w:tcPr>
          <w:p w14:paraId="6851FD05"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10.59 </w:t>
            </w:r>
          </w:p>
        </w:tc>
      </w:tr>
      <w:tr w:rsidR="00E732FA" w:rsidRPr="003C7CB1" w14:paraId="6D8BD187" w14:textId="77777777" w:rsidTr="00E732FA">
        <w:trPr>
          <w:trHeight w:val="359"/>
          <w:jc w:val="center"/>
        </w:trPr>
        <w:tc>
          <w:tcPr>
            <w:tcW w:w="1540" w:type="dxa"/>
            <w:shd w:val="clear" w:color="auto" w:fill="D9E2F3" w:themeFill="accent1" w:themeFillTint="33"/>
          </w:tcPr>
          <w:p w14:paraId="27B2FBA2" w14:textId="77777777" w:rsidR="00E732FA" w:rsidRPr="003C7CB1" w:rsidRDefault="00E732FA" w:rsidP="00E732FA">
            <w:pPr>
              <w:spacing w:after="0"/>
              <w:jc w:val="center"/>
              <w:rPr>
                <w:rFonts w:eastAsia="Times New Roman" w:cs="Arial"/>
                <w:bCs/>
                <w:sz w:val="24"/>
                <w:szCs w:val="24"/>
              </w:rPr>
            </w:pPr>
            <w:r w:rsidRPr="003C7CB1">
              <w:rPr>
                <w:rFonts w:eastAsia="Times New Roman" w:cs="Arial"/>
                <w:bCs/>
                <w:sz w:val="24"/>
                <w:szCs w:val="24"/>
              </w:rPr>
              <w:t xml:space="preserve">Rail </w:t>
            </w:r>
          </w:p>
        </w:tc>
        <w:tc>
          <w:tcPr>
            <w:tcW w:w="2003" w:type="dxa"/>
            <w:vAlign w:val="center"/>
          </w:tcPr>
          <w:p w14:paraId="186C43C8"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167,473 </w:t>
            </w:r>
          </w:p>
        </w:tc>
        <w:tc>
          <w:tcPr>
            <w:tcW w:w="1555" w:type="dxa"/>
          </w:tcPr>
          <w:p w14:paraId="0C70FF8A"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0.79 </w:t>
            </w:r>
          </w:p>
        </w:tc>
        <w:tc>
          <w:tcPr>
            <w:tcW w:w="1418" w:type="dxa"/>
            <w:vAlign w:val="center"/>
          </w:tcPr>
          <w:p w14:paraId="6608073B"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33,454 </w:t>
            </w:r>
          </w:p>
        </w:tc>
        <w:tc>
          <w:tcPr>
            <w:tcW w:w="1417" w:type="dxa"/>
          </w:tcPr>
          <w:p w14:paraId="5D0A41D1" w14:textId="77777777" w:rsidR="00E732FA" w:rsidRPr="003C7CB1" w:rsidRDefault="00E732FA" w:rsidP="00E732FA">
            <w:pPr>
              <w:spacing w:after="0"/>
              <w:jc w:val="right"/>
              <w:rPr>
                <w:rFonts w:eastAsia="Times New Roman" w:cs="Arial"/>
                <w:sz w:val="24"/>
                <w:szCs w:val="24"/>
              </w:rPr>
            </w:pPr>
            <w:r w:rsidRPr="003C7CB1">
              <w:rPr>
                <w:rFonts w:eastAsia="Times New Roman" w:cs="Arial"/>
                <w:sz w:val="24"/>
                <w:szCs w:val="24"/>
              </w:rPr>
              <w:t xml:space="preserve">0.66 </w:t>
            </w:r>
          </w:p>
        </w:tc>
      </w:tr>
      <w:tr w:rsidR="00E732FA" w:rsidRPr="003C7CB1" w14:paraId="36898CD4" w14:textId="77777777" w:rsidTr="00E732FA">
        <w:trPr>
          <w:trHeight w:val="359"/>
          <w:jc w:val="center"/>
        </w:trPr>
        <w:tc>
          <w:tcPr>
            <w:tcW w:w="1540" w:type="dxa"/>
            <w:shd w:val="clear" w:color="auto" w:fill="8EAADB" w:themeFill="accent1" w:themeFillTint="99"/>
            <w:vAlign w:val="center"/>
          </w:tcPr>
          <w:p w14:paraId="27F229BF" w14:textId="77777777" w:rsidR="00E732FA" w:rsidRPr="003C7CB1" w:rsidRDefault="00E732FA" w:rsidP="00E732FA">
            <w:pPr>
              <w:spacing w:after="0"/>
              <w:jc w:val="both"/>
              <w:rPr>
                <w:rFonts w:eastAsia="Times New Roman" w:cs="Arial"/>
                <w:b/>
                <w:bCs/>
                <w:sz w:val="24"/>
                <w:szCs w:val="24"/>
              </w:rPr>
            </w:pPr>
            <w:r w:rsidRPr="003C7CB1">
              <w:rPr>
                <w:rFonts w:eastAsia="Times New Roman" w:cs="Arial"/>
                <w:b/>
                <w:bCs/>
                <w:sz w:val="24"/>
                <w:szCs w:val="24"/>
              </w:rPr>
              <w:t xml:space="preserve">Total </w:t>
            </w:r>
          </w:p>
        </w:tc>
        <w:tc>
          <w:tcPr>
            <w:tcW w:w="2003" w:type="dxa"/>
            <w:shd w:val="clear" w:color="auto" w:fill="8EAADB" w:themeFill="accent1" w:themeFillTint="99"/>
            <w:vAlign w:val="center"/>
          </w:tcPr>
          <w:p w14:paraId="1038480D" w14:textId="77777777" w:rsidR="00E732FA" w:rsidRPr="003C7CB1" w:rsidRDefault="00E732FA" w:rsidP="00E732FA">
            <w:pPr>
              <w:spacing w:after="0"/>
              <w:jc w:val="right"/>
              <w:rPr>
                <w:rFonts w:eastAsia="Times New Roman" w:cs="Arial"/>
                <w:b/>
                <w:sz w:val="24"/>
                <w:szCs w:val="24"/>
              </w:rPr>
            </w:pPr>
            <w:r w:rsidRPr="003C7CB1">
              <w:rPr>
                <w:rFonts w:eastAsia="Times New Roman" w:cs="Arial"/>
                <w:b/>
                <w:sz w:val="24"/>
                <w:szCs w:val="24"/>
              </w:rPr>
              <w:t xml:space="preserve">21.167.118 </w:t>
            </w:r>
          </w:p>
        </w:tc>
        <w:tc>
          <w:tcPr>
            <w:tcW w:w="1555" w:type="dxa"/>
            <w:shd w:val="clear" w:color="auto" w:fill="8EAADB" w:themeFill="accent1" w:themeFillTint="99"/>
          </w:tcPr>
          <w:p w14:paraId="5A30CF05" w14:textId="77777777" w:rsidR="00E732FA" w:rsidRPr="003C7CB1" w:rsidRDefault="00E732FA" w:rsidP="00E732FA">
            <w:pPr>
              <w:spacing w:after="0"/>
              <w:jc w:val="right"/>
              <w:rPr>
                <w:rFonts w:eastAsia="Times New Roman" w:cs="Arial"/>
                <w:b/>
                <w:sz w:val="24"/>
                <w:szCs w:val="24"/>
              </w:rPr>
            </w:pPr>
            <w:r w:rsidRPr="003C7CB1">
              <w:rPr>
                <w:rFonts w:eastAsia="Times New Roman" w:cs="Arial"/>
                <w:b/>
                <w:sz w:val="24"/>
                <w:szCs w:val="24"/>
              </w:rPr>
              <w:t xml:space="preserve">100 </w:t>
            </w:r>
          </w:p>
        </w:tc>
        <w:tc>
          <w:tcPr>
            <w:tcW w:w="1418" w:type="dxa"/>
            <w:shd w:val="clear" w:color="auto" w:fill="8EAADB" w:themeFill="accent1" w:themeFillTint="99"/>
            <w:vAlign w:val="center"/>
          </w:tcPr>
          <w:p w14:paraId="1D82EAC7" w14:textId="77777777" w:rsidR="00E732FA" w:rsidRPr="003C7CB1" w:rsidRDefault="00E732FA" w:rsidP="00E732FA">
            <w:pPr>
              <w:spacing w:after="0"/>
              <w:jc w:val="right"/>
              <w:rPr>
                <w:rFonts w:eastAsia="Times New Roman" w:cs="Arial"/>
                <w:b/>
                <w:sz w:val="24"/>
                <w:szCs w:val="24"/>
              </w:rPr>
            </w:pPr>
            <w:r w:rsidRPr="003C7CB1">
              <w:rPr>
                <w:rFonts w:eastAsia="Times New Roman" w:cs="Arial"/>
                <w:b/>
                <w:sz w:val="24"/>
                <w:szCs w:val="24"/>
              </w:rPr>
              <w:t xml:space="preserve">5,050,999 </w:t>
            </w:r>
          </w:p>
        </w:tc>
        <w:tc>
          <w:tcPr>
            <w:tcW w:w="1417" w:type="dxa"/>
            <w:shd w:val="clear" w:color="auto" w:fill="8EAADB" w:themeFill="accent1" w:themeFillTint="99"/>
          </w:tcPr>
          <w:p w14:paraId="4275A6B7" w14:textId="77777777" w:rsidR="00E732FA" w:rsidRPr="003C7CB1" w:rsidRDefault="00E732FA" w:rsidP="00E732FA">
            <w:pPr>
              <w:spacing w:after="0"/>
              <w:jc w:val="right"/>
              <w:rPr>
                <w:rFonts w:eastAsia="Times New Roman" w:cs="Arial"/>
                <w:b/>
                <w:sz w:val="24"/>
                <w:szCs w:val="24"/>
              </w:rPr>
            </w:pPr>
            <w:r w:rsidRPr="003C7CB1">
              <w:rPr>
                <w:rFonts w:eastAsia="Times New Roman" w:cs="Arial"/>
                <w:b/>
                <w:sz w:val="24"/>
                <w:szCs w:val="24"/>
              </w:rPr>
              <w:t xml:space="preserve">100 </w:t>
            </w:r>
          </w:p>
        </w:tc>
      </w:tr>
    </w:tbl>
    <w:p w14:paraId="55EC6C64" w14:textId="77777777" w:rsidR="00E732FA" w:rsidRPr="003C7CB1" w:rsidRDefault="00E732FA" w:rsidP="00E732FA">
      <w:pPr>
        <w:spacing w:after="0"/>
        <w:rPr>
          <w:rFonts w:eastAsia="Times New Roman" w:cs="Arial"/>
          <w:i/>
          <w:sz w:val="20"/>
          <w:szCs w:val="20"/>
        </w:rPr>
      </w:pPr>
      <w:r w:rsidRPr="003C7CB1">
        <w:rPr>
          <w:rFonts w:eastAsia="Times New Roman" w:cs="Arial"/>
          <w:i/>
          <w:sz w:val="20"/>
          <w:szCs w:val="20"/>
        </w:rPr>
        <w:t xml:space="preserve">          Source: Report of the Border Control Department, Ministry of the Interior of Montenegro </w:t>
      </w:r>
    </w:p>
    <w:p w14:paraId="6A072E30" w14:textId="77777777" w:rsidR="00E732FA" w:rsidRPr="003C7CB1" w:rsidRDefault="00E732FA" w:rsidP="00E732FA">
      <w:pPr>
        <w:spacing w:after="0"/>
        <w:jc w:val="center"/>
        <w:rPr>
          <w:rFonts w:eastAsia="Times New Roman" w:cs="Arial"/>
          <w:i/>
          <w:sz w:val="20"/>
          <w:szCs w:val="20"/>
        </w:rPr>
      </w:pPr>
    </w:p>
    <w:p w14:paraId="3083DCED" w14:textId="46F893EA"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When it comes to Montenegro, looking at the previous table, it can be stated that most travelers in 2019 (78%) came by road (this share increased to 88% in 2020 due to the outbre</w:t>
      </w:r>
      <w:r w:rsidR="003C7CB1">
        <w:rPr>
          <w:rFonts w:eastAsia="Times New Roman" w:cs="Arial"/>
          <w:sz w:val="24"/>
          <w:szCs w:val="24"/>
        </w:rPr>
        <w:t>ak of the coronavirus pandemic)</w:t>
      </w:r>
      <w:r w:rsidRPr="003C7CB1">
        <w:rPr>
          <w:rFonts w:eastAsia="Times New Roman" w:cs="Arial"/>
          <w:sz w:val="24"/>
          <w:szCs w:val="24"/>
        </w:rPr>
        <w:t>, which is correlated with the fact that the share of tourists from the Region is dominant in the total touris</w:t>
      </w:r>
      <w:r w:rsidR="00B835FD">
        <w:rPr>
          <w:rFonts w:eastAsia="Times New Roman" w:cs="Arial"/>
          <w:sz w:val="24"/>
          <w:szCs w:val="24"/>
        </w:rPr>
        <w:t>m turnover</w:t>
      </w:r>
      <w:r w:rsidRPr="003C7CB1">
        <w:rPr>
          <w:rFonts w:eastAsia="Times New Roman" w:cs="Arial"/>
          <w:sz w:val="24"/>
          <w:szCs w:val="24"/>
        </w:rPr>
        <w:t>. In doing so, it must be taken into account that the data on the basis of which the table was prepared, are submitted by the Border Control Department of the Ministry of the Interior of Montenegro and it refers to travelers (one of which refers to tourists) who cross the state border (enter Montenegro).</w:t>
      </w:r>
      <w:r w:rsidRPr="003C7CB1">
        <w:t xml:space="preserve"> </w:t>
      </w:r>
      <w:r w:rsidRPr="003C7CB1">
        <w:rPr>
          <w:rFonts w:eastAsia="Times New Roman" w:cs="Arial"/>
          <w:sz w:val="24"/>
          <w:szCs w:val="24"/>
        </w:rPr>
        <w:t xml:space="preserve">Furthermore, bearing in mind the connection between the Montenegrin people and the people in the countries of the Region, it is quite certain that a certain number of crossings across the border are made by the same persons (occasionally and several times during the same day). All of the above requires additional efforts in the analysis of data on </w:t>
      </w:r>
      <w:proofErr w:type="spellStart"/>
      <w:r w:rsidRPr="003C7CB1">
        <w:rPr>
          <w:rFonts w:eastAsia="Times New Roman" w:cs="Arial"/>
          <w:sz w:val="24"/>
          <w:szCs w:val="24"/>
        </w:rPr>
        <w:t>tourist</w:t>
      </w:r>
      <w:r w:rsidR="00402BA4">
        <w:rPr>
          <w:rFonts w:eastAsia="Times New Roman" w:cs="Arial"/>
          <w:sz w:val="24"/>
          <w:szCs w:val="24"/>
        </w:rPr>
        <w:t>m</w:t>
      </w:r>
      <w:proofErr w:type="spellEnd"/>
      <w:r w:rsidR="00402BA4">
        <w:rPr>
          <w:rFonts w:eastAsia="Times New Roman" w:cs="Arial"/>
          <w:sz w:val="24"/>
          <w:szCs w:val="24"/>
        </w:rPr>
        <w:t xml:space="preserve"> turnover</w:t>
      </w:r>
      <w:r w:rsidRPr="003C7CB1">
        <w:rPr>
          <w:rFonts w:eastAsia="Times New Roman" w:cs="Arial"/>
          <w:sz w:val="24"/>
          <w:szCs w:val="24"/>
        </w:rPr>
        <w:t xml:space="preserve"> in road transport, i.e., in determining the most accurate number of tourists who come to Montenegro by road. </w:t>
      </w:r>
    </w:p>
    <w:p w14:paraId="4DBF42BE"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 xml:space="preserve">The arrival of tourists from the Region is predominantly characterized by road transport and travel to Montenegro by car, while sea and railway transport are still insufficiently represented as a way of arriving in Montenegro.  </w:t>
      </w:r>
    </w:p>
    <w:p w14:paraId="3D705A46"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 xml:space="preserve">On the other hand, when observed from the aspect of geographical position, Montenegro is not close to the main directions of European main corridors. Its distance from the main road communications (the closest connection to the motorway in the Republic of Serbia is about 300 km away, and the motorway in the Republic of Croatia is about 260 km away, or through Bosnia and Herzegovina about 200 km) makes it relatively peripheral and with limiting infrastructure in relation to the main European courses. The regional Adriatic highway and the Belgrade-Bar railway partially mitigate the consequences of the mentioned distance.  </w:t>
      </w:r>
    </w:p>
    <w:p w14:paraId="1A4414CF"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 xml:space="preserve">Bearing in mind the above, it can be stated that Montenegro, as in the previous period, is still predominantly an air destination when it comes to tourist arrivals from Europe and outside Europe, or from distant (so-called third) markets, from which there is an evident growth of </w:t>
      </w:r>
      <w:r w:rsidRPr="003C7CB1">
        <w:rPr>
          <w:rFonts w:eastAsia="Times New Roman" w:cs="Arial"/>
          <w:sz w:val="24"/>
          <w:szCs w:val="24"/>
        </w:rPr>
        <w:lastRenderedPageBreak/>
        <w:t xml:space="preserve">interest when observed in the period 2009-2019 (the most numerous were tourists from the USA, Israel, Canada, Australia, Japan and New Zealand) (Chart No. 8)  </w:t>
      </w:r>
    </w:p>
    <w:p w14:paraId="40DF19D3" w14:textId="77777777" w:rsidR="00E732FA" w:rsidRPr="003C7CB1" w:rsidRDefault="00E732FA" w:rsidP="00E732FA">
      <w:pPr>
        <w:spacing w:after="0" w:line="240" w:lineRule="auto"/>
        <w:jc w:val="both"/>
        <w:rPr>
          <w:rFonts w:eastAsia="Times New Roman" w:cs="Arial"/>
          <w:sz w:val="24"/>
          <w:szCs w:val="24"/>
        </w:rPr>
      </w:pPr>
    </w:p>
    <w:p w14:paraId="49EE7836" w14:textId="24E180FE" w:rsidR="00E732FA" w:rsidRPr="003C7CB1" w:rsidRDefault="00E732FA" w:rsidP="00E732FA">
      <w:pPr>
        <w:spacing w:after="0" w:line="240" w:lineRule="auto"/>
        <w:jc w:val="center"/>
        <w:rPr>
          <w:rFonts w:eastAsia="Times New Roman" w:cs="Arial"/>
          <w:b/>
        </w:rPr>
      </w:pPr>
      <w:r w:rsidRPr="003C7CB1">
        <w:rPr>
          <w:rFonts w:eastAsia="Times New Roman" w:cs="Arial"/>
          <w:b/>
        </w:rPr>
        <w:t xml:space="preserve">Chart No. 8 </w:t>
      </w:r>
      <w:r w:rsidR="00E5613A">
        <w:rPr>
          <w:rFonts w:eastAsia="Times New Roman" w:cs="Arial"/>
          <w:b/>
        </w:rPr>
        <w:t>–</w:t>
      </w:r>
      <w:r w:rsidRPr="003C7CB1">
        <w:rPr>
          <w:rFonts w:eastAsia="Times New Roman" w:cs="Arial"/>
          <w:b/>
        </w:rPr>
        <w:t xml:space="preserve"> Touris</w:t>
      </w:r>
      <w:r w:rsidR="00E5613A">
        <w:rPr>
          <w:rFonts w:eastAsia="Times New Roman" w:cs="Arial"/>
          <w:b/>
        </w:rPr>
        <w:t>m turnover</w:t>
      </w:r>
      <w:r w:rsidRPr="003C7CB1">
        <w:rPr>
          <w:rFonts w:eastAsia="Times New Roman" w:cs="Arial"/>
          <w:b/>
        </w:rPr>
        <w:t xml:space="preserve"> (overnight stays) from distant emitting markets 2009-2019</w:t>
      </w:r>
    </w:p>
    <w:p w14:paraId="5C86912C" w14:textId="77777777" w:rsidR="00E732FA" w:rsidRPr="003C7CB1" w:rsidRDefault="00E732FA" w:rsidP="00E732FA">
      <w:pPr>
        <w:spacing w:after="0" w:line="240" w:lineRule="auto"/>
        <w:jc w:val="center"/>
        <w:rPr>
          <w:rFonts w:eastAsia="Times New Roman" w:cs="Arial"/>
          <w:b/>
        </w:rPr>
      </w:pPr>
    </w:p>
    <w:p w14:paraId="317C31DB" w14:textId="77777777" w:rsidR="00E732FA" w:rsidRPr="003C7CB1" w:rsidRDefault="00E732FA" w:rsidP="00E732FA">
      <w:pPr>
        <w:spacing w:after="0" w:line="240" w:lineRule="auto"/>
        <w:jc w:val="center"/>
        <w:rPr>
          <w:rFonts w:eastAsia="Times New Roman" w:cs="Arial"/>
          <w:sz w:val="24"/>
          <w:szCs w:val="24"/>
        </w:rPr>
      </w:pPr>
      <w:r w:rsidRPr="003C7CB1">
        <w:rPr>
          <w:noProof/>
        </w:rPr>
        <w:drawing>
          <wp:inline distT="0" distB="0" distL="0" distR="0" wp14:anchorId="36256B4F" wp14:editId="54928559">
            <wp:extent cx="5372100" cy="2743200"/>
            <wp:effectExtent l="0" t="0" r="0" b="0"/>
            <wp:docPr id="159" name="Chart 159">
              <a:extLst xmlns:a="http://schemas.openxmlformats.org/drawingml/2006/main">
                <a:ext uri="{FF2B5EF4-FFF2-40B4-BE49-F238E27FC236}">
                  <a16:creationId xmlns:a16="http://schemas.microsoft.com/office/drawing/2014/main" id="{0EAB5F1A-83FF-45FF-B59B-E5B24CDA5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91757B" w14:textId="77777777" w:rsidR="00E732FA" w:rsidRPr="003C7CB1" w:rsidRDefault="00E732FA" w:rsidP="00E732FA">
      <w:pPr>
        <w:spacing w:after="0" w:line="240" w:lineRule="auto"/>
        <w:jc w:val="both"/>
        <w:rPr>
          <w:rFonts w:eastAsia="Times New Roman" w:cs="Arial"/>
          <w:sz w:val="24"/>
          <w:szCs w:val="24"/>
        </w:rPr>
      </w:pPr>
    </w:p>
    <w:p w14:paraId="5B5497C5"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Therefore, due to its geographical position, Montenegro is a predominantly air destination, because it is far from important emitting markets, and it is important for its positioning as a tourist destination the introduction of direct airlines, scheduled, charter and low cost airlines to / from important emitting markets, throughout Europe, but also around the world.</w:t>
      </w:r>
      <w:r w:rsidRPr="003C7CB1">
        <w:t xml:space="preserve"> </w:t>
      </w:r>
      <w:r w:rsidRPr="003C7CB1">
        <w:rPr>
          <w:rFonts w:eastAsia="Times New Roman" w:cs="Arial"/>
          <w:sz w:val="24"/>
          <w:szCs w:val="24"/>
        </w:rPr>
        <w:t>In order to increase the number of direct airlines and the frequency of flights on certain routes to Montenegro, it is necessary to create incentive conditions for airline companies.</w:t>
      </w:r>
      <w:r w:rsidRPr="003C7CB1">
        <w:t xml:space="preserve"> </w:t>
      </w:r>
      <w:r w:rsidRPr="003C7CB1">
        <w:rPr>
          <w:rFonts w:eastAsia="Times New Roman" w:cs="Arial"/>
          <w:sz w:val="24"/>
          <w:szCs w:val="24"/>
        </w:rPr>
        <w:t xml:space="preserve">At the session of the Government of Montenegro held on December 9, 2021, a decision was adopted to improve the incentive scheme of Montenegrin airports by defining a list of 13 strategic routes, 10 routes between Podgorica and London, Paris, Rome, Brussels, Berlin, Stockholm, Milan, Barcelona, ​​Munich and Dortmund, as well as 3 strategic routes between </w:t>
      </w:r>
      <w:proofErr w:type="spellStart"/>
      <w:r w:rsidRPr="003C7CB1">
        <w:rPr>
          <w:rFonts w:eastAsia="Times New Roman" w:cs="Arial"/>
          <w:sz w:val="24"/>
          <w:szCs w:val="24"/>
        </w:rPr>
        <w:t>Tivat</w:t>
      </w:r>
      <w:proofErr w:type="spellEnd"/>
      <w:r w:rsidRPr="003C7CB1">
        <w:rPr>
          <w:rFonts w:eastAsia="Times New Roman" w:cs="Arial"/>
          <w:sz w:val="24"/>
          <w:szCs w:val="24"/>
        </w:rPr>
        <w:t xml:space="preserve"> and London, Manchester and Berlin.  </w:t>
      </w:r>
    </w:p>
    <w:p w14:paraId="574F4139" w14:textId="67C858CA"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Given that in 2021 air transport globally experienced a certain recovery compared to 2020</w:t>
      </w:r>
      <w:r w:rsidRPr="003C7CB1">
        <w:rPr>
          <w:rStyle w:val="FootnoteReference"/>
          <w:rFonts w:eastAsia="Times New Roman" w:cs="Arial"/>
          <w:sz w:val="24"/>
          <w:szCs w:val="24"/>
        </w:rPr>
        <w:footnoteReference w:id="21"/>
      </w:r>
      <w:r w:rsidRPr="003C7CB1">
        <w:rPr>
          <w:rFonts w:eastAsia="Times New Roman" w:cs="Arial"/>
          <w:sz w:val="24"/>
          <w:szCs w:val="24"/>
        </w:rPr>
        <w:t xml:space="preserve">, the expectation of the Montenegrin tourism industry is that during 2022 there will be a significant recovery in air transport, given the mass immunization of the population against the COVID-19 virus, and the opening of borders and facilitated movement with </w:t>
      </w:r>
      <w:proofErr w:type="spellStart"/>
      <w:r w:rsidR="003C7CB1" w:rsidRPr="003C7CB1">
        <w:rPr>
          <w:rFonts w:eastAsia="Times New Roman" w:cs="Arial"/>
          <w:sz w:val="24"/>
          <w:szCs w:val="24"/>
        </w:rPr>
        <w:t>Covid</w:t>
      </w:r>
      <w:proofErr w:type="spellEnd"/>
      <w:r w:rsidRPr="003C7CB1">
        <w:rPr>
          <w:rFonts w:eastAsia="Times New Roman" w:cs="Arial"/>
          <w:sz w:val="24"/>
          <w:szCs w:val="24"/>
        </w:rPr>
        <w:t xml:space="preserve"> certificates, which would return tourists from important emitting and well-paying markets in Europe and the world. </w:t>
      </w:r>
    </w:p>
    <w:p w14:paraId="16860DB0"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 xml:space="preserve">The issue of valorization of Podgorica and </w:t>
      </w:r>
      <w:proofErr w:type="spellStart"/>
      <w:r w:rsidRPr="003C7CB1">
        <w:rPr>
          <w:rFonts w:eastAsia="Times New Roman" w:cs="Arial"/>
          <w:sz w:val="24"/>
          <w:szCs w:val="24"/>
        </w:rPr>
        <w:t>Tivat</w:t>
      </w:r>
      <w:proofErr w:type="spellEnd"/>
      <w:r w:rsidRPr="003C7CB1">
        <w:rPr>
          <w:rFonts w:eastAsia="Times New Roman" w:cs="Arial"/>
          <w:sz w:val="24"/>
          <w:szCs w:val="24"/>
        </w:rPr>
        <w:t xml:space="preserve"> airports, i.e., the final commitment of the Government of Montenegro on the issue of concessions to airports, is also of great importance for the tourism sector</w:t>
      </w:r>
      <w:r w:rsidRPr="003C7CB1">
        <w:rPr>
          <w:rStyle w:val="FootnoteReference"/>
          <w:rFonts w:eastAsia="Times New Roman" w:cs="Arial"/>
          <w:sz w:val="24"/>
          <w:szCs w:val="24"/>
        </w:rPr>
        <w:footnoteReference w:id="22"/>
      </w:r>
      <w:r w:rsidRPr="003C7CB1">
        <w:rPr>
          <w:rFonts w:eastAsia="Times New Roman" w:cs="Arial"/>
          <w:sz w:val="24"/>
          <w:szCs w:val="24"/>
        </w:rPr>
        <w:t xml:space="preserve">. It is also expected that the newly established national airline Air Montenegro will improve the air connection of Montenegro with Europe. </w:t>
      </w:r>
    </w:p>
    <w:p w14:paraId="2FC7D495" w14:textId="77777777" w:rsidR="00E732FA" w:rsidRPr="003C7CB1" w:rsidRDefault="00E732FA" w:rsidP="00E732FA">
      <w:pPr>
        <w:spacing w:after="0" w:line="240" w:lineRule="auto"/>
        <w:jc w:val="both"/>
        <w:rPr>
          <w:rFonts w:eastAsia="Times New Roman" w:cs="Arial"/>
          <w:b/>
          <w:i/>
          <w:color w:val="2F5496" w:themeColor="accent1" w:themeShade="BF"/>
          <w:sz w:val="24"/>
          <w:szCs w:val="24"/>
        </w:rPr>
      </w:pPr>
    </w:p>
    <w:p w14:paraId="20332216" w14:textId="77777777" w:rsidR="00E732FA" w:rsidRPr="003C7CB1" w:rsidRDefault="00E732FA" w:rsidP="00E732FA">
      <w:pPr>
        <w:spacing w:after="0" w:line="240" w:lineRule="auto"/>
        <w:jc w:val="both"/>
        <w:rPr>
          <w:rFonts w:eastAsia="Times New Roman" w:cs="Arial"/>
          <w:b/>
          <w:i/>
          <w:color w:val="2F5496" w:themeColor="accent1" w:themeShade="BF"/>
          <w:sz w:val="24"/>
          <w:szCs w:val="24"/>
        </w:rPr>
      </w:pPr>
    </w:p>
    <w:p w14:paraId="64AF642E" w14:textId="77777777" w:rsidR="00E732FA" w:rsidRPr="003C7CB1" w:rsidRDefault="00E732FA" w:rsidP="00E732FA">
      <w:pPr>
        <w:pStyle w:val="Heading3"/>
        <w:rPr>
          <w:rFonts w:eastAsia="Times New Roman"/>
          <w:b/>
          <w:color w:val="2F5496" w:themeColor="accent1" w:themeShade="BF"/>
        </w:rPr>
      </w:pPr>
      <w:bookmarkStart w:id="40" w:name="_Toc91286160"/>
      <w:bookmarkStart w:id="41" w:name="_Toc95303002"/>
      <w:bookmarkStart w:id="42" w:name="_Toc102133793"/>
      <w:bookmarkStart w:id="43" w:name="_Toc104544177"/>
      <w:r w:rsidRPr="003C7CB1">
        <w:rPr>
          <w:rFonts w:eastAsia="Times New Roman"/>
          <w:b/>
          <w:color w:val="2F5496" w:themeColor="accent1" w:themeShade="BF"/>
        </w:rPr>
        <w:t xml:space="preserve">2.2.5. </w:t>
      </w:r>
      <w:bookmarkEnd w:id="40"/>
      <w:bookmarkEnd w:id="41"/>
      <w:r w:rsidRPr="003C7CB1">
        <w:rPr>
          <w:rFonts w:eastAsia="Times New Roman"/>
          <w:b/>
          <w:color w:val="2F5496" w:themeColor="accent1" w:themeShade="BF"/>
        </w:rPr>
        <w:t>Average stay of tourists</w:t>
      </w:r>
      <w:bookmarkEnd w:id="42"/>
      <w:bookmarkEnd w:id="43"/>
      <w:r w:rsidRPr="003C7CB1">
        <w:rPr>
          <w:rFonts w:eastAsia="Times New Roman"/>
          <w:b/>
          <w:color w:val="2F5496" w:themeColor="accent1" w:themeShade="BF"/>
        </w:rPr>
        <w:t xml:space="preserve">  </w:t>
      </w:r>
    </w:p>
    <w:p w14:paraId="37A32FC6" w14:textId="77777777" w:rsidR="00E732FA" w:rsidRPr="003C7CB1" w:rsidRDefault="00E732FA" w:rsidP="00E732FA">
      <w:pPr>
        <w:spacing w:after="0" w:line="240" w:lineRule="auto"/>
        <w:jc w:val="both"/>
        <w:rPr>
          <w:rFonts w:eastAsia="Times New Roman" w:cs="Arial"/>
          <w:sz w:val="24"/>
          <w:szCs w:val="24"/>
        </w:rPr>
      </w:pPr>
    </w:p>
    <w:p w14:paraId="0A6C8A76"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b/>
          <w:sz w:val="24"/>
          <w:szCs w:val="24"/>
        </w:rPr>
        <w:t xml:space="preserve">The average duration of stay of tourists </w:t>
      </w:r>
      <w:r w:rsidRPr="003C7CB1">
        <w:rPr>
          <w:rFonts w:eastAsia="Times New Roman" w:cs="Arial"/>
          <w:sz w:val="24"/>
          <w:szCs w:val="24"/>
        </w:rPr>
        <w:t xml:space="preserve">in Montenegro in 2009 was 6.25 days, while in 2019 it was 5.46 days (Chart no. 9).  </w:t>
      </w:r>
    </w:p>
    <w:p w14:paraId="010887F2" w14:textId="77777777" w:rsidR="00E732FA" w:rsidRPr="003C7CB1" w:rsidRDefault="00E732FA" w:rsidP="00E732FA">
      <w:pPr>
        <w:spacing w:after="120" w:line="240" w:lineRule="auto"/>
        <w:jc w:val="both"/>
        <w:rPr>
          <w:rFonts w:eastAsia="Times New Roman" w:cs="Arial"/>
          <w:sz w:val="24"/>
          <w:szCs w:val="24"/>
        </w:rPr>
      </w:pPr>
      <w:r w:rsidRPr="003C7CB1">
        <w:rPr>
          <w:rFonts w:eastAsia="Times New Roman" w:cs="Arial"/>
          <w:sz w:val="24"/>
          <w:szCs w:val="24"/>
        </w:rPr>
        <w:t>This trend of decreasing the average length of stay of tourists is the consequence of, on the one hand, more frequent but shorter intraregional trips, and on the other hand, the increasing presence of tourists from distant emitting markets, who want to visit as many destinations as possible</w:t>
      </w:r>
      <w:r w:rsidRPr="003C7CB1">
        <w:t xml:space="preserve"> </w:t>
      </w:r>
      <w:r w:rsidRPr="003C7CB1">
        <w:rPr>
          <w:rFonts w:eastAsia="Times New Roman" w:cs="Arial"/>
          <w:sz w:val="24"/>
          <w:szCs w:val="24"/>
        </w:rPr>
        <w:t xml:space="preserve">during one travel, so they spend a short amount of time on each destination.  Accordingly, the need for further strengthening of regional cooperation in order to develop joint cross-border tourism products can be stated.  </w:t>
      </w:r>
    </w:p>
    <w:p w14:paraId="3F53EF6F" w14:textId="77777777" w:rsidR="00E732FA" w:rsidRPr="003C7CB1" w:rsidRDefault="00E732FA" w:rsidP="00E732FA">
      <w:pPr>
        <w:spacing w:after="0" w:line="240" w:lineRule="auto"/>
        <w:jc w:val="both"/>
        <w:rPr>
          <w:rFonts w:eastAsia="Times New Roman" w:cs="Arial"/>
          <w:b/>
          <w:i/>
        </w:rPr>
      </w:pPr>
    </w:p>
    <w:p w14:paraId="121548B9" w14:textId="77777777" w:rsidR="00E732FA" w:rsidRPr="003C7CB1" w:rsidRDefault="00E732FA" w:rsidP="00E732FA">
      <w:pPr>
        <w:spacing w:after="0" w:line="240" w:lineRule="auto"/>
        <w:jc w:val="center"/>
        <w:rPr>
          <w:rFonts w:eastAsia="Times New Roman" w:cs="Arial"/>
          <w:b/>
        </w:rPr>
      </w:pPr>
      <w:r w:rsidRPr="003C7CB1">
        <w:rPr>
          <w:rFonts w:eastAsia="Times New Roman" w:cs="Arial"/>
          <w:b/>
        </w:rPr>
        <w:t xml:space="preserve">Chart no 9 - Overview of the average duration of stay of tourists in days, period 2009 – 2019  </w:t>
      </w:r>
      <w:r w:rsidRPr="003C7CB1">
        <w:rPr>
          <w:rFonts w:eastAsia="Times New Roman" w:cs="Arial"/>
          <w:b/>
          <w:noProof/>
        </w:rPr>
        <w:drawing>
          <wp:anchor distT="0" distB="0" distL="114300" distR="114300" simplePos="0" relativeHeight="251871744" behindDoc="0" locked="0" layoutInCell="1" allowOverlap="1" wp14:anchorId="14128465" wp14:editId="256DE119">
            <wp:simplePos x="0" y="0"/>
            <wp:positionH relativeFrom="margin">
              <wp:posOffset>187325</wp:posOffset>
            </wp:positionH>
            <wp:positionV relativeFrom="paragraph">
              <wp:posOffset>340995</wp:posOffset>
            </wp:positionV>
            <wp:extent cx="5513070" cy="2688590"/>
            <wp:effectExtent l="0" t="0" r="11430" b="16510"/>
            <wp:wrapSquare wrapText="bothSides"/>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5593A684" w14:textId="77777777" w:rsidR="00E732FA" w:rsidRPr="003C7CB1" w:rsidRDefault="00E732FA" w:rsidP="00E732FA">
      <w:pPr>
        <w:spacing w:after="0" w:line="240" w:lineRule="auto"/>
        <w:jc w:val="both"/>
        <w:rPr>
          <w:rFonts w:eastAsia="Times New Roman" w:cs="Arial"/>
          <w:i/>
          <w:sz w:val="20"/>
          <w:szCs w:val="20"/>
        </w:rPr>
      </w:pPr>
    </w:p>
    <w:p w14:paraId="1C67F078" w14:textId="77777777" w:rsidR="00E732FA" w:rsidRPr="003C7CB1" w:rsidRDefault="00E732FA" w:rsidP="00E732FA">
      <w:pPr>
        <w:spacing w:after="0" w:line="240" w:lineRule="auto"/>
        <w:rPr>
          <w:rFonts w:eastAsia="Times New Roman" w:cs="Arial"/>
          <w:sz w:val="20"/>
          <w:szCs w:val="20"/>
        </w:rPr>
      </w:pPr>
      <w:r w:rsidRPr="003C7CB1">
        <w:rPr>
          <w:rFonts w:eastAsia="Times New Roman" w:cs="Arial"/>
          <w:i/>
          <w:sz w:val="20"/>
          <w:szCs w:val="20"/>
        </w:rPr>
        <w:t xml:space="preserve">      Source: MONSTAT, edited by the Ministry of Economic Development </w:t>
      </w:r>
    </w:p>
    <w:p w14:paraId="5A80EF41" w14:textId="77777777" w:rsidR="00E732FA" w:rsidRPr="003C7CB1" w:rsidRDefault="00E732FA" w:rsidP="00E732FA">
      <w:pPr>
        <w:spacing w:after="0" w:line="240" w:lineRule="auto"/>
        <w:jc w:val="both"/>
        <w:rPr>
          <w:rFonts w:eastAsia="Times New Roman" w:cs="Arial"/>
          <w:i/>
          <w:sz w:val="24"/>
          <w:szCs w:val="24"/>
        </w:rPr>
      </w:pPr>
    </w:p>
    <w:p w14:paraId="1F676B47" w14:textId="7D8BDAFE" w:rsidR="00E732FA" w:rsidRPr="003C7CB1" w:rsidRDefault="00E732FA" w:rsidP="00E732FA">
      <w:pPr>
        <w:spacing w:after="0" w:line="240" w:lineRule="auto"/>
        <w:jc w:val="both"/>
        <w:rPr>
          <w:rFonts w:eastAsia="Times New Roman" w:cs="Arial"/>
          <w:iCs/>
          <w:sz w:val="24"/>
          <w:szCs w:val="24"/>
        </w:rPr>
      </w:pPr>
      <w:r w:rsidRPr="003C7CB1">
        <w:rPr>
          <w:rFonts w:eastAsia="Times New Roman" w:cs="Arial"/>
          <w:iCs/>
          <w:sz w:val="24"/>
          <w:szCs w:val="24"/>
        </w:rPr>
        <w:t xml:space="preserve">The analysis of the average tourist </w:t>
      </w:r>
      <w:r w:rsidR="00A904A4" w:rsidRPr="003C7CB1">
        <w:rPr>
          <w:rFonts w:eastAsia="Times New Roman" w:cs="Arial"/>
          <w:iCs/>
          <w:sz w:val="24"/>
          <w:szCs w:val="24"/>
        </w:rPr>
        <w:t>stays</w:t>
      </w:r>
      <w:r w:rsidRPr="003C7CB1">
        <w:rPr>
          <w:rFonts w:eastAsia="Times New Roman" w:cs="Arial"/>
          <w:iCs/>
          <w:sz w:val="24"/>
          <w:szCs w:val="24"/>
        </w:rPr>
        <w:t xml:space="preserve"> by municipalities (Chart no. 10), found that tourists stay the longest in Bar (9.54 days), </w:t>
      </w:r>
      <w:proofErr w:type="spellStart"/>
      <w:r w:rsidRPr="003C7CB1">
        <w:rPr>
          <w:rFonts w:eastAsia="Times New Roman" w:cs="Arial"/>
          <w:iCs/>
          <w:sz w:val="24"/>
          <w:szCs w:val="24"/>
        </w:rPr>
        <w:t>Plav</w:t>
      </w:r>
      <w:proofErr w:type="spellEnd"/>
      <w:r w:rsidRPr="003C7CB1">
        <w:rPr>
          <w:rFonts w:eastAsia="Times New Roman" w:cs="Arial"/>
          <w:iCs/>
          <w:sz w:val="24"/>
          <w:szCs w:val="24"/>
        </w:rPr>
        <w:t xml:space="preserve"> (8.74 days), Herceg Novi (8.11 days), </w:t>
      </w:r>
      <w:proofErr w:type="spellStart"/>
      <w:r w:rsidRPr="003C7CB1">
        <w:rPr>
          <w:rFonts w:eastAsia="Times New Roman" w:cs="Arial"/>
          <w:iCs/>
          <w:sz w:val="24"/>
          <w:szCs w:val="24"/>
        </w:rPr>
        <w:t>Tivat</w:t>
      </w:r>
      <w:proofErr w:type="spellEnd"/>
      <w:r w:rsidRPr="003C7CB1">
        <w:rPr>
          <w:rFonts w:eastAsia="Times New Roman" w:cs="Arial"/>
          <w:iCs/>
          <w:sz w:val="24"/>
          <w:szCs w:val="24"/>
        </w:rPr>
        <w:t xml:space="preserve"> (7.24 days) and Rožaje (5.76 days), all in close dependence on the offer (in Bar the tourist offer is based on the sea, lake and rural area) and the structure of guests (in Bar and </w:t>
      </w:r>
      <w:proofErr w:type="spellStart"/>
      <w:r w:rsidRPr="003C7CB1">
        <w:rPr>
          <w:rFonts w:eastAsia="Times New Roman" w:cs="Arial"/>
          <w:iCs/>
          <w:sz w:val="24"/>
          <w:szCs w:val="24"/>
        </w:rPr>
        <w:t>Plav</w:t>
      </w:r>
      <w:proofErr w:type="spellEnd"/>
      <w:r w:rsidRPr="003C7CB1">
        <w:rPr>
          <w:rFonts w:eastAsia="Times New Roman" w:cs="Arial"/>
          <w:iCs/>
          <w:sz w:val="24"/>
          <w:szCs w:val="24"/>
        </w:rPr>
        <w:t xml:space="preserve"> predominate guests from the diaspora whose stay is traditionally longer). All of the above points to the need for further intensive development of new innovative offers following modern trends in demand in the international tourism market in the direction of creating a unique experience for visitors.  </w:t>
      </w:r>
      <w:r w:rsidR="00765B94">
        <w:rPr>
          <w:rFonts w:cs="Arial"/>
          <w:sz w:val="24"/>
          <w:szCs w:val="24"/>
        </w:rPr>
        <w:t xml:space="preserve">                                                                                                   </w:t>
      </w:r>
    </w:p>
    <w:p w14:paraId="5D8B5463" w14:textId="77777777" w:rsidR="00E732FA" w:rsidRPr="003C7CB1" w:rsidRDefault="00E732FA" w:rsidP="00E732FA">
      <w:pPr>
        <w:spacing w:after="0" w:line="240" w:lineRule="auto"/>
        <w:jc w:val="both"/>
        <w:rPr>
          <w:rFonts w:eastAsia="Times New Roman" w:cs="Arial"/>
          <w:iCs/>
          <w:sz w:val="24"/>
          <w:szCs w:val="24"/>
        </w:rPr>
      </w:pPr>
    </w:p>
    <w:p w14:paraId="453152C0" w14:textId="77777777" w:rsidR="00E732FA" w:rsidRPr="003C7CB1" w:rsidRDefault="00E732FA" w:rsidP="00E732FA">
      <w:pPr>
        <w:spacing w:after="0" w:line="240" w:lineRule="auto"/>
        <w:jc w:val="both"/>
        <w:rPr>
          <w:rFonts w:eastAsia="Times New Roman" w:cs="Arial"/>
          <w:iCs/>
          <w:sz w:val="24"/>
          <w:szCs w:val="24"/>
        </w:rPr>
      </w:pPr>
    </w:p>
    <w:p w14:paraId="10406219" w14:textId="77777777" w:rsidR="00E732FA" w:rsidRPr="003C7CB1" w:rsidRDefault="00E732FA" w:rsidP="00E732FA">
      <w:pPr>
        <w:spacing w:after="0" w:line="240" w:lineRule="auto"/>
        <w:jc w:val="both"/>
        <w:rPr>
          <w:rFonts w:eastAsia="Times New Roman" w:cs="Arial"/>
          <w:iCs/>
          <w:sz w:val="24"/>
          <w:szCs w:val="24"/>
        </w:rPr>
      </w:pPr>
    </w:p>
    <w:p w14:paraId="11002477" w14:textId="77777777" w:rsidR="00E732FA" w:rsidRPr="003C7CB1" w:rsidRDefault="00E732FA" w:rsidP="00E732FA">
      <w:pPr>
        <w:spacing w:after="0" w:line="240" w:lineRule="auto"/>
        <w:jc w:val="both"/>
        <w:rPr>
          <w:rFonts w:eastAsia="Times New Roman" w:cs="Arial"/>
          <w:iCs/>
          <w:sz w:val="24"/>
          <w:szCs w:val="24"/>
        </w:rPr>
      </w:pPr>
    </w:p>
    <w:p w14:paraId="4D83925E" w14:textId="77777777" w:rsidR="00E732FA" w:rsidRPr="003C7CB1" w:rsidRDefault="00E732FA" w:rsidP="00E732FA">
      <w:pPr>
        <w:spacing w:after="0" w:line="240" w:lineRule="auto"/>
        <w:jc w:val="both"/>
        <w:rPr>
          <w:rFonts w:eastAsia="Times New Roman" w:cs="Arial"/>
          <w:iCs/>
          <w:sz w:val="24"/>
          <w:szCs w:val="24"/>
        </w:rPr>
      </w:pPr>
    </w:p>
    <w:p w14:paraId="4B92EF46" w14:textId="77777777" w:rsidR="00E732FA" w:rsidRPr="003C7CB1" w:rsidRDefault="00E732FA" w:rsidP="00E732FA">
      <w:pPr>
        <w:spacing w:after="0" w:line="240" w:lineRule="auto"/>
        <w:jc w:val="both"/>
        <w:rPr>
          <w:rFonts w:eastAsia="Times New Roman" w:cs="Arial"/>
          <w:iCs/>
          <w:sz w:val="24"/>
          <w:szCs w:val="24"/>
        </w:rPr>
      </w:pPr>
    </w:p>
    <w:p w14:paraId="5EF22313" w14:textId="77777777" w:rsidR="00E732FA" w:rsidRPr="003C7CB1" w:rsidRDefault="00E732FA" w:rsidP="00E732FA">
      <w:pPr>
        <w:spacing w:after="0" w:line="240" w:lineRule="auto"/>
        <w:jc w:val="both"/>
        <w:rPr>
          <w:rFonts w:eastAsia="Times New Roman" w:cs="Arial"/>
          <w:iCs/>
          <w:sz w:val="24"/>
          <w:szCs w:val="24"/>
        </w:rPr>
      </w:pPr>
    </w:p>
    <w:p w14:paraId="0A387728" w14:textId="77777777" w:rsidR="00E732FA" w:rsidRPr="003C7CB1" w:rsidRDefault="00E732FA" w:rsidP="00E732FA">
      <w:pPr>
        <w:spacing w:after="0" w:line="240" w:lineRule="auto"/>
        <w:jc w:val="both"/>
        <w:rPr>
          <w:rFonts w:eastAsia="Times New Roman" w:cs="Arial"/>
          <w:iCs/>
          <w:sz w:val="24"/>
          <w:szCs w:val="24"/>
        </w:rPr>
      </w:pPr>
    </w:p>
    <w:p w14:paraId="333FF88C" w14:textId="77777777" w:rsidR="00E732FA" w:rsidRPr="003C7CB1" w:rsidRDefault="00E732FA" w:rsidP="00E732FA">
      <w:pPr>
        <w:spacing w:after="0" w:line="240" w:lineRule="auto"/>
        <w:jc w:val="both"/>
        <w:rPr>
          <w:rFonts w:eastAsia="Times New Roman" w:cs="Arial"/>
          <w:iCs/>
          <w:sz w:val="24"/>
          <w:szCs w:val="24"/>
        </w:rPr>
      </w:pPr>
    </w:p>
    <w:p w14:paraId="382EE37C" w14:textId="77777777" w:rsidR="00E732FA" w:rsidRPr="003C7CB1" w:rsidRDefault="00E732FA" w:rsidP="00E732FA">
      <w:pPr>
        <w:spacing w:after="0" w:line="240" w:lineRule="auto"/>
        <w:jc w:val="both"/>
        <w:rPr>
          <w:rFonts w:eastAsia="Times New Roman" w:cs="Arial"/>
          <w:iCs/>
          <w:sz w:val="24"/>
          <w:szCs w:val="24"/>
        </w:rPr>
      </w:pPr>
    </w:p>
    <w:p w14:paraId="79D9D09A" w14:textId="77777777" w:rsidR="00E732FA" w:rsidRPr="003C7CB1" w:rsidRDefault="00E732FA" w:rsidP="00E732FA">
      <w:pPr>
        <w:spacing w:after="0" w:line="240" w:lineRule="auto"/>
        <w:jc w:val="center"/>
        <w:rPr>
          <w:rFonts w:eastAsia="Times New Roman" w:cs="Arial"/>
          <w:b/>
        </w:rPr>
      </w:pPr>
      <w:r w:rsidRPr="003C7CB1">
        <w:rPr>
          <w:rFonts w:eastAsia="Times New Roman" w:cs="Arial"/>
          <w:b/>
        </w:rPr>
        <w:t xml:space="preserve">Chart no. 10 - Average tourist stay in the number of days in 2019 </w:t>
      </w:r>
    </w:p>
    <w:p w14:paraId="3424ABDE" w14:textId="77777777" w:rsidR="00E732FA" w:rsidRPr="003C7CB1" w:rsidRDefault="00E732FA" w:rsidP="00E732FA">
      <w:pPr>
        <w:spacing w:after="0" w:line="240" w:lineRule="auto"/>
        <w:jc w:val="center"/>
        <w:rPr>
          <w:rFonts w:eastAsia="Times New Roman" w:cs="Arial"/>
          <w:b/>
        </w:rPr>
      </w:pPr>
    </w:p>
    <w:p w14:paraId="7DE22A4D" w14:textId="77777777" w:rsidR="00E732FA" w:rsidRPr="003C7CB1" w:rsidRDefault="00E732FA" w:rsidP="00E732FA">
      <w:pPr>
        <w:spacing w:after="0" w:line="240" w:lineRule="auto"/>
        <w:jc w:val="center"/>
        <w:rPr>
          <w:rFonts w:eastAsia="Times New Roman" w:cs="Arial"/>
          <w:i/>
          <w:sz w:val="24"/>
          <w:szCs w:val="24"/>
          <w:lang w:eastAsia="sr-Latn-ME"/>
        </w:rPr>
      </w:pPr>
      <w:r w:rsidRPr="003C7CB1">
        <w:rPr>
          <w:noProof/>
        </w:rPr>
        <w:drawing>
          <wp:inline distT="0" distB="0" distL="0" distR="0" wp14:anchorId="03613DB9" wp14:editId="44899A2E">
            <wp:extent cx="4650923" cy="166297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50923" cy="1662976"/>
                    </a:xfrm>
                    <a:prstGeom prst="rect">
                      <a:avLst/>
                    </a:prstGeom>
                    <a:noFill/>
                    <a:ln>
                      <a:noFill/>
                    </a:ln>
                  </pic:spPr>
                </pic:pic>
              </a:graphicData>
            </a:graphic>
          </wp:inline>
        </w:drawing>
      </w:r>
    </w:p>
    <w:p w14:paraId="687DD730" w14:textId="77777777" w:rsidR="00E732FA" w:rsidRPr="003C7CB1" w:rsidRDefault="00E732FA" w:rsidP="00E732FA">
      <w:pPr>
        <w:spacing w:after="0" w:line="240" w:lineRule="auto"/>
        <w:rPr>
          <w:rFonts w:eastAsia="Times New Roman" w:cs="Arial"/>
          <w:i/>
          <w:sz w:val="20"/>
          <w:szCs w:val="20"/>
        </w:rPr>
      </w:pPr>
      <w:r w:rsidRPr="003C7CB1">
        <w:rPr>
          <w:rFonts w:eastAsia="Times New Roman" w:cs="Arial"/>
          <w:i/>
          <w:sz w:val="20"/>
          <w:szCs w:val="20"/>
        </w:rPr>
        <w:t xml:space="preserve">                    Source: MONSTAT, edited by the Ministry of Economic Development</w:t>
      </w:r>
      <w:bookmarkStart w:id="44" w:name="_Toc91286161"/>
    </w:p>
    <w:p w14:paraId="3EB53929" w14:textId="77777777" w:rsidR="00E732FA" w:rsidRPr="003C7CB1" w:rsidRDefault="00E732FA" w:rsidP="00E732FA">
      <w:pPr>
        <w:spacing w:after="0" w:line="240" w:lineRule="auto"/>
        <w:jc w:val="both"/>
        <w:rPr>
          <w:rFonts w:eastAsia="Times New Roman" w:cs="Arial"/>
          <w:i/>
          <w:sz w:val="20"/>
          <w:szCs w:val="20"/>
        </w:rPr>
      </w:pPr>
    </w:p>
    <w:p w14:paraId="495EA2E0" w14:textId="77777777" w:rsidR="00E732FA" w:rsidRPr="003C7CB1" w:rsidRDefault="00E732FA" w:rsidP="00E732FA">
      <w:pPr>
        <w:spacing w:after="0" w:line="240" w:lineRule="auto"/>
        <w:jc w:val="both"/>
        <w:rPr>
          <w:rFonts w:eastAsia="Times New Roman" w:cs="Arial"/>
          <w:i/>
          <w:sz w:val="20"/>
          <w:szCs w:val="20"/>
        </w:rPr>
      </w:pPr>
    </w:p>
    <w:p w14:paraId="4E9B4211" w14:textId="77777777" w:rsidR="00E732FA" w:rsidRPr="003C7CB1" w:rsidRDefault="00E732FA" w:rsidP="00E732FA">
      <w:pPr>
        <w:pStyle w:val="Heading3"/>
        <w:spacing w:before="0" w:after="120" w:line="276" w:lineRule="auto"/>
        <w:ind w:left="720"/>
        <w:rPr>
          <w:b/>
          <w:color w:val="2F5496" w:themeColor="accent1" w:themeShade="BF"/>
        </w:rPr>
      </w:pPr>
      <w:bookmarkStart w:id="45" w:name="_Toc95303003"/>
      <w:bookmarkStart w:id="46" w:name="_Toc102133794"/>
      <w:bookmarkStart w:id="47" w:name="_Toc104544178"/>
      <w:r w:rsidRPr="003C7CB1">
        <w:rPr>
          <w:b/>
          <w:color w:val="2F5496" w:themeColor="accent1" w:themeShade="BF"/>
        </w:rPr>
        <w:t xml:space="preserve">2.2.6. </w:t>
      </w:r>
      <w:bookmarkEnd w:id="44"/>
      <w:bookmarkEnd w:id="45"/>
      <w:r w:rsidRPr="003C7CB1">
        <w:rPr>
          <w:b/>
          <w:color w:val="2F5496" w:themeColor="accent1" w:themeShade="BF"/>
        </w:rPr>
        <w:t>Accommodation capacities, collective and individual accommodation</w:t>
      </w:r>
      <w:bookmarkEnd w:id="46"/>
      <w:bookmarkEnd w:id="47"/>
      <w:r w:rsidRPr="003C7CB1">
        <w:rPr>
          <w:b/>
          <w:color w:val="2F5496" w:themeColor="accent1" w:themeShade="BF"/>
        </w:rPr>
        <w:t xml:space="preserve"> </w:t>
      </w:r>
    </w:p>
    <w:p w14:paraId="35426616" w14:textId="77777777" w:rsidR="00E732FA" w:rsidRPr="003C7CB1" w:rsidRDefault="00E732FA" w:rsidP="00E732FA">
      <w:pPr>
        <w:tabs>
          <w:tab w:val="left" w:pos="3084"/>
        </w:tabs>
        <w:spacing w:after="120" w:line="240" w:lineRule="auto"/>
        <w:jc w:val="both"/>
        <w:rPr>
          <w:rFonts w:cstheme="minorHAnsi"/>
          <w:sz w:val="24"/>
          <w:szCs w:val="24"/>
        </w:rPr>
      </w:pPr>
      <w:r w:rsidRPr="003C7CB1">
        <w:rPr>
          <w:rFonts w:cstheme="minorHAnsi"/>
          <w:sz w:val="24"/>
          <w:szCs w:val="24"/>
        </w:rPr>
        <w:t xml:space="preserve">According to official data, the number of </w:t>
      </w:r>
      <w:r w:rsidRPr="003C7CB1">
        <w:rPr>
          <w:rFonts w:cstheme="minorHAnsi"/>
          <w:b/>
          <w:sz w:val="24"/>
          <w:szCs w:val="24"/>
        </w:rPr>
        <w:t>accommodation capacities in hotels</w:t>
      </w:r>
      <w:r w:rsidRPr="003C7CB1">
        <w:rPr>
          <w:rFonts w:cstheme="minorHAnsi"/>
          <w:sz w:val="24"/>
          <w:szCs w:val="24"/>
        </w:rPr>
        <w:t xml:space="preserve"> in Montenegro has increased over the past decade as the most important segment of the accommodation offer. Specifically, in 2010 there were 309 registered hotels and similar facilities (collective accommodation), and in 2019 there were 406 facilities, which represents an increase of 30.8% (Table no. 6).  If we compare 2017 and 2019, there is an increase of 8.9% in accommodation capacities in collective accommodation (since 2017 MONSTAT publishes data only for collective accommodation according to the new methodology): </w:t>
      </w:r>
    </w:p>
    <w:p w14:paraId="4F5320A6" w14:textId="77777777" w:rsidR="00E732FA" w:rsidRPr="003C7CB1" w:rsidRDefault="00E732FA" w:rsidP="00E732FA">
      <w:pPr>
        <w:spacing w:after="120"/>
        <w:jc w:val="center"/>
        <w:rPr>
          <w:rFonts w:cstheme="minorHAnsi"/>
          <w:b/>
          <w:bCs/>
        </w:rPr>
      </w:pPr>
      <w:r w:rsidRPr="003C7CB1">
        <w:rPr>
          <w:rFonts w:cstheme="minorHAnsi"/>
          <w:b/>
        </w:rPr>
        <w:t xml:space="preserve">Table no. 6 - Capacities in collective accommodation 2019* </w:t>
      </w:r>
    </w:p>
    <w:tbl>
      <w:tblPr>
        <w:tblStyle w:val="GridTable5Dark-Accent11"/>
        <w:tblW w:w="5183" w:type="pct"/>
        <w:jc w:val="center"/>
        <w:tblLook w:val="04A0" w:firstRow="1" w:lastRow="0" w:firstColumn="1" w:lastColumn="0" w:noHBand="0" w:noVBand="1"/>
      </w:tblPr>
      <w:tblGrid>
        <w:gridCol w:w="1839"/>
        <w:gridCol w:w="839"/>
        <w:gridCol w:w="1428"/>
        <w:gridCol w:w="730"/>
        <w:gridCol w:w="912"/>
        <w:gridCol w:w="684"/>
        <w:gridCol w:w="829"/>
        <w:gridCol w:w="1048"/>
        <w:gridCol w:w="1038"/>
      </w:tblGrid>
      <w:tr w:rsidR="00E732FA" w:rsidRPr="003C7CB1" w14:paraId="3615C62B" w14:textId="77777777" w:rsidTr="00E732FA">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hideMark/>
          </w:tcPr>
          <w:p w14:paraId="43186529"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 xml:space="preserve">Accommodation categories </w:t>
            </w:r>
          </w:p>
        </w:tc>
        <w:tc>
          <w:tcPr>
            <w:tcW w:w="529" w:type="pct"/>
            <w:shd w:val="clear" w:color="auto" w:fill="FBE4D5" w:themeFill="accent2" w:themeFillTint="33"/>
            <w:hideMark/>
          </w:tcPr>
          <w:p w14:paraId="19ED9C1B"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 xml:space="preserve">Number of facilities </w:t>
            </w:r>
          </w:p>
        </w:tc>
        <w:tc>
          <w:tcPr>
            <w:tcW w:w="482" w:type="pct"/>
            <w:shd w:val="clear" w:color="auto" w:fill="FBE4D5" w:themeFill="accent2" w:themeFillTint="33"/>
            <w:hideMark/>
          </w:tcPr>
          <w:p w14:paraId="4B8A72DA"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Number of accommodation units</w:t>
            </w:r>
          </w:p>
        </w:tc>
        <w:tc>
          <w:tcPr>
            <w:tcW w:w="432" w:type="pct"/>
            <w:shd w:val="clear" w:color="auto" w:fill="FBE4D5" w:themeFill="accent2" w:themeFillTint="33"/>
            <w:hideMark/>
          </w:tcPr>
          <w:p w14:paraId="1964F422"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Rooms</w:t>
            </w:r>
          </w:p>
        </w:tc>
        <w:tc>
          <w:tcPr>
            <w:tcW w:w="618" w:type="pct"/>
            <w:shd w:val="clear" w:color="auto" w:fill="FBE4D5" w:themeFill="accent2" w:themeFillTint="33"/>
            <w:hideMark/>
          </w:tcPr>
          <w:p w14:paraId="50F67526"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Suites</w:t>
            </w:r>
          </w:p>
        </w:tc>
        <w:tc>
          <w:tcPr>
            <w:tcW w:w="434" w:type="pct"/>
            <w:shd w:val="clear" w:color="auto" w:fill="FBE4D5" w:themeFill="accent2" w:themeFillTint="33"/>
            <w:hideMark/>
          </w:tcPr>
          <w:p w14:paraId="19F90082"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Camp places</w:t>
            </w:r>
          </w:p>
        </w:tc>
        <w:tc>
          <w:tcPr>
            <w:tcW w:w="473" w:type="pct"/>
            <w:shd w:val="clear" w:color="auto" w:fill="FBE4D5" w:themeFill="accent2" w:themeFillTint="33"/>
            <w:hideMark/>
          </w:tcPr>
          <w:p w14:paraId="00953C91"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 xml:space="preserve">Number of beds </w:t>
            </w:r>
          </w:p>
        </w:tc>
        <w:tc>
          <w:tcPr>
            <w:tcW w:w="432" w:type="pct"/>
            <w:shd w:val="clear" w:color="auto" w:fill="FBE4D5" w:themeFill="accent2" w:themeFillTint="33"/>
            <w:hideMark/>
          </w:tcPr>
          <w:p w14:paraId="78414922"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 xml:space="preserve">Permanent </w:t>
            </w:r>
          </w:p>
        </w:tc>
        <w:tc>
          <w:tcPr>
            <w:tcW w:w="527" w:type="pct"/>
            <w:shd w:val="clear" w:color="auto" w:fill="FBE4D5" w:themeFill="accent2" w:themeFillTint="33"/>
            <w:hideMark/>
          </w:tcPr>
          <w:p w14:paraId="7B9FA1F9" w14:textId="77777777" w:rsidR="00E732FA" w:rsidRPr="003C7CB1" w:rsidRDefault="00E732FA" w:rsidP="00E732FA">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 xml:space="preserve">Temporary </w:t>
            </w:r>
          </w:p>
        </w:tc>
      </w:tr>
      <w:tr w:rsidR="00E732FA" w:rsidRPr="003C7CB1" w14:paraId="49698F04"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7C602B12"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MONTENEGRO 2019</w:t>
            </w:r>
          </w:p>
        </w:tc>
        <w:tc>
          <w:tcPr>
            <w:tcW w:w="529" w:type="pct"/>
            <w:noWrap/>
            <w:hideMark/>
          </w:tcPr>
          <w:p w14:paraId="10614E5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406</w:t>
            </w:r>
          </w:p>
        </w:tc>
        <w:tc>
          <w:tcPr>
            <w:tcW w:w="482" w:type="pct"/>
            <w:noWrap/>
            <w:hideMark/>
          </w:tcPr>
          <w:p w14:paraId="00085DA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20,882</w:t>
            </w:r>
          </w:p>
        </w:tc>
        <w:tc>
          <w:tcPr>
            <w:tcW w:w="432" w:type="pct"/>
            <w:noWrap/>
            <w:hideMark/>
          </w:tcPr>
          <w:p w14:paraId="5BFE23B7"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17,329</w:t>
            </w:r>
          </w:p>
        </w:tc>
        <w:tc>
          <w:tcPr>
            <w:tcW w:w="618" w:type="pct"/>
            <w:noWrap/>
            <w:hideMark/>
          </w:tcPr>
          <w:p w14:paraId="3FACFEF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2,635</w:t>
            </w:r>
          </w:p>
        </w:tc>
        <w:tc>
          <w:tcPr>
            <w:tcW w:w="434" w:type="pct"/>
            <w:noWrap/>
            <w:hideMark/>
          </w:tcPr>
          <w:p w14:paraId="6ABE4F4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918</w:t>
            </w:r>
          </w:p>
        </w:tc>
        <w:tc>
          <w:tcPr>
            <w:tcW w:w="473" w:type="pct"/>
            <w:noWrap/>
          </w:tcPr>
          <w:p w14:paraId="21F33E5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48,837</w:t>
            </w:r>
          </w:p>
        </w:tc>
        <w:tc>
          <w:tcPr>
            <w:tcW w:w="432" w:type="pct"/>
            <w:noWrap/>
          </w:tcPr>
          <w:p w14:paraId="0BAA6AC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44,783</w:t>
            </w:r>
          </w:p>
        </w:tc>
        <w:tc>
          <w:tcPr>
            <w:tcW w:w="527" w:type="pct"/>
            <w:noWrap/>
          </w:tcPr>
          <w:p w14:paraId="23CEA3A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4,054</w:t>
            </w:r>
          </w:p>
        </w:tc>
      </w:tr>
      <w:tr w:rsidR="00E732FA" w:rsidRPr="003C7CB1" w14:paraId="5A29E207" w14:textId="77777777" w:rsidTr="00E732FA">
        <w:trPr>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tcPr>
          <w:p w14:paraId="71A0799F"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MONTENEGRO 2017</w:t>
            </w:r>
          </w:p>
        </w:tc>
        <w:tc>
          <w:tcPr>
            <w:tcW w:w="529" w:type="pct"/>
            <w:noWrap/>
          </w:tcPr>
          <w:p w14:paraId="3466BB8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370</w:t>
            </w:r>
          </w:p>
        </w:tc>
        <w:tc>
          <w:tcPr>
            <w:tcW w:w="482" w:type="pct"/>
            <w:noWrap/>
          </w:tcPr>
          <w:p w14:paraId="6435F48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19,112</w:t>
            </w:r>
          </w:p>
        </w:tc>
        <w:tc>
          <w:tcPr>
            <w:tcW w:w="432" w:type="pct"/>
            <w:noWrap/>
          </w:tcPr>
          <w:p w14:paraId="04F3A76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15,829</w:t>
            </w:r>
          </w:p>
        </w:tc>
        <w:tc>
          <w:tcPr>
            <w:tcW w:w="618" w:type="pct"/>
            <w:noWrap/>
          </w:tcPr>
          <w:p w14:paraId="12690C2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2,491</w:t>
            </w:r>
          </w:p>
        </w:tc>
        <w:tc>
          <w:tcPr>
            <w:tcW w:w="434" w:type="pct"/>
            <w:noWrap/>
          </w:tcPr>
          <w:p w14:paraId="63032A4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792</w:t>
            </w:r>
          </w:p>
        </w:tc>
        <w:tc>
          <w:tcPr>
            <w:tcW w:w="473" w:type="pct"/>
            <w:noWrap/>
          </w:tcPr>
          <w:p w14:paraId="0B7A9D6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45,964</w:t>
            </w:r>
          </w:p>
        </w:tc>
        <w:tc>
          <w:tcPr>
            <w:tcW w:w="432" w:type="pct"/>
            <w:noWrap/>
          </w:tcPr>
          <w:p w14:paraId="79F5FCB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43,061</w:t>
            </w:r>
          </w:p>
        </w:tc>
        <w:tc>
          <w:tcPr>
            <w:tcW w:w="527" w:type="pct"/>
            <w:noWrap/>
          </w:tcPr>
          <w:p w14:paraId="6CECF96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18"/>
                <w:szCs w:val="18"/>
              </w:rPr>
            </w:pPr>
            <w:r w:rsidRPr="003C7CB1">
              <w:rPr>
                <w:rFonts w:cstheme="minorHAnsi"/>
                <w:b/>
                <w:bCs/>
                <w:color w:val="000000" w:themeColor="text1"/>
                <w:sz w:val="18"/>
                <w:szCs w:val="18"/>
              </w:rPr>
              <w:t>2,903</w:t>
            </w:r>
          </w:p>
        </w:tc>
      </w:tr>
      <w:tr w:rsidR="00E732FA" w:rsidRPr="003C7CB1" w14:paraId="6F14E25A"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FF2CC" w:themeFill="accent4" w:themeFillTint="33"/>
            <w:noWrap/>
          </w:tcPr>
          <w:p w14:paraId="13D10422"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p>
        </w:tc>
        <w:tc>
          <w:tcPr>
            <w:tcW w:w="3927" w:type="pct"/>
            <w:gridSpan w:val="8"/>
            <w:shd w:val="clear" w:color="auto" w:fill="FFF2CC" w:themeFill="accent4" w:themeFillTint="33"/>
            <w:noWrap/>
          </w:tcPr>
          <w:p w14:paraId="54983ACE" w14:textId="77777777" w:rsidR="00E732FA" w:rsidRPr="003C7CB1" w:rsidRDefault="00E732FA" w:rsidP="00E732FA">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FE007F"/>
                <w:sz w:val="18"/>
                <w:szCs w:val="18"/>
                <w:u w:val="single"/>
              </w:rPr>
            </w:pPr>
            <w:r w:rsidRPr="003C7CB1">
              <w:rPr>
                <w:rFonts w:cstheme="minorHAnsi"/>
                <w:b/>
                <w:bCs/>
                <w:color w:val="000000" w:themeColor="text1"/>
                <w:sz w:val="18"/>
                <w:szCs w:val="18"/>
                <w:u w:val="single"/>
              </w:rPr>
              <w:t>2019</w:t>
            </w:r>
          </w:p>
        </w:tc>
      </w:tr>
      <w:tr w:rsidR="00E732FA" w:rsidRPr="003C7CB1" w14:paraId="06C68F3E" w14:textId="77777777" w:rsidTr="00E732FA">
        <w:trPr>
          <w:trHeight w:val="160"/>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F3C77A8"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Apart hotel</w:t>
            </w:r>
          </w:p>
        </w:tc>
        <w:tc>
          <w:tcPr>
            <w:tcW w:w="529" w:type="pct"/>
            <w:noWrap/>
            <w:hideMark/>
          </w:tcPr>
          <w:p w14:paraId="1DC71D4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10</w:t>
            </w:r>
          </w:p>
        </w:tc>
        <w:tc>
          <w:tcPr>
            <w:tcW w:w="482" w:type="pct"/>
            <w:noWrap/>
            <w:hideMark/>
          </w:tcPr>
          <w:p w14:paraId="7ABC18C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385</w:t>
            </w:r>
          </w:p>
        </w:tc>
        <w:tc>
          <w:tcPr>
            <w:tcW w:w="432" w:type="pct"/>
            <w:noWrap/>
            <w:hideMark/>
          </w:tcPr>
          <w:p w14:paraId="1D100D5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251</w:t>
            </w:r>
          </w:p>
        </w:tc>
        <w:tc>
          <w:tcPr>
            <w:tcW w:w="618" w:type="pct"/>
            <w:noWrap/>
            <w:hideMark/>
          </w:tcPr>
          <w:p w14:paraId="0BDBDA1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134</w:t>
            </w:r>
          </w:p>
        </w:tc>
        <w:tc>
          <w:tcPr>
            <w:tcW w:w="434" w:type="pct"/>
            <w:noWrap/>
            <w:hideMark/>
          </w:tcPr>
          <w:p w14:paraId="0C4A229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p>
        </w:tc>
        <w:tc>
          <w:tcPr>
            <w:tcW w:w="473" w:type="pct"/>
            <w:noWrap/>
          </w:tcPr>
          <w:p w14:paraId="131C940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1,166</w:t>
            </w:r>
          </w:p>
        </w:tc>
        <w:tc>
          <w:tcPr>
            <w:tcW w:w="432" w:type="pct"/>
            <w:noWrap/>
          </w:tcPr>
          <w:p w14:paraId="4A66ABD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1,020</w:t>
            </w:r>
          </w:p>
        </w:tc>
        <w:tc>
          <w:tcPr>
            <w:tcW w:w="527" w:type="pct"/>
            <w:noWrap/>
          </w:tcPr>
          <w:p w14:paraId="5FDB9A9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146</w:t>
            </w:r>
          </w:p>
        </w:tc>
      </w:tr>
      <w:tr w:rsidR="00E732FA" w:rsidRPr="003C7CB1" w14:paraId="5FCC95F9"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A71DEB8"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One star *</w:t>
            </w:r>
          </w:p>
        </w:tc>
        <w:tc>
          <w:tcPr>
            <w:tcW w:w="529" w:type="pct"/>
            <w:noWrap/>
            <w:hideMark/>
          </w:tcPr>
          <w:p w14:paraId="4D79FE3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82" w:type="pct"/>
            <w:noWrap/>
            <w:hideMark/>
          </w:tcPr>
          <w:p w14:paraId="5C1AD88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142</w:t>
            </w:r>
          </w:p>
        </w:tc>
        <w:tc>
          <w:tcPr>
            <w:tcW w:w="432" w:type="pct"/>
            <w:noWrap/>
            <w:hideMark/>
          </w:tcPr>
          <w:p w14:paraId="0CF27F2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142</w:t>
            </w:r>
          </w:p>
        </w:tc>
        <w:tc>
          <w:tcPr>
            <w:tcW w:w="618" w:type="pct"/>
            <w:noWrap/>
            <w:hideMark/>
          </w:tcPr>
          <w:p w14:paraId="4E03C9A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34" w:type="pct"/>
            <w:noWrap/>
            <w:hideMark/>
          </w:tcPr>
          <w:p w14:paraId="025C4CD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29FC6B8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415</w:t>
            </w:r>
          </w:p>
        </w:tc>
        <w:tc>
          <w:tcPr>
            <w:tcW w:w="432" w:type="pct"/>
            <w:noWrap/>
          </w:tcPr>
          <w:p w14:paraId="53B7212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404</w:t>
            </w:r>
          </w:p>
        </w:tc>
        <w:tc>
          <w:tcPr>
            <w:tcW w:w="527" w:type="pct"/>
            <w:noWrap/>
          </w:tcPr>
          <w:p w14:paraId="338065C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w:t>
            </w:r>
          </w:p>
        </w:tc>
      </w:tr>
      <w:tr w:rsidR="00E732FA" w:rsidRPr="003C7CB1" w14:paraId="0AE07564" w14:textId="77777777" w:rsidTr="00E732FA">
        <w:trPr>
          <w:trHeight w:val="153"/>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46A24AC5"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5B1B552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w:t>
            </w:r>
          </w:p>
        </w:tc>
        <w:tc>
          <w:tcPr>
            <w:tcW w:w="482" w:type="pct"/>
            <w:noWrap/>
            <w:hideMark/>
          </w:tcPr>
          <w:p w14:paraId="429FE25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25</w:t>
            </w:r>
          </w:p>
        </w:tc>
        <w:tc>
          <w:tcPr>
            <w:tcW w:w="432" w:type="pct"/>
            <w:noWrap/>
            <w:hideMark/>
          </w:tcPr>
          <w:p w14:paraId="0AB9E2A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w:t>
            </w:r>
          </w:p>
        </w:tc>
        <w:tc>
          <w:tcPr>
            <w:tcW w:w="618" w:type="pct"/>
            <w:noWrap/>
            <w:hideMark/>
          </w:tcPr>
          <w:p w14:paraId="1839782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21</w:t>
            </w:r>
          </w:p>
        </w:tc>
        <w:tc>
          <w:tcPr>
            <w:tcW w:w="434" w:type="pct"/>
            <w:noWrap/>
            <w:hideMark/>
          </w:tcPr>
          <w:p w14:paraId="6FC3A60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3FC4E19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86</w:t>
            </w:r>
          </w:p>
        </w:tc>
        <w:tc>
          <w:tcPr>
            <w:tcW w:w="432" w:type="pct"/>
            <w:noWrap/>
          </w:tcPr>
          <w:p w14:paraId="7F0F145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74</w:t>
            </w:r>
          </w:p>
        </w:tc>
        <w:tc>
          <w:tcPr>
            <w:tcW w:w="527" w:type="pct"/>
            <w:noWrap/>
          </w:tcPr>
          <w:p w14:paraId="008BB66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12</w:t>
            </w:r>
          </w:p>
        </w:tc>
      </w:tr>
      <w:tr w:rsidR="00E732FA" w:rsidRPr="003C7CB1" w14:paraId="0BA35A45" w14:textId="77777777" w:rsidTr="00E732FA">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6004421D"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1E692E23"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w:t>
            </w:r>
          </w:p>
        </w:tc>
        <w:tc>
          <w:tcPr>
            <w:tcW w:w="482" w:type="pct"/>
            <w:noWrap/>
            <w:hideMark/>
          </w:tcPr>
          <w:p w14:paraId="441BBD8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218</w:t>
            </w:r>
          </w:p>
        </w:tc>
        <w:tc>
          <w:tcPr>
            <w:tcW w:w="432" w:type="pct"/>
            <w:noWrap/>
            <w:hideMark/>
          </w:tcPr>
          <w:p w14:paraId="77436C9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105</w:t>
            </w:r>
          </w:p>
        </w:tc>
        <w:tc>
          <w:tcPr>
            <w:tcW w:w="618" w:type="pct"/>
            <w:noWrap/>
            <w:hideMark/>
          </w:tcPr>
          <w:p w14:paraId="70AAAB2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113</w:t>
            </w:r>
          </w:p>
        </w:tc>
        <w:tc>
          <w:tcPr>
            <w:tcW w:w="434" w:type="pct"/>
            <w:noWrap/>
            <w:hideMark/>
          </w:tcPr>
          <w:p w14:paraId="5E76167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7349D9A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665</w:t>
            </w:r>
          </w:p>
        </w:tc>
        <w:tc>
          <w:tcPr>
            <w:tcW w:w="432" w:type="pct"/>
            <w:noWrap/>
          </w:tcPr>
          <w:p w14:paraId="7330D65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542</w:t>
            </w:r>
          </w:p>
        </w:tc>
        <w:tc>
          <w:tcPr>
            <w:tcW w:w="527" w:type="pct"/>
            <w:noWrap/>
          </w:tcPr>
          <w:p w14:paraId="339C3B8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123</w:t>
            </w:r>
          </w:p>
        </w:tc>
      </w:tr>
      <w:tr w:rsidR="00E732FA" w:rsidRPr="003C7CB1" w14:paraId="6FCBEC22" w14:textId="77777777" w:rsidTr="00E732FA">
        <w:trPr>
          <w:trHeight w:val="146"/>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14CAC875"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Boutique hotel</w:t>
            </w:r>
          </w:p>
        </w:tc>
        <w:tc>
          <w:tcPr>
            <w:tcW w:w="529" w:type="pct"/>
            <w:noWrap/>
            <w:hideMark/>
          </w:tcPr>
          <w:p w14:paraId="4278FD9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13</w:t>
            </w:r>
          </w:p>
        </w:tc>
        <w:tc>
          <w:tcPr>
            <w:tcW w:w="482" w:type="pct"/>
            <w:noWrap/>
            <w:hideMark/>
          </w:tcPr>
          <w:p w14:paraId="36A5F9A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255</w:t>
            </w:r>
          </w:p>
        </w:tc>
        <w:tc>
          <w:tcPr>
            <w:tcW w:w="432" w:type="pct"/>
            <w:noWrap/>
            <w:hideMark/>
          </w:tcPr>
          <w:p w14:paraId="1866528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161</w:t>
            </w:r>
          </w:p>
        </w:tc>
        <w:tc>
          <w:tcPr>
            <w:tcW w:w="618" w:type="pct"/>
            <w:noWrap/>
            <w:hideMark/>
          </w:tcPr>
          <w:p w14:paraId="2879ECD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94</w:t>
            </w:r>
          </w:p>
        </w:tc>
        <w:tc>
          <w:tcPr>
            <w:tcW w:w="434" w:type="pct"/>
            <w:noWrap/>
            <w:hideMark/>
          </w:tcPr>
          <w:p w14:paraId="688023C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p>
        </w:tc>
        <w:tc>
          <w:tcPr>
            <w:tcW w:w="473" w:type="pct"/>
            <w:noWrap/>
          </w:tcPr>
          <w:p w14:paraId="16EABA6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447</w:t>
            </w:r>
          </w:p>
        </w:tc>
        <w:tc>
          <w:tcPr>
            <w:tcW w:w="432" w:type="pct"/>
            <w:noWrap/>
          </w:tcPr>
          <w:p w14:paraId="45FCF09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406</w:t>
            </w:r>
          </w:p>
        </w:tc>
        <w:tc>
          <w:tcPr>
            <w:tcW w:w="527" w:type="pct"/>
            <w:noWrap/>
          </w:tcPr>
          <w:p w14:paraId="13A659B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41</w:t>
            </w:r>
          </w:p>
        </w:tc>
      </w:tr>
      <w:tr w:rsidR="00E732FA" w:rsidRPr="003C7CB1" w14:paraId="146E5947"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7D2ED8D2"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0940F5E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w:t>
            </w:r>
          </w:p>
        </w:tc>
        <w:tc>
          <w:tcPr>
            <w:tcW w:w="482" w:type="pct"/>
            <w:noWrap/>
            <w:hideMark/>
          </w:tcPr>
          <w:p w14:paraId="1C25DA3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125</w:t>
            </w:r>
          </w:p>
        </w:tc>
        <w:tc>
          <w:tcPr>
            <w:tcW w:w="432" w:type="pct"/>
            <w:noWrap/>
            <w:hideMark/>
          </w:tcPr>
          <w:p w14:paraId="73310DC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96</w:t>
            </w:r>
          </w:p>
        </w:tc>
        <w:tc>
          <w:tcPr>
            <w:tcW w:w="618" w:type="pct"/>
            <w:noWrap/>
            <w:hideMark/>
          </w:tcPr>
          <w:p w14:paraId="3BEB568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29</w:t>
            </w:r>
          </w:p>
        </w:tc>
        <w:tc>
          <w:tcPr>
            <w:tcW w:w="434" w:type="pct"/>
            <w:noWrap/>
            <w:hideMark/>
          </w:tcPr>
          <w:p w14:paraId="4E643A6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7621AA27"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274</w:t>
            </w:r>
          </w:p>
        </w:tc>
        <w:tc>
          <w:tcPr>
            <w:tcW w:w="432" w:type="pct"/>
            <w:noWrap/>
          </w:tcPr>
          <w:p w14:paraId="04899C7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243</w:t>
            </w:r>
          </w:p>
        </w:tc>
        <w:tc>
          <w:tcPr>
            <w:tcW w:w="527" w:type="pct"/>
            <w:noWrap/>
          </w:tcPr>
          <w:p w14:paraId="2E447CA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31</w:t>
            </w:r>
          </w:p>
        </w:tc>
      </w:tr>
      <w:tr w:rsidR="00E732FA" w:rsidRPr="003C7CB1" w14:paraId="7EAF8116" w14:textId="77777777" w:rsidTr="00E732FA">
        <w:trPr>
          <w:trHeight w:val="139"/>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6863A706"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Five stars *****</w:t>
            </w:r>
          </w:p>
        </w:tc>
        <w:tc>
          <w:tcPr>
            <w:tcW w:w="529" w:type="pct"/>
            <w:noWrap/>
            <w:hideMark/>
          </w:tcPr>
          <w:p w14:paraId="520B6DC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w:t>
            </w:r>
          </w:p>
        </w:tc>
        <w:tc>
          <w:tcPr>
            <w:tcW w:w="482" w:type="pct"/>
            <w:noWrap/>
            <w:hideMark/>
          </w:tcPr>
          <w:p w14:paraId="1B7FCBB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130</w:t>
            </w:r>
          </w:p>
        </w:tc>
        <w:tc>
          <w:tcPr>
            <w:tcW w:w="432" w:type="pct"/>
            <w:noWrap/>
            <w:hideMark/>
          </w:tcPr>
          <w:p w14:paraId="10B692C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65</w:t>
            </w:r>
          </w:p>
        </w:tc>
        <w:tc>
          <w:tcPr>
            <w:tcW w:w="618" w:type="pct"/>
            <w:noWrap/>
            <w:hideMark/>
          </w:tcPr>
          <w:p w14:paraId="4728D23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65</w:t>
            </w:r>
          </w:p>
        </w:tc>
        <w:tc>
          <w:tcPr>
            <w:tcW w:w="434" w:type="pct"/>
            <w:noWrap/>
            <w:hideMark/>
          </w:tcPr>
          <w:p w14:paraId="0414D17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2DB3602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173</w:t>
            </w:r>
          </w:p>
        </w:tc>
        <w:tc>
          <w:tcPr>
            <w:tcW w:w="432" w:type="pct"/>
            <w:noWrap/>
          </w:tcPr>
          <w:p w14:paraId="557D517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163</w:t>
            </w:r>
          </w:p>
        </w:tc>
        <w:tc>
          <w:tcPr>
            <w:tcW w:w="527" w:type="pct"/>
            <w:noWrap/>
          </w:tcPr>
          <w:p w14:paraId="43AA7DF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w:t>
            </w:r>
          </w:p>
        </w:tc>
      </w:tr>
      <w:tr w:rsidR="00E732FA" w:rsidRPr="003C7CB1" w14:paraId="03C4161A" w14:textId="77777777" w:rsidTr="00E732FA">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2DF81BB5"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proofErr w:type="spellStart"/>
            <w:r w:rsidRPr="003C7CB1">
              <w:rPr>
                <w:rFonts w:cstheme="minorHAnsi"/>
                <w:color w:val="FF0000"/>
                <w:sz w:val="18"/>
                <w:szCs w:val="18"/>
              </w:rPr>
              <w:t>Garni</w:t>
            </w:r>
            <w:proofErr w:type="spellEnd"/>
            <w:r w:rsidRPr="003C7CB1">
              <w:rPr>
                <w:rFonts w:cstheme="minorHAnsi"/>
                <w:color w:val="FF0000"/>
                <w:sz w:val="18"/>
                <w:szCs w:val="18"/>
              </w:rPr>
              <w:t xml:space="preserve"> hotel</w:t>
            </w:r>
          </w:p>
        </w:tc>
        <w:tc>
          <w:tcPr>
            <w:tcW w:w="529" w:type="pct"/>
            <w:noWrap/>
            <w:hideMark/>
          </w:tcPr>
          <w:p w14:paraId="224BCC3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49</w:t>
            </w:r>
          </w:p>
        </w:tc>
        <w:tc>
          <w:tcPr>
            <w:tcW w:w="482" w:type="pct"/>
            <w:noWrap/>
            <w:hideMark/>
          </w:tcPr>
          <w:p w14:paraId="50E53AA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841</w:t>
            </w:r>
          </w:p>
        </w:tc>
        <w:tc>
          <w:tcPr>
            <w:tcW w:w="432" w:type="pct"/>
            <w:noWrap/>
            <w:hideMark/>
          </w:tcPr>
          <w:p w14:paraId="05091EF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653</w:t>
            </w:r>
          </w:p>
        </w:tc>
        <w:tc>
          <w:tcPr>
            <w:tcW w:w="618" w:type="pct"/>
            <w:noWrap/>
            <w:hideMark/>
          </w:tcPr>
          <w:p w14:paraId="49F5F04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188</w:t>
            </w:r>
          </w:p>
        </w:tc>
        <w:tc>
          <w:tcPr>
            <w:tcW w:w="434" w:type="pct"/>
            <w:noWrap/>
            <w:hideMark/>
          </w:tcPr>
          <w:p w14:paraId="7B109C8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p>
        </w:tc>
        <w:tc>
          <w:tcPr>
            <w:tcW w:w="473" w:type="pct"/>
            <w:noWrap/>
          </w:tcPr>
          <w:p w14:paraId="4750D53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1.945</w:t>
            </w:r>
          </w:p>
        </w:tc>
        <w:tc>
          <w:tcPr>
            <w:tcW w:w="432" w:type="pct"/>
            <w:noWrap/>
          </w:tcPr>
          <w:p w14:paraId="031126A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1.732</w:t>
            </w:r>
          </w:p>
        </w:tc>
        <w:tc>
          <w:tcPr>
            <w:tcW w:w="527" w:type="pct"/>
            <w:noWrap/>
          </w:tcPr>
          <w:p w14:paraId="4404B5E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213</w:t>
            </w:r>
          </w:p>
        </w:tc>
      </w:tr>
      <w:tr w:rsidR="00E732FA" w:rsidRPr="003C7CB1" w14:paraId="75759AE7" w14:textId="77777777" w:rsidTr="00E732FA">
        <w:trPr>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14909520"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Two stars **</w:t>
            </w:r>
          </w:p>
        </w:tc>
        <w:tc>
          <w:tcPr>
            <w:tcW w:w="529" w:type="pct"/>
            <w:noWrap/>
            <w:hideMark/>
          </w:tcPr>
          <w:p w14:paraId="09B5B08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w:t>
            </w:r>
          </w:p>
        </w:tc>
        <w:tc>
          <w:tcPr>
            <w:tcW w:w="482" w:type="pct"/>
            <w:noWrap/>
            <w:hideMark/>
          </w:tcPr>
          <w:p w14:paraId="1A415AC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24</w:t>
            </w:r>
          </w:p>
        </w:tc>
        <w:tc>
          <w:tcPr>
            <w:tcW w:w="432" w:type="pct"/>
            <w:noWrap/>
            <w:hideMark/>
          </w:tcPr>
          <w:p w14:paraId="5845095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24</w:t>
            </w:r>
          </w:p>
        </w:tc>
        <w:tc>
          <w:tcPr>
            <w:tcW w:w="618" w:type="pct"/>
            <w:noWrap/>
            <w:hideMark/>
          </w:tcPr>
          <w:p w14:paraId="6B84488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34" w:type="pct"/>
            <w:noWrap/>
            <w:hideMark/>
          </w:tcPr>
          <w:p w14:paraId="4CDEB7B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173B81B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57</w:t>
            </w:r>
          </w:p>
        </w:tc>
        <w:tc>
          <w:tcPr>
            <w:tcW w:w="432" w:type="pct"/>
            <w:noWrap/>
          </w:tcPr>
          <w:p w14:paraId="60ECEC5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57</w:t>
            </w:r>
          </w:p>
        </w:tc>
        <w:tc>
          <w:tcPr>
            <w:tcW w:w="527" w:type="pct"/>
            <w:noWrap/>
          </w:tcPr>
          <w:p w14:paraId="7C34177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E732FA" w:rsidRPr="003C7CB1" w14:paraId="0820F934" w14:textId="77777777" w:rsidTr="00E732FA">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3BC48C39"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7E444DB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24</w:t>
            </w:r>
          </w:p>
        </w:tc>
        <w:tc>
          <w:tcPr>
            <w:tcW w:w="482" w:type="pct"/>
            <w:noWrap/>
            <w:hideMark/>
          </w:tcPr>
          <w:p w14:paraId="1D66F5C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411</w:t>
            </w:r>
          </w:p>
        </w:tc>
        <w:tc>
          <w:tcPr>
            <w:tcW w:w="432" w:type="pct"/>
            <w:noWrap/>
            <w:hideMark/>
          </w:tcPr>
          <w:p w14:paraId="11EF63B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354</w:t>
            </w:r>
          </w:p>
        </w:tc>
        <w:tc>
          <w:tcPr>
            <w:tcW w:w="618" w:type="pct"/>
            <w:noWrap/>
            <w:hideMark/>
          </w:tcPr>
          <w:p w14:paraId="27D0C1C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57</w:t>
            </w:r>
          </w:p>
        </w:tc>
        <w:tc>
          <w:tcPr>
            <w:tcW w:w="434" w:type="pct"/>
            <w:noWrap/>
            <w:hideMark/>
          </w:tcPr>
          <w:p w14:paraId="0EA639B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1A01268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914</w:t>
            </w:r>
          </w:p>
        </w:tc>
        <w:tc>
          <w:tcPr>
            <w:tcW w:w="432" w:type="pct"/>
            <w:noWrap/>
          </w:tcPr>
          <w:p w14:paraId="3930DFD7"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844</w:t>
            </w:r>
          </w:p>
        </w:tc>
        <w:tc>
          <w:tcPr>
            <w:tcW w:w="527" w:type="pct"/>
            <w:noWrap/>
          </w:tcPr>
          <w:p w14:paraId="2308152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70</w:t>
            </w:r>
          </w:p>
        </w:tc>
      </w:tr>
      <w:tr w:rsidR="00E732FA" w:rsidRPr="003C7CB1" w14:paraId="00E5D15C" w14:textId="77777777" w:rsidTr="00E732FA">
        <w:trPr>
          <w:trHeight w:val="153"/>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7404E68D"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7B0DA4E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23</w:t>
            </w:r>
          </w:p>
        </w:tc>
        <w:tc>
          <w:tcPr>
            <w:tcW w:w="482" w:type="pct"/>
            <w:noWrap/>
            <w:hideMark/>
          </w:tcPr>
          <w:p w14:paraId="557D4C7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406</w:t>
            </w:r>
          </w:p>
        </w:tc>
        <w:tc>
          <w:tcPr>
            <w:tcW w:w="432" w:type="pct"/>
            <w:noWrap/>
            <w:hideMark/>
          </w:tcPr>
          <w:p w14:paraId="42EAB9B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275</w:t>
            </w:r>
          </w:p>
        </w:tc>
        <w:tc>
          <w:tcPr>
            <w:tcW w:w="618" w:type="pct"/>
            <w:noWrap/>
            <w:hideMark/>
          </w:tcPr>
          <w:p w14:paraId="41E33E1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131</w:t>
            </w:r>
          </w:p>
        </w:tc>
        <w:tc>
          <w:tcPr>
            <w:tcW w:w="434" w:type="pct"/>
            <w:noWrap/>
            <w:hideMark/>
          </w:tcPr>
          <w:p w14:paraId="45D2541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0</w:t>
            </w:r>
          </w:p>
        </w:tc>
        <w:tc>
          <w:tcPr>
            <w:tcW w:w="473" w:type="pct"/>
            <w:noWrap/>
          </w:tcPr>
          <w:p w14:paraId="30F1F99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974</w:t>
            </w:r>
          </w:p>
        </w:tc>
        <w:tc>
          <w:tcPr>
            <w:tcW w:w="432" w:type="pct"/>
            <w:noWrap/>
          </w:tcPr>
          <w:p w14:paraId="4E00BE8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831</w:t>
            </w:r>
          </w:p>
        </w:tc>
        <w:tc>
          <w:tcPr>
            <w:tcW w:w="527" w:type="pct"/>
            <w:noWrap/>
          </w:tcPr>
          <w:p w14:paraId="0D9AA62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143</w:t>
            </w:r>
          </w:p>
        </w:tc>
      </w:tr>
      <w:tr w:rsidR="00E732FA" w:rsidRPr="003C7CB1" w14:paraId="4544EDF7" w14:textId="77777777" w:rsidTr="00E732FA">
        <w:trPr>
          <w:cnfStyle w:val="000000100000" w:firstRow="0" w:lastRow="0" w:firstColumn="0" w:lastColumn="0" w:oddVBand="0" w:evenVBand="0" w:oddHBand="1" w:evenHBand="0" w:firstRowFirstColumn="0" w:firstRowLastColumn="0" w:lastRowFirstColumn="0" w:lastRowLastColumn="0"/>
          <w:trHeight w:val="128"/>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B9D7511"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Hotel</w:t>
            </w:r>
          </w:p>
        </w:tc>
        <w:tc>
          <w:tcPr>
            <w:tcW w:w="529" w:type="pct"/>
            <w:noWrap/>
            <w:hideMark/>
          </w:tcPr>
          <w:p w14:paraId="32A0BAF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132</w:t>
            </w:r>
          </w:p>
        </w:tc>
        <w:tc>
          <w:tcPr>
            <w:tcW w:w="482" w:type="pct"/>
            <w:noWrap/>
            <w:hideMark/>
          </w:tcPr>
          <w:p w14:paraId="5B312DA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12,404</w:t>
            </w:r>
          </w:p>
        </w:tc>
        <w:tc>
          <w:tcPr>
            <w:tcW w:w="432" w:type="pct"/>
            <w:noWrap/>
            <w:hideMark/>
          </w:tcPr>
          <w:p w14:paraId="08B1E77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11,246</w:t>
            </w:r>
          </w:p>
        </w:tc>
        <w:tc>
          <w:tcPr>
            <w:tcW w:w="618" w:type="pct"/>
            <w:noWrap/>
            <w:hideMark/>
          </w:tcPr>
          <w:p w14:paraId="2C0925B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1,157</w:t>
            </w:r>
          </w:p>
        </w:tc>
        <w:tc>
          <w:tcPr>
            <w:tcW w:w="434" w:type="pct"/>
            <w:noWrap/>
            <w:hideMark/>
          </w:tcPr>
          <w:p w14:paraId="75F85F0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w:t>
            </w:r>
          </w:p>
        </w:tc>
        <w:tc>
          <w:tcPr>
            <w:tcW w:w="473" w:type="pct"/>
            <w:noWrap/>
          </w:tcPr>
          <w:p w14:paraId="54636EC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27,623</w:t>
            </w:r>
          </w:p>
        </w:tc>
        <w:tc>
          <w:tcPr>
            <w:tcW w:w="432" w:type="pct"/>
            <w:noWrap/>
          </w:tcPr>
          <w:p w14:paraId="059EC30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24,908</w:t>
            </w:r>
          </w:p>
        </w:tc>
        <w:tc>
          <w:tcPr>
            <w:tcW w:w="527" w:type="pct"/>
            <w:noWrap/>
          </w:tcPr>
          <w:p w14:paraId="36ADD15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2,715</w:t>
            </w:r>
          </w:p>
        </w:tc>
      </w:tr>
      <w:tr w:rsidR="00E732FA" w:rsidRPr="003C7CB1" w14:paraId="7E0019AB" w14:textId="77777777" w:rsidTr="00E732FA">
        <w:trPr>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06A0423"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One star *</w:t>
            </w:r>
          </w:p>
        </w:tc>
        <w:tc>
          <w:tcPr>
            <w:tcW w:w="529" w:type="pct"/>
            <w:noWrap/>
            <w:hideMark/>
          </w:tcPr>
          <w:p w14:paraId="7E2D594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w:t>
            </w:r>
          </w:p>
        </w:tc>
        <w:tc>
          <w:tcPr>
            <w:tcW w:w="482" w:type="pct"/>
            <w:noWrap/>
            <w:hideMark/>
          </w:tcPr>
          <w:p w14:paraId="2CC7CDB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145</w:t>
            </w:r>
          </w:p>
        </w:tc>
        <w:tc>
          <w:tcPr>
            <w:tcW w:w="432" w:type="pct"/>
            <w:noWrap/>
            <w:hideMark/>
          </w:tcPr>
          <w:p w14:paraId="082BDF8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145</w:t>
            </w:r>
          </w:p>
        </w:tc>
        <w:tc>
          <w:tcPr>
            <w:tcW w:w="618" w:type="pct"/>
            <w:noWrap/>
            <w:hideMark/>
          </w:tcPr>
          <w:p w14:paraId="162B86D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34" w:type="pct"/>
            <w:noWrap/>
            <w:hideMark/>
          </w:tcPr>
          <w:p w14:paraId="1EE12B3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3F44BF6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338</w:t>
            </w:r>
          </w:p>
        </w:tc>
        <w:tc>
          <w:tcPr>
            <w:tcW w:w="432" w:type="pct"/>
            <w:noWrap/>
          </w:tcPr>
          <w:p w14:paraId="4B6F3F5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338</w:t>
            </w:r>
          </w:p>
        </w:tc>
        <w:tc>
          <w:tcPr>
            <w:tcW w:w="527" w:type="pct"/>
            <w:noWrap/>
          </w:tcPr>
          <w:p w14:paraId="05DCADB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E732FA" w:rsidRPr="003C7CB1" w14:paraId="4AD3C29F"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64E5A211"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Two stars **</w:t>
            </w:r>
          </w:p>
        </w:tc>
        <w:tc>
          <w:tcPr>
            <w:tcW w:w="529" w:type="pct"/>
            <w:noWrap/>
            <w:hideMark/>
          </w:tcPr>
          <w:p w14:paraId="5887443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19</w:t>
            </w:r>
          </w:p>
        </w:tc>
        <w:tc>
          <w:tcPr>
            <w:tcW w:w="482" w:type="pct"/>
            <w:noWrap/>
            <w:hideMark/>
          </w:tcPr>
          <w:p w14:paraId="5850A3E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1,866</w:t>
            </w:r>
          </w:p>
        </w:tc>
        <w:tc>
          <w:tcPr>
            <w:tcW w:w="432" w:type="pct"/>
            <w:noWrap/>
            <w:hideMark/>
          </w:tcPr>
          <w:p w14:paraId="28ABEDE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1,791</w:t>
            </w:r>
          </w:p>
        </w:tc>
        <w:tc>
          <w:tcPr>
            <w:tcW w:w="618" w:type="pct"/>
            <w:noWrap/>
            <w:hideMark/>
          </w:tcPr>
          <w:p w14:paraId="66D2270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75</w:t>
            </w:r>
          </w:p>
        </w:tc>
        <w:tc>
          <w:tcPr>
            <w:tcW w:w="434" w:type="pct"/>
            <w:noWrap/>
            <w:hideMark/>
          </w:tcPr>
          <w:p w14:paraId="27304AA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02ABCB7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4,455</w:t>
            </w:r>
          </w:p>
        </w:tc>
        <w:tc>
          <w:tcPr>
            <w:tcW w:w="432" w:type="pct"/>
            <w:noWrap/>
          </w:tcPr>
          <w:p w14:paraId="13A9914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4,201</w:t>
            </w:r>
          </w:p>
        </w:tc>
        <w:tc>
          <w:tcPr>
            <w:tcW w:w="527" w:type="pct"/>
            <w:noWrap/>
          </w:tcPr>
          <w:p w14:paraId="6B377D6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272</w:t>
            </w:r>
          </w:p>
        </w:tc>
      </w:tr>
      <w:tr w:rsidR="00E732FA" w:rsidRPr="003C7CB1" w14:paraId="7743782E" w14:textId="77777777" w:rsidTr="00E732FA">
        <w:trPr>
          <w:trHeight w:val="160"/>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38DE29B3"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3DF28CF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28</w:t>
            </w:r>
          </w:p>
        </w:tc>
        <w:tc>
          <w:tcPr>
            <w:tcW w:w="482" w:type="pct"/>
            <w:noWrap/>
            <w:hideMark/>
          </w:tcPr>
          <w:p w14:paraId="1D17EBB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1,637</w:t>
            </w:r>
          </w:p>
        </w:tc>
        <w:tc>
          <w:tcPr>
            <w:tcW w:w="432" w:type="pct"/>
            <w:noWrap/>
            <w:hideMark/>
          </w:tcPr>
          <w:p w14:paraId="39BB174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1,472</w:t>
            </w:r>
          </w:p>
        </w:tc>
        <w:tc>
          <w:tcPr>
            <w:tcW w:w="618" w:type="pct"/>
            <w:noWrap/>
            <w:hideMark/>
          </w:tcPr>
          <w:p w14:paraId="597927C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165</w:t>
            </w:r>
          </w:p>
        </w:tc>
        <w:tc>
          <w:tcPr>
            <w:tcW w:w="434" w:type="pct"/>
            <w:noWrap/>
            <w:hideMark/>
          </w:tcPr>
          <w:p w14:paraId="17F707F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7AF90A9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3,892</w:t>
            </w:r>
          </w:p>
        </w:tc>
        <w:tc>
          <w:tcPr>
            <w:tcW w:w="432" w:type="pct"/>
            <w:noWrap/>
          </w:tcPr>
          <w:p w14:paraId="3F18DCE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3,757</w:t>
            </w:r>
          </w:p>
        </w:tc>
        <w:tc>
          <w:tcPr>
            <w:tcW w:w="527" w:type="pct"/>
            <w:noWrap/>
          </w:tcPr>
          <w:p w14:paraId="37DEBE9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119</w:t>
            </w:r>
          </w:p>
        </w:tc>
      </w:tr>
      <w:tr w:rsidR="00E732FA" w:rsidRPr="003C7CB1" w14:paraId="39B0FFED" w14:textId="77777777" w:rsidTr="00E732FA">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7266732B"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5F5D3F9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74</w:t>
            </w:r>
          </w:p>
        </w:tc>
        <w:tc>
          <w:tcPr>
            <w:tcW w:w="482" w:type="pct"/>
            <w:noWrap/>
            <w:hideMark/>
          </w:tcPr>
          <w:p w14:paraId="175C7CC3"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7,701</w:t>
            </w:r>
          </w:p>
        </w:tc>
        <w:tc>
          <w:tcPr>
            <w:tcW w:w="432" w:type="pct"/>
            <w:noWrap/>
            <w:hideMark/>
          </w:tcPr>
          <w:p w14:paraId="522B0B9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6,892</w:t>
            </w:r>
          </w:p>
        </w:tc>
        <w:tc>
          <w:tcPr>
            <w:tcW w:w="618" w:type="pct"/>
            <w:noWrap/>
            <w:hideMark/>
          </w:tcPr>
          <w:p w14:paraId="5867CBD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808</w:t>
            </w:r>
          </w:p>
        </w:tc>
        <w:tc>
          <w:tcPr>
            <w:tcW w:w="434" w:type="pct"/>
            <w:noWrap/>
            <w:hideMark/>
          </w:tcPr>
          <w:p w14:paraId="21049F6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73" w:type="pct"/>
            <w:noWrap/>
          </w:tcPr>
          <w:p w14:paraId="4962E14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16,516</w:t>
            </w:r>
          </w:p>
        </w:tc>
        <w:tc>
          <w:tcPr>
            <w:tcW w:w="432" w:type="pct"/>
            <w:noWrap/>
          </w:tcPr>
          <w:p w14:paraId="7169D5A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14,596</w:t>
            </w:r>
          </w:p>
        </w:tc>
        <w:tc>
          <w:tcPr>
            <w:tcW w:w="527" w:type="pct"/>
            <w:noWrap/>
          </w:tcPr>
          <w:p w14:paraId="04367EF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1,920</w:t>
            </w:r>
          </w:p>
        </w:tc>
      </w:tr>
      <w:tr w:rsidR="00E732FA" w:rsidRPr="003C7CB1" w14:paraId="3363A24F" w14:textId="77777777" w:rsidTr="00E732FA">
        <w:trPr>
          <w:trHeight w:val="18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56570428"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Five stars *****</w:t>
            </w:r>
          </w:p>
        </w:tc>
        <w:tc>
          <w:tcPr>
            <w:tcW w:w="529" w:type="pct"/>
            <w:noWrap/>
            <w:hideMark/>
          </w:tcPr>
          <w:p w14:paraId="6347634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w:t>
            </w:r>
          </w:p>
        </w:tc>
        <w:tc>
          <w:tcPr>
            <w:tcW w:w="482" w:type="pct"/>
            <w:noWrap/>
            <w:hideMark/>
          </w:tcPr>
          <w:p w14:paraId="44B9429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1,055</w:t>
            </w:r>
          </w:p>
        </w:tc>
        <w:tc>
          <w:tcPr>
            <w:tcW w:w="432" w:type="pct"/>
            <w:noWrap/>
            <w:hideMark/>
          </w:tcPr>
          <w:p w14:paraId="123D390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946</w:t>
            </w:r>
          </w:p>
        </w:tc>
        <w:tc>
          <w:tcPr>
            <w:tcW w:w="618" w:type="pct"/>
            <w:noWrap/>
            <w:hideMark/>
          </w:tcPr>
          <w:p w14:paraId="51C0CF8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109</w:t>
            </w:r>
          </w:p>
        </w:tc>
        <w:tc>
          <w:tcPr>
            <w:tcW w:w="434" w:type="pct"/>
            <w:noWrap/>
            <w:hideMark/>
          </w:tcPr>
          <w:p w14:paraId="6CE5502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3441665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2,422</w:t>
            </w:r>
          </w:p>
        </w:tc>
        <w:tc>
          <w:tcPr>
            <w:tcW w:w="432" w:type="pct"/>
            <w:noWrap/>
          </w:tcPr>
          <w:p w14:paraId="4BFF5CC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2,016</w:t>
            </w:r>
          </w:p>
        </w:tc>
        <w:tc>
          <w:tcPr>
            <w:tcW w:w="527" w:type="pct"/>
            <w:noWrap/>
          </w:tcPr>
          <w:p w14:paraId="1E9774A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460</w:t>
            </w:r>
          </w:p>
        </w:tc>
      </w:tr>
      <w:tr w:rsidR="00E732FA" w:rsidRPr="003C7CB1" w14:paraId="0521C118" w14:textId="77777777" w:rsidTr="00E732FA">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1056708B"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Camp</w:t>
            </w:r>
          </w:p>
        </w:tc>
        <w:tc>
          <w:tcPr>
            <w:tcW w:w="529" w:type="pct"/>
            <w:noWrap/>
            <w:hideMark/>
          </w:tcPr>
          <w:p w14:paraId="5F282EA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12</w:t>
            </w:r>
          </w:p>
        </w:tc>
        <w:tc>
          <w:tcPr>
            <w:tcW w:w="482" w:type="pct"/>
            <w:noWrap/>
            <w:hideMark/>
          </w:tcPr>
          <w:p w14:paraId="2393AD2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950</w:t>
            </w:r>
          </w:p>
        </w:tc>
        <w:tc>
          <w:tcPr>
            <w:tcW w:w="432" w:type="pct"/>
            <w:noWrap/>
            <w:hideMark/>
          </w:tcPr>
          <w:p w14:paraId="736709E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48</w:t>
            </w:r>
          </w:p>
        </w:tc>
        <w:tc>
          <w:tcPr>
            <w:tcW w:w="618" w:type="pct"/>
            <w:noWrap/>
            <w:hideMark/>
          </w:tcPr>
          <w:p w14:paraId="52F5025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20</w:t>
            </w:r>
          </w:p>
        </w:tc>
        <w:tc>
          <w:tcPr>
            <w:tcW w:w="434" w:type="pct"/>
            <w:noWrap/>
            <w:hideMark/>
          </w:tcPr>
          <w:p w14:paraId="1C66DE3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882</w:t>
            </w:r>
          </w:p>
        </w:tc>
        <w:tc>
          <w:tcPr>
            <w:tcW w:w="473" w:type="pct"/>
            <w:noWrap/>
          </w:tcPr>
          <w:p w14:paraId="31683A2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2,925</w:t>
            </w:r>
          </w:p>
        </w:tc>
        <w:tc>
          <w:tcPr>
            <w:tcW w:w="432" w:type="pct"/>
            <w:noWrap/>
          </w:tcPr>
          <w:p w14:paraId="068ABC6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2,895</w:t>
            </w:r>
          </w:p>
        </w:tc>
        <w:tc>
          <w:tcPr>
            <w:tcW w:w="527" w:type="pct"/>
            <w:noWrap/>
          </w:tcPr>
          <w:p w14:paraId="136AD95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30</w:t>
            </w:r>
          </w:p>
        </w:tc>
      </w:tr>
      <w:tr w:rsidR="00E732FA" w:rsidRPr="003C7CB1" w14:paraId="2B52D636" w14:textId="77777777" w:rsidTr="00E732FA">
        <w:trPr>
          <w:trHeight w:val="128"/>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7AF9764E"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One star *</w:t>
            </w:r>
          </w:p>
        </w:tc>
        <w:tc>
          <w:tcPr>
            <w:tcW w:w="529" w:type="pct"/>
            <w:noWrap/>
            <w:hideMark/>
          </w:tcPr>
          <w:p w14:paraId="4F3C7E3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w:t>
            </w:r>
          </w:p>
        </w:tc>
        <w:tc>
          <w:tcPr>
            <w:tcW w:w="482" w:type="pct"/>
            <w:noWrap/>
            <w:hideMark/>
          </w:tcPr>
          <w:p w14:paraId="5EC2721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135</w:t>
            </w:r>
          </w:p>
        </w:tc>
        <w:tc>
          <w:tcPr>
            <w:tcW w:w="432" w:type="pct"/>
            <w:noWrap/>
            <w:hideMark/>
          </w:tcPr>
          <w:p w14:paraId="649F0CE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618" w:type="pct"/>
            <w:noWrap/>
            <w:hideMark/>
          </w:tcPr>
          <w:p w14:paraId="44BFF1F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20</w:t>
            </w:r>
          </w:p>
        </w:tc>
        <w:tc>
          <w:tcPr>
            <w:tcW w:w="434" w:type="pct"/>
            <w:noWrap/>
            <w:hideMark/>
          </w:tcPr>
          <w:p w14:paraId="12B31D2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115</w:t>
            </w:r>
          </w:p>
        </w:tc>
        <w:tc>
          <w:tcPr>
            <w:tcW w:w="473" w:type="pct"/>
            <w:noWrap/>
          </w:tcPr>
          <w:p w14:paraId="7C71208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510</w:t>
            </w:r>
          </w:p>
        </w:tc>
        <w:tc>
          <w:tcPr>
            <w:tcW w:w="432" w:type="pct"/>
            <w:noWrap/>
          </w:tcPr>
          <w:p w14:paraId="1AF9B4F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480</w:t>
            </w:r>
          </w:p>
        </w:tc>
        <w:tc>
          <w:tcPr>
            <w:tcW w:w="527" w:type="pct"/>
            <w:noWrap/>
          </w:tcPr>
          <w:p w14:paraId="789FF3A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30</w:t>
            </w:r>
          </w:p>
        </w:tc>
      </w:tr>
      <w:tr w:rsidR="00E732FA" w:rsidRPr="003C7CB1" w14:paraId="04CF8C36" w14:textId="77777777" w:rsidTr="00E732FA">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23F0A45E"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Two stars **</w:t>
            </w:r>
          </w:p>
        </w:tc>
        <w:tc>
          <w:tcPr>
            <w:tcW w:w="529" w:type="pct"/>
            <w:noWrap/>
            <w:hideMark/>
          </w:tcPr>
          <w:p w14:paraId="61DE805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w:t>
            </w:r>
          </w:p>
        </w:tc>
        <w:tc>
          <w:tcPr>
            <w:tcW w:w="482" w:type="pct"/>
            <w:noWrap/>
            <w:hideMark/>
          </w:tcPr>
          <w:p w14:paraId="2FED78E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333</w:t>
            </w:r>
          </w:p>
        </w:tc>
        <w:tc>
          <w:tcPr>
            <w:tcW w:w="432" w:type="pct"/>
            <w:noWrap/>
            <w:hideMark/>
          </w:tcPr>
          <w:p w14:paraId="4444B2E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w:t>
            </w:r>
          </w:p>
        </w:tc>
        <w:tc>
          <w:tcPr>
            <w:tcW w:w="618" w:type="pct"/>
            <w:noWrap/>
            <w:hideMark/>
          </w:tcPr>
          <w:p w14:paraId="1A8F1D9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34" w:type="pct"/>
            <w:noWrap/>
            <w:hideMark/>
          </w:tcPr>
          <w:p w14:paraId="7F6FA22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330</w:t>
            </w:r>
          </w:p>
        </w:tc>
        <w:tc>
          <w:tcPr>
            <w:tcW w:w="473" w:type="pct"/>
            <w:noWrap/>
          </w:tcPr>
          <w:p w14:paraId="78AD23C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1,166</w:t>
            </w:r>
          </w:p>
        </w:tc>
        <w:tc>
          <w:tcPr>
            <w:tcW w:w="432" w:type="pct"/>
            <w:noWrap/>
          </w:tcPr>
          <w:p w14:paraId="2543B47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1,166</w:t>
            </w:r>
          </w:p>
        </w:tc>
        <w:tc>
          <w:tcPr>
            <w:tcW w:w="527" w:type="pct"/>
            <w:noWrap/>
          </w:tcPr>
          <w:p w14:paraId="316EDAE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E732FA" w:rsidRPr="003C7CB1" w14:paraId="4A3ACF28" w14:textId="77777777" w:rsidTr="00E732FA">
        <w:trPr>
          <w:trHeight w:val="81"/>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29429603"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7A81B2E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w:t>
            </w:r>
          </w:p>
        </w:tc>
        <w:tc>
          <w:tcPr>
            <w:tcW w:w="482" w:type="pct"/>
            <w:noWrap/>
            <w:hideMark/>
          </w:tcPr>
          <w:p w14:paraId="5CB827A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115</w:t>
            </w:r>
          </w:p>
        </w:tc>
        <w:tc>
          <w:tcPr>
            <w:tcW w:w="432" w:type="pct"/>
            <w:noWrap/>
            <w:hideMark/>
          </w:tcPr>
          <w:p w14:paraId="1FD5D0E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45</w:t>
            </w:r>
          </w:p>
        </w:tc>
        <w:tc>
          <w:tcPr>
            <w:tcW w:w="618" w:type="pct"/>
            <w:noWrap/>
            <w:hideMark/>
          </w:tcPr>
          <w:p w14:paraId="68BC710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34" w:type="pct"/>
            <w:noWrap/>
            <w:hideMark/>
          </w:tcPr>
          <w:p w14:paraId="2049197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70</w:t>
            </w:r>
          </w:p>
        </w:tc>
        <w:tc>
          <w:tcPr>
            <w:tcW w:w="473" w:type="pct"/>
            <w:noWrap/>
          </w:tcPr>
          <w:p w14:paraId="2F62069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346</w:t>
            </w:r>
          </w:p>
        </w:tc>
        <w:tc>
          <w:tcPr>
            <w:tcW w:w="432" w:type="pct"/>
            <w:noWrap/>
          </w:tcPr>
          <w:p w14:paraId="5EA31F4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346</w:t>
            </w:r>
          </w:p>
        </w:tc>
        <w:tc>
          <w:tcPr>
            <w:tcW w:w="527" w:type="pct"/>
            <w:noWrap/>
          </w:tcPr>
          <w:p w14:paraId="32F3B38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E732FA" w:rsidRPr="003C7CB1" w14:paraId="39253A3E" w14:textId="77777777" w:rsidTr="00E732FA">
        <w:trPr>
          <w:cnfStyle w:val="000000100000" w:firstRow="0" w:lastRow="0" w:firstColumn="0" w:lastColumn="0" w:oddVBand="0" w:evenVBand="0" w:oddHBand="1" w:evenHBand="0" w:firstRowFirstColumn="0" w:firstRowLastColumn="0" w:lastRowFirstColumn="0" w:lastRowLastColumn="0"/>
          <w:trHeight w:val="128"/>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4D2A0334"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5FC9BB47"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w:t>
            </w:r>
          </w:p>
        </w:tc>
        <w:tc>
          <w:tcPr>
            <w:tcW w:w="482" w:type="pct"/>
            <w:noWrap/>
            <w:hideMark/>
          </w:tcPr>
          <w:p w14:paraId="5922876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367</w:t>
            </w:r>
          </w:p>
        </w:tc>
        <w:tc>
          <w:tcPr>
            <w:tcW w:w="432" w:type="pct"/>
            <w:noWrap/>
            <w:hideMark/>
          </w:tcPr>
          <w:p w14:paraId="1CB0865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618" w:type="pct"/>
            <w:noWrap/>
            <w:hideMark/>
          </w:tcPr>
          <w:p w14:paraId="3B1F1D0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34" w:type="pct"/>
            <w:noWrap/>
            <w:hideMark/>
          </w:tcPr>
          <w:p w14:paraId="33A9C327"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367</w:t>
            </w:r>
          </w:p>
        </w:tc>
        <w:tc>
          <w:tcPr>
            <w:tcW w:w="473" w:type="pct"/>
            <w:noWrap/>
          </w:tcPr>
          <w:p w14:paraId="12B083B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903</w:t>
            </w:r>
          </w:p>
        </w:tc>
        <w:tc>
          <w:tcPr>
            <w:tcW w:w="432" w:type="pct"/>
            <w:noWrap/>
          </w:tcPr>
          <w:p w14:paraId="18B8CC9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903</w:t>
            </w:r>
          </w:p>
        </w:tc>
        <w:tc>
          <w:tcPr>
            <w:tcW w:w="527" w:type="pct"/>
            <w:noWrap/>
          </w:tcPr>
          <w:p w14:paraId="048D3B3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E732FA" w:rsidRPr="003C7CB1" w14:paraId="17B3A432" w14:textId="77777777" w:rsidTr="00E732FA">
        <w:trPr>
          <w:trHeight w:val="16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64383C21"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lastRenderedPageBreak/>
              <w:t>Small hotel</w:t>
            </w:r>
          </w:p>
        </w:tc>
        <w:tc>
          <w:tcPr>
            <w:tcW w:w="529" w:type="pct"/>
            <w:noWrap/>
            <w:hideMark/>
          </w:tcPr>
          <w:p w14:paraId="5C67B57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140</w:t>
            </w:r>
          </w:p>
        </w:tc>
        <w:tc>
          <w:tcPr>
            <w:tcW w:w="482" w:type="pct"/>
            <w:noWrap/>
            <w:hideMark/>
          </w:tcPr>
          <w:p w14:paraId="11AABE7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2,298</w:t>
            </w:r>
          </w:p>
        </w:tc>
        <w:tc>
          <w:tcPr>
            <w:tcW w:w="432" w:type="pct"/>
            <w:noWrap/>
            <w:hideMark/>
          </w:tcPr>
          <w:p w14:paraId="5E5A130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1,722</w:t>
            </w:r>
          </w:p>
        </w:tc>
        <w:tc>
          <w:tcPr>
            <w:tcW w:w="618" w:type="pct"/>
            <w:noWrap/>
            <w:hideMark/>
          </w:tcPr>
          <w:p w14:paraId="4098E30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576</w:t>
            </w:r>
          </w:p>
        </w:tc>
        <w:tc>
          <w:tcPr>
            <w:tcW w:w="434" w:type="pct"/>
            <w:noWrap/>
            <w:hideMark/>
          </w:tcPr>
          <w:p w14:paraId="444AB4E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0</w:t>
            </w:r>
          </w:p>
        </w:tc>
        <w:tc>
          <w:tcPr>
            <w:tcW w:w="473" w:type="pct"/>
            <w:noWrap/>
          </w:tcPr>
          <w:p w14:paraId="010AB33A"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5,615</w:t>
            </w:r>
          </w:p>
        </w:tc>
        <w:tc>
          <w:tcPr>
            <w:tcW w:w="432" w:type="pct"/>
            <w:noWrap/>
          </w:tcPr>
          <w:p w14:paraId="128A591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4,900</w:t>
            </w:r>
          </w:p>
        </w:tc>
        <w:tc>
          <w:tcPr>
            <w:tcW w:w="527" w:type="pct"/>
            <w:noWrap/>
          </w:tcPr>
          <w:p w14:paraId="60898B5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716</w:t>
            </w:r>
          </w:p>
        </w:tc>
      </w:tr>
      <w:tr w:rsidR="00E732FA" w:rsidRPr="003C7CB1" w14:paraId="7DC85EB8"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61AEDFA3"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One star *</w:t>
            </w:r>
          </w:p>
        </w:tc>
        <w:tc>
          <w:tcPr>
            <w:tcW w:w="529" w:type="pct"/>
            <w:noWrap/>
            <w:hideMark/>
          </w:tcPr>
          <w:p w14:paraId="0CC6696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82" w:type="pct"/>
            <w:noWrap/>
            <w:hideMark/>
          </w:tcPr>
          <w:p w14:paraId="32C556B3"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w:t>
            </w:r>
          </w:p>
        </w:tc>
        <w:tc>
          <w:tcPr>
            <w:tcW w:w="432" w:type="pct"/>
            <w:noWrap/>
            <w:hideMark/>
          </w:tcPr>
          <w:p w14:paraId="579BEE2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w:t>
            </w:r>
          </w:p>
        </w:tc>
        <w:tc>
          <w:tcPr>
            <w:tcW w:w="618" w:type="pct"/>
            <w:noWrap/>
            <w:hideMark/>
          </w:tcPr>
          <w:p w14:paraId="140C92A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34" w:type="pct"/>
            <w:noWrap/>
            <w:hideMark/>
          </w:tcPr>
          <w:p w14:paraId="41620E5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69CE0AD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w:t>
            </w:r>
          </w:p>
        </w:tc>
        <w:tc>
          <w:tcPr>
            <w:tcW w:w="432" w:type="pct"/>
            <w:noWrap/>
          </w:tcPr>
          <w:p w14:paraId="2083642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w:t>
            </w:r>
          </w:p>
        </w:tc>
        <w:tc>
          <w:tcPr>
            <w:tcW w:w="527" w:type="pct"/>
            <w:noWrap/>
          </w:tcPr>
          <w:p w14:paraId="6BA6EC6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E732FA" w:rsidRPr="003C7CB1" w14:paraId="2F93CC63" w14:textId="77777777" w:rsidTr="00E732FA">
        <w:trPr>
          <w:trHeight w:val="101"/>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AE6AC50"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Two stars **</w:t>
            </w:r>
          </w:p>
        </w:tc>
        <w:tc>
          <w:tcPr>
            <w:tcW w:w="529" w:type="pct"/>
            <w:noWrap/>
            <w:hideMark/>
          </w:tcPr>
          <w:p w14:paraId="4E6D291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17</w:t>
            </w:r>
          </w:p>
        </w:tc>
        <w:tc>
          <w:tcPr>
            <w:tcW w:w="482" w:type="pct"/>
            <w:noWrap/>
            <w:hideMark/>
          </w:tcPr>
          <w:p w14:paraId="4CCE41C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268</w:t>
            </w:r>
          </w:p>
        </w:tc>
        <w:tc>
          <w:tcPr>
            <w:tcW w:w="432" w:type="pct"/>
            <w:noWrap/>
            <w:hideMark/>
          </w:tcPr>
          <w:p w14:paraId="1FBD604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233</w:t>
            </w:r>
          </w:p>
        </w:tc>
        <w:tc>
          <w:tcPr>
            <w:tcW w:w="618" w:type="pct"/>
            <w:noWrap/>
            <w:hideMark/>
          </w:tcPr>
          <w:p w14:paraId="3F2280F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35</w:t>
            </w:r>
          </w:p>
        </w:tc>
        <w:tc>
          <w:tcPr>
            <w:tcW w:w="434" w:type="pct"/>
            <w:noWrap/>
            <w:hideMark/>
          </w:tcPr>
          <w:p w14:paraId="29BA7E6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728F831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663</w:t>
            </w:r>
          </w:p>
        </w:tc>
        <w:tc>
          <w:tcPr>
            <w:tcW w:w="432" w:type="pct"/>
            <w:noWrap/>
          </w:tcPr>
          <w:p w14:paraId="06A3FA9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626</w:t>
            </w:r>
          </w:p>
        </w:tc>
        <w:tc>
          <w:tcPr>
            <w:tcW w:w="527" w:type="pct"/>
            <w:noWrap/>
          </w:tcPr>
          <w:p w14:paraId="5BD2585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35</w:t>
            </w:r>
          </w:p>
        </w:tc>
      </w:tr>
      <w:tr w:rsidR="00E732FA" w:rsidRPr="003C7CB1" w14:paraId="3BFA601A" w14:textId="77777777" w:rsidTr="00E732FA">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5414B014"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38B3DF5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57</w:t>
            </w:r>
          </w:p>
        </w:tc>
        <w:tc>
          <w:tcPr>
            <w:tcW w:w="482" w:type="pct"/>
            <w:noWrap/>
            <w:hideMark/>
          </w:tcPr>
          <w:p w14:paraId="678C9C1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928</w:t>
            </w:r>
          </w:p>
        </w:tc>
        <w:tc>
          <w:tcPr>
            <w:tcW w:w="432" w:type="pct"/>
            <w:noWrap/>
            <w:hideMark/>
          </w:tcPr>
          <w:p w14:paraId="184C3B9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712</w:t>
            </w:r>
          </w:p>
        </w:tc>
        <w:tc>
          <w:tcPr>
            <w:tcW w:w="618" w:type="pct"/>
            <w:noWrap/>
            <w:hideMark/>
          </w:tcPr>
          <w:p w14:paraId="3F974D5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216</w:t>
            </w:r>
          </w:p>
        </w:tc>
        <w:tc>
          <w:tcPr>
            <w:tcW w:w="434" w:type="pct"/>
            <w:noWrap/>
            <w:hideMark/>
          </w:tcPr>
          <w:p w14:paraId="2A7F375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6D7A963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2,309</w:t>
            </w:r>
          </w:p>
        </w:tc>
        <w:tc>
          <w:tcPr>
            <w:tcW w:w="432" w:type="pct"/>
            <w:noWrap/>
          </w:tcPr>
          <w:p w14:paraId="12E189C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2,127</w:t>
            </w:r>
          </w:p>
        </w:tc>
        <w:tc>
          <w:tcPr>
            <w:tcW w:w="527" w:type="pct"/>
            <w:noWrap/>
          </w:tcPr>
          <w:p w14:paraId="716E9FE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111</w:t>
            </w:r>
          </w:p>
        </w:tc>
      </w:tr>
      <w:tr w:rsidR="00E732FA" w:rsidRPr="003C7CB1" w14:paraId="376DE257" w14:textId="77777777" w:rsidTr="00E732FA">
        <w:trPr>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F459BFE"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7C7E0AE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59</w:t>
            </w:r>
          </w:p>
        </w:tc>
        <w:tc>
          <w:tcPr>
            <w:tcW w:w="482" w:type="pct"/>
            <w:noWrap/>
            <w:hideMark/>
          </w:tcPr>
          <w:p w14:paraId="0A744F0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995</w:t>
            </w:r>
          </w:p>
        </w:tc>
        <w:tc>
          <w:tcPr>
            <w:tcW w:w="432" w:type="pct"/>
            <w:noWrap/>
            <w:hideMark/>
          </w:tcPr>
          <w:p w14:paraId="2B07972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711</w:t>
            </w:r>
          </w:p>
        </w:tc>
        <w:tc>
          <w:tcPr>
            <w:tcW w:w="618" w:type="pct"/>
            <w:noWrap/>
            <w:hideMark/>
          </w:tcPr>
          <w:p w14:paraId="5D3F93EE"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284</w:t>
            </w:r>
          </w:p>
        </w:tc>
        <w:tc>
          <w:tcPr>
            <w:tcW w:w="434" w:type="pct"/>
            <w:noWrap/>
            <w:hideMark/>
          </w:tcPr>
          <w:p w14:paraId="6B1AF19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0</w:t>
            </w:r>
          </w:p>
        </w:tc>
        <w:tc>
          <w:tcPr>
            <w:tcW w:w="473" w:type="pct"/>
            <w:noWrap/>
          </w:tcPr>
          <w:p w14:paraId="03B32FC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2,366</w:t>
            </w:r>
          </w:p>
        </w:tc>
        <w:tc>
          <w:tcPr>
            <w:tcW w:w="432" w:type="pct"/>
            <w:noWrap/>
          </w:tcPr>
          <w:p w14:paraId="0C3CE44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1,903</w:t>
            </w:r>
          </w:p>
        </w:tc>
        <w:tc>
          <w:tcPr>
            <w:tcW w:w="527" w:type="pct"/>
            <w:noWrap/>
          </w:tcPr>
          <w:p w14:paraId="170F0CE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214</w:t>
            </w:r>
          </w:p>
        </w:tc>
      </w:tr>
      <w:tr w:rsidR="00E732FA" w:rsidRPr="003C7CB1" w14:paraId="5507119E" w14:textId="77777777" w:rsidTr="00E732FA">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D90EBD7"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Five stars *****</w:t>
            </w:r>
          </w:p>
        </w:tc>
        <w:tc>
          <w:tcPr>
            <w:tcW w:w="529" w:type="pct"/>
            <w:noWrap/>
            <w:hideMark/>
          </w:tcPr>
          <w:p w14:paraId="0BB44E7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w:t>
            </w:r>
          </w:p>
        </w:tc>
        <w:tc>
          <w:tcPr>
            <w:tcW w:w="482" w:type="pct"/>
            <w:noWrap/>
            <w:hideMark/>
          </w:tcPr>
          <w:p w14:paraId="1F33811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102</w:t>
            </w:r>
          </w:p>
        </w:tc>
        <w:tc>
          <w:tcPr>
            <w:tcW w:w="432" w:type="pct"/>
            <w:noWrap/>
            <w:hideMark/>
          </w:tcPr>
          <w:p w14:paraId="15EB9F2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62</w:t>
            </w:r>
          </w:p>
        </w:tc>
        <w:tc>
          <w:tcPr>
            <w:tcW w:w="618" w:type="pct"/>
            <w:noWrap/>
            <w:hideMark/>
          </w:tcPr>
          <w:p w14:paraId="0B46630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40</w:t>
            </w:r>
          </w:p>
        </w:tc>
        <w:tc>
          <w:tcPr>
            <w:tcW w:w="434" w:type="pct"/>
            <w:noWrap/>
            <w:hideMark/>
          </w:tcPr>
          <w:p w14:paraId="2652E48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5516041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267</w:t>
            </w:r>
          </w:p>
        </w:tc>
        <w:tc>
          <w:tcPr>
            <w:tcW w:w="432" w:type="pct"/>
            <w:noWrap/>
          </w:tcPr>
          <w:p w14:paraId="48A768D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234</w:t>
            </w:r>
          </w:p>
        </w:tc>
        <w:tc>
          <w:tcPr>
            <w:tcW w:w="527" w:type="pct"/>
            <w:noWrap/>
          </w:tcPr>
          <w:p w14:paraId="596D66A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28</w:t>
            </w:r>
          </w:p>
        </w:tc>
      </w:tr>
      <w:tr w:rsidR="00E732FA" w:rsidRPr="003C7CB1" w14:paraId="642F6DEC" w14:textId="77777777" w:rsidTr="00E732FA">
        <w:trPr>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B3BC028"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Motel</w:t>
            </w:r>
          </w:p>
        </w:tc>
        <w:tc>
          <w:tcPr>
            <w:tcW w:w="529" w:type="pct"/>
            <w:noWrap/>
            <w:hideMark/>
          </w:tcPr>
          <w:p w14:paraId="0E47654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w:t>
            </w:r>
          </w:p>
        </w:tc>
        <w:tc>
          <w:tcPr>
            <w:tcW w:w="482" w:type="pct"/>
            <w:noWrap/>
            <w:hideMark/>
          </w:tcPr>
          <w:p w14:paraId="6404DE6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56</w:t>
            </w:r>
          </w:p>
        </w:tc>
        <w:tc>
          <w:tcPr>
            <w:tcW w:w="432" w:type="pct"/>
            <w:noWrap/>
            <w:hideMark/>
          </w:tcPr>
          <w:p w14:paraId="29D4390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40</w:t>
            </w:r>
          </w:p>
        </w:tc>
        <w:tc>
          <w:tcPr>
            <w:tcW w:w="618" w:type="pct"/>
            <w:noWrap/>
            <w:hideMark/>
          </w:tcPr>
          <w:p w14:paraId="4D9CC32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16</w:t>
            </w:r>
          </w:p>
        </w:tc>
        <w:tc>
          <w:tcPr>
            <w:tcW w:w="434" w:type="pct"/>
            <w:noWrap/>
            <w:hideMark/>
          </w:tcPr>
          <w:p w14:paraId="11F82B9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p>
        </w:tc>
        <w:tc>
          <w:tcPr>
            <w:tcW w:w="473" w:type="pct"/>
            <w:noWrap/>
          </w:tcPr>
          <w:p w14:paraId="78AD8AC2"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107</w:t>
            </w:r>
          </w:p>
        </w:tc>
        <w:tc>
          <w:tcPr>
            <w:tcW w:w="432" w:type="pct"/>
            <w:noWrap/>
          </w:tcPr>
          <w:p w14:paraId="34B1302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107</w:t>
            </w:r>
          </w:p>
        </w:tc>
        <w:tc>
          <w:tcPr>
            <w:tcW w:w="527" w:type="pct"/>
            <w:noWrap/>
          </w:tcPr>
          <w:p w14:paraId="0C9250B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p>
        </w:tc>
      </w:tr>
      <w:tr w:rsidR="00E732FA" w:rsidRPr="003C7CB1" w14:paraId="7DDC0D67"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0A98D0BA"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Two stars **</w:t>
            </w:r>
          </w:p>
        </w:tc>
        <w:tc>
          <w:tcPr>
            <w:tcW w:w="529" w:type="pct"/>
            <w:noWrap/>
            <w:hideMark/>
          </w:tcPr>
          <w:p w14:paraId="238C28D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82" w:type="pct"/>
            <w:noWrap/>
            <w:hideMark/>
          </w:tcPr>
          <w:p w14:paraId="5306AB13"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19</w:t>
            </w:r>
          </w:p>
        </w:tc>
        <w:tc>
          <w:tcPr>
            <w:tcW w:w="432" w:type="pct"/>
            <w:noWrap/>
            <w:hideMark/>
          </w:tcPr>
          <w:p w14:paraId="41DDC6E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w:t>
            </w:r>
          </w:p>
        </w:tc>
        <w:tc>
          <w:tcPr>
            <w:tcW w:w="618" w:type="pct"/>
            <w:noWrap/>
            <w:hideMark/>
          </w:tcPr>
          <w:p w14:paraId="74236A7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16</w:t>
            </w:r>
          </w:p>
        </w:tc>
        <w:tc>
          <w:tcPr>
            <w:tcW w:w="434" w:type="pct"/>
            <w:noWrap/>
            <w:hideMark/>
          </w:tcPr>
          <w:p w14:paraId="0DB786E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54BF56E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42</w:t>
            </w:r>
          </w:p>
        </w:tc>
        <w:tc>
          <w:tcPr>
            <w:tcW w:w="432" w:type="pct"/>
            <w:noWrap/>
          </w:tcPr>
          <w:p w14:paraId="4B76004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42</w:t>
            </w:r>
          </w:p>
        </w:tc>
        <w:tc>
          <w:tcPr>
            <w:tcW w:w="527" w:type="pct"/>
            <w:noWrap/>
          </w:tcPr>
          <w:p w14:paraId="08F6C47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E732FA" w:rsidRPr="003C7CB1" w14:paraId="01A2B12A" w14:textId="77777777" w:rsidTr="00E732FA">
        <w:trPr>
          <w:trHeight w:val="133"/>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7DFB1223"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23F3D44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w:t>
            </w:r>
          </w:p>
        </w:tc>
        <w:tc>
          <w:tcPr>
            <w:tcW w:w="482" w:type="pct"/>
            <w:noWrap/>
            <w:hideMark/>
          </w:tcPr>
          <w:p w14:paraId="5C249D7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37</w:t>
            </w:r>
          </w:p>
        </w:tc>
        <w:tc>
          <w:tcPr>
            <w:tcW w:w="432" w:type="pct"/>
            <w:noWrap/>
            <w:hideMark/>
          </w:tcPr>
          <w:p w14:paraId="03B98BA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37</w:t>
            </w:r>
          </w:p>
        </w:tc>
        <w:tc>
          <w:tcPr>
            <w:tcW w:w="618" w:type="pct"/>
            <w:noWrap/>
            <w:hideMark/>
          </w:tcPr>
          <w:p w14:paraId="002EC8E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34" w:type="pct"/>
            <w:noWrap/>
            <w:hideMark/>
          </w:tcPr>
          <w:p w14:paraId="1DDE13D9"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6BAC1BB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65</w:t>
            </w:r>
          </w:p>
        </w:tc>
        <w:tc>
          <w:tcPr>
            <w:tcW w:w="432" w:type="pct"/>
            <w:noWrap/>
          </w:tcPr>
          <w:p w14:paraId="44AFFFF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65</w:t>
            </w:r>
          </w:p>
        </w:tc>
        <w:tc>
          <w:tcPr>
            <w:tcW w:w="527" w:type="pct"/>
            <w:noWrap/>
          </w:tcPr>
          <w:p w14:paraId="2EFB817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E732FA" w:rsidRPr="003C7CB1" w14:paraId="762E0196" w14:textId="77777777" w:rsidTr="00E73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59734032"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 xml:space="preserve">Tourist settlement </w:t>
            </w:r>
          </w:p>
        </w:tc>
        <w:tc>
          <w:tcPr>
            <w:tcW w:w="529" w:type="pct"/>
            <w:noWrap/>
            <w:hideMark/>
          </w:tcPr>
          <w:p w14:paraId="357290E3"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w:t>
            </w:r>
          </w:p>
        </w:tc>
        <w:tc>
          <w:tcPr>
            <w:tcW w:w="482" w:type="pct"/>
            <w:noWrap/>
            <w:hideMark/>
          </w:tcPr>
          <w:p w14:paraId="072D27C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1,762</w:t>
            </w:r>
          </w:p>
        </w:tc>
        <w:tc>
          <w:tcPr>
            <w:tcW w:w="432" w:type="pct"/>
            <w:noWrap/>
            <w:hideMark/>
          </w:tcPr>
          <w:p w14:paraId="6A5C234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1,542</w:t>
            </w:r>
          </w:p>
        </w:tc>
        <w:tc>
          <w:tcPr>
            <w:tcW w:w="618" w:type="pct"/>
            <w:noWrap/>
            <w:hideMark/>
          </w:tcPr>
          <w:p w14:paraId="6BC181A0"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220</w:t>
            </w:r>
          </w:p>
        </w:tc>
        <w:tc>
          <w:tcPr>
            <w:tcW w:w="434" w:type="pct"/>
            <w:noWrap/>
            <w:hideMark/>
          </w:tcPr>
          <w:p w14:paraId="7996D17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p>
        </w:tc>
        <w:tc>
          <w:tcPr>
            <w:tcW w:w="473" w:type="pct"/>
            <w:noWrap/>
          </w:tcPr>
          <w:p w14:paraId="29EF4D5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3,911</w:t>
            </w:r>
          </w:p>
        </w:tc>
        <w:tc>
          <w:tcPr>
            <w:tcW w:w="432" w:type="pct"/>
            <w:noWrap/>
          </w:tcPr>
          <w:p w14:paraId="5C773E4D"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3,785</w:t>
            </w:r>
          </w:p>
        </w:tc>
        <w:tc>
          <w:tcPr>
            <w:tcW w:w="527" w:type="pct"/>
            <w:noWrap/>
          </w:tcPr>
          <w:p w14:paraId="659DEA2F"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125</w:t>
            </w:r>
          </w:p>
        </w:tc>
      </w:tr>
      <w:tr w:rsidR="00E732FA" w:rsidRPr="003C7CB1" w14:paraId="7CB8B098" w14:textId="77777777" w:rsidTr="00E732FA">
        <w:trPr>
          <w:trHeight w:val="16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5DFFC2A3"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One star *</w:t>
            </w:r>
          </w:p>
        </w:tc>
        <w:tc>
          <w:tcPr>
            <w:tcW w:w="529" w:type="pct"/>
            <w:noWrap/>
            <w:hideMark/>
          </w:tcPr>
          <w:p w14:paraId="37DADDD4"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82" w:type="pct"/>
            <w:noWrap/>
            <w:hideMark/>
          </w:tcPr>
          <w:p w14:paraId="627CD61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404</w:t>
            </w:r>
          </w:p>
        </w:tc>
        <w:tc>
          <w:tcPr>
            <w:tcW w:w="432" w:type="pct"/>
            <w:noWrap/>
            <w:hideMark/>
          </w:tcPr>
          <w:p w14:paraId="6A2E4CE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376</w:t>
            </w:r>
          </w:p>
        </w:tc>
        <w:tc>
          <w:tcPr>
            <w:tcW w:w="618" w:type="pct"/>
            <w:noWrap/>
            <w:hideMark/>
          </w:tcPr>
          <w:p w14:paraId="0D483EB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28</w:t>
            </w:r>
          </w:p>
        </w:tc>
        <w:tc>
          <w:tcPr>
            <w:tcW w:w="434" w:type="pct"/>
            <w:noWrap/>
            <w:hideMark/>
          </w:tcPr>
          <w:p w14:paraId="279B9AD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178F530B"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1,026</w:t>
            </w:r>
          </w:p>
        </w:tc>
        <w:tc>
          <w:tcPr>
            <w:tcW w:w="432" w:type="pct"/>
            <w:noWrap/>
          </w:tcPr>
          <w:p w14:paraId="70717DEC"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980</w:t>
            </w:r>
          </w:p>
        </w:tc>
        <w:tc>
          <w:tcPr>
            <w:tcW w:w="527" w:type="pct"/>
            <w:noWrap/>
          </w:tcPr>
          <w:p w14:paraId="4CF8B807"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45</w:t>
            </w:r>
          </w:p>
        </w:tc>
      </w:tr>
      <w:tr w:rsidR="00E732FA" w:rsidRPr="003C7CB1" w14:paraId="7D22397E" w14:textId="77777777" w:rsidTr="00E732FA">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545B9F12"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Three stars ***</w:t>
            </w:r>
          </w:p>
        </w:tc>
        <w:tc>
          <w:tcPr>
            <w:tcW w:w="529" w:type="pct"/>
            <w:noWrap/>
            <w:hideMark/>
          </w:tcPr>
          <w:p w14:paraId="59F2461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3</w:t>
            </w:r>
          </w:p>
        </w:tc>
        <w:tc>
          <w:tcPr>
            <w:tcW w:w="482" w:type="pct"/>
            <w:noWrap/>
            <w:hideMark/>
          </w:tcPr>
          <w:p w14:paraId="3E779DF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864</w:t>
            </w:r>
          </w:p>
        </w:tc>
        <w:tc>
          <w:tcPr>
            <w:tcW w:w="432" w:type="pct"/>
            <w:noWrap/>
            <w:hideMark/>
          </w:tcPr>
          <w:p w14:paraId="0DF3329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725</w:t>
            </w:r>
          </w:p>
        </w:tc>
        <w:tc>
          <w:tcPr>
            <w:tcW w:w="618" w:type="pct"/>
            <w:noWrap/>
            <w:hideMark/>
          </w:tcPr>
          <w:p w14:paraId="45E8B75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139</w:t>
            </w:r>
          </w:p>
        </w:tc>
        <w:tc>
          <w:tcPr>
            <w:tcW w:w="434" w:type="pct"/>
            <w:noWrap/>
            <w:hideMark/>
          </w:tcPr>
          <w:p w14:paraId="0BCED223"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473" w:type="pct"/>
            <w:noWrap/>
          </w:tcPr>
          <w:p w14:paraId="18604569"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1,944</w:t>
            </w:r>
          </w:p>
        </w:tc>
        <w:tc>
          <w:tcPr>
            <w:tcW w:w="432" w:type="pct"/>
            <w:noWrap/>
          </w:tcPr>
          <w:p w14:paraId="40538591"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1,864</w:t>
            </w:r>
          </w:p>
        </w:tc>
        <w:tc>
          <w:tcPr>
            <w:tcW w:w="527" w:type="pct"/>
            <w:noWrap/>
          </w:tcPr>
          <w:p w14:paraId="5F37DCE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80</w:t>
            </w:r>
          </w:p>
        </w:tc>
      </w:tr>
      <w:tr w:rsidR="00E732FA" w:rsidRPr="003C7CB1" w14:paraId="11390F8B" w14:textId="77777777" w:rsidTr="00E732FA">
        <w:trPr>
          <w:trHeight w:val="139"/>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2504A417"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000000"/>
                <w:sz w:val="18"/>
                <w:szCs w:val="18"/>
              </w:rPr>
              <w:t>Four stars ****</w:t>
            </w:r>
          </w:p>
        </w:tc>
        <w:tc>
          <w:tcPr>
            <w:tcW w:w="529" w:type="pct"/>
            <w:noWrap/>
            <w:hideMark/>
          </w:tcPr>
          <w:p w14:paraId="3E17D00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1</w:t>
            </w:r>
          </w:p>
        </w:tc>
        <w:tc>
          <w:tcPr>
            <w:tcW w:w="482" w:type="pct"/>
            <w:noWrap/>
            <w:hideMark/>
          </w:tcPr>
          <w:p w14:paraId="3293CBC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494</w:t>
            </w:r>
          </w:p>
        </w:tc>
        <w:tc>
          <w:tcPr>
            <w:tcW w:w="432" w:type="pct"/>
            <w:noWrap/>
            <w:hideMark/>
          </w:tcPr>
          <w:p w14:paraId="6AFD25B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441</w:t>
            </w:r>
          </w:p>
        </w:tc>
        <w:tc>
          <w:tcPr>
            <w:tcW w:w="618" w:type="pct"/>
            <w:noWrap/>
            <w:hideMark/>
          </w:tcPr>
          <w:p w14:paraId="0C9E00C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53</w:t>
            </w:r>
          </w:p>
        </w:tc>
        <w:tc>
          <w:tcPr>
            <w:tcW w:w="434" w:type="pct"/>
            <w:noWrap/>
            <w:hideMark/>
          </w:tcPr>
          <w:p w14:paraId="2490BDD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473" w:type="pct"/>
            <w:noWrap/>
          </w:tcPr>
          <w:p w14:paraId="5FCEC780"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941</w:t>
            </w:r>
          </w:p>
        </w:tc>
        <w:tc>
          <w:tcPr>
            <w:tcW w:w="432" w:type="pct"/>
            <w:noWrap/>
          </w:tcPr>
          <w:p w14:paraId="1AC86BC5"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3C7CB1">
              <w:rPr>
                <w:rFonts w:cstheme="minorHAnsi"/>
                <w:color w:val="000000"/>
                <w:sz w:val="18"/>
                <w:szCs w:val="18"/>
              </w:rPr>
              <w:t>941</w:t>
            </w:r>
          </w:p>
        </w:tc>
        <w:tc>
          <w:tcPr>
            <w:tcW w:w="527" w:type="pct"/>
            <w:noWrap/>
          </w:tcPr>
          <w:p w14:paraId="15DB181F"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E732FA" w:rsidRPr="003C7CB1" w14:paraId="2FF0FF42" w14:textId="77777777" w:rsidTr="00E732FA">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5515F666"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proofErr w:type="spellStart"/>
            <w:r w:rsidRPr="003C7CB1">
              <w:rPr>
                <w:rFonts w:cstheme="minorHAnsi"/>
                <w:color w:val="FF0000"/>
                <w:sz w:val="18"/>
                <w:szCs w:val="18"/>
              </w:rPr>
              <w:t>Ethno</w:t>
            </w:r>
            <w:proofErr w:type="spellEnd"/>
            <w:r w:rsidRPr="003C7CB1">
              <w:rPr>
                <w:rFonts w:cstheme="minorHAnsi"/>
                <w:color w:val="FF0000"/>
                <w:sz w:val="18"/>
                <w:szCs w:val="18"/>
              </w:rPr>
              <w:t xml:space="preserve"> village</w:t>
            </w:r>
          </w:p>
        </w:tc>
        <w:tc>
          <w:tcPr>
            <w:tcW w:w="529" w:type="pct"/>
            <w:noWrap/>
            <w:hideMark/>
          </w:tcPr>
          <w:p w14:paraId="469A9C0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6</w:t>
            </w:r>
          </w:p>
        </w:tc>
        <w:tc>
          <w:tcPr>
            <w:tcW w:w="482" w:type="pct"/>
            <w:noWrap/>
            <w:hideMark/>
          </w:tcPr>
          <w:p w14:paraId="3460340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110</w:t>
            </w:r>
          </w:p>
        </w:tc>
        <w:tc>
          <w:tcPr>
            <w:tcW w:w="432" w:type="pct"/>
            <w:noWrap/>
            <w:hideMark/>
          </w:tcPr>
          <w:p w14:paraId="69B98E18"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76</w:t>
            </w:r>
          </w:p>
        </w:tc>
        <w:tc>
          <w:tcPr>
            <w:tcW w:w="618" w:type="pct"/>
            <w:noWrap/>
            <w:hideMark/>
          </w:tcPr>
          <w:p w14:paraId="0E8D117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19</w:t>
            </w:r>
          </w:p>
        </w:tc>
        <w:tc>
          <w:tcPr>
            <w:tcW w:w="434" w:type="pct"/>
            <w:noWrap/>
            <w:hideMark/>
          </w:tcPr>
          <w:p w14:paraId="54E4383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15</w:t>
            </w:r>
          </w:p>
        </w:tc>
        <w:tc>
          <w:tcPr>
            <w:tcW w:w="473" w:type="pct"/>
            <w:noWrap/>
          </w:tcPr>
          <w:p w14:paraId="524E1124"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277</w:t>
            </w:r>
          </w:p>
        </w:tc>
        <w:tc>
          <w:tcPr>
            <w:tcW w:w="432" w:type="pct"/>
            <w:noWrap/>
          </w:tcPr>
          <w:p w14:paraId="17F4668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273</w:t>
            </w:r>
          </w:p>
        </w:tc>
        <w:tc>
          <w:tcPr>
            <w:tcW w:w="527" w:type="pct"/>
            <w:noWrap/>
          </w:tcPr>
          <w:p w14:paraId="160DF15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4</w:t>
            </w:r>
          </w:p>
        </w:tc>
      </w:tr>
      <w:tr w:rsidR="00E732FA" w:rsidRPr="003C7CB1" w14:paraId="5EFA4D4C" w14:textId="77777777" w:rsidTr="00E732FA">
        <w:trPr>
          <w:trHeight w:val="139"/>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4B7D6097"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Hostel</w:t>
            </w:r>
          </w:p>
        </w:tc>
        <w:tc>
          <w:tcPr>
            <w:tcW w:w="529" w:type="pct"/>
            <w:noWrap/>
            <w:hideMark/>
          </w:tcPr>
          <w:p w14:paraId="23EF63F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9</w:t>
            </w:r>
          </w:p>
        </w:tc>
        <w:tc>
          <w:tcPr>
            <w:tcW w:w="482" w:type="pct"/>
            <w:noWrap/>
            <w:hideMark/>
          </w:tcPr>
          <w:p w14:paraId="31DBA04D"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286</w:t>
            </w:r>
          </w:p>
        </w:tc>
        <w:tc>
          <w:tcPr>
            <w:tcW w:w="432" w:type="pct"/>
            <w:noWrap/>
            <w:hideMark/>
          </w:tcPr>
          <w:p w14:paraId="51A17713"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284</w:t>
            </w:r>
          </w:p>
        </w:tc>
        <w:tc>
          <w:tcPr>
            <w:tcW w:w="618" w:type="pct"/>
            <w:noWrap/>
            <w:hideMark/>
          </w:tcPr>
          <w:p w14:paraId="3A61EA3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w:t>
            </w:r>
          </w:p>
        </w:tc>
        <w:tc>
          <w:tcPr>
            <w:tcW w:w="434" w:type="pct"/>
            <w:noWrap/>
            <w:hideMark/>
          </w:tcPr>
          <w:p w14:paraId="596349C6"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p>
        </w:tc>
        <w:tc>
          <w:tcPr>
            <w:tcW w:w="473" w:type="pct"/>
            <w:noWrap/>
          </w:tcPr>
          <w:p w14:paraId="51120C31"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908</w:t>
            </w:r>
          </w:p>
        </w:tc>
        <w:tc>
          <w:tcPr>
            <w:tcW w:w="432" w:type="pct"/>
            <w:noWrap/>
          </w:tcPr>
          <w:p w14:paraId="3C6A96C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903</w:t>
            </w:r>
          </w:p>
        </w:tc>
        <w:tc>
          <w:tcPr>
            <w:tcW w:w="527" w:type="pct"/>
            <w:noWrap/>
          </w:tcPr>
          <w:p w14:paraId="60274E78" w14:textId="77777777" w:rsidR="00E732FA" w:rsidRPr="003C7CB1" w:rsidRDefault="00E732FA" w:rsidP="00E732FA">
            <w:pPr>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w:t>
            </w:r>
          </w:p>
        </w:tc>
      </w:tr>
      <w:tr w:rsidR="00E732FA" w:rsidRPr="003C7CB1" w14:paraId="6A70E20B" w14:textId="77777777" w:rsidTr="00E732FA">
        <w:trPr>
          <w:cnfStyle w:val="000000100000" w:firstRow="0" w:lastRow="0" w:firstColumn="0" w:lastColumn="0" w:oddVBand="0" w:evenVBand="0" w:oddHBand="1"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073" w:type="pct"/>
            <w:shd w:val="clear" w:color="auto" w:fill="FBE4D5" w:themeFill="accent2" w:themeFillTint="33"/>
            <w:noWrap/>
            <w:hideMark/>
          </w:tcPr>
          <w:p w14:paraId="4374588A" w14:textId="77777777" w:rsidR="00E732FA" w:rsidRPr="003C7CB1" w:rsidRDefault="00E732FA" w:rsidP="00E732FA">
            <w:pPr>
              <w:autoSpaceDE w:val="0"/>
              <w:autoSpaceDN w:val="0"/>
              <w:adjustRightInd w:val="0"/>
              <w:spacing w:after="0" w:line="240" w:lineRule="auto"/>
              <w:jc w:val="center"/>
              <w:rPr>
                <w:rFonts w:cstheme="minorHAnsi"/>
                <w:color w:val="000000"/>
                <w:sz w:val="18"/>
                <w:szCs w:val="18"/>
              </w:rPr>
            </w:pPr>
            <w:r w:rsidRPr="003C7CB1">
              <w:rPr>
                <w:rFonts w:cstheme="minorHAnsi"/>
                <w:color w:val="FF0000"/>
                <w:sz w:val="18"/>
                <w:szCs w:val="18"/>
              </w:rPr>
              <w:t>Other</w:t>
            </w:r>
          </w:p>
        </w:tc>
        <w:tc>
          <w:tcPr>
            <w:tcW w:w="529" w:type="pct"/>
            <w:noWrap/>
            <w:hideMark/>
          </w:tcPr>
          <w:p w14:paraId="6175909B"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25</w:t>
            </w:r>
          </w:p>
        </w:tc>
        <w:tc>
          <w:tcPr>
            <w:tcW w:w="482" w:type="pct"/>
            <w:noWrap/>
            <w:hideMark/>
          </w:tcPr>
          <w:p w14:paraId="7639686A"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1,535</w:t>
            </w:r>
          </w:p>
        </w:tc>
        <w:tc>
          <w:tcPr>
            <w:tcW w:w="432" w:type="pct"/>
            <w:noWrap/>
            <w:hideMark/>
          </w:tcPr>
          <w:p w14:paraId="1367B01C"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1,306</w:t>
            </w:r>
          </w:p>
        </w:tc>
        <w:tc>
          <w:tcPr>
            <w:tcW w:w="618" w:type="pct"/>
            <w:noWrap/>
            <w:hideMark/>
          </w:tcPr>
          <w:p w14:paraId="0BDBD08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209</w:t>
            </w:r>
          </w:p>
        </w:tc>
        <w:tc>
          <w:tcPr>
            <w:tcW w:w="434" w:type="pct"/>
            <w:noWrap/>
            <w:hideMark/>
          </w:tcPr>
          <w:p w14:paraId="0ADC9BC6"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20</w:t>
            </w:r>
          </w:p>
        </w:tc>
        <w:tc>
          <w:tcPr>
            <w:tcW w:w="473" w:type="pct"/>
            <w:noWrap/>
          </w:tcPr>
          <w:p w14:paraId="4C50B9A5"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3,913</w:t>
            </w:r>
          </w:p>
        </w:tc>
        <w:tc>
          <w:tcPr>
            <w:tcW w:w="432" w:type="pct"/>
            <w:noWrap/>
          </w:tcPr>
          <w:p w14:paraId="4FEECA0E"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3,854</w:t>
            </w:r>
          </w:p>
        </w:tc>
        <w:tc>
          <w:tcPr>
            <w:tcW w:w="527" w:type="pct"/>
            <w:noWrap/>
          </w:tcPr>
          <w:p w14:paraId="16CA5022" w14:textId="77777777" w:rsidR="00E732FA" w:rsidRPr="003C7CB1" w:rsidRDefault="00E732FA" w:rsidP="00E732FA">
            <w:pPr>
              <w:autoSpaceDE w:val="0"/>
              <w:autoSpaceDN w:val="0"/>
              <w:adjustRightInd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3C7CB1">
              <w:rPr>
                <w:rFonts w:cstheme="minorHAnsi"/>
                <w:b/>
                <w:bCs/>
                <w:color w:val="000000"/>
                <w:sz w:val="18"/>
                <w:szCs w:val="18"/>
              </w:rPr>
              <w:t>59</w:t>
            </w:r>
          </w:p>
        </w:tc>
      </w:tr>
    </w:tbl>
    <w:p w14:paraId="079CBAF5" w14:textId="77777777" w:rsidR="00E732FA" w:rsidRPr="003C7CB1" w:rsidRDefault="00E732FA" w:rsidP="00E732FA">
      <w:pPr>
        <w:autoSpaceDE w:val="0"/>
        <w:autoSpaceDN w:val="0"/>
        <w:adjustRightInd w:val="0"/>
        <w:spacing w:after="0" w:line="240" w:lineRule="auto"/>
        <w:rPr>
          <w:rFonts w:cstheme="minorHAnsi"/>
          <w:i/>
          <w:iCs/>
          <w:color w:val="0563C1" w:themeColor="hyperlink"/>
          <w:sz w:val="20"/>
          <w:szCs w:val="20"/>
          <w:u w:val="single"/>
        </w:rPr>
      </w:pPr>
      <w:r w:rsidRPr="003C7CB1">
        <w:rPr>
          <w:rFonts w:cstheme="minorHAnsi"/>
          <w:i/>
          <w:iCs/>
          <w:color w:val="000000"/>
          <w:sz w:val="20"/>
          <w:szCs w:val="20"/>
        </w:rPr>
        <w:t xml:space="preserve">Source: MONSTAT, </w:t>
      </w:r>
      <w:hyperlink r:id="rId41" w:history="1">
        <w:r w:rsidRPr="003C7CB1">
          <w:rPr>
            <w:rFonts w:cstheme="minorHAnsi"/>
            <w:i/>
            <w:iCs/>
            <w:color w:val="0563C1" w:themeColor="hyperlink"/>
            <w:sz w:val="20"/>
            <w:szCs w:val="20"/>
            <w:u w:val="single"/>
          </w:rPr>
          <w:t>http://monstat.org/cg/page.php?id=444&amp;pageid=45</w:t>
        </w:r>
      </w:hyperlink>
    </w:p>
    <w:p w14:paraId="22BCFF41" w14:textId="77777777" w:rsidR="00E732FA" w:rsidRPr="003C7CB1" w:rsidRDefault="00E732FA" w:rsidP="00E732FA">
      <w:pPr>
        <w:autoSpaceDE w:val="0"/>
        <w:autoSpaceDN w:val="0"/>
        <w:adjustRightInd w:val="0"/>
        <w:spacing w:after="0" w:line="240" w:lineRule="auto"/>
        <w:rPr>
          <w:rFonts w:cstheme="minorHAnsi"/>
          <w:iCs/>
          <w:sz w:val="20"/>
          <w:szCs w:val="20"/>
        </w:rPr>
      </w:pPr>
      <w:r w:rsidRPr="003C7CB1">
        <w:rPr>
          <w:rFonts w:cstheme="minorHAnsi"/>
          <w:b/>
          <w:iCs/>
          <w:sz w:val="18"/>
          <w:szCs w:val="18"/>
        </w:rPr>
        <w:t>*</w:t>
      </w:r>
      <w:r w:rsidRPr="003C7CB1">
        <w:rPr>
          <w:rFonts w:cstheme="minorHAnsi"/>
          <w:iCs/>
          <w:sz w:val="20"/>
          <w:szCs w:val="20"/>
        </w:rPr>
        <w:t xml:space="preserve"> </w:t>
      </w:r>
      <w:r w:rsidRPr="003C7CB1">
        <w:rPr>
          <w:rFonts w:cstheme="minorHAnsi"/>
          <w:b/>
          <w:iCs/>
          <w:sz w:val="20"/>
          <w:szCs w:val="20"/>
        </w:rPr>
        <w:t>NOTE: Other:</w:t>
      </w:r>
      <w:r w:rsidRPr="003C7CB1">
        <w:rPr>
          <w:rFonts w:cstheme="minorHAnsi"/>
          <w:iCs/>
          <w:sz w:val="20"/>
          <w:szCs w:val="20"/>
        </w:rPr>
        <w:t xml:space="preserve"> resort, health resort, boarding houses, inns, etc.</w:t>
      </w:r>
      <w:r w:rsidRPr="003C7CB1">
        <w:rPr>
          <w:rFonts w:cstheme="minorHAnsi"/>
          <w:iCs/>
          <w:color w:val="0563C1" w:themeColor="hyperlink"/>
          <w:sz w:val="20"/>
          <w:szCs w:val="20"/>
        </w:rPr>
        <w:t xml:space="preserve"> </w:t>
      </w:r>
    </w:p>
    <w:p w14:paraId="47992792" w14:textId="77777777" w:rsidR="00E732FA" w:rsidRPr="003C7CB1" w:rsidRDefault="00E732FA" w:rsidP="00E732FA">
      <w:pPr>
        <w:autoSpaceDE w:val="0"/>
        <w:autoSpaceDN w:val="0"/>
        <w:adjustRightInd w:val="0"/>
        <w:spacing w:after="120" w:line="240" w:lineRule="auto"/>
        <w:jc w:val="both"/>
        <w:rPr>
          <w:rFonts w:cstheme="minorHAnsi"/>
          <w:iCs/>
          <w:sz w:val="24"/>
          <w:szCs w:val="24"/>
        </w:rPr>
      </w:pPr>
    </w:p>
    <w:p w14:paraId="598FE667" w14:textId="77777777" w:rsidR="00E732FA" w:rsidRPr="003C7CB1" w:rsidRDefault="00E732FA" w:rsidP="00E732FA">
      <w:pPr>
        <w:autoSpaceDE w:val="0"/>
        <w:autoSpaceDN w:val="0"/>
        <w:adjustRightInd w:val="0"/>
        <w:spacing w:after="120" w:line="240" w:lineRule="auto"/>
        <w:jc w:val="both"/>
        <w:rPr>
          <w:rFonts w:cstheme="minorHAnsi"/>
          <w:iCs/>
          <w:sz w:val="24"/>
          <w:szCs w:val="24"/>
        </w:rPr>
      </w:pPr>
      <w:r w:rsidRPr="003C7CB1">
        <w:rPr>
          <w:rFonts w:cstheme="minorHAnsi"/>
          <w:iCs/>
          <w:sz w:val="24"/>
          <w:szCs w:val="24"/>
        </w:rPr>
        <w:t>By analyzing the structure of collective accommodation by regions, in the period from 2010 to 2019 it can be stated that the highest growth in the number of facilities was recorded in the central region by 79.4%, and when it comes to the number of beds this growth is 53.6 %, with the note that in this region in 2010 there were the fewest facilities compared to other regions, i.e., only 34 buildings. In the same period, the coastal region recorded an increase in the number of facilities and beds by 29.3% and 15.5%, respectively.</w:t>
      </w:r>
      <w:r w:rsidRPr="003C7CB1">
        <w:t xml:space="preserve"> </w:t>
      </w:r>
      <w:r w:rsidRPr="003C7CB1">
        <w:rPr>
          <w:rFonts w:cstheme="minorHAnsi"/>
          <w:iCs/>
          <w:sz w:val="24"/>
          <w:szCs w:val="24"/>
        </w:rPr>
        <w:t xml:space="preserve">However, the Northern Region in 2019 participates at almost the same level in the total number of accommodation capacities as in 2010, i.e., the number of facilities increased by only 6%, and the number of beds in by 17.6%, with the growth in the number of beds achieved largely due to the increase in the number of camps in this region (Table no. 7).  </w:t>
      </w:r>
    </w:p>
    <w:p w14:paraId="0086D982" w14:textId="77777777" w:rsidR="00E732FA" w:rsidRPr="003C7CB1" w:rsidRDefault="00E732FA" w:rsidP="00E732FA">
      <w:pPr>
        <w:autoSpaceDE w:val="0"/>
        <w:autoSpaceDN w:val="0"/>
        <w:adjustRightInd w:val="0"/>
        <w:spacing w:after="120"/>
        <w:jc w:val="center"/>
        <w:rPr>
          <w:rFonts w:cstheme="minorHAnsi"/>
          <w:b/>
          <w:iCs/>
        </w:rPr>
      </w:pPr>
      <w:r w:rsidRPr="003C7CB1">
        <w:rPr>
          <w:rFonts w:cstheme="minorHAnsi"/>
          <w:b/>
          <w:iCs/>
        </w:rPr>
        <w:t>Table no. 7 - Structure of collective accommodation by regions of Montenegro</w:t>
      </w:r>
    </w:p>
    <w:tbl>
      <w:tblPr>
        <w:tblStyle w:val="TableGrid"/>
        <w:tblW w:w="0" w:type="auto"/>
        <w:tblLook w:val="04A0" w:firstRow="1" w:lastRow="0" w:firstColumn="1" w:lastColumn="0" w:noHBand="0" w:noVBand="1"/>
      </w:tblPr>
      <w:tblGrid>
        <w:gridCol w:w="2000"/>
        <w:gridCol w:w="1888"/>
        <w:gridCol w:w="1597"/>
        <w:gridCol w:w="1890"/>
        <w:gridCol w:w="1642"/>
      </w:tblGrid>
      <w:tr w:rsidR="00E732FA" w:rsidRPr="003C7CB1" w14:paraId="50D6A2DD" w14:textId="77777777" w:rsidTr="00E732FA">
        <w:tc>
          <w:tcPr>
            <w:tcW w:w="2000" w:type="dxa"/>
            <w:shd w:val="clear" w:color="auto" w:fill="B4C6E7" w:themeFill="accent1" w:themeFillTint="66"/>
          </w:tcPr>
          <w:p w14:paraId="50530CC5" w14:textId="77777777" w:rsidR="00E732FA" w:rsidRPr="003C7CB1" w:rsidRDefault="00E732FA" w:rsidP="00E732FA">
            <w:pPr>
              <w:autoSpaceDE w:val="0"/>
              <w:autoSpaceDN w:val="0"/>
              <w:adjustRightInd w:val="0"/>
              <w:spacing w:after="120"/>
              <w:rPr>
                <w:rFonts w:cstheme="minorHAnsi"/>
                <w:b/>
                <w:iCs/>
                <w:sz w:val="20"/>
                <w:szCs w:val="20"/>
              </w:rPr>
            </w:pPr>
            <w:r w:rsidRPr="003C7CB1">
              <w:rPr>
                <w:rFonts w:cstheme="minorHAnsi"/>
                <w:b/>
                <w:iCs/>
                <w:sz w:val="20"/>
                <w:szCs w:val="20"/>
              </w:rPr>
              <w:t xml:space="preserve">Region </w:t>
            </w:r>
          </w:p>
        </w:tc>
        <w:tc>
          <w:tcPr>
            <w:tcW w:w="3485" w:type="dxa"/>
            <w:gridSpan w:val="2"/>
            <w:shd w:val="clear" w:color="auto" w:fill="B4C6E7" w:themeFill="accent1" w:themeFillTint="66"/>
          </w:tcPr>
          <w:p w14:paraId="1D1DB26B" w14:textId="77777777" w:rsidR="00E732FA" w:rsidRPr="003C7CB1" w:rsidRDefault="00E732FA" w:rsidP="00E732FA">
            <w:pPr>
              <w:autoSpaceDE w:val="0"/>
              <w:autoSpaceDN w:val="0"/>
              <w:adjustRightInd w:val="0"/>
              <w:spacing w:after="120"/>
              <w:jc w:val="center"/>
              <w:rPr>
                <w:rFonts w:cstheme="minorHAnsi"/>
                <w:b/>
                <w:iCs/>
                <w:sz w:val="20"/>
                <w:szCs w:val="20"/>
              </w:rPr>
            </w:pPr>
            <w:r w:rsidRPr="003C7CB1">
              <w:rPr>
                <w:rFonts w:cstheme="minorHAnsi"/>
                <w:b/>
                <w:iCs/>
                <w:sz w:val="20"/>
                <w:szCs w:val="20"/>
              </w:rPr>
              <w:t xml:space="preserve">2010 </w:t>
            </w:r>
          </w:p>
        </w:tc>
        <w:tc>
          <w:tcPr>
            <w:tcW w:w="3532" w:type="dxa"/>
            <w:gridSpan w:val="2"/>
            <w:shd w:val="clear" w:color="auto" w:fill="B4C6E7" w:themeFill="accent1" w:themeFillTint="66"/>
          </w:tcPr>
          <w:p w14:paraId="17527170" w14:textId="77777777" w:rsidR="00E732FA" w:rsidRPr="003C7CB1" w:rsidRDefault="00E732FA" w:rsidP="00E732FA">
            <w:pPr>
              <w:autoSpaceDE w:val="0"/>
              <w:autoSpaceDN w:val="0"/>
              <w:adjustRightInd w:val="0"/>
              <w:spacing w:after="120"/>
              <w:jc w:val="center"/>
              <w:rPr>
                <w:rFonts w:cstheme="minorHAnsi"/>
                <w:b/>
                <w:iCs/>
                <w:sz w:val="20"/>
                <w:szCs w:val="20"/>
              </w:rPr>
            </w:pPr>
            <w:r w:rsidRPr="003C7CB1">
              <w:rPr>
                <w:rFonts w:cstheme="minorHAnsi"/>
                <w:b/>
                <w:iCs/>
                <w:sz w:val="20"/>
                <w:szCs w:val="20"/>
              </w:rPr>
              <w:t xml:space="preserve">2019 </w:t>
            </w:r>
          </w:p>
        </w:tc>
      </w:tr>
      <w:tr w:rsidR="00E732FA" w:rsidRPr="003C7CB1" w14:paraId="03DDC225" w14:textId="77777777" w:rsidTr="00E732FA">
        <w:tc>
          <w:tcPr>
            <w:tcW w:w="2000" w:type="dxa"/>
            <w:shd w:val="clear" w:color="auto" w:fill="B4C6E7" w:themeFill="accent1" w:themeFillTint="66"/>
          </w:tcPr>
          <w:p w14:paraId="5532D592" w14:textId="77777777" w:rsidR="00E732FA" w:rsidRPr="003C7CB1" w:rsidRDefault="00E732FA" w:rsidP="00E732FA">
            <w:pPr>
              <w:autoSpaceDE w:val="0"/>
              <w:autoSpaceDN w:val="0"/>
              <w:adjustRightInd w:val="0"/>
              <w:spacing w:after="120"/>
              <w:rPr>
                <w:rFonts w:cstheme="minorHAnsi"/>
                <w:b/>
                <w:iCs/>
                <w:sz w:val="20"/>
                <w:szCs w:val="20"/>
              </w:rPr>
            </w:pPr>
          </w:p>
        </w:tc>
        <w:tc>
          <w:tcPr>
            <w:tcW w:w="1888" w:type="dxa"/>
            <w:shd w:val="clear" w:color="auto" w:fill="B4C6E7" w:themeFill="accent1" w:themeFillTint="66"/>
          </w:tcPr>
          <w:p w14:paraId="1A38215A" w14:textId="77777777" w:rsidR="00E732FA" w:rsidRPr="003C7CB1" w:rsidRDefault="00E732FA" w:rsidP="00E732FA">
            <w:pPr>
              <w:autoSpaceDE w:val="0"/>
              <w:autoSpaceDN w:val="0"/>
              <w:adjustRightInd w:val="0"/>
              <w:spacing w:after="120"/>
              <w:jc w:val="center"/>
              <w:rPr>
                <w:rFonts w:cstheme="minorHAnsi"/>
                <w:b/>
                <w:iCs/>
                <w:sz w:val="20"/>
                <w:szCs w:val="20"/>
              </w:rPr>
            </w:pPr>
            <w:r w:rsidRPr="003C7CB1">
              <w:rPr>
                <w:rFonts w:cstheme="minorHAnsi"/>
                <w:b/>
                <w:iCs/>
                <w:sz w:val="20"/>
                <w:szCs w:val="20"/>
              </w:rPr>
              <w:t xml:space="preserve">Number of facilities </w:t>
            </w:r>
          </w:p>
        </w:tc>
        <w:tc>
          <w:tcPr>
            <w:tcW w:w="1597" w:type="dxa"/>
            <w:shd w:val="clear" w:color="auto" w:fill="B4C6E7" w:themeFill="accent1" w:themeFillTint="66"/>
          </w:tcPr>
          <w:p w14:paraId="76642EF7" w14:textId="77777777" w:rsidR="00E732FA" w:rsidRPr="003C7CB1" w:rsidRDefault="00E732FA" w:rsidP="00E732FA">
            <w:pPr>
              <w:autoSpaceDE w:val="0"/>
              <w:autoSpaceDN w:val="0"/>
              <w:adjustRightInd w:val="0"/>
              <w:spacing w:after="120"/>
              <w:jc w:val="center"/>
              <w:rPr>
                <w:rFonts w:cstheme="minorHAnsi"/>
                <w:b/>
                <w:iCs/>
                <w:sz w:val="20"/>
                <w:szCs w:val="20"/>
              </w:rPr>
            </w:pPr>
            <w:r w:rsidRPr="003C7CB1">
              <w:rPr>
                <w:rFonts w:cstheme="minorHAnsi"/>
                <w:b/>
                <w:iCs/>
                <w:sz w:val="20"/>
                <w:szCs w:val="20"/>
              </w:rPr>
              <w:t xml:space="preserve">Number of beds  </w:t>
            </w:r>
          </w:p>
        </w:tc>
        <w:tc>
          <w:tcPr>
            <w:tcW w:w="1890" w:type="dxa"/>
            <w:shd w:val="clear" w:color="auto" w:fill="B4C6E7" w:themeFill="accent1" w:themeFillTint="66"/>
          </w:tcPr>
          <w:p w14:paraId="7C6ABF8D" w14:textId="77777777" w:rsidR="00E732FA" w:rsidRPr="003C7CB1" w:rsidRDefault="00E732FA" w:rsidP="00E732FA">
            <w:pPr>
              <w:autoSpaceDE w:val="0"/>
              <w:autoSpaceDN w:val="0"/>
              <w:adjustRightInd w:val="0"/>
              <w:spacing w:after="120"/>
              <w:jc w:val="center"/>
              <w:rPr>
                <w:rFonts w:cstheme="minorHAnsi"/>
                <w:b/>
                <w:iCs/>
                <w:sz w:val="20"/>
                <w:szCs w:val="20"/>
              </w:rPr>
            </w:pPr>
            <w:r w:rsidRPr="003C7CB1">
              <w:rPr>
                <w:rFonts w:cstheme="minorHAnsi"/>
                <w:b/>
                <w:iCs/>
                <w:sz w:val="20"/>
                <w:szCs w:val="20"/>
              </w:rPr>
              <w:t xml:space="preserve">Number of facilities  </w:t>
            </w:r>
          </w:p>
        </w:tc>
        <w:tc>
          <w:tcPr>
            <w:tcW w:w="1642" w:type="dxa"/>
            <w:shd w:val="clear" w:color="auto" w:fill="B4C6E7" w:themeFill="accent1" w:themeFillTint="66"/>
          </w:tcPr>
          <w:p w14:paraId="26436DF3" w14:textId="77777777" w:rsidR="00E732FA" w:rsidRPr="003C7CB1" w:rsidRDefault="00E732FA" w:rsidP="00E732FA">
            <w:pPr>
              <w:autoSpaceDE w:val="0"/>
              <w:autoSpaceDN w:val="0"/>
              <w:adjustRightInd w:val="0"/>
              <w:spacing w:after="120"/>
              <w:jc w:val="center"/>
              <w:rPr>
                <w:rFonts w:cstheme="minorHAnsi"/>
                <w:b/>
                <w:iCs/>
                <w:sz w:val="20"/>
                <w:szCs w:val="20"/>
              </w:rPr>
            </w:pPr>
            <w:r w:rsidRPr="003C7CB1">
              <w:rPr>
                <w:rFonts w:cstheme="minorHAnsi"/>
                <w:b/>
                <w:iCs/>
                <w:sz w:val="20"/>
                <w:szCs w:val="20"/>
              </w:rPr>
              <w:t xml:space="preserve">Number of beds </w:t>
            </w:r>
          </w:p>
        </w:tc>
      </w:tr>
      <w:tr w:rsidR="00E732FA" w:rsidRPr="003C7CB1" w14:paraId="06DA18C7" w14:textId="77777777" w:rsidTr="00E732FA">
        <w:tc>
          <w:tcPr>
            <w:tcW w:w="2000" w:type="dxa"/>
            <w:shd w:val="clear" w:color="auto" w:fill="D9E2F3" w:themeFill="accent1" w:themeFillTint="33"/>
          </w:tcPr>
          <w:p w14:paraId="6D6DC820" w14:textId="77777777" w:rsidR="00E732FA" w:rsidRPr="003C7CB1" w:rsidRDefault="00E732FA" w:rsidP="00E732FA">
            <w:pPr>
              <w:autoSpaceDE w:val="0"/>
              <w:autoSpaceDN w:val="0"/>
              <w:adjustRightInd w:val="0"/>
              <w:spacing w:after="120"/>
              <w:rPr>
                <w:rFonts w:cstheme="minorHAnsi"/>
                <w:b/>
                <w:iCs/>
                <w:sz w:val="20"/>
                <w:szCs w:val="20"/>
              </w:rPr>
            </w:pPr>
            <w:r w:rsidRPr="003C7CB1">
              <w:rPr>
                <w:rFonts w:cstheme="minorHAnsi"/>
                <w:b/>
                <w:iCs/>
                <w:sz w:val="20"/>
                <w:szCs w:val="20"/>
              </w:rPr>
              <w:t xml:space="preserve">Coastal region </w:t>
            </w:r>
          </w:p>
        </w:tc>
        <w:tc>
          <w:tcPr>
            <w:tcW w:w="1888" w:type="dxa"/>
          </w:tcPr>
          <w:p w14:paraId="27A366CB"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225</w:t>
            </w:r>
          </w:p>
        </w:tc>
        <w:tc>
          <w:tcPr>
            <w:tcW w:w="1597" w:type="dxa"/>
          </w:tcPr>
          <w:p w14:paraId="42AB3444"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36,213</w:t>
            </w:r>
          </w:p>
        </w:tc>
        <w:tc>
          <w:tcPr>
            <w:tcW w:w="1890" w:type="dxa"/>
          </w:tcPr>
          <w:p w14:paraId="3D00E939"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291</w:t>
            </w:r>
          </w:p>
        </w:tc>
        <w:tc>
          <w:tcPr>
            <w:tcW w:w="1642" w:type="dxa"/>
          </w:tcPr>
          <w:p w14:paraId="67000559"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41,818</w:t>
            </w:r>
          </w:p>
        </w:tc>
      </w:tr>
      <w:tr w:rsidR="00E732FA" w:rsidRPr="003C7CB1" w14:paraId="16755646" w14:textId="77777777" w:rsidTr="00E732FA">
        <w:tc>
          <w:tcPr>
            <w:tcW w:w="2000" w:type="dxa"/>
            <w:shd w:val="clear" w:color="auto" w:fill="D9E2F3" w:themeFill="accent1" w:themeFillTint="33"/>
          </w:tcPr>
          <w:p w14:paraId="77F53DEA" w14:textId="77777777" w:rsidR="00E732FA" w:rsidRPr="003C7CB1" w:rsidRDefault="00E732FA" w:rsidP="00E732FA">
            <w:pPr>
              <w:autoSpaceDE w:val="0"/>
              <w:autoSpaceDN w:val="0"/>
              <w:adjustRightInd w:val="0"/>
              <w:spacing w:after="120"/>
              <w:rPr>
                <w:rFonts w:cstheme="minorHAnsi"/>
                <w:b/>
                <w:iCs/>
                <w:sz w:val="20"/>
                <w:szCs w:val="20"/>
              </w:rPr>
            </w:pPr>
            <w:r w:rsidRPr="003C7CB1">
              <w:rPr>
                <w:rFonts w:cstheme="minorHAnsi"/>
                <w:b/>
                <w:iCs/>
                <w:sz w:val="20"/>
                <w:szCs w:val="20"/>
              </w:rPr>
              <w:t xml:space="preserve">Central region  </w:t>
            </w:r>
          </w:p>
        </w:tc>
        <w:tc>
          <w:tcPr>
            <w:tcW w:w="1888" w:type="dxa"/>
          </w:tcPr>
          <w:p w14:paraId="16553FFC"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34</w:t>
            </w:r>
          </w:p>
        </w:tc>
        <w:tc>
          <w:tcPr>
            <w:tcW w:w="1597" w:type="dxa"/>
          </w:tcPr>
          <w:p w14:paraId="5F845154"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2,639</w:t>
            </w:r>
          </w:p>
        </w:tc>
        <w:tc>
          <w:tcPr>
            <w:tcW w:w="1890" w:type="dxa"/>
          </w:tcPr>
          <w:p w14:paraId="7230F8DA"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61</w:t>
            </w:r>
          </w:p>
        </w:tc>
        <w:tc>
          <w:tcPr>
            <w:tcW w:w="1642" w:type="dxa"/>
          </w:tcPr>
          <w:p w14:paraId="5BC7AE44"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4,054</w:t>
            </w:r>
          </w:p>
        </w:tc>
      </w:tr>
      <w:tr w:rsidR="00E732FA" w:rsidRPr="003C7CB1" w14:paraId="5B6FF29C" w14:textId="77777777" w:rsidTr="00E732FA">
        <w:tc>
          <w:tcPr>
            <w:tcW w:w="2000" w:type="dxa"/>
            <w:shd w:val="clear" w:color="auto" w:fill="D9E2F3" w:themeFill="accent1" w:themeFillTint="33"/>
          </w:tcPr>
          <w:p w14:paraId="2E7B80AA" w14:textId="77777777" w:rsidR="00E732FA" w:rsidRPr="003C7CB1" w:rsidRDefault="00E732FA" w:rsidP="00E732FA">
            <w:pPr>
              <w:autoSpaceDE w:val="0"/>
              <w:autoSpaceDN w:val="0"/>
              <w:adjustRightInd w:val="0"/>
              <w:spacing w:after="120"/>
              <w:rPr>
                <w:rFonts w:cstheme="minorHAnsi"/>
                <w:b/>
                <w:iCs/>
                <w:sz w:val="20"/>
                <w:szCs w:val="20"/>
              </w:rPr>
            </w:pPr>
            <w:r w:rsidRPr="003C7CB1">
              <w:rPr>
                <w:rFonts w:cstheme="minorHAnsi"/>
                <w:b/>
                <w:iCs/>
                <w:sz w:val="20"/>
                <w:szCs w:val="20"/>
              </w:rPr>
              <w:t xml:space="preserve">Northern region </w:t>
            </w:r>
          </w:p>
        </w:tc>
        <w:tc>
          <w:tcPr>
            <w:tcW w:w="1888" w:type="dxa"/>
          </w:tcPr>
          <w:p w14:paraId="5303CD4D"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50</w:t>
            </w:r>
          </w:p>
        </w:tc>
        <w:tc>
          <w:tcPr>
            <w:tcW w:w="1597" w:type="dxa"/>
          </w:tcPr>
          <w:p w14:paraId="53E7F11E"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2,522</w:t>
            </w:r>
          </w:p>
        </w:tc>
        <w:tc>
          <w:tcPr>
            <w:tcW w:w="1890" w:type="dxa"/>
          </w:tcPr>
          <w:p w14:paraId="0419E631"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53</w:t>
            </w:r>
          </w:p>
        </w:tc>
        <w:tc>
          <w:tcPr>
            <w:tcW w:w="1642" w:type="dxa"/>
          </w:tcPr>
          <w:p w14:paraId="70A0948E"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2,965</w:t>
            </w:r>
          </w:p>
        </w:tc>
      </w:tr>
      <w:tr w:rsidR="00E732FA" w:rsidRPr="003C7CB1" w14:paraId="7F12BE33" w14:textId="77777777" w:rsidTr="00E732FA">
        <w:tc>
          <w:tcPr>
            <w:tcW w:w="2000" w:type="dxa"/>
            <w:shd w:val="clear" w:color="auto" w:fill="D9E2F3" w:themeFill="accent1" w:themeFillTint="33"/>
          </w:tcPr>
          <w:p w14:paraId="70BB4195" w14:textId="77777777" w:rsidR="00E732FA" w:rsidRPr="003C7CB1" w:rsidRDefault="00E732FA" w:rsidP="00E732FA">
            <w:pPr>
              <w:autoSpaceDE w:val="0"/>
              <w:autoSpaceDN w:val="0"/>
              <w:adjustRightInd w:val="0"/>
              <w:spacing w:after="120"/>
              <w:rPr>
                <w:rFonts w:cstheme="minorHAnsi"/>
                <w:b/>
                <w:iCs/>
                <w:sz w:val="20"/>
                <w:szCs w:val="20"/>
              </w:rPr>
            </w:pPr>
            <w:r w:rsidRPr="003C7CB1">
              <w:rPr>
                <w:rFonts w:cstheme="minorHAnsi"/>
                <w:b/>
                <w:iCs/>
                <w:sz w:val="20"/>
                <w:szCs w:val="20"/>
              </w:rPr>
              <w:t xml:space="preserve">Total </w:t>
            </w:r>
          </w:p>
        </w:tc>
        <w:tc>
          <w:tcPr>
            <w:tcW w:w="1888" w:type="dxa"/>
          </w:tcPr>
          <w:p w14:paraId="5ACFD515"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309</w:t>
            </w:r>
          </w:p>
        </w:tc>
        <w:tc>
          <w:tcPr>
            <w:tcW w:w="1597" w:type="dxa"/>
          </w:tcPr>
          <w:p w14:paraId="722E6C74"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41,374</w:t>
            </w:r>
          </w:p>
        </w:tc>
        <w:tc>
          <w:tcPr>
            <w:tcW w:w="1890" w:type="dxa"/>
          </w:tcPr>
          <w:p w14:paraId="7A039892"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406</w:t>
            </w:r>
          </w:p>
        </w:tc>
        <w:tc>
          <w:tcPr>
            <w:tcW w:w="1642" w:type="dxa"/>
          </w:tcPr>
          <w:p w14:paraId="770111BF" w14:textId="77777777" w:rsidR="00E732FA" w:rsidRPr="003C7CB1" w:rsidRDefault="00E732FA" w:rsidP="00E732FA">
            <w:pPr>
              <w:autoSpaceDE w:val="0"/>
              <w:autoSpaceDN w:val="0"/>
              <w:adjustRightInd w:val="0"/>
              <w:spacing w:after="120"/>
              <w:jc w:val="right"/>
              <w:rPr>
                <w:rFonts w:cstheme="minorHAnsi"/>
                <w:b/>
                <w:iCs/>
                <w:sz w:val="20"/>
                <w:szCs w:val="20"/>
              </w:rPr>
            </w:pPr>
            <w:r w:rsidRPr="003C7CB1">
              <w:rPr>
                <w:rFonts w:cstheme="minorHAnsi"/>
                <w:b/>
                <w:iCs/>
                <w:sz w:val="20"/>
                <w:szCs w:val="20"/>
              </w:rPr>
              <w:t>48,837</w:t>
            </w:r>
          </w:p>
        </w:tc>
      </w:tr>
    </w:tbl>
    <w:p w14:paraId="0D17A770" w14:textId="77777777" w:rsidR="00E732FA" w:rsidRPr="003C7CB1" w:rsidRDefault="00E732FA" w:rsidP="00E732FA">
      <w:pPr>
        <w:autoSpaceDE w:val="0"/>
        <w:autoSpaceDN w:val="0"/>
        <w:adjustRightInd w:val="0"/>
        <w:spacing w:after="120"/>
        <w:rPr>
          <w:rFonts w:cstheme="minorHAnsi"/>
          <w:i/>
          <w:iCs/>
          <w:sz w:val="20"/>
          <w:szCs w:val="20"/>
        </w:rPr>
      </w:pPr>
      <w:r w:rsidRPr="003C7CB1">
        <w:rPr>
          <w:rFonts w:cstheme="minorHAnsi"/>
          <w:i/>
          <w:iCs/>
          <w:sz w:val="20"/>
          <w:szCs w:val="20"/>
        </w:rPr>
        <w:t xml:space="preserve"> Source: MONSTAT, edited by the Ministry of Economic Development</w:t>
      </w:r>
    </w:p>
    <w:p w14:paraId="5F7F1F5E" w14:textId="77777777" w:rsidR="00E732FA" w:rsidRPr="003C7CB1" w:rsidRDefault="00E732FA" w:rsidP="00E732FA">
      <w:pPr>
        <w:tabs>
          <w:tab w:val="left" w:pos="3084"/>
        </w:tabs>
        <w:spacing w:after="120" w:line="240" w:lineRule="auto"/>
        <w:jc w:val="both"/>
        <w:rPr>
          <w:rFonts w:cstheme="minorHAnsi"/>
          <w:sz w:val="24"/>
          <w:szCs w:val="24"/>
        </w:rPr>
      </w:pPr>
      <w:r w:rsidRPr="003C7CB1">
        <w:rPr>
          <w:rFonts w:cstheme="minorHAnsi"/>
          <w:sz w:val="24"/>
          <w:szCs w:val="24"/>
        </w:rPr>
        <w:t xml:space="preserve">When it comes to the number of accommodation capacities in hotels and similar facilities in 2019 in relation to the plan defined by the previous Montenegro Tourism Development Strategy until 2020, it can be stated that the plan was implemented at the level of 35.39%.  </w:t>
      </w:r>
    </w:p>
    <w:p w14:paraId="2AE35562" w14:textId="77777777" w:rsidR="00E732FA" w:rsidRPr="003C7CB1" w:rsidRDefault="00E732FA" w:rsidP="00E732FA">
      <w:pPr>
        <w:tabs>
          <w:tab w:val="left" w:pos="3084"/>
        </w:tabs>
        <w:spacing w:after="120" w:line="240" w:lineRule="auto"/>
        <w:jc w:val="both"/>
        <w:rPr>
          <w:rFonts w:cstheme="minorHAnsi"/>
          <w:sz w:val="24"/>
          <w:szCs w:val="24"/>
        </w:rPr>
      </w:pPr>
      <w:r w:rsidRPr="003C7CB1">
        <w:rPr>
          <w:rFonts w:cstheme="minorHAnsi"/>
          <w:sz w:val="24"/>
          <w:szCs w:val="24"/>
        </w:rPr>
        <w:t>On the other hand, it is important to note that the structure of accommodation capacities in 2019 is more favorable compared to the projections given in the previous Strategy.</w:t>
      </w:r>
      <w:r w:rsidRPr="003C7CB1">
        <w:t xml:space="preserve"> </w:t>
      </w:r>
      <w:r w:rsidRPr="003C7CB1">
        <w:rPr>
          <w:rFonts w:cstheme="minorHAnsi"/>
          <w:sz w:val="24"/>
          <w:szCs w:val="24"/>
        </w:rPr>
        <w:t xml:space="preserve">Specifically, in 2019, hotels and similar facilities of 4 and 5 stars accounted for 56.04% of the total capacity, while the Strategy planned their participation of 50.20% (Table no. 8).  </w:t>
      </w:r>
    </w:p>
    <w:p w14:paraId="6E4F4A38" w14:textId="77777777" w:rsidR="00E732FA" w:rsidRPr="003C7CB1" w:rsidRDefault="00E732FA" w:rsidP="00E732FA">
      <w:pPr>
        <w:tabs>
          <w:tab w:val="left" w:pos="3084"/>
        </w:tabs>
        <w:spacing w:after="120" w:line="240" w:lineRule="auto"/>
        <w:jc w:val="both"/>
        <w:rPr>
          <w:rFonts w:cstheme="minorHAnsi"/>
          <w:sz w:val="24"/>
          <w:szCs w:val="24"/>
        </w:rPr>
      </w:pPr>
    </w:p>
    <w:p w14:paraId="72DF3A54" w14:textId="77777777" w:rsidR="00E732FA" w:rsidRPr="003C7CB1" w:rsidRDefault="00E732FA" w:rsidP="00E732FA">
      <w:pPr>
        <w:tabs>
          <w:tab w:val="left" w:pos="3084"/>
        </w:tabs>
        <w:spacing w:after="0" w:line="240" w:lineRule="auto"/>
        <w:jc w:val="center"/>
        <w:rPr>
          <w:rFonts w:cstheme="minorHAnsi"/>
          <w:b/>
        </w:rPr>
      </w:pPr>
      <w:r w:rsidRPr="003C7CB1">
        <w:rPr>
          <w:rFonts w:cstheme="minorHAnsi"/>
          <w:b/>
        </w:rPr>
        <w:lastRenderedPageBreak/>
        <w:t xml:space="preserve">Table no. 8 - Degree of implementation of the plan from the Montenegro Tourism Development Strategy until 2020  </w:t>
      </w:r>
    </w:p>
    <w:p w14:paraId="78CDAF9C" w14:textId="77777777" w:rsidR="00E732FA" w:rsidRPr="003C7CB1" w:rsidRDefault="00E732FA" w:rsidP="00E732FA">
      <w:pPr>
        <w:tabs>
          <w:tab w:val="left" w:pos="3084"/>
        </w:tabs>
        <w:spacing w:after="0" w:line="240" w:lineRule="auto"/>
        <w:jc w:val="center"/>
        <w:rPr>
          <w:rFonts w:cstheme="minorHAnsi"/>
          <w:b/>
        </w:rPr>
      </w:pPr>
    </w:p>
    <w:tbl>
      <w:tblPr>
        <w:tblW w:w="9194" w:type="dxa"/>
        <w:jc w:val="center"/>
        <w:tblLook w:val="04A0" w:firstRow="1" w:lastRow="0" w:firstColumn="1" w:lastColumn="0" w:noHBand="0" w:noVBand="1"/>
      </w:tblPr>
      <w:tblGrid>
        <w:gridCol w:w="1694"/>
        <w:gridCol w:w="1372"/>
        <w:gridCol w:w="1522"/>
        <w:gridCol w:w="1447"/>
        <w:gridCol w:w="1447"/>
        <w:gridCol w:w="1712"/>
      </w:tblGrid>
      <w:tr w:rsidR="00E732FA" w:rsidRPr="003C7CB1" w14:paraId="4F0904FA" w14:textId="77777777" w:rsidTr="00E732FA">
        <w:trPr>
          <w:trHeight w:val="358"/>
          <w:jc w:val="center"/>
        </w:trPr>
        <w:tc>
          <w:tcPr>
            <w:tcW w:w="1694"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D6E0B2"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sz w:val="20"/>
                <w:szCs w:val="20"/>
              </w:rPr>
              <w:t xml:space="preserve">                                           </w:t>
            </w:r>
            <w:r w:rsidRPr="003C7CB1">
              <w:rPr>
                <w:b/>
                <w:sz w:val="20"/>
                <w:szCs w:val="20"/>
              </w:rPr>
              <w:t xml:space="preserve">Hotels and similar facilities </w:t>
            </w:r>
          </w:p>
          <w:p w14:paraId="1F76CB3B"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c>
          <w:tcPr>
            <w:tcW w:w="2894"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B5F639C"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p w14:paraId="057D34F6"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b/>
                <w:sz w:val="20"/>
                <w:szCs w:val="20"/>
              </w:rPr>
              <w:t xml:space="preserve">Tourism Development Strategy Plan </w:t>
            </w:r>
          </w:p>
        </w:tc>
        <w:tc>
          <w:tcPr>
            <w:tcW w:w="2894"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F657A50"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p w14:paraId="63122AB3"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b/>
                <w:sz w:val="20"/>
                <w:szCs w:val="20"/>
              </w:rPr>
              <w:t xml:space="preserve">Categorized facilities by the Commission of the Ministry </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AFCF47C"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p w14:paraId="653C229E"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b/>
                <w:sz w:val="20"/>
                <w:szCs w:val="20"/>
              </w:rPr>
              <w:t xml:space="preserve">Implementation of the Strategy </w:t>
            </w:r>
          </w:p>
        </w:tc>
      </w:tr>
      <w:tr w:rsidR="00E732FA" w:rsidRPr="003C7CB1" w14:paraId="08FDF0DA" w14:textId="77777777" w:rsidTr="00E732FA">
        <w:trPr>
          <w:trHeight w:val="358"/>
          <w:jc w:val="center"/>
        </w:trPr>
        <w:tc>
          <w:tcPr>
            <w:tcW w:w="1694"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10D525"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c>
          <w:tcPr>
            <w:tcW w:w="2894"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8CDBC9E"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c>
          <w:tcPr>
            <w:tcW w:w="2894"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C9BA82"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c>
          <w:tcPr>
            <w:tcW w:w="1710"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1050783"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r>
      <w:tr w:rsidR="00E732FA" w:rsidRPr="003C7CB1" w14:paraId="16F96BCA" w14:textId="77777777" w:rsidTr="00E732FA">
        <w:trPr>
          <w:trHeight w:val="212"/>
          <w:jc w:val="center"/>
        </w:trPr>
        <w:tc>
          <w:tcPr>
            <w:tcW w:w="1694"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0DA0E2"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c>
          <w:tcPr>
            <w:tcW w:w="2894" w:type="dxa"/>
            <w:gridSpan w:val="2"/>
            <w:tcBorders>
              <w:top w:val="single" w:sz="4" w:space="0" w:color="auto"/>
              <w:left w:val="nil"/>
              <w:bottom w:val="single" w:sz="4" w:space="0" w:color="auto"/>
              <w:right w:val="single" w:sz="4" w:space="0" w:color="000000"/>
            </w:tcBorders>
            <w:shd w:val="clear" w:color="auto" w:fill="auto"/>
            <w:noWrap/>
            <w:hideMark/>
          </w:tcPr>
          <w:p w14:paraId="52E1AEBB"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rFonts w:ascii="Calibri" w:eastAsia="Times New Roman" w:hAnsi="Calibri" w:cs="Calibri"/>
                <w:b/>
                <w:bCs/>
                <w:color w:val="000000"/>
                <w:sz w:val="20"/>
                <w:szCs w:val="20"/>
              </w:rPr>
              <w:t xml:space="preserve">2020 </w:t>
            </w:r>
          </w:p>
        </w:tc>
        <w:tc>
          <w:tcPr>
            <w:tcW w:w="2894" w:type="dxa"/>
            <w:gridSpan w:val="2"/>
            <w:tcBorders>
              <w:top w:val="single" w:sz="4" w:space="0" w:color="auto"/>
              <w:left w:val="nil"/>
              <w:bottom w:val="single" w:sz="4" w:space="0" w:color="auto"/>
              <w:right w:val="single" w:sz="4" w:space="0" w:color="auto"/>
            </w:tcBorders>
            <w:shd w:val="clear" w:color="auto" w:fill="auto"/>
            <w:noWrap/>
            <w:hideMark/>
          </w:tcPr>
          <w:p w14:paraId="36F9115A"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rFonts w:ascii="Calibri" w:eastAsia="Times New Roman" w:hAnsi="Calibri" w:cs="Calibri"/>
                <w:b/>
                <w:bCs/>
                <w:color w:val="000000"/>
                <w:sz w:val="20"/>
                <w:szCs w:val="20"/>
              </w:rPr>
              <w:t xml:space="preserve">2019 </w:t>
            </w:r>
          </w:p>
        </w:tc>
        <w:tc>
          <w:tcPr>
            <w:tcW w:w="1710" w:type="dxa"/>
            <w:tcBorders>
              <w:top w:val="nil"/>
              <w:left w:val="nil"/>
              <w:bottom w:val="single" w:sz="4" w:space="0" w:color="auto"/>
              <w:right w:val="single" w:sz="4" w:space="0" w:color="auto"/>
            </w:tcBorders>
            <w:shd w:val="clear" w:color="auto" w:fill="auto"/>
            <w:noWrap/>
            <w:hideMark/>
          </w:tcPr>
          <w:p w14:paraId="0C1B863C"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rFonts w:ascii="Calibri" w:eastAsia="Times New Roman" w:hAnsi="Calibri" w:cs="Calibri"/>
                <w:b/>
                <w:bCs/>
                <w:color w:val="000000"/>
                <w:sz w:val="20"/>
                <w:szCs w:val="20"/>
              </w:rPr>
              <w:t xml:space="preserve">2019 </w:t>
            </w:r>
          </w:p>
        </w:tc>
      </w:tr>
      <w:tr w:rsidR="00E732FA" w:rsidRPr="003C7CB1" w14:paraId="0105664F" w14:textId="77777777" w:rsidTr="00E732FA">
        <w:trPr>
          <w:trHeight w:val="212"/>
          <w:jc w:val="center"/>
        </w:trPr>
        <w:tc>
          <w:tcPr>
            <w:tcW w:w="1694"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A8DC80"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p>
        </w:tc>
        <w:tc>
          <w:tcPr>
            <w:tcW w:w="1372" w:type="dxa"/>
            <w:tcBorders>
              <w:top w:val="nil"/>
              <w:left w:val="nil"/>
              <w:bottom w:val="single" w:sz="4" w:space="0" w:color="auto"/>
              <w:right w:val="single" w:sz="4" w:space="0" w:color="auto"/>
            </w:tcBorders>
            <w:shd w:val="clear" w:color="auto" w:fill="auto"/>
            <w:noWrap/>
            <w:hideMark/>
          </w:tcPr>
          <w:p w14:paraId="5E201C93"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b/>
                <w:sz w:val="20"/>
                <w:szCs w:val="20"/>
              </w:rPr>
              <w:t xml:space="preserve">Beds </w:t>
            </w:r>
          </w:p>
        </w:tc>
        <w:tc>
          <w:tcPr>
            <w:tcW w:w="1522" w:type="dxa"/>
            <w:tcBorders>
              <w:top w:val="nil"/>
              <w:left w:val="nil"/>
              <w:bottom w:val="single" w:sz="4" w:space="0" w:color="auto"/>
              <w:right w:val="single" w:sz="4" w:space="0" w:color="auto"/>
            </w:tcBorders>
            <w:shd w:val="clear" w:color="auto" w:fill="auto"/>
            <w:noWrap/>
            <w:hideMark/>
          </w:tcPr>
          <w:p w14:paraId="10F519D5"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b/>
                <w:sz w:val="20"/>
                <w:szCs w:val="20"/>
              </w:rPr>
              <w:t>Structure in %</w:t>
            </w:r>
          </w:p>
        </w:tc>
        <w:tc>
          <w:tcPr>
            <w:tcW w:w="1447" w:type="dxa"/>
            <w:tcBorders>
              <w:top w:val="nil"/>
              <w:left w:val="nil"/>
              <w:bottom w:val="single" w:sz="4" w:space="0" w:color="auto"/>
              <w:right w:val="single" w:sz="4" w:space="0" w:color="auto"/>
            </w:tcBorders>
            <w:shd w:val="clear" w:color="auto" w:fill="auto"/>
            <w:noWrap/>
            <w:hideMark/>
          </w:tcPr>
          <w:p w14:paraId="25ECBF78"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b/>
                <w:sz w:val="20"/>
                <w:szCs w:val="20"/>
              </w:rPr>
              <w:t xml:space="preserve">Beds </w:t>
            </w:r>
          </w:p>
        </w:tc>
        <w:tc>
          <w:tcPr>
            <w:tcW w:w="1447" w:type="dxa"/>
            <w:tcBorders>
              <w:top w:val="nil"/>
              <w:left w:val="nil"/>
              <w:bottom w:val="single" w:sz="4" w:space="0" w:color="auto"/>
              <w:right w:val="single" w:sz="4" w:space="0" w:color="auto"/>
            </w:tcBorders>
            <w:shd w:val="clear" w:color="auto" w:fill="auto"/>
            <w:noWrap/>
            <w:vAlign w:val="bottom"/>
            <w:hideMark/>
          </w:tcPr>
          <w:p w14:paraId="067A3630"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rFonts w:ascii="Calibri" w:eastAsia="Times New Roman" w:hAnsi="Calibri" w:cs="Calibri"/>
                <w:b/>
                <w:bCs/>
                <w:color w:val="000000"/>
                <w:sz w:val="20"/>
                <w:szCs w:val="20"/>
              </w:rPr>
              <w:t>Structure in %</w:t>
            </w:r>
          </w:p>
        </w:tc>
        <w:tc>
          <w:tcPr>
            <w:tcW w:w="1710" w:type="dxa"/>
            <w:tcBorders>
              <w:top w:val="nil"/>
              <w:left w:val="nil"/>
              <w:bottom w:val="single" w:sz="4" w:space="0" w:color="auto"/>
              <w:right w:val="single" w:sz="4" w:space="0" w:color="auto"/>
            </w:tcBorders>
            <w:shd w:val="clear" w:color="auto" w:fill="auto"/>
            <w:noWrap/>
            <w:vAlign w:val="bottom"/>
            <w:hideMark/>
          </w:tcPr>
          <w:p w14:paraId="197D8FE1"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rFonts w:ascii="Calibri" w:eastAsia="Times New Roman" w:hAnsi="Calibri" w:cs="Calibri"/>
                <w:b/>
                <w:bCs/>
                <w:color w:val="000000"/>
                <w:sz w:val="20"/>
                <w:szCs w:val="20"/>
              </w:rPr>
              <w:t>in %</w:t>
            </w:r>
          </w:p>
        </w:tc>
      </w:tr>
      <w:tr w:rsidR="00E732FA" w:rsidRPr="003C7CB1" w14:paraId="25FDDC46" w14:textId="77777777" w:rsidTr="00E732FA">
        <w:trPr>
          <w:trHeight w:val="212"/>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hideMark/>
          </w:tcPr>
          <w:p w14:paraId="4732A7AF"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sz w:val="20"/>
                <w:szCs w:val="20"/>
              </w:rPr>
              <w:t xml:space="preserve">5* </w:t>
            </w:r>
          </w:p>
        </w:tc>
        <w:tc>
          <w:tcPr>
            <w:tcW w:w="1372" w:type="dxa"/>
            <w:tcBorders>
              <w:top w:val="nil"/>
              <w:left w:val="nil"/>
              <w:bottom w:val="single" w:sz="4" w:space="0" w:color="auto"/>
              <w:right w:val="single" w:sz="4" w:space="0" w:color="auto"/>
            </w:tcBorders>
            <w:shd w:val="clear" w:color="auto" w:fill="auto"/>
            <w:noWrap/>
            <w:hideMark/>
          </w:tcPr>
          <w:p w14:paraId="7D57CD3F"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 xml:space="preserve">19,000  </w:t>
            </w:r>
          </w:p>
        </w:tc>
        <w:tc>
          <w:tcPr>
            <w:tcW w:w="1522" w:type="dxa"/>
            <w:tcBorders>
              <w:top w:val="nil"/>
              <w:left w:val="nil"/>
              <w:bottom w:val="single" w:sz="4" w:space="0" w:color="auto"/>
              <w:right w:val="single" w:sz="4" w:space="0" w:color="auto"/>
            </w:tcBorders>
            <w:shd w:val="clear" w:color="auto" w:fill="auto"/>
            <w:noWrap/>
            <w:hideMark/>
          </w:tcPr>
          <w:p w14:paraId="2C69EC0A"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15.20</w:t>
            </w:r>
          </w:p>
        </w:tc>
        <w:tc>
          <w:tcPr>
            <w:tcW w:w="1447" w:type="dxa"/>
            <w:tcBorders>
              <w:top w:val="nil"/>
              <w:left w:val="nil"/>
              <w:bottom w:val="single" w:sz="4" w:space="0" w:color="auto"/>
              <w:right w:val="single" w:sz="4" w:space="0" w:color="auto"/>
            </w:tcBorders>
            <w:shd w:val="clear" w:color="auto" w:fill="auto"/>
            <w:noWrap/>
            <w:hideMark/>
          </w:tcPr>
          <w:p w14:paraId="769102BD"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3,838</w:t>
            </w:r>
          </w:p>
        </w:tc>
        <w:tc>
          <w:tcPr>
            <w:tcW w:w="1447" w:type="dxa"/>
            <w:tcBorders>
              <w:top w:val="nil"/>
              <w:left w:val="nil"/>
              <w:bottom w:val="single" w:sz="4" w:space="0" w:color="auto"/>
              <w:right w:val="single" w:sz="4" w:space="0" w:color="auto"/>
            </w:tcBorders>
            <w:shd w:val="clear" w:color="auto" w:fill="auto"/>
            <w:noWrap/>
            <w:hideMark/>
          </w:tcPr>
          <w:p w14:paraId="3422F4F6"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8.67</w:t>
            </w:r>
          </w:p>
        </w:tc>
        <w:tc>
          <w:tcPr>
            <w:tcW w:w="1710" w:type="dxa"/>
            <w:tcBorders>
              <w:top w:val="nil"/>
              <w:left w:val="nil"/>
              <w:bottom w:val="single" w:sz="4" w:space="0" w:color="auto"/>
              <w:right w:val="single" w:sz="4" w:space="0" w:color="auto"/>
            </w:tcBorders>
            <w:shd w:val="clear" w:color="auto" w:fill="auto"/>
            <w:noWrap/>
            <w:hideMark/>
          </w:tcPr>
          <w:p w14:paraId="3C1C5536"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20.20</w:t>
            </w:r>
          </w:p>
        </w:tc>
      </w:tr>
      <w:tr w:rsidR="00E732FA" w:rsidRPr="003C7CB1" w14:paraId="2FAC813A" w14:textId="77777777" w:rsidTr="00E732FA">
        <w:trPr>
          <w:trHeight w:val="212"/>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hideMark/>
          </w:tcPr>
          <w:p w14:paraId="16F8333D"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sz w:val="20"/>
                <w:szCs w:val="20"/>
              </w:rPr>
              <w:t xml:space="preserve">4* </w:t>
            </w:r>
          </w:p>
        </w:tc>
        <w:tc>
          <w:tcPr>
            <w:tcW w:w="1372" w:type="dxa"/>
            <w:tcBorders>
              <w:top w:val="nil"/>
              <w:left w:val="nil"/>
              <w:bottom w:val="single" w:sz="4" w:space="0" w:color="auto"/>
              <w:right w:val="single" w:sz="4" w:space="0" w:color="auto"/>
            </w:tcBorders>
            <w:shd w:val="clear" w:color="auto" w:fill="auto"/>
            <w:noWrap/>
            <w:hideMark/>
          </w:tcPr>
          <w:p w14:paraId="4AD25B6A"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sz w:val="20"/>
                <w:szCs w:val="20"/>
              </w:rPr>
              <w:t xml:space="preserve">43,750 </w:t>
            </w:r>
          </w:p>
        </w:tc>
        <w:tc>
          <w:tcPr>
            <w:tcW w:w="1522" w:type="dxa"/>
            <w:tcBorders>
              <w:top w:val="nil"/>
              <w:left w:val="nil"/>
              <w:bottom w:val="single" w:sz="4" w:space="0" w:color="auto"/>
              <w:right w:val="single" w:sz="4" w:space="0" w:color="auto"/>
            </w:tcBorders>
            <w:shd w:val="clear" w:color="auto" w:fill="auto"/>
            <w:noWrap/>
            <w:hideMark/>
          </w:tcPr>
          <w:p w14:paraId="0309CA74"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sz w:val="20"/>
                <w:szCs w:val="20"/>
              </w:rPr>
              <w:t>35.00</w:t>
            </w:r>
          </w:p>
        </w:tc>
        <w:tc>
          <w:tcPr>
            <w:tcW w:w="1447" w:type="dxa"/>
            <w:tcBorders>
              <w:top w:val="nil"/>
              <w:left w:val="nil"/>
              <w:bottom w:val="single" w:sz="4" w:space="0" w:color="auto"/>
              <w:right w:val="single" w:sz="4" w:space="0" w:color="auto"/>
            </w:tcBorders>
            <w:shd w:val="clear" w:color="auto" w:fill="auto"/>
            <w:noWrap/>
            <w:hideMark/>
          </w:tcPr>
          <w:p w14:paraId="29A8688F"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20,954</w:t>
            </w:r>
          </w:p>
        </w:tc>
        <w:tc>
          <w:tcPr>
            <w:tcW w:w="1447" w:type="dxa"/>
            <w:tcBorders>
              <w:top w:val="nil"/>
              <w:left w:val="nil"/>
              <w:bottom w:val="single" w:sz="4" w:space="0" w:color="auto"/>
              <w:right w:val="single" w:sz="4" w:space="0" w:color="auto"/>
            </w:tcBorders>
            <w:shd w:val="clear" w:color="auto" w:fill="auto"/>
            <w:noWrap/>
            <w:hideMark/>
          </w:tcPr>
          <w:p w14:paraId="3CBFF411"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sz w:val="20"/>
                <w:szCs w:val="20"/>
              </w:rPr>
              <w:t>47.36</w:t>
            </w:r>
          </w:p>
        </w:tc>
        <w:tc>
          <w:tcPr>
            <w:tcW w:w="1710" w:type="dxa"/>
            <w:tcBorders>
              <w:top w:val="nil"/>
              <w:left w:val="nil"/>
              <w:bottom w:val="single" w:sz="4" w:space="0" w:color="auto"/>
              <w:right w:val="single" w:sz="4" w:space="0" w:color="auto"/>
            </w:tcBorders>
            <w:shd w:val="clear" w:color="auto" w:fill="auto"/>
            <w:noWrap/>
            <w:hideMark/>
          </w:tcPr>
          <w:p w14:paraId="2B0310E9"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sz w:val="20"/>
                <w:szCs w:val="20"/>
              </w:rPr>
              <w:t>47.89</w:t>
            </w:r>
          </w:p>
        </w:tc>
      </w:tr>
      <w:tr w:rsidR="00E732FA" w:rsidRPr="003C7CB1" w14:paraId="20BADA46" w14:textId="77777777" w:rsidTr="00E732FA">
        <w:trPr>
          <w:trHeight w:val="212"/>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tcPr>
          <w:p w14:paraId="07E66BF6" w14:textId="77777777" w:rsidR="00E732FA" w:rsidRPr="003C7CB1" w:rsidRDefault="00E732FA" w:rsidP="00E732FA">
            <w:pPr>
              <w:spacing w:after="0" w:line="240" w:lineRule="auto"/>
              <w:jc w:val="center"/>
              <w:rPr>
                <w:b/>
                <w:sz w:val="20"/>
                <w:szCs w:val="20"/>
              </w:rPr>
            </w:pPr>
            <w:r w:rsidRPr="003C7CB1">
              <w:rPr>
                <w:b/>
                <w:sz w:val="20"/>
                <w:szCs w:val="20"/>
              </w:rPr>
              <w:t xml:space="preserve">total - 4 and 5 * </w:t>
            </w:r>
          </w:p>
        </w:tc>
        <w:tc>
          <w:tcPr>
            <w:tcW w:w="1372" w:type="dxa"/>
            <w:tcBorders>
              <w:top w:val="nil"/>
              <w:left w:val="nil"/>
              <w:bottom w:val="single" w:sz="4" w:space="0" w:color="auto"/>
              <w:right w:val="single" w:sz="4" w:space="0" w:color="auto"/>
            </w:tcBorders>
            <w:shd w:val="clear" w:color="auto" w:fill="auto"/>
            <w:noWrap/>
          </w:tcPr>
          <w:p w14:paraId="2DC86056" w14:textId="77777777" w:rsidR="00E732FA" w:rsidRPr="003C7CB1" w:rsidRDefault="00E732FA" w:rsidP="00E732FA">
            <w:pPr>
              <w:spacing w:after="0" w:line="240" w:lineRule="auto"/>
              <w:jc w:val="right"/>
              <w:rPr>
                <w:b/>
                <w:sz w:val="20"/>
                <w:szCs w:val="20"/>
              </w:rPr>
            </w:pPr>
            <w:r w:rsidRPr="003C7CB1">
              <w:rPr>
                <w:b/>
                <w:sz w:val="20"/>
                <w:szCs w:val="20"/>
              </w:rPr>
              <w:t xml:space="preserve">62,750 </w:t>
            </w:r>
          </w:p>
        </w:tc>
        <w:tc>
          <w:tcPr>
            <w:tcW w:w="1522" w:type="dxa"/>
            <w:tcBorders>
              <w:top w:val="nil"/>
              <w:left w:val="nil"/>
              <w:bottom w:val="single" w:sz="4" w:space="0" w:color="auto"/>
              <w:right w:val="single" w:sz="4" w:space="0" w:color="auto"/>
            </w:tcBorders>
            <w:shd w:val="clear" w:color="auto" w:fill="auto"/>
            <w:noWrap/>
          </w:tcPr>
          <w:p w14:paraId="7B247DE8" w14:textId="77777777" w:rsidR="00E732FA" w:rsidRPr="003C7CB1" w:rsidRDefault="00E732FA" w:rsidP="00E732FA">
            <w:pPr>
              <w:spacing w:after="0" w:line="240" w:lineRule="auto"/>
              <w:jc w:val="right"/>
              <w:rPr>
                <w:b/>
                <w:sz w:val="20"/>
                <w:szCs w:val="20"/>
              </w:rPr>
            </w:pPr>
            <w:r w:rsidRPr="003C7CB1">
              <w:rPr>
                <w:b/>
                <w:sz w:val="20"/>
                <w:szCs w:val="20"/>
              </w:rPr>
              <w:t>50.20</w:t>
            </w:r>
          </w:p>
        </w:tc>
        <w:tc>
          <w:tcPr>
            <w:tcW w:w="1447" w:type="dxa"/>
            <w:tcBorders>
              <w:top w:val="nil"/>
              <w:left w:val="nil"/>
              <w:bottom w:val="single" w:sz="4" w:space="0" w:color="auto"/>
              <w:right w:val="single" w:sz="4" w:space="0" w:color="auto"/>
            </w:tcBorders>
            <w:shd w:val="clear" w:color="auto" w:fill="auto"/>
            <w:noWrap/>
          </w:tcPr>
          <w:p w14:paraId="41FF361A" w14:textId="77777777" w:rsidR="00E732FA" w:rsidRPr="003C7CB1" w:rsidRDefault="00E732FA" w:rsidP="00E732FA">
            <w:pPr>
              <w:spacing w:after="0" w:line="240" w:lineRule="auto"/>
              <w:jc w:val="right"/>
              <w:rPr>
                <w:b/>
                <w:sz w:val="20"/>
                <w:szCs w:val="20"/>
              </w:rPr>
            </w:pPr>
            <w:r w:rsidRPr="003C7CB1">
              <w:rPr>
                <w:b/>
                <w:sz w:val="20"/>
                <w:szCs w:val="20"/>
              </w:rPr>
              <w:t>24,792</w:t>
            </w:r>
          </w:p>
        </w:tc>
        <w:tc>
          <w:tcPr>
            <w:tcW w:w="1447" w:type="dxa"/>
            <w:tcBorders>
              <w:top w:val="nil"/>
              <w:left w:val="nil"/>
              <w:bottom w:val="single" w:sz="4" w:space="0" w:color="auto"/>
              <w:right w:val="single" w:sz="4" w:space="0" w:color="auto"/>
            </w:tcBorders>
            <w:shd w:val="clear" w:color="auto" w:fill="auto"/>
            <w:noWrap/>
          </w:tcPr>
          <w:p w14:paraId="76CB50FE"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b/>
                <w:sz w:val="20"/>
                <w:szCs w:val="20"/>
              </w:rPr>
              <w:t>56.04</w:t>
            </w:r>
          </w:p>
        </w:tc>
        <w:tc>
          <w:tcPr>
            <w:tcW w:w="1710" w:type="dxa"/>
            <w:tcBorders>
              <w:top w:val="nil"/>
              <w:left w:val="nil"/>
              <w:bottom w:val="single" w:sz="4" w:space="0" w:color="auto"/>
              <w:right w:val="single" w:sz="4" w:space="0" w:color="auto"/>
            </w:tcBorders>
            <w:shd w:val="clear" w:color="auto" w:fill="auto"/>
            <w:noWrap/>
          </w:tcPr>
          <w:p w14:paraId="70EF2066"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b/>
                <w:sz w:val="20"/>
                <w:szCs w:val="20"/>
              </w:rPr>
              <w:t>39.51</w:t>
            </w:r>
          </w:p>
        </w:tc>
      </w:tr>
      <w:tr w:rsidR="00E732FA" w:rsidRPr="003C7CB1" w14:paraId="3209916F" w14:textId="77777777" w:rsidTr="00E732FA">
        <w:trPr>
          <w:trHeight w:val="212"/>
          <w:jc w:val="center"/>
        </w:trPr>
        <w:tc>
          <w:tcPr>
            <w:tcW w:w="9194"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3B547497" w14:textId="77777777" w:rsidR="00E732FA" w:rsidRPr="003C7CB1" w:rsidRDefault="00E732FA" w:rsidP="00E732FA">
            <w:pPr>
              <w:spacing w:after="0" w:line="240" w:lineRule="auto"/>
              <w:jc w:val="center"/>
              <w:rPr>
                <w:rFonts w:ascii="Calibri" w:eastAsia="Times New Roman" w:hAnsi="Calibri" w:cs="Calibri"/>
                <w:b/>
                <w:color w:val="000000"/>
                <w:sz w:val="20"/>
                <w:szCs w:val="20"/>
              </w:rPr>
            </w:pPr>
            <w:r w:rsidRPr="003C7CB1">
              <w:rPr>
                <w:b/>
                <w:sz w:val="20"/>
                <w:szCs w:val="20"/>
              </w:rPr>
              <w:t xml:space="preserve">total - 4 and 5 * </w:t>
            </w:r>
          </w:p>
        </w:tc>
      </w:tr>
      <w:tr w:rsidR="00E732FA" w:rsidRPr="003C7CB1" w14:paraId="61DC909E" w14:textId="77777777" w:rsidTr="00E732FA">
        <w:trPr>
          <w:trHeight w:val="256"/>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hideMark/>
          </w:tcPr>
          <w:p w14:paraId="341D1B3A" w14:textId="77777777" w:rsidR="00E732FA" w:rsidRPr="003C7CB1" w:rsidRDefault="00E732FA" w:rsidP="00E732FA">
            <w:pPr>
              <w:spacing w:after="0" w:line="240" w:lineRule="auto"/>
              <w:jc w:val="center"/>
              <w:rPr>
                <w:rFonts w:ascii="Calibri" w:eastAsia="Times New Roman" w:hAnsi="Calibri" w:cs="Calibri"/>
                <w:color w:val="000000"/>
                <w:sz w:val="20"/>
                <w:szCs w:val="20"/>
              </w:rPr>
            </w:pPr>
            <w:r w:rsidRPr="003C7CB1">
              <w:rPr>
                <w:sz w:val="20"/>
                <w:szCs w:val="20"/>
              </w:rPr>
              <w:t xml:space="preserve">3* </w:t>
            </w:r>
          </w:p>
        </w:tc>
        <w:tc>
          <w:tcPr>
            <w:tcW w:w="1372" w:type="dxa"/>
            <w:tcBorders>
              <w:top w:val="nil"/>
              <w:left w:val="nil"/>
              <w:bottom w:val="single" w:sz="4" w:space="0" w:color="auto"/>
              <w:right w:val="single" w:sz="4" w:space="0" w:color="auto"/>
            </w:tcBorders>
            <w:shd w:val="clear" w:color="auto" w:fill="auto"/>
            <w:noWrap/>
            <w:hideMark/>
          </w:tcPr>
          <w:p w14:paraId="5BAA59FC"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 xml:space="preserve">42,750 </w:t>
            </w:r>
          </w:p>
        </w:tc>
        <w:tc>
          <w:tcPr>
            <w:tcW w:w="1522" w:type="dxa"/>
            <w:tcBorders>
              <w:top w:val="nil"/>
              <w:left w:val="nil"/>
              <w:bottom w:val="single" w:sz="4" w:space="0" w:color="auto"/>
              <w:right w:val="single" w:sz="4" w:space="0" w:color="auto"/>
            </w:tcBorders>
            <w:shd w:val="clear" w:color="auto" w:fill="auto"/>
            <w:noWrap/>
            <w:hideMark/>
          </w:tcPr>
          <w:p w14:paraId="314AF130"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34.20</w:t>
            </w:r>
          </w:p>
        </w:tc>
        <w:tc>
          <w:tcPr>
            <w:tcW w:w="1447" w:type="dxa"/>
            <w:tcBorders>
              <w:top w:val="nil"/>
              <w:left w:val="nil"/>
              <w:bottom w:val="single" w:sz="4" w:space="0" w:color="auto"/>
              <w:right w:val="single" w:sz="4" w:space="0" w:color="auto"/>
            </w:tcBorders>
            <w:shd w:val="clear" w:color="auto" w:fill="auto"/>
            <w:noWrap/>
            <w:hideMark/>
          </w:tcPr>
          <w:p w14:paraId="231393B5"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10,954</w:t>
            </w:r>
          </w:p>
        </w:tc>
        <w:tc>
          <w:tcPr>
            <w:tcW w:w="1447" w:type="dxa"/>
            <w:tcBorders>
              <w:top w:val="nil"/>
              <w:left w:val="nil"/>
              <w:bottom w:val="single" w:sz="4" w:space="0" w:color="auto"/>
              <w:right w:val="single" w:sz="4" w:space="0" w:color="auto"/>
            </w:tcBorders>
            <w:shd w:val="clear" w:color="auto" w:fill="auto"/>
            <w:noWrap/>
            <w:vAlign w:val="bottom"/>
            <w:hideMark/>
          </w:tcPr>
          <w:p w14:paraId="4116555B"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rFonts w:ascii="Calibri" w:eastAsia="Times New Roman" w:hAnsi="Calibri" w:cs="Calibri"/>
                <w:color w:val="000000"/>
                <w:sz w:val="20"/>
                <w:szCs w:val="20"/>
              </w:rPr>
              <w:t>24.76</w:t>
            </w:r>
          </w:p>
        </w:tc>
        <w:tc>
          <w:tcPr>
            <w:tcW w:w="1710" w:type="dxa"/>
            <w:tcBorders>
              <w:top w:val="nil"/>
              <w:left w:val="nil"/>
              <w:bottom w:val="single" w:sz="4" w:space="0" w:color="auto"/>
              <w:right w:val="single" w:sz="4" w:space="0" w:color="auto"/>
            </w:tcBorders>
            <w:shd w:val="clear" w:color="auto" w:fill="auto"/>
            <w:noWrap/>
            <w:vAlign w:val="bottom"/>
            <w:hideMark/>
          </w:tcPr>
          <w:p w14:paraId="10D54C4B"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rFonts w:ascii="Calibri" w:eastAsia="Times New Roman" w:hAnsi="Calibri" w:cs="Calibri"/>
                <w:color w:val="000000"/>
                <w:sz w:val="20"/>
                <w:szCs w:val="20"/>
              </w:rPr>
              <w:t>25.62</w:t>
            </w:r>
          </w:p>
        </w:tc>
      </w:tr>
      <w:tr w:rsidR="00E732FA" w:rsidRPr="003C7CB1" w14:paraId="153938DB" w14:textId="77777777" w:rsidTr="00E732FA">
        <w:trPr>
          <w:trHeight w:val="212"/>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hideMark/>
          </w:tcPr>
          <w:p w14:paraId="65A4E027" w14:textId="77777777" w:rsidR="00E732FA" w:rsidRPr="003C7CB1" w:rsidRDefault="00E732FA" w:rsidP="00E732FA">
            <w:pPr>
              <w:spacing w:after="0" w:line="240" w:lineRule="auto"/>
              <w:jc w:val="center"/>
              <w:rPr>
                <w:rFonts w:ascii="Calibri" w:eastAsia="Times New Roman" w:hAnsi="Calibri" w:cs="Calibri"/>
                <w:color w:val="000000"/>
                <w:sz w:val="20"/>
                <w:szCs w:val="20"/>
              </w:rPr>
            </w:pPr>
            <w:r w:rsidRPr="003C7CB1">
              <w:rPr>
                <w:sz w:val="20"/>
                <w:szCs w:val="20"/>
              </w:rPr>
              <w:t xml:space="preserve">2* </w:t>
            </w:r>
          </w:p>
        </w:tc>
        <w:tc>
          <w:tcPr>
            <w:tcW w:w="1372" w:type="dxa"/>
            <w:tcBorders>
              <w:top w:val="nil"/>
              <w:left w:val="nil"/>
              <w:bottom w:val="single" w:sz="4" w:space="0" w:color="auto"/>
              <w:right w:val="single" w:sz="4" w:space="0" w:color="auto"/>
            </w:tcBorders>
            <w:shd w:val="clear" w:color="auto" w:fill="auto"/>
            <w:noWrap/>
            <w:hideMark/>
          </w:tcPr>
          <w:p w14:paraId="01382172"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 xml:space="preserve">17,250 </w:t>
            </w:r>
          </w:p>
        </w:tc>
        <w:tc>
          <w:tcPr>
            <w:tcW w:w="1522" w:type="dxa"/>
            <w:tcBorders>
              <w:top w:val="nil"/>
              <w:left w:val="nil"/>
              <w:bottom w:val="single" w:sz="4" w:space="0" w:color="auto"/>
              <w:right w:val="single" w:sz="4" w:space="0" w:color="auto"/>
            </w:tcBorders>
            <w:shd w:val="clear" w:color="auto" w:fill="auto"/>
            <w:noWrap/>
            <w:hideMark/>
          </w:tcPr>
          <w:p w14:paraId="6167CDC1"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13.80</w:t>
            </w:r>
          </w:p>
        </w:tc>
        <w:tc>
          <w:tcPr>
            <w:tcW w:w="1447" w:type="dxa"/>
            <w:tcBorders>
              <w:top w:val="nil"/>
              <w:left w:val="nil"/>
              <w:bottom w:val="single" w:sz="4" w:space="0" w:color="auto"/>
              <w:right w:val="single" w:sz="4" w:space="0" w:color="auto"/>
            </w:tcBorders>
            <w:shd w:val="clear" w:color="auto" w:fill="auto"/>
            <w:noWrap/>
            <w:hideMark/>
          </w:tcPr>
          <w:p w14:paraId="664D5FEB"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7,583</w:t>
            </w:r>
          </w:p>
        </w:tc>
        <w:tc>
          <w:tcPr>
            <w:tcW w:w="1447" w:type="dxa"/>
            <w:tcBorders>
              <w:top w:val="nil"/>
              <w:left w:val="nil"/>
              <w:bottom w:val="single" w:sz="4" w:space="0" w:color="auto"/>
              <w:right w:val="single" w:sz="4" w:space="0" w:color="auto"/>
            </w:tcBorders>
            <w:shd w:val="clear" w:color="auto" w:fill="auto"/>
            <w:noWrap/>
            <w:vAlign w:val="bottom"/>
            <w:hideMark/>
          </w:tcPr>
          <w:p w14:paraId="4165BAE0"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rFonts w:ascii="Calibri" w:eastAsia="Times New Roman" w:hAnsi="Calibri" w:cs="Calibri"/>
                <w:color w:val="000000"/>
                <w:sz w:val="20"/>
                <w:szCs w:val="20"/>
              </w:rPr>
              <w:t>17.14</w:t>
            </w:r>
          </w:p>
        </w:tc>
        <w:tc>
          <w:tcPr>
            <w:tcW w:w="1710" w:type="dxa"/>
            <w:tcBorders>
              <w:top w:val="nil"/>
              <w:left w:val="nil"/>
              <w:bottom w:val="single" w:sz="4" w:space="0" w:color="auto"/>
              <w:right w:val="single" w:sz="4" w:space="0" w:color="auto"/>
            </w:tcBorders>
            <w:shd w:val="clear" w:color="auto" w:fill="auto"/>
            <w:noWrap/>
            <w:vAlign w:val="bottom"/>
            <w:hideMark/>
          </w:tcPr>
          <w:p w14:paraId="76BEEA8E"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rFonts w:ascii="Calibri" w:eastAsia="Times New Roman" w:hAnsi="Calibri" w:cs="Calibri"/>
                <w:color w:val="000000"/>
                <w:sz w:val="20"/>
                <w:szCs w:val="20"/>
              </w:rPr>
              <w:t>43.96</w:t>
            </w:r>
          </w:p>
        </w:tc>
      </w:tr>
      <w:tr w:rsidR="00E732FA" w:rsidRPr="003C7CB1" w14:paraId="3EF2F8B6" w14:textId="77777777" w:rsidTr="00E732FA">
        <w:trPr>
          <w:trHeight w:val="212"/>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hideMark/>
          </w:tcPr>
          <w:p w14:paraId="4F46F95B" w14:textId="77777777" w:rsidR="00E732FA" w:rsidRPr="003C7CB1" w:rsidRDefault="00E732FA" w:rsidP="00E732FA">
            <w:pPr>
              <w:spacing w:after="0" w:line="240" w:lineRule="auto"/>
              <w:jc w:val="center"/>
              <w:rPr>
                <w:rFonts w:ascii="Calibri" w:eastAsia="Times New Roman" w:hAnsi="Calibri" w:cs="Calibri"/>
                <w:b/>
                <w:bCs/>
                <w:color w:val="000000"/>
                <w:sz w:val="20"/>
                <w:szCs w:val="20"/>
              </w:rPr>
            </w:pPr>
            <w:r w:rsidRPr="003C7CB1">
              <w:rPr>
                <w:sz w:val="20"/>
                <w:szCs w:val="20"/>
              </w:rPr>
              <w:t xml:space="preserve">1* </w:t>
            </w:r>
          </w:p>
        </w:tc>
        <w:tc>
          <w:tcPr>
            <w:tcW w:w="1372" w:type="dxa"/>
            <w:tcBorders>
              <w:top w:val="nil"/>
              <w:left w:val="nil"/>
              <w:bottom w:val="single" w:sz="4" w:space="0" w:color="auto"/>
              <w:right w:val="single" w:sz="4" w:space="0" w:color="auto"/>
            </w:tcBorders>
            <w:shd w:val="clear" w:color="auto" w:fill="auto"/>
            <w:noWrap/>
            <w:hideMark/>
          </w:tcPr>
          <w:p w14:paraId="70D9030E"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sz w:val="20"/>
                <w:szCs w:val="20"/>
              </w:rPr>
              <w:t xml:space="preserve">2,250 </w:t>
            </w:r>
          </w:p>
        </w:tc>
        <w:tc>
          <w:tcPr>
            <w:tcW w:w="1522" w:type="dxa"/>
            <w:tcBorders>
              <w:top w:val="nil"/>
              <w:left w:val="nil"/>
              <w:bottom w:val="single" w:sz="4" w:space="0" w:color="auto"/>
              <w:right w:val="single" w:sz="4" w:space="0" w:color="auto"/>
            </w:tcBorders>
            <w:shd w:val="clear" w:color="auto" w:fill="auto"/>
            <w:noWrap/>
            <w:hideMark/>
          </w:tcPr>
          <w:p w14:paraId="5057189C"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1.8</w:t>
            </w:r>
          </w:p>
        </w:tc>
        <w:tc>
          <w:tcPr>
            <w:tcW w:w="1447" w:type="dxa"/>
            <w:tcBorders>
              <w:top w:val="nil"/>
              <w:left w:val="nil"/>
              <w:bottom w:val="single" w:sz="4" w:space="0" w:color="auto"/>
              <w:right w:val="single" w:sz="4" w:space="0" w:color="auto"/>
            </w:tcBorders>
            <w:shd w:val="clear" w:color="auto" w:fill="auto"/>
            <w:noWrap/>
            <w:hideMark/>
          </w:tcPr>
          <w:p w14:paraId="3858017F"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sz w:val="20"/>
                <w:szCs w:val="20"/>
              </w:rPr>
              <w:t>914</w:t>
            </w:r>
          </w:p>
        </w:tc>
        <w:tc>
          <w:tcPr>
            <w:tcW w:w="1447" w:type="dxa"/>
            <w:tcBorders>
              <w:top w:val="nil"/>
              <w:left w:val="nil"/>
              <w:bottom w:val="single" w:sz="4" w:space="0" w:color="auto"/>
              <w:right w:val="single" w:sz="4" w:space="0" w:color="auto"/>
            </w:tcBorders>
            <w:shd w:val="clear" w:color="auto" w:fill="auto"/>
            <w:noWrap/>
            <w:vAlign w:val="bottom"/>
            <w:hideMark/>
          </w:tcPr>
          <w:p w14:paraId="233E4366" w14:textId="77777777" w:rsidR="00E732FA" w:rsidRPr="003C7CB1" w:rsidRDefault="00E732FA" w:rsidP="00E732FA">
            <w:pPr>
              <w:spacing w:after="0" w:line="240" w:lineRule="auto"/>
              <w:jc w:val="right"/>
              <w:rPr>
                <w:rFonts w:ascii="Calibri" w:eastAsia="Times New Roman" w:hAnsi="Calibri" w:cs="Calibri"/>
                <w:color w:val="000000"/>
                <w:sz w:val="20"/>
                <w:szCs w:val="20"/>
              </w:rPr>
            </w:pPr>
            <w:r w:rsidRPr="003C7CB1">
              <w:rPr>
                <w:rFonts w:ascii="Calibri" w:eastAsia="Times New Roman" w:hAnsi="Calibri" w:cs="Calibri"/>
                <w:color w:val="000000"/>
                <w:sz w:val="20"/>
                <w:szCs w:val="20"/>
              </w:rPr>
              <w:t>2.07</w:t>
            </w:r>
          </w:p>
        </w:tc>
        <w:tc>
          <w:tcPr>
            <w:tcW w:w="1710" w:type="dxa"/>
            <w:tcBorders>
              <w:top w:val="nil"/>
              <w:left w:val="nil"/>
              <w:bottom w:val="single" w:sz="4" w:space="0" w:color="auto"/>
              <w:right w:val="single" w:sz="4" w:space="0" w:color="auto"/>
            </w:tcBorders>
            <w:shd w:val="clear" w:color="auto" w:fill="auto"/>
            <w:noWrap/>
            <w:vAlign w:val="bottom"/>
            <w:hideMark/>
          </w:tcPr>
          <w:p w14:paraId="26AC66DD" w14:textId="77777777" w:rsidR="00E732FA" w:rsidRPr="003C7CB1" w:rsidRDefault="00E732FA" w:rsidP="00E732FA">
            <w:pPr>
              <w:spacing w:after="0" w:line="240" w:lineRule="auto"/>
              <w:jc w:val="right"/>
              <w:rPr>
                <w:rFonts w:ascii="Calibri" w:eastAsia="Times New Roman" w:hAnsi="Calibri" w:cs="Calibri"/>
                <w:bCs/>
                <w:color w:val="000000"/>
                <w:sz w:val="20"/>
                <w:szCs w:val="20"/>
              </w:rPr>
            </w:pPr>
            <w:r w:rsidRPr="003C7CB1">
              <w:rPr>
                <w:rFonts w:ascii="Calibri" w:eastAsia="Times New Roman" w:hAnsi="Calibri" w:cs="Calibri"/>
                <w:bCs/>
                <w:color w:val="000000"/>
                <w:sz w:val="20"/>
                <w:szCs w:val="20"/>
              </w:rPr>
              <w:t>40.62</w:t>
            </w:r>
          </w:p>
        </w:tc>
      </w:tr>
      <w:tr w:rsidR="00E732FA" w:rsidRPr="003C7CB1" w14:paraId="36D084AB" w14:textId="77777777" w:rsidTr="00E732FA">
        <w:trPr>
          <w:trHeight w:val="39"/>
          <w:jc w:val="center"/>
        </w:trPr>
        <w:tc>
          <w:tcPr>
            <w:tcW w:w="1694" w:type="dxa"/>
            <w:tcBorders>
              <w:top w:val="single" w:sz="4" w:space="0" w:color="auto"/>
              <w:left w:val="single" w:sz="4" w:space="0" w:color="auto"/>
              <w:bottom w:val="single" w:sz="4" w:space="0" w:color="auto"/>
              <w:right w:val="single" w:sz="4" w:space="0" w:color="000000"/>
            </w:tcBorders>
            <w:shd w:val="clear" w:color="auto" w:fill="auto"/>
            <w:noWrap/>
          </w:tcPr>
          <w:p w14:paraId="0A3C4273" w14:textId="77777777" w:rsidR="00E732FA" w:rsidRPr="003C7CB1" w:rsidRDefault="00E732FA" w:rsidP="00E732FA">
            <w:pPr>
              <w:spacing w:after="0" w:line="240" w:lineRule="auto"/>
              <w:jc w:val="center"/>
              <w:rPr>
                <w:b/>
                <w:sz w:val="20"/>
                <w:szCs w:val="20"/>
              </w:rPr>
            </w:pPr>
            <w:r w:rsidRPr="003C7CB1">
              <w:rPr>
                <w:b/>
                <w:sz w:val="20"/>
                <w:szCs w:val="20"/>
              </w:rPr>
              <w:t xml:space="preserve">total - 1 - 5* </w:t>
            </w:r>
          </w:p>
        </w:tc>
        <w:tc>
          <w:tcPr>
            <w:tcW w:w="1372" w:type="dxa"/>
            <w:tcBorders>
              <w:top w:val="single" w:sz="4" w:space="0" w:color="auto"/>
              <w:left w:val="nil"/>
              <w:bottom w:val="single" w:sz="4" w:space="0" w:color="auto"/>
              <w:right w:val="single" w:sz="4" w:space="0" w:color="auto"/>
            </w:tcBorders>
            <w:shd w:val="clear" w:color="auto" w:fill="auto"/>
            <w:noWrap/>
          </w:tcPr>
          <w:p w14:paraId="44CDF192" w14:textId="77777777" w:rsidR="00E732FA" w:rsidRPr="003C7CB1" w:rsidRDefault="00E732FA" w:rsidP="00E732FA">
            <w:pPr>
              <w:spacing w:after="0" w:line="240" w:lineRule="auto"/>
              <w:jc w:val="right"/>
              <w:rPr>
                <w:b/>
                <w:sz w:val="20"/>
                <w:szCs w:val="20"/>
              </w:rPr>
            </w:pPr>
            <w:r w:rsidRPr="003C7CB1">
              <w:rPr>
                <w:b/>
                <w:sz w:val="20"/>
                <w:szCs w:val="20"/>
              </w:rPr>
              <w:t xml:space="preserve">125,000 </w:t>
            </w:r>
          </w:p>
        </w:tc>
        <w:tc>
          <w:tcPr>
            <w:tcW w:w="1522" w:type="dxa"/>
            <w:tcBorders>
              <w:top w:val="single" w:sz="4" w:space="0" w:color="auto"/>
              <w:left w:val="nil"/>
              <w:bottom w:val="single" w:sz="4" w:space="0" w:color="auto"/>
              <w:right w:val="single" w:sz="4" w:space="0" w:color="auto"/>
            </w:tcBorders>
            <w:shd w:val="clear" w:color="auto" w:fill="auto"/>
            <w:noWrap/>
          </w:tcPr>
          <w:p w14:paraId="2BB945EE" w14:textId="77777777" w:rsidR="00E732FA" w:rsidRPr="003C7CB1" w:rsidRDefault="00E732FA" w:rsidP="00E732FA">
            <w:pPr>
              <w:spacing w:after="0" w:line="240" w:lineRule="auto"/>
              <w:jc w:val="right"/>
              <w:rPr>
                <w:b/>
                <w:sz w:val="20"/>
                <w:szCs w:val="20"/>
              </w:rPr>
            </w:pPr>
            <w:r w:rsidRPr="003C7CB1">
              <w:rPr>
                <w:b/>
                <w:sz w:val="20"/>
                <w:szCs w:val="20"/>
              </w:rPr>
              <w:t>100.00</w:t>
            </w:r>
          </w:p>
        </w:tc>
        <w:tc>
          <w:tcPr>
            <w:tcW w:w="1447" w:type="dxa"/>
            <w:tcBorders>
              <w:top w:val="single" w:sz="4" w:space="0" w:color="auto"/>
              <w:left w:val="nil"/>
              <w:bottom w:val="single" w:sz="4" w:space="0" w:color="auto"/>
              <w:right w:val="single" w:sz="4" w:space="0" w:color="auto"/>
            </w:tcBorders>
            <w:shd w:val="clear" w:color="auto" w:fill="auto"/>
            <w:noWrap/>
          </w:tcPr>
          <w:p w14:paraId="7DBC97C5" w14:textId="77777777" w:rsidR="00E732FA" w:rsidRPr="003C7CB1" w:rsidRDefault="00E732FA" w:rsidP="00E732FA">
            <w:pPr>
              <w:spacing w:after="0" w:line="240" w:lineRule="auto"/>
              <w:jc w:val="right"/>
              <w:rPr>
                <w:b/>
                <w:sz w:val="20"/>
                <w:szCs w:val="20"/>
              </w:rPr>
            </w:pPr>
            <w:r w:rsidRPr="003C7CB1">
              <w:rPr>
                <w:b/>
                <w:sz w:val="20"/>
                <w:szCs w:val="20"/>
              </w:rPr>
              <w:t>44,243</w:t>
            </w:r>
          </w:p>
        </w:tc>
        <w:tc>
          <w:tcPr>
            <w:tcW w:w="1447" w:type="dxa"/>
            <w:tcBorders>
              <w:top w:val="single" w:sz="4" w:space="0" w:color="auto"/>
              <w:left w:val="nil"/>
              <w:bottom w:val="single" w:sz="4" w:space="0" w:color="auto"/>
              <w:right w:val="single" w:sz="4" w:space="0" w:color="auto"/>
            </w:tcBorders>
            <w:shd w:val="clear" w:color="auto" w:fill="auto"/>
            <w:noWrap/>
          </w:tcPr>
          <w:p w14:paraId="47175860" w14:textId="77777777" w:rsidR="00E732FA" w:rsidRPr="003C7CB1" w:rsidRDefault="00E732FA" w:rsidP="00E732FA">
            <w:pPr>
              <w:spacing w:after="0" w:line="240" w:lineRule="auto"/>
              <w:jc w:val="right"/>
              <w:rPr>
                <w:rFonts w:ascii="Calibri" w:eastAsia="Times New Roman" w:hAnsi="Calibri" w:cs="Calibri"/>
                <w:b/>
                <w:color w:val="000000"/>
                <w:sz w:val="20"/>
                <w:szCs w:val="20"/>
              </w:rPr>
            </w:pPr>
            <w:r w:rsidRPr="003C7CB1">
              <w:rPr>
                <w:b/>
                <w:sz w:val="20"/>
                <w:szCs w:val="20"/>
              </w:rPr>
              <w:t>100.00</w:t>
            </w:r>
          </w:p>
        </w:tc>
        <w:tc>
          <w:tcPr>
            <w:tcW w:w="1710" w:type="dxa"/>
            <w:tcBorders>
              <w:top w:val="single" w:sz="4" w:space="0" w:color="auto"/>
              <w:left w:val="nil"/>
              <w:bottom w:val="single" w:sz="4" w:space="0" w:color="auto"/>
              <w:right w:val="single" w:sz="4" w:space="0" w:color="auto"/>
            </w:tcBorders>
            <w:shd w:val="clear" w:color="auto" w:fill="auto"/>
            <w:noWrap/>
          </w:tcPr>
          <w:p w14:paraId="65A645CC" w14:textId="77777777" w:rsidR="00E732FA" w:rsidRPr="003C7CB1" w:rsidRDefault="00E732FA" w:rsidP="00E732FA">
            <w:pPr>
              <w:spacing w:after="0" w:line="240" w:lineRule="auto"/>
              <w:jc w:val="right"/>
              <w:rPr>
                <w:rFonts w:ascii="Calibri" w:eastAsia="Times New Roman" w:hAnsi="Calibri" w:cs="Calibri"/>
                <w:b/>
                <w:bCs/>
                <w:color w:val="000000"/>
                <w:sz w:val="20"/>
                <w:szCs w:val="20"/>
              </w:rPr>
            </w:pPr>
            <w:r w:rsidRPr="003C7CB1">
              <w:rPr>
                <w:b/>
                <w:sz w:val="20"/>
                <w:szCs w:val="20"/>
              </w:rPr>
              <w:t>35.39</w:t>
            </w:r>
          </w:p>
        </w:tc>
      </w:tr>
    </w:tbl>
    <w:p w14:paraId="787E5AA0" w14:textId="77777777" w:rsidR="00E732FA" w:rsidRPr="003C7CB1" w:rsidRDefault="00E732FA" w:rsidP="00E732FA">
      <w:bookmarkStart w:id="48" w:name="_Toc91284331"/>
      <w:bookmarkStart w:id="49" w:name="_Toc91285521"/>
      <w:bookmarkStart w:id="50" w:name="_Toc91286163"/>
      <w:bookmarkStart w:id="51" w:name="_Toc91286310"/>
      <w:bookmarkStart w:id="52" w:name="_Toc91286689"/>
      <w:bookmarkStart w:id="53" w:name="_Toc91461470"/>
      <w:bookmarkStart w:id="54" w:name="_Toc91499999"/>
      <w:bookmarkStart w:id="55" w:name="_Toc91500490"/>
      <w:bookmarkStart w:id="56" w:name="_Toc91518772"/>
      <w:bookmarkStart w:id="57" w:name="_Toc91518908"/>
      <w:bookmarkStart w:id="58" w:name="_Toc91521895"/>
      <w:bookmarkStart w:id="59" w:name="_Toc95299924"/>
      <w:bookmarkStart w:id="60" w:name="_Toc95303004"/>
      <w:bookmarkStart w:id="61" w:name="_Toc97902469"/>
      <w:bookmarkStart w:id="62" w:name="_Toc88076571"/>
      <w:bookmarkStart w:id="63" w:name="_Toc88076887"/>
      <w:bookmarkStart w:id="64" w:name="_Toc88082137"/>
      <w:bookmarkStart w:id="65" w:name="_Toc88167809"/>
      <w:bookmarkStart w:id="66" w:name="_Toc88170114"/>
      <w:bookmarkStart w:id="67" w:name="_Toc88172481"/>
      <w:bookmarkStart w:id="68" w:name="_Toc88230679"/>
      <w:bookmarkStart w:id="69" w:name="_Toc88760478"/>
      <w:bookmarkStart w:id="70" w:name="_Toc88760665"/>
      <w:bookmarkStart w:id="71" w:name="_Toc88772602"/>
      <w:bookmarkStart w:id="72" w:name="_Toc88772821"/>
      <w:bookmarkStart w:id="73" w:name="_Toc88813176"/>
      <w:bookmarkStart w:id="74" w:name="_Toc89435256"/>
    </w:p>
    <w:p w14:paraId="2267A968" w14:textId="77777777" w:rsidR="00E732FA" w:rsidRPr="003C7CB1" w:rsidRDefault="00E732FA" w:rsidP="00E732FA">
      <w:pPr>
        <w:jc w:val="both"/>
        <w:rPr>
          <w:sz w:val="24"/>
        </w:rPr>
      </w:pPr>
      <w:r w:rsidRPr="003C7CB1">
        <w:rPr>
          <w:sz w:val="24"/>
        </w:rPr>
        <w:t xml:space="preserve">By summarizing the structure of accommodation capacities, according to MONSTAT data, it can be stated that in 2019, within the collective accommodation, hotels (as the most important segment of the tourist offer) participated with 67%.  </w:t>
      </w:r>
    </w:p>
    <w:p w14:paraId="7DDAC93A" w14:textId="77777777" w:rsidR="00E732FA" w:rsidRPr="003C7CB1" w:rsidRDefault="00E732FA" w:rsidP="00E732FA">
      <w:pPr>
        <w:jc w:val="both"/>
        <w:rPr>
          <w:sz w:val="24"/>
        </w:rPr>
      </w:pPr>
      <w:r w:rsidRPr="003C7CB1">
        <w:rPr>
          <w:sz w:val="24"/>
        </w:rPr>
        <w:t xml:space="preserve">However, when it comes to total (collective and individual) accommodation capacities, according to the same source, low competitiveness capacities dominate, i.e., </w:t>
      </w:r>
      <w:r w:rsidRPr="003C7CB1">
        <w:rPr>
          <w:b/>
          <w:sz w:val="24"/>
        </w:rPr>
        <w:t>individual (so-called private) accommodation, at the level of 70%</w:t>
      </w:r>
      <w:r w:rsidRPr="003C7CB1">
        <w:rPr>
          <w:sz w:val="24"/>
        </w:rPr>
        <w:t xml:space="preserve">. </w:t>
      </w:r>
    </w:p>
    <w:p w14:paraId="4D66BD17" w14:textId="77777777" w:rsidR="00E732FA" w:rsidRPr="003C7CB1" w:rsidRDefault="00E732FA" w:rsidP="00E732FA">
      <w:pPr>
        <w:jc w:val="both"/>
        <w:rPr>
          <w:sz w:val="24"/>
        </w:rPr>
      </w:pPr>
      <w:r w:rsidRPr="003C7CB1">
        <w:rPr>
          <w:sz w:val="24"/>
        </w:rPr>
        <w:t xml:space="preserve">In addition to the above, a special challenge from the aspect of the structure of accommodation capacities are secondary housing units, the so-called facilities for “secondary housing”, which are mainly represented in the coastal region.  </w:t>
      </w:r>
    </w:p>
    <w:p w14:paraId="7971017B" w14:textId="77777777" w:rsidR="00E732FA" w:rsidRPr="003C7CB1" w:rsidRDefault="00E732FA" w:rsidP="00E732FA">
      <w:pPr>
        <w:jc w:val="both"/>
        <w:rPr>
          <w:sz w:val="24"/>
        </w:rPr>
      </w:pPr>
      <w:r w:rsidRPr="003C7CB1">
        <w:rPr>
          <w:sz w:val="24"/>
        </w:rPr>
        <w:t xml:space="preserve">Therefore, as a result of the development of the real estate sector, which on the one hand causes an increase in individual accommodation, and poorly implemented privatizations of hotel companies which, on the other hand cause a decrease or insufficiently fast growth of hotel capacity, tourism in Montenegro is real estate based tourism instead of being hotel-based.  </w:t>
      </w:r>
    </w:p>
    <w:p w14:paraId="7F52BB9F" w14:textId="77777777" w:rsidR="00E732FA" w:rsidRPr="003C7CB1" w:rsidRDefault="00E732FA" w:rsidP="00E732FA">
      <w:pPr>
        <w:jc w:val="both"/>
        <w:rPr>
          <w:sz w:val="24"/>
        </w:rPr>
      </w:pPr>
      <w:r w:rsidRPr="003C7CB1">
        <w:rPr>
          <w:sz w:val="24"/>
        </w:rPr>
        <w:t>Solving the problem of the structure of accommodation capacities in Montenegro is an important segment and aspect of the development of the document which is in the preparation phase, and relates to spatial planning. This is the Spatial Plan of Montenegro until 2040.</w:t>
      </w:r>
      <w:r w:rsidRPr="003C7CB1">
        <w:t xml:space="preserve"> </w:t>
      </w:r>
      <w:r w:rsidRPr="003C7CB1">
        <w:rPr>
          <w:sz w:val="24"/>
        </w:rPr>
        <w:t xml:space="preserve">According to the analyzes presented in the Concept of the Spatial Plan of Montenegro until 2040, secondary housing, together with rooms and houses for rent in households, camps and other accommodation, accounts for as much as 73% of the total capacity. </w:t>
      </w:r>
    </w:p>
    <w:p w14:paraId="23F4D15A" w14:textId="2543DD66" w:rsidR="00E732FA" w:rsidRPr="003C7CB1" w:rsidRDefault="00E732FA" w:rsidP="00E732FA">
      <w:pPr>
        <w:jc w:val="both"/>
        <w:rPr>
          <w:sz w:val="24"/>
        </w:rPr>
      </w:pPr>
      <w:r w:rsidRPr="003C7CB1">
        <w:rPr>
          <w:sz w:val="24"/>
        </w:rPr>
        <w:t>Accordingly, and bearing in mind that the t</w:t>
      </w:r>
      <w:r w:rsidR="00996366">
        <w:rPr>
          <w:sz w:val="24"/>
        </w:rPr>
        <w:t>urnover</w:t>
      </w:r>
      <w:r w:rsidRPr="003C7CB1">
        <w:rPr>
          <w:sz w:val="24"/>
        </w:rPr>
        <w:t xml:space="preserve"> in private and secondary housing is the main source of gray economy, it is necessary to intensify activities in the direction of their formalization, i.e., legalization of business.</w:t>
      </w:r>
    </w:p>
    <w:p w14:paraId="021036A7" w14:textId="77777777" w:rsidR="00E732FA" w:rsidRPr="003C7CB1" w:rsidRDefault="00E732FA" w:rsidP="00E732FA">
      <w:pPr>
        <w:pStyle w:val="Heading3"/>
        <w:spacing w:before="0" w:after="120" w:line="276" w:lineRule="auto"/>
        <w:ind w:left="720"/>
        <w:rPr>
          <w:b/>
          <w:color w:val="2F5496" w:themeColor="accent1" w:themeShade="BF"/>
        </w:rPr>
      </w:pPr>
      <w:bookmarkStart w:id="75" w:name="_Toc91286165"/>
      <w:bookmarkStart w:id="76" w:name="_Toc95303007"/>
      <w:bookmarkStart w:id="77" w:name="_Toc102133795"/>
      <w:bookmarkStart w:id="78" w:name="_Toc10454417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3C7CB1">
        <w:rPr>
          <w:b/>
          <w:color w:val="2F5496" w:themeColor="accent1" w:themeShade="BF"/>
        </w:rPr>
        <w:lastRenderedPageBreak/>
        <w:t xml:space="preserve">2.2.7. </w:t>
      </w:r>
      <w:bookmarkEnd w:id="75"/>
      <w:bookmarkEnd w:id="76"/>
      <w:r w:rsidRPr="003C7CB1">
        <w:rPr>
          <w:b/>
          <w:color w:val="2F5496" w:themeColor="accent1" w:themeShade="BF"/>
        </w:rPr>
        <w:t>Labor force in tourism</w:t>
      </w:r>
      <w:bookmarkEnd w:id="77"/>
      <w:bookmarkEnd w:id="78"/>
      <w:r w:rsidRPr="003C7CB1">
        <w:rPr>
          <w:b/>
          <w:color w:val="2F5496" w:themeColor="accent1" w:themeShade="BF"/>
        </w:rPr>
        <w:t xml:space="preserve">  </w:t>
      </w:r>
    </w:p>
    <w:p w14:paraId="430D46B0" w14:textId="795D3390"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MONSTAT keeps records of data on the annual and monthly number of employees in companies, institutions and organizations of all forms of ownership, as well as on foreign citizens employed in our country. Persons who work under a service contract or under a contract for the performance of temporary and occasional work are not considered employed persons.  </w:t>
      </w:r>
      <w:r w:rsidR="00765B94">
        <w:rPr>
          <w:rFonts w:cs="Arial"/>
          <w:sz w:val="24"/>
          <w:szCs w:val="24"/>
        </w:rPr>
        <w:t xml:space="preserve">                                                                                                   </w:t>
      </w:r>
    </w:p>
    <w:p w14:paraId="6F5D933F"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Data are published by sectors of activity, and according to the Classification of Activities 2010.</w:t>
      </w:r>
      <w:r w:rsidRPr="003C7CB1">
        <w:rPr>
          <w:rFonts w:cstheme="minorHAnsi"/>
          <w:sz w:val="24"/>
          <w:szCs w:val="24"/>
          <w:vertAlign w:val="superscript"/>
        </w:rPr>
        <w:footnoteReference w:id="23"/>
      </w:r>
      <w:r w:rsidRPr="003C7CB1">
        <w:rPr>
          <w:rFonts w:cstheme="minorHAnsi"/>
          <w:sz w:val="24"/>
          <w:szCs w:val="24"/>
        </w:rPr>
        <w:t xml:space="preserve"> </w:t>
      </w:r>
    </w:p>
    <w:p w14:paraId="73E6C966" w14:textId="77777777" w:rsidR="00E732FA" w:rsidRPr="003C7CB1" w:rsidRDefault="00E732FA" w:rsidP="00E732FA">
      <w:pPr>
        <w:spacing w:after="120" w:line="240" w:lineRule="auto"/>
        <w:jc w:val="both"/>
        <w:rPr>
          <w:rFonts w:cstheme="minorHAnsi"/>
          <w:sz w:val="24"/>
          <w:szCs w:val="24"/>
        </w:rPr>
      </w:pPr>
    </w:p>
    <w:p w14:paraId="77C95572" w14:textId="56014826" w:rsidR="00E732FA" w:rsidRDefault="00E732FA" w:rsidP="000A6B18">
      <w:pPr>
        <w:pStyle w:val="Heading4"/>
        <w:ind w:firstLine="720"/>
        <w:rPr>
          <w:b/>
        </w:rPr>
      </w:pPr>
      <w:r w:rsidRPr="003C7CB1">
        <w:rPr>
          <w:b/>
        </w:rPr>
        <w:t xml:space="preserve">2.2.7.1 Employees in the accommodation and food service sector </w:t>
      </w:r>
    </w:p>
    <w:p w14:paraId="0A39B525" w14:textId="77777777" w:rsidR="002B7164" w:rsidRPr="002B7164" w:rsidRDefault="002B7164" w:rsidP="002B7164"/>
    <w:p w14:paraId="01DFFF50"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The accommodation and food services sector includes the provision of accommodation services for shorter stay of visitors and other travelers, as well as the preparation of meals and beverages for immediate consumption, i.e., sections: 55 - Accommodation and 56 - Food and beverage service activities (Table no. 9 and Chart no. 11). </w:t>
      </w:r>
    </w:p>
    <w:p w14:paraId="09524E26" w14:textId="77777777" w:rsidR="00E732FA" w:rsidRPr="003C7CB1" w:rsidRDefault="00E732FA" w:rsidP="00E732FA">
      <w:pPr>
        <w:spacing w:after="120" w:line="240" w:lineRule="auto"/>
        <w:jc w:val="center"/>
        <w:rPr>
          <w:rFonts w:cstheme="minorHAnsi"/>
          <w:b/>
          <w:bCs/>
        </w:rPr>
      </w:pPr>
      <w:r w:rsidRPr="003C7CB1">
        <w:rPr>
          <w:rFonts w:cstheme="minorHAnsi"/>
          <w:b/>
          <w:bCs/>
        </w:rPr>
        <w:t xml:space="preserve">Table no. 9 - </w:t>
      </w:r>
      <w:r w:rsidRPr="003C7CB1">
        <w:rPr>
          <w:rFonts w:cstheme="minorHAnsi"/>
          <w:b/>
        </w:rPr>
        <w:t>Number of employees, sector - Accommodation and food services, 2009 - 2019.</w:t>
      </w:r>
    </w:p>
    <w:tbl>
      <w:tblPr>
        <w:tblStyle w:val="GridTable5Dark-Accent131"/>
        <w:tblpPr w:leftFromText="180" w:rightFromText="180" w:vertAnchor="text" w:tblpXSpec="center" w:tblpY="1"/>
        <w:tblW w:w="0" w:type="auto"/>
        <w:tblLook w:val="04A0" w:firstRow="1" w:lastRow="0" w:firstColumn="1" w:lastColumn="0" w:noHBand="0" w:noVBand="1"/>
      </w:tblPr>
      <w:tblGrid>
        <w:gridCol w:w="1713"/>
        <w:gridCol w:w="2445"/>
        <w:gridCol w:w="2427"/>
        <w:gridCol w:w="2372"/>
      </w:tblGrid>
      <w:tr w:rsidR="00E732FA" w:rsidRPr="003C7CB1" w14:paraId="63B8EEE2" w14:textId="77777777" w:rsidTr="00E732FA">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713" w:type="dxa"/>
          </w:tcPr>
          <w:p w14:paraId="358CB01F" w14:textId="77777777" w:rsidR="00E732FA" w:rsidRPr="003C7CB1" w:rsidRDefault="00E732FA" w:rsidP="00E732FA">
            <w:pPr>
              <w:spacing w:after="0" w:line="240" w:lineRule="auto"/>
              <w:jc w:val="center"/>
              <w:rPr>
                <w:rFonts w:cstheme="minorHAnsi"/>
                <w:sz w:val="18"/>
                <w:szCs w:val="18"/>
              </w:rPr>
            </w:pPr>
          </w:p>
        </w:tc>
        <w:tc>
          <w:tcPr>
            <w:tcW w:w="2445" w:type="dxa"/>
          </w:tcPr>
          <w:p w14:paraId="714D5517"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Accommodation and food services </w:t>
            </w:r>
          </w:p>
        </w:tc>
        <w:tc>
          <w:tcPr>
            <w:tcW w:w="2427" w:type="dxa"/>
          </w:tcPr>
          <w:p w14:paraId="3EC63AFB"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Total Montenegro</w:t>
            </w:r>
          </w:p>
        </w:tc>
        <w:tc>
          <w:tcPr>
            <w:tcW w:w="2372" w:type="dxa"/>
          </w:tcPr>
          <w:p w14:paraId="55D1911D" w14:textId="77777777" w:rsidR="00E732FA" w:rsidRPr="003C7CB1" w:rsidRDefault="00E732FA" w:rsidP="00E732F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 participation </w:t>
            </w:r>
          </w:p>
        </w:tc>
      </w:tr>
      <w:tr w:rsidR="00E732FA" w:rsidRPr="003C7CB1" w14:paraId="317D5AAA" w14:textId="77777777" w:rsidTr="00E732F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13" w:type="dxa"/>
          </w:tcPr>
          <w:p w14:paraId="48B13CC7"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2009 </w:t>
            </w:r>
          </w:p>
        </w:tc>
        <w:tc>
          <w:tcPr>
            <w:tcW w:w="2445" w:type="dxa"/>
          </w:tcPr>
          <w:p w14:paraId="52756E9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16,678 </w:t>
            </w:r>
          </w:p>
        </w:tc>
        <w:tc>
          <w:tcPr>
            <w:tcW w:w="2427" w:type="dxa"/>
          </w:tcPr>
          <w:p w14:paraId="7E217272"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174,152 </w:t>
            </w:r>
          </w:p>
        </w:tc>
        <w:tc>
          <w:tcPr>
            <w:tcW w:w="2372" w:type="dxa"/>
          </w:tcPr>
          <w:p w14:paraId="64307174"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9.6 </w:t>
            </w:r>
          </w:p>
        </w:tc>
      </w:tr>
      <w:tr w:rsidR="00E732FA" w:rsidRPr="003C7CB1" w14:paraId="43D0874C" w14:textId="77777777" w:rsidTr="00E732FA">
        <w:trPr>
          <w:trHeight w:val="274"/>
        </w:trPr>
        <w:tc>
          <w:tcPr>
            <w:cnfStyle w:val="001000000000" w:firstRow="0" w:lastRow="0" w:firstColumn="1" w:lastColumn="0" w:oddVBand="0" w:evenVBand="0" w:oddHBand="0" w:evenHBand="0" w:firstRowFirstColumn="0" w:firstRowLastColumn="0" w:lastRowFirstColumn="0" w:lastRowLastColumn="0"/>
            <w:tcW w:w="1713" w:type="dxa"/>
          </w:tcPr>
          <w:p w14:paraId="310BF856"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2010 </w:t>
            </w:r>
          </w:p>
        </w:tc>
        <w:tc>
          <w:tcPr>
            <w:tcW w:w="2445" w:type="dxa"/>
          </w:tcPr>
          <w:p w14:paraId="3342C725"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13,131 </w:t>
            </w:r>
          </w:p>
        </w:tc>
        <w:tc>
          <w:tcPr>
            <w:tcW w:w="2427" w:type="dxa"/>
          </w:tcPr>
          <w:p w14:paraId="23DEB05B"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161,742 </w:t>
            </w:r>
          </w:p>
        </w:tc>
        <w:tc>
          <w:tcPr>
            <w:tcW w:w="2372" w:type="dxa"/>
          </w:tcPr>
          <w:p w14:paraId="31206BB3"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8.1 </w:t>
            </w:r>
          </w:p>
        </w:tc>
      </w:tr>
      <w:tr w:rsidR="00E732FA" w:rsidRPr="003C7CB1" w14:paraId="7AAD682D" w14:textId="77777777" w:rsidTr="00E732FA">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713" w:type="dxa"/>
          </w:tcPr>
          <w:p w14:paraId="31E33D36"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2011</w:t>
            </w:r>
          </w:p>
        </w:tc>
        <w:tc>
          <w:tcPr>
            <w:tcW w:w="2445" w:type="dxa"/>
          </w:tcPr>
          <w:p w14:paraId="75B008D8"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12,429 </w:t>
            </w:r>
          </w:p>
        </w:tc>
        <w:tc>
          <w:tcPr>
            <w:tcW w:w="2427" w:type="dxa"/>
          </w:tcPr>
          <w:p w14:paraId="7D504A90"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163,082 </w:t>
            </w:r>
          </w:p>
        </w:tc>
        <w:tc>
          <w:tcPr>
            <w:tcW w:w="2372" w:type="dxa"/>
          </w:tcPr>
          <w:p w14:paraId="0C497F82"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7.6 </w:t>
            </w:r>
          </w:p>
        </w:tc>
      </w:tr>
      <w:tr w:rsidR="00E732FA" w:rsidRPr="003C7CB1" w14:paraId="5297D0FB" w14:textId="77777777" w:rsidTr="00E732FA">
        <w:trPr>
          <w:trHeight w:val="196"/>
        </w:trPr>
        <w:tc>
          <w:tcPr>
            <w:cnfStyle w:val="001000000000" w:firstRow="0" w:lastRow="0" w:firstColumn="1" w:lastColumn="0" w:oddVBand="0" w:evenVBand="0" w:oddHBand="0" w:evenHBand="0" w:firstRowFirstColumn="0" w:firstRowLastColumn="0" w:lastRowFirstColumn="0" w:lastRowLastColumn="0"/>
            <w:tcW w:w="1713" w:type="dxa"/>
          </w:tcPr>
          <w:p w14:paraId="69829143"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2012 </w:t>
            </w:r>
          </w:p>
        </w:tc>
        <w:tc>
          <w:tcPr>
            <w:tcW w:w="2445" w:type="dxa"/>
          </w:tcPr>
          <w:p w14:paraId="510BAE8D"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13,209 </w:t>
            </w:r>
          </w:p>
        </w:tc>
        <w:tc>
          <w:tcPr>
            <w:tcW w:w="2427" w:type="dxa"/>
          </w:tcPr>
          <w:p w14:paraId="483430B0"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166,531 </w:t>
            </w:r>
          </w:p>
        </w:tc>
        <w:tc>
          <w:tcPr>
            <w:tcW w:w="2372" w:type="dxa"/>
          </w:tcPr>
          <w:p w14:paraId="153CA522"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7.8 </w:t>
            </w:r>
          </w:p>
        </w:tc>
      </w:tr>
      <w:tr w:rsidR="00E732FA" w:rsidRPr="003C7CB1" w14:paraId="020DC31B" w14:textId="77777777" w:rsidTr="00E732F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3" w:type="dxa"/>
          </w:tcPr>
          <w:p w14:paraId="25391FE7"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2013 </w:t>
            </w:r>
          </w:p>
        </w:tc>
        <w:tc>
          <w:tcPr>
            <w:tcW w:w="2445" w:type="dxa"/>
          </w:tcPr>
          <w:p w14:paraId="1B8997EB"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14,333 </w:t>
            </w:r>
          </w:p>
        </w:tc>
        <w:tc>
          <w:tcPr>
            <w:tcW w:w="2427" w:type="dxa"/>
          </w:tcPr>
          <w:p w14:paraId="0895D24A"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171,474 </w:t>
            </w:r>
          </w:p>
        </w:tc>
        <w:tc>
          <w:tcPr>
            <w:tcW w:w="2372" w:type="dxa"/>
          </w:tcPr>
          <w:p w14:paraId="76B11208"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8.3 </w:t>
            </w:r>
          </w:p>
        </w:tc>
      </w:tr>
      <w:tr w:rsidR="00E732FA" w:rsidRPr="003C7CB1" w14:paraId="6503543E" w14:textId="77777777" w:rsidTr="00E732FA">
        <w:trPr>
          <w:trHeight w:val="275"/>
        </w:trPr>
        <w:tc>
          <w:tcPr>
            <w:cnfStyle w:val="001000000000" w:firstRow="0" w:lastRow="0" w:firstColumn="1" w:lastColumn="0" w:oddVBand="0" w:evenVBand="0" w:oddHBand="0" w:evenHBand="0" w:firstRowFirstColumn="0" w:firstRowLastColumn="0" w:lastRowFirstColumn="0" w:lastRowLastColumn="0"/>
            <w:tcW w:w="1713" w:type="dxa"/>
          </w:tcPr>
          <w:p w14:paraId="6502A292"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2014 </w:t>
            </w:r>
          </w:p>
        </w:tc>
        <w:tc>
          <w:tcPr>
            <w:tcW w:w="2445" w:type="dxa"/>
          </w:tcPr>
          <w:p w14:paraId="3123AAFC"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14,182 </w:t>
            </w:r>
          </w:p>
        </w:tc>
        <w:tc>
          <w:tcPr>
            <w:tcW w:w="2427" w:type="dxa"/>
          </w:tcPr>
          <w:p w14:paraId="40635E43"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173,595 </w:t>
            </w:r>
          </w:p>
        </w:tc>
        <w:tc>
          <w:tcPr>
            <w:tcW w:w="2372" w:type="dxa"/>
          </w:tcPr>
          <w:p w14:paraId="3F240C94"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8.2 </w:t>
            </w:r>
          </w:p>
        </w:tc>
      </w:tr>
      <w:tr w:rsidR="00E732FA" w:rsidRPr="003C7CB1" w14:paraId="731B6BAD" w14:textId="77777777" w:rsidTr="00E732F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713" w:type="dxa"/>
          </w:tcPr>
          <w:p w14:paraId="4BC3BD7E"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2015 </w:t>
            </w:r>
          </w:p>
        </w:tc>
        <w:tc>
          <w:tcPr>
            <w:tcW w:w="2445" w:type="dxa"/>
          </w:tcPr>
          <w:p w14:paraId="2F4964FD"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14,393 </w:t>
            </w:r>
          </w:p>
        </w:tc>
        <w:tc>
          <w:tcPr>
            <w:tcW w:w="2427" w:type="dxa"/>
          </w:tcPr>
          <w:p w14:paraId="2DB40C10"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175,617 </w:t>
            </w:r>
          </w:p>
        </w:tc>
        <w:tc>
          <w:tcPr>
            <w:tcW w:w="2372" w:type="dxa"/>
          </w:tcPr>
          <w:p w14:paraId="6F3F8698"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8.2 </w:t>
            </w:r>
          </w:p>
        </w:tc>
      </w:tr>
      <w:tr w:rsidR="00E732FA" w:rsidRPr="003C7CB1" w14:paraId="07B0919E" w14:textId="77777777" w:rsidTr="00E732FA">
        <w:trPr>
          <w:trHeight w:val="269"/>
        </w:trPr>
        <w:tc>
          <w:tcPr>
            <w:cnfStyle w:val="001000000000" w:firstRow="0" w:lastRow="0" w:firstColumn="1" w:lastColumn="0" w:oddVBand="0" w:evenVBand="0" w:oddHBand="0" w:evenHBand="0" w:firstRowFirstColumn="0" w:firstRowLastColumn="0" w:lastRowFirstColumn="0" w:lastRowLastColumn="0"/>
            <w:tcW w:w="1713" w:type="dxa"/>
          </w:tcPr>
          <w:p w14:paraId="7DFED2CA"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2016 </w:t>
            </w:r>
          </w:p>
        </w:tc>
        <w:tc>
          <w:tcPr>
            <w:tcW w:w="2445" w:type="dxa"/>
          </w:tcPr>
          <w:p w14:paraId="33E994D5"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14,684 </w:t>
            </w:r>
          </w:p>
        </w:tc>
        <w:tc>
          <w:tcPr>
            <w:tcW w:w="2427" w:type="dxa"/>
          </w:tcPr>
          <w:p w14:paraId="22FF7630"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177,908 </w:t>
            </w:r>
          </w:p>
        </w:tc>
        <w:tc>
          <w:tcPr>
            <w:tcW w:w="2372" w:type="dxa"/>
          </w:tcPr>
          <w:p w14:paraId="3D65DBDD"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8.3 </w:t>
            </w:r>
          </w:p>
        </w:tc>
      </w:tr>
      <w:tr w:rsidR="00E732FA" w:rsidRPr="003C7CB1" w14:paraId="2EB12488" w14:textId="77777777" w:rsidTr="00E732F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13" w:type="dxa"/>
          </w:tcPr>
          <w:p w14:paraId="1BCF1632"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2017 </w:t>
            </w:r>
          </w:p>
        </w:tc>
        <w:tc>
          <w:tcPr>
            <w:tcW w:w="2445" w:type="dxa"/>
          </w:tcPr>
          <w:p w14:paraId="72932DB0"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15,033 </w:t>
            </w:r>
          </w:p>
        </w:tc>
        <w:tc>
          <w:tcPr>
            <w:tcW w:w="2427" w:type="dxa"/>
          </w:tcPr>
          <w:p w14:paraId="134CBB9E"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182,368 </w:t>
            </w:r>
          </w:p>
        </w:tc>
        <w:tc>
          <w:tcPr>
            <w:tcW w:w="2372" w:type="dxa"/>
          </w:tcPr>
          <w:p w14:paraId="01C6477D"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8.2 </w:t>
            </w:r>
          </w:p>
        </w:tc>
      </w:tr>
      <w:tr w:rsidR="00E732FA" w:rsidRPr="003C7CB1" w14:paraId="13E6F213" w14:textId="77777777" w:rsidTr="00E732FA">
        <w:trPr>
          <w:trHeight w:val="277"/>
        </w:trPr>
        <w:tc>
          <w:tcPr>
            <w:cnfStyle w:val="001000000000" w:firstRow="0" w:lastRow="0" w:firstColumn="1" w:lastColumn="0" w:oddVBand="0" w:evenVBand="0" w:oddHBand="0" w:evenHBand="0" w:firstRowFirstColumn="0" w:firstRowLastColumn="0" w:lastRowFirstColumn="0" w:lastRowLastColumn="0"/>
            <w:tcW w:w="1713" w:type="dxa"/>
          </w:tcPr>
          <w:p w14:paraId="5CD34FFF"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2018 </w:t>
            </w:r>
          </w:p>
        </w:tc>
        <w:tc>
          <w:tcPr>
            <w:tcW w:w="2445" w:type="dxa"/>
          </w:tcPr>
          <w:p w14:paraId="31B0CB45"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16,024 </w:t>
            </w:r>
          </w:p>
        </w:tc>
        <w:tc>
          <w:tcPr>
            <w:tcW w:w="2427" w:type="dxa"/>
          </w:tcPr>
          <w:p w14:paraId="6672E38A" w14:textId="77777777" w:rsidR="00E732FA" w:rsidRPr="003C7CB1" w:rsidRDefault="00E732FA" w:rsidP="00E732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190,132 </w:t>
            </w:r>
          </w:p>
        </w:tc>
        <w:tc>
          <w:tcPr>
            <w:tcW w:w="2372" w:type="dxa"/>
          </w:tcPr>
          <w:p w14:paraId="60901E4A" w14:textId="77777777" w:rsidR="00E732FA" w:rsidRPr="003C7CB1" w:rsidRDefault="00E732FA" w:rsidP="00E732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C7CB1">
              <w:rPr>
                <w:rFonts w:cstheme="minorHAnsi"/>
                <w:sz w:val="18"/>
                <w:szCs w:val="18"/>
              </w:rPr>
              <w:t xml:space="preserve">8.4 </w:t>
            </w:r>
          </w:p>
        </w:tc>
      </w:tr>
      <w:tr w:rsidR="00E732FA" w:rsidRPr="003C7CB1" w14:paraId="744EDF11" w14:textId="77777777" w:rsidTr="00E732F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713" w:type="dxa"/>
          </w:tcPr>
          <w:p w14:paraId="1DE179AD" w14:textId="77777777" w:rsidR="00E732FA" w:rsidRPr="003C7CB1" w:rsidRDefault="00E732FA" w:rsidP="00E732FA">
            <w:pPr>
              <w:spacing w:after="0" w:line="240" w:lineRule="auto"/>
              <w:jc w:val="center"/>
              <w:rPr>
                <w:rFonts w:cstheme="minorHAnsi"/>
                <w:sz w:val="18"/>
                <w:szCs w:val="18"/>
              </w:rPr>
            </w:pPr>
            <w:r w:rsidRPr="003C7CB1">
              <w:rPr>
                <w:rFonts w:cstheme="minorHAnsi"/>
                <w:sz w:val="18"/>
                <w:szCs w:val="18"/>
              </w:rPr>
              <w:t xml:space="preserve">2019  </w:t>
            </w:r>
          </w:p>
        </w:tc>
        <w:tc>
          <w:tcPr>
            <w:tcW w:w="2445" w:type="dxa"/>
          </w:tcPr>
          <w:p w14:paraId="6E05B338"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18,350 </w:t>
            </w:r>
          </w:p>
        </w:tc>
        <w:tc>
          <w:tcPr>
            <w:tcW w:w="2427" w:type="dxa"/>
          </w:tcPr>
          <w:p w14:paraId="6BB94F39" w14:textId="77777777" w:rsidR="00E732FA" w:rsidRPr="003C7CB1" w:rsidRDefault="00E732FA" w:rsidP="00E732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203,545 </w:t>
            </w:r>
          </w:p>
        </w:tc>
        <w:tc>
          <w:tcPr>
            <w:tcW w:w="2372" w:type="dxa"/>
          </w:tcPr>
          <w:p w14:paraId="3F211C7E" w14:textId="77777777" w:rsidR="00E732FA" w:rsidRPr="003C7CB1" w:rsidRDefault="00E732FA" w:rsidP="00E732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C7CB1">
              <w:rPr>
                <w:rFonts w:cstheme="minorHAnsi"/>
                <w:sz w:val="18"/>
                <w:szCs w:val="18"/>
              </w:rPr>
              <w:t xml:space="preserve">9.0 </w:t>
            </w:r>
          </w:p>
        </w:tc>
      </w:tr>
    </w:tbl>
    <w:p w14:paraId="10D09274" w14:textId="77777777" w:rsidR="00E732FA" w:rsidRPr="003C7CB1" w:rsidRDefault="00E732FA" w:rsidP="00E732FA">
      <w:pPr>
        <w:spacing w:after="0" w:line="240" w:lineRule="auto"/>
        <w:jc w:val="both"/>
        <w:rPr>
          <w:rFonts w:cstheme="minorHAnsi"/>
          <w:i/>
          <w:iCs/>
          <w:sz w:val="20"/>
          <w:szCs w:val="20"/>
        </w:rPr>
      </w:pPr>
      <w:r w:rsidRPr="003C7CB1">
        <w:rPr>
          <w:rFonts w:cstheme="minorHAnsi"/>
          <w:i/>
          <w:iCs/>
          <w:sz w:val="20"/>
          <w:szCs w:val="20"/>
        </w:rPr>
        <w:t xml:space="preserve">Source: MONSTAT, </w:t>
      </w:r>
    </w:p>
    <w:p w14:paraId="2C8F289C" w14:textId="77777777" w:rsidR="00E732FA" w:rsidRPr="003C7CB1" w:rsidRDefault="00193646" w:rsidP="00E732FA">
      <w:pPr>
        <w:spacing w:after="0" w:line="240" w:lineRule="auto"/>
        <w:jc w:val="both"/>
        <w:rPr>
          <w:rFonts w:cstheme="minorHAnsi"/>
          <w:i/>
          <w:iCs/>
          <w:sz w:val="20"/>
          <w:szCs w:val="20"/>
        </w:rPr>
      </w:pPr>
      <w:hyperlink r:id="rId42" w:history="1">
        <w:r w:rsidR="00E732FA" w:rsidRPr="003C7CB1">
          <w:rPr>
            <w:rStyle w:val="Hyperlink"/>
            <w:rFonts w:cstheme="minorHAnsi"/>
            <w:i/>
            <w:iCs/>
            <w:sz w:val="20"/>
            <w:szCs w:val="20"/>
          </w:rPr>
          <w:t>https://monstat.org/cg/page.php?id=23&amp;pageid=23</w:t>
        </w:r>
      </w:hyperlink>
      <w:r w:rsidR="00E732FA" w:rsidRPr="003C7CB1">
        <w:rPr>
          <w:rFonts w:cstheme="minorHAnsi"/>
          <w:i/>
          <w:iCs/>
          <w:sz w:val="20"/>
          <w:szCs w:val="20"/>
        </w:rPr>
        <w:t xml:space="preserve"> </w:t>
      </w:r>
      <w:hyperlink r:id="rId43" w:history="1">
        <w:r w:rsidR="00E732FA" w:rsidRPr="003C7CB1">
          <w:rPr>
            <w:rStyle w:val="Hyperlink"/>
            <w:rFonts w:cstheme="minorHAnsi"/>
            <w:i/>
            <w:iCs/>
            <w:sz w:val="20"/>
            <w:szCs w:val="20"/>
          </w:rPr>
          <w:t>https://www.monstat.org/uploads/files/Bilten/2021/2/3.pdf</w:t>
        </w:r>
      </w:hyperlink>
    </w:p>
    <w:p w14:paraId="0B15B28E" w14:textId="30DE4B3F" w:rsidR="00E732FA" w:rsidRDefault="00E732FA" w:rsidP="00E732FA">
      <w:pPr>
        <w:spacing w:after="160"/>
        <w:jc w:val="both"/>
        <w:rPr>
          <w:rFonts w:cstheme="minorHAnsi"/>
          <w:i/>
          <w:iCs/>
          <w:color w:val="0563C1" w:themeColor="hyperlink"/>
          <w:sz w:val="20"/>
          <w:szCs w:val="20"/>
          <w:u w:val="single"/>
        </w:rPr>
      </w:pPr>
    </w:p>
    <w:p w14:paraId="5AF96B74" w14:textId="2D9C2A7E" w:rsidR="00C84078" w:rsidRDefault="00C84078" w:rsidP="00E732FA">
      <w:pPr>
        <w:spacing w:after="160"/>
        <w:jc w:val="both"/>
        <w:rPr>
          <w:rFonts w:cstheme="minorHAnsi"/>
          <w:i/>
          <w:iCs/>
          <w:color w:val="0563C1" w:themeColor="hyperlink"/>
          <w:sz w:val="20"/>
          <w:szCs w:val="20"/>
          <w:u w:val="single"/>
        </w:rPr>
      </w:pPr>
    </w:p>
    <w:p w14:paraId="5B16E615" w14:textId="1885AA51" w:rsidR="00C84078" w:rsidRDefault="00C84078" w:rsidP="00E732FA">
      <w:pPr>
        <w:spacing w:after="160"/>
        <w:jc w:val="both"/>
        <w:rPr>
          <w:rFonts w:cstheme="minorHAnsi"/>
          <w:i/>
          <w:iCs/>
          <w:color w:val="0563C1" w:themeColor="hyperlink"/>
          <w:sz w:val="20"/>
          <w:szCs w:val="20"/>
          <w:u w:val="single"/>
        </w:rPr>
      </w:pPr>
    </w:p>
    <w:p w14:paraId="5AE3B479" w14:textId="6C8F77FF" w:rsidR="00C84078" w:rsidRDefault="00C84078" w:rsidP="00E732FA">
      <w:pPr>
        <w:spacing w:after="160"/>
        <w:jc w:val="both"/>
        <w:rPr>
          <w:rFonts w:cstheme="minorHAnsi"/>
          <w:i/>
          <w:iCs/>
          <w:color w:val="0563C1" w:themeColor="hyperlink"/>
          <w:sz w:val="20"/>
          <w:szCs w:val="20"/>
          <w:u w:val="single"/>
        </w:rPr>
      </w:pPr>
    </w:p>
    <w:p w14:paraId="56FB5D02" w14:textId="042BFACF" w:rsidR="00C84078" w:rsidRDefault="00C84078" w:rsidP="00E732FA">
      <w:pPr>
        <w:spacing w:after="160"/>
        <w:jc w:val="both"/>
        <w:rPr>
          <w:rFonts w:cstheme="minorHAnsi"/>
          <w:i/>
          <w:iCs/>
          <w:color w:val="0563C1" w:themeColor="hyperlink"/>
          <w:sz w:val="20"/>
          <w:szCs w:val="20"/>
          <w:u w:val="single"/>
        </w:rPr>
      </w:pPr>
    </w:p>
    <w:p w14:paraId="26418BF3" w14:textId="3BA2BE52" w:rsidR="00C84078" w:rsidRDefault="00C84078" w:rsidP="00E732FA">
      <w:pPr>
        <w:spacing w:after="160"/>
        <w:jc w:val="both"/>
        <w:rPr>
          <w:rFonts w:cstheme="minorHAnsi"/>
          <w:i/>
          <w:iCs/>
          <w:color w:val="0563C1" w:themeColor="hyperlink"/>
          <w:sz w:val="20"/>
          <w:szCs w:val="20"/>
          <w:u w:val="single"/>
        </w:rPr>
      </w:pPr>
    </w:p>
    <w:p w14:paraId="0F706E4A" w14:textId="6743B471" w:rsidR="00C84078" w:rsidRDefault="00C84078" w:rsidP="00E732FA">
      <w:pPr>
        <w:spacing w:after="160"/>
        <w:jc w:val="both"/>
        <w:rPr>
          <w:rFonts w:cstheme="minorHAnsi"/>
          <w:i/>
          <w:iCs/>
          <w:color w:val="0563C1" w:themeColor="hyperlink"/>
          <w:sz w:val="20"/>
          <w:szCs w:val="20"/>
          <w:u w:val="single"/>
        </w:rPr>
      </w:pPr>
    </w:p>
    <w:p w14:paraId="2B6E4FA8" w14:textId="77777777" w:rsidR="00C84078" w:rsidRPr="003C7CB1" w:rsidRDefault="00C84078" w:rsidP="00E732FA">
      <w:pPr>
        <w:spacing w:after="160"/>
        <w:jc w:val="both"/>
        <w:rPr>
          <w:rFonts w:cstheme="minorHAnsi"/>
          <w:i/>
          <w:iCs/>
          <w:color w:val="0563C1" w:themeColor="hyperlink"/>
          <w:sz w:val="20"/>
          <w:szCs w:val="20"/>
          <w:u w:val="single"/>
        </w:rPr>
      </w:pPr>
    </w:p>
    <w:p w14:paraId="5A6FA8CF" w14:textId="77777777" w:rsidR="00E732FA" w:rsidRPr="003C7CB1" w:rsidRDefault="00E732FA" w:rsidP="00E732FA">
      <w:pPr>
        <w:spacing w:after="160"/>
        <w:jc w:val="center"/>
        <w:rPr>
          <w:rFonts w:cstheme="minorHAnsi"/>
          <w:b/>
          <w:iCs/>
        </w:rPr>
      </w:pPr>
      <w:r w:rsidRPr="003C7CB1">
        <w:rPr>
          <w:rFonts w:cstheme="minorHAnsi"/>
          <w:b/>
          <w:iCs/>
        </w:rPr>
        <w:t>Chart no. 11 - Number of employees in the sector - Accommodation and food services</w:t>
      </w:r>
    </w:p>
    <w:p w14:paraId="08ABE206" w14:textId="77777777" w:rsidR="00E732FA" w:rsidRPr="003C7CB1" w:rsidRDefault="00E732FA" w:rsidP="00E732FA">
      <w:pPr>
        <w:spacing w:after="160"/>
        <w:jc w:val="center"/>
        <w:rPr>
          <w:rFonts w:cstheme="minorHAnsi"/>
          <w:iCs/>
          <w:sz w:val="24"/>
          <w:szCs w:val="24"/>
        </w:rPr>
      </w:pPr>
      <w:r w:rsidRPr="003C7CB1">
        <w:rPr>
          <w:noProof/>
        </w:rPr>
        <w:drawing>
          <wp:inline distT="0" distB="0" distL="0" distR="0" wp14:anchorId="6DECA47C" wp14:editId="2A6F17B8">
            <wp:extent cx="4557008" cy="1880870"/>
            <wp:effectExtent l="0" t="0" r="0" b="508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62733" cy="1883233"/>
                    </a:xfrm>
                    <a:prstGeom prst="rect">
                      <a:avLst/>
                    </a:prstGeom>
                    <a:noFill/>
                    <a:ln>
                      <a:noFill/>
                    </a:ln>
                  </pic:spPr>
                </pic:pic>
              </a:graphicData>
            </a:graphic>
          </wp:inline>
        </w:drawing>
      </w:r>
    </w:p>
    <w:p w14:paraId="450AA4F8" w14:textId="77777777" w:rsidR="00E732FA" w:rsidRPr="003C7CB1" w:rsidRDefault="00E732FA" w:rsidP="00E732FA">
      <w:pPr>
        <w:spacing w:after="160"/>
        <w:rPr>
          <w:rFonts w:cstheme="minorHAnsi"/>
          <w:iCs/>
          <w:sz w:val="24"/>
          <w:szCs w:val="24"/>
        </w:rPr>
      </w:pPr>
      <w:r w:rsidRPr="003C7CB1">
        <w:rPr>
          <w:rFonts w:cstheme="minorHAnsi"/>
          <w:i/>
          <w:iCs/>
          <w:sz w:val="20"/>
          <w:szCs w:val="20"/>
        </w:rPr>
        <w:t xml:space="preserve">                      Source: MONSTAT, edited by the Ministry of Economic Development</w:t>
      </w:r>
    </w:p>
    <w:p w14:paraId="44679F0D" w14:textId="77777777" w:rsidR="00E732FA" w:rsidRPr="003C7CB1" w:rsidRDefault="00E732FA" w:rsidP="00E732FA">
      <w:pPr>
        <w:spacing w:after="120" w:line="240" w:lineRule="auto"/>
        <w:jc w:val="both"/>
        <w:rPr>
          <w:rFonts w:cstheme="minorHAnsi"/>
          <w:iCs/>
          <w:sz w:val="24"/>
          <w:szCs w:val="24"/>
        </w:rPr>
      </w:pPr>
      <w:r w:rsidRPr="003C7CB1">
        <w:rPr>
          <w:rFonts w:cstheme="minorHAnsi"/>
          <w:iCs/>
          <w:sz w:val="24"/>
          <w:szCs w:val="24"/>
        </w:rPr>
        <w:t>The analysis of data on the number of employees confirms the fact that tourism is an economic activity that is extremely sensitive to crisis situations.</w:t>
      </w:r>
      <w:r w:rsidRPr="003C7CB1">
        <w:t xml:space="preserve"> </w:t>
      </w:r>
      <w:r w:rsidRPr="003C7CB1">
        <w:rPr>
          <w:rFonts w:cstheme="minorHAnsi"/>
          <w:iCs/>
          <w:sz w:val="24"/>
          <w:szCs w:val="24"/>
        </w:rPr>
        <w:t xml:space="preserve">Specifically, during 2010-2011, i.e., in the period marked by the global economic crisis, there was a decrease in the number of employees in the accommodation and food services sector, so that in 2011 there were 25.5% fewer employees compared to 2009. Period 2012-2019 is characterized by continuous growth in the number of employees in this sector. The crisis situation caused by the COVID-19 pandemic has caused a new decline in the number of employees in 2020 by 27.4% compared to 2019. </w:t>
      </w:r>
    </w:p>
    <w:p w14:paraId="564D9136" w14:textId="77777777" w:rsidR="00E732FA" w:rsidRPr="003C7CB1" w:rsidRDefault="00E732FA" w:rsidP="00E732FA">
      <w:pPr>
        <w:spacing w:after="120" w:line="240" w:lineRule="auto"/>
        <w:jc w:val="both"/>
        <w:rPr>
          <w:rFonts w:cstheme="minorHAnsi"/>
          <w:iCs/>
          <w:sz w:val="24"/>
          <w:szCs w:val="24"/>
        </w:rPr>
      </w:pPr>
      <w:r w:rsidRPr="003C7CB1">
        <w:rPr>
          <w:rFonts w:cstheme="minorHAnsi"/>
          <w:iCs/>
          <w:sz w:val="24"/>
          <w:szCs w:val="24"/>
        </w:rPr>
        <w:t xml:space="preserve">Given the fact that tourism is one of the strategic branches of economic development of Montenegro, and bearing in mind the principles of the Youth Guarantee program, young people will have the opportunity to train, educate or improve for occupations in demand in the labor market or employment opportunities in the areas of tourism. This will provide additional support for the employment of domestic labor force. </w:t>
      </w:r>
    </w:p>
    <w:p w14:paraId="78C89623" w14:textId="77777777" w:rsidR="00E732FA" w:rsidRPr="003C7CB1" w:rsidRDefault="00E732FA" w:rsidP="00E732FA">
      <w:pPr>
        <w:spacing w:after="120" w:line="240" w:lineRule="auto"/>
        <w:jc w:val="both"/>
        <w:rPr>
          <w:rFonts w:cstheme="minorHAnsi"/>
          <w:iCs/>
          <w:sz w:val="24"/>
          <w:szCs w:val="24"/>
        </w:rPr>
      </w:pPr>
    </w:p>
    <w:p w14:paraId="4234AE88" w14:textId="77777777" w:rsidR="00E732FA" w:rsidRPr="003C7CB1" w:rsidRDefault="00E732FA" w:rsidP="00E732FA">
      <w:pPr>
        <w:pStyle w:val="Heading3"/>
        <w:spacing w:before="0" w:after="120" w:line="240" w:lineRule="auto"/>
        <w:ind w:left="720"/>
        <w:rPr>
          <w:b/>
          <w:color w:val="2F5496" w:themeColor="accent1" w:themeShade="BF"/>
        </w:rPr>
      </w:pPr>
      <w:bookmarkStart w:id="79" w:name="_Toc91286166"/>
      <w:bookmarkStart w:id="80" w:name="_Toc95303008"/>
      <w:bookmarkStart w:id="81" w:name="_Toc102133796"/>
      <w:bookmarkStart w:id="82" w:name="_Toc104544180"/>
      <w:r w:rsidRPr="003C7CB1">
        <w:rPr>
          <w:b/>
          <w:color w:val="2F5496" w:themeColor="accent1" w:themeShade="BF"/>
        </w:rPr>
        <w:t xml:space="preserve">2.2.8. </w:t>
      </w:r>
      <w:bookmarkEnd w:id="79"/>
      <w:bookmarkEnd w:id="80"/>
      <w:r w:rsidRPr="003C7CB1">
        <w:rPr>
          <w:b/>
          <w:color w:val="2F5496" w:themeColor="accent1" w:themeShade="BF"/>
        </w:rPr>
        <w:t>Earnings in tourism</w:t>
      </w:r>
      <w:bookmarkEnd w:id="81"/>
      <w:bookmarkEnd w:id="82"/>
    </w:p>
    <w:p w14:paraId="7A186DF2"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Regarding the overview of average </w:t>
      </w:r>
      <w:r w:rsidRPr="003C7CB1">
        <w:rPr>
          <w:rFonts w:cstheme="minorHAnsi"/>
          <w:b/>
          <w:sz w:val="24"/>
          <w:szCs w:val="24"/>
        </w:rPr>
        <w:t>earnings in tourism</w:t>
      </w:r>
      <w:r w:rsidRPr="003C7CB1">
        <w:rPr>
          <w:rFonts w:cstheme="minorHAnsi"/>
          <w:sz w:val="24"/>
          <w:szCs w:val="24"/>
        </w:rPr>
        <w:t xml:space="preserve">, MONSTAT monthly reports include companies, institutions, cooperatives or organizations of all forms of ownership, as well as their units within, according to the organizational-territorial principle, starting from the municipal level.  </w:t>
      </w:r>
    </w:p>
    <w:p w14:paraId="163ED540"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In accordance with legal regulations, the employee's salary is gross salary which includes salary for work performed and time spent at work, increased salary, salary compensation and other personal income, which are subject to personal income tax, determined by law, collective agreement and work contract. </w:t>
      </w:r>
    </w:p>
    <w:p w14:paraId="0387C74E" w14:textId="41F2BC7E" w:rsidR="00E732FA" w:rsidRDefault="00E732FA" w:rsidP="00E732FA">
      <w:pPr>
        <w:spacing w:after="120" w:line="240" w:lineRule="auto"/>
        <w:jc w:val="both"/>
        <w:rPr>
          <w:rFonts w:cstheme="minorHAnsi"/>
          <w:sz w:val="24"/>
          <w:szCs w:val="24"/>
        </w:rPr>
      </w:pPr>
      <w:r w:rsidRPr="003C7CB1">
        <w:rPr>
          <w:rFonts w:cstheme="minorHAnsi"/>
          <w:sz w:val="24"/>
          <w:szCs w:val="24"/>
        </w:rPr>
        <w:t xml:space="preserve">The average salary is calculated by dividing the amount of total paid salaries in the month by the number of employees to whom the payments are made (Table no. 10, Chart no. 12). </w:t>
      </w:r>
    </w:p>
    <w:p w14:paraId="18360D29" w14:textId="6CA39A22" w:rsidR="00C84078" w:rsidRDefault="00C84078" w:rsidP="00E732FA">
      <w:pPr>
        <w:spacing w:after="120" w:line="240" w:lineRule="auto"/>
        <w:jc w:val="both"/>
        <w:rPr>
          <w:rFonts w:cstheme="minorHAnsi"/>
          <w:sz w:val="24"/>
          <w:szCs w:val="24"/>
        </w:rPr>
      </w:pPr>
    </w:p>
    <w:p w14:paraId="5B5D0C0D" w14:textId="1BA438C0" w:rsidR="00C84078" w:rsidRDefault="00C84078" w:rsidP="00E732FA">
      <w:pPr>
        <w:spacing w:after="120" w:line="240" w:lineRule="auto"/>
        <w:jc w:val="both"/>
        <w:rPr>
          <w:rFonts w:cstheme="minorHAnsi"/>
          <w:sz w:val="24"/>
          <w:szCs w:val="24"/>
        </w:rPr>
      </w:pPr>
    </w:p>
    <w:p w14:paraId="0621D20E" w14:textId="77777777" w:rsidR="00C84078" w:rsidRPr="003C7CB1" w:rsidRDefault="00C84078" w:rsidP="00E732FA">
      <w:pPr>
        <w:spacing w:after="120" w:line="240" w:lineRule="auto"/>
        <w:jc w:val="both"/>
        <w:rPr>
          <w:rFonts w:cstheme="minorHAnsi"/>
          <w:sz w:val="24"/>
          <w:szCs w:val="24"/>
        </w:rPr>
      </w:pPr>
    </w:p>
    <w:p w14:paraId="0AF5A0A7" w14:textId="77777777" w:rsidR="00E732FA" w:rsidRPr="003C7CB1" w:rsidRDefault="00E732FA" w:rsidP="00E732FA">
      <w:pPr>
        <w:spacing w:after="0" w:line="240" w:lineRule="auto"/>
        <w:rPr>
          <w:rFonts w:cstheme="minorHAnsi"/>
          <w:b/>
        </w:rPr>
      </w:pPr>
      <w:r w:rsidRPr="003C7CB1">
        <w:rPr>
          <w:rFonts w:cstheme="minorHAnsi"/>
          <w:b/>
          <w:bCs/>
        </w:rPr>
        <w:lastRenderedPageBreak/>
        <w:t xml:space="preserve">Table no. 10 - </w:t>
      </w:r>
      <w:r w:rsidRPr="003C7CB1">
        <w:rPr>
          <w:rFonts w:cstheme="minorHAnsi"/>
          <w:b/>
        </w:rPr>
        <w:t>Average net and gross earnings, sector I-Accommodation and food services, 2015-2020 (in euros)</w:t>
      </w:r>
    </w:p>
    <w:p w14:paraId="0C20EBAE" w14:textId="77777777" w:rsidR="00E732FA" w:rsidRPr="003C7CB1" w:rsidRDefault="00E732FA" w:rsidP="00E732FA">
      <w:pPr>
        <w:spacing w:after="0" w:line="240" w:lineRule="auto"/>
        <w:rPr>
          <w:rFonts w:cstheme="minorHAnsi"/>
          <w:b/>
        </w:rPr>
      </w:pPr>
    </w:p>
    <w:tbl>
      <w:tblPr>
        <w:tblStyle w:val="GridTable5Dark-Accent131"/>
        <w:tblpPr w:leftFromText="180" w:rightFromText="180" w:vertAnchor="text" w:tblpXSpec="center" w:tblpY="1"/>
        <w:tblW w:w="0" w:type="auto"/>
        <w:tblLook w:val="04A0" w:firstRow="1" w:lastRow="0" w:firstColumn="1" w:lastColumn="0" w:noHBand="0" w:noVBand="1"/>
      </w:tblPr>
      <w:tblGrid>
        <w:gridCol w:w="1460"/>
        <w:gridCol w:w="1829"/>
        <w:gridCol w:w="1843"/>
        <w:gridCol w:w="2015"/>
        <w:gridCol w:w="1870"/>
      </w:tblGrid>
      <w:tr w:rsidR="00E732FA" w:rsidRPr="003C7CB1" w14:paraId="1AEEB7FE" w14:textId="77777777" w:rsidTr="00E732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dxa"/>
          </w:tcPr>
          <w:p w14:paraId="65FE30D9" w14:textId="77777777" w:rsidR="00E732FA" w:rsidRPr="003C7CB1" w:rsidRDefault="00E732FA" w:rsidP="00E732FA">
            <w:pPr>
              <w:spacing w:after="0"/>
              <w:jc w:val="center"/>
              <w:rPr>
                <w:rFonts w:cstheme="minorHAnsi"/>
                <w:sz w:val="24"/>
                <w:szCs w:val="24"/>
              </w:rPr>
            </w:pPr>
          </w:p>
        </w:tc>
        <w:tc>
          <w:tcPr>
            <w:tcW w:w="1861" w:type="dxa"/>
          </w:tcPr>
          <w:p w14:paraId="63A4EF57" w14:textId="77777777" w:rsidR="00E732FA" w:rsidRPr="003C7CB1" w:rsidRDefault="00E732FA"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Net earnings</w:t>
            </w:r>
          </w:p>
          <w:p w14:paraId="497EB5C5" w14:textId="77777777" w:rsidR="00E732FA" w:rsidRPr="003C7CB1" w:rsidRDefault="00E732FA"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sector I </w:t>
            </w:r>
          </w:p>
        </w:tc>
        <w:tc>
          <w:tcPr>
            <w:tcW w:w="1861" w:type="dxa"/>
          </w:tcPr>
          <w:p w14:paraId="1D102641" w14:textId="3DF6375A" w:rsidR="00E732FA" w:rsidRPr="003C7CB1" w:rsidRDefault="003C7CB1"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Net earnings</w:t>
            </w:r>
          </w:p>
          <w:p w14:paraId="0F983D5E" w14:textId="77777777" w:rsidR="00E732FA" w:rsidRPr="003C7CB1" w:rsidRDefault="00E732FA"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Montenegro </w:t>
            </w:r>
          </w:p>
        </w:tc>
        <w:tc>
          <w:tcPr>
            <w:tcW w:w="2054" w:type="dxa"/>
          </w:tcPr>
          <w:p w14:paraId="5E770A00" w14:textId="77777777" w:rsidR="00E732FA" w:rsidRPr="003C7CB1" w:rsidRDefault="00E732FA"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Gross earnings</w:t>
            </w:r>
          </w:p>
          <w:p w14:paraId="17C78D73" w14:textId="77777777" w:rsidR="00E732FA" w:rsidRPr="003C7CB1" w:rsidRDefault="00E732FA"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Sector I </w:t>
            </w:r>
          </w:p>
        </w:tc>
        <w:tc>
          <w:tcPr>
            <w:tcW w:w="1890" w:type="dxa"/>
          </w:tcPr>
          <w:p w14:paraId="5D8A3A62" w14:textId="77777777" w:rsidR="00E732FA" w:rsidRPr="003C7CB1" w:rsidRDefault="00E732FA" w:rsidP="00E732FA">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Gross earnings Montenegro </w:t>
            </w:r>
          </w:p>
        </w:tc>
      </w:tr>
      <w:tr w:rsidR="00E732FA" w:rsidRPr="003C7CB1" w14:paraId="15496B06" w14:textId="77777777" w:rsidTr="00E732F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91" w:type="dxa"/>
          </w:tcPr>
          <w:p w14:paraId="53153E73" w14:textId="77777777" w:rsidR="00E732FA" w:rsidRPr="003C7CB1" w:rsidRDefault="00E732FA" w:rsidP="00E732FA">
            <w:pPr>
              <w:spacing w:after="0"/>
              <w:jc w:val="center"/>
              <w:rPr>
                <w:rFonts w:cstheme="minorHAnsi"/>
              </w:rPr>
            </w:pPr>
            <w:r w:rsidRPr="003C7CB1">
              <w:rPr>
                <w:rFonts w:cstheme="minorHAnsi"/>
              </w:rPr>
              <w:t xml:space="preserve">2015 </w:t>
            </w:r>
          </w:p>
        </w:tc>
        <w:tc>
          <w:tcPr>
            <w:tcW w:w="1861" w:type="dxa"/>
          </w:tcPr>
          <w:p w14:paraId="71099DF0"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405 </w:t>
            </w:r>
          </w:p>
        </w:tc>
        <w:tc>
          <w:tcPr>
            <w:tcW w:w="1861" w:type="dxa"/>
          </w:tcPr>
          <w:p w14:paraId="18FCEA10"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480 </w:t>
            </w:r>
          </w:p>
        </w:tc>
        <w:tc>
          <w:tcPr>
            <w:tcW w:w="2054" w:type="dxa"/>
          </w:tcPr>
          <w:p w14:paraId="39AC349D"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605 </w:t>
            </w:r>
          </w:p>
        </w:tc>
        <w:tc>
          <w:tcPr>
            <w:tcW w:w="1890" w:type="dxa"/>
          </w:tcPr>
          <w:p w14:paraId="1E6B4BD8"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725 </w:t>
            </w:r>
          </w:p>
        </w:tc>
      </w:tr>
      <w:tr w:rsidR="00E732FA" w:rsidRPr="003C7CB1" w14:paraId="07AFC5A2" w14:textId="77777777" w:rsidTr="00E732FA">
        <w:tc>
          <w:tcPr>
            <w:cnfStyle w:val="001000000000" w:firstRow="0" w:lastRow="0" w:firstColumn="1" w:lastColumn="0" w:oddVBand="0" w:evenVBand="0" w:oddHBand="0" w:evenHBand="0" w:firstRowFirstColumn="0" w:firstRowLastColumn="0" w:lastRowFirstColumn="0" w:lastRowLastColumn="0"/>
            <w:tcW w:w="1491" w:type="dxa"/>
          </w:tcPr>
          <w:p w14:paraId="3C9B7895" w14:textId="77777777" w:rsidR="00E732FA" w:rsidRPr="003C7CB1" w:rsidRDefault="00E732FA" w:rsidP="00E732FA">
            <w:pPr>
              <w:spacing w:after="0"/>
              <w:jc w:val="center"/>
              <w:rPr>
                <w:rFonts w:cstheme="minorHAnsi"/>
              </w:rPr>
            </w:pPr>
            <w:r w:rsidRPr="003C7CB1">
              <w:rPr>
                <w:rFonts w:cstheme="minorHAnsi"/>
              </w:rPr>
              <w:t xml:space="preserve">2016 </w:t>
            </w:r>
          </w:p>
        </w:tc>
        <w:tc>
          <w:tcPr>
            <w:tcW w:w="1861" w:type="dxa"/>
          </w:tcPr>
          <w:p w14:paraId="336DB6D5"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388 </w:t>
            </w:r>
          </w:p>
        </w:tc>
        <w:tc>
          <w:tcPr>
            <w:tcW w:w="1861" w:type="dxa"/>
          </w:tcPr>
          <w:p w14:paraId="130BE6E4"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499 </w:t>
            </w:r>
          </w:p>
        </w:tc>
        <w:tc>
          <w:tcPr>
            <w:tcW w:w="2054" w:type="dxa"/>
          </w:tcPr>
          <w:p w14:paraId="4AA586AE"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580 </w:t>
            </w:r>
          </w:p>
        </w:tc>
        <w:tc>
          <w:tcPr>
            <w:tcW w:w="1890" w:type="dxa"/>
          </w:tcPr>
          <w:p w14:paraId="4B2C907C"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751 </w:t>
            </w:r>
          </w:p>
        </w:tc>
      </w:tr>
      <w:tr w:rsidR="00E732FA" w:rsidRPr="003C7CB1" w14:paraId="0FA1BA43" w14:textId="77777777" w:rsidTr="00E73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dxa"/>
          </w:tcPr>
          <w:p w14:paraId="7D3D907E" w14:textId="77777777" w:rsidR="00E732FA" w:rsidRPr="003C7CB1" w:rsidRDefault="00E732FA" w:rsidP="00E732FA">
            <w:pPr>
              <w:spacing w:after="0"/>
              <w:jc w:val="center"/>
              <w:rPr>
                <w:rFonts w:cstheme="minorHAnsi"/>
              </w:rPr>
            </w:pPr>
            <w:r w:rsidRPr="003C7CB1">
              <w:rPr>
                <w:rFonts w:cstheme="minorHAnsi"/>
              </w:rPr>
              <w:t xml:space="preserve">2017 </w:t>
            </w:r>
          </w:p>
        </w:tc>
        <w:tc>
          <w:tcPr>
            <w:tcW w:w="1861" w:type="dxa"/>
          </w:tcPr>
          <w:p w14:paraId="3DDD3E44"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388 </w:t>
            </w:r>
          </w:p>
        </w:tc>
        <w:tc>
          <w:tcPr>
            <w:tcW w:w="1861" w:type="dxa"/>
          </w:tcPr>
          <w:p w14:paraId="6BAA805B"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510 </w:t>
            </w:r>
          </w:p>
        </w:tc>
        <w:tc>
          <w:tcPr>
            <w:tcW w:w="2054" w:type="dxa"/>
          </w:tcPr>
          <w:p w14:paraId="070B121B"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580 </w:t>
            </w:r>
          </w:p>
        </w:tc>
        <w:tc>
          <w:tcPr>
            <w:tcW w:w="1890" w:type="dxa"/>
          </w:tcPr>
          <w:p w14:paraId="4EC250C7"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765 </w:t>
            </w:r>
          </w:p>
        </w:tc>
      </w:tr>
      <w:tr w:rsidR="00E732FA" w:rsidRPr="003C7CB1" w14:paraId="6C1D43B4" w14:textId="77777777" w:rsidTr="00E732FA">
        <w:tc>
          <w:tcPr>
            <w:cnfStyle w:val="001000000000" w:firstRow="0" w:lastRow="0" w:firstColumn="1" w:lastColumn="0" w:oddVBand="0" w:evenVBand="0" w:oddHBand="0" w:evenHBand="0" w:firstRowFirstColumn="0" w:firstRowLastColumn="0" w:lastRowFirstColumn="0" w:lastRowLastColumn="0"/>
            <w:tcW w:w="1491" w:type="dxa"/>
          </w:tcPr>
          <w:p w14:paraId="4A735942" w14:textId="77777777" w:rsidR="00E732FA" w:rsidRPr="003C7CB1" w:rsidRDefault="00E732FA" w:rsidP="00E732FA">
            <w:pPr>
              <w:spacing w:after="0"/>
              <w:jc w:val="center"/>
              <w:rPr>
                <w:rFonts w:cstheme="minorHAnsi"/>
              </w:rPr>
            </w:pPr>
            <w:r w:rsidRPr="003C7CB1">
              <w:rPr>
                <w:rFonts w:cstheme="minorHAnsi"/>
              </w:rPr>
              <w:t xml:space="preserve">2018 </w:t>
            </w:r>
          </w:p>
        </w:tc>
        <w:tc>
          <w:tcPr>
            <w:tcW w:w="1861" w:type="dxa"/>
          </w:tcPr>
          <w:p w14:paraId="4634064D"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415 </w:t>
            </w:r>
          </w:p>
        </w:tc>
        <w:tc>
          <w:tcPr>
            <w:tcW w:w="1861" w:type="dxa"/>
          </w:tcPr>
          <w:p w14:paraId="54E2A332"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511 </w:t>
            </w:r>
          </w:p>
        </w:tc>
        <w:tc>
          <w:tcPr>
            <w:tcW w:w="2054" w:type="dxa"/>
          </w:tcPr>
          <w:p w14:paraId="159B8C3C"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621 </w:t>
            </w:r>
          </w:p>
        </w:tc>
        <w:tc>
          <w:tcPr>
            <w:tcW w:w="1890" w:type="dxa"/>
          </w:tcPr>
          <w:p w14:paraId="0B5F8FD3"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766 </w:t>
            </w:r>
          </w:p>
        </w:tc>
      </w:tr>
      <w:tr w:rsidR="00E732FA" w:rsidRPr="003C7CB1" w14:paraId="1D152CE8" w14:textId="77777777" w:rsidTr="00E73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dxa"/>
          </w:tcPr>
          <w:p w14:paraId="39BB371E" w14:textId="77777777" w:rsidR="00E732FA" w:rsidRPr="003C7CB1" w:rsidRDefault="00E732FA" w:rsidP="00E732FA">
            <w:pPr>
              <w:spacing w:after="0"/>
              <w:jc w:val="center"/>
              <w:rPr>
                <w:rFonts w:cstheme="minorHAnsi"/>
              </w:rPr>
            </w:pPr>
            <w:r w:rsidRPr="003C7CB1">
              <w:rPr>
                <w:rFonts w:cstheme="minorHAnsi"/>
              </w:rPr>
              <w:t xml:space="preserve">2019 </w:t>
            </w:r>
          </w:p>
        </w:tc>
        <w:tc>
          <w:tcPr>
            <w:tcW w:w="1861" w:type="dxa"/>
          </w:tcPr>
          <w:p w14:paraId="5E3E54EF"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429 </w:t>
            </w:r>
          </w:p>
        </w:tc>
        <w:tc>
          <w:tcPr>
            <w:tcW w:w="1861" w:type="dxa"/>
          </w:tcPr>
          <w:p w14:paraId="184D4944"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515 </w:t>
            </w:r>
          </w:p>
        </w:tc>
        <w:tc>
          <w:tcPr>
            <w:tcW w:w="2054" w:type="dxa"/>
          </w:tcPr>
          <w:p w14:paraId="68007384"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642 </w:t>
            </w:r>
          </w:p>
        </w:tc>
        <w:tc>
          <w:tcPr>
            <w:tcW w:w="1890" w:type="dxa"/>
          </w:tcPr>
          <w:p w14:paraId="745C8988" w14:textId="77777777" w:rsidR="00E732FA" w:rsidRPr="003C7CB1" w:rsidRDefault="00E732FA" w:rsidP="00E732F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3C7CB1">
              <w:rPr>
                <w:rFonts w:cstheme="minorHAnsi"/>
              </w:rPr>
              <w:t xml:space="preserve">773 </w:t>
            </w:r>
          </w:p>
        </w:tc>
      </w:tr>
      <w:tr w:rsidR="00E732FA" w:rsidRPr="003C7CB1" w14:paraId="3C83DD5C" w14:textId="77777777" w:rsidTr="00E732FA">
        <w:trPr>
          <w:trHeight w:val="181"/>
        </w:trPr>
        <w:tc>
          <w:tcPr>
            <w:cnfStyle w:val="001000000000" w:firstRow="0" w:lastRow="0" w:firstColumn="1" w:lastColumn="0" w:oddVBand="0" w:evenVBand="0" w:oddHBand="0" w:evenHBand="0" w:firstRowFirstColumn="0" w:firstRowLastColumn="0" w:lastRowFirstColumn="0" w:lastRowLastColumn="0"/>
            <w:tcW w:w="1491" w:type="dxa"/>
          </w:tcPr>
          <w:p w14:paraId="5068758E" w14:textId="77777777" w:rsidR="00E732FA" w:rsidRPr="003C7CB1" w:rsidRDefault="00E732FA" w:rsidP="00E732FA">
            <w:pPr>
              <w:spacing w:after="0"/>
              <w:jc w:val="center"/>
              <w:rPr>
                <w:rFonts w:cstheme="minorHAnsi"/>
              </w:rPr>
            </w:pPr>
            <w:r w:rsidRPr="003C7CB1">
              <w:rPr>
                <w:rFonts w:cstheme="minorHAnsi"/>
              </w:rPr>
              <w:t xml:space="preserve">2020 </w:t>
            </w:r>
          </w:p>
        </w:tc>
        <w:tc>
          <w:tcPr>
            <w:tcW w:w="1861" w:type="dxa"/>
          </w:tcPr>
          <w:p w14:paraId="5272A80B"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392 </w:t>
            </w:r>
          </w:p>
        </w:tc>
        <w:tc>
          <w:tcPr>
            <w:tcW w:w="1861" w:type="dxa"/>
          </w:tcPr>
          <w:p w14:paraId="13A59793"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524 </w:t>
            </w:r>
          </w:p>
        </w:tc>
        <w:tc>
          <w:tcPr>
            <w:tcW w:w="2054" w:type="dxa"/>
          </w:tcPr>
          <w:p w14:paraId="52B49341"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589 </w:t>
            </w:r>
          </w:p>
        </w:tc>
        <w:tc>
          <w:tcPr>
            <w:tcW w:w="1890" w:type="dxa"/>
          </w:tcPr>
          <w:p w14:paraId="74820EEF" w14:textId="77777777" w:rsidR="00E732FA" w:rsidRPr="003C7CB1" w:rsidRDefault="00E732FA" w:rsidP="00E732FA">
            <w:pPr>
              <w:spacing w:after="0"/>
              <w:jc w:val="right"/>
              <w:cnfStyle w:val="000000000000" w:firstRow="0" w:lastRow="0" w:firstColumn="0" w:lastColumn="0" w:oddVBand="0" w:evenVBand="0" w:oddHBand="0" w:evenHBand="0" w:firstRowFirstColumn="0" w:firstRowLastColumn="0" w:lastRowFirstColumn="0" w:lastRowLastColumn="0"/>
              <w:rPr>
                <w:rFonts w:cstheme="minorHAnsi"/>
              </w:rPr>
            </w:pPr>
            <w:r w:rsidRPr="003C7CB1">
              <w:rPr>
                <w:rFonts w:cstheme="minorHAnsi"/>
              </w:rPr>
              <w:t xml:space="preserve">783 </w:t>
            </w:r>
          </w:p>
        </w:tc>
      </w:tr>
    </w:tbl>
    <w:p w14:paraId="29CFFA0D" w14:textId="77777777" w:rsidR="00E732FA" w:rsidRPr="003C7CB1" w:rsidRDefault="00E732FA" w:rsidP="00E732FA">
      <w:pPr>
        <w:spacing w:after="160"/>
        <w:rPr>
          <w:rStyle w:val="Hyperlink"/>
          <w:rFonts w:cstheme="minorHAnsi"/>
          <w:i/>
          <w:iCs/>
          <w:color w:val="auto"/>
          <w:sz w:val="20"/>
          <w:szCs w:val="20"/>
          <w:u w:val="none"/>
        </w:rPr>
      </w:pPr>
      <w:r w:rsidRPr="003C7CB1">
        <w:rPr>
          <w:rFonts w:cstheme="minorHAnsi"/>
          <w:i/>
          <w:iCs/>
          <w:sz w:val="20"/>
          <w:szCs w:val="20"/>
        </w:rPr>
        <w:t xml:space="preserve">Source: MONSTAT, </w:t>
      </w:r>
      <w:hyperlink r:id="rId45" w:history="1">
        <w:r w:rsidRPr="003C7CB1">
          <w:rPr>
            <w:rFonts w:cstheme="minorHAnsi"/>
            <w:i/>
            <w:iCs/>
            <w:color w:val="0563C1" w:themeColor="hyperlink"/>
            <w:sz w:val="20"/>
            <w:szCs w:val="20"/>
            <w:u w:val="single"/>
          </w:rPr>
          <w:t>https://monstat.org/cg/page.php?id=24&amp;pageid=24</w:t>
        </w:r>
      </w:hyperlink>
      <w:r w:rsidRPr="003C7CB1">
        <w:rPr>
          <w:rFonts w:cstheme="minorHAnsi"/>
          <w:i/>
          <w:iCs/>
          <w:sz w:val="20"/>
          <w:szCs w:val="20"/>
        </w:rPr>
        <w:t xml:space="preserve"> and data 2020 for </w:t>
      </w:r>
      <w:hyperlink r:id="rId46" w:history="1">
        <w:r w:rsidRPr="003C7CB1">
          <w:rPr>
            <w:rStyle w:val="Hyperlink"/>
            <w:rFonts w:cstheme="minorHAnsi"/>
            <w:i/>
            <w:iCs/>
            <w:sz w:val="20"/>
            <w:szCs w:val="20"/>
          </w:rPr>
          <w:t>https://monstat.org/cg/page.php?id=1743&amp;pageid=246</w:t>
        </w:r>
      </w:hyperlink>
    </w:p>
    <w:p w14:paraId="2AB88038" w14:textId="77777777" w:rsidR="00E732FA" w:rsidRPr="003C7CB1" w:rsidRDefault="00E732FA" w:rsidP="00E732FA">
      <w:pPr>
        <w:spacing w:after="160"/>
        <w:jc w:val="center"/>
        <w:rPr>
          <w:rFonts w:cstheme="minorHAnsi"/>
          <w:b/>
          <w:iCs/>
        </w:rPr>
      </w:pPr>
      <w:r w:rsidRPr="003C7CB1">
        <w:rPr>
          <w:rFonts w:cstheme="minorHAnsi"/>
          <w:b/>
          <w:iCs/>
        </w:rPr>
        <w:t xml:space="preserve">Chart no. 12 - Average net earnings in Montenegro and the sector of Accommodation and food services </w:t>
      </w:r>
    </w:p>
    <w:p w14:paraId="031BA05E" w14:textId="77777777" w:rsidR="00E732FA" w:rsidRPr="003C7CB1" w:rsidRDefault="00E732FA" w:rsidP="00E732FA">
      <w:pPr>
        <w:spacing w:after="0"/>
        <w:jc w:val="center"/>
        <w:rPr>
          <w:rFonts w:cstheme="minorHAnsi"/>
          <w:i/>
          <w:iCs/>
          <w:sz w:val="24"/>
          <w:szCs w:val="24"/>
        </w:rPr>
      </w:pPr>
      <w:r w:rsidRPr="003C7CB1">
        <w:rPr>
          <w:noProof/>
        </w:rPr>
        <w:drawing>
          <wp:inline distT="0" distB="0" distL="0" distR="0" wp14:anchorId="02EDAC43" wp14:editId="72F64594">
            <wp:extent cx="3609975" cy="1497152"/>
            <wp:effectExtent l="0" t="0" r="0" b="825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20014" cy="1501315"/>
                    </a:xfrm>
                    <a:prstGeom prst="rect">
                      <a:avLst/>
                    </a:prstGeom>
                    <a:noFill/>
                    <a:ln>
                      <a:noFill/>
                    </a:ln>
                  </pic:spPr>
                </pic:pic>
              </a:graphicData>
            </a:graphic>
          </wp:inline>
        </w:drawing>
      </w:r>
    </w:p>
    <w:p w14:paraId="55E3D637" w14:textId="77777777" w:rsidR="00E732FA" w:rsidRPr="003C7CB1" w:rsidRDefault="00E732FA" w:rsidP="00E732FA">
      <w:pPr>
        <w:spacing w:after="0"/>
        <w:rPr>
          <w:rFonts w:cstheme="minorHAnsi"/>
          <w:i/>
          <w:iCs/>
          <w:sz w:val="20"/>
          <w:szCs w:val="20"/>
        </w:rPr>
      </w:pPr>
      <w:r w:rsidRPr="003C7CB1">
        <w:rPr>
          <w:rFonts w:cstheme="minorHAnsi"/>
          <w:i/>
          <w:iCs/>
          <w:sz w:val="20"/>
          <w:szCs w:val="20"/>
        </w:rPr>
        <w:t xml:space="preserve">                                       Source: MONSTAT, edited by the Ministry of Economic Development</w:t>
      </w:r>
    </w:p>
    <w:p w14:paraId="209DF24C" w14:textId="77777777" w:rsidR="00E732FA" w:rsidRPr="003C7CB1" w:rsidRDefault="00E732FA" w:rsidP="00E732FA">
      <w:pPr>
        <w:spacing w:after="0"/>
        <w:rPr>
          <w:rFonts w:cstheme="minorHAnsi"/>
          <w:iCs/>
          <w:sz w:val="20"/>
          <w:szCs w:val="20"/>
        </w:rPr>
      </w:pPr>
    </w:p>
    <w:p w14:paraId="666510D1" w14:textId="77777777" w:rsidR="00E732FA" w:rsidRPr="003C7CB1" w:rsidRDefault="00E732FA" w:rsidP="00E732FA">
      <w:pPr>
        <w:spacing w:after="120" w:line="240" w:lineRule="auto"/>
        <w:jc w:val="both"/>
        <w:rPr>
          <w:rFonts w:cstheme="minorHAnsi"/>
          <w:iCs/>
          <w:sz w:val="24"/>
          <w:szCs w:val="24"/>
        </w:rPr>
      </w:pPr>
      <w:r w:rsidRPr="003C7CB1">
        <w:rPr>
          <w:rFonts w:cstheme="minorHAnsi"/>
          <w:iCs/>
          <w:sz w:val="24"/>
          <w:szCs w:val="24"/>
        </w:rPr>
        <w:t>As it can be concluded from the table, salaries in the services, accommodation and food sector are constantly below the average salaries in Montenegro, which is one of the reasons why this sector is unattractive when choosing a future occupation.</w:t>
      </w:r>
      <w:r w:rsidRPr="003C7CB1">
        <w:t xml:space="preserve"> </w:t>
      </w:r>
      <w:r w:rsidRPr="003C7CB1">
        <w:rPr>
          <w:rFonts w:cstheme="minorHAnsi"/>
          <w:iCs/>
          <w:sz w:val="24"/>
          <w:szCs w:val="24"/>
        </w:rPr>
        <w:t xml:space="preserve">Also, due to the seasonal nature of the tourism industry, young people do not show special interest in education and specialization in this area.  </w:t>
      </w:r>
    </w:p>
    <w:p w14:paraId="4E431F81" w14:textId="77777777" w:rsidR="00E732FA" w:rsidRPr="003C7CB1" w:rsidRDefault="00E732FA" w:rsidP="00E732FA">
      <w:pPr>
        <w:spacing w:after="120" w:line="240" w:lineRule="auto"/>
        <w:jc w:val="both"/>
        <w:rPr>
          <w:rFonts w:cstheme="minorHAnsi"/>
          <w:iCs/>
          <w:sz w:val="24"/>
          <w:szCs w:val="24"/>
        </w:rPr>
      </w:pPr>
      <w:r w:rsidRPr="003C7CB1">
        <w:rPr>
          <w:rFonts w:cstheme="minorHAnsi"/>
          <w:iCs/>
          <w:sz w:val="24"/>
          <w:szCs w:val="24"/>
        </w:rPr>
        <w:t>In order to solve the above-mentioned problem, the new Tourism Development Strategy envisages the development of a diversified tourist offer, which will create conditions for higher demand for labor force in the period before and after the main tourist season.</w:t>
      </w:r>
      <w:r w:rsidRPr="003C7CB1">
        <w:t xml:space="preserve"> </w:t>
      </w:r>
      <w:r w:rsidRPr="003C7CB1">
        <w:rPr>
          <w:rFonts w:cstheme="minorHAnsi"/>
          <w:iCs/>
          <w:sz w:val="24"/>
          <w:szCs w:val="24"/>
        </w:rPr>
        <w:t>In that sense, it is necessary to work on strengthening human resources, in order to have a qualified and satisfied domestic labor force in the medium and long term. In order to implement the above, it is necessary to consider the possibility of introducing the category of “permanent seasonal worker” into the legislation, as is already the case in countries competing with Montenegro.</w:t>
      </w:r>
      <w:r w:rsidRPr="003C7CB1">
        <w:t xml:space="preserve"> </w:t>
      </w:r>
      <w:r w:rsidRPr="003C7CB1">
        <w:rPr>
          <w:rFonts w:cstheme="minorHAnsi"/>
          <w:iCs/>
          <w:sz w:val="24"/>
          <w:szCs w:val="24"/>
        </w:rPr>
        <w:t xml:space="preserve">Special attention should be paid to the inclusion in the legal flows of all those who operate outside them, in order to combat the gray economy.   </w:t>
      </w:r>
    </w:p>
    <w:p w14:paraId="001C8231" w14:textId="77777777" w:rsidR="00E732FA" w:rsidRPr="003C7CB1" w:rsidRDefault="00E732FA" w:rsidP="00E732FA">
      <w:pPr>
        <w:spacing w:after="0"/>
        <w:jc w:val="both"/>
        <w:rPr>
          <w:rFonts w:cstheme="minorHAnsi"/>
          <w:iCs/>
          <w:sz w:val="24"/>
          <w:szCs w:val="24"/>
        </w:rPr>
      </w:pPr>
    </w:p>
    <w:p w14:paraId="60BB3B9C" w14:textId="77777777" w:rsidR="00E732FA" w:rsidRPr="003C7CB1" w:rsidRDefault="00E732FA" w:rsidP="00E732FA">
      <w:pPr>
        <w:spacing w:after="0"/>
        <w:jc w:val="both"/>
        <w:rPr>
          <w:rFonts w:cstheme="minorHAnsi"/>
          <w:b/>
          <w:iCs/>
          <w:color w:val="2F5496" w:themeColor="accent1" w:themeShade="BF"/>
          <w:sz w:val="24"/>
          <w:szCs w:val="24"/>
        </w:rPr>
      </w:pPr>
    </w:p>
    <w:p w14:paraId="09EAB727" w14:textId="77777777" w:rsidR="00E732FA" w:rsidRPr="003C7CB1" w:rsidRDefault="00E732FA" w:rsidP="00E732FA">
      <w:pPr>
        <w:spacing w:after="0" w:line="240" w:lineRule="auto"/>
        <w:rPr>
          <w:rFonts w:cstheme="minorHAnsi"/>
          <w:i/>
          <w:iCs/>
          <w:sz w:val="20"/>
          <w:szCs w:val="20"/>
        </w:rPr>
      </w:pPr>
      <w:r w:rsidRPr="003C7CB1">
        <w:rPr>
          <w:rFonts w:cstheme="minorHAnsi"/>
          <w:i/>
          <w:iCs/>
          <w:sz w:val="20"/>
          <w:szCs w:val="20"/>
        </w:rPr>
        <w:br w:type="page"/>
      </w:r>
    </w:p>
    <w:p w14:paraId="0C810F1D" w14:textId="77777777" w:rsidR="00E732FA" w:rsidRPr="003C7CB1" w:rsidRDefault="00E732FA" w:rsidP="00E732FA">
      <w:pPr>
        <w:spacing w:after="0" w:line="240" w:lineRule="auto"/>
        <w:rPr>
          <w:rFonts w:cstheme="minorHAnsi"/>
          <w:i/>
          <w:iCs/>
          <w:sz w:val="20"/>
          <w:szCs w:val="20"/>
        </w:rPr>
      </w:pPr>
      <w:r w:rsidRPr="003C7CB1">
        <w:rPr>
          <w:rFonts w:cstheme="minorHAnsi"/>
          <w:i/>
          <w:iCs/>
          <w:noProof/>
          <w:sz w:val="20"/>
          <w:szCs w:val="20"/>
        </w:rPr>
        <w:lastRenderedPageBreak/>
        <w:drawing>
          <wp:inline distT="0" distB="0" distL="0" distR="0" wp14:anchorId="6CD8244B" wp14:editId="0B8F2831">
            <wp:extent cx="5732145" cy="8108211"/>
            <wp:effectExtent l="0" t="0" r="1905"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0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4E2D8B00" w14:textId="77777777" w:rsidR="00E732FA" w:rsidRPr="003C7CB1" w:rsidRDefault="00E732FA" w:rsidP="00E732FA">
      <w:pPr>
        <w:spacing w:after="0" w:line="240" w:lineRule="auto"/>
        <w:rPr>
          <w:rFonts w:cstheme="minorHAnsi"/>
          <w:i/>
          <w:iCs/>
          <w:sz w:val="20"/>
          <w:szCs w:val="20"/>
        </w:rPr>
      </w:pPr>
      <w:r w:rsidRPr="003C7CB1">
        <w:rPr>
          <w:rFonts w:cstheme="minorHAnsi"/>
          <w:i/>
          <w:iCs/>
          <w:sz w:val="20"/>
          <w:szCs w:val="20"/>
        </w:rPr>
        <w:br w:type="page"/>
      </w:r>
    </w:p>
    <w:p w14:paraId="443A5312" w14:textId="77777777" w:rsidR="00E732FA" w:rsidRPr="003C7CB1" w:rsidRDefault="00E732FA" w:rsidP="00E732FA">
      <w:pPr>
        <w:pStyle w:val="Heading1"/>
        <w:numPr>
          <w:ilvl w:val="0"/>
          <w:numId w:val="70"/>
        </w:numPr>
        <w:spacing w:before="0" w:line="276" w:lineRule="auto"/>
        <w:jc w:val="both"/>
      </w:pPr>
      <w:bookmarkStart w:id="83" w:name="_Toc102133797"/>
      <w:bookmarkStart w:id="84" w:name="_Hlk88168512"/>
      <w:bookmarkStart w:id="85" w:name="_Toc104544181"/>
      <w:r w:rsidRPr="003C7CB1">
        <w:lastRenderedPageBreak/>
        <w:t>IMPACT OF THE COVID-19 PANDEMIC ON TOURISM IN 2020 AND 2021</w:t>
      </w:r>
      <w:bookmarkEnd w:id="83"/>
      <w:bookmarkEnd w:id="85"/>
    </w:p>
    <w:bookmarkEnd w:id="84"/>
    <w:p w14:paraId="0C91ABBD" w14:textId="77777777" w:rsidR="00E732FA" w:rsidRPr="003C7CB1" w:rsidRDefault="00E732FA" w:rsidP="00E732FA">
      <w:pPr>
        <w:spacing w:after="120" w:line="240" w:lineRule="auto"/>
        <w:jc w:val="both"/>
        <w:rPr>
          <w:rFonts w:cstheme="minorHAnsi"/>
          <w:sz w:val="24"/>
          <w:szCs w:val="24"/>
        </w:rPr>
      </w:pPr>
    </w:p>
    <w:p w14:paraId="4B762F1A"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Given that the COVID-19 pandemic caused drastic changes in almost all economic activities, both on the supply side and on the demand side, the tourism sector, as an extremely sensitive activity, suffered huge business losses to unpredictable circumstances. </w:t>
      </w:r>
    </w:p>
    <w:p w14:paraId="0FF9D031" w14:textId="07900DBB" w:rsidR="00E732FA" w:rsidRPr="003C7CB1" w:rsidRDefault="00E732FA" w:rsidP="00E732FA">
      <w:pPr>
        <w:spacing w:after="120" w:line="240" w:lineRule="auto"/>
        <w:jc w:val="both"/>
        <w:rPr>
          <w:rFonts w:cstheme="minorHAnsi"/>
          <w:sz w:val="24"/>
          <w:szCs w:val="24"/>
        </w:rPr>
      </w:pPr>
      <w:r w:rsidRPr="003C7CB1">
        <w:rPr>
          <w:rFonts w:cstheme="minorHAnsi"/>
          <w:sz w:val="24"/>
          <w:szCs w:val="24"/>
        </w:rPr>
        <w:t>In 2020, tourism on a global scale “returned” to the level of 30 years ago.</w:t>
      </w:r>
      <w:r w:rsidRPr="003C7CB1">
        <w:t xml:space="preserve"> </w:t>
      </w:r>
      <w:r w:rsidRPr="003C7CB1">
        <w:rPr>
          <w:rFonts w:cstheme="minorHAnsi"/>
          <w:sz w:val="24"/>
          <w:szCs w:val="24"/>
        </w:rPr>
        <w:t>According to the United Nations World Tourism Organization (UNWTO), international tourist arrivals decreased by 73%, the real contribution of tourism to GDP decreased by $ 2 trillion, the share of tourism in GDP decreased by 50%, and revenues from international tourism decreased by 65% ​​to $ 1.1 trillion</w:t>
      </w:r>
      <w:r w:rsidRPr="003C7CB1">
        <w:rPr>
          <w:rStyle w:val="FootnoteReference"/>
          <w:rFonts w:cstheme="minorHAnsi"/>
          <w:sz w:val="24"/>
          <w:szCs w:val="24"/>
        </w:rPr>
        <w:footnoteReference w:id="24"/>
      </w:r>
      <w:r w:rsidRPr="003C7CB1">
        <w:rPr>
          <w:rFonts w:cstheme="minorHAnsi"/>
          <w:sz w:val="24"/>
          <w:szCs w:val="24"/>
        </w:rPr>
        <w:t xml:space="preserve"> (Table no. 11).  </w:t>
      </w:r>
      <w:r w:rsidR="00765B94">
        <w:rPr>
          <w:rFonts w:cs="Arial"/>
          <w:sz w:val="24"/>
          <w:szCs w:val="24"/>
        </w:rPr>
        <w:t xml:space="preserve">                                                                                                   </w:t>
      </w:r>
    </w:p>
    <w:p w14:paraId="7DB48FCF" w14:textId="77777777" w:rsidR="00E732FA" w:rsidRPr="003C7CB1" w:rsidRDefault="00E732FA" w:rsidP="00E732FA">
      <w:pPr>
        <w:spacing w:after="0"/>
        <w:jc w:val="both"/>
        <w:rPr>
          <w:rFonts w:cstheme="minorHAnsi"/>
          <w:sz w:val="24"/>
          <w:szCs w:val="24"/>
        </w:rPr>
      </w:pPr>
    </w:p>
    <w:p w14:paraId="12FDF841" w14:textId="22CC5BF8" w:rsidR="00E732FA" w:rsidRPr="003C7CB1" w:rsidRDefault="003C7CB1" w:rsidP="00E732FA">
      <w:pPr>
        <w:spacing w:after="0"/>
        <w:jc w:val="center"/>
        <w:rPr>
          <w:rFonts w:cstheme="minorHAnsi"/>
          <w:b/>
        </w:rPr>
      </w:pPr>
      <w:r w:rsidRPr="003C7CB1">
        <w:rPr>
          <w:rFonts w:cstheme="minorHAnsi"/>
          <w:b/>
        </w:rPr>
        <w:t>Table</w:t>
      </w:r>
      <w:r w:rsidR="00E732FA" w:rsidRPr="003C7CB1">
        <w:rPr>
          <w:rFonts w:cstheme="minorHAnsi"/>
          <w:b/>
        </w:rPr>
        <w:t xml:space="preserve"> br. 11 - Impact of the COVID-19 Pandemic on Tourism </w:t>
      </w:r>
    </w:p>
    <w:p w14:paraId="3429996D" w14:textId="77777777" w:rsidR="00E732FA" w:rsidRPr="003C7CB1" w:rsidRDefault="00E732FA" w:rsidP="00E732FA">
      <w:pPr>
        <w:spacing w:after="0"/>
        <w:jc w:val="center"/>
        <w:rPr>
          <w:rFonts w:cstheme="minorHAnsi"/>
          <w:b/>
        </w:rPr>
      </w:pPr>
    </w:p>
    <w:tbl>
      <w:tblPr>
        <w:tblStyle w:val="TableGrid"/>
        <w:tblW w:w="9391" w:type="dxa"/>
        <w:tblInd w:w="-34" w:type="dxa"/>
        <w:tblLook w:val="04A0" w:firstRow="1" w:lastRow="0" w:firstColumn="1" w:lastColumn="0" w:noHBand="0" w:noVBand="1"/>
      </w:tblPr>
      <w:tblGrid>
        <w:gridCol w:w="2382"/>
        <w:gridCol w:w="1600"/>
        <w:gridCol w:w="1814"/>
        <w:gridCol w:w="1743"/>
        <w:gridCol w:w="1852"/>
      </w:tblGrid>
      <w:tr w:rsidR="00E732FA" w:rsidRPr="003C7CB1" w14:paraId="5FE2BD29" w14:textId="77777777" w:rsidTr="00E732FA">
        <w:trPr>
          <w:trHeight w:val="238"/>
        </w:trPr>
        <w:tc>
          <w:tcPr>
            <w:tcW w:w="238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AEFACD6" w14:textId="77777777" w:rsidR="00E732FA" w:rsidRPr="003C7CB1" w:rsidRDefault="00E732FA" w:rsidP="00E732FA">
            <w:pPr>
              <w:spacing w:after="0" w:line="240" w:lineRule="auto"/>
              <w:rPr>
                <w:rFonts w:cstheme="minorHAnsi"/>
                <w:sz w:val="20"/>
                <w:szCs w:val="20"/>
              </w:rPr>
            </w:pPr>
          </w:p>
        </w:tc>
        <w:tc>
          <w:tcPr>
            <w:tcW w:w="160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C6571A"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2019 </w:t>
            </w:r>
          </w:p>
        </w:tc>
        <w:tc>
          <w:tcPr>
            <w:tcW w:w="18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082D41"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COVID-19 impact (2020) </w:t>
            </w:r>
          </w:p>
        </w:tc>
        <w:tc>
          <w:tcPr>
            <w:tcW w:w="174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BCE1EA"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2020 </w:t>
            </w:r>
          </w:p>
        </w:tc>
        <w:tc>
          <w:tcPr>
            <w:tcW w:w="18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433BCE7"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2021 (ending with November) </w:t>
            </w:r>
          </w:p>
        </w:tc>
      </w:tr>
      <w:tr w:rsidR="00E732FA" w:rsidRPr="003C7CB1" w14:paraId="295592EC" w14:textId="77777777" w:rsidTr="00E732FA">
        <w:trPr>
          <w:trHeight w:val="474"/>
        </w:trPr>
        <w:tc>
          <w:tcPr>
            <w:tcW w:w="238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87FC688"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International</w:t>
            </w:r>
          </w:p>
          <w:p w14:paraId="78F013D0"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tourist arrivals </w:t>
            </w:r>
          </w:p>
        </w:tc>
        <w:tc>
          <w:tcPr>
            <w:tcW w:w="1600" w:type="dxa"/>
            <w:tcBorders>
              <w:top w:val="single" w:sz="4" w:space="0" w:color="auto"/>
              <w:left w:val="single" w:sz="4" w:space="0" w:color="auto"/>
              <w:bottom w:val="single" w:sz="4" w:space="0" w:color="auto"/>
              <w:right w:val="single" w:sz="4" w:space="0" w:color="auto"/>
            </w:tcBorders>
          </w:tcPr>
          <w:p w14:paraId="2D350C8C" w14:textId="77777777" w:rsidR="00E732FA" w:rsidRPr="003C7CB1" w:rsidRDefault="00E732FA" w:rsidP="00E732FA">
            <w:pPr>
              <w:spacing w:after="0" w:line="240" w:lineRule="auto"/>
              <w:jc w:val="right"/>
              <w:rPr>
                <w:rFonts w:cstheme="minorHAnsi"/>
                <w:sz w:val="20"/>
                <w:szCs w:val="20"/>
              </w:rPr>
            </w:pPr>
          </w:p>
          <w:p w14:paraId="672F259B"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$ 1.5 billion </w:t>
            </w:r>
          </w:p>
        </w:tc>
        <w:tc>
          <w:tcPr>
            <w:tcW w:w="1814" w:type="dxa"/>
            <w:tcBorders>
              <w:top w:val="single" w:sz="4" w:space="0" w:color="auto"/>
              <w:left w:val="single" w:sz="4" w:space="0" w:color="auto"/>
              <w:bottom w:val="single" w:sz="4" w:space="0" w:color="auto"/>
              <w:right w:val="single" w:sz="4" w:space="0" w:color="auto"/>
            </w:tcBorders>
          </w:tcPr>
          <w:p w14:paraId="16C2A7D8" w14:textId="77777777" w:rsidR="00E732FA" w:rsidRPr="003C7CB1" w:rsidRDefault="00E732FA" w:rsidP="00E732FA">
            <w:pPr>
              <w:spacing w:after="0" w:line="240" w:lineRule="auto"/>
              <w:jc w:val="right"/>
              <w:rPr>
                <w:rFonts w:cstheme="minorHAnsi"/>
                <w:sz w:val="20"/>
                <w:szCs w:val="20"/>
              </w:rPr>
            </w:pPr>
          </w:p>
          <w:p w14:paraId="44ADB89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$ 1.1 billion</w:t>
            </w:r>
          </w:p>
          <w:p w14:paraId="578FA916"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(-73%) </w:t>
            </w:r>
          </w:p>
        </w:tc>
        <w:tc>
          <w:tcPr>
            <w:tcW w:w="1743" w:type="dxa"/>
            <w:tcBorders>
              <w:top w:val="single" w:sz="4" w:space="0" w:color="auto"/>
              <w:left w:val="single" w:sz="4" w:space="0" w:color="auto"/>
              <w:bottom w:val="single" w:sz="4" w:space="0" w:color="auto"/>
              <w:right w:val="single" w:sz="4" w:space="0" w:color="auto"/>
            </w:tcBorders>
          </w:tcPr>
          <w:p w14:paraId="3D569339" w14:textId="77777777" w:rsidR="00E732FA" w:rsidRPr="003C7CB1" w:rsidRDefault="00E732FA" w:rsidP="00E732FA">
            <w:pPr>
              <w:spacing w:after="0" w:line="240" w:lineRule="auto"/>
              <w:jc w:val="right"/>
              <w:rPr>
                <w:rFonts w:cstheme="minorHAnsi"/>
                <w:sz w:val="20"/>
                <w:szCs w:val="20"/>
              </w:rPr>
            </w:pPr>
          </w:p>
          <w:p w14:paraId="3D5AD09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$ 402 million </w:t>
            </w:r>
          </w:p>
        </w:tc>
        <w:tc>
          <w:tcPr>
            <w:tcW w:w="1852" w:type="dxa"/>
            <w:tcBorders>
              <w:top w:val="single" w:sz="4" w:space="0" w:color="auto"/>
              <w:left w:val="single" w:sz="4" w:space="0" w:color="auto"/>
              <w:bottom w:val="single" w:sz="4" w:space="0" w:color="auto"/>
              <w:right w:val="single" w:sz="4" w:space="0" w:color="auto"/>
            </w:tcBorders>
          </w:tcPr>
          <w:p w14:paraId="600022DD" w14:textId="77777777" w:rsidR="00E732FA" w:rsidRPr="003C7CB1" w:rsidRDefault="00E732FA" w:rsidP="00E732FA">
            <w:pPr>
              <w:spacing w:after="0" w:line="240" w:lineRule="auto"/>
              <w:jc w:val="right"/>
              <w:rPr>
                <w:rFonts w:cstheme="minorHAnsi"/>
                <w:sz w:val="20"/>
                <w:szCs w:val="20"/>
              </w:rPr>
            </w:pPr>
          </w:p>
          <w:p w14:paraId="0046707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$ 370 - 420 million </w:t>
            </w:r>
          </w:p>
        </w:tc>
      </w:tr>
      <w:tr w:rsidR="00E732FA" w:rsidRPr="003C7CB1" w14:paraId="12A23EB6" w14:textId="77777777" w:rsidTr="00E732FA">
        <w:trPr>
          <w:trHeight w:val="361"/>
        </w:trPr>
        <w:tc>
          <w:tcPr>
            <w:tcW w:w="238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F22DB8"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Direct contribution of tourism to GDP </w:t>
            </w:r>
          </w:p>
        </w:tc>
        <w:tc>
          <w:tcPr>
            <w:tcW w:w="1600" w:type="dxa"/>
            <w:tcBorders>
              <w:top w:val="single" w:sz="4" w:space="0" w:color="auto"/>
              <w:left w:val="single" w:sz="4" w:space="0" w:color="auto"/>
              <w:bottom w:val="single" w:sz="4" w:space="0" w:color="auto"/>
              <w:right w:val="single" w:sz="4" w:space="0" w:color="auto"/>
            </w:tcBorders>
          </w:tcPr>
          <w:p w14:paraId="2FD0C6BC" w14:textId="77777777" w:rsidR="00E732FA" w:rsidRPr="003C7CB1" w:rsidRDefault="00E732FA" w:rsidP="00E732FA">
            <w:pPr>
              <w:spacing w:after="0" w:line="240" w:lineRule="auto"/>
              <w:jc w:val="right"/>
              <w:rPr>
                <w:rFonts w:cstheme="minorHAnsi"/>
                <w:sz w:val="20"/>
                <w:szCs w:val="20"/>
              </w:rPr>
            </w:pPr>
          </w:p>
          <w:p w14:paraId="7764DA6F"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$ 3.5 trillion </w:t>
            </w:r>
          </w:p>
        </w:tc>
        <w:tc>
          <w:tcPr>
            <w:tcW w:w="1814" w:type="dxa"/>
            <w:tcBorders>
              <w:top w:val="single" w:sz="4" w:space="0" w:color="auto"/>
              <w:left w:val="single" w:sz="4" w:space="0" w:color="auto"/>
              <w:bottom w:val="single" w:sz="4" w:space="0" w:color="auto"/>
              <w:right w:val="single" w:sz="4" w:space="0" w:color="auto"/>
            </w:tcBorders>
          </w:tcPr>
          <w:p w14:paraId="731CC0BE" w14:textId="77777777" w:rsidR="00E732FA" w:rsidRPr="003C7CB1" w:rsidRDefault="00E732FA" w:rsidP="00E732FA">
            <w:pPr>
              <w:spacing w:after="0" w:line="240" w:lineRule="auto"/>
              <w:jc w:val="right"/>
              <w:rPr>
                <w:rFonts w:cstheme="minorHAnsi"/>
                <w:sz w:val="20"/>
                <w:szCs w:val="20"/>
              </w:rPr>
            </w:pPr>
          </w:p>
          <w:p w14:paraId="311B32EF"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$ 2 trillion </w:t>
            </w:r>
          </w:p>
        </w:tc>
        <w:tc>
          <w:tcPr>
            <w:tcW w:w="1743" w:type="dxa"/>
            <w:tcBorders>
              <w:top w:val="single" w:sz="4" w:space="0" w:color="auto"/>
              <w:left w:val="single" w:sz="4" w:space="0" w:color="auto"/>
              <w:bottom w:val="single" w:sz="4" w:space="0" w:color="auto"/>
              <w:right w:val="single" w:sz="4" w:space="0" w:color="auto"/>
            </w:tcBorders>
          </w:tcPr>
          <w:p w14:paraId="7B7DC2AD" w14:textId="77777777" w:rsidR="00E732FA" w:rsidRPr="003C7CB1" w:rsidRDefault="00E732FA" w:rsidP="00E732FA">
            <w:pPr>
              <w:spacing w:after="0" w:line="240" w:lineRule="auto"/>
              <w:jc w:val="right"/>
              <w:rPr>
                <w:rFonts w:cstheme="minorHAnsi"/>
                <w:sz w:val="20"/>
                <w:szCs w:val="20"/>
              </w:rPr>
            </w:pPr>
          </w:p>
          <w:p w14:paraId="22A26E78"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$ 1.6 trillion </w:t>
            </w:r>
          </w:p>
        </w:tc>
        <w:tc>
          <w:tcPr>
            <w:tcW w:w="1852" w:type="dxa"/>
            <w:tcBorders>
              <w:top w:val="single" w:sz="4" w:space="0" w:color="auto"/>
              <w:left w:val="single" w:sz="4" w:space="0" w:color="auto"/>
              <w:bottom w:val="single" w:sz="4" w:space="0" w:color="auto"/>
              <w:right w:val="single" w:sz="4" w:space="0" w:color="auto"/>
            </w:tcBorders>
          </w:tcPr>
          <w:p w14:paraId="4C74C2BE" w14:textId="77777777" w:rsidR="00E732FA" w:rsidRPr="003C7CB1" w:rsidRDefault="00E732FA" w:rsidP="00E732FA">
            <w:pPr>
              <w:spacing w:after="0" w:line="240" w:lineRule="auto"/>
              <w:jc w:val="right"/>
              <w:rPr>
                <w:rFonts w:cstheme="minorHAnsi"/>
                <w:sz w:val="20"/>
                <w:szCs w:val="20"/>
              </w:rPr>
            </w:pPr>
          </w:p>
          <w:p w14:paraId="365FC200" w14:textId="77777777" w:rsidR="00E732FA" w:rsidRPr="003C7CB1" w:rsidRDefault="00E732FA" w:rsidP="00E732FA">
            <w:pPr>
              <w:jc w:val="right"/>
              <w:rPr>
                <w:rFonts w:cstheme="minorHAnsi"/>
                <w:sz w:val="20"/>
                <w:szCs w:val="20"/>
              </w:rPr>
            </w:pPr>
            <w:r w:rsidRPr="003C7CB1">
              <w:rPr>
                <w:rFonts w:cstheme="minorHAnsi"/>
                <w:sz w:val="20"/>
                <w:szCs w:val="20"/>
              </w:rPr>
              <w:t xml:space="preserve">$ 1.9 - 2.0 trillion </w:t>
            </w:r>
          </w:p>
        </w:tc>
      </w:tr>
      <w:tr w:rsidR="00E732FA" w:rsidRPr="003C7CB1" w14:paraId="59B548C0" w14:textId="77777777" w:rsidTr="00E732FA">
        <w:trPr>
          <w:trHeight w:val="257"/>
        </w:trPr>
        <w:tc>
          <w:tcPr>
            <w:tcW w:w="238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54C953F"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Participation of tourism</w:t>
            </w:r>
          </w:p>
          <w:p w14:paraId="16067685"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in global GDP </w:t>
            </w:r>
          </w:p>
        </w:tc>
        <w:tc>
          <w:tcPr>
            <w:tcW w:w="1600" w:type="dxa"/>
            <w:tcBorders>
              <w:top w:val="single" w:sz="4" w:space="0" w:color="auto"/>
              <w:left w:val="single" w:sz="4" w:space="0" w:color="auto"/>
              <w:bottom w:val="single" w:sz="4" w:space="0" w:color="auto"/>
              <w:right w:val="single" w:sz="4" w:space="0" w:color="auto"/>
            </w:tcBorders>
          </w:tcPr>
          <w:p w14:paraId="10FD7DB3" w14:textId="77777777" w:rsidR="00E732FA" w:rsidRPr="003C7CB1" w:rsidRDefault="00E732FA" w:rsidP="00E732FA">
            <w:pPr>
              <w:spacing w:after="0" w:line="240" w:lineRule="auto"/>
              <w:jc w:val="right"/>
              <w:rPr>
                <w:rFonts w:cstheme="minorHAnsi"/>
                <w:sz w:val="20"/>
                <w:szCs w:val="20"/>
              </w:rPr>
            </w:pPr>
          </w:p>
          <w:p w14:paraId="67CBE40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4% </w:t>
            </w:r>
          </w:p>
        </w:tc>
        <w:tc>
          <w:tcPr>
            <w:tcW w:w="1814" w:type="dxa"/>
            <w:tcBorders>
              <w:top w:val="single" w:sz="4" w:space="0" w:color="auto"/>
              <w:left w:val="single" w:sz="4" w:space="0" w:color="auto"/>
              <w:bottom w:val="single" w:sz="4" w:space="0" w:color="auto"/>
              <w:right w:val="single" w:sz="4" w:space="0" w:color="auto"/>
            </w:tcBorders>
          </w:tcPr>
          <w:p w14:paraId="13F82D53" w14:textId="77777777" w:rsidR="00E732FA" w:rsidRPr="003C7CB1" w:rsidRDefault="00E732FA" w:rsidP="00E732FA">
            <w:pPr>
              <w:spacing w:after="0" w:line="240" w:lineRule="auto"/>
              <w:jc w:val="right"/>
              <w:rPr>
                <w:rFonts w:cstheme="minorHAnsi"/>
                <w:sz w:val="20"/>
                <w:szCs w:val="20"/>
              </w:rPr>
            </w:pPr>
          </w:p>
          <w:p w14:paraId="32EF8CE3"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- 50% </w:t>
            </w:r>
          </w:p>
        </w:tc>
        <w:tc>
          <w:tcPr>
            <w:tcW w:w="1743" w:type="dxa"/>
            <w:tcBorders>
              <w:top w:val="single" w:sz="4" w:space="0" w:color="auto"/>
              <w:left w:val="single" w:sz="4" w:space="0" w:color="auto"/>
              <w:bottom w:val="single" w:sz="4" w:space="0" w:color="auto"/>
              <w:right w:val="single" w:sz="4" w:space="0" w:color="auto"/>
            </w:tcBorders>
          </w:tcPr>
          <w:p w14:paraId="2AFCC219" w14:textId="77777777" w:rsidR="00E732FA" w:rsidRPr="003C7CB1" w:rsidRDefault="00E732FA" w:rsidP="00E732FA">
            <w:pPr>
              <w:spacing w:after="0" w:line="240" w:lineRule="auto"/>
              <w:jc w:val="right"/>
              <w:rPr>
                <w:rFonts w:cstheme="minorHAnsi"/>
                <w:sz w:val="20"/>
                <w:szCs w:val="20"/>
              </w:rPr>
            </w:pPr>
          </w:p>
          <w:p w14:paraId="3DAF068F" w14:textId="77777777" w:rsidR="00E732FA" w:rsidRPr="003C7CB1" w:rsidRDefault="00E732FA" w:rsidP="00E732FA">
            <w:pPr>
              <w:jc w:val="right"/>
              <w:rPr>
                <w:rFonts w:cstheme="minorHAnsi"/>
                <w:sz w:val="20"/>
                <w:szCs w:val="20"/>
              </w:rPr>
            </w:pPr>
            <w:r w:rsidRPr="003C7CB1">
              <w:rPr>
                <w:rFonts w:cstheme="minorHAnsi"/>
                <w:sz w:val="20"/>
                <w:szCs w:val="20"/>
              </w:rPr>
              <w:t xml:space="preserve">1.8 % </w:t>
            </w:r>
          </w:p>
        </w:tc>
        <w:tc>
          <w:tcPr>
            <w:tcW w:w="1852" w:type="dxa"/>
            <w:tcBorders>
              <w:top w:val="single" w:sz="4" w:space="0" w:color="auto"/>
              <w:left w:val="single" w:sz="4" w:space="0" w:color="auto"/>
              <w:bottom w:val="single" w:sz="4" w:space="0" w:color="auto"/>
              <w:right w:val="single" w:sz="4" w:space="0" w:color="auto"/>
            </w:tcBorders>
          </w:tcPr>
          <w:p w14:paraId="7E9B6EBE" w14:textId="77777777" w:rsidR="00E732FA" w:rsidRPr="003C7CB1" w:rsidRDefault="00E732FA" w:rsidP="00E732FA">
            <w:pPr>
              <w:spacing w:after="0" w:line="240" w:lineRule="auto"/>
              <w:jc w:val="right"/>
              <w:rPr>
                <w:rFonts w:cstheme="minorHAnsi"/>
                <w:sz w:val="20"/>
                <w:szCs w:val="20"/>
              </w:rPr>
            </w:pPr>
          </w:p>
          <w:p w14:paraId="2BF46436"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 </w:t>
            </w:r>
          </w:p>
        </w:tc>
      </w:tr>
      <w:tr w:rsidR="00E732FA" w:rsidRPr="003C7CB1" w14:paraId="3B0B32E8" w14:textId="77777777" w:rsidTr="00E732FA">
        <w:trPr>
          <w:trHeight w:val="386"/>
        </w:trPr>
        <w:tc>
          <w:tcPr>
            <w:tcW w:w="238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B4E57D"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Revenues from international tourism</w:t>
            </w:r>
          </w:p>
        </w:tc>
        <w:tc>
          <w:tcPr>
            <w:tcW w:w="1600" w:type="dxa"/>
            <w:tcBorders>
              <w:top w:val="single" w:sz="4" w:space="0" w:color="auto"/>
              <w:left w:val="single" w:sz="4" w:space="0" w:color="auto"/>
              <w:bottom w:val="single" w:sz="4" w:space="0" w:color="auto"/>
              <w:right w:val="single" w:sz="4" w:space="0" w:color="auto"/>
            </w:tcBorders>
          </w:tcPr>
          <w:p w14:paraId="28D4A9EE" w14:textId="77777777" w:rsidR="00E732FA" w:rsidRPr="003C7CB1" w:rsidRDefault="00E732FA" w:rsidP="00E732FA">
            <w:pPr>
              <w:spacing w:after="0" w:line="240" w:lineRule="auto"/>
              <w:jc w:val="right"/>
              <w:rPr>
                <w:rFonts w:cstheme="minorHAnsi"/>
                <w:sz w:val="20"/>
                <w:szCs w:val="20"/>
              </w:rPr>
            </w:pPr>
          </w:p>
          <w:p w14:paraId="0187C7D0"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$ 1.7 trillion </w:t>
            </w:r>
          </w:p>
        </w:tc>
        <w:tc>
          <w:tcPr>
            <w:tcW w:w="1814" w:type="dxa"/>
            <w:tcBorders>
              <w:top w:val="single" w:sz="4" w:space="0" w:color="auto"/>
              <w:left w:val="single" w:sz="4" w:space="0" w:color="auto"/>
              <w:bottom w:val="single" w:sz="4" w:space="0" w:color="auto"/>
              <w:right w:val="single" w:sz="4" w:space="0" w:color="auto"/>
            </w:tcBorders>
          </w:tcPr>
          <w:p w14:paraId="51091A74" w14:textId="77777777" w:rsidR="00E732FA" w:rsidRPr="003C7CB1" w:rsidRDefault="00E732FA" w:rsidP="00E732FA">
            <w:pPr>
              <w:spacing w:after="0" w:line="240" w:lineRule="auto"/>
              <w:ind w:firstLine="720"/>
              <w:jc w:val="right"/>
              <w:rPr>
                <w:rFonts w:cstheme="minorHAnsi"/>
                <w:sz w:val="20"/>
                <w:szCs w:val="20"/>
              </w:rPr>
            </w:pPr>
          </w:p>
          <w:p w14:paraId="6548AE34"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$ 1.1 trillion</w:t>
            </w:r>
          </w:p>
          <w:p w14:paraId="304FF2EF"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(-65%) </w:t>
            </w:r>
          </w:p>
        </w:tc>
        <w:tc>
          <w:tcPr>
            <w:tcW w:w="1743" w:type="dxa"/>
            <w:tcBorders>
              <w:top w:val="single" w:sz="4" w:space="0" w:color="auto"/>
              <w:left w:val="single" w:sz="4" w:space="0" w:color="auto"/>
              <w:bottom w:val="single" w:sz="4" w:space="0" w:color="auto"/>
              <w:right w:val="single" w:sz="4" w:space="0" w:color="auto"/>
            </w:tcBorders>
          </w:tcPr>
          <w:p w14:paraId="06277FD6" w14:textId="77777777" w:rsidR="00E732FA" w:rsidRPr="003C7CB1" w:rsidRDefault="00E732FA" w:rsidP="00E732FA">
            <w:pPr>
              <w:spacing w:after="0" w:line="240" w:lineRule="auto"/>
              <w:jc w:val="right"/>
              <w:rPr>
                <w:rFonts w:cstheme="minorHAnsi"/>
                <w:sz w:val="20"/>
                <w:szCs w:val="20"/>
              </w:rPr>
            </w:pPr>
          </w:p>
          <w:p w14:paraId="345FF362"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$ 635 billion </w:t>
            </w:r>
          </w:p>
        </w:tc>
        <w:tc>
          <w:tcPr>
            <w:tcW w:w="1852" w:type="dxa"/>
            <w:tcBorders>
              <w:top w:val="single" w:sz="4" w:space="0" w:color="auto"/>
              <w:left w:val="single" w:sz="4" w:space="0" w:color="auto"/>
              <w:bottom w:val="single" w:sz="4" w:space="0" w:color="auto"/>
              <w:right w:val="single" w:sz="4" w:space="0" w:color="auto"/>
            </w:tcBorders>
          </w:tcPr>
          <w:p w14:paraId="6008CABF" w14:textId="77777777" w:rsidR="00E732FA" w:rsidRPr="003C7CB1" w:rsidRDefault="00E732FA" w:rsidP="00E732FA">
            <w:pPr>
              <w:spacing w:after="0" w:line="240" w:lineRule="auto"/>
              <w:jc w:val="right"/>
              <w:rPr>
                <w:rFonts w:cstheme="minorHAnsi"/>
                <w:sz w:val="20"/>
                <w:szCs w:val="20"/>
              </w:rPr>
            </w:pPr>
          </w:p>
          <w:p w14:paraId="4C56DA8D" w14:textId="77777777" w:rsidR="00E732FA" w:rsidRPr="003C7CB1" w:rsidRDefault="00E732FA" w:rsidP="00E732FA">
            <w:pPr>
              <w:jc w:val="right"/>
              <w:rPr>
                <w:rFonts w:cstheme="minorHAnsi"/>
                <w:sz w:val="20"/>
                <w:szCs w:val="20"/>
              </w:rPr>
            </w:pPr>
            <w:r w:rsidRPr="003C7CB1">
              <w:rPr>
                <w:rFonts w:cstheme="minorHAnsi"/>
                <w:sz w:val="20"/>
                <w:szCs w:val="20"/>
              </w:rPr>
              <w:t xml:space="preserve">$ 700-800 billion </w:t>
            </w:r>
          </w:p>
        </w:tc>
      </w:tr>
    </w:tbl>
    <w:p w14:paraId="37ACC666" w14:textId="77777777" w:rsidR="00E732FA" w:rsidRPr="003C7CB1" w:rsidRDefault="00E732FA" w:rsidP="00E732FA">
      <w:pPr>
        <w:spacing w:after="0"/>
        <w:rPr>
          <w:rFonts w:cstheme="minorHAnsi"/>
          <w:i/>
        </w:rPr>
      </w:pPr>
      <w:r w:rsidRPr="003C7CB1">
        <w:rPr>
          <w:rFonts w:cstheme="minorHAnsi"/>
          <w:i/>
        </w:rPr>
        <w:t xml:space="preserve">Source: United Nations World Tourism Organization – UNWTO </w:t>
      </w:r>
    </w:p>
    <w:p w14:paraId="7A4401E8" w14:textId="77777777" w:rsidR="00E732FA" w:rsidRPr="003C7CB1" w:rsidRDefault="00E732FA" w:rsidP="00E732FA">
      <w:pPr>
        <w:spacing w:after="0"/>
        <w:rPr>
          <w:rFonts w:cstheme="minorHAnsi"/>
          <w:color w:val="1F3864" w:themeColor="accent1" w:themeShade="80"/>
          <w:sz w:val="24"/>
          <w:szCs w:val="24"/>
        </w:rPr>
      </w:pPr>
    </w:p>
    <w:p w14:paraId="1E0A0CBB"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In order to overcome the crisis, </w:t>
      </w:r>
      <w:r w:rsidRPr="003C7CB1">
        <w:rPr>
          <w:rFonts w:cstheme="minorHAnsi"/>
          <w:b/>
          <w:sz w:val="24"/>
          <w:szCs w:val="24"/>
        </w:rPr>
        <w:t>the UNWTO has formulated key actions under the auspices of three key priorities</w:t>
      </w:r>
      <w:r w:rsidRPr="003C7CB1">
        <w:rPr>
          <w:rFonts w:cstheme="minorHAnsi"/>
          <w:sz w:val="24"/>
          <w:szCs w:val="24"/>
        </w:rPr>
        <w:t xml:space="preserve">, which follow: </w:t>
      </w:r>
      <w:r w:rsidRPr="003C7CB1">
        <w:rPr>
          <w:rFonts w:cstheme="minorHAnsi"/>
          <w:i/>
          <w:sz w:val="24"/>
          <w:szCs w:val="24"/>
        </w:rPr>
        <w:t>crisis management (#</w:t>
      </w:r>
      <w:proofErr w:type="spellStart"/>
      <w:r w:rsidRPr="003C7CB1">
        <w:rPr>
          <w:rFonts w:cstheme="minorHAnsi"/>
          <w:i/>
          <w:sz w:val="24"/>
          <w:szCs w:val="24"/>
        </w:rPr>
        <w:t>traveltomorrow</w:t>
      </w:r>
      <w:proofErr w:type="spellEnd"/>
      <w:r w:rsidRPr="003C7CB1">
        <w:rPr>
          <w:rFonts w:cstheme="minorHAnsi"/>
          <w:i/>
          <w:sz w:val="24"/>
          <w:szCs w:val="24"/>
        </w:rPr>
        <w:t>), restarting tourism (#</w:t>
      </w:r>
      <w:proofErr w:type="spellStart"/>
      <w:r w:rsidRPr="003C7CB1">
        <w:rPr>
          <w:rFonts w:cstheme="minorHAnsi"/>
          <w:i/>
          <w:sz w:val="24"/>
          <w:szCs w:val="24"/>
        </w:rPr>
        <w:t>restarttourism</w:t>
      </w:r>
      <w:proofErr w:type="spellEnd"/>
      <w:r w:rsidRPr="003C7CB1">
        <w:rPr>
          <w:rFonts w:cstheme="minorHAnsi"/>
          <w:i/>
          <w:sz w:val="24"/>
          <w:szCs w:val="24"/>
        </w:rPr>
        <w:t>) and accelerating transformation (#</w:t>
      </w:r>
      <w:proofErr w:type="spellStart"/>
      <w:r w:rsidRPr="003C7CB1">
        <w:rPr>
          <w:rFonts w:cstheme="minorHAnsi"/>
          <w:i/>
          <w:sz w:val="24"/>
          <w:szCs w:val="24"/>
        </w:rPr>
        <w:t>futuretourism</w:t>
      </w:r>
      <w:proofErr w:type="spellEnd"/>
      <w:r w:rsidRPr="003C7CB1">
        <w:rPr>
          <w:rFonts w:cstheme="minorHAnsi"/>
          <w:i/>
          <w:sz w:val="24"/>
          <w:szCs w:val="24"/>
        </w:rPr>
        <w:t>)</w:t>
      </w:r>
      <w:r w:rsidRPr="003C7CB1">
        <w:rPr>
          <w:rFonts w:cstheme="minorHAnsi"/>
          <w:sz w:val="24"/>
          <w:szCs w:val="24"/>
        </w:rPr>
        <w:t xml:space="preserve">.  </w:t>
      </w:r>
    </w:p>
    <w:p w14:paraId="029727B2"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As part of a number of UNWTO activities, seventeen countries have received technical support to recover from the pandemic, in co-operation with the European Bank for Reconstruction and Development, including Montenegro. Activities are underway to prepare a tourism recovery plan, destination marketing program and analysis of the statistical system in tourism, within which an analysis with guidelines for further steps has been prepared, some of which are an integral part of this document, and the rest will be included in the Action Plan for the next period of implementation of this Strategy.  </w:t>
      </w:r>
    </w:p>
    <w:p w14:paraId="7BDA8F42" w14:textId="77777777" w:rsidR="00E732FA" w:rsidRPr="003C7CB1" w:rsidRDefault="00E732FA" w:rsidP="00E732FA">
      <w:pPr>
        <w:spacing w:after="120"/>
        <w:jc w:val="both"/>
        <w:rPr>
          <w:rFonts w:cstheme="minorHAnsi"/>
          <w:sz w:val="24"/>
          <w:szCs w:val="24"/>
        </w:rPr>
      </w:pPr>
    </w:p>
    <w:p w14:paraId="0AB6CEA5" w14:textId="77777777" w:rsidR="00E732FA" w:rsidRPr="003C7CB1" w:rsidRDefault="00E732FA" w:rsidP="00E732FA">
      <w:pPr>
        <w:pStyle w:val="Heading2"/>
        <w:spacing w:before="0" w:after="120" w:line="276" w:lineRule="auto"/>
        <w:rPr>
          <w:szCs w:val="24"/>
        </w:rPr>
      </w:pPr>
      <w:bookmarkStart w:id="86" w:name="_Toc91286168"/>
      <w:bookmarkStart w:id="87" w:name="_Toc95303010"/>
      <w:bookmarkStart w:id="88" w:name="_Toc102133798"/>
      <w:bookmarkStart w:id="89" w:name="_Toc104544182"/>
      <w:r w:rsidRPr="003C7CB1">
        <w:rPr>
          <w:szCs w:val="24"/>
        </w:rPr>
        <w:t xml:space="preserve">3.1. </w:t>
      </w:r>
      <w:bookmarkEnd w:id="86"/>
      <w:bookmarkEnd w:id="87"/>
      <w:r w:rsidRPr="003C7CB1">
        <w:rPr>
          <w:szCs w:val="24"/>
        </w:rPr>
        <w:t>Assessment of the situation in tourism in 2020 compared to 2019</w:t>
      </w:r>
      <w:bookmarkEnd w:id="88"/>
      <w:bookmarkEnd w:id="89"/>
      <w:r w:rsidRPr="003C7CB1">
        <w:rPr>
          <w:szCs w:val="24"/>
        </w:rPr>
        <w:t xml:space="preserve"> </w:t>
      </w:r>
    </w:p>
    <w:p w14:paraId="22223722" w14:textId="77777777" w:rsidR="00E732FA" w:rsidRPr="003C7CB1" w:rsidRDefault="00E732FA" w:rsidP="00E732FA">
      <w:pPr>
        <w:spacing w:after="120" w:line="240" w:lineRule="auto"/>
        <w:jc w:val="both"/>
        <w:rPr>
          <w:sz w:val="24"/>
          <w:szCs w:val="24"/>
        </w:rPr>
      </w:pPr>
      <w:r w:rsidRPr="003C7CB1">
        <w:rPr>
          <w:sz w:val="24"/>
          <w:szCs w:val="24"/>
        </w:rPr>
        <w:t xml:space="preserve">Due to the global situation caused by the COVID-19 pandemic, travels around the world were reduced to a minimum, so in 2020 Montenegro was visited by 444,065 tourists, or 83.21% less than in 2019, with 2,587,255 overnight stays, or 82.10% less than the previous year. Also, </w:t>
      </w:r>
      <w:r w:rsidRPr="003C7CB1">
        <w:rPr>
          <w:sz w:val="24"/>
          <w:szCs w:val="24"/>
        </w:rPr>
        <w:lastRenderedPageBreak/>
        <w:t xml:space="preserve">instead of focusing on regional tourism, which was the recommendation for “small countries” from renowned international tourism organizations, led by the UNWTO, and thus ensure the preservation of tourism, the Government of Montenegro closed borders to traditionally important regional markets, which was assumed to be a political decision. The tourism industry was left with the option to focus predominantly on domestic tourists, who could not compensate for the lack of tourists from the region and Europe. </w:t>
      </w:r>
    </w:p>
    <w:p w14:paraId="15A9C6C1" w14:textId="77777777" w:rsidR="00E732FA" w:rsidRPr="003C7CB1" w:rsidRDefault="00E732FA" w:rsidP="00E732FA">
      <w:pPr>
        <w:spacing w:after="120" w:line="240" w:lineRule="auto"/>
        <w:jc w:val="both"/>
        <w:rPr>
          <w:sz w:val="24"/>
          <w:szCs w:val="24"/>
        </w:rPr>
      </w:pPr>
      <w:r w:rsidRPr="003C7CB1">
        <w:rPr>
          <w:sz w:val="24"/>
          <w:szCs w:val="24"/>
        </w:rPr>
        <w:t xml:space="preserve">Domestic tourists accounted for 93,270 arrivals (-31.21%), which resulted in 360,729 overnight stays (-30.95%), while foreign tourists accounted for 350,795 arrivals (-86.02%) and 2,226,526 overnight stays (-84, 02%). Foreign tourists accounted for 79.00% in arrivals and 86.06% in overnight stays in 2020. Citizens of Serbia (20.21%), Russia (17.71%), Bosnia and Herzegovina (15.20%), Ukraine (8.52%) and Albania (6.65%) had the largest share in the total overnight stays of foreign guests. </w:t>
      </w:r>
    </w:p>
    <w:p w14:paraId="2D3AA4D1" w14:textId="4C7D8CAD" w:rsidR="00E732FA" w:rsidRPr="003C7CB1" w:rsidRDefault="00E732FA" w:rsidP="00E732FA">
      <w:pPr>
        <w:spacing w:after="120" w:line="240" w:lineRule="auto"/>
        <w:jc w:val="both"/>
        <w:rPr>
          <w:sz w:val="24"/>
          <w:szCs w:val="24"/>
        </w:rPr>
      </w:pPr>
      <w:r w:rsidRPr="003C7CB1">
        <w:rPr>
          <w:sz w:val="24"/>
          <w:szCs w:val="24"/>
        </w:rPr>
        <w:t>On the other hand, it is necessary to take into account the fact that Montenegro is a small market, i.e., that domestic tourists have a relatively small share in total touris</w:t>
      </w:r>
      <w:r w:rsidR="00E3493B">
        <w:rPr>
          <w:sz w:val="24"/>
          <w:szCs w:val="24"/>
        </w:rPr>
        <w:t>m turnover</w:t>
      </w:r>
      <w:r w:rsidRPr="003C7CB1">
        <w:rPr>
          <w:sz w:val="24"/>
          <w:szCs w:val="24"/>
        </w:rPr>
        <w:t xml:space="preserve">, and that their purchasing power is low, which puts it at an unfavorable position when compared to large tourist destinations, whose domestic tourists to some extent compensated for the reduced arrival of foreign tourists during the pandemic. This was an additional reason for Montenegro to focus on the regional market, in accordance with the recommendations of renowned international tourism organizations, which advised that small countries must focus on the immediate environment. </w:t>
      </w:r>
    </w:p>
    <w:p w14:paraId="3DD1C370" w14:textId="77777777" w:rsidR="00E732FA" w:rsidRPr="003C7CB1" w:rsidRDefault="00E732FA" w:rsidP="00E732FA">
      <w:pPr>
        <w:spacing w:after="120" w:line="240" w:lineRule="auto"/>
        <w:jc w:val="both"/>
        <w:rPr>
          <w:sz w:val="24"/>
          <w:szCs w:val="24"/>
        </w:rPr>
      </w:pPr>
      <w:r w:rsidRPr="003C7CB1">
        <w:rPr>
          <w:sz w:val="24"/>
          <w:szCs w:val="24"/>
        </w:rPr>
        <w:t xml:space="preserve">When it comes to financial effects in tourism in 2020, according to estimates, they amounted to about 159 million euros, which is 86% less than in 2019 (source: Central Bank of Montenegro, based on MONSTAT data). </w:t>
      </w:r>
    </w:p>
    <w:p w14:paraId="33436D8A" w14:textId="77777777" w:rsidR="00E732FA" w:rsidRPr="003C7CB1" w:rsidRDefault="00E732FA" w:rsidP="00E732FA">
      <w:pPr>
        <w:spacing w:after="120" w:line="240" w:lineRule="auto"/>
        <w:jc w:val="both"/>
        <w:rPr>
          <w:sz w:val="24"/>
          <w:szCs w:val="24"/>
        </w:rPr>
      </w:pPr>
      <w:r w:rsidRPr="003C7CB1">
        <w:rPr>
          <w:sz w:val="24"/>
          <w:szCs w:val="24"/>
        </w:rPr>
        <w:t xml:space="preserve">According to WTTC data in 2020 compared to 2019, a decline in tourism revenues was recorded in Montenegro’s competing destinations in the region, -76.9% in Greece, -65.7% in Croatia, -62% in Italy and -53.9% in Albania. </w:t>
      </w:r>
    </w:p>
    <w:p w14:paraId="3CCE1668" w14:textId="77777777" w:rsidR="00E732FA" w:rsidRPr="003C7CB1" w:rsidRDefault="00E732FA" w:rsidP="00E732FA">
      <w:pPr>
        <w:spacing w:after="120" w:line="240" w:lineRule="auto"/>
        <w:jc w:val="both"/>
        <w:rPr>
          <w:sz w:val="24"/>
          <w:szCs w:val="24"/>
        </w:rPr>
      </w:pPr>
      <w:r w:rsidRPr="003C7CB1">
        <w:rPr>
          <w:sz w:val="24"/>
          <w:szCs w:val="24"/>
        </w:rPr>
        <w:t xml:space="preserve">In spite of unfavorable business conditions in the new circumstances caused by the COVID-19 pandemic during 2020, hotel capacities in Montenegro got richer with 13 new facilities, specifically 4 five-star hotels, 3 four-star hotels and 6 three-star hotels with a total of 686 beds. </w:t>
      </w:r>
    </w:p>
    <w:p w14:paraId="493E745D" w14:textId="77777777" w:rsidR="00E732FA" w:rsidRPr="003C7CB1" w:rsidRDefault="00E732FA" w:rsidP="00E732FA">
      <w:pPr>
        <w:spacing w:after="120"/>
        <w:jc w:val="center"/>
        <w:rPr>
          <w:rFonts w:cs="Arial"/>
          <w:color w:val="292929"/>
          <w:sz w:val="24"/>
          <w:szCs w:val="24"/>
          <w:shd w:val="clear" w:color="auto" w:fill="F3F3F3"/>
        </w:rPr>
      </w:pPr>
      <w:r w:rsidRPr="003C7CB1">
        <w:rPr>
          <w:rFonts w:cs="Arial"/>
          <w:color w:val="292929"/>
          <w:sz w:val="24"/>
          <w:szCs w:val="24"/>
        </w:rPr>
        <w:t>*****************</w:t>
      </w:r>
    </w:p>
    <w:p w14:paraId="7C02F2CA" w14:textId="18D9D050" w:rsidR="00E732FA" w:rsidRDefault="00E732FA" w:rsidP="00E732FA">
      <w:pPr>
        <w:spacing w:after="120" w:line="240" w:lineRule="auto"/>
        <w:jc w:val="both"/>
        <w:rPr>
          <w:rFonts w:cs="Arial"/>
          <w:color w:val="292929"/>
          <w:sz w:val="24"/>
          <w:szCs w:val="24"/>
        </w:rPr>
      </w:pPr>
      <w:r w:rsidRPr="003C7CB1">
        <w:rPr>
          <w:rFonts w:cs="Arial"/>
          <w:color w:val="292929"/>
          <w:sz w:val="24"/>
          <w:szCs w:val="24"/>
        </w:rPr>
        <w:t>The World Travel and Tourism Council (WTTC), which represents the global private travel and tourism sector, gave Montenegro the opportunity to use the international Safe Travels label in 2020.</w:t>
      </w:r>
      <w:r w:rsidRPr="003C7CB1">
        <w:rPr>
          <w:noProof/>
          <w:sz w:val="24"/>
          <w:szCs w:val="24"/>
        </w:rPr>
        <w:drawing>
          <wp:anchor distT="0" distB="0" distL="114300" distR="114300" simplePos="0" relativeHeight="251875840" behindDoc="1" locked="0" layoutInCell="1" allowOverlap="1" wp14:anchorId="6EAA4CE3" wp14:editId="16548A91">
            <wp:simplePos x="0" y="0"/>
            <wp:positionH relativeFrom="margin">
              <wp:align>left</wp:align>
            </wp:positionH>
            <wp:positionV relativeFrom="paragraph">
              <wp:posOffset>6985</wp:posOffset>
            </wp:positionV>
            <wp:extent cx="1186815" cy="706120"/>
            <wp:effectExtent l="0" t="0" r="0" b="0"/>
            <wp:wrapSquare wrapText="bothSides"/>
            <wp:docPr id="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86815" cy="706120"/>
                    </a:xfrm>
                    <a:prstGeom prst="rect">
                      <a:avLst/>
                    </a:prstGeom>
                  </pic:spPr>
                </pic:pic>
              </a:graphicData>
            </a:graphic>
            <wp14:sizeRelH relativeFrom="page">
              <wp14:pctWidth>0</wp14:pctWidth>
            </wp14:sizeRelH>
            <wp14:sizeRelV relativeFrom="page">
              <wp14:pctHeight>0</wp14:pctHeight>
            </wp14:sizeRelV>
          </wp:anchor>
        </w:drawing>
      </w:r>
      <w:r w:rsidRPr="003C7CB1">
        <w:rPr>
          <w:rFonts w:cs="Arial"/>
          <w:color w:val="292929"/>
          <w:sz w:val="24"/>
          <w:szCs w:val="24"/>
        </w:rPr>
        <w:t xml:space="preserve"> It is a specially designed label, which allows travelers to identify destinations and companies all around the world that have adopted global health and hygiene standards, as an important precondition for safe travel, during the pandemic. Safe travels label is also applied in Montenegro, and is awarded by the National Commission based on the verification of the fulfillment of the set criteria, as well as the control of the fulfillment of the conditions defined by the security protocols.</w:t>
      </w:r>
      <w:r w:rsidRPr="003C7CB1">
        <w:t xml:space="preserve"> </w:t>
      </w:r>
      <w:r w:rsidRPr="003C7CB1">
        <w:rPr>
          <w:rFonts w:cs="Arial"/>
          <w:color w:val="292929"/>
          <w:sz w:val="24"/>
          <w:szCs w:val="24"/>
        </w:rPr>
        <w:t xml:space="preserve">The work of the Commission is coordinated by the National Tourist Organization of Montenegro, and the Ministry of Economic Development is involved.  </w:t>
      </w:r>
    </w:p>
    <w:p w14:paraId="77193B4A" w14:textId="77777777" w:rsidR="00FA38C8" w:rsidRPr="003C7CB1" w:rsidRDefault="00FA38C8" w:rsidP="00E732FA">
      <w:pPr>
        <w:spacing w:after="120" w:line="240" w:lineRule="auto"/>
        <w:jc w:val="both"/>
        <w:rPr>
          <w:rFonts w:cs="Arial"/>
          <w:color w:val="292929"/>
          <w:sz w:val="24"/>
          <w:szCs w:val="24"/>
        </w:rPr>
      </w:pPr>
    </w:p>
    <w:p w14:paraId="18293BE0" w14:textId="77777777" w:rsidR="00E732FA" w:rsidRPr="003C7CB1" w:rsidRDefault="00E732FA" w:rsidP="00E732FA">
      <w:pPr>
        <w:pStyle w:val="Heading2"/>
        <w:spacing w:before="0" w:after="120" w:line="276" w:lineRule="auto"/>
        <w:rPr>
          <w:rFonts w:cs="Arial"/>
          <w:szCs w:val="24"/>
        </w:rPr>
      </w:pPr>
      <w:bookmarkStart w:id="90" w:name="_Toc91286169"/>
      <w:bookmarkStart w:id="91" w:name="_Toc95303011"/>
      <w:bookmarkStart w:id="92" w:name="_Toc102133799"/>
      <w:bookmarkStart w:id="93" w:name="_Toc104544183"/>
      <w:r w:rsidRPr="003C7CB1">
        <w:rPr>
          <w:rFonts w:cs="Arial"/>
          <w:szCs w:val="24"/>
        </w:rPr>
        <w:lastRenderedPageBreak/>
        <w:t xml:space="preserve">3.2. </w:t>
      </w:r>
      <w:bookmarkEnd w:id="90"/>
      <w:bookmarkEnd w:id="91"/>
      <w:r w:rsidRPr="003C7CB1">
        <w:t>Rehabilitation policy in 2021</w:t>
      </w:r>
      <w:bookmarkEnd w:id="92"/>
      <w:bookmarkEnd w:id="93"/>
      <w:r w:rsidRPr="003C7CB1">
        <w:t xml:space="preserve">  </w:t>
      </w:r>
    </w:p>
    <w:p w14:paraId="00EACA09" w14:textId="77777777" w:rsidR="00E732FA" w:rsidRPr="003C7CB1" w:rsidRDefault="00E732FA" w:rsidP="00E732FA">
      <w:pPr>
        <w:spacing w:after="120" w:line="240" w:lineRule="auto"/>
        <w:jc w:val="both"/>
        <w:rPr>
          <w:sz w:val="24"/>
          <w:szCs w:val="24"/>
        </w:rPr>
      </w:pPr>
    </w:p>
    <w:p w14:paraId="4A555D96" w14:textId="77777777" w:rsidR="00E732FA" w:rsidRPr="003C7CB1" w:rsidRDefault="00E732FA" w:rsidP="00E732FA">
      <w:pPr>
        <w:spacing w:after="120" w:line="240" w:lineRule="auto"/>
        <w:jc w:val="both"/>
        <w:rPr>
          <w:sz w:val="24"/>
          <w:szCs w:val="24"/>
        </w:rPr>
      </w:pPr>
      <w:r w:rsidRPr="003C7CB1">
        <w:rPr>
          <w:sz w:val="24"/>
          <w:szCs w:val="24"/>
        </w:rPr>
        <w:t>The year 2021 was the year of economic and tourism recovery of Montenegro. From the beginning of the year, serious work on preparations and harmonization of the business environment with the standards imposed by the “new normality” under the influence of COVID-19 has been made. The goal of the Government of Montenegro was to preserve the tourism and economic substance, and above all jobs, with uncompromising care for the health of the local population and tourists.</w:t>
      </w:r>
      <w:r w:rsidRPr="003C7CB1">
        <w:t xml:space="preserve"> </w:t>
      </w:r>
      <w:r w:rsidRPr="003C7CB1">
        <w:rPr>
          <w:sz w:val="24"/>
          <w:szCs w:val="24"/>
        </w:rPr>
        <w:t xml:space="preserve">However, as serious preparations in stages for the recovery of tourism indicated the possibility of greater consolidation already in the pre-season period, it was decided to define the goal more ambitiously.  </w:t>
      </w:r>
    </w:p>
    <w:p w14:paraId="47F424AD" w14:textId="1F8A7470" w:rsidR="00E732FA" w:rsidRPr="003C7CB1" w:rsidRDefault="00E732FA" w:rsidP="00E732FA">
      <w:pPr>
        <w:spacing w:after="120" w:line="240" w:lineRule="auto"/>
        <w:jc w:val="both"/>
        <w:rPr>
          <w:sz w:val="24"/>
          <w:szCs w:val="24"/>
        </w:rPr>
      </w:pPr>
      <w:r w:rsidRPr="003C7CB1">
        <w:rPr>
          <w:sz w:val="24"/>
          <w:szCs w:val="24"/>
        </w:rPr>
        <w:t>The recommendations of the World Health Organization (WHO), the United Nations World Tourism Organization (UNWTO) and the Organization for Economic Co-operation and Development (OECD) were followed, as well as travel in the post-</w:t>
      </w:r>
      <w:proofErr w:type="spellStart"/>
      <w:r w:rsidR="003C7CB1" w:rsidRPr="003C7CB1">
        <w:rPr>
          <w:sz w:val="24"/>
          <w:szCs w:val="24"/>
        </w:rPr>
        <w:t>Covid</w:t>
      </w:r>
      <w:proofErr w:type="spellEnd"/>
      <w:r w:rsidRPr="003C7CB1">
        <w:rPr>
          <w:sz w:val="24"/>
          <w:szCs w:val="24"/>
        </w:rPr>
        <w:t xml:space="preserve"> period, which presupposed a number of new standards, with an emphasis on maintaining health, creating resilient destinations flexible to the crisis, new respect for nature and sustainable development, etc.  </w:t>
      </w:r>
    </w:p>
    <w:p w14:paraId="7C2FD656" w14:textId="77777777" w:rsidR="00E732FA" w:rsidRPr="003C7CB1" w:rsidRDefault="00E732FA" w:rsidP="00E732FA">
      <w:pPr>
        <w:spacing w:after="120" w:line="240" w:lineRule="auto"/>
        <w:jc w:val="both"/>
        <w:rPr>
          <w:sz w:val="24"/>
          <w:szCs w:val="24"/>
        </w:rPr>
      </w:pPr>
      <w:r w:rsidRPr="003C7CB1">
        <w:rPr>
          <w:sz w:val="24"/>
          <w:szCs w:val="24"/>
        </w:rPr>
        <w:t xml:space="preserve">According to a survey by the European Travel Commission (ETC), safety when traveling and staying at a destination (21.4%) were the dominant criteria when choosing a holiday destination during the COVID-19 pandemic. </w:t>
      </w:r>
    </w:p>
    <w:p w14:paraId="523EAB1C" w14:textId="77777777" w:rsidR="00E732FA" w:rsidRPr="003C7CB1" w:rsidRDefault="00E732FA" w:rsidP="00E732FA">
      <w:pPr>
        <w:spacing w:after="120" w:line="240" w:lineRule="auto"/>
        <w:jc w:val="both"/>
        <w:rPr>
          <w:sz w:val="24"/>
          <w:szCs w:val="24"/>
        </w:rPr>
      </w:pPr>
      <w:r w:rsidRPr="003C7CB1">
        <w:rPr>
          <w:sz w:val="24"/>
          <w:szCs w:val="24"/>
        </w:rPr>
        <w:t xml:space="preserve">In such circumstances, with the emphasis on the potential of the tourism sector on economic development, as well as its multiplicative effects on almost all other industries, synergistic action had to be provided in all segments and at all levels. </w:t>
      </w:r>
    </w:p>
    <w:p w14:paraId="49373367" w14:textId="77777777" w:rsidR="00E732FA" w:rsidRPr="003C7CB1" w:rsidRDefault="00E732FA" w:rsidP="00E732FA">
      <w:pPr>
        <w:spacing w:after="120" w:line="240" w:lineRule="auto"/>
        <w:jc w:val="both"/>
        <w:rPr>
          <w:sz w:val="24"/>
          <w:szCs w:val="24"/>
        </w:rPr>
      </w:pPr>
      <w:r w:rsidRPr="003C7CB1">
        <w:rPr>
          <w:sz w:val="24"/>
          <w:szCs w:val="24"/>
        </w:rPr>
        <w:t>Given the complexity of the COVID-19 pandemic, which is characterized by a simultaneous health and economic crisis, the Montenegrin system responded through a set of remedial measures:</w:t>
      </w:r>
    </w:p>
    <w:p w14:paraId="65BBD546" w14:textId="77777777" w:rsidR="00E732FA" w:rsidRPr="003C7CB1" w:rsidRDefault="00E732FA" w:rsidP="00E732FA">
      <w:pPr>
        <w:pStyle w:val="ListParagraph"/>
        <w:numPr>
          <w:ilvl w:val="0"/>
          <w:numId w:val="50"/>
        </w:numPr>
        <w:spacing w:after="120" w:line="240" w:lineRule="auto"/>
        <w:jc w:val="both"/>
        <w:rPr>
          <w:sz w:val="24"/>
          <w:szCs w:val="24"/>
        </w:rPr>
      </w:pPr>
      <w:r w:rsidRPr="003C7CB1">
        <w:rPr>
          <w:sz w:val="24"/>
          <w:szCs w:val="24"/>
        </w:rPr>
        <w:t xml:space="preserve">an assessment of fiscal policy needs was made and additional financial resources were identified; </w:t>
      </w:r>
    </w:p>
    <w:p w14:paraId="71F1DCFB" w14:textId="77777777" w:rsidR="00E732FA" w:rsidRPr="003C7CB1" w:rsidRDefault="00E732FA" w:rsidP="00E732FA">
      <w:pPr>
        <w:pStyle w:val="ListParagraph"/>
        <w:numPr>
          <w:ilvl w:val="0"/>
          <w:numId w:val="50"/>
        </w:numPr>
        <w:spacing w:after="120" w:line="240" w:lineRule="auto"/>
        <w:jc w:val="both"/>
        <w:rPr>
          <w:sz w:val="24"/>
          <w:szCs w:val="24"/>
        </w:rPr>
      </w:pPr>
      <w:r w:rsidRPr="003C7CB1">
        <w:rPr>
          <w:sz w:val="24"/>
          <w:szCs w:val="24"/>
        </w:rPr>
        <w:t xml:space="preserve">additional financial resources were provided in a timely manner and directed to the most urgent needs; </w:t>
      </w:r>
    </w:p>
    <w:p w14:paraId="66B7815E" w14:textId="77777777" w:rsidR="00E732FA" w:rsidRPr="003C7CB1" w:rsidRDefault="00E732FA" w:rsidP="00E732FA">
      <w:pPr>
        <w:pStyle w:val="ListParagraph"/>
        <w:numPr>
          <w:ilvl w:val="0"/>
          <w:numId w:val="50"/>
        </w:numPr>
        <w:spacing w:after="120" w:line="240" w:lineRule="auto"/>
        <w:jc w:val="both"/>
        <w:rPr>
          <w:sz w:val="24"/>
          <w:szCs w:val="24"/>
        </w:rPr>
      </w:pPr>
      <w:r w:rsidRPr="003C7CB1">
        <w:rPr>
          <w:sz w:val="24"/>
          <w:szCs w:val="24"/>
        </w:rPr>
        <w:t xml:space="preserve">business continuity has been ensured in conditions of mandatory physical distance; </w:t>
      </w:r>
    </w:p>
    <w:p w14:paraId="28EADA7A" w14:textId="77777777" w:rsidR="00E732FA" w:rsidRPr="003C7CB1" w:rsidRDefault="00E732FA" w:rsidP="00E732FA">
      <w:pPr>
        <w:pStyle w:val="ListParagraph"/>
        <w:numPr>
          <w:ilvl w:val="0"/>
          <w:numId w:val="50"/>
        </w:numPr>
        <w:spacing w:after="120" w:line="240" w:lineRule="auto"/>
        <w:jc w:val="both"/>
        <w:rPr>
          <w:sz w:val="24"/>
          <w:szCs w:val="24"/>
        </w:rPr>
      </w:pPr>
      <w:r w:rsidRPr="003C7CB1">
        <w:rPr>
          <w:sz w:val="24"/>
          <w:szCs w:val="24"/>
        </w:rPr>
        <w:t xml:space="preserve">continuity of all payments from public funds for salaries, pensions, financing of all public functions (health, social benefits, defense, security, etc.) and financing of all international obligations has been ensured; </w:t>
      </w:r>
    </w:p>
    <w:p w14:paraId="54CC404D" w14:textId="77777777" w:rsidR="00E732FA" w:rsidRPr="003C7CB1" w:rsidRDefault="00E732FA" w:rsidP="00E732FA">
      <w:pPr>
        <w:pStyle w:val="ListParagraph"/>
        <w:numPr>
          <w:ilvl w:val="0"/>
          <w:numId w:val="50"/>
        </w:numPr>
        <w:spacing w:after="120" w:line="240" w:lineRule="auto"/>
        <w:jc w:val="both"/>
        <w:rPr>
          <w:sz w:val="24"/>
          <w:szCs w:val="24"/>
        </w:rPr>
      </w:pPr>
      <w:r w:rsidRPr="003C7CB1">
        <w:rPr>
          <w:sz w:val="24"/>
          <w:szCs w:val="24"/>
        </w:rPr>
        <w:t xml:space="preserve">the substance of the economy and jobs has been preserved. </w:t>
      </w:r>
    </w:p>
    <w:p w14:paraId="3ACBBCD7" w14:textId="77777777" w:rsidR="00E732FA" w:rsidRPr="003C7CB1" w:rsidRDefault="00E732FA" w:rsidP="00E732FA">
      <w:pPr>
        <w:spacing w:after="120" w:line="240" w:lineRule="auto"/>
        <w:jc w:val="both"/>
        <w:rPr>
          <w:sz w:val="24"/>
          <w:szCs w:val="24"/>
        </w:rPr>
      </w:pPr>
      <w:r w:rsidRPr="003C7CB1">
        <w:rPr>
          <w:sz w:val="24"/>
          <w:szCs w:val="24"/>
        </w:rPr>
        <w:t xml:space="preserve">In order to create conditions for the most efficient recovery of the tourism industry, the focus of activities of the Government of Montenegro was:  </w:t>
      </w:r>
    </w:p>
    <w:tbl>
      <w:tblPr>
        <w:tblStyle w:val="TableGrid"/>
        <w:tblW w:w="0" w:type="auto"/>
        <w:jc w:val="center"/>
        <w:tblLook w:val="04A0" w:firstRow="1" w:lastRow="0" w:firstColumn="1" w:lastColumn="0" w:noHBand="0" w:noVBand="1"/>
      </w:tblPr>
      <w:tblGrid>
        <w:gridCol w:w="8387"/>
      </w:tblGrid>
      <w:tr w:rsidR="00E732FA" w:rsidRPr="003C7CB1" w14:paraId="7FB6E2AA" w14:textId="77777777" w:rsidTr="00E732FA">
        <w:trPr>
          <w:trHeight w:val="814"/>
          <w:jc w:val="center"/>
        </w:trPr>
        <w:tc>
          <w:tcPr>
            <w:tcW w:w="8387" w:type="dxa"/>
            <w:shd w:val="clear" w:color="auto" w:fill="D9E2F3" w:themeFill="accent1" w:themeFillTint="33"/>
          </w:tcPr>
          <w:p w14:paraId="3518490A" w14:textId="77777777" w:rsidR="00E732FA" w:rsidRPr="003C7CB1" w:rsidRDefault="00E732FA" w:rsidP="00E732FA">
            <w:pPr>
              <w:pStyle w:val="ListParagraph"/>
              <w:numPr>
                <w:ilvl w:val="0"/>
                <w:numId w:val="16"/>
              </w:numPr>
              <w:spacing w:after="120" w:line="240" w:lineRule="auto"/>
              <w:jc w:val="both"/>
              <w:rPr>
                <w:sz w:val="24"/>
                <w:szCs w:val="24"/>
              </w:rPr>
            </w:pPr>
            <w:r w:rsidRPr="003C7CB1">
              <w:rPr>
                <w:sz w:val="24"/>
                <w:szCs w:val="24"/>
              </w:rPr>
              <w:t xml:space="preserve">objective perception of changes in the market (analysis and research) with flexibility to new circumstances (quick reactions, adaptation to the situation); </w:t>
            </w:r>
          </w:p>
        </w:tc>
      </w:tr>
      <w:tr w:rsidR="00E732FA" w:rsidRPr="003C7CB1" w14:paraId="1756B8E8" w14:textId="77777777" w:rsidTr="00E732FA">
        <w:trPr>
          <w:trHeight w:val="780"/>
          <w:jc w:val="center"/>
        </w:trPr>
        <w:tc>
          <w:tcPr>
            <w:tcW w:w="8387" w:type="dxa"/>
            <w:shd w:val="clear" w:color="auto" w:fill="D9E2F3" w:themeFill="accent1" w:themeFillTint="33"/>
          </w:tcPr>
          <w:p w14:paraId="26229263" w14:textId="77777777" w:rsidR="00E732FA" w:rsidRPr="003C7CB1" w:rsidRDefault="00E732FA" w:rsidP="00E732FA">
            <w:pPr>
              <w:pStyle w:val="ListParagraph"/>
              <w:numPr>
                <w:ilvl w:val="0"/>
                <w:numId w:val="16"/>
              </w:numPr>
              <w:spacing w:after="120" w:line="240" w:lineRule="auto"/>
              <w:jc w:val="both"/>
              <w:rPr>
                <w:sz w:val="24"/>
                <w:szCs w:val="24"/>
              </w:rPr>
            </w:pPr>
            <w:r w:rsidRPr="003C7CB1">
              <w:rPr>
                <w:sz w:val="24"/>
                <w:szCs w:val="24"/>
              </w:rPr>
              <w:t xml:space="preserve">establishing a more favorable financial environment in order to support the necessary investment activities;  </w:t>
            </w:r>
          </w:p>
        </w:tc>
      </w:tr>
      <w:tr w:rsidR="00E732FA" w:rsidRPr="003C7CB1" w14:paraId="2B7E8EEE" w14:textId="77777777" w:rsidTr="00E732FA">
        <w:trPr>
          <w:trHeight w:val="628"/>
          <w:jc w:val="center"/>
        </w:trPr>
        <w:tc>
          <w:tcPr>
            <w:tcW w:w="8387" w:type="dxa"/>
            <w:shd w:val="clear" w:color="auto" w:fill="D9E2F3" w:themeFill="accent1" w:themeFillTint="33"/>
          </w:tcPr>
          <w:p w14:paraId="7500670F" w14:textId="77777777" w:rsidR="00E732FA" w:rsidRPr="003C7CB1" w:rsidRDefault="00E732FA" w:rsidP="00E732FA">
            <w:pPr>
              <w:pStyle w:val="ListParagraph"/>
              <w:numPr>
                <w:ilvl w:val="0"/>
                <w:numId w:val="16"/>
              </w:numPr>
              <w:spacing w:after="120" w:line="240" w:lineRule="auto"/>
              <w:jc w:val="both"/>
              <w:rPr>
                <w:sz w:val="24"/>
                <w:szCs w:val="24"/>
              </w:rPr>
            </w:pPr>
            <w:r w:rsidRPr="003C7CB1">
              <w:rPr>
                <w:sz w:val="24"/>
                <w:szCs w:val="24"/>
              </w:rPr>
              <w:lastRenderedPageBreak/>
              <w:t xml:space="preserve">measures of the Government of Montenegro  to support the tourism and hospitality sector in order to overcome the crisis caused by the COVID-19 pandemic; </w:t>
            </w:r>
          </w:p>
        </w:tc>
      </w:tr>
      <w:tr w:rsidR="00E732FA" w:rsidRPr="003C7CB1" w14:paraId="341CA952" w14:textId="77777777" w:rsidTr="00E732FA">
        <w:trPr>
          <w:trHeight w:val="527"/>
          <w:jc w:val="center"/>
        </w:trPr>
        <w:tc>
          <w:tcPr>
            <w:tcW w:w="8387" w:type="dxa"/>
            <w:shd w:val="clear" w:color="auto" w:fill="D9E2F3" w:themeFill="accent1" w:themeFillTint="33"/>
          </w:tcPr>
          <w:p w14:paraId="313E0A44" w14:textId="77777777" w:rsidR="00E732FA" w:rsidRPr="003C7CB1" w:rsidRDefault="00E732FA" w:rsidP="00E732FA">
            <w:pPr>
              <w:pStyle w:val="ListParagraph"/>
              <w:numPr>
                <w:ilvl w:val="0"/>
                <w:numId w:val="16"/>
              </w:numPr>
              <w:spacing w:after="120" w:line="240" w:lineRule="auto"/>
              <w:jc w:val="both"/>
              <w:rPr>
                <w:sz w:val="24"/>
                <w:szCs w:val="24"/>
              </w:rPr>
            </w:pPr>
            <w:r w:rsidRPr="003C7CB1">
              <w:rPr>
                <w:sz w:val="24"/>
                <w:szCs w:val="24"/>
              </w:rPr>
              <w:t xml:space="preserve">intensifying destination promotion; </w:t>
            </w:r>
          </w:p>
        </w:tc>
      </w:tr>
      <w:tr w:rsidR="00E732FA" w:rsidRPr="003C7CB1" w14:paraId="589BDBB6" w14:textId="77777777" w:rsidTr="00E732FA">
        <w:trPr>
          <w:trHeight w:val="722"/>
          <w:jc w:val="center"/>
        </w:trPr>
        <w:tc>
          <w:tcPr>
            <w:tcW w:w="8387" w:type="dxa"/>
            <w:shd w:val="clear" w:color="auto" w:fill="D9E2F3" w:themeFill="accent1" w:themeFillTint="33"/>
          </w:tcPr>
          <w:p w14:paraId="4A9887BB" w14:textId="77777777" w:rsidR="00E732FA" w:rsidRPr="003C7CB1" w:rsidRDefault="00E732FA" w:rsidP="00E732FA">
            <w:pPr>
              <w:pStyle w:val="ListParagraph"/>
              <w:numPr>
                <w:ilvl w:val="0"/>
                <w:numId w:val="16"/>
              </w:numPr>
              <w:spacing w:after="120" w:line="240" w:lineRule="auto"/>
              <w:jc w:val="both"/>
              <w:rPr>
                <w:sz w:val="24"/>
                <w:szCs w:val="24"/>
              </w:rPr>
            </w:pPr>
            <w:r w:rsidRPr="003C7CB1">
              <w:rPr>
                <w:sz w:val="24"/>
                <w:szCs w:val="24"/>
              </w:rPr>
              <w:t xml:space="preserve">maintaining liquidity and enabling favorable loan arrangements; </w:t>
            </w:r>
          </w:p>
        </w:tc>
      </w:tr>
      <w:tr w:rsidR="00E732FA" w:rsidRPr="003C7CB1" w14:paraId="7704EC4F" w14:textId="77777777" w:rsidTr="00E732FA">
        <w:trPr>
          <w:trHeight w:val="848"/>
          <w:jc w:val="center"/>
        </w:trPr>
        <w:tc>
          <w:tcPr>
            <w:tcW w:w="8387" w:type="dxa"/>
            <w:shd w:val="clear" w:color="auto" w:fill="D9E2F3" w:themeFill="accent1" w:themeFillTint="33"/>
          </w:tcPr>
          <w:p w14:paraId="6E48B998" w14:textId="77777777" w:rsidR="00E732FA" w:rsidRPr="003C7CB1" w:rsidRDefault="00E732FA" w:rsidP="00E732FA">
            <w:pPr>
              <w:pStyle w:val="ListParagraph"/>
              <w:numPr>
                <w:ilvl w:val="0"/>
                <w:numId w:val="15"/>
              </w:numPr>
              <w:spacing w:after="120" w:line="240" w:lineRule="auto"/>
              <w:jc w:val="both"/>
              <w:rPr>
                <w:sz w:val="24"/>
                <w:szCs w:val="24"/>
              </w:rPr>
            </w:pPr>
            <w:r w:rsidRPr="003C7CB1">
              <w:rPr>
                <w:sz w:val="24"/>
                <w:szCs w:val="24"/>
              </w:rPr>
              <w:t xml:space="preserve">promotional activities aimed at the region, as well as targeted international emitting markets, which were defined as priority emitting markets before the COVID-19 pandemic; </w:t>
            </w:r>
          </w:p>
        </w:tc>
      </w:tr>
      <w:tr w:rsidR="00E732FA" w:rsidRPr="003C7CB1" w14:paraId="4A8B8B41" w14:textId="77777777" w:rsidTr="00E732FA">
        <w:trPr>
          <w:trHeight w:val="848"/>
          <w:jc w:val="center"/>
        </w:trPr>
        <w:tc>
          <w:tcPr>
            <w:tcW w:w="8387" w:type="dxa"/>
            <w:shd w:val="clear" w:color="auto" w:fill="D9E2F3" w:themeFill="accent1" w:themeFillTint="33"/>
          </w:tcPr>
          <w:p w14:paraId="12EA88B7" w14:textId="77777777" w:rsidR="00E732FA" w:rsidRPr="003C7CB1" w:rsidRDefault="00E732FA" w:rsidP="00E732FA">
            <w:pPr>
              <w:pStyle w:val="ListParagraph"/>
              <w:numPr>
                <w:ilvl w:val="0"/>
                <w:numId w:val="15"/>
              </w:numPr>
              <w:spacing w:after="120" w:line="240" w:lineRule="auto"/>
              <w:jc w:val="both"/>
              <w:rPr>
                <w:sz w:val="24"/>
                <w:szCs w:val="24"/>
              </w:rPr>
            </w:pPr>
            <w:r w:rsidRPr="003C7CB1">
              <w:rPr>
                <w:sz w:val="24"/>
                <w:szCs w:val="24"/>
              </w:rPr>
              <w:t xml:space="preserve">strengthening the institutional framework (staff development, efficient professional training with practical training in hospitality facilities, student employment, strengthening public-private partnerships, etc.); </w:t>
            </w:r>
          </w:p>
        </w:tc>
      </w:tr>
      <w:tr w:rsidR="00E732FA" w:rsidRPr="003C7CB1" w14:paraId="0DA7606E" w14:textId="77777777" w:rsidTr="00E732FA">
        <w:trPr>
          <w:trHeight w:val="734"/>
          <w:jc w:val="center"/>
        </w:trPr>
        <w:tc>
          <w:tcPr>
            <w:tcW w:w="8387" w:type="dxa"/>
            <w:shd w:val="clear" w:color="auto" w:fill="D9E2F3" w:themeFill="accent1" w:themeFillTint="33"/>
          </w:tcPr>
          <w:p w14:paraId="666A0DFC" w14:textId="77777777" w:rsidR="00E732FA" w:rsidRPr="003C7CB1" w:rsidRDefault="00E732FA" w:rsidP="00E732FA">
            <w:pPr>
              <w:pStyle w:val="ListParagraph"/>
              <w:numPr>
                <w:ilvl w:val="0"/>
                <w:numId w:val="15"/>
              </w:numPr>
              <w:spacing w:after="120" w:line="240" w:lineRule="auto"/>
              <w:jc w:val="both"/>
              <w:rPr>
                <w:sz w:val="24"/>
                <w:szCs w:val="24"/>
              </w:rPr>
            </w:pPr>
            <w:r w:rsidRPr="003C7CB1">
              <w:rPr>
                <w:sz w:val="24"/>
                <w:szCs w:val="24"/>
              </w:rPr>
              <w:t xml:space="preserve">introduction of new health and epidemiological standards and protocols in the business of the tourism industry, in accordance with the current pandemic; </w:t>
            </w:r>
          </w:p>
        </w:tc>
      </w:tr>
      <w:tr w:rsidR="00E732FA" w:rsidRPr="003C7CB1" w14:paraId="34B6E4F4" w14:textId="77777777" w:rsidTr="00E732FA">
        <w:trPr>
          <w:trHeight w:val="954"/>
          <w:jc w:val="center"/>
        </w:trPr>
        <w:tc>
          <w:tcPr>
            <w:tcW w:w="8387" w:type="dxa"/>
            <w:shd w:val="clear" w:color="auto" w:fill="D9E2F3" w:themeFill="accent1" w:themeFillTint="33"/>
          </w:tcPr>
          <w:p w14:paraId="692B144E" w14:textId="77777777" w:rsidR="00E732FA" w:rsidRPr="003C7CB1" w:rsidRDefault="00E732FA" w:rsidP="00E732FA">
            <w:pPr>
              <w:pStyle w:val="ListParagraph"/>
              <w:numPr>
                <w:ilvl w:val="0"/>
                <w:numId w:val="15"/>
              </w:numPr>
              <w:spacing w:after="120" w:line="240" w:lineRule="auto"/>
              <w:jc w:val="both"/>
              <w:rPr>
                <w:sz w:val="24"/>
                <w:szCs w:val="24"/>
              </w:rPr>
            </w:pPr>
            <w:r w:rsidRPr="003C7CB1">
              <w:rPr>
                <w:sz w:val="24"/>
                <w:szCs w:val="24"/>
              </w:rPr>
              <w:t xml:space="preserve">clear and truthful reporting on the real situation in the country as well as on precautionary measures and circumstances that may arise due to the re-emergence of the negative consequences of the spread of COVID-19;  </w:t>
            </w:r>
          </w:p>
        </w:tc>
      </w:tr>
      <w:tr w:rsidR="00E732FA" w:rsidRPr="003C7CB1" w14:paraId="57C465F7" w14:textId="77777777" w:rsidTr="00E732FA">
        <w:trPr>
          <w:trHeight w:val="954"/>
          <w:jc w:val="center"/>
        </w:trPr>
        <w:tc>
          <w:tcPr>
            <w:tcW w:w="8387" w:type="dxa"/>
            <w:shd w:val="clear" w:color="auto" w:fill="D9E2F3" w:themeFill="accent1" w:themeFillTint="33"/>
          </w:tcPr>
          <w:p w14:paraId="677A3EB4" w14:textId="77777777" w:rsidR="00E732FA" w:rsidRPr="003C7CB1" w:rsidRDefault="00E732FA" w:rsidP="00E732FA">
            <w:pPr>
              <w:pStyle w:val="ListParagraph"/>
              <w:numPr>
                <w:ilvl w:val="0"/>
                <w:numId w:val="15"/>
              </w:numPr>
              <w:spacing w:after="120" w:line="240" w:lineRule="auto"/>
              <w:jc w:val="both"/>
              <w:rPr>
                <w:sz w:val="24"/>
                <w:szCs w:val="24"/>
              </w:rPr>
            </w:pPr>
            <w:r w:rsidRPr="003C7CB1">
              <w:rPr>
                <w:sz w:val="24"/>
                <w:szCs w:val="24"/>
              </w:rPr>
              <w:t xml:space="preserve">reduction of the informal (gray) economy in tourism: reforming and streamlining the process of starting and running a tourism / hospitality business (simplification of procedures, removal of administrative barriers, providing incentives / stimulus for the transition to a formal economy, etc.); </w:t>
            </w:r>
          </w:p>
        </w:tc>
      </w:tr>
    </w:tbl>
    <w:p w14:paraId="2488A81F" w14:textId="77777777" w:rsidR="00E732FA" w:rsidRPr="003C7CB1" w:rsidRDefault="00E732FA" w:rsidP="00E732FA">
      <w:pPr>
        <w:spacing w:after="0" w:line="240" w:lineRule="auto"/>
        <w:jc w:val="both"/>
        <w:rPr>
          <w:color w:val="2F5496" w:themeColor="accent1" w:themeShade="BF"/>
          <w:sz w:val="24"/>
          <w:szCs w:val="24"/>
        </w:rPr>
      </w:pPr>
    </w:p>
    <w:p w14:paraId="29A67C9D" w14:textId="77777777" w:rsidR="00E732FA" w:rsidRPr="003C7CB1" w:rsidRDefault="00E732FA" w:rsidP="00E732FA">
      <w:pPr>
        <w:spacing w:after="0" w:line="240" w:lineRule="auto"/>
        <w:jc w:val="both"/>
        <w:rPr>
          <w:b/>
          <w:color w:val="2F5496" w:themeColor="accent1" w:themeShade="BF"/>
          <w:sz w:val="24"/>
          <w:szCs w:val="24"/>
        </w:rPr>
      </w:pPr>
      <w:r w:rsidRPr="003C7CB1">
        <w:rPr>
          <w:b/>
          <w:color w:val="2F5496" w:themeColor="accent1" w:themeShade="BF"/>
          <w:sz w:val="24"/>
          <w:szCs w:val="24"/>
        </w:rPr>
        <w:t>Measures of financial support of the Government of Montenegro to the tourism and hospitality sector in order to overcome the crisis caused by the pandemic COVID - 19</w:t>
      </w:r>
    </w:p>
    <w:p w14:paraId="73075438" w14:textId="77777777" w:rsidR="00E732FA" w:rsidRPr="003C7CB1" w:rsidRDefault="00E732FA" w:rsidP="00E732FA">
      <w:pPr>
        <w:spacing w:after="0" w:line="240" w:lineRule="auto"/>
        <w:jc w:val="both"/>
        <w:rPr>
          <w:b/>
          <w:color w:val="1F3864" w:themeColor="accent1" w:themeShade="80"/>
          <w:sz w:val="24"/>
          <w:szCs w:val="24"/>
        </w:rPr>
      </w:pPr>
    </w:p>
    <w:p w14:paraId="7B36E997" w14:textId="3C6B807F" w:rsidR="00E732FA" w:rsidRPr="003C7CB1" w:rsidRDefault="00E732FA" w:rsidP="00E732FA">
      <w:pPr>
        <w:spacing w:after="120" w:line="240" w:lineRule="auto"/>
        <w:jc w:val="both"/>
        <w:rPr>
          <w:sz w:val="24"/>
          <w:szCs w:val="24"/>
        </w:rPr>
      </w:pPr>
      <w:r w:rsidRPr="003C7CB1">
        <w:rPr>
          <w:sz w:val="24"/>
          <w:szCs w:val="24"/>
        </w:rPr>
        <w:t>The Government of Montenegro has adopted measures to support the economy and citizens, within which the tourism sector is financially supported as well, as one of the sectors most vulnerable to the crisis.</w:t>
      </w:r>
      <w:r w:rsidRPr="003C7CB1">
        <w:t xml:space="preserve"> </w:t>
      </w:r>
      <w:r w:rsidRPr="003C7CB1">
        <w:rPr>
          <w:sz w:val="24"/>
          <w:szCs w:val="24"/>
        </w:rPr>
        <w:t xml:space="preserve">The support was primarily implemented with the aim of providing liquidity to the business of tourism and hospitality companies and preserving as many jobs as possible. </w:t>
      </w:r>
      <w:r w:rsidR="00765B94">
        <w:rPr>
          <w:rFonts w:cs="Arial"/>
          <w:sz w:val="24"/>
          <w:szCs w:val="24"/>
        </w:rPr>
        <w:t xml:space="preserve">                                                                                                   </w:t>
      </w:r>
    </w:p>
    <w:p w14:paraId="04AC52CD" w14:textId="77777777" w:rsidR="00E732FA" w:rsidRPr="003C7CB1" w:rsidRDefault="00E732FA" w:rsidP="00E732FA">
      <w:pPr>
        <w:spacing w:after="120" w:line="240" w:lineRule="auto"/>
        <w:jc w:val="both"/>
        <w:rPr>
          <w:sz w:val="24"/>
          <w:szCs w:val="24"/>
        </w:rPr>
      </w:pPr>
      <w:r w:rsidRPr="003C7CB1">
        <w:rPr>
          <w:sz w:val="24"/>
          <w:szCs w:val="24"/>
        </w:rPr>
        <w:t xml:space="preserve">In that sense, some of the implemented support measures adopted by the Government of Montenegro were: </w:t>
      </w:r>
    </w:p>
    <w:p w14:paraId="61F12935"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Measure to support the economy through earnings subsidies</w:t>
      </w:r>
      <w:r w:rsidRPr="003C7CB1">
        <w:rPr>
          <w:sz w:val="24"/>
          <w:szCs w:val="24"/>
        </w:rPr>
        <w:t xml:space="preserve"> - the measure was implemented in the period from April 2020 to June 2021, and entities in the tourism and hospitality sector were paid 45.5 million euros for this purpose; </w:t>
      </w:r>
    </w:p>
    <w:p w14:paraId="7BC6D2EE"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Subsidizing interest rates during the grace period given during the reprogramming of existing special-purpose loans for tourism and hospitality</w:t>
      </w:r>
      <w:r w:rsidRPr="003C7CB1">
        <w:rPr>
          <w:sz w:val="24"/>
          <w:szCs w:val="24"/>
        </w:rPr>
        <w:t xml:space="preserve"> - the public call was published in August 2020, and the activities were implemented ending with May 2021. Out of a total of 180 requests from companies and entrepreneurs, whose predominant activity is tourism and hospitality, a positive decision was made in 136 requests. The amount of EUR </w:t>
      </w:r>
      <w:r w:rsidRPr="003C7CB1">
        <w:rPr>
          <w:sz w:val="24"/>
          <w:szCs w:val="24"/>
        </w:rPr>
        <w:lastRenderedPageBreak/>
        <w:t xml:space="preserve">7,000,000 was planned for this measure, and EUR 6,735,372.28 was paid according to the approved requests;  </w:t>
      </w:r>
    </w:p>
    <w:p w14:paraId="1596FE42"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Application of a reduced VAT rate of 7% on services of preparation and serving of food, drinks and beverages, except alcoholic beverages, carbonated beverages with added sugar and coffee in hospitality facilities</w:t>
      </w:r>
      <w:r w:rsidRPr="003C7CB1">
        <w:rPr>
          <w:sz w:val="24"/>
          <w:szCs w:val="24"/>
        </w:rPr>
        <w:t xml:space="preserve"> - fiscal effect of the measure was € 5 million in 2020 and € 11 million in 2021; </w:t>
      </w:r>
    </w:p>
    <w:p w14:paraId="5CA4DEF3"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Support to users of marine resources</w:t>
      </w:r>
      <w:r w:rsidRPr="003C7CB1">
        <w:rPr>
          <w:sz w:val="24"/>
          <w:szCs w:val="24"/>
        </w:rPr>
        <w:t xml:space="preserve"> - the measure included a reduction of the annual fee for the use of marine resources, with a fiscal effect of € 3.5 million (in 2020); </w:t>
      </w:r>
    </w:p>
    <w:p w14:paraId="3C09FA3A"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Subsidizing travel agencies – travel organizers, i.e., tour operators</w:t>
      </w:r>
      <w:r w:rsidRPr="003C7CB1">
        <w:rPr>
          <w:sz w:val="24"/>
          <w:szCs w:val="24"/>
        </w:rPr>
        <w:t xml:space="preserve"> - the procedure was conducted through a public call in February 2021. A total of 71 applications were received, and on this basis, funds were paid to 59 travel agencies in the amount of € 150,000; </w:t>
      </w:r>
    </w:p>
    <w:p w14:paraId="65D156C3"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Awarding tourist vouchers to health, social and educational workers - support to private accommodation renters</w:t>
      </w:r>
      <w:r w:rsidRPr="003C7CB1">
        <w:rPr>
          <w:sz w:val="24"/>
          <w:szCs w:val="24"/>
        </w:rPr>
        <w:t xml:space="preserve"> - the procedure was conducted through a public call in February 2021, and 439 renters of registered private accommodation met the conditions to be on the platform through which accommodation was booked. The measure was valid until December 31, 2021, and the individual value of the voucher was 200 euros. Renters of private accommodation were paid € 4.1 million as there were 20,500 voucher users; </w:t>
      </w:r>
    </w:p>
    <w:p w14:paraId="2AFA72EC"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Allocation of one-time financial assistance for tourist guides</w:t>
      </w:r>
      <w:r w:rsidRPr="003C7CB1">
        <w:rPr>
          <w:sz w:val="24"/>
          <w:szCs w:val="24"/>
        </w:rPr>
        <w:t xml:space="preserve"> - the procedure was conducted through a public call during May 2021, to which 128 tourist guides applied.</w:t>
      </w:r>
      <w:r w:rsidRPr="003C7CB1">
        <w:t xml:space="preserve"> </w:t>
      </w:r>
      <w:r w:rsidRPr="003C7CB1">
        <w:rPr>
          <w:sz w:val="24"/>
          <w:szCs w:val="24"/>
        </w:rPr>
        <w:t xml:space="preserve">After the assessment of the fulfillment of the conditions, funds were approved for 124 guides, and support in the amount of € 37,200.00 was paid, i.e., the amount of € 300 per guide;  </w:t>
      </w:r>
    </w:p>
    <w:p w14:paraId="651799C7" w14:textId="77777777" w:rsidR="00E732FA" w:rsidRPr="003C7CB1" w:rsidRDefault="00E732FA" w:rsidP="00E732FA">
      <w:pPr>
        <w:pStyle w:val="ListParagraph"/>
        <w:numPr>
          <w:ilvl w:val="0"/>
          <w:numId w:val="54"/>
        </w:numPr>
        <w:spacing w:after="0" w:line="240" w:lineRule="auto"/>
        <w:jc w:val="both"/>
        <w:rPr>
          <w:sz w:val="24"/>
          <w:szCs w:val="24"/>
        </w:rPr>
      </w:pPr>
      <w:r w:rsidRPr="003C7CB1">
        <w:rPr>
          <w:b/>
          <w:sz w:val="24"/>
          <w:szCs w:val="24"/>
        </w:rPr>
        <w:t>Awarding tourist vouchers in the amount of 50 euros to all citizens over 50 years of age, who got vaccinated with the first dose of vaccine during July 2021</w:t>
      </w:r>
      <w:r w:rsidRPr="003C7CB1">
        <w:rPr>
          <w:sz w:val="24"/>
          <w:szCs w:val="24"/>
        </w:rPr>
        <w:t xml:space="preserve"> - This measure was to promote the vaccination process and support tourism companies (HTP “</w:t>
      </w:r>
      <w:proofErr w:type="spellStart"/>
      <w:r w:rsidRPr="003C7CB1">
        <w:rPr>
          <w:sz w:val="24"/>
          <w:szCs w:val="24"/>
        </w:rPr>
        <w:t>Ulcinjska</w:t>
      </w:r>
      <w:proofErr w:type="spellEnd"/>
      <w:r w:rsidRPr="003C7CB1">
        <w:rPr>
          <w:sz w:val="24"/>
          <w:szCs w:val="24"/>
        </w:rPr>
        <w:t xml:space="preserve"> </w:t>
      </w:r>
      <w:proofErr w:type="spellStart"/>
      <w:r w:rsidRPr="003C7CB1">
        <w:rPr>
          <w:sz w:val="24"/>
          <w:szCs w:val="24"/>
        </w:rPr>
        <w:t>Rivijera</w:t>
      </w:r>
      <w:proofErr w:type="spellEnd"/>
      <w:r w:rsidRPr="003C7CB1">
        <w:rPr>
          <w:sz w:val="24"/>
          <w:szCs w:val="24"/>
        </w:rPr>
        <w:t>”, AD, Ulcinj, “</w:t>
      </w:r>
      <w:proofErr w:type="spellStart"/>
      <w:r w:rsidRPr="003C7CB1">
        <w:rPr>
          <w:sz w:val="24"/>
          <w:szCs w:val="24"/>
        </w:rPr>
        <w:t>Budvanska</w:t>
      </w:r>
      <w:proofErr w:type="spellEnd"/>
      <w:r w:rsidRPr="003C7CB1">
        <w:rPr>
          <w:sz w:val="24"/>
          <w:szCs w:val="24"/>
        </w:rPr>
        <w:t xml:space="preserve"> </w:t>
      </w:r>
      <w:proofErr w:type="spellStart"/>
      <w:r w:rsidRPr="003C7CB1">
        <w:rPr>
          <w:sz w:val="24"/>
          <w:szCs w:val="24"/>
        </w:rPr>
        <w:t>Rivijera</w:t>
      </w:r>
      <w:proofErr w:type="spellEnd"/>
      <w:r w:rsidRPr="003C7CB1">
        <w:rPr>
          <w:sz w:val="24"/>
          <w:szCs w:val="24"/>
        </w:rPr>
        <w:t xml:space="preserve">” HG, AD, </w:t>
      </w:r>
      <w:proofErr w:type="spellStart"/>
      <w:r w:rsidRPr="003C7CB1">
        <w:rPr>
          <w:sz w:val="24"/>
          <w:szCs w:val="24"/>
        </w:rPr>
        <w:t>Budva</w:t>
      </w:r>
      <w:proofErr w:type="spellEnd"/>
      <w:r w:rsidRPr="003C7CB1">
        <w:rPr>
          <w:sz w:val="24"/>
          <w:szCs w:val="24"/>
        </w:rPr>
        <w:t xml:space="preserve"> and “Dr Simo </w:t>
      </w:r>
      <w:proofErr w:type="spellStart"/>
      <w:r w:rsidRPr="003C7CB1">
        <w:rPr>
          <w:sz w:val="24"/>
          <w:szCs w:val="24"/>
        </w:rPr>
        <w:t>Milošević</w:t>
      </w:r>
      <w:proofErr w:type="spellEnd"/>
      <w:r w:rsidRPr="003C7CB1">
        <w:rPr>
          <w:sz w:val="24"/>
          <w:szCs w:val="24"/>
        </w:rPr>
        <w:t xml:space="preserve">” Institute, </w:t>
      </w:r>
      <w:proofErr w:type="spellStart"/>
      <w:r w:rsidRPr="003C7CB1">
        <w:rPr>
          <w:sz w:val="24"/>
          <w:szCs w:val="24"/>
        </w:rPr>
        <w:t>Igalo</w:t>
      </w:r>
      <w:proofErr w:type="spellEnd"/>
      <w:r w:rsidRPr="003C7CB1">
        <w:rPr>
          <w:sz w:val="24"/>
          <w:szCs w:val="24"/>
        </w:rPr>
        <w:t xml:space="preserve">) in the amount of € 27,225.00, based on used tourist vouchers of citizens in the form of two nights on a half board basis. A total of 2,700 vouchers were awarded.  </w:t>
      </w:r>
    </w:p>
    <w:p w14:paraId="55736386" w14:textId="77777777" w:rsidR="00E732FA" w:rsidRPr="003C7CB1" w:rsidRDefault="00E732FA" w:rsidP="00E732FA">
      <w:pPr>
        <w:spacing w:after="0" w:line="240" w:lineRule="auto"/>
        <w:jc w:val="both"/>
        <w:rPr>
          <w:sz w:val="24"/>
          <w:szCs w:val="24"/>
        </w:rPr>
      </w:pPr>
    </w:p>
    <w:p w14:paraId="46BDEBAA" w14:textId="77777777" w:rsidR="00E732FA" w:rsidRPr="003C7CB1" w:rsidRDefault="00E732FA" w:rsidP="00E732FA">
      <w:pPr>
        <w:spacing w:after="120" w:line="240" w:lineRule="auto"/>
        <w:jc w:val="both"/>
        <w:rPr>
          <w:b/>
          <w:color w:val="2F5496" w:themeColor="accent1" w:themeShade="BF"/>
          <w:sz w:val="24"/>
          <w:szCs w:val="24"/>
        </w:rPr>
      </w:pPr>
      <w:r w:rsidRPr="003C7CB1">
        <w:rPr>
          <w:b/>
          <w:color w:val="2F5496" w:themeColor="accent1" w:themeShade="BF"/>
          <w:sz w:val="24"/>
          <w:szCs w:val="24"/>
        </w:rPr>
        <w:t>Safety and health protocols</w:t>
      </w:r>
    </w:p>
    <w:p w14:paraId="7F06A661" w14:textId="77777777" w:rsidR="00E732FA" w:rsidRPr="003C7CB1" w:rsidRDefault="00E732FA" w:rsidP="00E732FA">
      <w:pPr>
        <w:spacing w:after="120" w:line="240" w:lineRule="auto"/>
        <w:jc w:val="both"/>
        <w:rPr>
          <w:sz w:val="24"/>
          <w:szCs w:val="24"/>
        </w:rPr>
      </w:pPr>
      <w:r w:rsidRPr="003C7CB1">
        <w:rPr>
          <w:sz w:val="24"/>
          <w:szCs w:val="24"/>
        </w:rPr>
        <w:t>The Ministry of Health and the Institute of Public Health of Montenegro, in cooperation with the Ministry of Economic Development, have prepared a Guide through safety and health protocols for COVID-19 entitled “Montenegro - Safe and Responsible Tourist Destination”.</w:t>
      </w:r>
      <w:r w:rsidRPr="003C7CB1">
        <w:t xml:space="preserve"> </w:t>
      </w:r>
      <w:r w:rsidRPr="003C7CB1">
        <w:rPr>
          <w:sz w:val="24"/>
          <w:szCs w:val="24"/>
        </w:rPr>
        <w:t>Safety and health protocols include a set of measures and activities that reduce the risk of humans getting infected with coronavirus.</w:t>
      </w:r>
      <w:r w:rsidRPr="003C7CB1">
        <w:t xml:space="preserve"> </w:t>
      </w:r>
      <w:r w:rsidRPr="003C7CB1">
        <w:rPr>
          <w:sz w:val="24"/>
          <w:szCs w:val="24"/>
        </w:rPr>
        <w:t>The Government of Montenegro implements a national strategy within which health and safety protocols are its communication backbone.</w:t>
      </w:r>
      <w:r w:rsidRPr="003C7CB1">
        <w:t xml:space="preserve"> </w:t>
      </w:r>
      <w:r w:rsidRPr="003C7CB1">
        <w:rPr>
          <w:sz w:val="24"/>
          <w:szCs w:val="24"/>
        </w:rPr>
        <w:t>Full information of the local population, tourism industry and guests are a precondition for preserving the health of all, and then for the achievement of a successful tourist season.</w:t>
      </w:r>
      <w:r w:rsidRPr="003C7CB1">
        <w:t xml:space="preserve"> </w:t>
      </w:r>
      <w:r w:rsidRPr="003C7CB1">
        <w:rPr>
          <w:sz w:val="24"/>
          <w:szCs w:val="24"/>
        </w:rPr>
        <w:t xml:space="preserve">The Guide includes protocols applicable in case of guest being infected in the accommodation facility, as well as general instructions for the tourism and hospitality sector, protocols for accommodation facilities, restaurants, bars, wineries and picnic areas. Part of the guide includes the protocols that are valid in passenger facilities and means of transport, on beaches and bathing areas, swimming pools, water parks, but also in national and nature parks. </w:t>
      </w:r>
    </w:p>
    <w:p w14:paraId="627E4761" w14:textId="65E67031" w:rsidR="00E732FA" w:rsidRPr="004C2AF5" w:rsidRDefault="00E732FA" w:rsidP="004C2AF5">
      <w:pPr>
        <w:spacing w:after="120" w:line="240" w:lineRule="auto"/>
        <w:jc w:val="both"/>
        <w:rPr>
          <w:sz w:val="24"/>
          <w:szCs w:val="24"/>
        </w:rPr>
      </w:pPr>
      <w:r w:rsidRPr="003C7CB1">
        <w:rPr>
          <w:sz w:val="24"/>
          <w:szCs w:val="24"/>
        </w:rPr>
        <w:t xml:space="preserve">As its contribution to the fight against the COVID-19 pandemic, in a certain period the Government of Montenegro bore the costs of hospital treatment for all tourists who got infected with COVID-19 during their stay in Montenegro.  </w:t>
      </w:r>
    </w:p>
    <w:p w14:paraId="21853366" w14:textId="250D4F9D" w:rsidR="00E732FA" w:rsidRPr="003C7CB1" w:rsidRDefault="00E732FA" w:rsidP="00E732FA">
      <w:pPr>
        <w:pStyle w:val="Heading2"/>
        <w:numPr>
          <w:ilvl w:val="1"/>
          <w:numId w:val="48"/>
        </w:numPr>
        <w:spacing w:before="0" w:after="120" w:line="276" w:lineRule="auto"/>
        <w:rPr>
          <w:sz w:val="26"/>
        </w:rPr>
      </w:pPr>
      <w:bookmarkStart w:id="94" w:name="_Toc102133800"/>
      <w:bookmarkStart w:id="95" w:name="_Hlk88254440"/>
      <w:bookmarkStart w:id="96" w:name="_Toc104544184"/>
      <w:r w:rsidRPr="003C7CB1">
        <w:rPr>
          <w:sz w:val="26"/>
        </w:rPr>
        <w:lastRenderedPageBreak/>
        <w:t>Results of touris</w:t>
      </w:r>
      <w:r w:rsidR="00B41F90">
        <w:rPr>
          <w:sz w:val="26"/>
        </w:rPr>
        <w:t>m turnover</w:t>
      </w:r>
      <w:r w:rsidRPr="003C7CB1">
        <w:rPr>
          <w:sz w:val="26"/>
        </w:rPr>
        <w:t xml:space="preserve"> during 2021</w:t>
      </w:r>
      <w:bookmarkEnd w:id="94"/>
      <w:bookmarkEnd w:id="96"/>
      <w:r w:rsidRPr="003C7CB1">
        <w:rPr>
          <w:sz w:val="26"/>
        </w:rPr>
        <w:t xml:space="preserve"> </w:t>
      </w:r>
    </w:p>
    <w:bookmarkEnd w:id="95"/>
    <w:p w14:paraId="0E119DC2" w14:textId="77777777" w:rsidR="00E732FA" w:rsidRPr="003C7CB1" w:rsidRDefault="00E732FA" w:rsidP="00E732FA">
      <w:pPr>
        <w:spacing w:after="120" w:line="240" w:lineRule="auto"/>
        <w:jc w:val="both"/>
        <w:rPr>
          <w:sz w:val="24"/>
          <w:szCs w:val="24"/>
        </w:rPr>
      </w:pPr>
      <w:r w:rsidRPr="003C7CB1">
        <w:rPr>
          <w:sz w:val="24"/>
          <w:szCs w:val="24"/>
        </w:rPr>
        <w:t xml:space="preserve">One of the dominant tendencies of the Government of Montenegro was creating a responsible environment in terms of preparation and implementation of the summer tourist season, with the aim of achieving tourism and overall recovery of the country, while preserving the health of citizens and the economy. The Preparation and monitoring of the summer tourist season in 2021 was handled by </w:t>
      </w:r>
      <w:r w:rsidRPr="003C7CB1">
        <w:rPr>
          <w:b/>
          <w:sz w:val="24"/>
          <w:szCs w:val="24"/>
        </w:rPr>
        <w:t>the Coordination Body for the preparation and monitoring of the tourist seasons</w:t>
      </w:r>
      <w:r w:rsidRPr="003C7CB1">
        <w:rPr>
          <w:sz w:val="24"/>
          <w:szCs w:val="24"/>
        </w:rPr>
        <w:t>.</w:t>
      </w:r>
      <w:r w:rsidRPr="003C7CB1">
        <w:t xml:space="preserve"> </w:t>
      </w:r>
      <w:r w:rsidRPr="003C7CB1">
        <w:rPr>
          <w:sz w:val="24"/>
          <w:szCs w:val="24"/>
        </w:rPr>
        <w:t xml:space="preserve">The goal was to achieve economic recovery of the country and stabilization of public finances through the recovery of tourism, while preserving the health of citizens, in order to overcome the difficult situation caused by the COVID-19 pandemic as efficiently and with as few negative effects as possible. </w:t>
      </w:r>
    </w:p>
    <w:p w14:paraId="54DDDCD0" w14:textId="77777777" w:rsidR="00E732FA" w:rsidRPr="003C7CB1" w:rsidRDefault="00E732FA" w:rsidP="00E732FA">
      <w:pPr>
        <w:spacing w:after="120" w:line="240" w:lineRule="auto"/>
        <w:jc w:val="both"/>
        <w:rPr>
          <w:sz w:val="24"/>
          <w:szCs w:val="24"/>
        </w:rPr>
      </w:pPr>
      <w:r w:rsidRPr="003C7CB1">
        <w:rPr>
          <w:sz w:val="24"/>
          <w:szCs w:val="24"/>
        </w:rPr>
        <w:t xml:space="preserve">Summarizing the results of the tourist season in 2021 in the context of the extraordinary circumstances in which the season took place, good results were achieved. According to the official data of the Statistical Office - MONSTAT (Table no. 12), in Montenegro in 2021 in all types of accommodation 1,670,879 tourist arrivals were registered, or 276.3% more than in 2020 and the achievement of 63.1% compared to the record 2019. In the same period, there were 9,872,573 overnight stays, i.e., 281.5% more than in 2020, and achievement of 68.3% compared to 2019. Of the total number of overnight stays, foreign tourists account for 95.5%, and domestic tourists account for 4.5% of overnight stays. </w:t>
      </w:r>
    </w:p>
    <w:p w14:paraId="5E6D0063" w14:textId="77777777" w:rsidR="00E732FA" w:rsidRPr="003C7CB1" w:rsidRDefault="00E732FA" w:rsidP="00E732FA">
      <w:pPr>
        <w:spacing w:after="120" w:line="240" w:lineRule="auto"/>
        <w:jc w:val="both"/>
        <w:rPr>
          <w:sz w:val="24"/>
          <w:szCs w:val="24"/>
        </w:rPr>
      </w:pPr>
      <w:r w:rsidRPr="003C7CB1">
        <w:rPr>
          <w:sz w:val="24"/>
          <w:szCs w:val="24"/>
        </w:rPr>
        <w:t>During 2021, the arrival of 117,321 domestic guests was registered, which is an increase of 25.79% compared to 2020 and an achievement of 86.53% compared to 2019.</w:t>
      </w:r>
      <w:r w:rsidRPr="003C7CB1">
        <w:t xml:space="preserve"> A total of </w:t>
      </w:r>
      <w:r w:rsidRPr="003C7CB1">
        <w:rPr>
          <w:sz w:val="24"/>
          <w:szCs w:val="24"/>
        </w:rPr>
        <w:t xml:space="preserve">448,770 overnight stays of domestic guests were registered, which is an increase of 24.41% compared to 2020 and an achievement of 85.91% compared to 2019, with an average tourist stay of 4 days. </w:t>
      </w:r>
    </w:p>
    <w:p w14:paraId="16B4B43A" w14:textId="77777777" w:rsidR="00E732FA" w:rsidRPr="003C7CB1" w:rsidRDefault="00E732FA" w:rsidP="00E732FA">
      <w:pPr>
        <w:spacing w:after="120" w:line="240" w:lineRule="auto"/>
        <w:jc w:val="both"/>
        <w:rPr>
          <w:sz w:val="24"/>
          <w:szCs w:val="24"/>
        </w:rPr>
      </w:pPr>
      <w:r w:rsidRPr="003C7CB1">
        <w:rPr>
          <w:sz w:val="24"/>
          <w:szCs w:val="24"/>
        </w:rPr>
        <w:t xml:space="preserve">During 2021, a total of 1,553,558 foreign guests arrived, which is an increase of 342.87% compared to 2020 and an achievement of 61.90% compared to 2019, with 9,423,803 overnight stays of foreign tourists, which represents growth of 323.25% more than in 2020 and an achievement of 67.63% compared to 2019, with an average tourist stay of 6.06 days.   </w:t>
      </w:r>
    </w:p>
    <w:p w14:paraId="2D72DBE1" w14:textId="77777777" w:rsidR="00E732FA" w:rsidRPr="003C7CB1" w:rsidRDefault="00E732FA" w:rsidP="00E732FA">
      <w:pPr>
        <w:spacing w:after="120"/>
        <w:jc w:val="center"/>
        <w:rPr>
          <w:rFonts w:eastAsia="Calibri" w:cs="Arial"/>
          <w:b/>
          <w:sz w:val="20"/>
          <w:szCs w:val="20"/>
        </w:rPr>
      </w:pPr>
      <w:bookmarkStart w:id="97" w:name="_Hlk97808951"/>
      <w:r w:rsidRPr="003C7CB1">
        <w:rPr>
          <w:rFonts w:eastAsia="Calibri" w:cs="Arial"/>
          <w:b/>
          <w:sz w:val="20"/>
          <w:szCs w:val="20"/>
        </w:rPr>
        <w:t>Table no. 12 - Number of tourist arrivals and overnight stays during 2019, 2020 and 2021</w:t>
      </w:r>
    </w:p>
    <w:tbl>
      <w:tblPr>
        <w:tblW w:w="9016" w:type="dxa"/>
        <w:tblInd w:w="-5" w:type="dxa"/>
        <w:tblLook w:val="04A0" w:firstRow="1" w:lastRow="0" w:firstColumn="1" w:lastColumn="0" w:noHBand="0" w:noVBand="1"/>
      </w:tblPr>
      <w:tblGrid>
        <w:gridCol w:w="1555"/>
        <w:gridCol w:w="1701"/>
        <w:gridCol w:w="1559"/>
        <w:gridCol w:w="1559"/>
        <w:gridCol w:w="1276"/>
        <w:gridCol w:w="1366"/>
      </w:tblGrid>
      <w:tr w:rsidR="00E732FA" w:rsidRPr="003C7CB1" w14:paraId="16BC9C50" w14:textId="77777777" w:rsidTr="00E732FA">
        <w:trPr>
          <w:trHeight w:val="814"/>
        </w:trPr>
        <w:tc>
          <w:tcPr>
            <w:tcW w:w="1555"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A6A132B" w14:textId="64220715" w:rsidR="00E732FA" w:rsidRPr="003C7CB1" w:rsidRDefault="00E732FA" w:rsidP="0053735F">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Tourists / overnight stays</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26E1696" w14:textId="77777777" w:rsidR="00E732FA" w:rsidRPr="003C7CB1" w:rsidRDefault="00E732FA" w:rsidP="00E732FA">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 xml:space="preserve">2019 </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14655AA7" w14:textId="77777777" w:rsidR="00E732FA" w:rsidRPr="003C7CB1" w:rsidRDefault="00E732FA" w:rsidP="00E732FA">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 xml:space="preserve">2020 </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F536A33" w14:textId="77777777" w:rsidR="00E732FA" w:rsidRPr="003C7CB1" w:rsidRDefault="00E732FA" w:rsidP="00E732FA">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 xml:space="preserve">2021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E1DDC7B" w14:textId="77777777" w:rsidR="00E732FA" w:rsidRPr="003C7CB1" w:rsidRDefault="00E732FA" w:rsidP="00E732FA">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Index 21/20</w:t>
            </w:r>
          </w:p>
        </w:tc>
        <w:tc>
          <w:tcPr>
            <w:tcW w:w="1366"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AA005C5" w14:textId="77777777" w:rsidR="00E732FA" w:rsidRPr="003C7CB1" w:rsidRDefault="00E732FA" w:rsidP="00E732FA">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 xml:space="preserve">Index </w:t>
            </w:r>
          </w:p>
          <w:p w14:paraId="580A1B0D" w14:textId="77777777" w:rsidR="00E732FA" w:rsidRPr="003C7CB1" w:rsidRDefault="00E732FA" w:rsidP="00E732FA">
            <w:pPr>
              <w:spacing w:after="0" w:line="240" w:lineRule="auto"/>
              <w:jc w:val="center"/>
              <w:rPr>
                <w:rFonts w:ascii="Calibri" w:eastAsia="Times New Roman" w:hAnsi="Calibri" w:cs="Calibri"/>
                <w:b/>
                <w:bCs/>
                <w:i/>
                <w:iCs/>
                <w:color w:val="000000"/>
              </w:rPr>
            </w:pPr>
            <w:r w:rsidRPr="003C7CB1">
              <w:rPr>
                <w:rFonts w:ascii="Calibri" w:eastAsia="Times New Roman" w:hAnsi="Calibri" w:cs="Calibri"/>
                <w:b/>
                <w:bCs/>
                <w:i/>
                <w:iCs/>
                <w:color w:val="000000"/>
              </w:rPr>
              <w:t>21/19</w:t>
            </w:r>
          </w:p>
        </w:tc>
      </w:tr>
      <w:tr w:rsidR="00E732FA" w:rsidRPr="003C7CB1" w14:paraId="32072173" w14:textId="77777777" w:rsidTr="00E732FA">
        <w:trPr>
          <w:trHeight w:val="548"/>
        </w:trPr>
        <w:tc>
          <w:tcPr>
            <w:tcW w:w="1555"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CC573B1" w14:textId="77777777" w:rsidR="00E732FA" w:rsidRPr="003C7CB1" w:rsidRDefault="00E732FA" w:rsidP="00E732FA">
            <w:pPr>
              <w:spacing w:after="0" w:line="240" w:lineRule="auto"/>
              <w:rPr>
                <w:rFonts w:ascii="Calibri" w:eastAsia="Times New Roman" w:hAnsi="Calibri" w:cs="Calibri"/>
                <w:b/>
                <w:bCs/>
                <w:i/>
                <w:iCs/>
                <w:color w:val="000000"/>
              </w:rPr>
            </w:pPr>
          </w:p>
        </w:tc>
        <w:tc>
          <w:tcPr>
            <w:tcW w:w="170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1DF423D8" w14:textId="77777777" w:rsidR="00E732FA" w:rsidRPr="003C7CB1" w:rsidRDefault="00E732FA" w:rsidP="00E732FA">
            <w:pPr>
              <w:spacing w:after="0" w:line="240" w:lineRule="auto"/>
              <w:rPr>
                <w:rFonts w:ascii="Calibri" w:eastAsia="Times New Roman" w:hAnsi="Calibri" w:cs="Calibri"/>
                <w:b/>
                <w:bCs/>
                <w:i/>
                <w:iCs/>
                <w:color w:val="000000"/>
              </w:rPr>
            </w:pPr>
          </w:p>
        </w:tc>
        <w:tc>
          <w:tcPr>
            <w:tcW w:w="155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A0FE771" w14:textId="77777777" w:rsidR="00E732FA" w:rsidRPr="003C7CB1" w:rsidRDefault="00E732FA" w:rsidP="00E732FA">
            <w:pPr>
              <w:spacing w:after="0" w:line="240" w:lineRule="auto"/>
              <w:rPr>
                <w:rFonts w:ascii="Calibri" w:eastAsia="Times New Roman" w:hAnsi="Calibri" w:cs="Calibri"/>
                <w:b/>
                <w:bCs/>
                <w:i/>
                <w:iCs/>
                <w:color w:val="000000"/>
              </w:rPr>
            </w:pPr>
          </w:p>
        </w:tc>
        <w:tc>
          <w:tcPr>
            <w:tcW w:w="155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F2EA8F4" w14:textId="77777777" w:rsidR="00E732FA" w:rsidRPr="003C7CB1" w:rsidRDefault="00E732FA" w:rsidP="00E732FA">
            <w:pPr>
              <w:spacing w:after="0" w:line="240" w:lineRule="auto"/>
              <w:rPr>
                <w:rFonts w:ascii="Calibri" w:eastAsia="Times New Roman" w:hAnsi="Calibri" w:cs="Calibri"/>
                <w:b/>
                <w:bCs/>
                <w:i/>
                <w:iCs/>
                <w:color w:val="000000"/>
              </w:rPr>
            </w:pPr>
          </w:p>
        </w:tc>
        <w:tc>
          <w:tcPr>
            <w:tcW w:w="1276"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C145663" w14:textId="77777777" w:rsidR="00E732FA" w:rsidRPr="003C7CB1" w:rsidRDefault="00E732FA" w:rsidP="00E732FA">
            <w:pPr>
              <w:spacing w:after="0" w:line="240" w:lineRule="auto"/>
              <w:rPr>
                <w:rFonts w:ascii="Calibri" w:eastAsia="Times New Roman" w:hAnsi="Calibri" w:cs="Calibri"/>
                <w:b/>
                <w:bCs/>
                <w:i/>
                <w:iCs/>
                <w:color w:val="000000"/>
              </w:rPr>
            </w:pPr>
          </w:p>
        </w:tc>
        <w:tc>
          <w:tcPr>
            <w:tcW w:w="1366"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342BADB" w14:textId="77777777" w:rsidR="00E732FA" w:rsidRPr="003C7CB1" w:rsidRDefault="00E732FA" w:rsidP="00E732FA">
            <w:pPr>
              <w:spacing w:after="0" w:line="240" w:lineRule="auto"/>
              <w:rPr>
                <w:rFonts w:ascii="Calibri" w:eastAsia="Times New Roman" w:hAnsi="Calibri" w:cs="Calibri"/>
                <w:b/>
                <w:bCs/>
                <w:i/>
                <w:iCs/>
                <w:color w:val="000000"/>
              </w:rPr>
            </w:pPr>
          </w:p>
        </w:tc>
      </w:tr>
      <w:tr w:rsidR="00E732FA" w:rsidRPr="003C7CB1" w14:paraId="2E45F8BC" w14:textId="77777777" w:rsidTr="00E732FA">
        <w:trPr>
          <w:trHeight w:val="289"/>
        </w:trPr>
        <w:tc>
          <w:tcPr>
            <w:tcW w:w="1555" w:type="dxa"/>
            <w:tcBorders>
              <w:top w:val="nil"/>
              <w:left w:val="single" w:sz="8" w:space="0" w:color="auto"/>
              <w:bottom w:val="single" w:sz="8" w:space="0" w:color="auto"/>
              <w:right w:val="single" w:sz="8" w:space="0" w:color="auto"/>
            </w:tcBorders>
            <w:shd w:val="clear" w:color="000000" w:fill="D9D9D9"/>
            <w:noWrap/>
            <w:vAlign w:val="center"/>
            <w:hideMark/>
          </w:tcPr>
          <w:p w14:paraId="569B13F7" w14:textId="77777777" w:rsidR="00E732FA" w:rsidRPr="003C7CB1" w:rsidRDefault="00E732FA" w:rsidP="00E732FA">
            <w:pPr>
              <w:spacing w:after="0" w:line="240" w:lineRule="auto"/>
              <w:jc w:val="both"/>
              <w:rPr>
                <w:rFonts w:ascii="Calibri" w:eastAsia="Times New Roman" w:hAnsi="Calibri" w:cs="Calibri"/>
                <w:b/>
                <w:bCs/>
                <w:color w:val="000000"/>
              </w:rPr>
            </w:pPr>
            <w:r w:rsidRPr="003C7CB1">
              <w:rPr>
                <w:rFonts w:ascii="Calibri" w:eastAsia="Times New Roman" w:hAnsi="Calibri" w:cs="Calibri"/>
                <w:b/>
                <w:bCs/>
                <w:color w:val="000000"/>
              </w:rPr>
              <w:t xml:space="preserve">Tourists </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14:paraId="1659DDC0" w14:textId="77777777" w:rsidR="00E732FA" w:rsidRPr="003C7CB1" w:rsidRDefault="00E732FA" w:rsidP="00E732FA">
            <w:pPr>
              <w:spacing w:after="0" w:line="240" w:lineRule="auto"/>
              <w:jc w:val="right"/>
              <w:rPr>
                <w:rFonts w:ascii="Calibri" w:eastAsia="Times New Roman" w:hAnsi="Calibri" w:cs="Calibri"/>
                <w:b/>
                <w:bCs/>
                <w:color w:val="000000"/>
              </w:rPr>
            </w:pPr>
            <w:r w:rsidRPr="003C7CB1">
              <w:rPr>
                <w:rFonts w:ascii="Calibri" w:eastAsia="Times New Roman" w:hAnsi="Calibri" w:cs="Calibri"/>
                <w:color w:val="000000"/>
              </w:rPr>
              <w:t xml:space="preserve">2,645,217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109CBB43" w14:textId="77777777" w:rsidR="00E732FA" w:rsidRPr="003C7CB1" w:rsidRDefault="00E732FA" w:rsidP="00E732FA">
            <w:pPr>
              <w:spacing w:after="0" w:line="240" w:lineRule="auto"/>
              <w:jc w:val="right"/>
              <w:rPr>
                <w:rFonts w:ascii="Calibri" w:eastAsia="Times New Roman" w:hAnsi="Calibri" w:cs="Calibri"/>
                <w:b/>
                <w:bCs/>
                <w:color w:val="000000"/>
                <w:highlight w:val="yellow"/>
              </w:rPr>
            </w:pPr>
            <w:r w:rsidRPr="003C7CB1">
              <w:rPr>
                <w:rFonts w:ascii="Calibri" w:eastAsia="Times New Roman" w:hAnsi="Calibri" w:cs="Calibri"/>
                <w:color w:val="000000"/>
              </w:rPr>
              <w:t xml:space="preserve">444,065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67C8A8C4" w14:textId="77777777" w:rsidR="00E732FA" w:rsidRPr="003C7CB1" w:rsidRDefault="00E732FA" w:rsidP="00E732FA">
            <w:pPr>
              <w:spacing w:after="0" w:line="240" w:lineRule="auto"/>
              <w:jc w:val="right"/>
              <w:rPr>
                <w:rFonts w:ascii="Calibri" w:eastAsia="Times New Roman" w:hAnsi="Calibri" w:cs="Calibri"/>
                <w:b/>
                <w:bCs/>
                <w:color w:val="000000"/>
                <w:highlight w:val="yellow"/>
              </w:rPr>
            </w:pPr>
            <w:r w:rsidRPr="003C7CB1">
              <w:rPr>
                <w:rFonts w:ascii="Calibri" w:eastAsia="Times New Roman" w:hAnsi="Calibri" w:cs="Calibri"/>
                <w:color w:val="000000"/>
              </w:rPr>
              <w:t xml:space="preserve">1,670,879 </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17FF6696" w14:textId="77777777" w:rsidR="00E732FA" w:rsidRPr="003C7CB1" w:rsidRDefault="00E732FA" w:rsidP="00E732FA">
            <w:pPr>
              <w:spacing w:after="0" w:line="240" w:lineRule="auto"/>
              <w:jc w:val="right"/>
              <w:rPr>
                <w:rFonts w:ascii="Calibri" w:eastAsia="Times New Roman" w:hAnsi="Calibri" w:cs="Calibri"/>
                <w:b/>
                <w:bCs/>
                <w:color w:val="000000"/>
                <w:highlight w:val="yellow"/>
              </w:rPr>
            </w:pPr>
            <w:r w:rsidRPr="003C7CB1">
              <w:rPr>
                <w:rFonts w:ascii="Calibri" w:eastAsia="Times New Roman" w:hAnsi="Calibri" w:cs="Calibri"/>
                <w:color w:val="000000"/>
              </w:rPr>
              <w:t xml:space="preserve">376.27 </w:t>
            </w:r>
          </w:p>
        </w:tc>
        <w:tc>
          <w:tcPr>
            <w:tcW w:w="1366" w:type="dxa"/>
            <w:tcBorders>
              <w:top w:val="nil"/>
              <w:left w:val="nil"/>
              <w:bottom w:val="single" w:sz="4" w:space="0" w:color="auto"/>
              <w:right w:val="single" w:sz="4" w:space="0" w:color="auto"/>
            </w:tcBorders>
            <w:shd w:val="clear" w:color="auto" w:fill="D9D9D9" w:themeFill="background1" w:themeFillShade="D9"/>
            <w:noWrap/>
            <w:vAlign w:val="bottom"/>
            <w:hideMark/>
          </w:tcPr>
          <w:p w14:paraId="3C0F33E0" w14:textId="77777777" w:rsidR="00E732FA" w:rsidRPr="003C7CB1" w:rsidRDefault="00E732FA" w:rsidP="00E732FA">
            <w:pPr>
              <w:spacing w:after="0" w:line="240" w:lineRule="auto"/>
              <w:jc w:val="right"/>
              <w:rPr>
                <w:rFonts w:ascii="Calibri" w:eastAsia="Times New Roman" w:hAnsi="Calibri" w:cs="Calibri"/>
                <w:b/>
                <w:bCs/>
                <w:color w:val="000000"/>
              </w:rPr>
            </w:pPr>
            <w:r w:rsidRPr="003C7CB1">
              <w:rPr>
                <w:rFonts w:ascii="Calibri" w:eastAsia="Times New Roman" w:hAnsi="Calibri" w:cs="Calibri"/>
                <w:color w:val="000000"/>
              </w:rPr>
              <w:t>63.17</w:t>
            </w:r>
          </w:p>
        </w:tc>
      </w:tr>
      <w:tr w:rsidR="00E732FA" w:rsidRPr="003C7CB1" w14:paraId="283FC93B" w14:textId="77777777" w:rsidTr="00E732FA">
        <w:trPr>
          <w:trHeight w:val="289"/>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4D640E67" w14:textId="77777777" w:rsidR="00E732FA" w:rsidRPr="003C7CB1" w:rsidRDefault="00E732FA" w:rsidP="00E732FA">
            <w:pPr>
              <w:spacing w:after="0" w:line="240" w:lineRule="auto"/>
              <w:jc w:val="both"/>
              <w:rPr>
                <w:rFonts w:ascii="Calibri" w:eastAsia="Times New Roman" w:hAnsi="Calibri" w:cs="Calibri"/>
                <w:color w:val="000000"/>
              </w:rPr>
            </w:pPr>
            <w:r w:rsidRPr="003C7CB1">
              <w:rPr>
                <w:rFonts w:ascii="Calibri" w:eastAsia="Times New Roman" w:hAnsi="Calibri" w:cs="Calibri"/>
                <w:color w:val="000000"/>
              </w:rPr>
              <w:t xml:space="preserve">Domestic </w:t>
            </w:r>
          </w:p>
        </w:tc>
        <w:tc>
          <w:tcPr>
            <w:tcW w:w="1701" w:type="dxa"/>
            <w:tcBorders>
              <w:top w:val="nil"/>
              <w:left w:val="nil"/>
              <w:bottom w:val="single" w:sz="4" w:space="0" w:color="auto"/>
              <w:right w:val="single" w:sz="4" w:space="0" w:color="auto"/>
            </w:tcBorders>
            <w:shd w:val="clear" w:color="auto" w:fill="auto"/>
            <w:noWrap/>
            <w:vAlign w:val="bottom"/>
            <w:hideMark/>
          </w:tcPr>
          <w:p w14:paraId="1289518C" w14:textId="77777777" w:rsidR="00E732FA" w:rsidRPr="003C7CB1" w:rsidRDefault="00E732FA" w:rsidP="00E732FA">
            <w:pPr>
              <w:spacing w:after="0" w:line="240" w:lineRule="auto"/>
              <w:jc w:val="right"/>
              <w:rPr>
                <w:rFonts w:ascii="Calibri" w:eastAsia="Times New Roman" w:hAnsi="Calibri" w:cs="Calibri"/>
                <w:color w:val="000000"/>
              </w:rPr>
            </w:pPr>
            <w:r w:rsidRPr="003C7CB1">
              <w:rPr>
                <w:rFonts w:ascii="Calibri" w:eastAsia="Times New Roman" w:hAnsi="Calibri" w:cs="Calibri"/>
                <w:color w:val="000000"/>
              </w:rPr>
              <w:t xml:space="preserve">135,592 </w:t>
            </w:r>
          </w:p>
        </w:tc>
        <w:tc>
          <w:tcPr>
            <w:tcW w:w="1559" w:type="dxa"/>
            <w:tcBorders>
              <w:top w:val="nil"/>
              <w:left w:val="nil"/>
              <w:bottom w:val="single" w:sz="4" w:space="0" w:color="auto"/>
              <w:right w:val="single" w:sz="4" w:space="0" w:color="auto"/>
            </w:tcBorders>
            <w:shd w:val="clear" w:color="auto" w:fill="auto"/>
            <w:noWrap/>
            <w:vAlign w:val="bottom"/>
            <w:hideMark/>
          </w:tcPr>
          <w:p w14:paraId="390A3051"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93,270 </w:t>
            </w:r>
          </w:p>
        </w:tc>
        <w:tc>
          <w:tcPr>
            <w:tcW w:w="1559" w:type="dxa"/>
            <w:tcBorders>
              <w:top w:val="nil"/>
              <w:left w:val="nil"/>
              <w:bottom w:val="single" w:sz="4" w:space="0" w:color="auto"/>
              <w:right w:val="single" w:sz="4" w:space="0" w:color="auto"/>
            </w:tcBorders>
            <w:shd w:val="clear" w:color="auto" w:fill="auto"/>
            <w:noWrap/>
            <w:vAlign w:val="bottom"/>
            <w:hideMark/>
          </w:tcPr>
          <w:p w14:paraId="56EC5FB4"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117,321 </w:t>
            </w:r>
          </w:p>
        </w:tc>
        <w:tc>
          <w:tcPr>
            <w:tcW w:w="1276" w:type="dxa"/>
            <w:tcBorders>
              <w:top w:val="nil"/>
              <w:left w:val="nil"/>
              <w:bottom w:val="single" w:sz="4" w:space="0" w:color="auto"/>
              <w:right w:val="single" w:sz="4" w:space="0" w:color="auto"/>
            </w:tcBorders>
            <w:shd w:val="clear" w:color="auto" w:fill="auto"/>
            <w:noWrap/>
            <w:vAlign w:val="bottom"/>
            <w:hideMark/>
          </w:tcPr>
          <w:p w14:paraId="452052C8"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125.79 </w:t>
            </w:r>
          </w:p>
        </w:tc>
        <w:tc>
          <w:tcPr>
            <w:tcW w:w="1366" w:type="dxa"/>
            <w:tcBorders>
              <w:top w:val="nil"/>
              <w:left w:val="nil"/>
              <w:bottom w:val="single" w:sz="4" w:space="0" w:color="auto"/>
              <w:right w:val="single" w:sz="4" w:space="0" w:color="auto"/>
            </w:tcBorders>
            <w:shd w:val="clear" w:color="auto" w:fill="auto"/>
            <w:noWrap/>
            <w:vAlign w:val="bottom"/>
            <w:hideMark/>
          </w:tcPr>
          <w:p w14:paraId="0414AD0F" w14:textId="77777777" w:rsidR="00E732FA" w:rsidRPr="003C7CB1" w:rsidRDefault="00E732FA" w:rsidP="00E732FA">
            <w:pPr>
              <w:spacing w:after="0" w:line="240" w:lineRule="auto"/>
              <w:jc w:val="right"/>
              <w:rPr>
                <w:rFonts w:ascii="Calibri" w:eastAsia="Times New Roman" w:hAnsi="Calibri" w:cs="Calibri"/>
                <w:color w:val="000000"/>
              </w:rPr>
            </w:pPr>
            <w:r w:rsidRPr="003C7CB1">
              <w:rPr>
                <w:rFonts w:ascii="Calibri" w:eastAsia="Times New Roman" w:hAnsi="Calibri" w:cs="Calibri"/>
                <w:color w:val="000000"/>
              </w:rPr>
              <w:t>86.53</w:t>
            </w:r>
          </w:p>
        </w:tc>
      </w:tr>
      <w:tr w:rsidR="00E732FA" w:rsidRPr="003C7CB1" w14:paraId="3465B99E" w14:textId="77777777" w:rsidTr="00E732FA">
        <w:trPr>
          <w:trHeight w:val="289"/>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3217996D" w14:textId="77777777" w:rsidR="00E732FA" w:rsidRPr="003C7CB1" w:rsidRDefault="00E732FA" w:rsidP="00E732FA">
            <w:pPr>
              <w:spacing w:after="0" w:line="240" w:lineRule="auto"/>
              <w:jc w:val="both"/>
              <w:rPr>
                <w:rFonts w:ascii="Calibri" w:eastAsia="Times New Roman" w:hAnsi="Calibri" w:cs="Calibri"/>
                <w:color w:val="000000"/>
              </w:rPr>
            </w:pPr>
            <w:r w:rsidRPr="003C7CB1">
              <w:rPr>
                <w:rFonts w:ascii="Calibri" w:eastAsia="Times New Roman" w:hAnsi="Calibri" w:cs="Calibri"/>
                <w:color w:val="000000"/>
              </w:rPr>
              <w:t xml:space="preserve">Foreign </w:t>
            </w:r>
          </w:p>
        </w:tc>
        <w:tc>
          <w:tcPr>
            <w:tcW w:w="1701" w:type="dxa"/>
            <w:tcBorders>
              <w:top w:val="nil"/>
              <w:left w:val="nil"/>
              <w:bottom w:val="single" w:sz="4" w:space="0" w:color="auto"/>
              <w:right w:val="single" w:sz="4" w:space="0" w:color="auto"/>
            </w:tcBorders>
            <w:shd w:val="clear" w:color="auto" w:fill="auto"/>
            <w:noWrap/>
            <w:vAlign w:val="bottom"/>
            <w:hideMark/>
          </w:tcPr>
          <w:p w14:paraId="4E65BEE4" w14:textId="77777777" w:rsidR="00E732FA" w:rsidRPr="003C7CB1" w:rsidRDefault="00E732FA" w:rsidP="00E732FA">
            <w:pPr>
              <w:spacing w:after="0" w:line="240" w:lineRule="auto"/>
              <w:jc w:val="right"/>
              <w:rPr>
                <w:rFonts w:ascii="Calibri" w:eastAsia="Times New Roman" w:hAnsi="Calibri" w:cs="Calibri"/>
                <w:color w:val="000000"/>
              </w:rPr>
            </w:pPr>
            <w:r w:rsidRPr="003C7CB1">
              <w:rPr>
                <w:rFonts w:ascii="Calibri" w:eastAsia="Times New Roman" w:hAnsi="Calibri" w:cs="Calibri"/>
                <w:color w:val="000000"/>
              </w:rPr>
              <w:t xml:space="preserve">2,509,625 </w:t>
            </w:r>
          </w:p>
        </w:tc>
        <w:tc>
          <w:tcPr>
            <w:tcW w:w="1559" w:type="dxa"/>
            <w:tcBorders>
              <w:top w:val="nil"/>
              <w:left w:val="nil"/>
              <w:bottom w:val="single" w:sz="4" w:space="0" w:color="auto"/>
              <w:right w:val="single" w:sz="4" w:space="0" w:color="auto"/>
            </w:tcBorders>
            <w:shd w:val="clear" w:color="auto" w:fill="auto"/>
            <w:noWrap/>
            <w:vAlign w:val="bottom"/>
            <w:hideMark/>
          </w:tcPr>
          <w:p w14:paraId="305917EE"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350,795 </w:t>
            </w:r>
          </w:p>
        </w:tc>
        <w:tc>
          <w:tcPr>
            <w:tcW w:w="1559" w:type="dxa"/>
            <w:tcBorders>
              <w:top w:val="nil"/>
              <w:left w:val="nil"/>
              <w:bottom w:val="single" w:sz="4" w:space="0" w:color="auto"/>
              <w:right w:val="single" w:sz="4" w:space="0" w:color="auto"/>
            </w:tcBorders>
            <w:shd w:val="clear" w:color="auto" w:fill="auto"/>
            <w:noWrap/>
            <w:vAlign w:val="bottom"/>
            <w:hideMark/>
          </w:tcPr>
          <w:p w14:paraId="64F7DCE6"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1,553,558 </w:t>
            </w:r>
          </w:p>
        </w:tc>
        <w:tc>
          <w:tcPr>
            <w:tcW w:w="1276" w:type="dxa"/>
            <w:tcBorders>
              <w:top w:val="nil"/>
              <w:left w:val="nil"/>
              <w:bottom w:val="single" w:sz="4" w:space="0" w:color="auto"/>
              <w:right w:val="single" w:sz="4" w:space="0" w:color="auto"/>
            </w:tcBorders>
            <w:shd w:val="clear" w:color="auto" w:fill="auto"/>
            <w:noWrap/>
            <w:vAlign w:val="bottom"/>
            <w:hideMark/>
          </w:tcPr>
          <w:p w14:paraId="13E262C9"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442.87 </w:t>
            </w:r>
          </w:p>
        </w:tc>
        <w:tc>
          <w:tcPr>
            <w:tcW w:w="1366" w:type="dxa"/>
            <w:tcBorders>
              <w:top w:val="nil"/>
              <w:left w:val="nil"/>
              <w:bottom w:val="single" w:sz="4" w:space="0" w:color="auto"/>
              <w:right w:val="single" w:sz="4" w:space="0" w:color="auto"/>
            </w:tcBorders>
            <w:shd w:val="clear" w:color="auto" w:fill="auto"/>
            <w:noWrap/>
            <w:vAlign w:val="bottom"/>
            <w:hideMark/>
          </w:tcPr>
          <w:p w14:paraId="6EF47CD4" w14:textId="77777777" w:rsidR="00E732FA" w:rsidRPr="003C7CB1" w:rsidRDefault="00E732FA" w:rsidP="00E732FA">
            <w:pPr>
              <w:spacing w:after="0" w:line="240" w:lineRule="auto"/>
              <w:jc w:val="right"/>
              <w:rPr>
                <w:rFonts w:ascii="Calibri" w:eastAsia="Times New Roman" w:hAnsi="Calibri" w:cs="Calibri"/>
                <w:color w:val="000000"/>
              </w:rPr>
            </w:pPr>
            <w:r w:rsidRPr="003C7CB1">
              <w:rPr>
                <w:rFonts w:ascii="Calibri" w:eastAsia="Times New Roman" w:hAnsi="Calibri" w:cs="Calibri"/>
                <w:color w:val="000000"/>
              </w:rPr>
              <w:t>61.90</w:t>
            </w:r>
          </w:p>
        </w:tc>
      </w:tr>
      <w:tr w:rsidR="00E732FA" w:rsidRPr="003C7CB1" w14:paraId="4990D85F" w14:textId="77777777" w:rsidTr="00E732FA">
        <w:trPr>
          <w:trHeight w:val="306"/>
        </w:trPr>
        <w:tc>
          <w:tcPr>
            <w:tcW w:w="1555" w:type="dxa"/>
            <w:tcBorders>
              <w:top w:val="nil"/>
              <w:left w:val="single" w:sz="8" w:space="0" w:color="auto"/>
              <w:bottom w:val="single" w:sz="8" w:space="0" w:color="auto"/>
              <w:right w:val="single" w:sz="8" w:space="0" w:color="auto"/>
            </w:tcBorders>
            <w:shd w:val="clear" w:color="000000" w:fill="D9D9D9"/>
            <w:noWrap/>
            <w:vAlign w:val="center"/>
            <w:hideMark/>
          </w:tcPr>
          <w:p w14:paraId="3D8EABC1" w14:textId="77777777" w:rsidR="00E732FA" w:rsidRPr="003C7CB1" w:rsidRDefault="00E732FA" w:rsidP="00E732FA">
            <w:pPr>
              <w:spacing w:after="0" w:line="240" w:lineRule="auto"/>
              <w:jc w:val="both"/>
              <w:rPr>
                <w:rFonts w:ascii="Calibri" w:eastAsia="Times New Roman" w:hAnsi="Calibri" w:cs="Calibri"/>
                <w:b/>
                <w:bCs/>
                <w:color w:val="000000"/>
              </w:rPr>
            </w:pPr>
            <w:r w:rsidRPr="003C7CB1">
              <w:rPr>
                <w:rFonts w:ascii="Calibri" w:eastAsia="Times New Roman" w:hAnsi="Calibri" w:cs="Calibri"/>
                <w:b/>
                <w:bCs/>
                <w:color w:val="000000"/>
              </w:rPr>
              <w:t xml:space="preserve">Overnight stays </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14:paraId="255FDE49" w14:textId="77777777" w:rsidR="00E732FA" w:rsidRPr="003C7CB1" w:rsidRDefault="00E732FA" w:rsidP="00E732FA">
            <w:pPr>
              <w:spacing w:after="0" w:line="240" w:lineRule="auto"/>
              <w:jc w:val="right"/>
              <w:rPr>
                <w:rFonts w:ascii="Calibri" w:eastAsia="Times New Roman" w:hAnsi="Calibri" w:cs="Calibri"/>
                <w:b/>
                <w:bCs/>
                <w:color w:val="000000"/>
              </w:rPr>
            </w:pPr>
            <w:r w:rsidRPr="003C7CB1">
              <w:rPr>
                <w:rFonts w:ascii="Calibri" w:eastAsia="Times New Roman" w:hAnsi="Calibri" w:cs="Calibri"/>
                <w:color w:val="000000"/>
              </w:rPr>
              <w:t xml:space="preserve">14,455,920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69DF61D2" w14:textId="77777777" w:rsidR="00E732FA" w:rsidRPr="003C7CB1" w:rsidRDefault="00E732FA" w:rsidP="00E732FA">
            <w:pPr>
              <w:spacing w:after="0" w:line="240" w:lineRule="auto"/>
              <w:jc w:val="right"/>
              <w:rPr>
                <w:rFonts w:ascii="Calibri" w:eastAsia="Times New Roman" w:hAnsi="Calibri" w:cs="Calibri"/>
                <w:b/>
                <w:bCs/>
                <w:color w:val="000000"/>
                <w:highlight w:val="yellow"/>
              </w:rPr>
            </w:pPr>
            <w:r w:rsidRPr="003C7CB1">
              <w:rPr>
                <w:rFonts w:ascii="Calibri" w:eastAsia="Times New Roman" w:hAnsi="Calibri" w:cs="Calibri"/>
                <w:color w:val="000000"/>
              </w:rPr>
              <w:t xml:space="preserve">2,587,255 </w:t>
            </w:r>
          </w:p>
        </w:tc>
        <w:tc>
          <w:tcPr>
            <w:tcW w:w="1559" w:type="dxa"/>
            <w:tcBorders>
              <w:top w:val="nil"/>
              <w:left w:val="nil"/>
              <w:bottom w:val="single" w:sz="4" w:space="0" w:color="auto"/>
              <w:right w:val="single" w:sz="4" w:space="0" w:color="auto"/>
            </w:tcBorders>
            <w:shd w:val="clear" w:color="auto" w:fill="D9D9D9" w:themeFill="background1" w:themeFillShade="D9"/>
            <w:noWrap/>
            <w:vAlign w:val="bottom"/>
            <w:hideMark/>
          </w:tcPr>
          <w:p w14:paraId="39B8A42F" w14:textId="77777777" w:rsidR="00E732FA" w:rsidRPr="003C7CB1" w:rsidRDefault="00E732FA" w:rsidP="00E732FA">
            <w:pPr>
              <w:spacing w:after="0" w:line="240" w:lineRule="auto"/>
              <w:jc w:val="right"/>
              <w:rPr>
                <w:rFonts w:ascii="Calibri" w:eastAsia="Times New Roman" w:hAnsi="Calibri" w:cs="Calibri"/>
                <w:b/>
                <w:bCs/>
                <w:color w:val="000000"/>
                <w:highlight w:val="yellow"/>
              </w:rPr>
            </w:pPr>
            <w:r w:rsidRPr="003C7CB1">
              <w:rPr>
                <w:rFonts w:ascii="Calibri" w:eastAsia="Times New Roman" w:hAnsi="Calibri" w:cs="Calibri"/>
                <w:color w:val="000000"/>
              </w:rPr>
              <w:t xml:space="preserve">9,872,573 </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7B7F7251" w14:textId="77777777" w:rsidR="00E732FA" w:rsidRPr="003C7CB1" w:rsidRDefault="00E732FA" w:rsidP="00E732FA">
            <w:pPr>
              <w:spacing w:after="0" w:line="240" w:lineRule="auto"/>
              <w:jc w:val="right"/>
              <w:rPr>
                <w:rFonts w:ascii="Calibri" w:eastAsia="Times New Roman" w:hAnsi="Calibri" w:cs="Calibri"/>
                <w:b/>
                <w:bCs/>
                <w:color w:val="000000"/>
                <w:highlight w:val="yellow"/>
              </w:rPr>
            </w:pPr>
            <w:r w:rsidRPr="003C7CB1">
              <w:rPr>
                <w:rFonts w:ascii="Calibri" w:eastAsia="Times New Roman" w:hAnsi="Calibri" w:cs="Calibri"/>
                <w:color w:val="000000"/>
              </w:rPr>
              <w:t xml:space="preserve">381.58 </w:t>
            </w:r>
          </w:p>
        </w:tc>
        <w:tc>
          <w:tcPr>
            <w:tcW w:w="1366" w:type="dxa"/>
            <w:tcBorders>
              <w:top w:val="nil"/>
              <w:left w:val="nil"/>
              <w:bottom w:val="single" w:sz="4" w:space="0" w:color="auto"/>
              <w:right w:val="single" w:sz="4" w:space="0" w:color="auto"/>
            </w:tcBorders>
            <w:shd w:val="clear" w:color="auto" w:fill="D9D9D9" w:themeFill="background1" w:themeFillShade="D9"/>
            <w:noWrap/>
            <w:vAlign w:val="bottom"/>
            <w:hideMark/>
          </w:tcPr>
          <w:p w14:paraId="6351860F" w14:textId="77777777" w:rsidR="00E732FA" w:rsidRPr="003C7CB1" w:rsidRDefault="00E732FA" w:rsidP="00E732FA">
            <w:pPr>
              <w:spacing w:after="0" w:line="240" w:lineRule="auto"/>
              <w:jc w:val="right"/>
              <w:rPr>
                <w:rFonts w:ascii="Calibri" w:eastAsia="Times New Roman" w:hAnsi="Calibri" w:cs="Calibri"/>
                <w:b/>
                <w:bCs/>
                <w:color w:val="000000"/>
              </w:rPr>
            </w:pPr>
            <w:r w:rsidRPr="003C7CB1">
              <w:rPr>
                <w:rFonts w:ascii="Calibri" w:eastAsia="Times New Roman" w:hAnsi="Calibri" w:cs="Calibri"/>
                <w:color w:val="000000"/>
              </w:rPr>
              <w:t>68.29</w:t>
            </w:r>
          </w:p>
        </w:tc>
      </w:tr>
      <w:tr w:rsidR="00E732FA" w:rsidRPr="003C7CB1" w14:paraId="69465EF1" w14:textId="77777777" w:rsidTr="00E732FA">
        <w:trPr>
          <w:trHeight w:val="289"/>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54C99611" w14:textId="77777777" w:rsidR="00E732FA" w:rsidRPr="003C7CB1" w:rsidRDefault="00E732FA" w:rsidP="00E732FA">
            <w:pPr>
              <w:spacing w:after="0" w:line="240" w:lineRule="auto"/>
              <w:jc w:val="both"/>
              <w:rPr>
                <w:rFonts w:ascii="Calibri" w:eastAsia="Times New Roman" w:hAnsi="Calibri" w:cs="Calibri"/>
                <w:color w:val="000000"/>
              </w:rPr>
            </w:pPr>
            <w:r w:rsidRPr="003C7CB1">
              <w:rPr>
                <w:rFonts w:ascii="Calibri" w:eastAsia="Times New Roman" w:hAnsi="Calibri" w:cs="Calibri"/>
                <w:color w:val="000000"/>
              </w:rPr>
              <w:t xml:space="preserve">Domestic </w:t>
            </w:r>
          </w:p>
        </w:tc>
        <w:tc>
          <w:tcPr>
            <w:tcW w:w="1701" w:type="dxa"/>
            <w:tcBorders>
              <w:top w:val="nil"/>
              <w:left w:val="nil"/>
              <w:bottom w:val="single" w:sz="4" w:space="0" w:color="auto"/>
              <w:right w:val="single" w:sz="4" w:space="0" w:color="auto"/>
            </w:tcBorders>
            <w:shd w:val="clear" w:color="auto" w:fill="auto"/>
            <w:noWrap/>
            <w:vAlign w:val="bottom"/>
            <w:hideMark/>
          </w:tcPr>
          <w:p w14:paraId="548EF70C" w14:textId="77777777" w:rsidR="00E732FA" w:rsidRPr="003C7CB1" w:rsidRDefault="00E732FA" w:rsidP="00E732FA">
            <w:pPr>
              <w:spacing w:after="0" w:line="240" w:lineRule="auto"/>
              <w:jc w:val="right"/>
              <w:rPr>
                <w:rFonts w:ascii="Calibri" w:eastAsia="Times New Roman" w:hAnsi="Calibri" w:cs="Calibri"/>
                <w:color w:val="000000"/>
              </w:rPr>
            </w:pPr>
            <w:r w:rsidRPr="003C7CB1">
              <w:rPr>
                <w:rFonts w:ascii="Calibri" w:eastAsia="Times New Roman" w:hAnsi="Calibri" w:cs="Calibri"/>
                <w:color w:val="000000"/>
              </w:rPr>
              <w:t xml:space="preserve">522,382 </w:t>
            </w:r>
          </w:p>
        </w:tc>
        <w:tc>
          <w:tcPr>
            <w:tcW w:w="1559" w:type="dxa"/>
            <w:tcBorders>
              <w:top w:val="nil"/>
              <w:left w:val="nil"/>
              <w:bottom w:val="single" w:sz="4" w:space="0" w:color="auto"/>
              <w:right w:val="single" w:sz="4" w:space="0" w:color="auto"/>
            </w:tcBorders>
            <w:shd w:val="clear" w:color="auto" w:fill="auto"/>
            <w:noWrap/>
            <w:vAlign w:val="bottom"/>
            <w:hideMark/>
          </w:tcPr>
          <w:p w14:paraId="0BA85E48"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360,729 </w:t>
            </w:r>
          </w:p>
        </w:tc>
        <w:tc>
          <w:tcPr>
            <w:tcW w:w="1559" w:type="dxa"/>
            <w:tcBorders>
              <w:top w:val="nil"/>
              <w:left w:val="nil"/>
              <w:bottom w:val="single" w:sz="4" w:space="0" w:color="auto"/>
              <w:right w:val="single" w:sz="4" w:space="0" w:color="auto"/>
            </w:tcBorders>
            <w:shd w:val="clear" w:color="auto" w:fill="auto"/>
            <w:noWrap/>
            <w:vAlign w:val="bottom"/>
            <w:hideMark/>
          </w:tcPr>
          <w:p w14:paraId="5535983E"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448,770 </w:t>
            </w:r>
          </w:p>
        </w:tc>
        <w:tc>
          <w:tcPr>
            <w:tcW w:w="1276" w:type="dxa"/>
            <w:tcBorders>
              <w:top w:val="nil"/>
              <w:left w:val="nil"/>
              <w:bottom w:val="single" w:sz="4" w:space="0" w:color="auto"/>
              <w:right w:val="single" w:sz="4" w:space="0" w:color="auto"/>
            </w:tcBorders>
            <w:shd w:val="clear" w:color="auto" w:fill="auto"/>
            <w:noWrap/>
            <w:vAlign w:val="bottom"/>
            <w:hideMark/>
          </w:tcPr>
          <w:p w14:paraId="041E632F"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124.41 </w:t>
            </w:r>
          </w:p>
        </w:tc>
        <w:tc>
          <w:tcPr>
            <w:tcW w:w="1366" w:type="dxa"/>
            <w:tcBorders>
              <w:top w:val="nil"/>
              <w:left w:val="nil"/>
              <w:bottom w:val="single" w:sz="4" w:space="0" w:color="auto"/>
              <w:right w:val="single" w:sz="4" w:space="0" w:color="auto"/>
            </w:tcBorders>
            <w:shd w:val="clear" w:color="auto" w:fill="auto"/>
            <w:noWrap/>
            <w:vAlign w:val="bottom"/>
            <w:hideMark/>
          </w:tcPr>
          <w:p w14:paraId="1CCFC1B1"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85.91</w:t>
            </w:r>
          </w:p>
        </w:tc>
      </w:tr>
      <w:tr w:rsidR="00E732FA" w:rsidRPr="003C7CB1" w14:paraId="08E1D388" w14:textId="77777777" w:rsidTr="00E732FA">
        <w:trPr>
          <w:trHeight w:val="289"/>
        </w:trPr>
        <w:tc>
          <w:tcPr>
            <w:tcW w:w="1555" w:type="dxa"/>
            <w:tcBorders>
              <w:top w:val="nil"/>
              <w:left w:val="single" w:sz="8" w:space="0" w:color="auto"/>
              <w:bottom w:val="single" w:sz="8" w:space="0" w:color="auto"/>
              <w:right w:val="single" w:sz="8" w:space="0" w:color="auto"/>
            </w:tcBorders>
            <w:shd w:val="clear" w:color="auto" w:fill="auto"/>
            <w:noWrap/>
            <w:vAlign w:val="center"/>
            <w:hideMark/>
          </w:tcPr>
          <w:p w14:paraId="4BB533DE" w14:textId="77777777" w:rsidR="00E732FA" w:rsidRPr="003C7CB1" w:rsidRDefault="00E732FA" w:rsidP="00E732FA">
            <w:pPr>
              <w:spacing w:after="0" w:line="240" w:lineRule="auto"/>
              <w:jc w:val="both"/>
              <w:rPr>
                <w:rFonts w:ascii="Calibri" w:eastAsia="Times New Roman" w:hAnsi="Calibri" w:cs="Calibri"/>
                <w:color w:val="000000"/>
              </w:rPr>
            </w:pPr>
            <w:r w:rsidRPr="003C7CB1">
              <w:rPr>
                <w:rFonts w:ascii="Calibri" w:eastAsia="Times New Roman" w:hAnsi="Calibri" w:cs="Calibri"/>
                <w:color w:val="000000"/>
              </w:rPr>
              <w:t xml:space="preserve">Foreign </w:t>
            </w:r>
          </w:p>
        </w:tc>
        <w:tc>
          <w:tcPr>
            <w:tcW w:w="1701" w:type="dxa"/>
            <w:tcBorders>
              <w:top w:val="nil"/>
              <w:left w:val="nil"/>
              <w:bottom w:val="single" w:sz="4" w:space="0" w:color="auto"/>
              <w:right w:val="single" w:sz="4" w:space="0" w:color="auto"/>
            </w:tcBorders>
            <w:shd w:val="clear" w:color="auto" w:fill="auto"/>
            <w:noWrap/>
            <w:vAlign w:val="bottom"/>
            <w:hideMark/>
          </w:tcPr>
          <w:p w14:paraId="0193B035" w14:textId="77777777" w:rsidR="00E732FA" w:rsidRPr="003C7CB1" w:rsidRDefault="00E732FA" w:rsidP="00E732FA">
            <w:pPr>
              <w:spacing w:after="0" w:line="240" w:lineRule="auto"/>
              <w:jc w:val="right"/>
              <w:rPr>
                <w:rFonts w:ascii="Calibri" w:eastAsia="Times New Roman" w:hAnsi="Calibri" w:cs="Calibri"/>
                <w:color w:val="000000"/>
              </w:rPr>
            </w:pPr>
            <w:r w:rsidRPr="003C7CB1">
              <w:rPr>
                <w:rFonts w:ascii="Calibri" w:eastAsia="Times New Roman" w:hAnsi="Calibri" w:cs="Calibri"/>
                <w:color w:val="000000"/>
              </w:rPr>
              <w:t xml:space="preserve">13,933,538 </w:t>
            </w:r>
          </w:p>
        </w:tc>
        <w:tc>
          <w:tcPr>
            <w:tcW w:w="1559" w:type="dxa"/>
            <w:tcBorders>
              <w:top w:val="nil"/>
              <w:left w:val="nil"/>
              <w:bottom w:val="single" w:sz="4" w:space="0" w:color="auto"/>
              <w:right w:val="single" w:sz="4" w:space="0" w:color="auto"/>
            </w:tcBorders>
            <w:shd w:val="clear" w:color="auto" w:fill="auto"/>
            <w:noWrap/>
            <w:vAlign w:val="bottom"/>
            <w:hideMark/>
          </w:tcPr>
          <w:p w14:paraId="19DB8B97"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2,226,526 </w:t>
            </w:r>
          </w:p>
        </w:tc>
        <w:tc>
          <w:tcPr>
            <w:tcW w:w="1559" w:type="dxa"/>
            <w:tcBorders>
              <w:top w:val="nil"/>
              <w:left w:val="nil"/>
              <w:bottom w:val="single" w:sz="4" w:space="0" w:color="auto"/>
              <w:right w:val="single" w:sz="4" w:space="0" w:color="auto"/>
            </w:tcBorders>
            <w:shd w:val="clear" w:color="auto" w:fill="auto"/>
            <w:noWrap/>
            <w:vAlign w:val="bottom"/>
            <w:hideMark/>
          </w:tcPr>
          <w:p w14:paraId="1686EB63"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9,423,803 </w:t>
            </w:r>
          </w:p>
        </w:tc>
        <w:tc>
          <w:tcPr>
            <w:tcW w:w="1276" w:type="dxa"/>
            <w:tcBorders>
              <w:top w:val="nil"/>
              <w:left w:val="nil"/>
              <w:bottom w:val="single" w:sz="4" w:space="0" w:color="auto"/>
              <w:right w:val="single" w:sz="4" w:space="0" w:color="auto"/>
            </w:tcBorders>
            <w:shd w:val="clear" w:color="auto" w:fill="auto"/>
            <w:noWrap/>
            <w:vAlign w:val="bottom"/>
            <w:hideMark/>
          </w:tcPr>
          <w:p w14:paraId="5100F78A"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 xml:space="preserve">423.25 </w:t>
            </w:r>
          </w:p>
        </w:tc>
        <w:tc>
          <w:tcPr>
            <w:tcW w:w="1366" w:type="dxa"/>
            <w:tcBorders>
              <w:top w:val="nil"/>
              <w:left w:val="nil"/>
              <w:bottom w:val="single" w:sz="4" w:space="0" w:color="auto"/>
              <w:right w:val="single" w:sz="4" w:space="0" w:color="auto"/>
            </w:tcBorders>
            <w:shd w:val="clear" w:color="auto" w:fill="auto"/>
            <w:noWrap/>
            <w:vAlign w:val="bottom"/>
            <w:hideMark/>
          </w:tcPr>
          <w:p w14:paraId="2D253EAA" w14:textId="77777777" w:rsidR="00E732FA" w:rsidRPr="003C7CB1" w:rsidRDefault="00E732FA" w:rsidP="00E732FA">
            <w:pPr>
              <w:spacing w:after="0" w:line="240" w:lineRule="auto"/>
              <w:jc w:val="right"/>
              <w:rPr>
                <w:rFonts w:ascii="Calibri" w:eastAsia="Times New Roman" w:hAnsi="Calibri" w:cs="Calibri"/>
                <w:color w:val="000000"/>
                <w:highlight w:val="yellow"/>
              </w:rPr>
            </w:pPr>
            <w:r w:rsidRPr="003C7CB1">
              <w:rPr>
                <w:rFonts w:ascii="Calibri" w:eastAsia="Times New Roman" w:hAnsi="Calibri" w:cs="Calibri"/>
                <w:color w:val="000000"/>
              </w:rPr>
              <w:t>67.63</w:t>
            </w:r>
          </w:p>
        </w:tc>
      </w:tr>
    </w:tbl>
    <w:p w14:paraId="5A7CBEBA" w14:textId="77777777" w:rsidR="00E732FA" w:rsidRPr="003C7CB1" w:rsidRDefault="00E732FA" w:rsidP="00E732FA">
      <w:pPr>
        <w:spacing w:after="120" w:line="240" w:lineRule="auto"/>
        <w:jc w:val="both"/>
        <w:rPr>
          <w:rFonts w:eastAsia="Calibri" w:cs="Arial"/>
          <w:bCs/>
          <w:i/>
        </w:rPr>
      </w:pPr>
      <w:r w:rsidRPr="003C7CB1">
        <w:rPr>
          <w:rFonts w:eastAsia="Calibri" w:cs="Arial"/>
          <w:bCs/>
          <w:i/>
        </w:rPr>
        <w:t xml:space="preserve">Source: MONSTAT </w:t>
      </w:r>
    </w:p>
    <w:bookmarkEnd w:id="97"/>
    <w:p w14:paraId="7EADD9DB" w14:textId="77777777" w:rsidR="00E732FA" w:rsidRPr="003C7CB1" w:rsidRDefault="00E732FA" w:rsidP="00E732FA">
      <w:pPr>
        <w:spacing w:after="120" w:line="240" w:lineRule="auto"/>
        <w:jc w:val="both"/>
        <w:rPr>
          <w:sz w:val="24"/>
          <w:szCs w:val="24"/>
        </w:rPr>
      </w:pPr>
    </w:p>
    <w:p w14:paraId="6E8BA329" w14:textId="4D125AAF" w:rsidR="00E732FA" w:rsidRPr="003C7CB1" w:rsidRDefault="00E732FA" w:rsidP="00E732FA">
      <w:pPr>
        <w:spacing w:after="120" w:line="240" w:lineRule="auto"/>
        <w:jc w:val="both"/>
        <w:rPr>
          <w:sz w:val="24"/>
          <w:szCs w:val="24"/>
        </w:rPr>
      </w:pPr>
      <w:r w:rsidRPr="003C7CB1">
        <w:rPr>
          <w:sz w:val="24"/>
          <w:szCs w:val="24"/>
        </w:rPr>
        <w:t>In the structure of overnight stays of foreign tourists, in 2021, tourists from Serbia (32.6%), Bosnia and Herzegovina (12.9%), the Russian Fede</w:t>
      </w:r>
      <w:r w:rsidR="003C7CB1">
        <w:rPr>
          <w:sz w:val="24"/>
          <w:szCs w:val="24"/>
        </w:rPr>
        <w:t>ration (12.1%), Ukraine (9.2%)</w:t>
      </w:r>
      <w:r w:rsidRPr="003C7CB1">
        <w:rPr>
          <w:sz w:val="24"/>
          <w:szCs w:val="24"/>
        </w:rPr>
        <w:t xml:space="preserve">, Kosovo </w:t>
      </w:r>
      <w:r w:rsidRPr="003C7CB1">
        <w:rPr>
          <w:sz w:val="24"/>
          <w:szCs w:val="24"/>
        </w:rPr>
        <w:lastRenderedPageBreak/>
        <w:t xml:space="preserve">(4.8%), Germany (4.0%), and Poland (2.3%) accounted for most overnight stays. Tourists from other countries accounted for 22.1% of tourist overnight stays. </w:t>
      </w:r>
    </w:p>
    <w:p w14:paraId="7DFF5ECA" w14:textId="77777777" w:rsidR="00E732FA" w:rsidRPr="003C7CB1" w:rsidRDefault="00E732FA" w:rsidP="00E732FA">
      <w:pPr>
        <w:spacing w:after="120" w:line="240" w:lineRule="auto"/>
        <w:jc w:val="both"/>
        <w:rPr>
          <w:sz w:val="24"/>
          <w:szCs w:val="24"/>
        </w:rPr>
      </w:pPr>
      <w:r w:rsidRPr="003C7CB1">
        <w:rPr>
          <w:sz w:val="24"/>
          <w:szCs w:val="24"/>
        </w:rPr>
        <w:t xml:space="preserve">In the structure of overnight stays by types of tourist destinations in 2021, most overnight stays were generated in coastal towns (94.7%), mountain resorts (2.1%), the capital city (2.0%) and other places (1.2%). </w:t>
      </w:r>
    </w:p>
    <w:p w14:paraId="48E4782C" w14:textId="77777777" w:rsidR="00E732FA" w:rsidRPr="003C7CB1" w:rsidRDefault="00E732FA" w:rsidP="00E732FA">
      <w:pPr>
        <w:spacing w:after="120" w:line="240" w:lineRule="auto"/>
        <w:jc w:val="both"/>
        <w:rPr>
          <w:sz w:val="24"/>
          <w:szCs w:val="24"/>
        </w:rPr>
      </w:pPr>
      <w:r w:rsidRPr="003C7CB1">
        <w:rPr>
          <w:sz w:val="24"/>
          <w:szCs w:val="24"/>
        </w:rPr>
        <w:t xml:space="preserve">According to the Central Bank of Montenegro (CBM), tourism revenues in 2021 amounted to 757.8 million euros, which is 69% of tourism revenues compared to the record year of 2019 (1.1 billion euros), and five times more revenue when compared to 2020 (144.5 million euros). </w:t>
      </w:r>
    </w:p>
    <w:p w14:paraId="7FE31582" w14:textId="77777777" w:rsidR="00E732FA" w:rsidRPr="003C7CB1" w:rsidRDefault="00E732FA" w:rsidP="00E732FA">
      <w:pPr>
        <w:spacing w:after="120" w:line="240" w:lineRule="auto"/>
        <w:jc w:val="both"/>
        <w:rPr>
          <w:sz w:val="24"/>
          <w:szCs w:val="24"/>
        </w:rPr>
      </w:pPr>
      <w:r w:rsidRPr="003C7CB1">
        <w:rPr>
          <w:sz w:val="24"/>
          <w:szCs w:val="24"/>
        </w:rPr>
        <w:t>With the application of the model that proved to be successful during the preparation and implementation of the summer tourist season, which is based on the coordination of activities and partnership between stakeholders, the preparation of the winter tourist season 2021/2022 was conducted. Specifically, the Season Preparation Plan has been structured and it includes indicators for defined activities of relevant stakeholders in the tourism sector, which can serve as a model for the preparation of all upcoming seasons.</w:t>
      </w:r>
      <w:r w:rsidRPr="003C7CB1">
        <w:t xml:space="preserve"> </w:t>
      </w:r>
      <w:r w:rsidRPr="003C7CB1">
        <w:rPr>
          <w:sz w:val="24"/>
          <w:szCs w:val="24"/>
        </w:rPr>
        <w:t xml:space="preserve">The coordination body managed the planning of the preparation and monitoring of the implementation of the winter tourist season 2021/2022, with special emphasis on further recovery of tourism, with an unequivocal obligation to preserve the health of citizens, considering the current health and epidemiological circumstances. </w:t>
      </w:r>
    </w:p>
    <w:p w14:paraId="45BD2126" w14:textId="77777777" w:rsidR="00E732FA" w:rsidRPr="003C7CB1" w:rsidRDefault="00E732FA" w:rsidP="00E732FA">
      <w:pPr>
        <w:spacing w:after="120" w:line="240" w:lineRule="auto"/>
        <w:jc w:val="both"/>
        <w:rPr>
          <w:sz w:val="24"/>
          <w:szCs w:val="24"/>
        </w:rPr>
      </w:pPr>
      <w:r w:rsidRPr="003C7CB1">
        <w:rPr>
          <w:sz w:val="24"/>
          <w:szCs w:val="24"/>
        </w:rPr>
        <w:t>In accordance with the survey of the Montenegrin Employers Federation</w:t>
      </w:r>
      <w:r w:rsidRPr="003C7CB1">
        <w:rPr>
          <w:rStyle w:val="FootnoteReference"/>
          <w:rFonts w:cstheme="minorHAnsi"/>
          <w:iCs/>
          <w:sz w:val="24"/>
          <w:szCs w:val="24"/>
        </w:rPr>
        <w:footnoteReference w:id="25"/>
      </w:r>
      <w:r w:rsidRPr="003C7CB1">
        <w:rPr>
          <w:sz w:val="24"/>
          <w:szCs w:val="24"/>
        </w:rPr>
        <w:t xml:space="preserve"> in 2021, the number and structure of employees in the tourism sector in the period June-August, were the same as in the comparable period in 2019 with 51% of survey participants, and the number of employees was increased with 32% of businessmen, while 17% of them stated that the number of employees was reduced. When it comes to the structure of employees in the period June-August 2021, businessmen estimated that 45% were domestic population and 55% foreign labor force. This indicates the dependence of the labor market in the tourism sector on foreign labor force, and that the problem of lack of domestic labor force which has been a</w:t>
      </w:r>
      <w:r w:rsidRPr="003C7CB1">
        <w:t xml:space="preserve"> </w:t>
      </w:r>
      <w:r w:rsidRPr="003C7CB1">
        <w:rPr>
          <w:sz w:val="24"/>
          <w:szCs w:val="24"/>
        </w:rPr>
        <w:t xml:space="preserve">problem present for many years has been confirmed in this year as well. </w:t>
      </w:r>
    </w:p>
    <w:p w14:paraId="03AD91A4" w14:textId="77777777" w:rsidR="00E732FA" w:rsidRPr="003C7CB1" w:rsidRDefault="00E732FA" w:rsidP="00E732FA">
      <w:pPr>
        <w:spacing w:after="120" w:line="240" w:lineRule="auto"/>
        <w:jc w:val="both"/>
        <w:rPr>
          <w:sz w:val="24"/>
          <w:szCs w:val="24"/>
        </w:rPr>
      </w:pPr>
      <w:r w:rsidRPr="003C7CB1">
        <w:rPr>
          <w:sz w:val="24"/>
          <w:szCs w:val="24"/>
        </w:rPr>
        <w:t xml:space="preserve">In order to overcome this situation and improve the labor market, the activities of the relevant Ministry, among other things, are aimed at youth employment, which will be implemented through the implementation of the </w:t>
      </w:r>
      <w:r w:rsidRPr="003C7CB1">
        <w:rPr>
          <w:b/>
          <w:sz w:val="24"/>
          <w:szCs w:val="24"/>
        </w:rPr>
        <w:t>Youth Guarantee</w:t>
      </w:r>
      <w:r w:rsidRPr="003C7CB1">
        <w:rPr>
          <w:sz w:val="24"/>
          <w:szCs w:val="24"/>
        </w:rPr>
        <w:t xml:space="preserve"> program. The main principle of the Program is that every young person, within 4 months after completing education or training or becoming unemployed, receives a quality job offer, internship, further training or continuation of education.</w:t>
      </w:r>
      <w:r w:rsidRPr="003C7CB1">
        <w:t xml:space="preserve"> </w:t>
      </w:r>
      <w:r w:rsidRPr="003C7CB1">
        <w:rPr>
          <w:sz w:val="24"/>
          <w:szCs w:val="24"/>
        </w:rPr>
        <w:t xml:space="preserve">The implementation of the Program is in line with the implementation of the principles of the European Pillar of Social Rights, specifically Principle 4 – Effective Active Support to Employment, and Montenegro has the possibility of additional financial support for this program through the Economic and Investment Plan for the Western Balkans from October 2020. </w:t>
      </w:r>
      <w:bookmarkStart w:id="98" w:name="_Hlk85632261"/>
      <w:r w:rsidRPr="003C7CB1">
        <w:rPr>
          <w:sz w:val="24"/>
          <w:szCs w:val="24"/>
        </w:rPr>
        <w:t xml:space="preserve"> </w:t>
      </w:r>
    </w:p>
    <w:p w14:paraId="34B8E418" w14:textId="77777777" w:rsidR="00E732FA" w:rsidRPr="003C7CB1" w:rsidRDefault="00E732FA" w:rsidP="00E732FA">
      <w:pPr>
        <w:pStyle w:val="Heading2"/>
        <w:numPr>
          <w:ilvl w:val="1"/>
          <w:numId w:val="48"/>
        </w:numPr>
        <w:spacing w:before="0" w:after="120" w:line="276" w:lineRule="auto"/>
        <w:rPr>
          <w:sz w:val="26"/>
        </w:rPr>
      </w:pPr>
      <w:bookmarkStart w:id="99" w:name="_Toc91286171"/>
      <w:bookmarkStart w:id="100" w:name="_Toc95303013"/>
      <w:bookmarkStart w:id="101" w:name="_Toc102133801"/>
      <w:bookmarkStart w:id="102" w:name="_Toc104544185"/>
      <w:r w:rsidRPr="003C7CB1">
        <w:rPr>
          <w:sz w:val="26"/>
        </w:rPr>
        <w:t xml:space="preserve">UNWTO </w:t>
      </w:r>
      <w:bookmarkEnd w:id="99"/>
      <w:bookmarkEnd w:id="100"/>
      <w:r w:rsidRPr="003C7CB1">
        <w:rPr>
          <w:sz w:val="26"/>
        </w:rPr>
        <w:t>- from crisis to transformation</w:t>
      </w:r>
      <w:bookmarkEnd w:id="101"/>
      <w:bookmarkEnd w:id="102"/>
      <w:r w:rsidRPr="003C7CB1">
        <w:rPr>
          <w:sz w:val="26"/>
        </w:rPr>
        <w:t xml:space="preserve"> </w:t>
      </w:r>
    </w:p>
    <w:p w14:paraId="34134A4E" w14:textId="77777777" w:rsidR="00E732FA" w:rsidRPr="003C7CB1" w:rsidRDefault="00E732FA" w:rsidP="00E732FA">
      <w:pPr>
        <w:spacing w:after="120" w:line="240" w:lineRule="auto"/>
        <w:jc w:val="both"/>
        <w:rPr>
          <w:sz w:val="24"/>
          <w:szCs w:val="24"/>
        </w:rPr>
      </w:pPr>
      <w:r w:rsidRPr="003C7CB1">
        <w:rPr>
          <w:sz w:val="24"/>
          <w:szCs w:val="24"/>
        </w:rPr>
        <w:t xml:space="preserve">In accordance with the partnership that the Ministry of Economic Development has with the United Nations World Tourism Organization (UNWTO) and the tendency to work together to recover tourism from the COVID-19 pandemic, the UNWTO in cooperation with the European </w:t>
      </w:r>
      <w:r w:rsidRPr="003C7CB1">
        <w:rPr>
          <w:sz w:val="24"/>
          <w:szCs w:val="24"/>
        </w:rPr>
        <w:lastRenderedPageBreak/>
        <w:t>Bank for Reconstruction and Development (EBRD) provides Montenegro with technical support in the form of the Project for the Facilitating Tourism Recovery in Aftermath of Covid-19 in Montenegro</w:t>
      </w:r>
      <w:r w:rsidRPr="003C7CB1">
        <w:rPr>
          <w:rStyle w:val="FootnoteReference"/>
          <w:sz w:val="24"/>
          <w:szCs w:val="24"/>
        </w:rPr>
        <w:footnoteReference w:id="26"/>
      </w:r>
      <w:r w:rsidRPr="003C7CB1">
        <w:rPr>
          <w:sz w:val="24"/>
          <w:szCs w:val="24"/>
        </w:rPr>
        <w:t>.</w:t>
      </w:r>
      <w:r w:rsidRPr="003C7CB1">
        <w:t xml:space="preserve"> </w:t>
      </w:r>
      <w:r w:rsidRPr="003C7CB1">
        <w:rPr>
          <w:sz w:val="24"/>
          <w:szCs w:val="24"/>
        </w:rPr>
        <w:t xml:space="preserve">During the development of this Strategy, we note that the UNWTO / EBRD Project is still ongoing and will include the following components: </w:t>
      </w:r>
    </w:p>
    <w:p w14:paraId="63166727" w14:textId="77777777" w:rsidR="00E732FA" w:rsidRPr="003C7CB1" w:rsidRDefault="00E732FA" w:rsidP="00E732FA">
      <w:pPr>
        <w:pStyle w:val="ListParagraph"/>
        <w:numPr>
          <w:ilvl w:val="3"/>
          <w:numId w:val="5"/>
        </w:numPr>
        <w:spacing w:after="120" w:line="240" w:lineRule="auto"/>
        <w:ind w:left="648"/>
        <w:jc w:val="both"/>
        <w:rPr>
          <w:sz w:val="24"/>
          <w:szCs w:val="24"/>
        </w:rPr>
      </w:pPr>
      <w:r w:rsidRPr="003C7CB1">
        <w:rPr>
          <w:sz w:val="24"/>
          <w:szCs w:val="24"/>
        </w:rPr>
        <w:t>Measuring the impact of COVID-19 on Montenegrin tourism,</w:t>
      </w:r>
    </w:p>
    <w:p w14:paraId="6D8034AF" w14:textId="77777777" w:rsidR="00E732FA" w:rsidRPr="003C7CB1" w:rsidRDefault="00E732FA" w:rsidP="00E732FA">
      <w:pPr>
        <w:pStyle w:val="ListParagraph"/>
        <w:numPr>
          <w:ilvl w:val="3"/>
          <w:numId w:val="5"/>
        </w:numPr>
        <w:spacing w:after="120" w:line="240" w:lineRule="auto"/>
        <w:ind w:left="648"/>
        <w:jc w:val="both"/>
        <w:rPr>
          <w:sz w:val="24"/>
          <w:szCs w:val="24"/>
        </w:rPr>
      </w:pPr>
      <w:r w:rsidRPr="003C7CB1">
        <w:rPr>
          <w:sz w:val="24"/>
          <w:szCs w:val="24"/>
        </w:rPr>
        <w:t>Tourism recovery plan,</w:t>
      </w:r>
    </w:p>
    <w:p w14:paraId="6A71FE87" w14:textId="77777777" w:rsidR="00E732FA" w:rsidRPr="003C7CB1" w:rsidRDefault="00E732FA" w:rsidP="00E732FA">
      <w:pPr>
        <w:pStyle w:val="ListParagraph"/>
        <w:numPr>
          <w:ilvl w:val="3"/>
          <w:numId w:val="5"/>
        </w:numPr>
        <w:spacing w:after="120" w:line="240" w:lineRule="auto"/>
        <w:ind w:left="648"/>
        <w:jc w:val="both"/>
        <w:rPr>
          <w:sz w:val="24"/>
          <w:szCs w:val="24"/>
        </w:rPr>
      </w:pPr>
      <w:r w:rsidRPr="003C7CB1">
        <w:rPr>
          <w:sz w:val="24"/>
          <w:szCs w:val="24"/>
        </w:rPr>
        <w:t>Marketing strategies to support tourism recovery and</w:t>
      </w:r>
    </w:p>
    <w:p w14:paraId="323E830B" w14:textId="77777777" w:rsidR="00E732FA" w:rsidRPr="003C7CB1" w:rsidRDefault="00E732FA" w:rsidP="00E732FA">
      <w:pPr>
        <w:pStyle w:val="ListParagraph"/>
        <w:numPr>
          <w:ilvl w:val="3"/>
          <w:numId w:val="5"/>
        </w:numPr>
        <w:spacing w:after="120" w:line="240" w:lineRule="auto"/>
        <w:ind w:left="648"/>
        <w:jc w:val="both"/>
        <w:rPr>
          <w:sz w:val="24"/>
          <w:szCs w:val="24"/>
        </w:rPr>
      </w:pPr>
      <w:r w:rsidRPr="003C7CB1">
        <w:rPr>
          <w:sz w:val="24"/>
          <w:szCs w:val="24"/>
        </w:rPr>
        <w:t xml:space="preserve">Overview of safety protocols. </w:t>
      </w:r>
    </w:p>
    <w:p w14:paraId="23361C75" w14:textId="4491B8B2" w:rsidR="00E732FA" w:rsidRPr="003C7CB1" w:rsidRDefault="00E732FA" w:rsidP="00E732FA">
      <w:pPr>
        <w:spacing w:after="120" w:line="240" w:lineRule="auto"/>
        <w:jc w:val="both"/>
        <w:rPr>
          <w:sz w:val="24"/>
          <w:szCs w:val="24"/>
        </w:rPr>
      </w:pPr>
      <w:r w:rsidRPr="003C7CB1">
        <w:rPr>
          <w:sz w:val="24"/>
          <w:szCs w:val="24"/>
        </w:rPr>
        <w:t>However, in order to use the information for the purposes of this Strategy, the UNWTO has prepared a brief Report, as a preliminary review of the state and prospects of the development of Montenegrin tourism in the post-</w:t>
      </w:r>
      <w:proofErr w:type="spellStart"/>
      <w:r w:rsidR="003C7CB1" w:rsidRPr="003C7CB1">
        <w:rPr>
          <w:sz w:val="24"/>
          <w:szCs w:val="24"/>
        </w:rPr>
        <w:t>Covid</w:t>
      </w:r>
      <w:proofErr w:type="spellEnd"/>
      <w:r w:rsidRPr="003C7CB1">
        <w:rPr>
          <w:sz w:val="24"/>
          <w:szCs w:val="24"/>
        </w:rPr>
        <w:t xml:space="preserve"> era.  </w:t>
      </w:r>
    </w:p>
    <w:p w14:paraId="6DEE77B6" w14:textId="77777777" w:rsidR="00E732FA" w:rsidRPr="003C7CB1" w:rsidRDefault="00E732FA" w:rsidP="00E732FA">
      <w:pPr>
        <w:spacing w:after="120" w:line="240" w:lineRule="auto"/>
        <w:jc w:val="both"/>
        <w:rPr>
          <w:sz w:val="24"/>
          <w:szCs w:val="24"/>
        </w:rPr>
      </w:pPr>
      <w:r w:rsidRPr="003C7CB1">
        <w:rPr>
          <w:sz w:val="24"/>
          <w:szCs w:val="24"/>
        </w:rPr>
        <w:t xml:space="preserve">The report focuses on the </w:t>
      </w:r>
      <w:r w:rsidRPr="003C7CB1">
        <w:rPr>
          <w:b/>
          <w:sz w:val="24"/>
          <w:szCs w:val="24"/>
        </w:rPr>
        <w:t>recovery of small and medium-size enterprises, the consolidation of the economy and the proposal for the transition to a mode of growth</w:t>
      </w:r>
      <w:r w:rsidRPr="003C7CB1">
        <w:rPr>
          <w:sz w:val="24"/>
          <w:szCs w:val="24"/>
        </w:rPr>
        <w:t>.</w:t>
      </w:r>
      <w:r w:rsidRPr="003C7CB1">
        <w:t xml:space="preserve"> </w:t>
      </w:r>
      <w:r w:rsidRPr="003C7CB1">
        <w:rPr>
          <w:sz w:val="24"/>
          <w:szCs w:val="24"/>
        </w:rPr>
        <w:t xml:space="preserve">The project methodology involves extensive research, and includes a wide network of tourism stakeholders, predominantly including the private sector, as well as the managerial level of research participants. </w:t>
      </w:r>
    </w:p>
    <w:p w14:paraId="70737EB2" w14:textId="77777777" w:rsidR="00E732FA" w:rsidRPr="003C7CB1" w:rsidRDefault="00E732FA" w:rsidP="00E732FA">
      <w:pPr>
        <w:spacing w:after="120" w:line="240" w:lineRule="auto"/>
        <w:jc w:val="both"/>
        <w:rPr>
          <w:sz w:val="24"/>
          <w:szCs w:val="24"/>
        </w:rPr>
      </w:pPr>
      <w:r w:rsidRPr="003C7CB1">
        <w:rPr>
          <w:sz w:val="24"/>
          <w:szCs w:val="24"/>
        </w:rPr>
        <w:t>Numerous proposals for improvement have been identified, as well as support mechanisms for tourism enterprises, the main ones being support measures of the Government of Montenegro, homogenization and cohesion of the sector (given that the sector is dispersed and dominated by a large number of micro enterprises)</w:t>
      </w:r>
      <w:r w:rsidRPr="003C7CB1">
        <w:t xml:space="preserve"> </w:t>
      </w:r>
      <w:r w:rsidRPr="003C7CB1">
        <w:rPr>
          <w:sz w:val="24"/>
          <w:szCs w:val="24"/>
        </w:rPr>
        <w:t xml:space="preserve">strengthening the system of inter-institutional and inter-sectoral information exchange, more consistent, gradual and simpler measures, tax reliefs, removal of administrative barriers, simplification of conditions related to credit borrowing, extension of loan repayment periods (from 10 to 20-25 years), etc. </w:t>
      </w:r>
    </w:p>
    <w:p w14:paraId="19D05CFD" w14:textId="77777777" w:rsidR="00E732FA" w:rsidRPr="003C7CB1" w:rsidRDefault="00E732FA" w:rsidP="00E732FA">
      <w:pPr>
        <w:spacing w:after="120" w:line="240" w:lineRule="auto"/>
        <w:jc w:val="both"/>
        <w:rPr>
          <w:sz w:val="24"/>
          <w:szCs w:val="24"/>
        </w:rPr>
      </w:pPr>
      <w:r w:rsidRPr="003C7CB1">
        <w:rPr>
          <w:sz w:val="24"/>
          <w:szCs w:val="24"/>
        </w:rPr>
        <w:t xml:space="preserve">The extract of the Report also shows </w:t>
      </w:r>
      <w:r w:rsidRPr="003C7CB1">
        <w:rPr>
          <w:b/>
          <w:sz w:val="24"/>
          <w:szCs w:val="24"/>
        </w:rPr>
        <w:t>the need to strengthen public-private partnership</w:t>
      </w:r>
      <w:r w:rsidRPr="003C7CB1">
        <w:rPr>
          <w:sz w:val="24"/>
          <w:szCs w:val="24"/>
        </w:rPr>
        <w:t>, as the main generator of future economic development.</w:t>
      </w:r>
      <w:r w:rsidRPr="003C7CB1">
        <w:t xml:space="preserve"> </w:t>
      </w:r>
      <w:r w:rsidRPr="003C7CB1">
        <w:rPr>
          <w:sz w:val="24"/>
          <w:szCs w:val="24"/>
        </w:rPr>
        <w:t xml:space="preserve">In this regard, it was pointed out that the tourism industry greatly appreciates the process led by the Ministry of Economic Development during the drafting of this document, which concerns active communication with all stakeholders in the field of tourism, including the private sector and international organizations. </w:t>
      </w:r>
    </w:p>
    <w:p w14:paraId="698C2628" w14:textId="77777777" w:rsidR="00E732FA" w:rsidRPr="003C7CB1" w:rsidRDefault="00E732FA" w:rsidP="00E732FA">
      <w:pPr>
        <w:spacing w:after="120" w:line="240" w:lineRule="auto"/>
        <w:jc w:val="both"/>
        <w:rPr>
          <w:sz w:val="24"/>
          <w:szCs w:val="24"/>
        </w:rPr>
      </w:pPr>
      <w:r w:rsidRPr="003C7CB1">
        <w:rPr>
          <w:sz w:val="24"/>
          <w:szCs w:val="24"/>
        </w:rPr>
        <w:t xml:space="preserve">The report indicates that the </w:t>
      </w:r>
      <w:r w:rsidRPr="003C7CB1">
        <w:rPr>
          <w:b/>
          <w:sz w:val="24"/>
          <w:szCs w:val="24"/>
        </w:rPr>
        <w:t>dominant problem is the lack of adequate labor force</w:t>
      </w:r>
      <w:r w:rsidRPr="003C7CB1">
        <w:rPr>
          <w:sz w:val="24"/>
          <w:szCs w:val="24"/>
        </w:rPr>
        <w:t xml:space="preserve"> in tourism and hospitality, which makes it impossible to provide high quality services.</w:t>
      </w:r>
      <w:r w:rsidRPr="003C7CB1">
        <w:t xml:space="preserve"> </w:t>
      </w:r>
      <w:r w:rsidRPr="003C7CB1">
        <w:rPr>
          <w:sz w:val="24"/>
          <w:szCs w:val="24"/>
        </w:rPr>
        <w:t>That is the reason why tourist companies decide to hire foreign labor force, even though this administrative process is complicated and long, and workers are needed only for a short period of time. Besides that, young people do not see the prospect of employment in the tourism industry in Montenegro and have a negative perception of the sector, primarily due to low earnings, but also due to the seasonal nature of employment.</w:t>
      </w:r>
      <w:r w:rsidRPr="003C7CB1">
        <w:t xml:space="preserve"> </w:t>
      </w:r>
      <w:r w:rsidRPr="003C7CB1">
        <w:rPr>
          <w:sz w:val="24"/>
          <w:szCs w:val="24"/>
        </w:rPr>
        <w:t>Therefore, maintaining the motivation and continuous engagement of operational employees is one of the key managerial challenges.</w:t>
      </w:r>
      <w:r w:rsidRPr="003C7CB1">
        <w:t xml:space="preserve"> </w:t>
      </w:r>
      <w:r w:rsidRPr="003C7CB1">
        <w:rPr>
          <w:sz w:val="24"/>
          <w:szCs w:val="24"/>
        </w:rPr>
        <w:t>The lack of communication skills and adequate attitude towards guests is also a big problem, as well as the language barrier of the operational staff.</w:t>
      </w:r>
      <w:r w:rsidRPr="003C7CB1">
        <w:t xml:space="preserve"> </w:t>
      </w:r>
      <w:r w:rsidRPr="003C7CB1">
        <w:rPr>
          <w:sz w:val="24"/>
          <w:szCs w:val="24"/>
        </w:rPr>
        <w:t>The report points out that the existing education system is not efficient, nor does it provide practical and modern knowledge in the field of tourism.</w:t>
      </w:r>
      <w:r w:rsidRPr="003C7CB1">
        <w:t xml:space="preserve"> </w:t>
      </w:r>
      <w:r w:rsidRPr="003C7CB1">
        <w:rPr>
          <w:sz w:val="24"/>
          <w:szCs w:val="24"/>
        </w:rPr>
        <w:t xml:space="preserve">Even the majority of teachers have no practical experience, and tourism </w:t>
      </w:r>
      <w:r w:rsidRPr="003C7CB1">
        <w:rPr>
          <w:sz w:val="24"/>
          <w:szCs w:val="24"/>
        </w:rPr>
        <w:lastRenderedPageBreak/>
        <w:t xml:space="preserve">professionals from the sector are not sufficiently engaged, as it is stated in the report. So, from the aspect of human resources, the tourism industry needs a long-term strategy. </w:t>
      </w:r>
    </w:p>
    <w:p w14:paraId="40A0BAFA" w14:textId="77777777" w:rsidR="00E732FA" w:rsidRPr="003C7CB1" w:rsidRDefault="00E732FA" w:rsidP="00E732FA">
      <w:pPr>
        <w:spacing w:after="120" w:line="240" w:lineRule="auto"/>
        <w:jc w:val="both"/>
        <w:rPr>
          <w:sz w:val="24"/>
          <w:szCs w:val="24"/>
        </w:rPr>
      </w:pPr>
      <w:r w:rsidRPr="003C7CB1">
        <w:rPr>
          <w:b/>
          <w:sz w:val="24"/>
          <w:szCs w:val="24"/>
        </w:rPr>
        <w:t>Informal employment and the gray economy</w:t>
      </w:r>
      <w:r w:rsidRPr="003C7CB1">
        <w:rPr>
          <w:sz w:val="24"/>
          <w:szCs w:val="24"/>
        </w:rPr>
        <w:t xml:space="preserve"> in Montenegro are also recognized as one of the key problems of the sector.</w:t>
      </w:r>
      <w:r w:rsidRPr="003C7CB1">
        <w:t xml:space="preserve"> </w:t>
      </w:r>
      <w:r w:rsidRPr="003C7CB1">
        <w:rPr>
          <w:sz w:val="24"/>
          <w:szCs w:val="24"/>
        </w:rPr>
        <w:t>Strengthening inspection capacities is a precondition for the recovery of the economy, and thus tourism. It is proposed to strengthen the engagement of inspection services in the segment of unregistered accommodation, as well as private accommodation, given that the largest number of overnight stays is generated in this accommodation segment. A significant number of private accommodation renters also pointed out that they would like to leave the informal business zone, if a simple registration system is provided, which is not too bureaucratically demanding.</w:t>
      </w:r>
      <w:r w:rsidRPr="003C7CB1">
        <w:t xml:space="preserve"> </w:t>
      </w:r>
      <w:r w:rsidRPr="003C7CB1">
        <w:rPr>
          <w:sz w:val="24"/>
          <w:szCs w:val="24"/>
        </w:rPr>
        <w:t xml:space="preserve">Private accommodation (maximum capacity of 20 beds) is the responsibility of the local self-government. Each municipality has a different registration procedure, which complicates the issue. </w:t>
      </w:r>
    </w:p>
    <w:p w14:paraId="7131D89E" w14:textId="77777777" w:rsidR="00E732FA" w:rsidRPr="003C7CB1" w:rsidRDefault="00E732FA" w:rsidP="00E732FA">
      <w:pPr>
        <w:spacing w:after="120" w:line="240" w:lineRule="auto"/>
        <w:jc w:val="both"/>
        <w:rPr>
          <w:sz w:val="24"/>
          <w:szCs w:val="24"/>
        </w:rPr>
      </w:pPr>
      <w:r w:rsidRPr="003C7CB1">
        <w:rPr>
          <w:sz w:val="24"/>
          <w:szCs w:val="24"/>
        </w:rPr>
        <w:t xml:space="preserve">Regarding the airport </w:t>
      </w:r>
      <w:r w:rsidRPr="003C7CB1">
        <w:rPr>
          <w:b/>
          <w:sz w:val="24"/>
          <w:szCs w:val="24"/>
        </w:rPr>
        <w:t>infrastructure</w:t>
      </w:r>
      <w:r w:rsidRPr="003C7CB1">
        <w:rPr>
          <w:sz w:val="24"/>
          <w:szCs w:val="24"/>
        </w:rPr>
        <w:t>, it is pointed out that it is insufficiently developed, and other types of transport, especially road infrastructure, are inadequate.</w:t>
      </w:r>
      <w:r w:rsidRPr="003C7CB1">
        <w:t xml:space="preserve"> </w:t>
      </w:r>
      <w:r w:rsidRPr="003C7CB1">
        <w:rPr>
          <w:sz w:val="24"/>
          <w:szCs w:val="24"/>
        </w:rPr>
        <w:t xml:space="preserve">This is a huge problem for the tourism industry. </w:t>
      </w:r>
      <w:proofErr w:type="spellStart"/>
      <w:r w:rsidRPr="003C7CB1">
        <w:rPr>
          <w:sz w:val="24"/>
          <w:szCs w:val="24"/>
        </w:rPr>
        <w:t>Tivat</w:t>
      </w:r>
      <w:proofErr w:type="spellEnd"/>
      <w:r w:rsidRPr="003C7CB1">
        <w:rPr>
          <w:sz w:val="24"/>
          <w:szCs w:val="24"/>
        </w:rPr>
        <w:t xml:space="preserve"> and Podgorica airports need to increase their capacity, as well as the number and frequency of air connections to key emitting markets.</w:t>
      </w:r>
      <w:r w:rsidRPr="003C7CB1">
        <w:t xml:space="preserve"> </w:t>
      </w:r>
      <w:r w:rsidRPr="003C7CB1">
        <w:rPr>
          <w:sz w:val="24"/>
          <w:szCs w:val="24"/>
        </w:rPr>
        <w:t xml:space="preserve">An additional challenge is the inoperability of </w:t>
      </w:r>
      <w:proofErr w:type="spellStart"/>
      <w:r w:rsidRPr="003C7CB1">
        <w:rPr>
          <w:sz w:val="24"/>
          <w:szCs w:val="24"/>
        </w:rPr>
        <w:t>Tivat</w:t>
      </w:r>
      <w:proofErr w:type="spellEnd"/>
      <w:r w:rsidRPr="003C7CB1">
        <w:rPr>
          <w:sz w:val="24"/>
          <w:szCs w:val="24"/>
        </w:rPr>
        <w:t xml:space="preserve"> airport when it comes to night flying. In addition, road access to key tourist sites, especially those located in the Bay of Kotor, is inadequate during the season and alternative modes of transport need to be explored. </w:t>
      </w:r>
    </w:p>
    <w:p w14:paraId="20501066" w14:textId="77777777" w:rsidR="00E732FA" w:rsidRPr="003C7CB1" w:rsidRDefault="00E732FA" w:rsidP="00E732FA">
      <w:pPr>
        <w:spacing w:after="120" w:line="240" w:lineRule="auto"/>
        <w:jc w:val="both"/>
        <w:rPr>
          <w:sz w:val="24"/>
          <w:szCs w:val="24"/>
        </w:rPr>
      </w:pPr>
      <w:r w:rsidRPr="003C7CB1">
        <w:rPr>
          <w:b/>
          <w:sz w:val="24"/>
          <w:szCs w:val="24"/>
        </w:rPr>
        <w:t xml:space="preserve">Insufficient recognition of the brand of Montenegro </w:t>
      </w:r>
      <w:r w:rsidRPr="003C7CB1">
        <w:rPr>
          <w:sz w:val="24"/>
          <w:szCs w:val="24"/>
        </w:rPr>
        <w:t>as a destination is one of the biggest problems. The report states that there are few who know, even in Western Europe, where Montenegro is.</w:t>
      </w:r>
      <w:r w:rsidRPr="003C7CB1">
        <w:t xml:space="preserve"> </w:t>
      </w:r>
      <w:r w:rsidRPr="003C7CB1">
        <w:rPr>
          <w:sz w:val="24"/>
          <w:szCs w:val="24"/>
        </w:rPr>
        <w:t xml:space="preserve">The necessity of destination management, as a model of destination management, better coordination in the field of marketing and promotion of the destination, are the conditions for further prosperity in the field of tourism. Also, more active participation of the private sector is needed, as well as better communication and coordination between the National and local tourism organizations, which was assessed as a weak link in the chain of promotion. In addition, the budget for promotion is considered to be limited, given the significant contribution of tourism to GDP. Destination marketing and promotion goals are unclear and need to be redefined. </w:t>
      </w:r>
    </w:p>
    <w:p w14:paraId="3A91DB38" w14:textId="77777777" w:rsidR="00E732FA" w:rsidRPr="003C7CB1" w:rsidRDefault="00E732FA" w:rsidP="00E732FA">
      <w:pPr>
        <w:spacing w:after="120" w:line="240" w:lineRule="auto"/>
        <w:jc w:val="both"/>
        <w:rPr>
          <w:sz w:val="24"/>
          <w:szCs w:val="24"/>
        </w:rPr>
      </w:pPr>
      <w:r w:rsidRPr="003C7CB1">
        <w:rPr>
          <w:sz w:val="24"/>
          <w:szCs w:val="24"/>
        </w:rPr>
        <w:t xml:space="preserve">In addition to the above, </w:t>
      </w:r>
      <w:r w:rsidRPr="003C7CB1">
        <w:rPr>
          <w:b/>
          <w:sz w:val="24"/>
          <w:szCs w:val="24"/>
        </w:rPr>
        <w:t>the lack of adequate tourism statistics</w:t>
      </w:r>
      <w:r w:rsidRPr="003C7CB1">
        <w:rPr>
          <w:sz w:val="24"/>
          <w:szCs w:val="24"/>
        </w:rPr>
        <w:t xml:space="preserve"> is evident, and the official statistical methodology requires revision in several aspects, in order to adjust the data to the challenges facing the sector.</w:t>
      </w:r>
      <w:r w:rsidRPr="003C7CB1">
        <w:t xml:space="preserve"> </w:t>
      </w:r>
      <w:r w:rsidRPr="003C7CB1">
        <w:rPr>
          <w:sz w:val="24"/>
          <w:szCs w:val="24"/>
        </w:rPr>
        <w:t xml:space="preserve">Aspects such as data quality, frequency, availability, portfolio of indicators, must be adapted to current challenges, in order to make the decision-making process more efficient.  </w:t>
      </w:r>
    </w:p>
    <w:p w14:paraId="0893B5BC" w14:textId="77777777" w:rsidR="00E732FA" w:rsidRPr="003C7CB1" w:rsidRDefault="00E732FA" w:rsidP="00E732FA">
      <w:pPr>
        <w:spacing w:after="120" w:line="240" w:lineRule="auto"/>
        <w:jc w:val="both"/>
        <w:rPr>
          <w:sz w:val="24"/>
          <w:szCs w:val="24"/>
        </w:rPr>
      </w:pPr>
      <w:r w:rsidRPr="003C7CB1">
        <w:rPr>
          <w:sz w:val="24"/>
          <w:szCs w:val="24"/>
        </w:rPr>
        <w:t xml:space="preserve">It was also stated that </w:t>
      </w:r>
      <w:r w:rsidRPr="003C7CB1">
        <w:rPr>
          <w:b/>
          <w:sz w:val="24"/>
          <w:szCs w:val="24"/>
        </w:rPr>
        <w:t>the creation of a stable business and investment environment</w:t>
      </w:r>
      <w:r w:rsidRPr="003C7CB1">
        <w:rPr>
          <w:sz w:val="24"/>
          <w:szCs w:val="24"/>
        </w:rPr>
        <w:t xml:space="preserve"> is a precondition for further recovery of the economy and tourism. Policies to attract investment need to be developed.</w:t>
      </w:r>
      <w:r w:rsidRPr="003C7CB1">
        <w:t xml:space="preserve"> </w:t>
      </w:r>
      <w:r w:rsidRPr="003C7CB1">
        <w:rPr>
          <w:sz w:val="24"/>
          <w:szCs w:val="24"/>
        </w:rPr>
        <w:t xml:space="preserve">In this regard, it is necessary to study the possibilities and collect relevant data, create an investment catalog focused on key subsectors (e.g., health tourism, sports tourism, hotel privatization), identify potential investors, promote joint investment initiatives, offer investment incentives, etc.   </w:t>
      </w:r>
    </w:p>
    <w:p w14:paraId="25AF9E3A" w14:textId="032D5F82" w:rsidR="00E732FA" w:rsidRPr="003C7CB1" w:rsidRDefault="00E732FA" w:rsidP="00E732FA">
      <w:pPr>
        <w:spacing w:after="120" w:line="240" w:lineRule="auto"/>
        <w:jc w:val="both"/>
        <w:rPr>
          <w:sz w:val="24"/>
          <w:szCs w:val="24"/>
        </w:rPr>
      </w:pPr>
      <w:r w:rsidRPr="003C7CB1">
        <w:rPr>
          <w:sz w:val="24"/>
          <w:szCs w:val="24"/>
        </w:rPr>
        <w:t xml:space="preserve">The UNWTO states that an appropriate strategy could double tourism revenues in the country, but, above all, this requires adequate infrastructure, appropriate investments and a skilled labor force for tourism.  </w:t>
      </w:r>
      <w:r w:rsidR="00765B94">
        <w:rPr>
          <w:rFonts w:cs="Arial"/>
          <w:sz w:val="24"/>
          <w:szCs w:val="24"/>
        </w:rPr>
        <w:t xml:space="preserve">                                                                                                   </w:t>
      </w:r>
    </w:p>
    <w:p w14:paraId="5D55E1FF" w14:textId="77777777" w:rsidR="00E732FA" w:rsidRPr="003C7CB1" w:rsidRDefault="00E732FA" w:rsidP="00E732FA">
      <w:pPr>
        <w:spacing w:after="120" w:line="240" w:lineRule="auto"/>
        <w:jc w:val="both"/>
        <w:rPr>
          <w:sz w:val="24"/>
          <w:szCs w:val="24"/>
        </w:rPr>
      </w:pPr>
    </w:p>
    <w:p w14:paraId="42CBE60D" w14:textId="77777777" w:rsidR="00E732FA" w:rsidRPr="003C7CB1" w:rsidRDefault="00E732FA" w:rsidP="00E732FA">
      <w:pPr>
        <w:spacing w:after="120" w:line="240" w:lineRule="auto"/>
        <w:jc w:val="both"/>
        <w:rPr>
          <w:sz w:val="24"/>
          <w:szCs w:val="24"/>
        </w:rPr>
      </w:pPr>
      <w:r w:rsidRPr="003C7CB1">
        <w:rPr>
          <w:noProof/>
          <w:sz w:val="24"/>
          <w:szCs w:val="24"/>
        </w:rPr>
        <w:lastRenderedPageBreak/>
        <w:drawing>
          <wp:inline distT="0" distB="0" distL="0" distR="0" wp14:anchorId="445497F2" wp14:editId="4DD662DF">
            <wp:extent cx="5732145" cy="8108211"/>
            <wp:effectExtent l="0" t="0" r="1905"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0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23456893" w14:textId="77777777" w:rsidR="00E732FA" w:rsidRPr="003C7CB1" w:rsidRDefault="00E732FA" w:rsidP="00E732FA">
      <w:pPr>
        <w:spacing w:after="120" w:line="240" w:lineRule="auto"/>
        <w:jc w:val="both"/>
        <w:rPr>
          <w:sz w:val="24"/>
          <w:szCs w:val="24"/>
        </w:rPr>
      </w:pPr>
    </w:p>
    <w:p w14:paraId="38C99FCD" w14:textId="77777777" w:rsidR="00E732FA" w:rsidRPr="003C7CB1" w:rsidRDefault="00E732FA" w:rsidP="00E732FA">
      <w:pPr>
        <w:spacing w:after="120" w:line="240" w:lineRule="auto"/>
        <w:jc w:val="both"/>
        <w:rPr>
          <w:sz w:val="24"/>
          <w:szCs w:val="24"/>
        </w:rPr>
      </w:pPr>
    </w:p>
    <w:p w14:paraId="2A04517E" w14:textId="77777777" w:rsidR="00E732FA" w:rsidRPr="003C7CB1" w:rsidRDefault="00E732FA" w:rsidP="00E732FA">
      <w:pPr>
        <w:pStyle w:val="Heading1"/>
        <w:numPr>
          <w:ilvl w:val="0"/>
          <w:numId w:val="48"/>
        </w:numPr>
        <w:spacing w:before="0" w:line="240" w:lineRule="auto"/>
      </w:pPr>
      <w:bookmarkStart w:id="103" w:name="_Toc91286172"/>
      <w:bookmarkStart w:id="104" w:name="_Toc95303014"/>
      <w:bookmarkStart w:id="105" w:name="_Toc102133802"/>
      <w:bookmarkStart w:id="106" w:name="_Toc104544186"/>
      <w:r w:rsidRPr="003C7CB1">
        <w:lastRenderedPageBreak/>
        <w:t>SWOT ANAL</w:t>
      </w:r>
      <w:bookmarkStart w:id="107" w:name="_Toc91461480"/>
      <w:bookmarkStart w:id="108" w:name="_Toc91500009"/>
      <w:bookmarkStart w:id="109" w:name="_Toc91500500"/>
      <w:bookmarkStart w:id="110" w:name="_Toc91518782"/>
      <w:bookmarkStart w:id="111" w:name="_Toc91518918"/>
      <w:bookmarkStart w:id="112" w:name="_Toc91521905"/>
      <w:bookmarkEnd w:id="103"/>
      <w:bookmarkEnd w:id="104"/>
      <w:r w:rsidRPr="003C7CB1">
        <w:t>YSIS</w:t>
      </w:r>
      <w:bookmarkEnd w:id="105"/>
      <w:bookmarkEnd w:id="106"/>
      <w:r w:rsidRPr="003C7CB1">
        <w:t xml:space="preserve"> </w:t>
      </w:r>
      <w:bookmarkStart w:id="113" w:name="_Toc95299935"/>
      <w:bookmarkStart w:id="114" w:name="_Toc95303015"/>
      <w:bookmarkStart w:id="115" w:name="_Toc97902480"/>
    </w:p>
    <w:p w14:paraId="02B71656" w14:textId="77777777" w:rsidR="00E732FA" w:rsidRPr="003C7CB1" w:rsidRDefault="00E732FA" w:rsidP="00E732FA">
      <w:pPr>
        <w:jc w:val="both"/>
        <w:rPr>
          <w:sz w:val="24"/>
        </w:rPr>
      </w:pPr>
    </w:p>
    <w:p w14:paraId="44E08043" w14:textId="77777777" w:rsidR="00E732FA" w:rsidRPr="003C7CB1" w:rsidRDefault="00E732FA" w:rsidP="00E732FA">
      <w:pPr>
        <w:jc w:val="both"/>
        <w:rPr>
          <w:sz w:val="24"/>
        </w:rPr>
      </w:pPr>
      <w:r w:rsidRPr="003C7CB1">
        <w:rPr>
          <w:sz w:val="24"/>
        </w:rPr>
        <w:t>The following is a SWOT analysis which represents a revision and analysis of the strategic position of the Montenegrin tourist destination. Maximizing strengths and opportunities, while minimizing weaknesses and threats, should lead to defining an adequate tourism development strategy</w:t>
      </w:r>
      <w:bookmarkEnd w:id="107"/>
      <w:bookmarkEnd w:id="108"/>
      <w:bookmarkEnd w:id="109"/>
      <w:bookmarkEnd w:id="110"/>
      <w:bookmarkEnd w:id="111"/>
      <w:bookmarkEnd w:id="112"/>
      <w:bookmarkEnd w:id="113"/>
      <w:bookmarkEnd w:id="114"/>
      <w:bookmarkEnd w:id="115"/>
      <w:r w:rsidRPr="003C7CB1">
        <w:rPr>
          <w:sz w:val="24"/>
        </w:rPr>
        <w:t xml:space="preserve">.  </w:t>
      </w:r>
    </w:p>
    <w:tbl>
      <w:tblPr>
        <w:tblpPr w:leftFromText="180" w:rightFromText="180" w:vertAnchor="text" w:horzAnchor="margin" w:tblpY="-60"/>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706"/>
      </w:tblGrid>
      <w:tr w:rsidR="00E732FA" w:rsidRPr="003C7CB1" w14:paraId="5578D436" w14:textId="77777777" w:rsidTr="00E732FA">
        <w:trPr>
          <w:trHeight w:val="274"/>
        </w:trPr>
        <w:tc>
          <w:tcPr>
            <w:tcW w:w="2413" w:type="pct"/>
            <w:shd w:val="clear" w:color="auto" w:fill="2F5496" w:themeFill="accent1" w:themeFillShade="BF"/>
            <w:vAlign w:val="center"/>
          </w:tcPr>
          <w:p w14:paraId="73A56BD2" w14:textId="77777777" w:rsidR="00E732FA" w:rsidRPr="003C7CB1" w:rsidRDefault="00E732FA" w:rsidP="00E732FA">
            <w:pPr>
              <w:spacing w:after="120"/>
              <w:jc w:val="center"/>
              <w:rPr>
                <w:rFonts w:ascii="Calibri" w:eastAsia="Times New Roman" w:hAnsi="Calibri" w:cs="Times New Roman"/>
                <w:color w:val="FFFFFF"/>
                <w:lang w:eastAsia="hr-HR"/>
              </w:rPr>
            </w:pPr>
            <w:bookmarkStart w:id="116" w:name="_Toc91286173"/>
            <w:bookmarkStart w:id="117" w:name="_Hlk85632325"/>
            <w:bookmarkEnd w:id="98"/>
            <w:r w:rsidRPr="003C7CB1">
              <w:rPr>
                <w:rFonts w:ascii="Calibri" w:eastAsia="Times New Roman" w:hAnsi="Calibri" w:cs="Times New Roman"/>
                <w:color w:val="FFFFFF"/>
                <w:lang w:eastAsia="hr-HR"/>
              </w:rPr>
              <w:lastRenderedPageBreak/>
              <w:t xml:space="preserve">Strengths </w:t>
            </w:r>
          </w:p>
        </w:tc>
        <w:tc>
          <w:tcPr>
            <w:tcW w:w="2587" w:type="pct"/>
            <w:shd w:val="clear" w:color="auto" w:fill="FFC000"/>
            <w:vAlign w:val="center"/>
          </w:tcPr>
          <w:p w14:paraId="2C265432" w14:textId="77777777" w:rsidR="00E732FA" w:rsidRPr="003C7CB1" w:rsidRDefault="00E732FA" w:rsidP="00E732FA">
            <w:pPr>
              <w:spacing w:after="120"/>
              <w:jc w:val="center"/>
              <w:rPr>
                <w:rFonts w:ascii="Calibri" w:eastAsia="Times New Roman" w:hAnsi="Calibri" w:cs="Times New Roman"/>
                <w:color w:val="FFFFFF"/>
                <w:lang w:eastAsia="hr-HR"/>
              </w:rPr>
            </w:pPr>
            <w:r w:rsidRPr="003C7CB1">
              <w:rPr>
                <w:rFonts w:ascii="Calibri" w:eastAsia="Times New Roman" w:hAnsi="Calibri" w:cs="Times New Roman"/>
                <w:color w:val="FFFFFF"/>
                <w:lang w:eastAsia="hr-HR"/>
              </w:rPr>
              <w:t xml:space="preserve">Weaknesses </w:t>
            </w:r>
          </w:p>
        </w:tc>
      </w:tr>
      <w:tr w:rsidR="00E732FA" w:rsidRPr="003C7CB1" w14:paraId="631D5DAA" w14:textId="77777777" w:rsidTr="00E732FA">
        <w:trPr>
          <w:trHeight w:val="6035"/>
        </w:trPr>
        <w:tc>
          <w:tcPr>
            <w:tcW w:w="2413" w:type="pct"/>
          </w:tcPr>
          <w:p w14:paraId="1771F17D"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Geographical position of Montenegro </w:t>
            </w:r>
          </w:p>
          <w:p w14:paraId="094A0209"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Three different but mutually complementary regions </w:t>
            </w:r>
          </w:p>
          <w:p w14:paraId="773CBA87"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Authenticity of landscape, offers and traditional values </w:t>
            </w:r>
          </w:p>
          <w:p w14:paraId="6FCCD423" w14:textId="620A1E65" w:rsidR="00E732FA" w:rsidRPr="003C7CB1" w:rsidRDefault="003C7CB1"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A </w:t>
            </w:r>
            <w:r w:rsidRPr="003C7CB1">
              <w:rPr>
                <w:sz w:val="20"/>
              </w:rPr>
              <w:t>wealth</w:t>
            </w:r>
            <w:r w:rsidR="00E732FA" w:rsidRPr="003C7CB1">
              <w:rPr>
                <w:rFonts w:cstheme="minorHAnsi"/>
                <w:sz w:val="18"/>
                <w:szCs w:val="19"/>
                <w:lang w:eastAsia="hr-HR"/>
              </w:rPr>
              <w:t xml:space="preserve"> </w:t>
            </w:r>
            <w:r w:rsidR="00E732FA" w:rsidRPr="003C7CB1">
              <w:rPr>
                <w:rFonts w:cstheme="minorHAnsi"/>
                <w:sz w:val="19"/>
                <w:szCs w:val="19"/>
                <w:lang w:eastAsia="hr-HR"/>
              </w:rPr>
              <w:t xml:space="preserve">of natural beauty </w:t>
            </w:r>
          </w:p>
          <w:p w14:paraId="1FF32FBD"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Variety of offers (close to the sea and mountains)  </w:t>
            </w:r>
          </w:p>
          <w:p w14:paraId="4F7B243A"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EU candidate status - use of funds </w:t>
            </w:r>
          </w:p>
          <w:p w14:paraId="4229923F"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Favorable climate conditions </w:t>
            </w:r>
          </w:p>
          <w:p w14:paraId="4FDC582C"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5 national parks and 6 nature parks, as centers for tourism development in the hinterland </w:t>
            </w:r>
          </w:p>
          <w:p w14:paraId="532F6F4B"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Natural and cultural heritage under UNESCO protection </w:t>
            </w:r>
          </w:p>
          <w:p w14:paraId="5DCD6BE2"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Cultural and historical heritage </w:t>
            </w:r>
          </w:p>
          <w:p w14:paraId="2CB09C90"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Long tourist tradition </w:t>
            </w:r>
          </w:p>
          <w:p w14:paraId="0E730387"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Adequate visa regime </w:t>
            </w:r>
          </w:p>
          <w:p w14:paraId="6D5B02E5"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Traditional gastronomic offer </w:t>
            </w:r>
          </w:p>
          <w:p w14:paraId="578AF583" w14:textId="77777777" w:rsidR="00E732FA" w:rsidRPr="003C7CB1" w:rsidRDefault="00E732FA" w:rsidP="00E732FA">
            <w:pPr>
              <w:pStyle w:val="ListParagraph"/>
              <w:numPr>
                <w:ilvl w:val="0"/>
                <w:numId w:val="1"/>
              </w:numPr>
              <w:spacing w:after="0" w:line="240" w:lineRule="auto"/>
              <w:jc w:val="both"/>
              <w:rPr>
                <w:rFonts w:cstheme="minorHAnsi"/>
                <w:sz w:val="19"/>
                <w:szCs w:val="19"/>
                <w:lang w:eastAsia="hr-HR"/>
              </w:rPr>
            </w:pPr>
            <w:r w:rsidRPr="003C7CB1">
              <w:rPr>
                <w:rFonts w:cstheme="minorHAnsi"/>
                <w:sz w:val="19"/>
                <w:szCs w:val="19"/>
                <w:lang w:eastAsia="hr-HR"/>
              </w:rPr>
              <w:t xml:space="preserve">Hospitality of the local population </w:t>
            </w:r>
          </w:p>
        </w:tc>
        <w:tc>
          <w:tcPr>
            <w:tcW w:w="2587" w:type="pct"/>
          </w:tcPr>
          <w:p w14:paraId="08F99934"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Lack of awareness of development policies </w:t>
            </w:r>
          </w:p>
          <w:p w14:paraId="6A7727F8"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High degree of dependence on “sun and sea” products </w:t>
            </w:r>
          </w:p>
          <w:p w14:paraId="78454B41"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Insufficiently recognized destination </w:t>
            </w:r>
          </w:p>
          <w:p w14:paraId="1564E79D"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Insufficient diversification of the tourism product </w:t>
            </w:r>
          </w:p>
          <w:p w14:paraId="5B163432"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Concentration of tourist movements in the Coastal Region </w:t>
            </w:r>
          </w:p>
          <w:p w14:paraId="7DDD4AE9" w14:textId="3586F05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Inadequate infrastructure and </w:t>
            </w:r>
            <w:proofErr w:type="spellStart"/>
            <w:r w:rsidRPr="003C7CB1">
              <w:rPr>
                <w:rFonts w:cstheme="minorHAnsi"/>
                <w:sz w:val="19"/>
                <w:szCs w:val="19"/>
                <w:lang w:eastAsia="hr-HR"/>
              </w:rPr>
              <w:t>sup</w:t>
            </w:r>
            <w:r w:rsidR="0075090E">
              <w:rPr>
                <w:rFonts w:cstheme="minorHAnsi"/>
                <w:sz w:val="19"/>
                <w:szCs w:val="19"/>
                <w:lang w:eastAsia="hr-HR"/>
              </w:rPr>
              <w:t>ra</w:t>
            </w:r>
            <w:r w:rsidRPr="003C7CB1">
              <w:rPr>
                <w:rFonts w:cstheme="minorHAnsi"/>
                <w:sz w:val="19"/>
                <w:szCs w:val="19"/>
                <w:lang w:eastAsia="hr-HR"/>
              </w:rPr>
              <w:t>structure</w:t>
            </w:r>
            <w:proofErr w:type="spellEnd"/>
            <w:r w:rsidRPr="003C7CB1">
              <w:rPr>
                <w:rFonts w:cstheme="minorHAnsi"/>
                <w:sz w:val="19"/>
                <w:szCs w:val="19"/>
                <w:lang w:eastAsia="hr-HR"/>
              </w:rPr>
              <w:t xml:space="preserve"> (utility and water infrastructure, electrical, road, etc.) </w:t>
            </w:r>
          </w:p>
          <w:p w14:paraId="2D8FCA4D"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Expressed seasonality </w:t>
            </w:r>
          </w:p>
          <w:p w14:paraId="0050B6FB"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Great presence of the gray economy </w:t>
            </w:r>
          </w:p>
          <w:p w14:paraId="338867D8" w14:textId="7A494FA8"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Regional inequality of touris</w:t>
            </w:r>
            <w:r w:rsidR="00A36392">
              <w:rPr>
                <w:rFonts w:cstheme="minorHAnsi"/>
                <w:sz w:val="19"/>
                <w:szCs w:val="19"/>
                <w:lang w:eastAsia="hr-HR"/>
              </w:rPr>
              <w:t>m turnover</w:t>
            </w:r>
            <w:r w:rsidRPr="003C7CB1">
              <w:rPr>
                <w:rFonts w:cstheme="minorHAnsi"/>
                <w:sz w:val="19"/>
                <w:szCs w:val="19"/>
                <w:lang w:eastAsia="hr-HR"/>
              </w:rPr>
              <w:t xml:space="preserve">  </w:t>
            </w:r>
          </w:p>
          <w:p w14:paraId="130486D7"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Lack of capacity for EU projects </w:t>
            </w:r>
          </w:p>
          <w:p w14:paraId="2FB59EE7"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Insufficiently fast development of the tourist offer</w:t>
            </w:r>
          </w:p>
          <w:p w14:paraId="659DD19E"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High prices in relation to the quality of the offer (general perception of tourists, according to research) </w:t>
            </w:r>
          </w:p>
          <w:p w14:paraId="727F8219"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Depopulation of rural areas </w:t>
            </w:r>
          </w:p>
          <w:p w14:paraId="20AEE1E9"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Devastation of space / Unplanned construction </w:t>
            </w:r>
          </w:p>
          <w:p w14:paraId="701D5F9D" w14:textId="376C5E56" w:rsidR="00E732FA" w:rsidRPr="003C7CB1" w:rsidRDefault="003C7CB1"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Wastewater treatment</w:t>
            </w:r>
            <w:r w:rsidR="00E732FA" w:rsidRPr="003C7CB1">
              <w:rPr>
                <w:rFonts w:cstheme="minorHAnsi"/>
                <w:sz w:val="19"/>
                <w:szCs w:val="19"/>
                <w:lang w:eastAsia="hr-HR"/>
              </w:rPr>
              <w:t xml:space="preserve"> and illegal landfill </w:t>
            </w:r>
          </w:p>
          <w:p w14:paraId="31E9FE2D"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Insufficient cooperation between the public and private sectors </w:t>
            </w:r>
          </w:p>
          <w:p w14:paraId="78C8CCCD"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Inefficient control and congestion system at border crossings </w:t>
            </w:r>
          </w:p>
          <w:p w14:paraId="4A65C71D"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Noise </w:t>
            </w:r>
          </w:p>
          <w:p w14:paraId="3D947A14"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Insufficient participation of high-paying guests </w:t>
            </w:r>
          </w:p>
          <w:p w14:paraId="041C233E"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Low level of quality of accommodation capacities </w:t>
            </w:r>
          </w:p>
          <w:p w14:paraId="4680AA0F"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Unfavorable structure of accommodation capacities - 30%: 70% ratio of collective and individual accommodation </w:t>
            </w:r>
          </w:p>
          <w:p w14:paraId="5108E58D"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Insufficient level of digitization </w:t>
            </w:r>
          </w:p>
          <w:p w14:paraId="5D5B45D6"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Lack of adequate labor force  </w:t>
            </w:r>
          </w:p>
          <w:p w14:paraId="11930700"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Lack of financial resources and knowledge of new technologies </w:t>
            </w:r>
          </w:p>
          <w:p w14:paraId="50803FD3" w14:textId="77777777" w:rsidR="00E732FA" w:rsidRPr="003C7CB1" w:rsidRDefault="00E732FA" w:rsidP="00E732FA">
            <w:pPr>
              <w:pStyle w:val="ListParagraph"/>
              <w:numPr>
                <w:ilvl w:val="0"/>
                <w:numId w:val="2"/>
              </w:numPr>
              <w:spacing w:after="0" w:line="240" w:lineRule="auto"/>
              <w:jc w:val="both"/>
              <w:rPr>
                <w:rFonts w:cstheme="minorHAnsi"/>
                <w:sz w:val="19"/>
                <w:szCs w:val="19"/>
                <w:lang w:eastAsia="hr-HR"/>
              </w:rPr>
            </w:pPr>
            <w:r w:rsidRPr="003C7CB1">
              <w:rPr>
                <w:rFonts w:cstheme="minorHAnsi"/>
                <w:sz w:val="19"/>
                <w:szCs w:val="19"/>
                <w:lang w:eastAsia="hr-HR"/>
              </w:rPr>
              <w:t xml:space="preserve">Low level of intersectoral cooperation </w:t>
            </w:r>
            <w:r w:rsidRPr="003C7CB1">
              <w:rPr>
                <w:rFonts w:eastAsia="Times New Roman" w:cstheme="minorHAnsi"/>
                <w:sz w:val="19"/>
                <w:szCs w:val="19"/>
                <w:lang w:eastAsia="hr-HR"/>
              </w:rPr>
              <w:t xml:space="preserve"> </w:t>
            </w:r>
          </w:p>
        </w:tc>
      </w:tr>
      <w:tr w:rsidR="00E732FA" w:rsidRPr="003C7CB1" w14:paraId="65B98B17" w14:textId="77777777" w:rsidTr="00E732FA">
        <w:trPr>
          <w:trHeight w:val="211"/>
        </w:trPr>
        <w:tc>
          <w:tcPr>
            <w:tcW w:w="2413" w:type="pct"/>
            <w:shd w:val="clear" w:color="auto" w:fill="538135" w:themeFill="accent6" w:themeFillShade="BF"/>
            <w:vAlign w:val="center"/>
          </w:tcPr>
          <w:p w14:paraId="789F1EB1" w14:textId="77777777" w:rsidR="00E732FA" w:rsidRPr="003C7CB1" w:rsidRDefault="00E732FA" w:rsidP="00E732FA">
            <w:pPr>
              <w:spacing w:after="0" w:line="240" w:lineRule="auto"/>
              <w:jc w:val="center"/>
              <w:rPr>
                <w:rFonts w:ascii="Calibri" w:eastAsia="Times New Roman" w:hAnsi="Calibri" w:cs="Times New Roman"/>
                <w:color w:val="FFFFFF"/>
                <w:sz w:val="19"/>
                <w:szCs w:val="19"/>
                <w:lang w:eastAsia="hr-HR"/>
              </w:rPr>
            </w:pPr>
            <w:r w:rsidRPr="003C7CB1">
              <w:rPr>
                <w:rFonts w:ascii="Calibri" w:eastAsia="Times New Roman" w:hAnsi="Calibri" w:cs="Times New Roman"/>
                <w:color w:val="FFFFFF"/>
                <w:sz w:val="19"/>
                <w:szCs w:val="19"/>
                <w:lang w:eastAsia="hr-HR"/>
              </w:rPr>
              <w:t xml:space="preserve">Opportunities  </w:t>
            </w:r>
          </w:p>
        </w:tc>
        <w:tc>
          <w:tcPr>
            <w:tcW w:w="2587" w:type="pct"/>
            <w:shd w:val="clear" w:color="auto" w:fill="FF0000"/>
            <w:vAlign w:val="center"/>
          </w:tcPr>
          <w:p w14:paraId="0B6967A3" w14:textId="77777777" w:rsidR="00E732FA" w:rsidRPr="003C7CB1" w:rsidRDefault="00E732FA" w:rsidP="00E732FA">
            <w:pPr>
              <w:spacing w:after="0" w:line="240" w:lineRule="auto"/>
              <w:jc w:val="center"/>
              <w:rPr>
                <w:rFonts w:ascii="Calibri" w:eastAsia="Times New Roman" w:hAnsi="Calibri" w:cs="Times New Roman"/>
                <w:color w:val="FFFFFF"/>
                <w:sz w:val="19"/>
                <w:szCs w:val="19"/>
                <w:lang w:eastAsia="hr-HR"/>
              </w:rPr>
            </w:pPr>
            <w:r w:rsidRPr="003C7CB1">
              <w:rPr>
                <w:rFonts w:ascii="Calibri" w:eastAsia="Times New Roman" w:hAnsi="Calibri" w:cs="Times New Roman"/>
                <w:color w:val="FFFFFF"/>
                <w:sz w:val="19"/>
                <w:szCs w:val="19"/>
                <w:lang w:eastAsia="hr-HR"/>
              </w:rPr>
              <w:t xml:space="preserve">Threats </w:t>
            </w:r>
          </w:p>
        </w:tc>
      </w:tr>
      <w:tr w:rsidR="00E732FA" w:rsidRPr="003C7CB1" w14:paraId="623AF491" w14:textId="77777777" w:rsidTr="00E732FA">
        <w:trPr>
          <w:trHeight w:val="2970"/>
        </w:trPr>
        <w:tc>
          <w:tcPr>
            <w:tcW w:w="2413" w:type="pct"/>
          </w:tcPr>
          <w:p w14:paraId="1A19D803" w14:textId="77777777" w:rsidR="00E732FA" w:rsidRPr="003C7CB1" w:rsidRDefault="00E732FA" w:rsidP="00E732FA">
            <w:pPr>
              <w:pStyle w:val="Default"/>
              <w:numPr>
                <w:ilvl w:val="0"/>
                <w:numId w:val="3"/>
              </w:numPr>
              <w:jc w:val="both"/>
              <w:rPr>
                <w:sz w:val="19"/>
                <w:szCs w:val="19"/>
              </w:rPr>
            </w:pPr>
            <w:r w:rsidRPr="003C7CB1">
              <w:rPr>
                <w:sz w:val="19"/>
                <w:szCs w:val="19"/>
              </w:rPr>
              <w:t xml:space="preserve">Tourism as a stimulator of development of other economic and non-economic branches </w:t>
            </w:r>
          </w:p>
          <w:p w14:paraId="6C8098B8" w14:textId="77777777" w:rsidR="00E732FA" w:rsidRPr="003C7CB1" w:rsidRDefault="00E732FA" w:rsidP="00E732FA">
            <w:pPr>
              <w:pStyle w:val="Default"/>
              <w:numPr>
                <w:ilvl w:val="0"/>
                <w:numId w:val="3"/>
              </w:numPr>
              <w:jc w:val="both"/>
              <w:rPr>
                <w:sz w:val="19"/>
                <w:szCs w:val="19"/>
              </w:rPr>
            </w:pPr>
            <w:r w:rsidRPr="003C7CB1">
              <w:rPr>
                <w:sz w:val="19"/>
                <w:szCs w:val="19"/>
              </w:rPr>
              <w:t xml:space="preserve">Return to nature </w:t>
            </w:r>
          </w:p>
          <w:p w14:paraId="1C6FBC70" w14:textId="77777777" w:rsidR="00E732FA" w:rsidRPr="003C7CB1" w:rsidRDefault="00E732FA" w:rsidP="00E732FA">
            <w:pPr>
              <w:pStyle w:val="Default"/>
              <w:numPr>
                <w:ilvl w:val="0"/>
                <w:numId w:val="3"/>
              </w:numPr>
              <w:jc w:val="both"/>
              <w:rPr>
                <w:sz w:val="19"/>
                <w:szCs w:val="19"/>
              </w:rPr>
            </w:pPr>
            <w:r w:rsidRPr="003C7CB1">
              <w:rPr>
                <w:sz w:val="19"/>
                <w:szCs w:val="19"/>
              </w:rPr>
              <w:t xml:space="preserve">Integration of Montenegro into the European Union - EU pre-accession funds </w:t>
            </w:r>
          </w:p>
          <w:p w14:paraId="059CD641" w14:textId="77777777" w:rsidR="00E732FA" w:rsidRPr="003C7CB1" w:rsidRDefault="00E732FA" w:rsidP="00E732FA">
            <w:pPr>
              <w:pStyle w:val="Default"/>
              <w:numPr>
                <w:ilvl w:val="0"/>
                <w:numId w:val="3"/>
              </w:numPr>
              <w:jc w:val="both"/>
              <w:rPr>
                <w:sz w:val="19"/>
                <w:szCs w:val="19"/>
              </w:rPr>
            </w:pPr>
            <w:r w:rsidRPr="003C7CB1">
              <w:rPr>
                <w:sz w:val="19"/>
                <w:szCs w:val="19"/>
              </w:rPr>
              <w:t xml:space="preserve">Improving air accessibility </w:t>
            </w:r>
          </w:p>
          <w:p w14:paraId="6CD42C9D" w14:textId="77777777" w:rsidR="00E732FA" w:rsidRPr="003C7CB1" w:rsidRDefault="00E732FA" w:rsidP="00E732FA">
            <w:pPr>
              <w:pStyle w:val="Default"/>
              <w:numPr>
                <w:ilvl w:val="0"/>
                <w:numId w:val="3"/>
              </w:numPr>
              <w:jc w:val="both"/>
              <w:rPr>
                <w:sz w:val="19"/>
                <w:szCs w:val="19"/>
              </w:rPr>
            </w:pPr>
            <w:r w:rsidRPr="003C7CB1">
              <w:rPr>
                <w:sz w:val="19"/>
                <w:szCs w:val="19"/>
              </w:rPr>
              <w:t xml:space="preserve">Improving road infrastructure </w:t>
            </w:r>
          </w:p>
          <w:p w14:paraId="22C07B4C" w14:textId="77777777" w:rsidR="00E732FA" w:rsidRPr="003C7CB1" w:rsidRDefault="00E732FA" w:rsidP="00E732FA">
            <w:pPr>
              <w:pStyle w:val="Default"/>
              <w:numPr>
                <w:ilvl w:val="0"/>
                <w:numId w:val="3"/>
              </w:numPr>
              <w:jc w:val="both"/>
              <w:rPr>
                <w:sz w:val="19"/>
                <w:szCs w:val="19"/>
              </w:rPr>
            </w:pPr>
            <w:r w:rsidRPr="003C7CB1">
              <w:rPr>
                <w:sz w:val="19"/>
                <w:szCs w:val="19"/>
              </w:rPr>
              <w:t xml:space="preserve">Product diversification (rural, cultural, health, nautical, sports and recreational, MICE tourism ...) </w:t>
            </w:r>
          </w:p>
          <w:p w14:paraId="4D46DA9D" w14:textId="77777777" w:rsidR="00E732FA" w:rsidRPr="003C7CB1" w:rsidRDefault="00E732FA" w:rsidP="00E732FA">
            <w:pPr>
              <w:pStyle w:val="Default"/>
              <w:numPr>
                <w:ilvl w:val="0"/>
                <w:numId w:val="3"/>
              </w:numPr>
              <w:jc w:val="both"/>
              <w:rPr>
                <w:sz w:val="19"/>
                <w:szCs w:val="19"/>
              </w:rPr>
            </w:pPr>
            <w:r w:rsidRPr="003C7CB1">
              <w:rPr>
                <w:sz w:val="19"/>
                <w:szCs w:val="19"/>
              </w:rPr>
              <w:t>Strengthening public-private partnerships</w:t>
            </w:r>
          </w:p>
          <w:p w14:paraId="323DA83B" w14:textId="77777777" w:rsidR="00E732FA" w:rsidRPr="003C7CB1" w:rsidRDefault="00E732FA" w:rsidP="00E732FA">
            <w:pPr>
              <w:pStyle w:val="Default"/>
              <w:numPr>
                <w:ilvl w:val="0"/>
                <w:numId w:val="3"/>
              </w:numPr>
              <w:jc w:val="both"/>
              <w:rPr>
                <w:sz w:val="19"/>
                <w:szCs w:val="19"/>
              </w:rPr>
            </w:pPr>
            <w:r w:rsidRPr="003C7CB1">
              <w:rPr>
                <w:sz w:val="19"/>
                <w:szCs w:val="19"/>
              </w:rPr>
              <w:t xml:space="preserve">Proximity to developed emitting markets </w:t>
            </w:r>
          </w:p>
          <w:p w14:paraId="026BA831" w14:textId="77777777" w:rsidR="00E732FA" w:rsidRPr="003C7CB1" w:rsidRDefault="00E732FA" w:rsidP="00E732FA">
            <w:pPr>
              <w:pStyle w:val="Default"/>
              <w:numPr>
                <w:ilvl w:val="0"/>
                <w:numId w:val="3"/>
              </w:numPr>
              <w:jc w:val="both"/>
              <w:rPr>
                <w:sz w:val="19"/>
                <w:szCs w:val="19"/>
              </w:rPr>
            </w:pPr>
            <w:r w:rsidRPr="003C7CB1">
              <w:rPr>
                <w:sz w:val="19"/>
                <w:szCs w:val="19"/>
              </w:rPr>
              <w:t xml:space="preserve">Increasing demand for organic agricultural products </w:t>
            </w:r>
          </w:p>
          <w:p w14:paraId="77202196" w14:textId="77777777" w:rsidR="00E732FA" w:rsidRPr="003C7CB1" w:rsidRDefault="00E732FA" w:rsidP="00E732FA">
            <w:pPr>
              <w:pStyle w:val="Default"/>
              <w:numPr>
                <w:ilvl w:val="0"/>
                <w:numId w:val="3"/>
              </w:numPr>
              <w:jc w:val="both"/>
              <w:rPr>
                <w:sz w:val="19"/>
                <w:szCs w:val="19"/>
              </w:rPr>
            </w:pPr>
            <w:r w:rsidRPr="003C7CB1">
              <w:rPr>
                <w:sz w:val="19"/>
                <w:szCs w:val="19"/>
              </w:rPr>
              <w:t xml:space="preserve">Global trends show that more and more tourists want to spend their holidays in nature while respecting healthy lifestyles.  </w:t>
            </w:r>
          </w:p>
        </w:tc>
        <w:tc>
          <w:tcPr>
            <w:tcW w:w="2587" w:type="pct"/>
          </w:tcPr>
          <w:p w14:paraId="26B563C5"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Depopulation of northern municipalities </w:t>
            </w:r>
          </w:p>
          <w:p w14:paraId="17C132BE"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Lack of information about the possibilities of “green tourism” </w:t>
            </w:r>
          </w:p>
          <w:p w14:paraId="69C46303"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Increasing environmental pollution </w:t>
            </w:r>
          </w:p>
          <w:p w14:paraId="2E174893"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Lack of financial capacity of local governments </w:t>
            </w:r>
          </w:p>
          <w:p w14:paraId="4E480B1D"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Insufficient valorization of cultural heritage </w:t>
            </w:r>
          </w:p>
          <w:p w14:paraId="3CDF3DF6"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COVID-19 pandemics, new variants of the virus and potential crises </w:t>
            </w:r>
          </w:p>
          <w:p w14:paraId="5B58EBD2" w14:textId="6D55BE3E"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Inconsistency of the quality of the </w:t>
            </w:r>
            <w:r w:rsidR="00C65FFD">
              <w:rPr>
                <w:rFonts w:asciiTheme="minorHAnsi" w:hAnsiTheme="minorHAnsi" w:cstheme="minorHAnsi"/>
                <w:sz w:val="19"/>
                <w:szCs w:val="19"/>
              </w:rPr>
              <w:t>tourism product</w:t>
            </w:r>
            <w:r w:rsidRPr="003C7CB1">
              <w:rPr>
                <w:rFonts w:asciiTheme="minorHAnsi" w:hAnsiTheme="minorHAnsi" w:cstheme="minorHAnsi"/>
                <w:sz w:val="19"/>
                <w:szCs w:val="19"/>
              </w:rPr>
              <w:t xml:space="preserve"> and its promotion </w:t>
            </w:r>
          </w:p>
          <w:p w14:paraId="7D5BAEE0"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Inadequate labor force </w:t>
            </w:r>
          </w:p>
          <w:p w14:paraId="4150D48A"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Climate change </w:t>
            </w:r>
          </w:p>
          <w:p w14:paraId="54F69410"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Insufficiently strengthened public-private partnership </w:t>
            </w:r>
          </w:p>
          <w:p w14:paraId="129B132A" w14:textId="77777777" w:rsidR="00E732FA" w:rsidRPr="003C7CB1" w:rsidRDefault="00E732FA" w:rsidP="00E732FA">
            <w:pPr>
              <w:pStyle w:val="Default"/>
              <w:numPr>
                <w:ilvl w:val="0"/>
                <w:numId w:val="4"/>
              </w:numPr>
              <w:jc w:val="both"/>
              <w:rPr>
                <w:rFonts w:asciiTheme="minorHAnsi" w:hAnsiTheme="minorHAnsi" w:cstheme="minorHAnsi"/>
                <w:sz w:val="19"/>
                <w:szCs w:val="19"/>
              </w:rPr>
            </w:pPr>
            <w:r w:rsidRPr="003C7CB1">
              <w:rPr>
                <w:rFonts w:asciiTheme="minorHAnsi" w:hAnsiTheme="minorHAnsi" w:cstheme="minorHAnsi"/>
                <w:sz w:val="19"/>
                <w:szCs w:val="19"/>
              </w:rPr>
              <w:t xml:space="preserve">Increased uncertainty in Eastern Europe (war in Ukraine, economic sanctions against the Russian Federation by many countries, etc.)  </w:t>
            </w:r>
          </w:p>
        </w:tc>
      </w:tr>
    </w:tbl>
    <w:p w14:paraId="0AC5555E" w14:textId="77777777" w:rsidR="00E732FA" w:rsidRPr="003C7CB1" w:rsidRDefault="00E732FA" w:rsidP="00E732FA">
      <w:pPr>
        <w:spacing w:after="0" w:line="240" w:lineRule="auto"/>
      </w:pPr>
      <w:r w:rsidRPr="003C7CB1">
        <w:rPr>
          <w:noProof/>
        </w:rPr>
        <w:lastRenderedPageBreak/>
        <w:drawing>
          <wp:inline distT="0" distB="0" distL="0" distR="0" wp14:anchorId="075A8B21" wp14:editId="30E9D76D">
            <wp:extent cx="5732145" cy="8108211"/>
            <wp:effectExtent l="0" t="0" r="1905"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0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4F689FD5" w14:textId="77777777" w:rsidR="00E732FA" w:rsidRPr="003C7CB1" w:rsidRDefault="00E732FA" w:rsidP="00E732FA">
      <w:pPr>
        <w:spacing w:after="0" w:line="240" w:lineRule="auto"/>
      </w:pPr>
      <w:r w:rsidRPr="003C7CB1">
        <w:br w:type="page"/>
      </w:r>
    </w:p>
    <w:p w14:paraId="7BC8A06B" w14:textId="77777777" w:rsidR="00E732FA" w:rsidRPr="003C7CB1" w:rsidRDefault="00E732FA" w:rsidP="00E732FA">
      <w:pPr>
        <w:pStyle w:val="Heading1"/>
        <w:numPr>
          <w:ilvl w:val="0"/>
          <w:numId w:val="48"/>
        </w:numPr>
        <w:spacing w:before="0" w:after="120"/>
      </w:pPr>
      <w:bookmarkStart w:id="118" w:name="_Toc95303016"/>
      <w:bookmarkStart w:id="119" w:name="_Toc102133803"/>
      <w:bookmarkStart w:id="120" w:name="_Toc104544187"/>
      <w:r w:rsidRPr="003C7CB1">
        <w:lastRenderedPageBreak/>
        <w:t>PESTLE ANAL</w:t>
      </w:r>
      <w:bookmarkEnd w:id="116"/>
      <w:bookmarkEnd w:id="118"/>
      <w:r w:rsidRPr="003C7CB1">
        <w:t>YSIS</w:t>
      </w:r>
      <w:bookmarkEnd w:id="119"/>
      <w:bookmarkEnd w:id="120"/>
      <w:r w:rsidRPr="003C7CB1">
        <w:t xml:space="preserve">  </w:t>
      </w:r>
    </w:p>
    <w:p w14:paraId="5ABF143E" w14:textId="77777777" w:rsidR="00E732FA" w:rsidRPr="003C7CB1" w:rsidRDefault="00E732FA" w:rsidP="00E732FA">
      <w:pPr>
        <w:spacing w:after="120" w:line="240" w:lineRule="auto"/>
        <w:jc w:val="both"/>
        <w:rPr>
          <w:rFonts w:ascii="Calibri" w:eastAsia="Times New Roman" w:hAnsi="Calibri" w:cs="Calibri"/>
          <w:sz w:val="24"/>
          <w:szCs w:val="24"/>
        </w:rPr>
      </w:pPr>
      <w:r w:rsidRPr="003C7CB1">
        <w:rPr>
          <w:rFonts w:ascii="Calibri" w:eastAsia="Times New Roman" w:hAnsi="Calibri" w:cs="Calibri"/>
          <w:sz w:val="24"/>
          <w:szCs w:val="24"/>
        </w:rPr>
        <w:t>The analysis examines political, economic, socio-cultural, technological, legal and environmental factors.</w:t>
      </w:r>
      <w:r w:rsidRPr="003C7CB1">
        <w:rPr>
          <w:rFonts w:cs="Arial"/>
          <w:vertAlign w:val="superscript"/>
        </w:rPr>
        <w:footnoteReference w:id="27"/>
      </w:r>
      <w:r w:rsidRPr="003C7CB1">
        <w:rPr>
          <w:rFonts w:ascii="Calibri" w:eastAsia="Times New Roman" w:hAnsi="Calibri" w:cs="Calibri"/>
          <w:sz w:val="24"/>
          <w:szCs w:val="24"/>
        </w:rPr>
        <w:t xml:space="preserve"> PESTLE analysis shows the positive and negative changes taking place in the state, economy, society, as well as new trends affecting the development of tourism in Montenegro.  </w:t>
      </w:r>
    </w:p>
    <w:tbl>
      <w:tblPr>
        <w:tblStyle w:val="GridTable5Dark-Accent12"/>
        <w:tblW w:w="5000" w:type="pct"/>
        <w:tblLayout w:type="fixed"/>
        <w:tblLook w:val="04A0" w:firstRow="1" w:lastRow="0" w:firstColumn="1" w:lastColumn="0" w:noHBand="0" w:noVBand="1"/>
      </w:tblPr>
      <w:tblGrid>
        <w:gridCol w:w="383"/>
        <w:gridCol w:w="1244"/>
        <w:gridCol w:w="7390"/>
      </w:tblGrid>
      <w:tr w:rsidR="00E732FA" w:rsidRPr="003C7CB1" w14:paraId="3AFCC77E" w14:textId="77777777" w:rsidTr="00E732FA">
        <w:trPr>
          <w:cnfStyle w:val="100000000000" w:firstRow="1" w:lastRow="0" w:firstColumn="0" w:lastColumn="0" w:oddVBand="0" w:evenVBand="0" w:oddHBand="0" w:evenHBand="0" w:firstRowFirstColumn="0" w:firstRowLastColumn="0" w:lastRowFirstColumn="0" w:lastRowLastColumn="0"/>
          <w:trHeight w:val="2694"/>
        </w:trPr>
        <w:tc>
          <w:tcPr>
            <w:cnfStyle w:val="001000000000" w:firstRow="0" w:lastRow="0" w:firstColumn="1" w:lastColumn="0" w:oddVBand="0" w:evenVBand="0" w:oddHBand="0" w:evenHBand="0" w:firstRowFirstColumn="0" w:firstRowLastColumn="0" w:lastRowFirstColumn="0" w:lastRowLastColumn="0"/>
            <w:tcW w:w="212" w:type="pct"/>
            <w:tcBorders>
              <w:right w:val="single" w:sz="4" w:space="0" w:color="auto"/>
            </w:tcBorders>
            <w:shd w:val="clear" w:color="auto" w:fill="FFC000" w:themeFill="accent4"/>
            <w:vAlign w:val="center"/>
          </w:tcPr>
          <w:p w14:paraId="6F787399" w14:textId="77777777" w:rsidR="00E732FA" w:rsidRPr="003C7CB1" w:rsidRDefault="00E732FA" w:rsidP="00E732FA">
            <w:pPr>
              <w:spacing w:after="0"/>
              <w:rPr>
                <w:rFonts w:eastAsia="Cambria" w:cstheme="minorHAnsi"/>
              </w:rPr>
            </w:pPr>
            <w:r w:rsidRPr="003C7CB1">
              <w:rPr>
                <w:rFonts w:eastAsia="Cambria" w:cstheme="minorHAnsi"/>
              </w:rPr>
              <w:t>P</w:t>
            </w:r>
          </w:p>
        </w:tc>
        <w:tc>
          <w:tcPr>
            <w:tcW w:w="690" w:type="pct"/>
            <w:tcBorders>
              <w:top w:val="single" w:sz="4" w:space="0" w:color="auto"/>
              <w:left w:val="single" w:sz="4" w:space="0" w:color="auto"/>
              <w:bottom w:val="single" w:sz="4" w:space="0" w:color="auto"/>
              <w:right w:val="single" w:sz="4" w:space="0" w:color="auto"/>
            </w:tcBorders>
            <w:vAlign w:val="center"/>
          </w:tcPr>
          <w:p w14:paraId="7AF7B60E" w14:textId="77777777" w:rsidR="00E732FA" w:rsidRPr="003C7CB1" w:rsidRDefault="00E732FA" w:rsidP="00E732FA">
            <w:pPr>
              <w:spacing w:after="0"/>
              <w:cnfStyle w:val="100000000000" w:firstRow="1" w:lastRow="0" w:firstColumn="0" w:lastColumn="0" w:oddVBand="0" w:evenVBand="0" w:oddHBand="0" w:evenHBand="0" w:firstRowFirstColumn="0" w:firstRowLastColumn="0" w:lastRowFirstColumn="0" w:lastRowLastColumn="0"/>
              <w:rPr>
                <w:rFonts w:eastAsia="Cambria" w:cstheme="minorHAnsi"/>
                <w:bCs w:val="0"/>
              </w:rPr>
            </w:pPr>
            <w:r w:rsidRPr="003C7CB1">
              <w:rPr>
                <w:rFonts w:eastAsia="Cambria" w:cstheme="minorHAnsi"/>
                <w:sz w:val="20"/>
                <w:szCs w:val="20"/>
              </w:rPr>
              <w:t>POLITICAL</w:t>
            </w:r>
          </w:p>
        </w:tc>
        <w:tc>
          <w:tcPr>
            <w:tcW w:w="4098" w:type="pct"/>
            <w:tcBorders>
              <w:left w:val="single" w:sz="4" w:space="0" w:color="auto"/>
            </w:tcBorders>
          </w:tcPr>
          <w:p w14:paraId="0C10327F" w14:textId="77777777" w:rsidR="00E732FA" w:rsidRPr="003C7CB1" w:rsidRDefault="00E732FA" w:rsidP="00E732FA">
            <w:pPr>
              <w:pStyle w:val="ListParagraph"/>
              <w:numPr>
                <w:ilvl w:val="0"/>
                <w:numId w:val="8"/>
              </w:numPr>
              <w:spacing w:after="0"/>
              <w:jc w:val="both"/>
              <w:cnfStyle w:val="100000000000" w:firstRow="1" w:lastRow="0" w:firstColumn="0" w:lastColumn="0" w:oddVBand="0" w:evenVBand="0" w:oddHBand="0" w:evenHBand="0" w:firstRowFirstColumn="0" w:firstRowLastColumn="0" w:lastRowFirstColumn="0" w:lastRowLastColumn="0"/>
              <w:rPr>
                <w:rFonts w:eastAsia="Cambria" w:cstheme="minorHAnsi"/>
                <w:b w:val="0"/>
                <w:sz w:val="18"/>
                <w:szCs w:val="18"/>
              </w:rPr>
            </w:pPr>
            <w:r w:rsidRPr="003C7CB1">
              <w:rPr>
                <w:rFonts w:eastAsia="Cambria" w:cstheme="minorHAnsi"/>
                <w:b w:val="0"/>
                <w:sz w:val="18"/>
                <w:szCs w:val="18"/>
              </w:rPr>
              <w:t xml:space="preserve">NATO member and EU candidate country (candidate for EU membership - December 2010, negotiations started on June 29, 2012); </w:t>
            </w:r>
          </w:p>
          <w:p w14:paraId="646DEBE8" w14:textId="77777777" w:rsidR="00E732FA" w:rsidRPr="003C7CB1" w:rsidRDefault="00E732FA" w:rsidP="00E732FA">
            <w:pPr>
              <w:pStyle w:val="ListParagraph"/>
              <w:numPr>
                <w:ilvl w:val="0"/>
                <w:numId w:val="8"/>
              </w:numPr>
              <w:spacing w:after="0"/>
              <w:jc w:val="both"/>
              <w:cnfStyle w:val="100000000000" w:firstRow="1" w:lastRow="0" w:firstColumn="0" w:lastColumn="0" w:oddVBand="0" w:evenVBand="0" w:oddHBand="0" w:evenHBand="0" w:firstRowFirstColumn="0" w:firstRowLastColumn="0" w:lastRowFirstColumn="0" w:lastRowLastColumn="0"/>
              <w:rPr>
                <w:rFonts w:eastAsia="Cambria" w:cstheme="minorHAnsi"/>
                <w:b w:val="0"/>
                <w:sz w:val="18"/>
                <w:szCs w:val="18"/>
              </w:rPr>
            </w:pPr>
            <w:r w:rsidRPr="003C7CB1">
              <w:rPr>
                <w:rFonts w:eastAsia="Cambria" w:cstheme="minorHAnsi"/>
                <w:b w:val="0"/>
                <w:sz w:val="18"/>
                <w:szCs w:val="18"/>
              </w:rPr>
              <w:t xml:space="preserve">Continuation of the current full compliance with EU foreign and security policy, as well as participation in joint missions; </w:t>
            </w:r>
          </w:p>
          <w:p w14:paraId="67FFFED7" w14:textId="77777777" w:rsidR="00E732FA" w:rsidRPr="003C7CB1" w:rsidRDefault="00E732FA" w:rsidP="00E732FA">
            <w:pPr>
              <w:pStyle w:val="ListParagraph"/>
              <w:numPr>
                <w:ilvl w:val="0"/>
                <w:numId w:val="8"/>
              </w:numPr>
              <w:spacing w:after="0"/>
              <w:jc w:val="both"/>
              <w:cnfStyle w:val="100000000000" w:firstRow="1" w:lastRow="0" w:firstColumn="0" w:lastColumn="0" w:oddVBand="0" w:evenVBand="0" w:oddHBand="0" w:evenHBand="0" w:firstRowFirstColumn="0" w:firstRowLastColumn="0" w:lastRowFirstColumn="0" w:lastRowLastColumn="0"/>
              <w:rPr>
                <w:rFonts w:eastAsia="Cambria" w:cstheme="minorHAnsi"/>
                <w:b w:val="0"/>
                <w:sz w:val="18"/>
                <w:szCs w:val="18"/>
              </w:rPr>
            </w:pPr>
            <w:r w:rsidRPr="003C7CB1">
              <w:rPr>
                <w:rFonts w:eastAsia="Cambria" w:cstheme="minorHAnsi"/>
                <w:b w:val="0"/>
                <w:sz w:val="18"/>
                <w:szCs w:val="18"/>
              </w:rPr>
              <w:t xml:space="preserve">Constructive role of Montenegro in the context of regional cooperation and good neighborly relations; </w:t>
            </w:r>
          </w:p>
          <w:p w14:paraId="62E07CF5" w14:textId="77777777" w:rsidR="00E732FA" w:rsidRPr="003C7CB1" w:rsidRDefault="00E732FA" w:rsidP="00E732FA">
            <w:pPr>
              <w:pStyle w:val="ListParagraph"/>
              <w:numPr>
                <w:ilvl w:val="0"/>
                <w:numId w:val="8"/>
              </w:numPr>
              <w:spacing w:after="0"/>
              <w:jc w:val="both"/>
              <w:cnfStyle w:val="100000000000" w:firstRow="1" w:lastRow="0" w:firstColumn="0" w:lastColumn="0" w:oddVBand="0" w:evenVBand="0" w:oddHBand="0" w:evenHBand="0" w:firstRowFirstColumn="0" w:firstRowLastColumn="0" w:lastRowFirstColumn="0" w:lastRowLastColumn="0"/>
              <w:rPr>
                <w:rFonts w:eastAsia="Cambria" w:cstheme="minorHAnsi"/>
                <w:b w:val="0"/>
                <w:sz w:val="18"/>
                <w:szCs w:val="18"/>
              </w:rPr>
            </w:pPr>
            <w:r w:rsidRPr="003C7CB1">
              <w:rPr>
                <w:rFonts w:eastAsia="Cambria" w:cstheme="minorHAnsi"/>
                <w:b w:val="0"/>
                <w:sz w:val="18"/>
                <w:szCs w:val="18"/>
              </w:rPr>
              <w:t xml:space="preserve">Montenegro has been involved in 35 regional organizations and initiatives; </w:t>
            </w:r>
          </w:p>
          <w:p w14:paraId="5926B0B3" w14:textId="77777777" w:rsidR="00E732FA" w:rsidRPr="003C7CB1" w:rsidRDefault="00E732FA" w:rsidP="00E732FA">
            <w:pPr>
              <w:pStyle w:val="ListParagraph"/>
              <w:numPr>
                <w:ilvl w:val="0"/>
                <w:numId w:val="8"/>
              </w:numPr>
              <w:spacing w:after="0"/>
              <w:jc w:val="both"/>
              <w:cnfStyle w:val="100000000000" w:firstRow="1" w:lastRow="0" w:firstColumn="0" w:lastColumn="0" w:oddVBand="0" w:evenVBand="0" w:oddHBand="0" w:evenHBand="0" w:firstRowFirstColumn="0" w:firstRowLastColumn="0" w:lastRowFirstColumn="0" w:lastRowLastColumn="0"/>
              <w:rPr>
                <w:rFonts w:eastAsia="Cambria" w:cstheme="minorHAnsi"/>
                <w:b w:val="0"/>
                <w:sz w:val="18"/>
                <w:szCs w:val="18"/>
              </w:rPr>
            </w:pPr>
            <w:r w:rsidRPr="003C7CB1">
              <w:rPr>
                <w:rFonts w:eastAsia="Cambria" w:cstheme="minorHAnsi"/>
                <w:b w:val="0"/>
                <w:sz w:val="18"/>
                <w:szCs w:val="18"/>
              </w:rPr>
              <w:t>Parliamentary elections on August 30, 2020 and the election of the new Government of Montenegro in December 2020; a vote of no confidence in the Government in February 2022;</w:t>
            </w:r>
          </w:p>
          <w:p w14:paraId="3C5599DF" w14:textId="77777777" w:rsidR="00E732FA" w:rsidRPr="003C7CB1" w:rsidRDefault="00E732FA" w:rsidP="00E732FA">
            <w:pPr>
              <w:pStyle w:val="ListParagraph"/>
              <w:numPr>
                <w:ilvl w:val="0"/>
                <w:numId w:val="8"/>
              </w:numPr>
              <w:spacing w:after="0"/>
              <w:jc w:val="both"/>
              <w:cnfStyle w:val="100000000000" w:firstRow="1" w:lastRow="0" w:firstColumn="0" w:lastColumn="0" w:oddVBand="0" w:evenVBand="0" w:oddHBand="0" w:evenHBand="0" w:firstRowFirstColumn="0" w:firstRowLastColumn="0" w:lastRowFirstColumn="0" w:lastRowLastColumn="0"/>
              <w:rPr>
                <w:rFonts w:eastAsia="Cambria" w:cstheme="minorHAnsi"/>
                <w:b w:val="0"/>
                <w:sz w:val="18"/>
                <w:szCs w:val="18"/>
              </w:rPr>
            </w:pPr>
            <w:r w:rsidRPr="003C7CB1">
              <w:rPr>
                <w:rFonts w:eastAsia="Cambria" w:cstheme="minorHAnsi"/>
                <w:b w:val="0"/>
                <w:sz w:val="18"/>
                <w:szCs w:val="18"/>
              </w:rPr>
              <w:t xml:space="preserve">Adequate visa regime of Montenegro;  </w:t>
            </w:r>
          </w:p>
        </w:tc>
      </w:tr>
      <w:tr w:rsidR="00E732FA" w:rsidRPr="003C7CB1" w14:paraId="469A6815" w14:textId="77777777" w:rsidTr="00E732FA">
        <w:trPr>
          <w:cnfStyle w:val="000000100000" w:firstRow="0" w:lastRow="0" w:firstColumn="0" w:lastColumn="0" w:oddVBand="0" w:evenVBand="0" w:oddHBand="1" w:evenHBand="0" w:firstRowFirstColumn="0" w:firstRowLastColumn="0" w:lastRowFirstColumn="0" w:lastRowLastColumn="0"/>
          <w:trHeight w:val="5811"/>
        </w:trPr>
        <w:tc>
          <w:tcPr>
            <w:cnfStyle w:val="001000000000" w:firstRow="0" w:lastRow="0" w:firstColumn="1" w:lastColumn="0" w:oddVBand="0" w:evenVBand="0" w:oddHBand="0" w:evenHBand="0" w:firstRowFirstColumn="0" w:firstRowLastColumn="0" w:lastRowFirstColumn="0" w:lastRowLastColumn="0"/>
            <w:tcW w:w="212" w:type="pct"/>
            <w:shd w:val="clear" w:color="auto" w:fill="FFC000" w:themeFill="accent4"/>
            <w:vAlign w:val="center"/>
          </w:tcPr>
          <w:p w14:paraId="0E7E118E" w14:textId="77777777" w:rsidR="00E732FA" w:rsidRPr="003C7CB1" w:rsidRDefault="00E732FA" w:rsidP="00E732FA">
            <w:pPr>
              <w:spacing w:after="0"/>
              <w:jc w:val="center"/>
              <w:rPr>
                <w:rFonts w:eastAsia="Cambria" w:cstheme="minorHAnsi"/>
                <w:b w:val="0"/>
                <w:bCs w:val="0"/>
              </w:rPr>
            </w:pPr>
            <w:r w:rsidRPr="003C7CB1">
              <w:rPr>
                <w:rFonts w:eastAsia="Cambria" w:cstheme="minorHAnsi"/>
              </w:rPr>
              <w:t>E</w:t>
            </w:r>
          </w:p>
        </w:tc>
        <w:tc>
          <w:tcPr>
            <w:tcW w:w="690" w:type="pct"/>
            <w:tcBorders>
              <w:top w:val="single" w:sz="4" w:space="0" w:color="auto"/>
            </w:tcBorders>
            <w:shd w:val="clear" w:color="auto" w:fill="8EAADB" w:themeFill="accent1" w:themeFillTint="99"/>
            <w:vAlign w:val="center"/>
          </w:tcPr>
          <w:p w14:paraId="157433D4" w14:textId="77777777" w:rsidR="00E732FA" w:rsidRPr="003C7CB1" w:rsidRDefault="00E732FA" w:rsidP="00E732FA">
            <w:pPr>
              <w:spacing w:after="0"/>
              <w:jc w:val="center"/>
              <w:cnfStyle w:val="000000100000" w:firstRow="0" w:lastRow="0" w:firstColumn="0" w:lastColumn="0" w:oddVBand="0" w:evenVBand="0" w:oddHBand="1" w:evenHBand="0" w:firstRowFirstColumn="0" w:firstRowLastColumn="0" w:lastRowFirstColumn="0" w:lastRowLastColumn="0"/>
              <w:rPr>
                <w:rFonts w:eastAsia="Cambria" w:cstheme="minorHAnsi"/>
                <w:sz w:val="20"/>
                <w:szCs w:val="20"/>
              </w:rPr>
            </w:pPr>
            <w:r w:rsidRPr="003C7CB1">
              <w:rPr>
                <w:rFonts w:eastAsia="Cambria" w:cstheme="minorHAnsi"/>
                <w:color w:val="FFFFFF" w:themeColor="background1"/>
                <w:sz w:val="20"/>
                <w:szCs w:val="20"/>
              </w:rPr>
              <w:t>ECONOMIC</w:t>
            </w:r>
          </w:p>
        </w:tc>
        <w:tc>
          <w:tcPr>
            <w:tcW w:w="4098" w:type="pct"/>
            <w:shd w:val="clear" w:color="auto" w:fill="8EAADB" w:themeFill="accent1" w:themeFillTint="99"/>
          </w:tcPr>
          <w:p w14:paraId="25F50B2F"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Macroeconomic developments in Montenegro during 2020 and 2021 under the great influence of the COVID-19 pandemic; </w:t>
            </w:r>
          </w:p>
          <w:p w14:paraId="44BAC245"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Montenegro's GDP in 2020 amounted to EUR 4,186 million, and in 2019 to EUR 4,951 million; GDP in 2021 has recovered in nominal terms to the level of 2019; </w:t>
            </w:r>
          </w:p>
          <w:p w14:paraId="4BBBB3BF"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GDP per capita in 2020 was EUR 6,737, or 45% of the EU average, and in 2019 EUR 7,959, or 26.6% of the EU average; </w:t>
            </w:r>
          </w:p>
          <w:p w14:paraId="7AEB88B0"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WTTC Report - the contribution of tourism to GDP in 2019. was 30.9%, and in 2020 it was 8.8%, and contribution to employment in 2019 was 65.0% (31.9% of the total number of employees), and in 2020 it was 51.8% (27.3% of total number of employees); </w:t>
            </w:r>
          </w:p>
          <w:p w14:paraId="38E7D421"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Projections of the European Bank for Reconstruction and Development (EBRD) - the Montenegrin economy will grow by 12.3% in 2021 and by 5.7% in 2022; </w:t>
            </w:r>
          </w:p>
          <w:p w14:paraId="30C1CA22"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According to the World Bank forecasts, GDP growth in 2021 will be 10.8%, and in 2022 it will be 5.6%;  </w:t>
            </w:r>
          </w:p>
          <w:p w14:paraId="15745385" w14:textId="2842B3E6"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Due to the COVID-19 virus pandemic, a decrease in touris</w:t>
            </w:r>
            <w:r w:rsidR="00D065B4">
              <w:rPr>
                <w:rFonts w:eastAsia="Cambria" w:cstheme="minorHAnsi"/>
                <w:color w:val="FFFFFF" w:themeColor="background1"/>
                <w:sz w:val="18"/>
                <w:szCs w:val="18"/>
              </w:rPr>
              <w:t>m turnover</w:t>
            </w:r>
            <w:r w:rsidRPr="003C7CB1">
              <w:rPr>
                <w:rFonts w:eastAsia="Cambria" w:cstheme="minorHAnsi"/>
                <w:color w:val="FFFFFF" w:themeColor="background1"/>
                <w:sz w:val="18"/>
                <w:szCs w:val="18"/>
              </w:rPr>
              <w:t xml:space="preserve"> was recorded; </w:t>
            </w:r>
          </w:p>
          <w:p w14:paraId="2AB4CEA3"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In 2021, according to the CBM data, revenues from tourism in 2021 amount to EUR 757.8 million, which represents 69% of the generated revenues from tourism compared to the record year 2019 (EUR 1.1 billion), and five times more revenues compared to 2020 (EUR 144.5 million); </w:t>
            </w:r>
          </w:p>
          <w:p w14:paraId="75681B54"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Primary and secondary income accounts recorded a surplus of EUR 365.6 million, which is an increase of 47.7% on an annual basis. A surplus of EUR 84.0 million was generated on the primary income account, which is 34.7% more than in the same period last year;  </w:t>
            </w:r>
          </w:p>
          <w:p w14:paraId="35ED56BC"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The Montenegrin economy has significant external imbalances, with a calculated deficit; </w:t>
            </w:r>
          </w:p>
          <w:p w14:paraId="6D252F74" w14:textId="77777777" w:rsidR="00E732FA" w:rsidRPr="003C7CB1" w:rsidRDefault="00E732FA" w:rsidP="00E732FA">
            <w:pPr>
              <w:pStyle w:val="ListParagraph"/>
              <w:numPr>
                <w:ilvl w:val="0"/>
                <w:numId w:val="72"/>
              </w:numPr>
              <w:spacing w:after="0"/>
              <w:ind w:left="360" w:hanging="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Economic stabilization is expected in the coming years, even in the tourism sector - increased investment, infrastructure development, season extension, and revenue growth.  </w:t>
            </w:r>
          </w:p>
        </w:tc>
      </w:tr>
      <w:tr w:rsidR="00E732FA" w:rsidRPr="003C7CB1" w14:paraId="3777DA2A" w14:textId="77777777" w:rsidTr="00E732FA">
        <w:tc>
          <w:tcPr>
            <w:cnfStyle w:val="001000000000" w:firstRow="0" w:lastRow="0" w:firstColumn="1" w:lastColumn="0" w:oddVBand="0" w:evenVBand="0" w:oddHBand="0" w:evenHBand="0" w:firstRowFirstColumn="0" w:firstRowLastColumn="0" w:lastRowFirstColumn="0" w:lastRowLastColumn="0"/>
            <w:tcW w:w="212" w:type="pct"/>
            <w:shd w:val="clear" w:color="auto" w:fill="FFC000" w:themeFill="accent4"/>
            <w:vAlign w:val="center"/>
          </w:tcPr>
          <w:p w14:paraId="2C97B9AF" w14:textId="77777777" w:rsidR="00E732FA" w:rsidRPr="003C7CB1" w:rsidRDefault="00E732FA" w:rsidP="00E732FA">
            <w:pPr>
              <w:spacing w:after="0"/>
              <w:rPr>
                <w:rFonts w:eastAsia="Cambria" w:cstheme="minorHAnsi"/>
              </w:rPr>
            </w:pPr>
            <w:r w:rsidRPr="003C7CB1">
              <w:rPr>
                <w:rFonts w:eastAsia="Cambria" w:cstheme="minorHAnsi"/>
              </w:rPr>
              <w:t>S</w:t>
            </w:r>
          </w:p>
        </w:tc>
        <w:tc>
          <w:tcPr>
            <w:tcW w:w="690" w:type="pct"/>
            <w:shd w:val="clear" w:color="auto" w:fill="0070C0"/>
            <w:vAlign w:val="center"/>
          </w:tcPr>
          <w:p w14:paraId="53BB3010" w14:textId="77777777" w:rsidR="00E732FA" w:rsidRPr="003C7CB1" w:rsidRDefault="00E732FA" w:rsidP="00E732FA">
            <w:pPr>
              <w:spacing w:after="0"/>
              <w:jc w:val="center"/>
              <w:cnfStyle w:val="000000000000" w:firstRow="0" w:lastRow="0" w:firstColumn="0" w:lastColumn="0" w:oddVBand="0" w:evenVBand="0" w:oddHBand="0" w:evenHBand="0" w:firstRowFirstColumn="0" w:firstRowLastColumn="0" w:lastRowFirstColumn="0" w:lastRowLastColumn="0"/>
              <w:rPr>
                <w:rFonts w:eastAsia="Cambria" w:cstheme="minorHAnsi"/>
                <w:b/>
                <w:sz w:val="20"/>
                <w:szCs w:val="20"/>
              </w:rPr>
            </w:pPr>
            <w:r w:rsidRPr="003C7CB1">
              <w:rPr>
                <w:rFonts w:eastAsia="Cambria" w:cstheme="minorHAnsi"/>
                <w:b/>
                <w:color w:val="FFFFFF" w:themeColor="background1"/>
                <w:sz w:val="20"/>
                <w:szCs w:val="20"/>
              </w:rPr>
              <w:t>SOCIAL</w:t>
            </w:r>
          </w:p>
        </w:tc>
        <w:tc>
          <w:tcPr>
            <w:tcW w:w="4098" w:type="pct"/>
            <w:shd w:val="clear" w:color="auto" w:fill="0070C0"/>
          </w:tcPr>
          <w:p w14:paraId="4F2FA636" w14:textId="77777777"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Population in Montenegro - 620,000, 1/3 lives in Podgorica, and 67.15% live in all urban areas; </w:t>
            </w:r>
          </w:p>
          <w:p w14:paraId="72083BA2" w14:textId="77777777"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Presence of migration of the population from the Northern region towards the Coastal region and Podgorica;</w:t>
            </w:r>
          </w:p>
          <w:p w14:paraId="40E4A3C6" w14:textId="77777777"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24.9% of the population of Montenegro is younger than 18, 62.3% are aged 18 to 64, and 12.8% are older than 65, source Census of Montenegro 2011; </w:t>
            </w:r>
          </w:p>
          <w:p w14:paraId="1E6BA864" w14:textId="77777777"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The Human Development Index for 2020 puts Montenegro in the first place among the countries of the Western Balkans.</w:t>
            </w:r>
          </w:p>
          <w:p w14:paraId="2327C66B" w14:textId="77777777"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lastRenderedPageBreak/>
              <w:t xml:space="preserve">Loss of tax revenues due to informal employment and undeclared work is estimated at 2.8% of GDP per year. </w:t>
            </w:r>
          </w:p>
          <w:p w14:paraId="47F3B24A" w14:textId="77777777"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According to the United Nations-UN analysis related to the assessment of the social impact of the COVID-19 pandemic, a recommendation was made to consider the possibility of creating practical programs of education in tourism. </w:t>
            </w:r>
          </w:p>
          <w:p w14:paraId="6B0B9C4B" w14:textId="132D0021" w:rsidR="00E732FA" w:rsidRPr="003C7CB1" w:rsidRDefault="00E732FA" w:rsidP="00E732FA">
            <w:pPr>
              <w:pStyle w:val="ListParagraph"/>
              <w:numPr>
                <w:ilvl w:val="0"/>
                <w:numId w:val="9"/>
              </w:numPr>
              <w:spacing w:after="0"/>
              <w:ind w:left="360"/>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UN Analysis of the Situation in the Country - defined focus on: improving service delivery, maintaining spending on health, education and social protection and reducing discrimination against vulnerable groups, improving the quality and digitization of data, improving public administration to fight corruption and </w:t>
            </w:r>
            <w:r w:rsidR="003C7CB1" w:rsidRPr="003C7CB1">
              <w:rPr>
                <w:rFonts w:eastAsia="Cambria" w:cstheme="minorHAnsi"/>
                <w:color w:val="FFFFFF" w:themeColor="background1"/>
                <w:sz w:val="18"/>
                <w:szCs w:val="18"/>
              </w:rPr>
              <w:t>nepotism,</w:t>
            </w:r>
            <w:r w:rsidRPr="003C7CB1">
              <w:rPr>
                <w:rFonts w:eastAsia="Cambria" w:cstheme="minorHAnsi"/>
                <w:color w:val="FFFFFF" w:themeColor="background1"/>
                <w:sz w:val="18"/>
                <w:szCs w:val="18"/>
              </w:rPr>
              <w:t xml:space="preserve"> with the aim of creating an inclusive society. </w:t>
            </w:r>
          </w:p>
        </w:tc>
      </w:tr>
      <w:tr w:rsidR="00E732FA" w:rsidRPr="003C7CB1" w14:paraId="3A3414F6" w14:textId="77777777" w:rsidTr="00E732FA">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212" w:type="pct"/>
            <w:shd w:val="clear" w:color="auto" w:fill="FFC000" w:themeFill="accent4"/>
            <w:vAlign w:val="center"/>
          </w:tcPr>
          <w:p w14:paraId="0BF94CE9" w14:textId="77777777" w:rsidR="00E732FA" w:rsidRPr="003C7CB1" w:rsidRDefault="00E732FA" w:rsidP="00E732FA">
            <w:pPr>
              <w:spacing w:after="0"/>
              <w:jc w:val="center"/>
              <w:rPr>
                <w:rFonts w:eastAsia="Cambria" w:cstheme="minorHAnsi"/>
              </w:rPr>
            </w:pPr>
            <w:r w:rsidRPr="003C7CB1">
              <w:rPr>
                <w:rFonts w:eastAsia="Cambria" w:cstheme="minorHAnsi"/>
              </w:rPr>
              <w:lastRenderedPageBreak/>
              <w:t>T</w:t>
            </w:r>
          </w:p>
        </w:tc>
        <w:tc>
          <w:tcPr>
            <w:tcW w:w="690" w:type="pct"/>
            <w:shd w:val="clear" w:color="auto" w:fill="8EAADB" w:themeFill="accent1" w:themeFillTint="99"/>
            <w:vAlign w:val="center"/>
          </w:tcPr>
          <w:p w14:paraId="76083D57" w14:textId="77777777" w:rsidR="00E732FA" w:rsidRPr="003C7CB1" w:rsidRDefault="00E732FA" w:rsidP="00E732FA">
            <w:pPr>
              <w:spacing w:after="0"/>
              <w:jc w:val="center"/>
              <w:cnfStyle w:val="000000100000" w:firstRow="0" w:lastRow="0" w:firstColumn="0" w:lastColumn="0" w:oddVBand="0" w:evenVBand="0" w:oddHBand="1" w:evenHBand="0" w:firstRowFirstColumn="0" w:firstRowLastColumn="0" w:lastRowFirstColumn="0" w:lastRowLastColumn="0"/>
              <w:rPr>
                <w:rFonts w:eastAsia="Cambria" w:cstheme="minorHAnsi"/>
                <w:sz w:val="18"/>
                <w:szCs w:val="18"/>
              </w:rPr>
            </w:pPr>
            <w:r w:rsidRPr="003C7CB1">
              <w:rPr>
                <w:rFonts w:eastAsia="Cambria" w:cstheme="minorHAnsi"/>
                <w:b/>
                <w:color w:val="FFFFFF" w:themeColor="background1"/>
                <w:sz w:val="18"/>
                <w:szCs w:val="18"/>
              </w:rPr>
              <w:t>TECHNOLOGICAL</w:t>
            </w:r>
          </w:p>
        </w:tc>
        <w:tc>
          <w:tcPr>
            <w:tcW w:w="4098" w:type="pct"/>
            <w:shd w:val="clear" w:color="auto" w:fill="8EAADB" w:themeFill="accent1" w:themeFillTint="99"/>
          </w:tcPr>
          <w:p w14:paraId="35262360" w14:textId="77777777" w:rsidR="00E732FA" w:rsidRPr="003C7CB1" w:rsidRDefault="00E732FA" w:rsidP="00E732FA">
            <w:pPr>
              <w:pStyle w:val="ListParagraph"/>
              <w:numPr>
                <w:ilvl w:val="0"/>
                <w:numId w:val="10"/>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Smart Specialization Strategy (S3) for the period 2019-2024. - Development of sustainable and health tourism with the application of innovative technological solutions. </w:t>
            </w:r>
          </w:p>
          <w:p w14:paraId="1327DB97" w14:textId="77777777" w:rsidR="00E732FA" w:rsidRPr="003C7CB1" w:rsidRDefault="00E732FA" w:rsidP="00E732FA">
            <w:pPr>
              <w:pStyle w:val="ListParagraph"/>
              <w:numPr>
                <w:ilvl w:val="0"/>
                <w:numId w:val="10"/>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Transport Development Strategy for the period 2018-2035 - modernization of transport infrastructure, ITS technology, reduction of border crossing time, etc. </w:t>
            </w:r>
          </w:p>
          <w:p w14:paraId="7B1FEECB" w14:textId="77777777" w:rsidR="00E732FA" w:rsidRPr="003C7CB1" w:rsidRDefault="00E732FA" w:rsidP="00E732FA">
            <w:pPr>
              <w:pStyle w:val="ListParagraph"/>
              <w:numPr>
                <w:ilvl w:val="0"/>
                <w:numId w:val="10"/>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UN 2021 plan - Promotion of the natural and cultural heritage of Montenegro (</w:t>
            </w:r>
            <w:proofErr w:type="spellStart"/>
            <w:r w:rsidRPr="003C7CB1">
              <w:rPr>
                <w:rFonts w:eastAsia="Cambria" w:cstheme="minorHAnsi"/>
                <w:color w:val="FFFFFF" w:themeColor="background1"/>
                <w:sz w:val="18"/>
                <w:szCs w:val="18"/>
              </w:rPr>
              <w:t>EuroVelo</w:t>
            </w:r>
            <w:proofErr w:type="spellEnd"/>
            <w:r w:rsidRPr="003C7CB1">
              <w:rPr>
                <w:rFonts w:eastAsia="Cambria" w:cstheme="minorHAnsi"/>
                <w:color w:val="FFFFFF" w:themeColor="background1"/>
                <w:sz w:val="18"/>
                <w:szCs w:val="18"/>
              </w:rPr>
              <w:t xml:space="preserve"> cycling routes and Cultural Routes of the Council of Europe). </w:t>
            </w:r>
          </w:p>
          <w:p w14:paraId="1318D1C4" w14:textId="77777777" w:rsidR="00E732FA" w:rsidRPr="003C7CB1" w:rsidRDefault="00E732FA" w:rsidP="00E732FA">
            <w:pPr>
              <w:pStyle w:val="ListParagraph"/>
              <w:numPr>
                <w:ilvl w:val="0"/>
                <w:numId w:val="10"/>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Green economy (development of green technologies, innovation in the field of sustainable agriculture and tourism, encouraging entrepreneurship, investing in quality jobs).  </w:t>
            </w:r>
          </w:p>
        </w:tc>
      </w:tr>
      <w:tr w:rsidR="00E732FA" w:rsidRPr="003C7CB1" w14:paraId="306BD66A" w14:textId="77777777" w:rsidTr="00E732FA">
        <w:trPr>
          <w:trHeight w:val="2117"/>
        </w:trPr>
        <w:tc>
          <w:tcPr>
            <w:cnfStyle w:val="001000000000" w:firstRow="0" w:lastRow="0" w:firstColumn="1" w:lastColumn="0" w:oddVBand="0" w:evenVBand="0" w:oddHBand="0" w:evenHBand="0" w:firstRowFirstColumn="0" w:firstRowLastColumn="0" w:lastRowFirstColumn="0" w:lastRowLastColumn="0"/>
            <w:tcW w:w="212" w:type="pct"/>
            <w:shd w:val="clear" w:color="auto" w:fill="FFC000" w:themeFill="accent4"/>
            <w:vAlign w:val="center"/>
          </w:tcPr>
          <w:p w14:paraId="7B14E327" w14:textId="77777777" w:rsidR="00E732FA" w:rsidRPr="003C7CB1" w:rsidRDefault="00E732FA" w:rsidP="00E732FA">
            <w:pPr>
              <w:spacing w:after="0"/>
              <w:jc w:val="center"/>
              <w:rPr>
                <w:rFonts w:eastAsia="Cambria" w:cstheme="minorHAnsi"/>
              </w:rPr>
            </w:pPr>
            <w:r w:rsidRPr="003C7CB1">
              <w:rPr>
                <w:rFonts w:eastAsia="Cambria" w:cstheme="minorHAnsi"/>
              </w:rPr>
              <w:t>L</w:t>
            </w:r>
          </w:p>
        </w:tc>
        <w:tc>
          <w:tcPr>
            <w:tcW w:w="690" w:type="pct"/>
            <w:shd w:val="clear" w:color="auto" w:fill="0070C0"/>
            <w:vAlign w:val="center"/>
          </w:tcPr>
          <w:p w14:paraId="6B5B3B70" w14:textId="77777777" w:rsidR="00E732FA" w:rsidRPr="003C7CB1" w:rsidRDefault="00E732FA" w:rsidP="00E732FA">
            <w:pPr>
              <w:spacing w:after="0"/>
              <w:jc w:val="center"/>
              <w:cnfStyle w:val="000000000000" w:firstRow="0" w:lastRow="0" w:firstColumn="0" w:lastColumn="0" w:oddVBand="0" w:evenVBand="0" w:oddHBand="0" w:evenHBand="0" w:firstRowFirstColumn="0" w:firstRowLastColumn="0" w:lastRowFirstColumn="0" w:lastRowLastColumn="0"/>
              <w:rPr>
                <w:rFonts w:eastAsia="Cambria" w:cstheme="minorHAnsi"/>
              </w:rPr>
            </w:pPr>
            <w:r w:rsidRPr="003C7CB1">
              <w:rPr>
                <w:rFonts w:eastAsia="Cambria" w:cstheme="minorHAnsi"/>
                <w:b/>
                <w:color w:val="FFFFFF" w:themeColor="background1"/>
              </w:rPr>
              <w:t>LEGAL</w:t>
            </w:r>
          </w:p>
        </w:tc>
        <w:tc>
          <w:tcPr>
            <w:tcW w:w="4098" w:type="pct"/>
            <w:shd w:val="clear" w:color="auto" w:fill="0070C0"/>
          </w:tcPr>
          <w:p w14:paraId="260423A9" w14:textId="77777777" w:rsidR="00E732FA" w:rsidRPr="003C7CB1" w:rsidRDefault="00E732FA" w:rsidP="00E732FA">
            <w:pPr>
              <w:pStyle w:val="ListParagraph"/>
              <w:numPr>
                <w:ilvl w:val="0"/>
                <w:numId w:val="1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Direct impact: the Law on Tourism and Hospitality, the Law on Tourist Organizations, the Law on Tourist Tax, the Law on Mountain Trails, the Law on Ski Resorts and the Law on Rafting.  </w:t>
            </w:r>
          </w:p>
          <w:p w14:paraId="07D8DA7F" w14:textId="77777777" w:rsidR="00E732FA" w:rsidRPr="003C7CB1" w:rsidRDefault="00E732FA" w:rsidP="00E732FA">
            <w:pPr>
              <w:pStyle w:val="ListParagraph"/>
              <w:numPr>
                <w:ilvl w:val="0"/>
                <w:numId w:val="1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Indirect impact: the Law on Spatial Planning and Construction of Structures, the Law on Nature Protection, the Law on National Parks and the Law on Environmental Impact Assessment. </w:t>
            </w:r>
          </w:p>
          <w:p w14:paraId="2542F448" w14:textId="274E2885" w:rsidR="00E732FA" w:rsidRPr="003C7CB1" w:rsidRDefault="00E732FA" w:rsidP="00E732FA">
            <w:pPr>
              <w:pStyle w:val="ListParagraph"/>
              <w:numPr>
                <w:ilvl w:val="0"/>
                <w:numId w:val="1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Documents at the Government level: Program of economic reforms (“diversification of the </w:t>
            </w:r>
            <w:r w:rsidR="00C65FFD">
              <w:rPr>
                <w:rFonts w:eastAsia="Cambria" w:cstheme="minorHAnsi"/>
                <w:color w:val="FFFFFF" w:themeColor="background1"/>
                <w:sz w:val="18"/>
                <w:szCs w:val="18"/>
              </w:rPr>
              <w:t>tourism product</w:t>
            </w:r>
            <w:r w:rsidRPr="003C7CB1">
              <w:rPr>
                <w:rFonts w:eastAsia="Cambria" w:cstheme="minorHAnsi"/>
                <w:color w:val="FFFFFF" w:themeColor="background1"/>
                <w:sz w:val="18"/>
                <w:szCs w:val="18"/>
              </w:rPr>
              <w:t xml:space="preserve">”), Directions of development of Montenegro 2018 - 2021 (“Tourism and cultural tourism”). </w:t>
            </w:r>
          </w:p>
          <w:p w14:paraId="14A24633" w14:textId="77777777" w:rsidR="00E732FA" w:rsidRPr="003C7CB1" w:rsidRDefault="00E732FA" w:rsidP="00E732FA">
            <w:pPr>
              <w:pStyle w:val="ListParagraph"/>
              <w:numPr>
                <w:ilvl w:val="0"/>
                <w:numId w:val="1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Fulfillment of obligations from the process of Montenegro's accession to the EU, - Chapters 3, 18, 20 and 27. </w:t>
            </w:r>
          </w:p>
        </w:tc>
      </w:tr>
      <w:tr w:rsidR="00E732FA" w:rsidRPr="003C7CB1" w14:paraId="588174FD" w14:textId="77777777" w:rsidTr="00E732FA">
        <w:trPr>
          <w:cnfStyle w:val="000000100000" w:firstRow="0" w:lastRow="0" w:firstColumn="0" w:lastColumn="0" w:oddVBand="0" w:evenVBand="0" w:oddHBand="1" w:evenHBand="0" w:firstRowFirstColumn="0" w:firstRowLastColumn="0" w:lastRowFirstColumn="0" w:lastRowLastColumn="0"/>
          <w:trHeight w:val="3108"/>
        </w:trPr>
        <w:tc>
          <w:tcPr>
            <w:cnfStyle w:val="001000000000" w:firstRow="0" w:lastRow="0" w:firstColumn="1" w:lastColumn="0" w:oddVBand="0" w:evenVBand="0" w:oddHBand="0" w:evenHBand="0" w:firstRowFirstColumn="0" w:firstRowLastColumn="0" w:lastRowFirstColumn="0" w:lastRowLastColumn="0"/>
            <w:tcW w:w="212" w:type="pct"/>
            <w:shd w:val="clear" w:color="auto" w:fill="FFC000" w:themeFill="accent4"/>
            <w:vAlign w:val="center"/>
          </w:tcPr>
          <w:p w14:paraId="340D69B7" w14:textId="77777777" w:rsidR="00E732FA" w:rsidRPr="003C7CB1" w:rsidRDefault="00E732FA" w:rsidP="00E732FA">
            <w:pPr>
              <w:spacing w:after="0"/>
              <w:jc w:val="center"/>
              <w:rPr>
                <w:rFonts w:eastAsia="Cambria" w:cstheme="minorHAnsi"/>
              </w:rPr>
            </w:pPr>
            <w:r w:rsidRPr="003C7CB1">
              <w:rPr>
                <w:rFonts w:eastAsia="Cambria" w:cstheme="minorHAnsi"/>
              </w:rPr>
              <w:t>E</w:t>
            </w:r>
          </w:p>
        </w:tc>
        <w:tc>
          <w:tcPr>
            <w:tcW w:w="690" w:type="pct"/>
            <w:shd w:val="clear" w:color="auto" w:fill="8EAADB" w:themeFill="accent1" w:themeFillTint="99"/>
            <w:vAlign w:val="center"/>
          </w:tcPr>
          <w:p w14:paraId="019D56B8" w14:textId="77777777" w:rsidR="00E732FA" w:rsidRPr="003C7CB1" w:rsidRDefault="00E732FA" w:rsidP="00E732FA">
            <w:pPr>
              <w:spacing w:after="0"/>
              <w:jc w:val="center"/>
              <w:cnfStyle w:val="000000100000" w:firstRow="0" w:lastRow="0" w:firstColumn="0" w:lastColumn="0" w:oddVBand="0" w:evenVBand="0" w:oddHBand="1" w:evenHBand="0" w:firstRowFirstColumn="0" w:firstRowLastColumn="0" w:lastRowFirstColumn="0" w:lastRowLastColumn="0"/>
              <w:rPr>
                <w:rFonts w:eastAsia="Cambria" w:cstheme="minorHAnsi"/>
                <w:b/>
              </w:rPr>
            </w:pPr>
            <w:r w:rsidRPr="003C7CB1">
              <w:rPr>
                <w:rFonts w:eastAsia="Cambria" w:cstheme="minorHAnsi"/>
                <w:b/>
                <w:color w:val="FFFFFF" w:themeColor="background1"/>
              </w:rPr>
              <w:t>ENVIRONMENTAL FACTORS</w:t>
            </w:r>
          </w:p>
        </w:tc>
        <w:tc>
          <w:tcPr>
            <w:tcW w:w="4098" w:type="pct"/>
            <w:shd w:val="clear" w:color="auto" w:fill="8EAADB" w:themeFill="accent1" w:themeFillTint="99"/>
          </w:tcPr>
          <w:p w14:paraId="0C147E07"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The Constitution defines Montenegro as “a civil, democratic, ecological and a country of social justice, based on the rule of law”. </w:t>
            </w:r>
          </w:p>
          <w:p w14:paraId="09339A54"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Richness of biodiversity and natural diversity; </w:t>
            </w:r>
          </w:p>
          <w:p w14:paraId="1BB447F2"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5 national parks: </w:t>
            </w:r>
            <w:proofErr w:type="spellStart"/>
            <w:r w:rsidRPr="003C7CB1">
              <w:rPr>
                <w:rFonts w:eastAsia="Cambria" w:cstheme="minorHAnsi"/>
                <w:color w:val="FFFFFF" w:themeColor="background1"/>
                <w:sz w:val="18"/>
                <w:szCs w:val="18"/>
              </w:rPr>
              <w:t>Skadar</w:t>
            </w:r>
            <w:proofErr w:type="spellEnd"/>
            <w:r w:rsidRPr="003C7CB1">
              <w:rPr>
                <w:rFonts w:eastAsia="Cambria" w:cstheme="minorHAnsi"/>
                <w:color w:val="FFFFFF" w:themeColor="background1"/>
                <w:sz w:val="18"/>
                <w:szCs w:val="18"/>
              </w:rPr>
              <w:t xml:space="preserve"> Lake NP, </w:t>
            </w:r>
            <w:proofErr w:type="spellStart"/>
            <w:r w:rsidRPr="003C7CB1">
              <w:rPr>
                <w:rFonts w:eastAsia="Cambria" w:cstheme="minorHAnsi"/>
                <w:color w:val="FFFFFF" w:themeColor="background1"/>
                <w:sz w:val="18"/>
                <w:szCs w:val="18"/>
              </w:rPr>
              <w:t>Lovćen</w:t>
            </w:r>
            <w:proofErr w:type="spellEnd"/>
            <w:r w:rsidRPr="003C7CB1">
              <w:rPr>
                <w:rFonts w:eastAsia="Cambria" w:cstheme="minorHAnsi"/>
                <w:color w:val="FFFFFF" w:themeColor="background1"/>
                <w:sz w:val="18"/>
                <w:szCs w:val="18"/>
              </w:rPr>
              <w:t xml:space="preserve"> NP, </w:t>
            </w:r>
            <w:proofErr w:type="spellStart"/>
            <w:r w:rsidRPr="003C7CB1">
              <w:rPr>
                <w:rFonts w:eastAsia="Cambria" w:cstheme="minorHAnsi"/>
                <w:color w:val="FFFFFF" w:themeColor="background1"/>
                <w:sz w:val="18"/>
                <w:szCs w:val="18"/>
              </w:rPr>
              <w:t>Biogradska</w:t>
            </w:r>
            <w:proofErr w:type="spellEnd"/>
            <w:r w:rsidRPr="003C7CB1">
              <w:rPr>
                <w:rFonts w:eastAsia="Cambria" w:cstheme="minorHAnsi"/>
                <w:color w:val="FFFFFF" w:themeColor="background1"/>
                <w:sz w:val="18"/>
                <w:szCs w:val="18"/>
              </w:rPr>
              <w:t xml:space="preserve"> Gora NP, </w:t>
            </w:r>
            <w:proofErr w:type="spellStart"/>
            <w:r w:rsidRPr="003C7CB1">
              <w:rPr>
                <w:rFonts w:eastAsia="Cambria" w:cstheme="minorHAnsi"/>
                <w:color w:val="FFFFFF" w:themeColor="background1"/>
                <w:sz w:val="18"/>
                <w:szCs w:val="18"/>
              </w:rPr>
              <w:t>Durmitor</w:t>
            </w:r>
            <w:proofErr w:type="spellEnd"/>
            <w:r w:rsidRPr="003C7CB1">
              <w:rPr>
                <w:rFonts w:eastAsia="Cambria" w:cstheme="minorHAnsi"/>
                <w:color w:val="FFFFFF" w:themeColor="background1"/>
                <w:sz w:val="18"/>
                <w:szCs w:val="18"/>
              </w:rPr>
              <w:t xml:space="preserve"> NP, Prokletije NP (7.7%);  </w:t>
            </w:r>
          </w:p>
          <w:p w14:paraId="6E38CC51"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UNESCO protected heritage: natural and cultural area of ​​the city of Kotor, </w:t>
            </w:r>
            <w:proofErr w:type="spellStart"/>
            <w:r w:rsidRPr="003C7CB1">
              <w:rPr>
                <w:rFonts w:eastAsia="Cambria" w:cstheme="minorHAnsi"/>
                <w:color w:val="FFFFFF" w:themeColor="background1"/>
                <w:sz w:val="18"/>
                <w:szCs w:val="18"/>
              </w:rPr>
              <w:t>Durmitor</w:t>
            </w:r>
            <w:proofErr w:type="spellEnd"/>
            <w:r w:rsidRPr="003C7CB1">
              <w:rPr>
                <w:rFonts w:eastAsia="Cambria" w:cstheme="minorHAnsi"/>
                <w:color w:val="FFFFFF" w:themeColor="background1"/>
                <w:sz w:val="18"/>
                <w:szCs w:val="18"/>
              </w:rPr>
              <w:t xml:space="preserve"> NP with the Tara river basin, </w:t>
            </w:r>
            <w:proofErr w:type="spellStart"/>
            <w:r w:rsidRPr="003C7CB1">
              <w:rPr>
                <w:rFonts w:eastAsia="Cambria" w:cstheme="minorHAnsi"/>
                <w:color w:val="FFFFFF" w:themeColor="background1"/>
                <w:sz w:val="18"/>
                <w:szCs w:val="18"/>
              </w:rPr>
              <w:t>Stećci</w:t>
            </w:r>
            <w:proofErr w:type="spellEnd"/>
            <w:r w:rsidRPr="003C7CB1">
              <w:rPr>
                <w:rFonts w:eastAsia="Cambria" w:cstheme="minorHAnsi"/>
                <w:color w:val="FFFFFF" w:themeColor="background1"/>
                <w:sz w:val="18"/>
                <w:szCs w:val="18"/>
              </w:rPr>
              <w:t xml:space="preserve"> (Tombstones) on </w:t>
            </w:r>
            <w:proofErr w:type="spellStart"/>
            <w:r w:rsidRPr="003C7CB1">
              <w:rPr>
                <w:rFonts w:eastAsia="Cambria" w:cstheme="minorHAnsi"/>
                <w:color w:val="FFFFFF" w:themeColor="background1"/>
                <w:sz w:val="18"/>
                <w:szCs w:val="18"/>
              </w:rPr>
              <w:t>Durmitor</w:t>
            </w:r>
            <w:proofErr w:type="spellEnd"/>
            <w:r w:rsidRPr="003C7CB1">
              <w:rPr>
                <w:rFonts w:eastAsia="Cambria" w:cstheme="minorHAnsi"/>
                <w:color w:val="FFFFFF" w:themeColor="background1"/>
                <w:sz w:val="18"/>
                <w:szCs w:val="18"/>
              </w:rPr>
              <w:t xml:space="preserve">, Venetian defense fortifications, </w:t>
            </w:r>
            <w:proofErr w:type="spellStart"/>
            <w:r w:rsidRPr="003C7CB1">
              <w:rPr>
                <w:rFonts w:eastAsia="Cambria" w:cstheme="minorHAnsi"/>
                <w:color w:val="FFFFFF" w:themeColor="background1"/>
                <w:sz w:val="18"/>
                <w:szCs w:val="18"/>
              </w:rPr>
              <w:t>Boka</w:t>
            </w:r>
            <w:proofErr w:type="spellEnd"/>
            <w:r w:rsidRPr="003C7CB1">
              <w:rPr>
                <w:rFonts w:eastAsia="Cambria" w:cstheme="minorHAnsi"/>
                <w:color w:val="FFFFFF" w:themeColor="background1"/>
                <w:sz w:val="18"/>
                <w:szCs w:val="18"/>
              </w:rPr>
              <w:t xml:space="preserve"> Navy; </w:t>
            </w:r>
          </w:p>
          <w:p w14:paraId="140326DE"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The National Strategy for Sustainable Development until 2030 integrated the 2030 Agenda into the national strategic framework; </w:t>
            </w:r>
          </w:p>
          <w:p w14:paraId="57F6D003"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National goal in the use of energy from renewable sources is achieved - the share of energy from renewable sources in gross final consumption is 33% in 2020. </w:t>
            </w:r>
          </w:p>
          <w:p w14:paraId="3296FA3A" w14:textId="77777777" w:rsidR="00E732FA" w:rsidRPr="003C7CB1" w:rsidRDefault="00E732FA" w:rsidP="00E732FA">
            <w:pPr>
              <w:pStyle w:val="ListParagraph"/>
              <w:numPr>
                <w:ilvl w:val="0"/>
                <w:numId w:val="12"/>
              </w:numPr>
              <w:spacing w:after="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r w:rsidRPr="003C7CB1">
              <w:rPr>
                <w:rFonts w:eastAsia="Cambria" w:cstheme="minorHAnsi"/>
                <w:color w:val="FFFFFF" w:themeColor="background1"/>
                <w:sz w:val="18"/>
                <w:szCs w:val="18"/>
              </w:rPr>
              <w:t xml:space="preserve">Montenegro has joined international efforts to combat climate change and reports regularly in accordance with the UN Framework Convention on Climate Change, and has established a legal and institutional framework to reduce disaster risk. </w:t>
            </w:r>
          </w:p>
          <w:p w14:paraId="650A5590" w14:textId="77777777" w:rsidR="00E732FA" w:rsidRPr="003C7CB1" w:rsidRDefault="00E732FA" w:rsidP="00E732FA">
            <w:pPr>
              <w:pStyle w:val="ListParagraph"/>
              <w:spacing w:after="0"/>
              <w:ind w:left="360"/>
              <w:jc w:val="both"/>
              <w:cnfStyle w:val="000000100000" w:firstRow="0" w:lastRow="0" w:firstColumn="0" w:lastColumn="0" w:oddVBand="0" w:evenVBand="0" w:oddHBand="1" w:evenHBand="0" w:firstRowFirstColumn="0" w:firstRowLastColumn="0" w:lastRowFirstColumn="0" w:lastRowLastColumn="0"/>
              <w:rPr>
                <w:rFonts w:eastAsia="Cambria" w:cstheme="minorHAnsi"/>
                <w:color w:val="FFFFFF" w:themeColor="background1"/>
                <w:sz w:val="18"/>
                <w:szCs w:val="18"/>
              </w:rPr>
            </w:pPr>
          </w:p>
        </w:tc>
      </w:tr>
    </w:tbl>
    <w:p w14:paraId="7971FB87" w14:textId="77777777" w:rsidR="00E732FA" w:rsidRPr="003C7CB1" w:rsidRDefault="00E732FA" w:rsidP="00E732FA">
      <w:pPr>
        <w:jc w:val="both"/>
        <w:rPr>
          <w:rFonts w:ascii="Calibri" w:eastAsia="Cambria" w:hAnsi="Calibri" w:cs="Calibri"/>
          <w:sz w:val="24"/>
          <w:szCs w:val="24"/>
        </w:rPr>
      </w:pPr>
      <w:bookmarkStart w:id="121" w:name="_Hlk85632376"/>
      <w:bookmarkEnd w:id="117"/>
    </w:p>
    <w:p w14:paraId="24CB6048" w14:textId="77777777" w:rsidR="00E732FA" w:rsidRPr="003C7CB1" w:rsidRDefault="00E732FA" w:rsidP="00E732FA">
      <w:pPr>
        <w:jc w:val="both"/>
        <w:rPr>
          <w:rFonts w:ascii="Calibri" w:eastAsia="Cambria" w:hAnsi="Calibri" w:cs="Calibri"/>
          <w:sz w:val="24"/>
          <w:szCs w:val="24"/>
        </w:rPr>
      </w:pPr>
      <w:r w:rsidRPr="003C7CB1">
        <w:rPr>
          <w:rFonts w:ascii="Calibri" w:eastAsia="Cambria" w:hAnsi="Calibri" w:cs="Calibri"/>
          <w:noProof/>
          <w:sz w:val="24"/>
          <w:szCs w:val="24"/>
        </w:rPr>
        <w:lastRenderedPageBreak/>
        <w:drawing>
          <wp:inline distT="0" distB="0" distL="0" distR="0" wp14:anchorId="61180DC8" wp14:editId="3944FF42">
            <wp:extent cx="5732144" cy="8108211"/>
            <wp:effectExtent l="0" t="0" r="254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0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2144" cy="8108211"/>
                    </a:xfrm>
                    <a:prstGeom prst="rect">
                      <a:avLst/>
                    </a:prstGeom>
                  </pic:spPr>
                </pic:pic>
              </a:graphicData>
            </a:graphic>
          </wp:inline>
        </w:drawing>
      </w:r>
    </w:p>
    <w:p w14:paraId="293975E9" w14:textId="77777777" w:rsidR="00E732FA" w:rsidRPr="003C7CB1" w:rsidRDefault="00E732FA" w:rsidP="00E732FA">
      <w:pPr>
        <w:jc w:val="both"/>
        <w:rPr>
          <w:rFonts w:ascii="Calibri" w:eastAsia="Cambria" w:hAnsi="Calibri" w:cs="Calibri"/>
          <w:sz w:val="24"/>
          <w:szCs w:val="24"/>
        </w:rPr>
      </w:pPr>
    </w:p>
    <w:p w14:paraId="1C6D37A0" w14:textId="77777777" w:rsidR="00E732FA" w:rsidRPr="003C7CB1" w:rsidRDefault="00E732FA" w:rsidP="00E732FA">
      <w:pPr>
        <w:pStyle w:val="Heading1"/>
        <w:numPr>
          <w:ilvl w:val="0"/>
          <w:numId w:val="48"/>
        </w:numPr>
        <w:spacing w:before="0" w:after="120"/>
      </w:pPr>
      <w:bookmarkStart w:id="122" w:name="_Toc102133804"/>
      <w:bookmarkStart w:id="123" w:name="_Toc104544188"/>
      <w:r w:rsidRPr="003C7CB1">
        <w:lastRenderedPageBreak/>
        <w:t>ANALYSIS OF PARTNERSHIPS IN TOURISM</w:t>
      </w:r>
      <w:bookmarkEnd w:id="122"/>
      <w:bookmarkEnd w:id="123"/>
      <w:r w:rsidRPr="003C7CB1">
        <w:t xml:space="preserve"> </w:t>
      </w:r>
    </w:p>
    <w:p w14:paraId="24FBAFA5" w14:textId="77777777" w:rsidR="00E732FA" w:rsidRPr="003C7CB1" w:rsidRDefault="00E732FA" w:rsidP="00E732FA">
      <w:pPr>
        <w:spacing w:after="120"/>
        <w:jc w:val="both"/>
        <w:rPr>
          <w:sz w:val="24"/>
          <w:szCs w:val="24"/>
        </w:rPr>
      </w:pPr>
      <w:r w:rsidRPr="003C7CB1">
        <w:rPr>
          <w:sz w:val="24"/>
          <w:szCs w:val="24"/>
        </w:rPr>
        <w:t>In order to achieve high quality, sustainability and implementation of the Montenegro Tourism Development Strategy 2022-2025, the synergy of key stakeholders, from the national, regional and local levels, oriented towards the creation of a common tourism product, is necessary. In Scheme 1, partnerships are presented through an evaluation mechanism, defining two evaluations (from 1 - minimum to 5 - maximum) which show:</w:t>
      </w:r>
    </w:p>
    <w:p w14:paraId="668E2175" w14:textId="77777777" w:rsidR="00E732FA" w:rsidRPr="003C7CB1" w:rsidRDefault="00E732FA" w:rsidP="00E732FA">
      <w:pPr>
        <w:pStyle w:val="ListParagraph"/>
        <w:numPr>
          <w:ilvl w:val="1"/>
          <w:numId w:val="6"/>
        </w:numPr>
        <w:jc w:val="both"/>
        <w:rPr>
          <w:sz w:val="24"/>
          <w:szCs w:val="24"/>
        </w:rPr>
      </w:pPr>
      <w:r w:rsidRPr="003C7CB1">
        <w:rPr>
          <w:sz w:val="24"/>
          <w:szCs w:val="24"/>
        </w:rPr>
        <w:t>level of interest and</w:t>
      </w:r>
    </w:p>
    <w:p w14:paraId="75A68182" w14:textId="77777777" w:rsidR="00E732FA" w:rsidRPr="003C7CB1" w:rsidRDefault="00E732FA" w:rsidP="00E732FA">
      <w:pPr>
        <w:pStyle w:val="ListParagraph"/>
        <w:numPr>
          <w:ilvl w:val="1"/>
          <w:numId w:val="6"/>
        </w:numPr>
        <w:jc w:val="both"/>
        <w:rPr>
          <w:rFonts w:cstheme="minorHAnsi"/>
        </w:rPr>
      </w:pPr>
      <w:r w:rsidRPr="003C7CB1">
        <w:rPr>
          <w:sz w:val="24"/>
          <w:szCs w:val="24"/>
        </w:rPr>
        <w:t>level of influence (power)</w:t>
      </w:r>
    </w:p>
    <w:p w14:paraId="0FC349AC" w14:textId="77777777" w:rsidR="00E732FA" w:rsidRPr="003C7CB1" w:rsidRDefault="00E732FA" w:rsidP="00E732FA">
      <w:pPr>
        <w:jc w:val="both"/>
        <w:rPr>
          <w:rFonts w:cstheme="minorHAnsi"/>
        </w:rPr>
      </w:pPr>
      <w:r w:rsidRPr="003C7CB1">
        <w:rPr>
          <w:sz w:val="24"/>
          <w:szCs w:val="24"/>
        </w:rPr>
        <w:t xml:space="preserve">of stakeholders to implement this Strategy.  </w:t>
      </w:r>
    </w:p>
    <w:p w14:paraId="51EDFF42" w14:textId="77777777" w:rsidR="00E732FA" w:rsidRPr="003C7CB1" w:rsidRDefault="00E732FA" w:rsidP="00E732FA">
      <w:pPr>
        <w:jc w:val="both"/>
        <w:rPr>
          <w:rFonts w:cstheme="minorHAnsi"/>
        </w:rPr>
      </w:pPr>
      <w:r w:rsidRPr="003C7CB1">
        <w:rPr>
          <w:rFonts w:cstheme="minorHAnsi"/>
          <w:b/>
          <w:bCs/>
        </w:rPr>
        <w:t>Scheme 1:</w:t>
      </w:r>
      <w:r w:rsidRPr="003C7CB1">
        <w:rPr>
          <w:rFonts w:cstheme="minorHAnsi"/>
        </w:rPr>
        <w:t xml:space="preserve"> Overview of key actors in tourism </w:t>
      </w:r>
    </w:p>
    <w:p w14:paraId="32667486" w14:textId="77777777" w:rsidR="00E732FA" w:rsidRPr="003C7CB1" w:rsidRDefault="00E732FA" w:rsidP="00E732FA">
      <w:pPr>
        <w:jc w:val="center"/>
        <w:rPr>
          <w:rFonts w:cstheme="minorHAnsi"/>
        </w:rPr>
      </w:pPr>
      <w:r w:rsidRPr="003C7CB1">
        <w:rPr>
          <w:rFonts w:cstheme="minorHAnsi"/>
          <w:noProof/>
        </w:rPr>
        <w:drawing>
          <wp:inline distT="0" distB="0" distL="0" distR="0" wp14:anchorId="09322C53" wp14:editId="64DB2120">
            <wp:extent cx="5218412" cy="3940098"/>
            <wp:effectExtent l="0" t="0" r="1905" b="3810"/>
            <wp:docPr id="169" name="Picture 169" descr="C:\Users\jelena.mugosa\AppData\Local\Microsoft\Windows\Temporary Internet Files\Content.Outlook\DVGFB7W0\Strategija dizajn 21 str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lena.mugosa\AppData\Local\Microsoft\Windows\Temporary Internet Files\Content.Outlook\DVGFB7W0\Strategija dizajn 21 strana.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30085" cy="3948911"/>
                    </a:xfrm>
                    <a:prstGeom prst="rect">
                      <a:avLst/>
                    </a:prstGeom>
                    <a:noFill/>
                    <a:ln>
                      <a:noFill/>
                    </a:ln>
                  </pic:spPr>
                </pic:pic>
              </a:graphicData>
            </a:graphic>
          </wp:inline>
        </w:drawing>
      </w:r>
    </w:p>
    <w:p w14:paraId="1F910196" w14:textId="77777777" w:rsidR="00E732FA" w:rsidRPr="003C7CB1" w:rsidRDefault="00E732FA" w:rsidP="00E732FA">
      <w:pPr>
        <w:spacing w:before="120" w:after="120"/>
        <w:jc w:val="both"/>
        <w:rPr>
          <w:rFonts w:cstheme="minorHAnsi"/>
          <w:sz w:val="24"/>
          <w:szCs w:val="24"/>
        </w:rPr>
      </w:pPr>
      <w:r w:rsidRPr="003C7CB1">
        <w:rPr>
          <w:rFonts w:cstheme="minorHAnsi"/>
          <w:sz w:val="24"/>
          <w:szCs w:val="24"/>
        </w:rPr>
        <w:t>High marks concerning both segments, interest and influence, indicate the need to raise the level of awareness and commitment of all partners in the direction of their more efficient and effective interconnection.</w:t>
      </w:r>
      <w:r w:rsidRPr="003C7CB1">
        <w:t xml:space="preserve"> </w:t>
      </w:r>
      <w:r w:rsidRPr="003C7CB1">
        <w:rPr>
          <w:rFonts w:cstheme="minorHAnsi"/>
          <w:sz w:val="24"/>
          <w:szCs w:val="24"/>
        </w:rPr>
        <w:t xml:space="preserve">In this way, partnerships contribute to the strengthening of tourism as one of the development priorities of the overall economy of Montenegro. </w:t>
      </w:r>
    </w:p>
    <w:p w14:paraId="18F6A738" w14:textId="77777777" w:rsidR="00E732FA" w:rsidRPr="003C7CB1" w:rsidRDefault="00E732FA" w:rsidP="00E732FA">
      <w:pPr>
        <w:shd w:val="clear" w:color="auto" w:fill="FFFFFF" w:themeFill="background1"/>
        <w:spacing w:after="0" w:line="240" w:lineRule="auto"/>
        <w:jc w:val="both"/>
        <w:rPr>
          <w:rFonts w:cs="Arial"/>
          <w:b/>
          <w:sz w:val="24"/>
          <w:szCs w:val="24"/>
        </w:rPr>
      </w:pPr>
    </w:p>
    <w:p w14:paraId="4979CD02" w14:textId="77777777" w:rsidR="00E732FA" w:rsidRPr="003C7CB1" w:rsidRDefault="00E732FA" w:rsidP="00E732FA">
      <w:pPr>
        <w:shd w:val="clear" w:color="auto" w:fill="FFFFFF" w:themeFill="background1"/>
        <w:spacing w:after="0" w:line="240" w:lineRule="auto"/>
        <w:jc w:val="both"/>
        <w:rPr>
          <w:rFonts w:cs="Arial"/>
          <w:b/>
          <w:sz w:val="24"/>
          <w:szCs w:val="24"/>
        </w:rPr>
      </w:pPr>
    </w:p>
    <w:p w14:paraId="60BAB25F" w14:textId="77777777" w:rsidR="00E732FA" w:rsidRPr="003C7CB1" w:rsidRDefault="00E732FA" w:rsidP="00E732FA">
      <w:pPr>
        <w:pBdr>
          <w:top w:val="single" w:sz="4" w:space="1" w:color="auto"/>
          <w:left w:val="single" w:sz="4" w:space="4" w:color="auto"/>
          <w:bottom w:val="single" w:sz="4" w:space="1" w:color="auto"/>
          <w:right w:val="single" w:sz="4" w:space="4" w:color="auto"/>
        </w:pBdr>
        <w:jc w:val="both"/>
        <w:rPr>
          <w:rFonts w:eastAsiaTheme="majorEastAsia" w:cstheme="majorBidi"/>
          <w:b/>
          <w:color w:val="2F5496" w:themeColor="accent1" w:themeShade="BF"/>
          <w:sz w:val="28"/>
          <w:szCs w:val="32"/>
        </w:rPr>
      </w:pPr>
      <w:r w:rsidRPr="003C7CB1">
        <w:rPr>
          <w:b/>
          <w:sz w:val="24"/>
          <w:szCs w:val="24"/>
        </w:rPr>
        <w:t xml:space="preserve">Annex I: </w:t>
      </w:r>
      <w:bookmarkStart w:id="124" w:name="_Toc91286175"/>
      <w:r w:rsidRPr="003C7CB1">
        <w:rPr>
          <w:sz w:val="24"/>
          <w:szCs w:val="24"/>
        </w:rPr>
        <w:t xml:space="preserve">Detailed processing of the Analysis of partnerships in tourism </w:t>
      </w:r>
      <w:r w:rsidRPr="003C7CB1">
        <w:br w:type="page"/>
      </w:r>
    </w:p>
    <w:p w14:paraId="7559CEE2" w14:textId="77777777" w:rsidR="00E732FA" w:rsidRPr="003C7CB1" w:rsidRDefault="00E732FA" w:rsidP="00E732FA">
      <w:pPr>
        <w:spacing w:after="0" w:line="240" w:lineRule="auto"/>
        <w:rPr>
          <w:rFonts w:eastAsiaTheme="majorEastAsia" w:cstheme="majorBidi"/>
          <w:b/>
          <w:color w:val="2F5496" w:themeColor="accent1" w:themeShade="BF"/>
          <w:sz w:val="28"/>
          <w:szCs w:val="32"/>
        </w:rPr>
      </w:pPr>
      <w:r w:rsidRPr="003C7CB1">
        <w:rPr>
          <w:noProof/>
        </w:rPr>
        <w:lastRenderedPageBreak/>
        <w:drawing>
          <wp:inline distT="0" distB="0" distL="0" distR="0" wp14:anchorId="4592B293" wp14:editId="06559EE6">
            <wp:extent cx="5732145" cy="8108211"/>
            <wp:effectExtent l="0" t="0" r="1905" b="762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0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r w:rsidRPr="003C7CB1">
        <w:br w:type="page"/>
      </w:r>
    </w:p>
    <w:p w14:paraId="1162B548" w14:textId="77777777" w:rsidR="00E732FA" w:rsidRPr="003C7CB1" w:rsidRDefault="00E732FA" w:rsidP="00E732FA">
      <w:pPr>
        <w:pStyle w:val="Heading1"/>
        <w:numPr>
          <w:ilvl w:val="0"/>
          <w:numId w:val="48"/>
        </w:numPr>
      </w:pPr>
      <w:bookmarkStart w:id="125" w:name="_Toc102133805"/>
      <w:bookmarkStart w:id="126" w:name="_Toc104544189"/>
      <w:bookmarkEnd w:id="124"/>
      <w:r w:rsidRPr="003C7CB1">
        <w:lastRenderedPageBreak/>
        <w:t>COMPARATIVE ANALYSIS OF TOURISM IN COMPETITIVE MARKETS</w:t>
      </w:r>
      <w:bookmarkEnd w:id="125"/>
      <w:bookmarkEnd w:id="126"/>
      <w:r w:rsidRPr="003C7CB1">
        <w:t xml:space="preserve"> </w:t>
      </w:r>
    </w:p>
    <w:p w14:paraId="12D14454" w14:textId="77777777" w:rsidR="00E732FA" w:rsidRPr="003C7CB1" w:rsidRDefault="00E732FA" w:rsidP="00E732FA"/>
    <w:tbl>
      <w:tblPr>
        <w:tblStyle w:val="TableGrid"/>
        <w:tblW w:w="0" w:type="auto"/>
        <w:tblLook w:val="04A0" w:firstRow="1" w:lastRow="0" w:firstColumn="1" w:lastColumn="0" w:noHBand="0" w:noVBand="1"/>
      </w:tblPr>
      <w:tblGrid>
        <w:gridCol w:w="1522"/>
        <w:gridCol w:w="7495"/>
      </w:tblGrid>
      <w:tr w:rsidR="00E732FA" w:rsidRPr="003C7CB1" w14:paraId="5F5FD42D" w14:textId="77777777" w:rsidTr="00E732FA">
        <w:tc>
          <w:tcPr>
            <w:tcW w:w="1526" w:type="dxa"/>
            <w:shd w:val="clear" w:color="auto" w:fill="D9E2F3" w:themeFill="accent1" w:themeFillTint="33"/>
          </w:tcPr>
          <w:p w14:paraId="013714B3" w14:textId="77777777" w:rsidR="00E732FA" w:rsidRPr="003C7CB1" w:rsidRDefault="00E732FA" w:rsidP="00E732FA">
            <w:pPr>
              <w:jc w:val="both"/>
              <w:rPr>
                <w:b/>
                <w:color w:val="1F3864" w:themeColor="accent1" w:themeShade="80"/>
                <w:sz w:val="24"/>
                <w:szCs w:val="24"/>
              </w:rPr>
            </w:pPr>
            <w:r w:rsidRPr="003C7CB1">
              <w:rPr>
                <w:b/>
                <w:color w:val="1F3864" w:themeColor="accent1" w:themeShade="80"/>
                <w:sz w:val="24"/>
                <w:szCs w:val="24"/>
              </w:rPr>
              <w:t xml:space="preserve">Country </w:t>
            </w:r>
          </w:p>
        </w:tc>
        <w:tc>
          <w:tcPr>
            <w:tcW w:w="7717" w:type="dxa"/>
            <w:shd w:val="clear" w:color="auto" w:fill="D9E2F3" w:themeFill="accent1" w:themeFillTint="33"/>
          </w:tcPr>
          <w:p w14:paraId="3921C3C3" w14:textId="77777777" w:rsidR="00E732FA" w:rsidRPr="003C7CB1" w:rsidRDefault="00E732FA" w:rsidP="00E732FA">
            <w:pPr>
              <w:jc w:val="center"/>
              <w:rPr>
                <w:b/>
                <w:color w:val="1F3864" w:themeColor="accent1" w:themeShade="80"/>
                <w:sz w:val="28"/>
                <w:szCs w:val="28"/>
              </w:rPr>
            </w:pPr>
            <w:r w:rsidRPr="003C7CB1">
              <w:rPr>
                <w:b/>
                <w:color w:val="1F3864" w:themeColor="accent1" w:themeShade="80"/>
                <w:sz w:val="28"/>
                <w:szCs w:val="28"/>
              </w:rPr>
              <w:t>CROATIA</w:t>
            </w:r>
            <w:r w:rsidRPr="003C7CB1">
              <w:rPr>
                <w:rStyle w:val="FootnoteReference"/>
                <w:b/>
                <w:color w:val="1F3864" w:themeColor="accent1" w:themeShade="80"/>
                <w:sz w:val="28"/>
                <w:szCs w:val="28"/>
              </w:rPr>
              <w:footnoteReference w:id="28"/>
            </w:r>
            <w:r w:rsidRPr="003C7CB1">
              <w:rPr>
                <w:b/>
                <w:color w:val="1F3864" w:themeColor="accent1" w:themeShade="80"/>
                <w:sz w:val="28"/>
                <w:szCs w:val="28"/>
              </w:rPr>
              <w:t xml:space="preserve"> </w:t>
            </w:r>
          </w:p>
        </w:tc>
      </w:tr>
      <w:tr w:rsidR="00E732FA" w:rsidRPr="003C7CB1" w14:paraId="54C9324A" w14:textId="77777777" w:rsidTr="00E732FA">
        <w:tc>
          <w:tcPr>
            <w:tcW w:w="1526" w:type="dxa"/>
          </w:tcPr>
          <w:p w14:paraId="7A5B9A76" w14:textId="54BB5D26"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alibri" w:eastAsia="Times New Roman" w:hAnsi="Calibri" w:cs="Calibri"/>
                <w:b/>
                <w:color w:val="000000"/>
              </w:rPr>
            </w:pPr>
            <w:r w:rsidRPr="003C7CB1">
              <w:rPr>
                <w:rFonts w:ascii="Calibri" w:eastAsia="Times New Roman" w:hAnsi="Calibri" w:cs="Calibri"/>
                <w:b/>
                <w:color w:val="000000"/>
              </w:rPr>
              <w:t>Touris</w:t>
            </w:r>
            <w:r w:rsidR="00D831F2">
              <w:rPr>
                <w:rFonts w:ascii="Calibri" w:eastAsia="Times New Roman" w:hAnsi="Calibri" w:cs="Calibri"/>
                <w:b/>
                <w:color w:val="000000"/>
              </w:rPr>
              <w:t>m turnover</w:t>
            </w:r>
            <w:r w:rsidRPr="003C7CB1">
              <w:rPr>
                <w:rFonts w:ascii="Calibri" w:eastAsia="Times New Roman" w:hAnsi="Calibri" w:cs="Calibri"/>
                <w:b/>
                <w:color w:val="000000"/>
              </w:rPr>
              <w:t xml:space="preserve">  </w:t>
            </w:r>
          </w:p>
          <w:p w14:paraId="27419216" w14:textId="77777777" w:rsidR="00E732FA" w:rsidRPr="003C7CB1" w:rsidRDefault="00E732FA" w:rsidP="00E732FA">
            <w:pPr>
              <w:jc w:val="both"/>
              <w:rPr>
                <w:b/>
                <w:color w:val="1F3864" w:themeColor="accent1" w:themeShade="80"/>
              </w:rPr>
            </w:pPr>
          </w:p>
        </w:tc>
        <w:tc>
          <w:tcPr>
            <w:tcW w:w="7717" w:type="dxa"/>
          </w:tcPr>
          <w:p w14:paraId="198E1B27"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color w:val="000000"/>
              </w:rPr>
            </w:pPr>
            <w:r w:rsidRPr="003C7CB1">
              <w:rPr>
                <w:rFonts w:ascii="Calibri" w:eastAsia="Times New Roman" w:hAnsi="Calibri" w:cs="Calibri"/>
                <w:color w:val="000000"/>
              </w:rPr>
              <w:t xml:space="preserve">In 2018, the total contribution of tourism to GDP was 19.6%, with revenues from tourism amounting to € 10.1 billion. In the same year, the tourism industry directly employed 86,600 people, which represents 6.6% of total employment. </w:t>
            </w:r>
          </w:p>
          <w:p w14:paraId="7BB473BE"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color w:val="000000"/>
              </w:rPr>
            </w:pPr>
            <w:r w:rsidRPr="003C7CB1">
              <w:rPr>
                <w:rFonts w:ascii="Calibri" w:eastAsia="Times New Roman" w:hAnsi="Calibri" w:cs="Calibri"/>
                <w:color w:val="000000"/>
              </w:rPr>
              <w:t>According to statistical data, the number of foreign guests in 2018 amounted to 16.6 million, with 83.2 million overnight stays, or 92.8% of the total number of guests.</w:t>
            </w:r>
            <w:r w:rsidRPr="003C7CB1">
              <w:t xml:space="preserve"> </w:t>
            </w:r>
            <w:r w:rsidRPr="003C7CB1">
              <w:rPr>
                <w:rFonts w:ascii="Calibri" w:eastAsia="Times New Roman" w:hAnsi="Calibri" w:cs="Calibri"/>
                <w:color w:val="000000"/>
              </w:rPr>
              <w:t xml:space="preserve">The average duration of stay of tourists in Croatia is five nights. The main strategic markets for Croatia are Germany (16.7%), Austria (8.2%) and Slovenia (8.2%). Some growth is evident from distant markets such as the USA, Canada and China. </w:t>
            </w:r>
          </w:p>
        </w:tc>
      </w:tr>
      <w:tr w:rsidR="00E732FA" w:rsidRPr="003C7CB1" w14:paraId="6C22D1F5" w14:textId="77777777" w:rsidTr="00E732FA">
        <w:trPr>
          <w:trHeight w:val="1121"/>
        </w:trPr>
        <w:tc>
          <w:tcPr>
            <w:tcW w:w="1526" w:type="dxa"/>
          </w:tcPr>
          <w:p w14:paraId="459B1ADF"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alibri" w:eastAsia="Times New Roman" w:hAnsi="Calibri" w:cs="Calibri"/>
                <w:b/>
                <w:color w:val="000000"/>
              </w:rPr>
            </w:pPr>
            <w:r w:rsidRPr="003C7CB1">
              <w:rPr>
                <w:rFonts w:ascii="Calibri" w:eastAsia="Times New Roman" w:hAnsi="Calibri" w:cs="Calibri"/>
                <w:b/>
                <w:color w:val="000000"/>
              </w:rPr>
              <w:t>Tourism management and financing</w:t>
            </w:r>
          </w:p>
        </w:tc>
        <w:tc>
          <w:tcPr>
            <w:tcW w:w="7717" w:type="dxa"/>
          </w:tcPr>
          <w:p w14:paraId="6A62BC9E" w14:textId="77777777" w:rsidR="00E732FA" w:rsidRPr="003C7CB1" w:rsidRDefault="00E732FA" w:rsidP="00E732FA">
            <w:pPr>
              <w:jc w:val="both"/>
              <w:rPr>
                <w:rFonts w:ascii="Calibri" w:eastAsia="Times New Roman" w:hAnsi="Calibri" w:cs="Calibri"/>
                <w:color w:val="000000"/>
              </w:rPr>
            </w:pPr>
            <w:r w:rsidRPr="003C7CB1">
              <w:rPr>
                <w:rFonts w:ascii="Calibri" w:eastAsia="Times New Roman" w:hAnsi="Calibri" w:cs="Calibri"/>
                <w:color w:val="000000"/>
              </w:rPr>
              <w:t xml:space="preserve">The Ministry of Tourism and Sports of Croatia is responsible for drafting strategic documents and policy proposals in tourism. The Croatian National Tourist Board is in charge of tourism promotion. </w:t>
            </w:r>
          </w:p>
          <w:tbl>
            <w:tblPr>
              <w:tblStyle w:val="TableGrid2"/>
              <w:tblW w:w="0" w:type="auto"/>
              <w:tblLook w:val="04A0" w:firstRow="1" w:lastRow="0" w:firstColumn="1" w:lastColumn="0" w:noHBand="0" w:noVBand="1"/>
            </w:tblPr>
            <w:tblGrid>
              <w:gridCol w:w="3704"/>
              <w:gridCol w:w="3565"/>
            </w:tblGrid>
            <w:tr w:rsidR="00E732FA" w:rsidRPr="003C7CB1" w14:paraId="74973D78" w14:textId="77777777" w:rsidTr="00E732FA">
              <w:tc>
                <w:tcPr>
                  <w:tcW w:w="4788" w:type="dxa"/>
                  <w:shd w:val="clear" w:color="auto" w:fill="DEEAF6" w:themeFill="accent5" w:themeFillTint="33"/>
                </w:tcPr>
                <w:p w14:paraId="68EAF0E8"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sz w:val="20"/>
                      <w:szCs w:val="20"/>
                    </w:rPr>
                  </w:pPr>
                  <w:r w:rsidRPr="003C7CB1">
                    <w:rPr>
                      <w:rFonts w:eastAsia="Times New Roman" w:cs="Calibri"/>
                      <w:color w:val="000000"/>
                      <w:sz w:val="20"/>
                      <w:szCs w:val="20"/>
                    </w:rPr>
                    <w:t xml:space="preserve">Tourism budget in 2018 </w:t>
                  </w:r>
                </w:p>
              </w:tc>
              <w:tc>
                <w:tcPr>
                  <w:tcW w:w="4788" w:type="dxa"/>
                  <w:shd w:val="clear" w:color="auto" w:fill="DEEAF6" w:themeFill="accent5" w:themeFillTint="33"/>
                </w:tcPr>
                <w:p w14:paraId="1828E99F"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sz w:val="20"/>
                      <w:szCs w:val="20"/>
                    </w:rPr>
                  </w:pPr>
                  <w:r w:rsidRPr="003C7CB1">
                    <w:rPr>
                      <w:rFonts w:eastAsia="Times New Roman" w:cs="Calibri"/>
                      <w:color w:val="000000"/>
                      <w:sz w:val="20"/>
                      <w:szCs w:val="20"/>
                    </w:rPr>
                    <w:t xml:space="preserve">about € 31 million / 0.2% of the total state budget </w:t>
                  </w:r>
                </w:p>
              </w:tc>
            </w:tr>
            <w:tr w:rsidR="00E732FA" w:rsidRPr="003C7CB1" w14:paraId="0087CF6F" w14:textId="77777777" w:rsidTr="00E732FA">
              <w:tc>
                <w:tcPr>
                  <w:tcW w:w="4788" w:type="dxa"/>
                  <w:shd w:val="clear" w:color="auto" w:fill="DEEAF6" w:themeFill="accent5" w:themeFillTint="33"/>
                </w:tcPr>
                <w:p w14:paraId="691E1416"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sz w:val="20"/>
                      <w:szCs w:val="20"/>
                    </w:rPr>
                  </w:pPr>
                  <w:r w:rsidRPr="003C7CB1">
                    <w:rPr>
                      <w:rFonts w:eastAsia="Times New Roman" w:cs="Calibri"/>
                      <w:color w:val="000000"/>
                      <w:sz w:val="20"/>
                      <w:szCs w:val="20"/>
                    </w:rPr>
                    <w:t xml:space="preserve">Total budget of the Croatian National Tourist Board (tourist tax (47.8%), state budget, membership fees and other sources) </w:t>
                  </w:r>
                </w:p>
              </w:tc>
              <w:tc>
                <w:tcPr>
                  <w:tcW w:w="4788" w:type="dxa"/>
                  <w:shd w:val="clear" w:color="auto" w:fill="DEEAF6" w:themeFill="accent5" w:themeFillTint="33"/>
                </w:tcPr>
                <w:p w14:paraId="41F5749F"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sz w:val="20"/>
                      <w:szCs w:val="20"/>
                    </w:rPr>
                  </w:pPr>
                  <w:r w:rsidRPr="003C7CB1">
                    <w:rPr>
                      <w:rFonts w:eastAsia="Times New Roman" w:cs="Calibri"/>
                      <w:color w:val="000000"/>
                      <w:sz w:val="20"/>
                      <w:szCs w:val="20"/>
                    </w:rPr>
                    <w:t xml:space="preserve">about € 43 million </w:t>
                  </w:r>
                </w:p>
              </w:tc>
            </w:tr>
          </w:tbl>
          <w:p w14:paraId="752D765D" w14:textId="77777777" w:rsidR="00E732FA" w:rsidRPr="003C7CB1" w:rsidRDefault="00E732FA" w:rsidP="00E732FA">
            <w:pPr>
              <w:jc w:val="both"/>
              <w:rPr>
                <w:b/>
                <w:color w:val="1F3864" w:themeColor="accent1" w:themeShade="80"/>
              </w:rPr>
            </w:pPr>
          </w:p>
        </w:tc>
      </w:tr>
      <w:tr w:rsidR="00E732FA" w:rsidRPr="003C7CB1" w14:paraId="3278951A" w14:textId="77777777" w:rsidTr="00E732FA">
        <w:tc>
          <w:tcPr>
            <w:tcW w:w="1526" w:type="dxa"/>
          </w:tcPr>
          <w:p w14:paraId="0EDD9945"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Calibri"/>
                <w:b/>
                <w:color w:val="000000"/>
              </w:rPr>
            </w:pPr>
            <w:r w:rsidRPr="003C7CB1">
              <w:rPr>
                <w:rFonts w:ascii="Calibri" w:eastAsia="Times New Roman" w:hAnsi="Calibri" w:cs="Calibri"/>
                <w:b/>
                <w:color w:val="000000"/>
              </w:rPr>
              <w:t xml:space="preserve">Tourism policies and program </w:t>
            </w:r>
          </w:p>
        </w:tc>
        <w:tc>
          <w:tcPr>
            <w:tcW w:w="7717" w:type="dxa"/>
          </w:tcPr>
          <w:p w14:paraId="664DA9E1" w14:textId="77777777" w:rsidR="00E732FA" w:rsidRPr="003C7CB1" w:rsidRDefault="00E732FA" w:rsidP="00E732FA">
            <w:pPr>
              <w:spacing w:after="0"/>
              <w:jc w:val="both"/>
              <w:rPr>
                <w:rFonts w:ascii="Calibri" w:eastAsia="Times New Roman" w:hAnsi="Calibri" w:cs="Calibri"/>
                <w:color w:val="000000"/>
              </w:rPr>
            </w:pPr>
            <w:r w:rsidRPr="003C7CB1">
              <w:rPr>
                <w:rFonts w:ascii="Calibri" w:eastAsia="Times New Roman" w:hAnsi="Calibri" w:cs="Calibri"/>
                <w:color w:val="000000"/>
              </w:rPr>
              <w:t>Croatian tourism development strategy until 2020 has defined the following goals:</w:t>
            </w:r>
          </w:p>
          <w:p w14:paraId="4C7B1752" w14:textId="77777777" w:rsidR="00E732FA" w:rsidRPr="003C7CB1" w:rsidRDefault="00E732FA" w:rsidP="00E732FA">
            <w:pPr>
              <w:pStyle w:val="ListParagraph"/>
              <w:numPr>
                <w:ilvl w:val="0"/>
                <w:numId w:val="38"/>
              </w:numPr>
              <w:spacing w:after="0"/>
              <w:jc w:val="both"/>
            </w:pPr>
            <w:r w:rsidRPr="003C7CB1">
              <w:t xml:space="preserve">Improve the tourism product and raise quality through investment, innovation, smart specialization and sustainability. </w:t>
            </w:r>
          </w:p>
          <w:p w14:paraId="293A84EC" w14:textId="3703A309" w:rsidR="00E732FA" w:rsidRPr="003C7CB1" w:rsidRDefault="00E732FA" w:rsidP="00E732FA">
            <w:pPr>
              <w:pStyle w:val="ListParagraph"/>
              <w:numPr>
                <w:ilvl w:val="0"/>
                <w:numId w:val="38"/>
              </w:numPr>
              <w:spacing w:after="0"/>
              <w:jc w:val="both"/>
            </w:pPr>
            <w:r w:rsidRPr="003C7CB1">
              <w:t>Strongly position the Croatian brand on international markets, increase touris</w:t>
            </w:r>
            <w:r w:rsidR="005B60E0">
              <w:t>m turnover</w:t>
            </w:r>
            <w:r w:rsidRPr="003C7CB1">
              <w:t xml:space="preserve"> while increasing average consumption and support the private sector. </w:t>
            </w:r>
          </w:p>
          <w:p w14:paraId="450A2D4C"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alibri" w:eastAsia="Times New Roman" w:hAnsi="Calibri" w:cs="Calibri"/>
                <w:color w:val="000000"/>
              </w:rPr>
            </w:pPr>
            <w:r w:rsidRPr="003C7CB1">
              <w:rPr>
                <w:rFonts w:ascii="Calibri" w:eastAsia="Times New Roman" w:hAnsi="Calibri" w:cs="Calibri"/>
                <w:color w:val="000000"/>
              </w:rPr>
              <w:t xml:space="preserve">A new Strategy for the Development of Sustainable Tourism until 2030 is being drafted. </w:t>
            </w:r>
          </w:p>
        </w:tc>
      </w:tr>
      <w:tr w:rsidR="00E732FA" w:rsidRPr="003C7CB1" w14:paraId="3A20A6B2" w14:textId="77777777" w:rsidTr="00E732FA">
        <w:tc>
          <w:tcPr>
            <w:tcW w:w="1526" w:type="dxa"/>
          </w:tcPr>
          <w:p w14:paraId="56FCCDC7"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Calibri"/>
                <w:b/>
                <w:color w:val="000000"/>
              </w:rPr>
            </w:pPr>
            <w:r w:rsidRPr="003C7CB1">
              <w:rPr>
                <w:rFonts w:ascii="Calibri" w:eastAsia="Times New Roman" w:hAnsi="Calibri" w:cs="Calibri"/>
                <w:b/>
                <w:color w:val="000000"/>
              </w:rPr>
              <w:t xml:space="preserve">The main challenges in tourism in Croatia </w:t>
            </w:r>
          </w:p>
        </w:tc>
        <w:tc>
          <w:tcPr>
            <w:tcW w:w="7717" w:type="dxa"/>
          </w:tcPr>
          <w:p w14:paraId="3B6F2223" w14:textId="77777777" w:rsidR="00E732FA" w:rsidRPr="003C7CB1" w:rsidRDefault="00E732FA" w:rsidP="00E732FA">
            <w:pPr>
              <w:pStyle w:val="ListParagraph"/>
              <w:numPr>
                <w:ilvl w:val="0"/>
                <w:numId w:val="55"/>
              </w:numPr>
              <w:jc w:val="both"/>
              <w:rPr>
                <w:rFonts w:ascii="Calibri" w:eastAsia="Times New Roman" w:hAnsi="Calibri" w:cs="Calibri"/>
                <w:color w:val="000000"/>
              </w:rPr>
            </w:pPr>
            <w:r w:rsidRPr="003C7CB1">
              <w:rPr>
                <w:rFonts w:ascii="Calibri" w:eastAsia="Times New Roman" w:hAnsi="Calibri" w:cs="Calibri"/>
                <w:color w:val="000000"/>
              </w:rPr>
              <w:t xml:space="preserve">Lack of labor force in tourism - 64% of employers have difficulty finding suitable staff; </w:t>
            </w:r>
          </w:p>
          <w:p w14:paraId="317D6033" w14:textId="77777777" w:rsidR="00E732FA" w:rsidRPr="003C7CB1" w:rsidRDefault="00E732FA" w:rsidP="00E732FA">
            <w:pPr>
              <w:pStyle w:val="ListParagraph"/>
              <w:numPr>
                <w:ilvl w:val="0"/>
                <w:numId w:val="55"/>
              </w:numPr>
              <w:jc w:val="both"/>
              <w:rPr>
                <w:rFonts w:ascii="Calibri" w:eastAsia="Times New Roman" w:hAnsi="Calibri" w:cs="Calibri"/>
                <w:color w:val="000000"/>
              </w:rPr>
            </w:pPr>
            <w:r w:rsidRPr="003C7CB1">
              <w:rPr>
                <w:rFonts w:ascii="Calibri" w:eastAsia="Times New Roman" w:hAnsi="Calibri" w:cs="Calibri"/>
                <w:color w:val="000000"/>
              </w:rPr>
              <w:t xml:space="preserve">Excessive construction - Newly built accommodation facilities in some areas along the coast cause environmental degradation, with a negative impact on natural resources and infrastructure; </w:t>
            </w:r>
          </w:p>
          <w:p w14:paraId="31E042F2" w14:textId="77777777" w:rsidR="00E732FA" w:rsidRPr="003C7CB1" w:rsidRDefault="00E732FA" w:rsidP="00E732FA">
            <w:pPr>
              <w:pStyle w:val="ListParagraph"/>
              <w:numPr>
                <w:ilvl w:val="0"/>
                <w:numId w:val="55"/>
              </w:numPr>
              <w:jc w:val="both"/>
              <w:rPr>
                <w:rFonts w:ascii="Calibri" w:eastAsia="Times New Roman" w:hAnsi="Calibri" w:cs="Calibri"/>
                <w:color w:val="000000"/>
              </w:rPr>
            </w:pPr>
            <w:r w:rsidRPr="003C7CB1">
              <w:rPr>
                <w:rFonts w:ascii="Calibri" w:eastAsia="Times New Roman" w:hAnsi="Calibri" w:cs="Calibri"/>
                <w:color w:val="000000"/>
              </w:rPr>
              <w:t xml:space="preserve">High tourist pressure and waste management - Cruisers have been identified as one of the main potential polluters; </w:t>
            </w:r>
          </w:p>
          <w:p w14:paraId="0374FD28" w14:textId="77777777" w:rsidR="00E732FA" w:rsidRPr="003C7CB1" w:rsidRDefault="00E732FA" w:rsidP="00E732FA">
            <w:pPr>
              <w:pStyle w:val="ListParagraph"/>
              <w:numPr>
                <w:ilvl w:val="0"/>
                <w:numId w:val="55"/>
              </w:numPr>
              <w:jc w:val="both"/>
              <w:rPr>
                <w:rFonts w:ascii="Calibri" w:eastAsia="Times New Roman" w:hAnsi="Calibri" w:cs="Calibri"/>
                <w:color w:val="000000"/>
              </w:rPr>
            </w:pPr>
            <w:r w:rsidRPr="003C7CB1">
              <w:rPr>
                <w:rFonts w:ascii="Calibri" w:eastAsia="Times New Roman" w:hAnsi="Calibri" w:cs="Calibri"/>
                <w:color w:val="000000"/>
              </w:rPr>
              <w:t xml:space="preserve">Seasonality and regional imbalance (direct dependence on the sun and sea, without sufficient innovative and high quality tourism products). </w:t>
            </w:r>
          </w:p>
        </w:tc>
      </w:tr>
    </w:tbl>
    <w:p w14:paraId="11A7D93A" w14:textId="77777777" w:rsidR="00E732FA" w:rsidRPr="003C7CB1" w:rsidRDefault="00E732FA" w:rsidP="00E732FA">
      <w:pPr>
        <w:jc w:val="both"/>
        <w:rPr>
          <w:b/>
          <w:sz w:val="28"/>
          <w:szCs w:val="28"/>
        </w:rPr>
      </w:pPr>
    </w:p>
    <w:tbl>
      <w:tblPr>
        <w:tblStyle w:val="TableGrid"/>
        <w:tblW w:w="0" w:type="auto"/>
        <w:tblLook w:val="04A0" w:firstRow="1" w:lastRow="0" w:firstColumn="1" w:lastColumn="0" w:noHBand="0" w:noVBand="1"/>
      </w:tblPr>
      <w:tblGrid>
        <w:gridCol w:w="1522"/>
        <w:gridCol w:w="7495"/>
      </w:tblGrid>
      <w:tr w:rsidR="00E732FA" w:rsidRPr="003C7CB1" w14:paraId="4E93E6E5" w14:textId="77777777" w:rsidTr="00E732FA">
        <w:tc>
          <w:tcPr>
            <w:tcW w:w="1526" w:type="dxa"/>
            <w:shd w:val="clear" w:color="auto" w:fill="D9E2F3" w:themeFill="accent1" w:themeFillTint="33"/>
            <w:vAlign w:val="center"/>
          </w:tcPr>
          <w:p w14:paraId="6F454263" w14:textId="77777777" w:rsidR="00E732FA" w:rsidRPr="003C7CB1" w:rsidRDefault="00E732FA" w:rsidP="00E732FA">
            <w:pPr>
              <w:rPr>
                <w:b/>
              </w:rPr>
            </w:pPr>
            <w:r w:rsidRPr="003C7CB1">
              <w:rPr>
                <w:b/>
              </w:rPr>
              <w:t xml:space="preserve">Country </w:t>
            </w:r>
          </w:p>
        </w:tc>
        <w:tc>
          <w:tcPr>
            <w:tcW w:w="7717" w:type="dxa"/>
            <w:shd w:val="clear" w:color="auto" w:fill="D9E2F3" w:themeFill="accent1" w:themeFillTint="33"/>
            <w:vAlign w:val="center"/>
          </w:tcPr>
          <w:p w14:paraId="4F10B245" w14:textId="77777777" w:rsidR="00E732FA" w:rsidRPr="003C7CB1" w:rsidRDefault="00E732FA" w:rsidP="00E732FA">
            <w:pPr>
              <w:jc w:val="center"/>
              <w:rPr>
                <w:b/>
                <w:sz w:val="28"/>
                <w:szCs w:val="28"/>
              </w:rPr>
            </w:pPr>
            <w:r w:rsidRPr="003C7CB1">
              <w:rPr>
                <w:b/>
                <w:sz w:val="28"/>
                <w:szCs w:val="28"/>
              </w:rPr>
              <w:t>GREECE</w:t>
            </w:r>
            <w:r w:rsidRPr="003C7CB1">
              <w:rPr>
                <w:rStyle w:val="FootnoteReference"/>
                <w:b/>
                <w:sz w:val="28"/>
                <w:szCs w:val="28"/>
              </w:rPr>
              <w:footnoteReference w:id="29"/>
            </w:r>
          </w:p>
        </w:tc>
      </w:tr>
      <w:tr w:rsidR="00E732FA" w:rsidRPr="003C7CB1" w14:paraId="3EFFE293" w14:textId="77777777" w:rsidTr="00E732FA">
        <w:tc>
          <w:tcPr>
            <w:tcW w:w="1526" w:type="dxa"/>
          </w:tcPr>
          <w:p w14:paraId="1B0DB343" w14:textId="1C1A1DF1"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color w:val="000000"/>
              </w:rPr>
            </w:pPr>
            <w:r w:rsidRPr="003C7CB1">
              <w:rPr>
                <w:rFonts w:ascii="Calibri" w:eastAsia="Times New Roman" w:hAnsi="Calibri" w:cs="Calibri"/>
                <w:b/>
                <w:color w:val="000000"/>
              </w:rPr>
              <w:t>Touris</w:t>
            </w:r>
            <w:r w:rsidR="00F600FC">
              <w:rPr>
                <w:rFonts w:ascii="Calibri" w:eastAsia="Times New Roman" w:hAnsi="Calibri" w:cs="Calibri"/>
                <w:b/>
                <w:color w:val="000000"/>
              </w:rPr>
              <w:t>m turnover</w:t>
            </w:r>
            <w:r w:rsidRPr="003C7CB1">
              <w:rPr>
                <w:rFonts w:ascii="Calibri" w:eastAsia="Times New Roman" w:hAnsi="Calibri" w:cs="Calibri"/>
                <w:b/>
                <w:color w:val="000000"/>
              </w:rPr>
              <w:t xml:space="preserve">    </w:t>
            </w:r>
          </w:p>
        </w:tc>
        <w:tc>
          <w:tcPr>
            <w:tcW w:w="7717" w:type="dxa"/>
          </w:tcPr>
          <w:p w14:paraId="77A2E388"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Calibri" w:hAnsi="Calibri" w:cs="Calibri"/>
              </w:rPr>
            </w:pPr>
            <w:r w:rsidRPr="003C7CB1">
              <w:rPr>
                <w:rFonts w:ascii="Calibri" w:eastAsia="Calibri" w:hAnsi="Calibri" w:cs="Calibri"/>
              </w:rPr>
              <w:t>Tourism is one of the most important sectors of the Greek economy and a key pillar of economic growth.</w:t>
            </w:r>
            <w:r w:rsidRPr="003C7CB1">
              <w:t xml:space="preserve"> </w:t>
            </w:r>
            <w:r w:rsidRPr="003C7CB1">
              <w:rPr>
                <w:rFonts w:ascii="Calibri" w:eastAsia="Calibri" w:hAnsi="Calibri" w:cs="Calibri"/>
              </w:rPr>
              <w:t xml:space="preserve">In 2018, the total contribution of tourism to GDP was 6.8%. In 2018, the tourism sector directly employed 381,800 people, which is 10.0% of the total employment in the country. Travel exports accounted for 43.3% of total services exports in 2018. In the same year, Greece was visited by 33.1 million tourists, with 230.7 million overnight stays. The markets of Germany (+ 18.2%) and France (+ 7.3%) grew significantly, recording a total of 4.4 million and 1.5 million arrivals, respectively. Guests from the USA made 1.1 million arrivals, which is an annual increase of 26.9%. </w:t>
            </w:r>
          </w:p>
        </w:tc>
      </w:tr>
      <w:tr w:rsidR="00E732FA" w:rsidRPr="003C7CB1" w14:paraId="50E927AB" w14:textId="77777777" w:rsidTr="00E732FA">
        <w:tc>
          <w:tcPr>
            <w:tcW w:w="1526" w:type="dxa"/>
          </w:tcPr>
          <w:p w14:paraId="79A3F924"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alibri" w:eastAsia="Times New Roman" w:hAnsi="Calibri" w:cs="Calibri"/>
                <w:b/>
                <w:color w:val="000000"/>
              </w:rPr>
            </w:pPr>
            <w:r w:rsidRPr="003C7CB1">
              <w:rPr>
                <w:rFonts w:ascii="Calibri" w:eastAsia="Times New Roman" w:hAnsi="Calibri" w:cs="Calibri"/>
                <w:b/>
                <w:color w:val="000000"/>
              </w:rPr>
              <w:t xml:space="preserve">Tourism management and financing </w:t>
            </w:r>
          </w:p>
        </w:tc>
        <w:tc>
          <w:tcPr>
            <w:tcW w:w="7717" w:type="dxa"/>
          </w:tcPr>
          <w:p w14:paraId="2299CED2"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rPr>
            </w:pPr>
            <w:r w:rsidRPr="003C7CB1">
              <w:rPr>
                <w:rFonts w:ascii="Calibri" w:eastAsia="Times New Roman" w:hAnsi="Calibri" w:cs="Calibri"/>
              </w:rPr>
              <w:t xml:space="preserve">The Ministry of Tourism is responsible for creating and developing tourism policy in Greece. The ministry cooperates with other interested ministries and tourism authorities, such as the Association of Greek Tourism Enterprises and the Tourism Research Institute. The Greek National Tourism Organization (GNTO) conducts destination promotion and marketing activities, while the Ministry of Tourism manages a network of 14 regional tourism offices responsible for licensing, implementing quality control and regulating the tourism sector.  </w:t>
            </w:r>
          </w:p>
          <w:tbl>
            <w:tblPr>
              <w:tblStyle w:val="TableGrid21"/>
              <w:tblW w:w="0" w:type="auto"/>
              <w:shd w:val="clear" w:color="auto" w:fill="DEEAF6" w:themeFill="accent5" w:themeFillTint="33"/>
              <w:tblLook w:val="04A0" w:firstRow="1" w:lastRow="0" w:firstColumn="1" w:lastColumn="0" w:noHBand="0" w:noVBand="1"/>
            </w:tblPr>
            <w:tblGrid>
              <w:gridCol w:w="3622"/>
              <w:gridCol w:w="3647"/>
            </w:tblGrid>
            <w:tr w:rsidR="00E732FA" w:rsidRPr="003C7CB1" w14:paraId="62FFA3C4" w14:textId="77777777" w:rsidTr="00E732FA">
              <w:tc>
                <w:tcPr>
                  <w:tcW w:w="4788" w:type="dxa"/>
                  <w:shd w:val="clear" w:color="auto" w:fill="DEEAF6" w:themeFill="accent5" w:themeFillTint="33"/>
                </w:tcPr>
                <w:p w14:paraId="01A001C5"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alibri" w:eastAsia="Times New Roman" w:hAnsi="Calibri" w:cs="Calibri"/>
                      <w:sz w:val="20"/>
                      <w:szCs w:val="20"/>
                    </w:rPr>
                  </w:pPr>
                  <w:r w:rsidRPr="003C7CB1">
                    <w:rPr>
                      <w:rFonts w:ascii="Calibri" w:eastAsia="Times New Roman" w:hAnsi="Calibri" w:cs="Calibri"/>
                      <w:sz w:val="20"/>
                      <w:szCs w:val="20"/>
                    </w:rPr>
                    <w:t>Tourism budget in 2018</w:t>
                  </w:r>
                </w:p>
              </w:tc>
              <w:tc>
                <w:tcPr>
                  <w:tcW w:w="4788" w:type="dxa"/>
                  <w:shd w:val="clear" w:color="auto" w:fill="DEEAF6" w:themeFill="accent5" w:themeFillTint="33"/>
                </w:tcPr>
                <w:p w14:paraId="72708DDF"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alibri" w:eastAsia="Times New Roman" w:hAnsi="Calibri" w:cs="Calibri"/>
                      <w:sz w:val="20"/>
                      <w:szCs w:val="20"/>
                    </w:rPr>
                  </w:pPr>
                  <w:r w:rsidRPr="003C7CB1">
                    <w:rPr>
                      <w:rFonts w:ascii="Calibri" w:eastAsia="Times New Roman" w:hAnsi="Calibri" w:cs="Calibri"/>
                      <w:sz w:val="20"/>
                      <w:szCs w:val="20"/>
                    </w:rPr>
                    <w:t xml:space="preserve">€ 63.7 million / of which € 20.6 million allocated to GNTO </w:t>
                  </w:r>
                </w:p>
              </w:tc>
            </w:tr>
          </w:tbl>
          <w:p w14:paraId="043A700C"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rPr>
            </w:pPr>
          </w:p>
        </w:tc>
      </w:tr>
      <w:tr w:rsidR="00E732FA" w:rsidRPr="003C7CB1" w14:paraId="3CE3F341" w14:textId="77777777" w:rsidTr="00E732FA">
        <w:tc>
          <w:tcPr>
            <w:tcW w:w="1526" w:type="dxa"/>
          </w:tcPr>
          <w:p w14:paraId="1BA3A483" w14:textId="77777777" w:rsidR="00E732FA" w:rsidRPr="003C7CB1" w:rsidRDefault="00E732FA" w:rsidP="00E732FA">
            <w:pPr>
              <w:rPr>
                <w:b/>
              </w:rPr>
            </w:pPr>
            <w:r w:rsidRPr="003C7CB1">
              <w:rPr>
                <w:b/>
              </w:rPr>
              <w:t xml:space="preserve">Tourism policies and program </w:t>
            </w:r>
          </w:p>
        </w:tc>
        <w:tc>
          <w:tcPr>
            <w:tcW w:w="7717" w:type="dxa"/>
          </w:tcPr>
          <w:p w14:paraId="6FEB03D0"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rPr>
            </w:pPr>
            <w:r w:rsidRPr="003C7CB1">
              <w:rPr>
                <w:rFonts w:ascii="Calibri" w:eastAsia="Times New Roman" w:hAnsi="Calibri" w:cs="Calibri"/>
              </w:rPr>
              <w:t xml:space="preserve">The National Strategic Plan for the Tourism Sector was adopted for the period 2014-2020. Greece tourism strategy aims to promote the country as a global and attractive year-round destination, offering unique and authentic travel experiences. Tourism is at the heart of government policy for national development, innovation and openness.  </w:t>
            </w:r>
          </w:p>
          <w:p w14:paraId="25FE34AE"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rPr>
            </w:pPr>
            <w:r w:rsidRPr="003C7CB1">
              <w:rPr>
                <w:rFonts w:ascii="Calibri" w:eastAsia="Times New Roman" w:hAnsi="Calibri" w:cs="Calibri"/>
              </w:rPr>
              <w:t xml:space="preserve">The National Strategic Tourism Plan defines five priorities:  </w:t>
            </w:r>
          </w:p>
          <w:p w14:paraId="2437C344" w14:textId="77777777" w:rsidR="00E732FA" w:rsidRPr="003C7CB1" w:rsidRDefault="00E732FA" w:rsidP="00E732FA">
            <w:pPr>
              <w:pStyle w:val="ListParagraph"/>
              <w:numPr>
                <w:ilvl w:val="0"/>
                <w:numId w:val="39"/>
              </w:numPr>
              <w:spacing w:after="0"/>
              <w:jc w:val="both"/>
            </w:pPr>
            <w:r w:rsidRPr="003C7CB1">
              <w:t xml:space="preserve">High standards of infrastructure, in order to attract high quality investments, eliminate bureaucracy and optimize the spatial distribution of tourism; </w:t>
            </w:r>
          </w:p>
          <w:p w14:paraId="0A4AC932" w14:textId="77777777" w:rsidR="00E732FA" w:rsidRPr="003C7CB1" w:rsidRDefault="00E732FA" w:rsidP="00E732FA">
            <w:pPr>
              <w:pStyle w:val="ListParagraph"/>
              <w:numPr>
                <w:ilvl w:val="0"/>
                <w:numId w:val="39"/>
              </w:numPr>
              <w:spacing w:after="0"/>
              <w:jc w:val="both"/>
            </w:pPr>
            <w:r w:rsidRPr="003C7CB1">
              <w:t xml:space="preserve">Improving accessibility and connectivity, through improving air accessibility and expanding and upgrading the national marina network; </w:t>
            </w:r>
          </w:p>
          <w:p w14:paraId="72152D32" w14:textId="77777777" w:rsidR="00E732FA" w:rsidRPr="003C7CB1" w:rsidRDefault="00E732FA" w:rsidP="00E732FA">
            <w:pPr>
              <w:pStyle w:val="ListParagraph"/>
              <w:numPr>
                <w:ilvl w:val="0"/>
                <w:numId w:val="39"/>
              </w:numPr>
              <w:spacing w:after="0"/>
              <w:jc w:val="both"/>
            </w:pPr>
            <w:r w:rsidRPr="003C7CB1">
              <w:t>Compliance with the principles of sustainability;</w:t>
            </w:r>
          </w:p>
          <w:p w14:paraId="3173D38C" w14:textId="77777777" w:rsidR="00E732FA" w:rsidRPr="003C7CB1" w:rsidRDefault="00E732FA" w:rsidP="00E732FA">
            <w:pPr>
              <w:pStyle w:val="ListParagraph"/>
              <w:numPr>
                <w:ilvl w:val="0"/>
                <w:numId w:val="39"/>
              </w:numPr>
              <w:spacing w:after="0"/>
              <w:jc w:val="both"/>
            </w:pPr>
            <w:r w:rsidRPr="003C7CB1">
              <w:t xml:space="preserve">Increasing the quality and attractiveness of the tourist offer through sustainable destination management and improving education in tourism; </w:t>
            </w:r>
          </w:p>
          <w:p w14:paraId="4387696A" w14:textId="19230046" w:rsidR="00E732FA" w:rsidRPr="003C7CB1" w:rsidRDefault="00E732FA" w:rsidP="00E732FA">
            <w:pPr>
              <w:pStyle w:val="ListParagraph"/>
              <w:numPr>
                <w:ilvl w:val="0"/>
                <w:numId w:val="39"/>
              </w:numPr>
              <w:spacing w:after="0"/>
              <w:jc w:val="both"/>
            </w:pPr>
            <w:r w:rsidRPr="003C7CB1">
              <w:t xml:space="preserve">Redesign of the </w:t>
            </w:r>
            <w:r w:rsidR="00C65FFD">
              <w:t>tourism product</w:t>
            </w:r>
            <w:r w:rsidRPr="003C7CB1">
              <w:t xml:space="preserve"> and brand, in order to focus on quality, authenticity, resilience and sustainability. </w:t>
            </w:r>
          </w:p>
        </w:tc>
      </w:tr>
      <w:tr w:rsidR="00E732FA" w:rsidRPr="003C7CB1" w14:paraId="0B480ACE" w14:textId="77777777" w:rsidTr="00E732FA">
        <w:tc>
          <w:tcPr>
            <w:tcW w:w="1526" w:type="dxa"/>
          </w:tcPr>
          <w:p w14:paraId="0FF7E619" w14:textId="77777777" w:rsidR="00E732FA" w:rsidRPr="003C7CB1" w:rsidRDefault="00E732FA" w:rsidP="00E732FA">
            <w:pPr>
              <w:rPr>
                <w:b/>
              </w:rPr>
            </w:pPr>
            <w:r w:rsidRPr="003C7CB1">
              <w:rPr>
                <w:rFonts w:ascii="Calibri" w:eastAsia="Times New Roman" w:hAnsi="Calibri" w:cs="Calibri"/>
                <w:b/>
                <w:color w:val="000000"/>
              </w:rPr>
              <w:lastRenderedPageBreak/>
              <w:t>The main challenges in Greek tourism</w:t>
            </w:r>
          </w:p>
        </w:tc>
        <w:tc>
          <w:tcPr>
            <w:tcW w:w="7717" w:type="dxa"/>
          </w:tcPr>
          <w:p w14:paraId="34430C9F"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alibri" w:eastAsia="Times New Roman" w:hAnsi="Calibri" w:cs="Calibri"/>
              </w:rPr>
            </w:pPr>
            <w:r w:rsidRPr="003C7CB1">
              <w:rPr>
                <w:rFonts w:ascii="Calibri" w:eastAsia="Times New Roman" w:hAnsi="Calibri" w:cs="Calibri"/>
              </w:rPr>
              <w:t xml:space="preserve">Excessive crowds caused by a large number of tourists, especially during the summer tourist season. Intensive work is being done in this direction in order to provide the necessary legal and other prerequisites for the diversification of the tourist offer, the discovery of new tourist sites and attracting guests to lesser-known places, with the aim of reducing seasonality. Digital transformation is the next key priority, through: digital transformation of services; digital improvement of tourism education; integrated online data collection and processing system; and the use of new technologies in tourism promotion.  </w:t>
            </w:r>
          </w:p>
        </w:tc>
      </w:tr>
    </w:tbl>
    <w:p w14:paraId="65D3288C" w14:textId="77777777" w:rsidR="00E732FA" w:rsidRPr="003C7CB1" w:rsidRDefault="00E732FA" w:rsidP="00E732FA">
      <w:pPr>
        <w:jc w:val="both"/>
        <w:rPr>
          <w:b/>
          <w:sz w:val="28"/>
          <w:szCs w:val="28"/>
        </w:rPr>
      </w:pPr>
    </w:p>
    <w:tbl>
      <w:tblPr>
        <w:tblStyle w:val="TableGrid"/>
        <w:tblW w:w="0" w:type="auto"/>
        <w:tblLook w:val="04A0" w:firstRow="1" w:lastRow="0" w:firstColumn="1" w:lastColumn="0" w:noHBand="0" w:noVBand="1"/>
      </w:tblPr>
      <w:tblGrid>
        <w:gridCol w:w="1522"/>
        <w:gridCol w:w="7495"/>
      </w:tblGrid>
      <w:tr w:rsidR="00E732FA" w:rsidRPr="003C7CB1" w14:paraId="2C4E9154" w14:textId="77777777" w:rsidTr="00E732FA">
        <w:tc>
          <w:tcPr>
            <w:tcW w:w="1526" w:type="dxa"/>
            <w:shd w:val="clear" w:color="auto" w:fill="D9E2F3" w:themeFill="accent1" w:themeFillTint="33"/>
            <w:vAlign w:val="center"/>
          </w:tcPr>
          <w:p w14:paraId="70C76709" w14:textId="77777777" w:rsidR="00E732FA" w:rsidRPr="003C7CB1" w:rsidRDefault="00E732FA" w:rsidP="00E732FA">
            <w:pPr>
              <w:jc w:val="center"/>
              <w:rPr>
                <w:b/>
              </w:rPr>
            </w:pPr>
            <w:r w:rsidRPr="003C7CB1">
              <w:rPr>
                <w:b/>
              </w:rPr>
              <w:t xml:space="preserve">Country </w:t>
            </w:r>
          </w:p>
        </w:tc>
        <w:tc>
          <w:tcPr>
            <w:tcW w:w="7717" w:type="dxa"/>
            <w:shd w:val="clear" w:color="auto" w:fill="D9E2F3" w:themeFill="accent1" w:themeFillTint="33"/>
            <w:vAlign w:val="center"/>
          </w:tcPr>
          <w:p w14:paraId="2CC8BEDB" w14:textId="77777777" w:rsidR="00E732FA" w:rsidRPr="003C7CB1" w:rsidRDefault="00E732FA" w:rsidP="00E732FA">
            <w:pPr>
              <w:jc w:val="center"/>
              <w:rPr>
                <w:b/>
                <w:sz w:val="28"/>
                <w:szCs w:val="28"/>
              </w:rPr>
            </w:pPr>
            <w:r w:rsidRPr="003C7CB1">
              <w:rPr>
                <w:b/>
                <w:sz w:val="28"/>
                <w:szCs w:val="28"/>
              </w:rPr>
              <w:t>ITALY</w:t>
            </w:r>
            <w:r w:rsidRPr="003C7CB1">
              <w:rPr>
                <w:rStyle w:val="FootnoteReference"/>
                <w:b/>
                <w:sz w:val="28"/>
                <w:szCs w:val="28"/>
              </w:rPr>
              <w:footnoteReference w:id="30"/>
            </w:r>
          </w:p>
        </w:tc>
      </w:tr>
      <w:tr w:rsidR="00E732FA" w:rsidRPr="003C7CB1" w14:paraId="50CB1B0A" w14:textId="77777777" w:rsidTr="00E732FA">
        <w:tc>
          <w:tcPr>
            <w:tcW w:w="1526" w:type="dxa"/>
          </w:tcPr>
          <w:p w14:paraId="5D2A1F14" w14:textId="19E6D9AB"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color w:val="000000"/>
                <w:sz w:val="24"/>
                <w:szCs w:val="24"/>
              </w:rPr>
            </w:pPr>
            <w:r w:rsidRPr="003C7CB1">
              <w:rPr>
                <w:rFonts w:ascii="Calibri" w:eastAsia="Times New Roman" w:hAnsi="Calibri" w:cs="Calibri"/>
                <w:b/>
                <w:color w:val="000000"/>
                <w:sz w:val="24"/>
                <w:szCs w:val="24"/>
              </w:rPr>
              <w:t>Touris</w:t>
            </w:r>
            <w:r w:rsidR="00E86725">
              <w:rPr>
                <w:rFonts w:ascii="Calibri" w:eastAsia="Times New Roman" w:hAnsi="Calibri" w:cs="Calibri"/>
                <w:b/>
                <w:color w:val="000000"/>
                <w:sz w:val="24"/>
                <w:szCs w:val="24"/>
              </w:rPr>
              <w:t>m turnover</w:t>
            </w:r>
            <w:r w:rsidRPr="003C7CB1">
              <w:rPr>
                <w:rFonts w:ascii="Calibri" w:eastAsia="Times New Roman" w:hAnsi="Calibri" w:cs="Calibri"/>
                <w:b/>
                <w:color w:val="000000"/>
                <w:sz w:val="24"/>
                <w:szCs w:val="24"/>
              </w:rPr>
              <w:t xml:space="preserve">   </w:t>
            </w:r>
            <w:r w:rsidRPr="003C7CB1">
              <w:rPr>
                <w:rFonts w:ascii="Calibri" w:eastAsia="Times New Roman" w:hAnsi="Calibri" w:cs="Calibri"/>
                <w:color w:val="000000"/>
                <w:sz w:val="24"/>
                <w:szCs w:val="24"/>
              </w:rPr>
              <w:t xml:space="preserve"> </w:t>
            </w:r>
          </w:p>
          <w:p w14:paraId="33F71AC2" w14:textId="77777777" w:rsidR="00E732FA" w:rsidRPr="003C7CB1" w:rsidRDefault="00E732FA" w:rsidP="00E732FA">
            <w:pPr>
              <w:jc w:val="both"/>
              <w:rPr>
                <w:b/>
                <w:sz w:val="28"/>
                <w:szCs w:val="28"/>
              </w:rPr>
            </w:pPr>
          </w:p>
        </w:tc>
        <w:tc>
          <w:tcPr>
            <w:tcW w:w="7717" w:type="dxa"/>
          </w:tcPr>
          <w:p w14:paraId="29CA4BCF" w14:textId="77777777" w:rsidR="00E732FA" w:rsidRPr="003C7CB1" w:rsidRDefault="00E732FA" w:rsidP="00E732FA">
            <w:pPr>
              <w:jc w:val="both"/>
              <w:rPr>
                <w:rFonts w:ascii="Calibri" w:eastAsia="Times New Roman" w:hAnsi="Calibri" w:cs="Calibri"/>
                <w:color w:val="000000"/>
              </w:rPr>
            </w:pPr>
            <w:r w:rsidRPr="003C7CB1">
              <w:rPr>
                <w:rFonts w:ascii="Calibri" w:eastAsia="Times New Roman" w:hAnsi="Calibri" w:cs="Calibri"/>
                <w:color w:val="000000"/>
              </w:rPr>
              <w:t xml:space="preserve">Including indirect effects, tourism accounted for 13.0% of GDP in 2017. The Italian tourism industry employed two million people in 2018, or 8.3% of total employment. According to statistics, 63.2 million tourists visited Italy in 2018. The top inbound markets in the analyzed period are Germany (19.3% of tourists), the United States (9.0%), France (7.5%), the United Kingdom (6.0%) and China. Almost 60% of international arrivals go to only four regions: Veneto, Lombardy, Lazio and Tuscany.  </w:t>
            </w:r>
          </w:p>
        </w:tc>
      </w:tr>
      <w:tr w:rsidR="00E732FA" w:rsidRPr="003C7CB1" w14:paraId="4FEE19AF" w14:textId="77777777" w:rsidTr="00E732FA">
        <w:tc>
          <w:tcPr>
            <w:tcW w:w="1526" w:type="dxa"/>
          </w:tcPr>
          <w:p w14:paraId="1AD93C7B" w14:textId="77777777" w:rsidR="00E732FA" w:rsidRPr="003C7CB1" w:rsidRDefault="00E732FA" w:rsidP="00E732FA">
            <w:pPr>
              <w:jc w:val="both"/>
              <w:rPr>
                <w:b/>
              </w:rPr>
            </w:pPr>
            <w:r w:rsidRPr="003C7CB1">
              <w:rPr>
                <w:b/>
              </w:rPr>
              <w:t xml:space="preserve">Tourism management and financing </w:t>
            </w:r>
          </w:p>
        </w:tc>
        <w:tc>
          <w:tcPr>
            <w:tcW w:w="7717" w:type="dxa"/>
          </w:tcPr>
          <w:p w14:paraId="1AF1F91A"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color w:val="000000"/>
              </w:rPr>
            </w:pPr>
            <w:r w:rsidRPr="003C7CB1">
              <w:rPr>
                <w:rFonts w:ascii="Calibri" w:eastAsia="Times New Roman" w:hAnsi="Calibri" w:cs="Calibri"/>
                <w:color w:val="000000"/>
              </w:rPr>
              <w:t xml:space="preserve">The Directorate General for Tourism in the Ministry of Cultural Heritage, Activities and Tourism adopts and regulates the strategic direction of tourism development, in coordination with the regions and autonomous provinces, and supervises the Italian National Tourist Board (ENIT) and the Italian Alpine Club. In 2020, the Italian National Tourist Board (ENIT) switched from a public to a private-public body. Tourism received support from the Culture and Innovation Program 2014-2020 which is financed from EU structural funds. The Investment Fund for Tourism, established by the Government in 2014, is managed by the National Investment Bank </w:t>
            </w:r>
            <w:proofErr w:type="spellStart"/>
            <w:r w:rsidRPr="003C7CB1">
              <w:rPr>
                <w:rFonts w:ascii="Calibri" w:eastAsia="Times New Roman" w:hAnsi="Calibri" w:cs="Calibri"/>
                <w:color w:val="000000"/>
              </w:rPr>
              <w:t>Cassa</w:t>
            </w:r>
            <w:proofErr w:type="spellEnd"/>
            <w:r w:rsidRPr="003C7CB1">
              <w:rPr>
                <w:rFonts w:ascii="Calibri" w:eastAsia="Times New Roman" w:hAnsi="Calibri" w:cs="Calibri"/>
                <w:color w:val="000000"/>
              </w:rPr>
              <w:t xml:space="preserve"> </w:t>
            </w:r>
            <w:proofErr w:type="spellStart"/>
            <w:r w:rsidRPr="003C7CB1">
              <w:rPr>
                <w:rFonts w:ascii="Calibri" w:eastAsia="Times New Roman" w:hAnsi="Calibri" w:cs="Calibri"/>
                <w:color w:val="000000"/>
              </w:rPr>
              <w:t>Depositi</w:t>
            </w:r>
            <w:proofErr w:type="spellEnd"/>
            <w:r w:rsidRPr="003C7CB1">
              <w:rPr>
                <w:rFonts w:ascii="Calibri" w:eastAsia="Times New Roman" w:hAnsi="Calibri" w:cs="Calibri"/>
                <w:color w:val="000000"/>
              </w:rPr>
              <w:t xml:space="preserve"> e </w:t>
            </w:r>
            <w:proofErr w:type="spellStart"/>
            <w:r w:rsidRPr="003C7CB1">
              <w:rPr>
                <w:rFonts w:ascii="Calibri" w:eastAsia="Times New Roman" w:hAnsi="Calibri" w:cs="Calibri"/>
                <w:color w:val="000000"/>
              </w:rPr>
              <w:t>Prestiti</w:t>
            </w:r>
            <w:proofErr w:type="spellEnd"/>
            <w:r w:rsidRPr="003C7CB1">
              <w:rPr>
                <w:rFonts w:ascii="Calibri" w:eastAsia="Times New Roman" w:hAnsi="Calibri" w:cs="Calibri"/>
                <w:color w:val="000000"/>
              </w:rPr>
              <w:t xml:space="preserve">.  </w:t>
            </w:r>
          </w:p>
        </w:tc>
      </w:tr>
      <w:tr w:rsidR="00E732FA" w:rsidRPr="003C7CB1" w14:paraId="053F417E" w14:textId="77777777" w:rsidTr="00E732FA">
        <w:tc>
          <w:tcPr>
            <w:tcW w:w="1526" w:type="dxa"/>
          </w:tcPr>
          <w:p w14:paraId="7C5C3419"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b/>
                <w:color w:val="000000"/>
                <w:sz w:val="24"/>
                <w:szCs w:val="24"/>
              </w:rPr>
            </w:pPr>
            <w:r w:rsidRPr="003C7CB1">
              <w:rPr>
                <w:rFonts w:ascii="Calibri" w:eastAsia="Times New Roman" w:hAnsi="Calibri" w:cs="Calibri"/>
                <w:b/>
                <w:color w:val="000000"/>
                <w:sz w:val="24"/>
                <w:szCs w:val="24"/>
              </w:rPr>
              <w:t>Tourism policies and program i</w:t>
            </w:r>
          </w:p>
          <w:p w14:paraId="7847A800" w14:textId="77777777" w:rsidR="00E732FA" w:rsidRPr="003C7CB1" w:rsidRDefault="00E732FA" w:rsidP="00E732FA">
            <w:pPr>
              <w:jc w:val="both"/>
              <w:rPr>
                <w:b/>
                <w:sz w:val="28"/>
                <w:szCs w:val="28"/>
              </w:rPr>
            </w:pPr>
          </w:p>
        </w:tc>
        <w:tc>
          <w:tcPr>
            <w:tcW w:w="7717" w:type="dxa"/>
          </w:tcPr>
          <w:p w14:paraId="70051131" w14:textId="77777777" w:rsidR="00E732FA" w:rsidRPr="003C7CB1" w:rsidRDefault="00E732FA" w:rsidP="00E732FA">
            <w:pPr>
              <w:spacing w:after="0"/>
              <w:jc w:val="both"/>
              <w:rPr>
                <w:rFonts w:ascii="Calibri" w:eastAsia="Times New Roman" w:hAnsi="Calibri" w:cs="Calibri"/>
                <w:color w:val="000000"/>
              </w:rPr>
            </w:pPr>
            <w:r w:rsidRPr="003C7CB1">
              <w:rPr>
                <w:rFonts w:ascii="Calibri" w:eastAsia="Times New Roman" w:hAnsi="Calibri" w:cs="Calibri"/>
                <w:color w:val="000000"/>
              </w:rPr>
              <w:t>The National Strategic Plan for Tourism 2017-2022 is based on four topics:</w:t>
            </w:r>
          </w:p>
          <w:p w14:paraId="0D71751F" w14:textId="77777777" w:rsidR="00E732FA" w:rsidRPr="003C7CB1" w:rsidRDefault="00E732FA" w:rsidP="00E732FA">
            <w:pPr>
              <w:pStyle w:val="ListParagraph"/>
              <w:numPr>
                <w:ilvl w:val="0"/>
                <w:numId w:val="40"/>
              </w:numPr>
              <w:spacing w:after="0"/>
              <w:jc w:val="both"/>
              <w:rPr>
                <w:rFonts w:ascii="Calibri" w:eastAsia="Times New Roman" w:hAnsi="Calibri" w:cs="Calibri"/>
                <w:color w:val="000000"/>
              </w:rPr>
            </w:pPr>
            <w:r w:rsidRPr="003C7CB1">
              <w:rPr>
                <w:rFonts w:ascii="Calibri" w:eastAsia="Times New Roman" w:hAnsi="Calibri" w:cs="Calibri"/>
                <w:color w:val="000000"/>
              </w:rPr>
              <w:t xml:space="preserve">Culture and heritage: cultural and natural heritage should be enhanced through sustainable management practices and innovative use of property; </w:t>
            </w:r>
          </w:p>
          <w:p w14:paraId="54A6E487" w14:textId="77777777" w:rsidR="00E732FA" w:rsidRPr="003C7CB1" w:rsidRDefault="00E732FA" w:rsidP="00E732FA">
            <w:pPr>
              <w:pStyle w:val="ListParagraph"/>
              <w:numPr>
                <w:ilvl w:val="0"/>
                <w:numId w:val="40"/>
              </w:numPr>
              <w:spacing w:after="0"/>
              <w:jc w:val="both"/>
              <w:rPr>
                <w:rFonts w:ascii="Calibri" w:eastAsia="Times New Roman" w:hAnsi="Calibri" w:cs="Calibri"/>
                <w:color w:val="000000"/>
              </w:rPr>
            </w:pPr>
            <w:r w:rsidRPr="003C7CB1">
              <w:rPr>
                <w:rFonts w:ascii="Calibri" w:eastAsia="Times New Roman" w:hAnsi="Calibri" w:cs="Calibri"/>
                <w:color w:val="000000"/>
              </w:rPr>
              <w:t xml:space="preserve">Competitiveness and employment: competitiveness in tourism should be encouraged in order to create added value and increase the quantity and quality of employment; </w:t>
            </w:r>
          </w:p>
          <w:p w14:paraId="2199E6B6" w14:textId="77777777" w:rsidR="00E732FA" w:rsidRPr="003C7CB1" w:rsidRDefault="00E732FA" w:rsidP="00E732FA">
            <w:pPr>
              <w:pStyle w:val="ListParagraph"/>
              <w:numPr>
                <w:ilvl w:val="0"/>
                <w:numId w:val="40"/>
              </w:numPr>
              <w:spacing w:after="0"/>
              <w:jc w:val="both"/>
              <w:rPr>
                <w:rFonts w:ascii="Calibri" w:eastAsia="Times New Roman" w:hAnsi="Calibri" w:cs="Calibri"/>
                <w:color w:val="000000"/>
              </w:rPr>
            </w:pPr>
            <w:r w:rsidRPr="003C7CB1">
              <w:rPr>
                <w:rFonts w:ascii="Calibri" w:eastAsia="Times New Roman" w:hAnsi="Calibri" w:cs="Calibri"/>
                <w:color w:val="000000"/>
              </w:rPr>
              <w:t xml:space="preserve">Putting tourists at the center: the Italian tourism experience needs to meet market demands and expectations; </w:t>
            </w:r>
          </w:p>
          <w:p w14:paraId="28349B87" w14:textId="77777777" w:rsidR="00E732FA" w:rsidRPr="003C7CB1" w:rsidRDefault="00E732FA" w:rsidP="00E732FA">
            <w:pPr>
              <w:pStyle w:val="ListParagraph"/>
              <w:numPr>
                <w:ilvl w:val="0"/>
                <w:numId w:val="40"/>
              </w:numPr>
              <w:spacing w:after="0"/>
              <w:jc w:val="both"/>
              <w:rPr>
                <w:rFonts w:ascii="Calibri" w:eastAsia="Times New Roman" w:hAnsi="Calibri" w:cs="Calibri"/>
                <w:color w:val="000000"/>
              </w:rPr>
            </w:pPr>
            <w:r w:rsidRPr="003C7CB1">
              <w:rPr>
                <w:rFonts w:ascii="Calibri" w:eastAsia="Times New Roman" w:hAnsi="Calibri" w:cs="Calibri"/>
                <w:color w:val="000000"/>
              </w:rPr>
              <w:t xml:space="preserve">Integration and interoperability: the system of tourism associations and operators should be fully integrated, encouraging cooperation and partnership. </w:t>
            </w:r>
          </w:p>
        </w:tc>
      </w:tr>
      <w:tr w:rsidR="00E732FA" w:rsidRPr="003C7CB1" w14:paraId="77E4F1F1" w14:textId="77777777" w:rsidTr="00E732FA">
        <w:tc>
          <w:tcPr>
            <w:tcW w:w="1526" w:type="dxa"/>
          </w:tcPr>
          <w:p w14:paraId="66C04222" w14:textId="77777777" w:rsidR="00E732FA" w:rsidRPr="003C7CB1" w:rsidRDefault="00E732FA" w:rsidP="00E732FA">
            <w:pPr>
              <w:rPr>
                <w:b/>
                <w:sz w:val="28"/>
                <w:szCs w:val="28"/>
              </w:rPr>
            </w:pPr>
            <w:r w:rsidRPr="003C7CB1">
              <w:rPr>
                <w:rFonts w:ascii="Calibri" w:eastAsia="Times New Roman" w:hAnsi="Calibri" w:cs="Calibri"/>
                <w:b/>
                <w:color w:val="000000"/>
              </w:rPr>
              <w:lastRenderedPageBreak/>
              <w:t xml:space="preserve">The main challenges in Italian tourism </w:t>
            </w:r>
          </w:p>
        </w:tc>
        <w:tc>
          <w:tcPr>
            <w:tcW w:w="7717" w:type="dxa"/>
          </w:tcPr>
          <w:p w14:paraId="78B5F780"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color w:val="000000"/>
              </w:rPr>
            </w:pPr>
            <w:r w:rsidRPr="003C7CB1">
              <w:rPr>
                <w:rFonts w:ascii="Calibri" w:eastAsia="Times New Roman" w:hAnsi="Calibri" w:cs="Calibri"/>
                <w:color w:val="000000"/>
              </w:rPr>
              <w:t>Special emphasis was placed on promotional activities to expand the national offer, i.e., shift the focus from the main tourist attractions to lesser-known destinations / sites. The aim is to shift the focus from popular sites and expand the economic benefits of tourism in time and space, using other resources, history and the uniqueness of the places throughout Italy.</w:t>
            </w:r>
            <w:r w:rsidRPr="003C7CB1">
              <w:t xml:space="preserve"> </w:t>
            </w:r>
            <w:r w:rsidRPr="003C7CB1">
              <w:rPr>
                <w:rFonts w:ascii="Calibri" w:eastAsia="Times New Roman" w:hAnsi="Calibri" w:cs="Calibri"/>
                <w:color w:val="000000"/>
              </w:rPr>
              <w:t>The goal of such a policy is to develop products that will satisfy various types of interest, such as wine, sports, adventure and prosperity, with special emphasis on local communities that will have the opportunity to develop an authentic small-scale tourism offer</w:t>
            </w:r>
            <w:r w:rsidRPr="003C7CB1">
              <w:t xml:space="preserve"> </w:t>
            </w:r>
            <w:r w:rsidRPr="003C7CB1">
              <w:rPr>
                <w:rFonts w:ascii="Calibri" w:eastAsia="Times New Roman" w:hAnsi="Calibri" w:cs="Calibri"/>
                <w:color w:val="000000"/>
              </w:rPr>
              <w:t xml:space="preserve">characteristic for a given place. </w:t>
            </w:r>
          </w:p>
        </w:tc>
      </w:tr>
    </w:tbl>
    <w:p w14:paraId="2522A1EA" w14:textId="77777777" w:rsidR="00E732FA" w:rsidRPr="003C7CB1" w:rsidRDefault="00E732FA" w:rsidP="00E732FA">
      <w:pPr>
        <w:jc w:val="both"/>
        <w:rPr>
          <w:b/>
          <w:sz w:val="28"/>
          <w:szCs w:val="28"/>
        </w:rPr>
      </w:pPr>
    </w:p>
    <w:tbl>
      <w:tblPr>
        <w:tblStyle w:val="TableGrid"/>
        <w:tblW w:w="0" w:type="auto"/>
        <w:tblLook w:val="04A0" w:firstRow="1" w:lastRow="0" w:firstColumn="1" w:lastColumn="0" w:noHBand="0" w:noVBand="1"/>
      </w:tblPr>
      <w:tblGrid>
        <w:gridCol w:w="1540"/>
        <w:gridCol w:w="7477"/>
      </w:tblGrid>
      <w:tr w:rsidR="00E732FA" w:rsidRPr="003C7CB1" w14:paraId="576DCB55" w14:textId="77777777" w:rsidTr="00E732FA">
        <w:tc>
          <w:tcPr>
            <w:tcW w:w="1526" w:type="dxa"/>
            <w:shd w:val="clear" w:color="auto" w:fill="D9E2F3" w:themeFill="accent1" w:themeFillTint="33"/>
          </w:tcPr>
          <w:p w14:paraId="3CAA4F1F"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b/>
                <w:sz w:val="24"/>
                <w:szCs w:val="24"/>
              </w:rPr>
            </w:pPr>
            <w:r w:rsidRPr="003C7CB1">
              <w:rPr>
                <w:rFonts w:ascii="Calibri" w:eastAsia="Times New Roman" w:hAnsi="Calibri" w:cs="Calibri"/>
                <w:b/>
                <w:sz w:val="24"/>
                <w:szCs w:val="24"/>
              </w:rPr>
              <w:t xml:space="preserve">Country  </w:t>
            </w:r>
          </w:p>
        </w:tc>
        <w:tc>
          <w:tcPr>
            <w:tcW w:w="7717" w:type="dxa"/>
            <w:shd w:val="clear" w:color="auto" w:fill="D9E2F3" w:themeFill="accent1" w:themeFillTint="33"/>
          </w:tcPr>
          <w:p w14:paraId="6CAA2C2E"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Calibri" w:eastAsia="Times New Roman" w:hAnsi="Calibri" w:cs="Calibri"/>
                <w:b/>
                <w:color w:val="000000"/>
                <w:sz w:val="24"/>
                <w:szCs w:val="24"/>
              </w:rPr>
            </w:pPr>
            <w:r w:rsidRPr="003C7CB1">
              <w:rPr>
                <w:rFonts w:ascii="Calibri" w:eastAsia="Times New Roman" w:hAnsi="Calibri" w:cs="Calibri"/>
                <w:b/>
                <w:color w:val="000000"/>
                <w:sz w:val="24"/>
                <w:szCs w:val="24"/>
              </w:rPr>
              <w:t xml:space="preserve">SLOVENIA </w:t>
            </w:r>
            <w:r w:rsidRPr="003C7CB1">
              <w:rPr>
                <w:rStyle w:val="FootnoteReference"/>
                <w:rFonts w:ascii="Calibri" w:eastAsia="Times New Roman" w:hAnsi="Calibri" w:cs="Calibri"/>
                <w:b/>
                <w:color w:val="000000"/>
                <w:sz w:val="24"/>
                <w:szCs w:val="24"/>
              </w:rPr>
              <w:footnoteReference w:id="31"/>
            </w:r>
          </w:p>
        </w:tc>
      </w:tr>
      <w:tr w:rsidR="00E732FA" w:rsidRPr="003C7CB1" w14:paraId="74539FA9" w14:textId="77777777" w:rsidTr="00E732FA">
        <w:tc>
          <w:tcPr>
            <w:tcW w:w="1526" w:type="dxa"/>
          </w:tcPr>
          <w:p w14:paraId="2A1E6801" w14:textId="674EDEC4"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b/>
                <w:sz w:val="24"/>
                <w:szCs w:val="24"/>
              </w:rPr>
            </w:pPr>
            <w:r w:rsidRPr="003C7CB1">
              <w:rPr>
                <w:rFonts w:eastAsia="Times New Roman" w:cs="Calibri"/>
                <w:b/>
                <w:sz w:val="24"/>
                <w:szCs w:val="24"/>
              </w:rPr>
              <w:t>Touris</w:t>
            </w:r>
            <w:r w:rsidR="00660E99">
              <w:rPr>
                <w:rFonts w:eastAsia="Times New Roman" w:cs="Calibri"/>
                <w:b/>
                <w:sz w:val="24"/>
                <w:szCs w:val="24"/>
              </w:rPr>
              <w:t>m turnover</w:t>
            </w:r>
            <w:r w:rsidRPr="003C7CB1">
              <w:rPr>
                <w:rFonts w:eastAsia="Times New Roman" w:cs="Calibri"/>
                <w:b/>
                <w:sz w:val="24"/>
                <w:szCs w:val="24"/>
              </w:rPr>
              <w:t xml:space="preserve">   </w:t>
            </w:r>
          </w:p>
        </w:tc>
        <w:tc>
          <w:tcPr>
            <w:tcW w:w="7717" w:type="dxa"/>
          </w:tcPr>
          <w:p w14:paraId="6B88A5F5"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In 2017, the share of GDP related to tourism was 2.3 billion euros, or 5.3%. Taking into account direct and indirect impacts, the contribution of tourism to GDP is estimated at 3.6 billion euros, which is approximately 8.4% of total GDP. In 2018, the tourism industry employed 68,150 people, which directly accounted for 7.7% of the total employment in the country. The number of foreign tourists amounted to 4.4 million in 2018, with 11.2 million overnight stays. The main markets are Italy (13.5% of all inbound visitors), Germany (11.4%), Austria (8.6%), Croatia (4.9%), the Netherlands (4.2%), United Kingdom (3.7%) and Serbia (3.1%). </w:t>
            </w:r>
          </w:p>
        </w:tc>
      </w:tr>
      <w:tr w:rsidR="00E732FA" w:rsidRPr="003C7CB1" w14:paraId="4DCEF111" w14:textId="77777777" w:rsidTr="00E732FA">
        <w:tc>
          <w:tcPr>
            <w:tcW w:w="1526" w:type="dxa"/>
          </w:tcPr>
          <w:p w14:paraId="472119BE"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b/>
                <w:color w:val="000000"/>
                <w:sz w:val="24"/>
                <w:szCs w:val="24"/>
              </w:rPr>
            </w:pPr>
            <w:r w:rsidRPr="003C7CB1">
              <w:rPr>
                <w:rFonts w:eastAsia="Times New Roman" w:cs="Calibri"/>
                <w:b/>
                <w:color w:val="000000"/>
                <w:sz w:val="24"/>
                <w:szCs w:val="24"/>
              </w:rPr>
              <w:t xml:space="preserve">Tourism management and financing </w:t>
            </w:r>
          </w:p>
          <w:p w14:paraId="5BE577E5"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color w:val="000000"/>
                <w:sz w:val="24"/>
                <w:szCs w:val="24"/>
              </w:rPr>
            </w:pPr>
          </w:p>
        </w:tc>
        <w:tc>
          <w:tcPr>
            <w:tcW w:w="7717" w:type="dxa"/>
          </w:tcPr>
          <w:p w14:paraId="0D357F49"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The Ministry of Economic Development and Technology is responsible for implementing the national tourism policy. The Slovenian Tourist Board is responsible for the promotion and marketing of the destination, as well as for processing tourist information, coordinating product development, engaging stakeholders and market research. Twelve regional development organizations are also responsible for the overall development at the regional level, including the definition of tourism development programs. </w:t>
            </w:r>
          </w:p>
          <w:tbl>
            <w:tblPr>
              <w:tblStyle w:val="TableGrid2"/>
              <w:tblW w:w="0" w:type="auto"/>
              <w:tblLook w:val="04A0" w:firstRow="1" w:lastRow="0" w:firstColumn="1" w:lastColumn="0" w:noHBand="0" w:noVBand="1"/>
            </w:tblPr>
            <w:tblGrid>
              <w:gridCol w:w="3634"/>
              <w:gridCol w:w="3617"/>
            </w:tblGrid>
            <w:tr w:rsidR="00E732FA" w:rsidRPr="003C7CB1" w14:paraId="1FFC0E17" w14:textId="77777777" w:rsidTr="00E732FA">
              <w:tc>
                <w:tcPr>
                  <w:tcW w:w="4788" w:type="dxa"/>
                  <w:shd w:val="clear" w:color="auto" w:fill="DEEAF6" w:themeFill="accent5" w:themeFillTint="33"/>
                </w:tcPr>
                <w:p w14:paraId="5860C6FE"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color w:val="000000"/>
                      <w:sz w:val="20"/>
                      <w:szCs w:val="20"/>
                    </w:rPr>
                  </w:pPr>
                  <w:r w:rsidRPr="003C7CB1">
                    <w:rPr>
                      <w:rFonts w:eastAsia="Times New Roman" w:cs="Calibri"/>
                      <w:color w:val="000000"/>
                      <w:sz w:val="20"/>
                      <w:szCs w:val="20"/>
                    </w:rPr>
                    <w:t xml:space="preserve">Tourism budget in 2018 </w:t>
                  </w:r>
                </w:p>
              </w:tc>
              <w:tc>
                <w:tcPr>
                  <w:tcW w:w="4788" w:type="dxa"/>
                  <w:shd w:val="clear" w:color="auto" w:fill="DEEAF6" w:themeFill="accent5" w:themeFillTint="33"/>
                </w:tcPr>
                <w:p w14:paraId="13BEF650"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color w:val="000000"/>
                      <w:sz w:val="20"/>
                      <w:szCs w:val="20"/>
                    </w:rPr>
                  </w:pPr>
                  <w:r w:rsidRPr="003C7CB1">
                    <w:rPr>
                      <w:rFonts w:eastAsia="Times New Roman" w:cs="Calibri"/>
                      <w:color w:val="000000"/>
                      <w:sz w:val="20"/>
                      <w:szCs w:val="20"/>
                    </w:rPr>
                    <w:t xml:space="preserve">€ 13.5 million / of which € 12.9 million belongs to the Slovenian Tourist Board. </w:t>
                  </w:r>
                </w:p>
              </w:tc>
            </w:tr>
            <w:tr w:rsidR="00E732FA" w:rsidRPr="003C7CB1" w14:paraId="41697314" w14:textId="77777777" w:rsidTr="00E732FA">
              <w:tc>
                <w:tcPr>
                  <w:tcW w:w="4788" w:type="dxa"/>
                  <w:shd w:val="clear" w:color="auto" w:fill="DEEAF6" w:themeFill="accent5" w:themeFillTint="33"/>
                </w:tcPr>
                <w:p w14:paraId="23B55695"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color w:val="000000"/>
                      <w:sz w:val="20"/>
                      <w:szCs w:val="20"/>
                    </w:rPr>
                  </w:pPr>
                  <w:r w:rsidRPr="003C7CB1">
                    <w:rPr>
                      <w:rFonts w:eastAsia="Times New Roman" w:cs="Calibri"/>
                      <w:color w:val="000000"/>
                      <w:sz w:val="20"/>
                      <w:szCs w:val="20"/>
                    </w:rPr>
                    <w:t>Total revenues of the Slovenian Tourist Board (tourist tax, additional promotional taxes ...)</w:t>
                  </w:r>
                </w:p>
              </w:tc>
              <w:tc>
                <w:tcPr>
                  <w:tcW w:w="4788" w:type="dxa"/>
                  <w:shd w:val="clear" w:color="auto" w:fill="DEEAF6" w:themeFill="accent5" w:themeFillTint="33"/>
                </w:tcPr>
                <w:p w14:paraId="7EC75DE1"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color w:val="000000"/>
                      <w:sz w:val="20"/>
                      <w:szCs w:val="20"/>
                    </w:rPr>
                  </w:pPr>
                  <w:r w:rsidRPr="003C7CB1">
                    <w:rPr>
                      <w:rFonts w:eastAsia="Times New Roman" w:cs="Calibri"/>
                      <w:color w:val="000000"/>
                      <w:sz w:val="20"/>
                      <w:szCs w:val="20"/>
                    </w:rPr>
                    <w:t xml:space="preserve">€ 4.5 million + € 18 million from the state gambling concession, which are awarded to pre-determined areas of Slovenia </w:t>
                  </w:r>
                </w:p>
              </w:tc>
            </w:tr>
          </w:tbl>
          <w:p w14:paraId="0570A74D"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eastAsia="Times New Roman" w:hAnsi="Calibri" w:cs="Calibri"/>
                <w:color w:val="000000"/>
                <w:sz w:val="24"/>
                <w:szCs w:val="24"/>
              </w:rPr>
            </w:pPr>
          </w:p>
        </w:tc>
      </w:tr>
      <w:tr w:rsidR="00E732FA" w:rsidRPr="003C7CB1" w14:paraId="19EC23E5" w14:textId="77777777" w:rsidTr="00E732FA">
        <w:trPr>
          <w:trHeight w:val="5093"/>
        </w:trPr>
        <w:tc>
          <w:tcPr>
            <w:tcW w:w="1526" w:type="dxa"/>
          </w:tcPr>
          <w:p w14:paraId="1702E694"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b/>
                <w:color w:val="000000"/>
              </w:rPr>
            </w:pPr>
            <w:r w:rsidRPr="003C7CB1">
              <w:rPr>
                <w:rFonts w:eastAsia="Times New Roman" w:cs="Calibri"/>
                <w:b/>
                <w:color w:val="000000"/>
              </w:rPr>
              <w:lastRenderedPageBreak/>
              <w:t xml:space="preserve">Tourism policies and program </w:t>
            </w:r>
          </w:p>
        </w:tc>
        <w:tc>
          <w:tcPr>
            <w:tcW w:w="7717" w:type="dxa"/>
          </w:tcPr>
          <w:p w14:paraId="65548797"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In 2017, the Government of the Republic of Slovenia adopted a new Strategy for the Sustainable Growth of Slovenian Tourism 2017-2021, with a strategic vision according to which Slovenia will be recognized as a global, green, five-star boutique destination for demanding guests. The strategic goal of Slovenian tourism is to increase the revenue from foreign guests to € 3.7 billion by 2021 from the then € 2.7 billion. Other targets include new additional 5-5.5 million arrivals, 16-18 million overnight stays and 18,000 to 22,000 new rooms in accommodation facilities.  </w:t>
            </w:r>
          </w:p>
          <w:p w14:paraId="76E2A529" w14:textId="77777777" w:rsidR="00E732FA" w:rsidRPr="003C7CB1" w:rsidRDefault="00E732FA" w:rsidP="00E732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Six key policies have been identified: </w:t>
            </w:r>
          </w:p>
          <w:p w14:paraId="6FE71904" w14:textId="77777777" w:rsidR="00E732FA" w:rsidRPr="003C7CB1" w:rsidRDefault="00E732FA" w:rsidP="00E732FA">
            <w:pPr>
              <w:pStyle w:val="ListParagraph"/>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Development of a new organizational structure of Slovenian tourism through the formation of four macro destinations (Mediterranean Slovenia, Alpine Slovenia, Thermal Pannonian Slovenia and Central Slovenia with Ljubljana) and 35 leading destinations. </w:t>
            </w:r>
          </w:p>
          <w:p w14:paraId="0FB7A9DD" w14:textId="77777777" w:rsidR="00E732FA" w:rsidRPr="003C7CB1" w:rsidRDefault="00E732FA" w:rsidP="00E732FA">
            <w:pPr>
              <w:pStyle w:val="ListParagraph"/>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Rationalization of institutional and legal frameworks for creating a better business environment. This implies a more efficient distribution of tourist tax at the local level; extending the definition of accommodation to new forms and standards of accommodation quality, such as glamping facilities; new regulations for mountain bike and hiking trails; training in outdoor sports; and improving the Law on Security and Safety. </w:t>
            </w:r>
          </w:p>
          <w:p w14:paraId="13FC3D0F" w14:textId="77777777" w:rsidR="00E732FA" w:rsidRPr="003C7CB1" w:rsidRDefault="00E732FA" w:rsidP="00E732FA">
            <w:pPr>
              <w:pStyle w:val="ListParagraph"/>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Investment in new and existing accommodation facilities and supporting infrastructure in order to increase competitiveness and raise quality. </w:t>
            </w:r>
          </w:p>
          <w:p w14:paraId="4EBF1DA6" w14:textId="77777777" w:rsidR="00E732FA" w:rsidRPr="003C7CB1" w:rsidRDefault="00E732FA" w:rsidP="00E732FA">
            <w:pPr>
              <w:pStyle w:val="ListParagraph"/>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Investing in training and education, course development, national center for education and on-the-job training; providing assistance to small and specialized hotels to improve the skills and training of employees. </w:t>
            </w:r>
          </w:p>
          <w:p w14:paraId="14E141CC" w14:textId="77777777" w:rsidR="00E732FA" w:rsidRPr="003C7CB1" w:rsidRDefault="00E732FA" w:rsidP="00E732FA">
            <w:pPr>
              <w:pStyle w:val="ListParagraph"/>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Improving spatial planning. </w:t>
            </w:r>
          </w:p>
          <w:p w14:paraId="20A5F671" w14:textId="77777777" w:rsidR="00E732FA" w:rsidRPr="003C7CB1" w:rsidRDefault="00E732FA" w:rsidP="00E732FA">
            <w:pPr>
              <w:pStyle w:val="ListParagraph"/>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color w:val="000000"/>
              </w:rPr>
            </w:pPr>
            <w:r w:rsidRPr="003C7CB1">
              <w:rPr>
                <w:rFonts w:eastAsia="Times New Roman" w:cs="Calibri"/>
                <w:color w:val="000000"/>
              </w:rPr>
              <w:t xml:space="preserve">Encouraging entrepreneurship. </w:t>
            </w:r>
          </w:p>
        </w:tc>
      </w:tr>
    </w:tbl>
    <w:p w14:paraId="1329CFAD" w14:textId="77777777" w:rsidR="00E732FA" w:rsidRPr="003C7CB1" w:rsidRDefault="00E732FA" w:rsidP="00E732FA">
      <w:bookmarkStart w:id="127" w:name="_Toc91286176"/>
    </w:p>
    <w:p w14:paraId="4610DE43" w14:textId="77777777" w:rsidR="00E732FA" w:rsidRPr="003C7CB1" w:rsidRDefault="00E732FA" w:rsidP="00E732FA"/>
    <w:p w14:paraId="102B95F2" w14:textId="77777777" w:rsidR="00E732FA" w:rsidRPr="003C7CB1" w:rsidRDefault="00E732FA" w:rsidP="00E732FA"/>
    <w:p w14:paraId="73242413" w14:textId="77777777" w:rsidR="00E732FA" w:rsidRPr="003C7CB1" w:rsidRDefault="00E732FA" w:rsidP="00E732FA"/>
    <w:p w14:paraId="4C88F1D3" w14:textId="77777777" w:rsidR="00E732FA" w:rsidRPr="003C7CB1" w:rsidRDefault="00E732FA" w:rsidP="00E732FA"/>
    <w:p w14:paraId="3CB20E7C" w14:textId="77777777" w:rsidR="00E732FA" w:rsidRPr="003C7CB1" w:rsidRDefault="00E732FA" w:rsidP="00E732FA"/>
    <w:p w14:paraId="15E274EE" w14:textId="77777777" w:rsidR="00E732FA" w:rsidRPr="003C7CB1" w:rsidRDefault="00E732FA" w:rsidP="00E732FA"/>
    <w:p w14:paraId="2BAC85AF" w14:textId="77777777" w:rsidR="00E732FA" w:rsidRPr="003C7CB1" w:rsidRDefault="00E732FA" w:rsidP="00E732FA"/>
    <w:p w14:paraId="14915F65" w14:textId="77777777" w:rsidR="00E732FA" w:rsidRPr="003C7CB1" w:rsidRDefault="00E732FA" w:rsidP="00E732FA">
      <w:bookmarkStart w:id="128" w:name="_Toc95299939"/>
      <w:bookmarkStart w:id="129" w:name="_Toc95303019"/>
      <w:bookmarkStart w:id="130" w:name="_Toc97902484"/>
      <w:r w:rsidRPr="003C7CB1">
        <w:rPr>
          <w:noProof/>
        </w:rPr>
        <w:lastRenderedPageBreak/>
        <w:drawing>
          <wp:inline distT="0" distB="0" distL="0" distR="0" wp14:anchorId="5ED3E5CC" wp14:editId="3C389956">
            <wp:extent cx="5732145" cy="8108211"/>
            <wp:effectExtent l="0" t="0" r="1905" b="762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0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bookmarkEnd w:id="128"/>
      <w:bookmarkEnd w:id="129"/>
      <w:bookmarkEnd w:id="130"/>
    </w:p>
    <w:p w14:paraId="280570D9" w14:textId="77777777" w:rsidR="00E732FA" w:rsidRPr="003C7CB1" w:rsidRDefault="00E732FA" w:rsidP="00E732FA"/>
    <w:p w14:paraId="73C6EF6C" w14:textId="77777777" w:rsidR="00E732FA" w:rsidRPr="003C7CB1" w:rsidRDefault="00E732FA" w:rsidP="00E732FA">
      <w:pPr>
        <w:pStyle w:val="Heading1"/>
        <w:numPr>
          <w:ilvl w:val="0"/>
          <w:numId w:val="48"/>
        </w:numPr>
      </w:pPr>
      <w:bookmarkStart w:id="131" w:name="_Toc102133806"/>
      <w:bookmarkStart w:id="132" w:name="_Toc104544190"/>
      <w:bookmarkEnd w:id="127"/>
      <w:r w:rsidRPr="003C7CB1">
        <w:lastRenderedPageBreak/>
        <w:t>PRIORITY EMITTING MARKETS</w:t>
      </w:r>
      <w:bookmarkEnd w:id="131"/>
      <w:bookmarkEnd w:id="132"/>
      <w:r w:rsidRPr="003C7CB1">
        <w:t xml:space="preserve"> </w:t>
      </w:r>
    </w:p>
    <w:p w14:paraId="31DC0416" w14:textId="77777777" w:rsidR="00E732FA" w:rsidRPr="003C7CB1" w:rsidRDefault="00E732FA" w:rsidP="00E732FA">
      <w:pPr>
        <w:spacing w:after="0" w:line="240" w:lineRule="auto"/>
        <w:jc w:val="both"/>
      </w:pPr>
    </w:p>
    <w:p w14:paraId="60959196" w14:textId="0369C86C" w:rsidR="00E732FA" w:rsidRPr="003C7CB1" w:rsidRDefault="00E732FA" w:rsidP="00E732FA">
      <w:pPr>
        <w:spacing w:after="0" w:line="240" w:lineRule="auto"/>
        <w:jc w:val="both"/>
        <w:rPr>
          <w:rFonts w:cstheme="minorHAnsi"/>
          <w:bCs/>
          <w:color w:val="000000"/>
          <w:sz w:val="24"/>
          <w:szCs w:val="24"/>
          <w:lang w:eastAsia="hr-HR"/>
        </w:rPr>
      </w:pPr>
      <w:r w:rsidRPr="003C7CB1">
        <w:rPr>
          <w:rFonts w:cstheme="minorHAnsi"/>
          <w:bCs/>
          <w:color w:val="000000"/>
          <w:sz w:val="24"/>
          <w:szCs w:val="24"/>
          <w:lang w:eastAsia="hr-HR"/>
        </w:rPr>
        <w:t>According to official statistics on touris</w:t>
      </w:r>
      <w:r w:rsidR="00951DD4">
        <w:rPr>
          <w:rFonts w:cstheme="minorHAnsi"/>
          <w:bCs/>
          <w:color w:val="000000"/>
          <w:sz w:val="24"/>
          <w:szCs w:val="24"/>
          <w:lang w:eastAsia="hr-HR"/>
        </w:rPr>
        <w:t>m turnover</w:t>
      </w:r>
      <w:r w:rsidRPr="003C7CB1">
        <w:rPr>
          <w:rFonts w:cstheme="minorHAnsi"/>
          <w:bCs/>
          <w:color w:val="000000"/>
          <w:sz w:val="24"/>
          <w:szCs w:val="24"/>
          <w:lang w:eastAsia="hr-HR"/>
        </w:rPr>
        <w:t xml:space="preserve"> in 2019, among the most numerous tourists who come to Montenegro and spend the most nights, in addition to traditional emitting markets such as countries in the region and Russia, there are tourists from China and Ukraine (Table no. 13).  </w:t>
      </w:r>
    </w:p>
    <w:p w14:paraId="64FF2046" w14:textId="77777777" w:rsidR="00E732FA" w:rsidRPr="003C7CB1" w:rsidRDefault="00E732FA" w:rsidP="00E732FA">
      <w:pPr>
        <w:spacing w:after="0" w:line="240" w:lineRule="auto"/>
        <w:jc w:val="both"/>
        <w:rPr>
          <w:rFonts w:cstheme="minorHAnsi"/>
          <w:bCs/>
          <w:color w:val="000000"/>
          <w:sz w:val="24"/>
          <w:szCs w:val="24"/>
          <w:lang w:eastAsia="hr-HR"/>
        </w:rPr>
      </w:pPr>
    </w:p>
    <w:p w14:paraId="2A861624" w14:textId="77777777" w:rsidR="00E732FA" w:rsidRPr="003C7CB1" w:rsidRDefault="00E732FA" w:rsidP="00E732FA">
      <w:pPr>
        <w:spacing w:after="0" w:line="240" w:lineRule="auto"/>
        <w:jc w:val="center"/>
        <w:rPr>
          <w:rFonts w:cstheme="minorHAnsi"/>
          <w:bCs/>
          <w:color w:val="000000"/>
          <w:sz w:val="24"/>
          <w:szCs w:val="24"/>
          <w:lang w:eastAsia="hr-HR"/>
        </w:rPr>
      </w:pPr>
      <w:bookmarkStart w:id="133" w:name="_Hlk98194912"/>
      <w:r w:rsidRPr="003C7CB1">
        <w:rPr>
          <w:rFonts w:cstheme="minorHAnsi"/>
          <w:b/>
          <w:bCs/>
          <w:color w:val="000000"/>
          <w:lang w:eastAsia="hr-HR"/>
        </w:rPr>
        <w:t xml:space="preserve">Table no. 13 - Top 10 emitting markets according to the number of tourists and overnight stays in 2019 </w:t>
      </w:r>
    </w:p>
    <w:bookmarkEnd w:id="133"/>
    <w:p w14:paraId="750C2E74" w14:textId="77777777" w:rsidR="00E732FA" w:rsidRPr="003C7CB1" w:rsidRDefault="00E732FA" w:rsidP="00E732FA">
      <w:pPr>
        <w:spacing w:after="0" w:line="240" w:lineRule="auto"/>
        <w:rPr>
          <w:rFonts w:cstheme="minorHAnsi"/>
          <w:bCs/>
          <w:color w:val="000000"/>
          <w:lang w:eastAsia="hr-HR"/>
        </w:rPr>
      </w:pPr>
    </w:p>
    <w:p w14:paraId="6F5F0E00" w14:textId="77777777" w:rsidR="00E732FA" w:rsidRPr="003C7CB1" w:rsidRDefault="00E732FA" w:rsidP="00E732FA">
      <w:pPr>
        <w:spacing w:after="0" w:line="240" w:lineRule="auto"/>
        <w:rPr>
          <w:rFonts w:cstheme="minorHAnsi"/>
          <w:bCs/>
          <w:color w:val="000000"/>
          <w:lang w:eastAsia="hr-HR"/>
        </w:rPr>
        <w:sectPr w:rsidR="00E732FA" w:rsidRPr="003C7CB1" w:rsidSect="000A0407">
          <w:headerReference w:type="default" r:id="rId56"/>
          <w:footerReference w:type="default" r:id="rId57"/>
          <w:footerReference w:type="first" r:id="rId58"/>
          <w:type w:val="continuous"/>
          <w:pgSz w:w="11907" w:h="16840" w:code="9"/>
          <w:pgMar w:top="1440" w:right="1440" w:bottom="1440" w:left="1440" w:header="720" w:footer="720" w:gutter="0"/>
          <w:cols w:space="720"/>
          <w:titlePg/>
          <w:docGrid w:linePitch="360"/>
        </w:sectPr>
      </w:pPr>
    </w:p>
    <w:tbl>
      <w:tblPr>
        <w:tblStyle w:val="TableGrid"/>
        <w:tblpPr w:leftFromText="180" w:rightFromText="180" w:vertAnchor="text" w:horzAnchor="margin" w:tblpY="-2"/>
        <w:tblW w:w="0" w:type="auto"/>
        <w:tblLook w:val="04A0" w:firstRow="1" w:lastRow="0" w:firstColumn="1" w:lastColumn="0" w:noHBand="0" w:noVBand="1"/>
      </w:tblPr>
      <w:tblGrid>
        <w:gridCol w:w="1696"/>
        <w:gridCol w:w="1418"/>
        <w:gridCol w:w="1701"/>
      </w:tblGrid>
      <w:tr w:rsidR="00E732FA" w:rsidRPr="003C7CB1" w14:paraId="25BB831A" w14:textId="77777777" w:rsidTr="00E732FA">
        <w:trPr>
          <w:trHeight w:val="699"/>
        </w:trPr>
        <w:tc>
          <w:tcPr>
            <w:tcW w:w="3114" w:type="dxa"/>
            <w:gridSpan w:val="2"/>
            <w:shd w:val="clear" w:color="auto" w:fill="BDD6EE" w:themeFill="accent5" w:themeFillTint="66"/>
          </w:tcPr>
          <w:p w14:paraId="2CA90B90"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Top 10 emitting markets according to the number of tourists 2019 </w:t>
            </w:r>
          </w:p>
        </w:tc>
        <w:tc>
          <w:tcPr>
            <w:tcW w:w="1701" w:type="dxa"/>
            <w:shd w:val="clear" w:color="auto" w:fill="BDD6EE" w:themeFill="accent5" w:themeFillTint="66"/>
          </w:tcPr>
          <w:p w14:paraId="6C2D6D00"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Share in total number of tourists in % </w:t>
            </w:r>
          </w:p>
        </w:tc>
      </w:tr>
      <w:tr w:rsidR="00E732FA" w:rsidRPr="003C7CB1" w14:paraId="6648204C" w14:textId="77777777" w:rsidTr="00E732FA">
        <w:trPr>
          <w:trHeight w:val="269"/>
        </w:trPr>
        <w:tc>
          <w:tcPr>
            <w:tcW w:w="1696" w:type="dxa"/>
            <w:shd w:val="clear" w:color="auto" w:fill="DEEAF6" w:themeFill="accent5" w:themeFillTint="33"/>
          </w:tcPr>
          <w:p w14:paraId="25A137B7"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Serbia </w:t>
            </w:r>
          </w:p>
        </w:tc>
        <w:tc>
          <w:tcPr>
            <w:tcW w:w="1418" w:type="dxa"/>
          </w:tcPr>
          <w:p w14:paraId="34E334F5"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402,866 </w:t>
            </w:r>
          </w:p>
        </w:tc>
        <w:tc>
          <w:tcPr>
            <w:tcW w:w="1701" w:type="dxa"/>
          </w:tcPr>
          <w:p w14:paraId="0B736DCE"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16.1 </w:t>
            </w:r>
          </w:p>
        </w:tc>
      </w:tr>
      <w:tr w:rsidR="00E732FA" w:rsidRPr="003C7CB1" w14:paraId="6E56EF95" w14:textId="77777777" w:rsidTr="00E732FA">
        <w:trPr>
          <w:trHeight w:val="200"/>
        </w:trPr>
        <w:tc>
          <w:tcPr>
            <w:tcW w:w="1696" w:type="dxa"/>
            <w:shd w:val="clear" w:color="auto" w:fill="DEEAF6" w:themeFill="accent5" w:themeFillTint="33"/>
          </w:tcPr>
          <w:p w14:paraId="780BE0BE"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Russia </w:t>
            </w:r>
          </w:p>
        </w:tc>
        <w:tc>
          <w:tcPr>
            <w:tcW w:w="1418" w:type="dxa"/>
          </w:tcPr>
          <w:p w14:paraId="7AB9D0C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384,689 </w:t>
            </w:r>
          </w:p>
        </w:tc>
        <w:tc>
          <w:tcPr>
            <w:tcW w:w="1701" w:type="dxa"/>
          </w:tcPr>
          <w:p w14:paraId="458A868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15.3 </w:t>
            </w:r>
          </w:p>
        </w:tc>
      </w:tr>
      <w:tr w:rsidR="00E732FA" w:rsidRPr="003C7CB1" w14:paraId="5B6BBE6B" w14:textId="77777777" w:rsidTr="00E732FA">
        <w:trPr>
          <w:trHeight w:val="250"/>
        </w:trPr>
        <w:tc>
          <w:tcPr>
            <w:tcW w:w="1696" w:type="dxa"/>
            <w:shd w:val="clear" w:color="auto" w:fill="DEEAF6" w:themeFill="accent5" w:themeFillTint="33"/>
          </w:tcPr>
          <w:p w14:paraId="1832167A"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Bosnia and Herzegovina </w:t>
            </w:r>
          </w:p>
        </w:tc>
        <w:tc>
          <w:tcPr>
            <w:tcW w:w="1418" w:type="dxa"/>
          </w:tcPr>
          <w:p w14:paraId="5494F6CC"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203,766 </w:t>
            </w:r>
          </w:p>
        </w:tc>
        <w:tc>
          <w:tcPr>
            <w:tcW w:w="1701" w:type="dxa"/>
          </w:tcPr>
          <w:p w14:paraId="71CCDDF4"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8.1 </w:t>
            </w:r>
          </w:p>
        </w:tc>
      </w:tr>
      <w:tr w:rsidR="00E732FA" w:rsidRPr="003C7CB1" w14:paraId="185F7732" w14:textId="77777777" w:rsidTr="00E732FA">
        <w:trPr>
          <w:trHeight w:val="196"/>
        </w:trPr>
        <w:tc>
          <w:tcPr>
            <w:tcW w:w="1696" w:type="dxa"/>
            <w:shd w:val="clear" w:color="auto" w:fill="DEEAF6" w:themeFill="accent5" w:themeFillTint="33"/>
          </w:tcPr>
          <w:p w14:paraId="4F74F48C"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Kosovo </w:t>
            </w:r>
          </w:p>
        </w:tc>
        <w:tc>
          <w:tcPr>
            <w:tcW w:w="1418" w:type="dxa"/>
          </w:tcPr>
          <w:p w14:paraId="54D68B5B"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169,601 </w:t>
            </w:r>
          </w:p>
        </w:tc>
        <w:tc>
          <w:tcPr>
            <w:tcW w:w="1701" w:type="dxa"/>
          </w:tcPr>
          <w:p w14:paraId="45ACFC7F"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6.8 </w:t>
            </w:r>
          </w:p>
        </w:tc>
      </w:tr>
      <w:tr w:rsidR="00E732FA" w:rsidRPr="003C7CB1" w14:paraId="47042830" w14:textId="77777777" w:rsidTr="00E732FA">
        <w:trPr>
          <w:trHeight w:val="192"/>
        </w:trPr>
        <w:tc>
          <w:tcPr>
            <w:tcW w:w="1696" w:type="dxa"/>
            <w:shd w:val="clear" w:color="auto" w:fill="DEEAF6" w:themeFill="accent5" w:themeFillTint="33"/>
          </w:tcPr>
          <w:p w14:paraId="216C7196"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Germany </w:t>
            </w:r>
          </w:p>
        </w:tc>
        <w:tc>
          <w:tcPr>
            <w:tcW w:w="1418" w:type="dxa"/>
          </w:tcPr>
          <w:p w14:paraId="584E58B7"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163,877 </w:t>
            </w:r>
          </w:p>
        </w:tc>
        <w:tc>
          <w:tcPr>
            <w:tcW w:w="1701" w:type="dxa"/>
          </w:tcPr>
          <w:p w14:paraId="50AE3A6C"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6.5 </w:t>
            </w:r>
          </w:p>
        </w:tc>
      </w:tr>
      <w:tr w:rsidR="00E732FA" w:rsidRPr="003C7CB1" w14:paraId="7D6647C8" w14:textId="77777777" w:rsidTr="00E732FA">
        <w:trPr>
          <w:trHeight w:val="196"/>
        </w:trPr>
        <w:tc>
          <w:tcPr>
            <w:tcW w:w="1696" w:type="dxa"/>
            <w:shd w:val="clear" w:color="auto" w:fill="DEEAF6" w:themeFill="accent5" w:themeFillTint="33"/>
          </w:tcPr>
          <w:p w14:paraId="058682F2"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France </w:t>
            </w:r>
          </w:p>
        </w:tc>
        <w:tc>
          <w:tcPr>
            <w:tcW w:w="1418" w:type="dxa"/>
          </w:tcPr>
          <w:p w14:paraId="145A38A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90,083 </w:t>
            </w:r>
          </w:p>
        </w:tc>
        <w:tc>
          <w:tcPr>
            <w:tcW w:w="1701" w:type="dxa"/>
          </w:tcPr>
          <w:p w14:paraId="643C6E74"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3.6 </w:t>
            </w:r>
          </w:p>
        </w:tc>
      </w:tr>
      <w:tr w:rsidR="00E732FA" w:rsidRPr="003C7CB1" w14:paraId="5ADA53E2" w14:textId="77777777" w:rsidTr="00E732FA">
        <w:trPr>
          <w:trHeight w:val="192"/>
        </w:trPr>
        <w:tc>
          <w:tcPr>
            <w:tcW w:w="1696" w:type="dxa"/>
            <w:shd w:val="clear" w:color="auto" w:fill="DEEAF6" w:themeFill="accent5" w:themeFillTint="33"/>
          </w:tcPr>
          <w:p w14:paraId="57DCB638"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Great Britain </w:t>
            </w:r>
          </w:p>
        </w:tc>
        <w:tc>
          <w:tcPr>
            <w:tcW w:w="1418" w:type="dxa"/>
          </w:tcPr>
          <w:p w14:paraId="49477835"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80,876 </w:t>
            </w:r>
          </w:p>
        </w:tc>
        <w:tc>
          <w:tcPr>
            <w:tcW w:w="1701" w:type="dxa"/>
          </w:tcPr>
          <w:p w14:paraId="55DB586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3.2 </w:t>
            </w:r>
          </w:p>
        </w:tc>
      </w:tr>
      <w:tr w:rsidR="00E732FA" w:rsidRPr="003C7CB1" w14:paraId="776CF299" w14:textId="77777777" w:rsidTr="00E732FA">
        <w:trPr>
          <w:trHeight w:val="218"/>
        </w:trPr>
        <w:tc>
          <w:tcPr>
            <w:tcW w:w="1696" w:type="dxa"/>
            <w:shd w:val="clear" w:color="auto" w:fill="DEEAF6" w:themeFill="accent5" w:themeFillTint="33"/>
          </w:tcPr>
          <w:p w14:paraId="04D0EC5B"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Albania </w:t>
            </w:r>
          </w:p>
        </w:tc>
        <w:tc>
          <w:tcPr>
            <w:tcW w:w="1418" w:type="dxa"/>
          </w:tcPr>
          <w:p w14:paraId="5E081E12"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79,001 </w:t>
            </w:r>
          </w:p>
        </w:tc>
        <w:tc>
          <w:tcPr>
            <w:tcW w:w="1701" w:type="dxa"/>
          </w:tcPr>
          <w:p w14:paraId="78768F86"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3.1 </w:t>
            </w:r>
          </w:p>
        </w:tc>
      </w:tr>
      <w:tr w:rsidR="00E732FA" w:rsidRPr="003C7CB1" w14:paraId="32E77981" w14:textId="77777777" w:rsidTr="00E732FA">
        <w:trPr>
          <w:trHeight w:val="192"/>
        </w:trPr>
        <w:tc>
          <w:tcPr>
            <w:tcW w:w="1696" w:type="dxa"/>
            <w:tcBorders>
              <w:bottom w:val="single" w:sz="4" w:space="0" w:color="auto"/>
            </w:tcBorders>
            <w:shd w:val="clear" w:color="auto" w:fill="DEEAF6" w:themeFill="accent5" w:themeFillTint="33"/>
          </w:tcPr>
          <w:p w14:paraId="29A3DF94" w14:textId="77777777" w:rsidR="00E732FA" w:rsidRPr="003C7CB1" w:rsidRDefault="00E732FA" w:rsidP="00E732FA">
            <w:pPr>
              <w:spacing w:after="0" w:line="240" w:lineRule="auto"/>
              <w:jc w:val="both"/>
              <w:rPr>
                <w:rFonts w:cstheme="minorHAnsi"/>
                <w:b/>
                <w:sz w:val="20"/>
                <w:szCs w:val="20"/>
              </w:rPr>
            </w:pPr>
            <w:r w:rsidRPr="003C7CB1">
              <w:rPr>
                <w:rFonts w:cstheme="minorHAnsi"/>
                <w:b/>
                <w:sz w:val="20"/>
                <w:szCs w:val="20"/>
              </w:rPr>
              <w:t xml:space="preserve">Poland </w:t>
            </w:r>
          </w:p>
        </w:tc>
        <w:tc>
          <w:tcPr>
            <w:tcW w:w="1418" w:type="dxa"/>
          </w:tcPr>
          <w:p w14:paraId="0EC4FE52"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76,620 </w:t>
            </w:r>
          </w:p>
        </w:tc>
        <w:tc>
          <w:tcPr>
            <w:tcW w:w="1701" w:type="dxa"/>
          </w:tcPr>
          <w:p w14:paraId="365D433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3.1 </w:t>
            </w:r>
          </w:p>
        </w:tc>
      </w:tr>
      <w:tr w:rsidR="00E732FA" w:rsidRPr="003C7CB1" w14:paraId="62EDC7EC" w14:textId="77777777" w:rsidTr="00E732FA">
        <w:trPr>
          <w:trHeight w:val="367"/>
        </w:trPr>
        <w:tc>
          <w:tcPr>
            <w:tcW w:w="1696" w:type="dxa"/>
            <w:tcBorders>
              <w:bottom w:val="single" w:sz="4" w:space="0" w:color="auto"/>
            </w:tcBorders>
            <w:shd w:val="clear" w:color="auto" w:fill="DEEAF6" w:themeFill="accent5" w:themeFillTint="33"/>
          </w:tcPr>
          <w:p w14:paraId="752D275F"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China and  Hong Kong</w:t>
            </w:r>
          </w:p>
        </w:tc>
        <w:tc>
          <w:tcPr>
            <w:tcW w:w="1418" w:type="dxa"/>
          </w:tcPr>
          <w:p w14:paraId="604C5BB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74,833 </w:t>
            </w:r>
          </w:p>
        </w:tc>
        <w:tc>
          <w:tcPr>
            <w:tcW w:w="1701" w:type="dxa"/>
          </w:tcPr>
          <w:p w14:paraId="6C67BDEB"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3.0 </w:t>
            </w:r>
          </w:p>
        </w:tc>
      </w:tr>
    </w:tbl>
    <w:tbl>
      <w:tblPr>
        <w:tblStyle w:val="TableGrid"/>
        <w:tblpPr w:leftFromText="180" w:rightFromText="180" w:vertAnchor="text" w:horzAnchor="page" w:tblpX="6487" w:tblpY="-42"/>
        <w:tblW w:w="0" w:type="auto"/>
        <w:tblLook w:val="04A0" w:firstRow="1" w:lastRow="0" w:firstColumn="1" w:lastColumn="0" w:noHBand="0" w:noVBand="1"/>
      </w:tblPr>
      <w:tblGrid>
        <w:gridCol w:w="1579"/>
        <w:gridCol w:w="1301"/>
        <w:gridCol w:w="1872"/>
      </w:tblGrid>
      <w:tr w:rsidR="00E732FA" w:rsidRPr="003C7CB1" w14:paraId="38E8378B" w14:textId="77777777" w:rsidTr="00E732FA">
        <w:trPr>
          <w:trHeight w:val="245"/>
        </w:trPr>
        <w:tc>
          <w:tcPr>
            <w:tcW w:w="2880" w:type="dxa"/>
            <w:gridSpan w:val="2"/>
            <w:shd w:val="clear" w:color="auto" w:fill="BDD6EE" w:themeFill="accent5" w:themeFillTint="66"/>
          </w:tcPr>
          <w:p w14:paraId="571B83C5"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Top 10 emitting markets according to the number of overnight stays in 2019 </w:t>
            </w:r>
          </w:p>
        </w:tc>
        <w:tc>
          <w:tcPr>
            <w:tcW w:w="1872" w:type="dxa"/>
            <w:shd w:val="clear" w:color="auto" w:fill="BDD6EE" w:themeFill="accent5" w:themeFillTint="66"/>
          </w:tcPr>
          <w:p w14:paraId="559B1101" w14:textId="77777777" w:rsidR="00E732FA" w:rsidRPr="003C7CB1" w:rsidRDefault="00E732FA" w:rsidP="00E732FA">
            <w:pPr>
              <w:spacing w:after="0" w:line="240" w:lineRule="auto"/>
              <w:jc w:val="center"/>
              <w:rPr>
                <w:rFonts w:cstheme="minorHAnsi"/>
                <w:b/>
                <w:sz w:val="20"/>
                <w:szCs w:val="20"/>
              </w:rPr>
            </w:pPr>
            <w:r w:rsidRPr="003C7CB1">
              <w:rPr>
                <w:rFonts w:cstheme="minorHAnsi"/>
                <w:b/>
                <w:sz w:val="20"/>
                <w:szCs w:val="20"/>
              </w:rPr>
              <w:t xml:space="preserve">Share in total number of </w:t>
            </w:r>
            <w:r w:rsidRPr="003C7CB1">
              <w:t xml:space="preserve"> </w:t>
            </w:r>
            <w:r w:rsidRPr="003C7CB1">
              <w:rPr>
                <w:rFonts w:cstheme="minorHAnsi"/>
                <w:b/>
                <w:sz w:val="20"/>
                <w:szCs w:val="20"/>
              </w:rPr>
              <w:t xml:space="preserve">overnight stays  in % </w:t>
            </w:r>
          </w:p>
        </w:tc>
      </w:tr>
      <w:tr w:rsidR="00E732FA" w:rsidRPr="003C7CB1" w14:paraId="33453B13" w14:textId="77777777" w:rsidTr="00E732FA">
        <w:trPr>
          <w:trHeight w:val="367"/>
        </w:trPr>
        <w:tc>
          <w:tcPr>
            <w:tcW w:w="1579" w:type="dxa"/>
            <w:shd w:val="clear" w:color="auto" w:fill="DEEAF6" w:themeFill="accent5" w:themeFillTint="33"/>
          </w:tcPr>
          <w:p w14:paraId="3FA7A3B7"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Russia </w:t>
            </w:r>
          </w:p>
        </w:tc>
        <w:tc>
          <w:tcPr>
            <w:tcW w:w="1300" w:type="dxa"/>
          </w:tcPr>
          <w:p w14:paraId="1D40839E"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3,470,593 </w:t>
            </w:r>
          </w:p>
        </w:tc>
        <w:tc>
          <w:tcPr>
            <w:tcW w:w="1872" w:type="dxa"/>
          </w:tcPr>
          <w:p w14:paraId="4F05F99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24.9 </w:t>
            </w:r>
          </w:p>
        </w:tc>
      </w:tr>
      <w:tr w:rsidR="00E732FA" w:rsidRPr="003C7CB1" w14:paraId="435B093B" w14:textId="77777777" w:rsidTr="00E732FA">
        <w:trPr>
          <w:trHeight w:val="245"/>
        </w:trPr>
        <w:tc>
          <w:tcPr>
            <w:tcW w:w="1579" w:type="dxa"/>
            <w:shd w:val="clear" w:color="auto" w:fill="DEEAF6" w:themeFill="accent5" w:themeFillTint="33"/>
          </w:tcPr>
          <w:p w14:paraId="01F80F3D"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Serbia </w:t>
            </w:r>
          </w:p>
        </w:tc>
        <w:tc>
          <w:tcPr>
            <w:tcW w:w="1300" w:type="dxa"/>
          </w:tcPr>
          <w:p w14:paraId="246D47A4"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2,988,690 </w:t>
            </w:r>
          </w:p>
        </w:tc>
        <w:tc>
          <w:tcPr>
            <w:tcW w:w="1872" w:type="dxa"/>
          </w:tcPr>
          <w:p w14:paraId="0F62261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21.4 </w:t>
            </w:r>
          </w:p>
        </w:tc>
      </w:tr>
      <w:tr w:rsidR="00E732FA" w:rsidRPr="003C7CB1" w14:paraId="69770257" w14:textId="77777777" w:rsidTr="00E732FA">
        <w:trPr>
          <w:trHeight w:val="250"/>
        </w:trPr>
        <w:tc>
          <w:tcPr>
            <w:tcW w:w="1579" w:type="dxa"/>
            <w:shd w:val="clear" w:color="auto" w:fill="DEEAF6" w:themeFill="accent5" w:themeFillTint="33"/>
          </w:tcPr>
          <w:p w14:paraId="167DF8F9"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Bosnia and Herzegovina </w:t>
            </w:r>
          </w:p>
        </w:tc>
        <w:tc>
          <w:tcPr>
            <w:tcW w:w="1300" w:type="dxa"/>
          </w:tcPr>
          <w:p w14:paraId="79C52871"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1,185,972 </w:t>
            </w:r>
          </w:p>
        </w:tc>
        <w:tc>
          <w:tcPr>
            <w:tcW w:w="1872" w:type="dxa"/>
          </w:tcPr>
          <w:p w14:paraId="1BAD7BE7"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8.5 </w:t>
            </w:r>
          </w:p>
        </w:tc>
      </w:tr>
      <w:tr w:rsidR="00E732FA" w:rsidRPr="003C7CB1" w14:paraId="7F1A23E5" w14:textId="77777777" w:rsidTr="00E732FA">
        <w:trPr>
          <w:trHeight w:val="245"/>
        </w:trPr>
        <w:tc>
          <w:tcPr>
            <w:tcW w:w="1579" w:type="dxa"/>
            <w:shd w:val="clear" w:color="auto" w:fill="DEEAF6" w:themeFill="accent5" w:themeFillTint="33"/>
          </w:tcPr>
          <w:p w14:paraId="15A1B101"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Kosovo</w:t>
            </w:r>
          </w:p>
        </w:tc>
        <w:tc>
          <w:tcPr>
            <w:tcW w:w="1300" w:type="dxa"/>
          </w:tcPr>
          <w:p w14:paraId="77102E54"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755,246 </w:t>
            </w:r>
          </w:p>
        </w:tc>
        <w:tc>
          <w:tcPr>
            <w:tcW w:w="1872" w:type="dxa"/>
          </w:tcPr>
          <w:p w14:paraId="42CE4AD8"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5.4 </w:t>
            </w:r>
          </w:p>
        </w:tc>
      </w:tr>
      <w:tr w:rsidR="00E732FA" w:rsidRPr="003C7CB1" w14:paraId="6B921534" w14:textId="77777777" w:rsidTr="00E732FA">
        <w:trPr>
          <w:trHeight w:val="251"/>
        </w:trPr>
        <w:tc>
          <w:tcPr>
            <w:tcW w:w="1579" w:type="dxa"/>
            <w:shd w:val="clear" w:color="auto" w:fill="DEEAF6" w:themeFill="accent5" w:themeFillTint="33"/>
          </w:tcPr>
          <w:p w14:paraId="28E009D2"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Germany </w:t>
            </w:r>
          </w:p>
        </w:tc>
        <w:tc>
          <w:tcPr>
            <w:tcW w:w="1300" w:type="dxa"/>
          </w:tcPr>
          <w:p w14:paraId="35E57A0F"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643,651 </w:t>
            </w:r>
          </w:p>
        </w:tc>
        <w:tc>
          <w:tcPr>
            <w:tcW w:w="1872" w:type="dxa"/>
          </w:tcPr>
          <w:p w14:paraId="3F8850D7"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4.6 </w:t>
            </w:r>
          </w:p>
        </w:tc>
      </w:tr>
      <w:tr w:rsidR="00E732FA" w:rsidRPr="003C7CB1" w14:paraId="3EBB5E8A" w14:textId="77777777" w:rsidTr="00E732FA">
        <w:trPr>
          <w:trHeight w:val="245"/>
        </w:trPr>
        <w:tc>
          <w:tcPr>
            <w:tcW w:w="1579" w:type="dxa"/>
            <w:shd w:val="clear" w:color="auto" w:fill="DEEAF6" w:themeFill="accent5" w:themeFillTint="33"/>
          </w:tcPr>
          <w:p w14:paraId="5E446892"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Ukraine </w:t>
            </w:r>
          </w:p>
        </w:tc>
        <w:tc>
          <w:tcPr>
            <w:tcW w:w="1300" w:type="dxa"/>
          </w:tcPr>
          <w:p w14:paraId="016C8C79"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463,551 </w:t>
            </w:r>
          </w:p>
        </w:tc>
        <w:tc>
          <w:tcPr>
            <w:tcW w:w="1872" w:type="dxa"/>
          </w:tcPr>
          <w:p w14:paraId="3C55B2DB"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3.3 </w:t>
            </w:r>
          </w:p>
        </w:tc>
      </w:tr>
      <w:tr w:rsidR="00E732FA" w:rsidRPr="003C7CB1" w14:paraId="47A3A303" w14:textId="77777777" w:rsidTr="00E732FA">
        <w:trPr>
          <w:trHeight w:val="245"/>
        </w:trPr>
        <w:tc>
          <w:tcPr>
            <w:tcW w:w="1579" w:type="dxa"/>
            <w:shd w:val="clear" w:color="auto" w:fill="DEEAF6" w:themeFill="accent5" w:themeFillTint="33"/>
          </w:tcPr>
          <w:p w14:paraId="3526B76A"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France</w:t>
            </w:r>
          </w:p>
        </w:tc>
        <w:tc>
          <w:tcPr>
            <w:tcW w:w="1300" w:type="dxa"/>
          </w:tcPr>
          <w:p w14:paraId="29572AD6"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436,526 </w:t>
            </w:r>
          </w:p>
        </w:tc>
        <w:tc>
          <w:tcPr>
            <w:tcW w:w="1872" w:type="dxa"/>
          </w:tcPr>
          <w:p w14:paraId="1013189B"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3.1 </w:t>
            </w:r>
          </w:p>
        </w:tc>
      </w:tr>
      <w:tr w:rsidR="00E732FA" w:rsidRPr="003C7CB1" w14:paraId="75036624" w14:textId="77777777" w:rsidTr="00E732FA">
        <w:trPr>
          <w:trHeight w:val="241"/>
        </w:trPr>
        <w:tc>
          <w:tcPr>
            <w:tcW w:w="1579" w:type="dxa"/>
            <w:shd w:val="clear" w:color="auto" w:fill="DEEAF6" w:themeFill="accent5" w:themeFillTint="33"/>
          </w:tcPr>
          <w:p w14:paraId="6BB18679"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Great Britain </w:t>
            </w:r>
          </w:p>
        </w:tc>
        <w:tc>
          <w:tcPr>
            <w:tcW w:w="1300" w:type="dxa"/>
          </w:tcPr>
          <w:p w14:paraId="1480CEBD"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422,978 </w:t>
            </w:r>
          </w:p>
        </w:tc>
        <w:tc>
          <w:tcPr>
            <w:tcW w:w="1872" w:type="dxa"/>
          </w:tcPr>
          <w:p w14:paraId="2C87E906"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3.0 </w:t>
            </w:r>
          </w:p>
        </w:tc>
      </w:tr>
      <w:tr w:rsidR="00E732FA" w:rsidRPr="003C7CB1" w14:paraId="7291D334" w14:textId="77777777" w:rsidTr="00E732FA">
        <w:trPr>
          <w:trHeight w:val="245"/>
        </w:trPr>
        <w:tc>
          <w:tcPr>
            <w:tcW w:w="1579" w:type="dxa"/>
            <w:shd w:val="clear" w:color="auto" w:fill="DEEAF6" w:themeFill="accent5" w:themeFillTint="33"/>
          </w:tcPr>
          <w:p w14:paraId="1E72608D"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Poland </w:t>
            </w:r>
          </w:p>
        </w:tc>
        <w:tc>
          <w:tcPr>
            <w:tcW w:w="1300" w:type="dxa"/>
          </w:tcPr>
          <w:p w14:paraId="24EEC33D"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396,390 </w:t>
            </w:r>
          </w:p>
        </w:tc>
        <w:tc>
          <w:tcPr>
            <w:tcW w:w="1872" w:type="dxa"/>
          </w:tcPr>
          <w:p w14:paraId="76C4AF9B"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2.8 </w:t>
            </w:r>
          </w:p>
        </w:tc>
      </w:tr>
      <w:tr w:rsidR="00E732FA" w:rsidRPr="003C7CB1" w14:paraId="763F75C8" w14:textId="77777777" w:rsidTr="00E732FA">
        <w:trPr>
          <w:trHeight w:val="261"/>
        </w:trPr>
        <w:tc>
          <w:tcPr>
            <w:tcW w:w="1579" w:type="dxa"/>
            <w:shd w:val="clear" w:color="auto" w:fill="DEEAF6" w:themeFill="accent5" w:themeFillTint="33"/>
          </w:tcPr>
          <w:p w14:paraId="5F606282" w14:textId="77777777" w:rsidR="00E732FA" w:rsidRPr="003C7CB1" w:rsidRDefault="00E732FA" w:rsidP="00E732FA">
            <w:pPr>
              <w:spacing w:after="0" w:line="240" w:lineRule="auto"/>
              <w:rPr>
                <w:rFonts w:cstheme="minorHAnsi"/>
                <w:b/>
                <w:sz w:val="20"/>
                <w:szCs w:val="20"/>
              </w:rPr>
            </w:pPr>
            <w:r w:rsidRPr="003C7CB1">
              <w:rPr>
                <w:rFonts w:cstheme="minorHAnsi"/>
                <w:b/>
                <w:sz w:val="20"/>
                <w:szCs w:val="20"/>
              </w:rPr>
              <w:t xml:space="preserve">Albania </w:t>
            </w:r>
          </w:p>
        </w:tc>
        <w:tc>
          <w:tcPr>
            <w:tcW w:w="1300" w:type="dxa"/>
          </w:tcPr>
          <w:p w14:paraId="0FAFEF5E"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241,918 </w:t>
            </w:r>
          </w:p>
        </w:tc>
        <w:tc>
          <w:tcPr>
            <w:tcW w:w="1872" w:type="dxa"/>
          </w:tcPr>
          <w:p w14:paraId="6B7EB054" w14:textId="77777777" w:rsidR="00E732FA" w:rsidRPr="003C7CB1" w:rsidRDefault="00E732FA" w:rsidP="00E732FA">
            <w:pPr>
              <w:spacing w:after="0" w:line="240" w:lineRule="auto"/>
              <w:jc w:val="right"/>
              <w:rPr>
                <w:rFonts w:cstheme="minorHAnsi"/>
                <w:sz w:val="20"/>
                <w:szCs w:val="20"/>
              </w:rPr>
            </w:pPr>
            <w:r w:rsidRPr="003C7CB1">
              <w:rPr>
                <w:rFonts w:cstheme="minorHAnsi"/>
                <w:sz w:val="20"/>
                <w:szCs w:val="20"/>
              </w:rPr>
              <w:t xml:space="preserve">1.7 </w:t>
            </w:r>
          </w:p>
        </w:tc>
      </w:tr>
    </w:tbl>
    <w:p w14:paraId="7B966FD1" w14:textId="77777777" w:rsidR="00E732FA" w:rsidRPr="003C7CB1" w:rsidRDefault="00E732FA" w:rsidP="00E732FA">
      <w:pPr>
        <w:spacing w:after="0"/>
        <w:rPr>
          <w:rFonts w:cstheme="minorHAnsi"/>
          <w:bCs/>
          <w:i/>
          <w:sz w:val="20"/>
          <w:szCs w:val="20"/>
          <w:lang w:eastAsia="hr-HR"/>
        </w:rPr>
      </w:pPr>
      <w:r w:rsidRPr="003C7CB1">
        <w:rPr>
          <w:rFonts w:cstheme="minorHAnsi"/>
          <w:bCs/>
          <w:i/>
          <w:sz w:val="20"/>
          <w:szCs w:val="20"/>
          <w:lang w:eastAsia="hr-HR"/>
        </w:rPr>
        <w:t xml:space="preserve"> Source: MONSTAT, edited by the Ministry of Economic Development </w:t>
      </w:r>
    </w:p>
    <w:p w14:paraId="554C8FFF" w14:textId="77777777" w:rsidR="00E732FA" w:rsidRPr="003C7CB1" w:rsidRDefault="00E732FA" w:rsidP="00E732FA">
      <w:pPr>
        <w:spacing w:after="0"/>
        <w:jc w:val="both"/>
        <w:rPr>
          <w:rFonts w:cstheme="minorHAnsi"/>
          <w:bCs/>
          <w:iCs/>
          <w:sz w:val="20"/>
          <w:szCs w:val="20"/>
          <w:lang w:eastAsia="hr-HR"/>
        </w:rPr>
      </w:pPr>
    </w:p>
    <w:p w14:paraId="753D1934" w14:textId="77777777" w:rsidR="00E732FA" w:rsidRPr="003C7CB1" w:rsidRDefault="00E732FA" w:rsidP="00E732FA">
      <w:pPr>
        <w:spacing w:after="120" w:line="240" w:lineRule="auto"/>
        <w:jc w:val="both"/>
        <w:rPr>
          <w:rFonts w:cstheme="minorHAnsi"/>
          <w:bCs/>
          <w:color w:val="000000"/>
          <w:sz w:val="24"/>
          <w:szCs w:val="24"/>
          <w:lang w:eastAsia="hr-HR"/>
        </w:rPr>
      </w:pPr>
      <w:r w:rsidRPr="003C7CB1">
        <w:rPr>
          <w:rFonts w:cstheme="minorHAnsi"/>
          <w:bCs/>
          <w:color w:val="000000"/>
          <w:sz w:val="24"/>
          <w:szCs w:val="24"/>
          <w:lang w:eastAsia="hr-HR"/>
        </w:rPr>
        <w:t xml:space="preserve">Also, analyzes indicate that during 2021, the most numerous were tourists from Serbia, Bosnia and Herzegovina, Ukraine, Russia, Kosovo, Germany, Albania, Poland, France and the Republic of North Macedonia (Table no. 14). </w:t>
      </w:r>
    </w:p>
    <w:p w14:paraId="43FCCB7D" w14:textId="77777777" w:rsidR="00E732FA" w:rsidRPr="003C7CB1" w:rsidRDefault="00E732FA" w:rsidP="00E732FA">
      <w:pPr>
        <w:spacing w:after="120" w:line="240" w:lineRule="auto"/>
        <w:jc w:val="both"/>
        <w:rPr>
          <w:rFonts w:cstheme="minorHAnsi"/>
          <w:bCs/>
          <w:color w:val="000000"/>
          <w:sz w:val="24"/>
          <w:szCs w:val="24"/>
          <w:lang w:eastAsia="hr-HR"/>
        </w:rPr>
      </w:pPr>
    </w:p>
    <w:p w14:paraId="54174DF4" w14:textId="77777777" w:rsidR="00E732FA" w:rsidRPr="003C7CB1" w:rsidRDefault="00E732FA" w:rsidP="00E732FA">
      <w:pPr>
        <w:spacing w:after="0"/>
        <w:jc w:val="center"/>
        <w:rPr>
          <w:rFonts w:cstheme="minorHAnsi"/>
          <w:bCs/>
          <w:sz w:val="24"/>
          <w:szCs w:val="24"/>
          <w:lang w:eastAsia="hr-HR"/>
        </w:rPr>
      </w:pPr>
      <w:r w:rsidRPr="003C7CB1">
        <w:rPr>
          <w:rFonts w:cstheme="minorHAnsi"/>
          <w:b/>
          <w:bCs/>
          <w:color w:val="000000"/>
          <w:lang w:eastAsia="hr-HR"/>
        </w:rPr>
        <w:t xml:space="preserve">Table no. 14 - Top 10 emitting markets according to the number of tourists and overnight stays in 2021 </w:t>
      </w:r>
    </w:p>
    <w:tbl>
      <w:tblPr>
        <w:tblW w:w="8935" w:type="dxa"/>
        <w:jc w:val="right"/>
        <w:tblLook w:val="04A0" w:firstRow="1" w:lastRow="0" w:firstColumn="1" w:lastColumn="0" w:noHBand="0" w:noVBand="1"/>
      </w:tblPr>
      <w:tblGrid>
        <w:gridCol w:w="2880"/>
        <w:gridCol w:w="1430"/>
        <w:gridCol w:w="1341"/>
        <w:gridCol w:w="1086"/>
        <w:gridCol w:w="1256"/>
        <w:gridCol w:w="942"/>
      </w:tblGrid>
      <w:tr w:rsidR="00E732FA" w:rsidRPr="003C7CB1" w14:paraId="7026158C" w14:textId="77777777" w:rsidTr="00E732FA">
        <w:trPr>
          <w:trHeight w:val="866"/>
          <w:jc w:val="right"/>
        </w:trPr>
        <w:tc>
          <w:tcPr>
            <w:tcW w:w="2880" w:type="dxa"/>
            <w:tcBorders>
              <w:top w:val="single" w:sz="4" w:space="0" w:color="auto"/>
              <w:left w:val="single" w:sz="4" w:space="0" w:color="auto"/>
              <w:bottom w:val="single" w:sz="4" w:space="0" w:color="auto"/>
              <w:right w:val="nil"/>
            </w:tcBorders>
            <w:shd w:val="clear" w:color="auto" w:fill="B4C6E7" w:themeFill="accent1" w:themeFillTint="66"/>
            <w:vAlign w:val="center"/>
            <w:hideMark/>
          </w:tcPr>
          <w:p w14:paraId="1D1677CA" w14:textId="77777777" w:rsidR="00E732FA" w:rsidRPr="003C7CB1" w:rsidRDefault="00E732FA" w:rsidP="00E732FA">
            <w:pPr>
              <w:spacing w:after="0" w:line="240" w:lineRule="auto"/>
              <w:jc w:val="center"/>
              <w:rPr>
                <w:rFonts w:eastAsia="Times New Roman" w:cstheme="minorHAnsi"/>
                <w:b/>
                <w:bCs/>
                <w:sz w:val="20"/>
                <w:szCs w:val="20"/>
              </w:rPr>
            </w:pPr>
            <w:r w:rsidRPr="003C7CB1">
              <w:rPr>
                <w:rFonts w:eastAsia="Times New Roman" w:cstheme="minorHAnsi"/>
                <w:b/>
                <w:bCs/>
                <w:sz w:val="20"/>
                <w:szCs w:val="20"/>
              </w:rPr>
              <w:t xml:space="preserve">Country of affiliation </w:t>
            </w:r>
          </w:p>
        </w:tc>
        <w:tc>
          <w:tcPr>
            <w:tcW w:w="143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01FE3450" w14:textId="77777777" w:rsidR="00E732FA" w:rsidRPr="003C7CB1" w:rsidRDefault="00E732FA" w:rsidP="00E732FA">
            <w:pPr>
              <w:spacing w:after="0" w:line="240" w:lineRule="auto"/>
              <w:jc w:val="center"/>
              <w:rPr>
                <w:rFonts w:eastAsia="Times New Roman" w:cstheme="minorHAnsi"/>
                <w:b/>
                <w:bCs/>
                <w:color w:val="000000"/>
                <w:sz w:val="20"/>
                <w:szCs w:val="20"/>
              </w:rPr>
            </w:pPr>
            <w:r w:rsidRPr="003C7CB1">
              <w:rPr>
                <w:rFonts w:eastAsia="Times New Roman" w:cstheme="minorHAnsi"/>
                <w:b/>
                <w:bCs/>
                <w:color w:val="000000"/>
                <w:sz w:val="20"/>
                <w:szCs w:val="20"/>
              </w:rPr>
              <w:t xml:space="preserve">Arrivals </w:t>
            </w:r>
          </w:p>
        </w:tc>
        <w:tc>
          <w:tcPr>
            <w:tcW w:w="1341"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0298FD2" w14:textId="77777777" w:rsidR="00E732FA" w:rsidRPr="003C7CB1" w:rsidRDefault="00E732FA" w:rsidP="00E732FA">
            <w:pPr>
              <w:spacing w:after="0" w:line="240" w:lineRule="auto"/>
              <w:jc w:val="center"/>
              <w:rPr>
                <w:rFonts w:eastAsia="Times New Roman" w:cstheme="minorHAnsi"/>
                <w:b/>
                <w:bCs/>
                <w:color w:val="000000"/>
                <w:sz w:val="20"/>
                <w:szCs w:val="20"/>
              </w:rPr>
            </w:pPr>
            <w:r w:rsidRPr="003C7CB1">
              <w:rPr>
                <w:rFonts w:eastAsia="Times New Roman" w:cstheme="minorHAnsi"/>
                <w:b/>
                <w:bCs/>
                <w:color w:val="000000"/>
                <w:sz w:val="20"/>
                <w:szCs w:val="20"/>
              </w:rPr>
              <w:t xml:space="preserve">Structure in % </w:t>
            </w:r>
          </w:p>
        </w:tc>
        <w:tc>
          <w:tcPr>
            <w:tcW w:w="108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57F2BF5" w14:textId="77777777" w:rsidR="00E732FA" w:rsidRPr="003C7CB1" w:rsidRDefault="00E732FA" w:rsidP="00E732FA">
            <w:pPr>
              <w:spacing w:after="0" w:line="240" w:lineRule="auto"/>
              <w:jc w:val="center"/>
              <w:rPr>
                <w:rFonts w:eastAsia="Times New Roman" w:cstheme="minorHAnsi"/>
                <w:b/>
                <w:bCs/>
                <w:color w:val="000000"/>
                <w:sz w:val="20"/>
                <w:szCs w:val="20"/>
              </w:rPr>
            </w:pPr>
            <w:r w:rsidRPr="003C7CB1">
              <w:rPr>
                <w:rFonts w:eastAsia="Times New Roman" w:cstheme="minorHAnsi"/>
                <w:b/>
                <w:bCs/>
                <w:color w:val="000000"/>
                <w:sz w:val="20"/>
                <w:szCs w:val="20"/>
              </w:rPr>
              <w:t xml:space="preserve">Overnight stays </w:t>
            </w:r>
          </w:p>
        </w:tc>
        <w:tc>
          <w:tcPr>
            <w:tcW w:w="125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1AC6171F" w14:textId="77777777" w:rsidR="00E732FA" w:rsidRPr="003C7CB1" w:rsidRDefault="00E732FA" w:rsidP="00E732FA">
            <w:pPr>
              <w:spacing w:after="0" w:line="240" w:lineRule="auto"/>
              <w:jc w:val="center"/>
              <w:rPr>
                <w:rFonts w:eastAsia="Times New Roman" w:cstheme="minorHAnsi"/>
                <w:b/>
                <w:bCs/>
                <w:color w:val="000000"/>
                <w:sz w:val="20"/>
                <w:szCs w:val="20"/>
              </w:rPr>
            </w:pPr>
            <w:r w:rsidRPr="003C7CB1">
              <w:rPr>
                <w:rFonts w:eastAsia="Times New Roman" w:cstheme="minorHAnsi"/>
                <w:b/>
                <w:bCs/>
                <w:color w:val="000000"/>
                <w:sz w:val="20"/>
                <w:szCs w:val="20"/>
              </w:rPr>
              <w:t xml:space="preserve">Structure in % </w:t>
            </w:r>
          </w:p>
        </w:tc>
        <w:tc>
          <w:tcPr>
            <w:tcW w:w="942" w:type="dxa"/>
            <w:tcBorders>
              <w:top w:val="single" w:sz="4" w:space="0" w:color="auto"/>
              <w:left w:val="nil"/>
              <w:bottom w:val="single" w:sz="4" w:space="0" w:color="auto"/>
              <w:right w:val="single" w:sz="4" w:space="0" w:color="auto"/>
            </w:tcBorders>
            <w:shd w:val="clear" w:color="auto" w:fill="B4C6E7" w:themeFill="accent1" w:themeFillTint="66"/>
            <w:hideMark/>
          </w:tcPr>
          <w:p w14:paraId="3C71ADD2" w14:textId="77777777" w:rsidR="00E732FA" w:rsidRPr="003C7CB1" w:rsidRDefault="00E732FA" w:rsidP="00E732FA">
            <w:pPr>
              <w:spacing w:after="0" w:line="240" w:lineRule="auto"/>
              <w:jc w:val="center"/>
              <w:rPr>
                <w:rFonts w:eastAsia="Times New Roman" w:cstheme="minorHAnsi"/>
                <w:b/>
                <w:bCs/>
                <w:color w:val="000000"/>
                <w:sz w:val="20"/>
                <w:szCs w:val="20"/>
              </w:rPr>
            </w:pPr>
            <w:r w:rsidRPr="003C7CB1">
              <w:rPr>
                <w:rFonts w:eastAsia="Times New Roman" w:cstheme="minorHAnsi"/>
                <w:b/>
                <w:bCs/>
                <w:color w:val="000000"/>
                <w:sz w:val="20"/>
                <w:szCs w:val="20"/>
              </w:rPr>
              <w:t>Length of stay in days</w:t>
            </w:r>
          </w:p>
        </w:tc>
      </w:tr>
      <w:tr w:rsidR="00E732FA" w:rsidRPr="003C7CB1" w14:paraId="2551A6CB" w14:textId="77777777" w:rsidTr="00E732FA">
        <w:trPr>
          <w:trHeight w:val="288"/>
          <w:jc w:val="right"/>
        </w:trPr>
        <w:tc>
          <w:tcPr>
            <w:tcW w:w="2880" w:type="dxa"/>
            <w:tcBorders>
              <w:top w:val="nil"/>
              <w:left w:val="single" w:sz="4" w:space="0" w:color="auto"/>
              <w:bottom w:val="single" w:sz="4" w:space="0" w:color="auto"/>
              <w:right w:val="nil"/>
            </w:tcBorders>
            <w:shd w:val="clear" w:color="auto" w:fill="D9E2F3" w:themeFill="accent1" w:themeFillTint="33"/>
            <w:noWrap/>
            <w:vAlign w:val="bottom"/>
            <w:hideMark/>
          </w:tcPr>
          <w:p w14:paraId="001587E9"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Serbia </w:t>
            </w:r>
          </w:p>
        </w:tc>
        <w:tc>
          <w:tcPr>
            <w:tcW w:w="143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550BA66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429,106 </w:t>
            </w:r>
          </w:p>
        </w:tc>
        <w:tc>
          <w:tcPr>
            <w:tcW w:w="1341" w:type="dxa"/>
            <w:tcBorders>
              <w:top w:val="nil"/>
              <w:left w:val="nil"/>
              <w:bottom w:val="single" w:sz="4" w:space="0" w:color="auto"/>
              <w:right w:val="single" w:sz="4" w:space="0" w:color="auto"/>
            </w:tcBorders>
            <w:shd w:val="clear" w:color="auto" w:fill="D9E2F3" w:themeFill="accent1" w:themeFillTint="33"/>
            <w:noWrap/>
            <w:vAlign w:val="center"/>
            <w:hideMark/>
          </w:tcPr>
          <w:p w14:paraId="3AFC6097"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27.6 </w:t>
            </w:r>
          </w:p>
        </w:tc>
        <w:tc>
          <w:tcPr>
            <w:tcW w:w="1086" w:type="dxa"/>
            <w:tcBorders>
              <w:top w:val="nil"/>
              <w:left w:val="nil"/>
              <w:bottom w:val="single" w:sz="4" w:space="0" w:color="auto"/>
              <w:right w:val="single" w:sz="4" w:space="0" w:color="auto"/>
            </w:tcBorders>
            <w:shd w:val="clear" w:color="auto" w:fill="D9E2F3" w:themeFill="accent1" w:themeFillTint="33"/>
            <w:noWrap/>
            <w:vAlign w:val="center"/>
            <w:hideMark/>
          </w:tcPr>
          <w:p w14:paraId="7F1262C9"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3,072,845 </w:t>
            </w:r>
          </w:p>
        </w:tc>
        <w:tc>
          <w:tcPr>
            <w:tcW w:w="1256" w:type="dxa"/>
            <w:tcBorders>
              <w:top w:val="nil"/>
              <w:left w:val="nil"/>
              <w:bottom w:val="single" w:sz="4" w:space="0" w:color="auto"/>
              <w:right w:val="single" w:sz="4" w:space="0" w:color="auto"/>
            </w:tcBorders>
            <w:shd w:val="clear" w:color="auto" w:fill="D9E2F3" w:themeFill="accent1" w:themeFillTint="33"/>
            <w:noWrap/>
            <w:vAlign w:val="center"/>
            <w:hideMark/>
          </w:tcPr>
          <w:p w14:paraId="7F64A25D"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32.6 </w:t>
            </w:r>
          </w:p>
        </w:tc>
        <w:tc>
          <w:tcPr>
            <w:tcW w:w="942" w:type="dxa"/>
            <w:tcBorders>
              <w:top w:val="nil"/>
              <w:left w:val="nil"/>
              <w:bottom w:val="single" w:sz="4" w:space="0" w:color="auto"/>
              <w:right w:val="single" w:sz="4" w:space="0" w:color="auto"/>
            </w:tcBorders>
            <w:shd w:val="clear" w:color="auto" w:fill="D9E2F3" w:themeFill="accent1" w:themeFillTint="33"/>
            <w:noWrap/>
            <w:vAlign w:val="bottom"/>
            <w:hideMark/>
          </w:tcPr>
          <w:p w14:paraId="52B5D8F9"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7.16 </w:t>
            </w:r>
          </w:p>
        </w:tc>
      </w:tr>
      <w:tr w:rsidR="00E732FA" w:rsidRPr="003C7CB1" w14:paraId="72AAE310"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8788785"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Bosnia and Herzegovina </w:t>
            </w:r>
          </w:p>
        </w:tc>
        <w:tc>
          <w:tcPr>
            <w:tcW w:w="1430" w:type="dxa"/>
            <w:tcBorders>
              <w:top w:val="nil"/>
              <w:left w:val="nil"/>
              <w:bottom w:val="single" w:sz="4" w:space="0" w:color="auto"/>
              <w:right w:val="single" w:sz="4" w:space="0" w:color="auto"/>
            </w:tcBorders>
            <w:shd w:val="clear" w:color="auto" w:fill="auto"/>
            <w:noWrap/>
            <w:vAlign w:val="center"/>
            <w:hideMark/>
          </w:tcPr>
          <w:p w14:paraId="52F3E7F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214,570 </w:t>
            </w:r>
          </w:p>
        </w:tc>
        <w:tc>
          <w:tcPr>
            <w:tcW w:w="1341" w:type="dxa"/>
            <w:tcBorders>
              <w:top w:val="nil"/>
              <w:left w:val="nil"/>
              <w:bottom w:val="single" w:sz="4" w:space="0" w:color="auto"/>
              <w:right w:val="single" w:sz="4" w:space="0" w:color="auto"/>
            </w:tcBorders>
            <w:shd w:val="clear" w:color="auto" w:fill="auto"/>
            <w:noWrap/>
            <w:vAlign w:val="center"/>
            <w:hideMark/>
          </w:tcPr>
          <w:p w14:paraId="7217933F"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13.8 </w:t>
            </w:r>
          </w:p>
        </w:tc>
        <w:tc>
          <w:tcPr>
            <w:tcW w:w="1086" w:type="dxa"/>
            <w:tcBorders>
              <w:top w:val="nil"/>
              <w:left w:val="nil"/>
              <w:bottom w:val="single" w:sz="4" w:space="0" w:color="auto"/>
              <w:right w:val="single" w:sz="4" w:space="0" w:color="auto"/>
            </w:tcBorders>
            <w:shd w:val="clear" w:color="auto" w:fill="auto"/>
            <w:noWrap/>
            <w:vAlign w:val="center"/>
            <w:hideMark/>
          </w:tcPr>
          <w:p w14:paraId="0D78DCE3"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1,217,931 </w:t>
            </w:r>
          </w:p>
        </w:tc>
        <w:tc>
          <w:tcPr>
            <w:tcW w:w="1256" w:type="dxa"/>
            <w:tcBorders>
              <w:top w:val="nil"/>
              <w:left w:val="nil"/>
              <w:bottom w:val="single" w:sz="4" w:space="0" w:color="auto"/>
              <w:right w:val="single" w:sz="4" w:space="0" w:color="auto"/>
            </w:tcBorders>
            <w:shd w:val="clear" w:color="auto" w:fill="auto"/>
            <w:noWrap/>
            <w:vAlign w:val="center"/>
            <w:hideMark/>
          </w:tcPr>
          <w:p w14:paraId="70BEB3D3"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12.9 </w:t>
            </w:r>
          </w:p>
        </w:tc>
        <w:tc>
          <w:tcPr>
            <w:tcW w:w="942" w:type="dxa"/>
            <w:tcBorders>
              <w:top w:val="nil"/>
              <w:left w:val="nil"/>
              <w:bottom w:val="single" w:sz="4" w:space="0" w:color="auto"/>
              <w:right w:val="single" w:sz="4" w:space="0" w:color="auto"/>
            </w:tcBorders>
            <w:shd w:val="clear" w:color="auto" w:fill="auto"/>
            <w:noWrap/>
            <w:vAlign w:val="bottom"/>
            <w:hideMark/>
          </w:tcPr>
          <w:p w14:paraId="5F058ACE"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5.68 </w:t>
            </w:r>
          </w:p>
        </w:tc>
      </w:tr>
      <w:tr w:rsidR="00E732FA" w:rsidRPr="003C7CB1" w14:paraId="6E97ADCC"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20D5E20A"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Ukraine </w:t>
            </w:r>
          </w:p>
        </w:tc>
        <w:tc>
          <w:tcPr>
            <w:tcW w:w="1430" w:type="dxa"/>
            <w:tcBorders>
              <w:top w:val="nil"/>
              <w:left w:val="nil"/>
              <w:bottom w:val="single" w:sz="4" w:space="0" w:color="auto"/>
              <w:right w:val="single" w:sz="4" w:space="0" w:color="auto"/>
            </w:tcBorders>
            <w:shd w:val="clear" w:color="auto" w:fill="D9E2F3" w:themeFill="accent1" w:themeFillTint="33"/>
            <w:noWrap/>
            <w:vAlign w:val="center"/>
            <w:hideMark/>
          </w:tcPr>
          <w:p w14:paraId="484D4B9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135,997 </w:t>
            </w:r>
          </w:p>
        </w:tc>
        <w:tc>
          <w:tcPr>
            <w:tcW w:w="1341" w:type="dxa"/>
            <w:tcBorders>
              <w:top w:val="nil"/>
              <w:left w:val="nil"/>
              <w:bottom w:val="single" w:sz="4" w:space="0" w:color="auto"/>
              <w:right w:val="single" w:sz="4" w:space="0" w:color="auto"/>
            </w:tcBorders>
            <w:shd w:val="clear" w:color="auto" w:fill="D9E2F3" w:themeFill="accent1" w:themeFillTint="33"/>
            <w:noWrap/>
            <w:vAlign w:val="center"/>
            <w:hideMark/>
          </w:tcPr>
          <w:p w14:paraId="585A7F6E"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8.8 </w:t>
            </w:r>
          </w:p>
        </w:tc>
        <w:tc>
          <w:tcPr>
            <w:tcW w:w="1086" w:type="dxa"/>
            <w:tcBorders>
              <w:top w:val="nil"/>
              <w:left w:val="nil"/>
              <w:bottom w:val="single" w:sz="4" w:space="0" w:color="auto"/>
              <w:right w:val="single" w:sz="4" w:space="0" w:color="auto"/>
            </w:tcBorders>
            <w:shd w:val="clear" w:color="auto" w:fill="D9E2F3" w:themeFill="accent1" w:themeFillTint="33"/>
            <w:noWrap/>
            <w:vAlign w:val="center"/>
            <w:hideMark/>
          </w:tcPr>
          <w:p w14:paraId="22D77E0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871,314 </w:t>
            </w:r>
          </w:p>
        </w:tc>
        <w:tc>
          <w:tcPr>
            <w:tcW w:w="1256" w:type="dxa"/>
            <w:tcBorders>
              <w:top w:val="nil"/>
              <w:left w:val="nil"/>
              <w:bottom w:val="single" w:sz="4" w:space="0" w:color="auto"/>
              <w:right w:val="single" w:sz="4" w:space="0" w:color="auto"/>
            </w:tcBorders>
            <w:shd w:val="clear" w:color="auto" w:fill="D9E2F3" w:themeFill="accent1" w:themeFillTint="33"/>
            <w:noWrap/>
            <w:vAlign w:val="center"/>
            <w:hideMark/>
          </w:tcPr>
          <w:p w14:paraId="400B5918"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9.2 </w:t>
            </w:r>
          </w:p>
        </w:tc>
        <w:tc>
          <w:tcPr>
            <w:tcW w:w="942" w:type="dxa"/>
            <w:tcBorders>
              <w:top w:val="nil"/>
              <w:left w:val="nil"/>
              <w:bottom w:val="single" w:sz="4" w:space="0" w:color="auto"/>
              <w:right w:val="single" w:sz="4" w:space="0" w:color="auto"/>
            </w:tcBorders>
            <w:shd w:val="clear" w:color="auto" w:fill="D9E2F3" w:themeFill="accent1" w:themeFillTint="33"/>
            <w:noWrap/>
            <w:vAlign w:val="bottom"/>
            <w:hideMark/>
          </w:tcPr>
          <w:p w14:paraId="0E65B32E"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6.41 </w:t>
            </w:r>
          </w:p>
        </w:tc>
      </w:tr>
      <w:tr w:rsidR="00E732FA" w:rsidRPr="003C7CB1" w14:paraId="621D7125"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BF34CE4"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Russia </w:t>
            </w:r>
          </w:p>
        </w:tc>
        <w:tc>
          <w:tcPr>
            <w:tcW w:w="1430" w:type="dxa"/>
            <w:tcBorders>
              <w:top w:val="nil"/>
              <w:left w:val="nil"/>
              <w:bottom w:val="single" w:sz="4" w:space="0" w:color="auto"/>
              <w:right w:val="single" w:sz="4" w:space="0" w:color="auto"/>
            </w:tcBorders>
            <w:shd w:val="clear" w:color="auto" w:fill="auto"/>
            <w:noWrap/>
            <w:vAlign w:val="center"/>
            <w:hideMark/>
          </w:tcPr>
          <w:p w14:paraId="4FD9A251"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108,025 </w:t>
            </w:r>
          </w:p>
        </w:tc>
        <w:tc>
          <w:tcPr>
            <w:tcW w:w="1341" w:type="dxa"/>
            <w:tcBorders>
              <w:top w:val="nil"/>
              <w:left w:val="nil"/>
              <w:bottom w:val="single" w:sz="4" w:space="0" w:color="auto"/>
              <w:right w:val="single" w:sz="4" w:space="0" w:color="auto"/>
            </w:tcBorders>
            <w:shd w:val="clear" w:color="auto" w:fill="auto"/>
            <w:noWrap/>
            <w:vAlign w:val="center"/>
            <w:hideMark/>
          </w:tcPr>
          <w:p w14:paraId="6B34CEF2"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7.0 </w:t>
            </w:r>
          </w:p>
        </w:tc>
        <w:tc>
          <w:tcPr>
            <w:tcW w:w="1086" w:type="dxa"/>
            <w:tcBorders>
              <w:top w:val="nil"/>
              <w:left w:val="nil"/>
              <w:bottom w:val="single" w:sz="4" w:space="0" w:color="auto"/>
              <w:right w:val="single" w:sz="4" w:space="0" w:color="auto"/>
            </w:tcBorders>
            <w:shd w:val="clear" w:color="auto" w:fill="auto"/>
            <w:noWrap/>
            <w:vAlign w:val="center"/>
            <w:hideMark/>
          </w:tcPr>
          <w:p w14:paraId="63F40BBA"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1,140,173 </w:t>
            </w:r>
          </w:p>
        </w:tc>
        <w:tc>
          <w:tcPr>
            <w:tcW w:w="1256" w:type="dxa"/>
            <w:tcBorders>
              <w:top w:val="nil"/>
              <w:left w:val="nil"/>
              <w:bottom w:val="single" w:sz="4" w:space="0" w:color="auto"/>
              <w:right w:val="single" w:sz="4" w:space="0" w:color="auto"/>
            </w:tcBorders>
            <w:shd w:val="clear" w:color="auto" w:fill="auto"/>
            <w:noWrap/>
            <w:vAlign w:val="center"/>
            <w:hideMark/>
          </w:tcPr>
          <w:p w14:paraId="2472DB7A"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12.1 </w:t>
            </w:r>
          </w:p>
        </w:tc>
        <w:tc>
          <w:tcPr>
            <w:tcW w:w="942" w:type="dxa"/>
            <w:tcBorders>
              <w:top w:val="nil"/>
              <w:left w:val="nil"/>
              <w:bottom w:val="single" w:sz="4" w:space="0" w:color="auto"/>
              <w:right w:val="single" w:sz="4" w:space="0" w:color="auto"/>
            </w:tcBorders>
            <w:shd w:val="clear" w:color="auto" w:fill="auto"/>
            <w:noWrap/>
            <w:vAlign w:val="bottom"/>
            <w:hideMark/>
          </w:tcPr>
          <w:p w14:paraId="655AA94A"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10.55 </w:t>
            </w:r>
          </w:p>
        </w:tc>
      </w:tr>
      <w:tr w:rsidR="00E732FA" w:rsidRPr="003C7CB1" w14:paraId="41B58683"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1E8A7C8C"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Kosovo</w:t>
            </w:r>
          </w:p>
        </w:tc>
        <w:tc>
          <w:tcPr>
            <w:tcW w:w="1430" w:type="dxa"/>
            <w:tcBorders>
              <w:top w:val="nil"/>
              <w:left w:val="nil"/>
              <w:bottom w:val="single" w:sz="4" w:space="0" w:color="auto"/>
              <w:right w:val="single" w:sz="4" w:space="0" w:color="auto"/>
            </w:tcBorders>
            <w:shd w:val="clear" w:color="auto" w:fill="D9E2F3" w:themeFill="accent1" w:themeFillTint="33"/>
            <w:noWrap/>
            <w:vAlign w:val="center"/>
            <w:hideMark/>
          </w:tcPr>
          <w:p w14:paraId="41D8D41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107,111 </w:t>
            </w:r>
          </w:p>
        </w:tc>
        <w:tc>
          <w:tcPr>
            <w:tcW w:w="1341" w:type="dxa"/>
            <w:tcBorders>
              <w:top w:val="nil"/>
              <w:left w:val="nil"/>
              <w:bottom w:val="single" w:sz="4" w:space="0" w:color="auto"/>
              <w:right w:val="single" w:sz="4" w:space="0" w:color="auto"/>
            </w:tcBorders>
            <w:shd w:val="clear" w:color="auto" w:fill="D9E2F3" w:themeFill="accent1" w:themeFillTint="33"/>
            <w:noWrap/>
            <w:vAlign w:val="center"/>
            <w:hideMark/>
          </w:tcPr>
          <w:p w14:paraId="364E1A6D"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6.9 </w:t>
            </w:r>
          </w:p>
        </w:tc>
        <w:tc>
          <w:tcPr>
            <w:tcW w:w="1086" w:type="dxa"/>
            <w:tcBorders>
              <w:top w:val="nil"/>
              <w:left w:val="nil"/>
              <w:bottom w:val="single" w:sz="4" w:space="0" w:color="auto"/>
              <w:right w:val="single" w:sz="4" w:space="0" w:color="auto"/>
            </w:tcBorders>
            <w:shd w:val="clear" w:color="auto" w:fill="D9E2F3" w:themeFill="accent1" w:themeFillTint="33"/>
            <w:noWrap/>
            <w:vAlign w:val="center"/>
            <w:hideMark/>
          </w:tcPr>
          <w:p w14:paraId="6D58A2C8"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450,265 </w:t>
            </w:r>
          </w:p>
        </w:tc>
        <w:tc>
          <w:tcPr>
            <w:tcW w:w="1256" w:type="dxa"/>
            <w:tcBorders>
              <w:top w:val="nil"/>
              <w:left w:val="nil"/>
              <w:bottom w:val="single" w:sz="4" w:space="0" w:color="auto"/>
              <w:right w:val="single" w:sz="4" w:space="0" w:color="auto"/>
            </w:tcBorders>
            <w:shd w:val="clear" w:color="auto" w:fill="D9E2F3" w:themeFill="accent1" w:themeFillTint="33"/>
            <w:noWrap/>
            <w:vAlign w:val="center"/>
            <w:hideMark/>
          </w:tcPr>
          <w:p w14:paraId="7C69D507"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4.8 </w:t>
            </w:r>
          </w:p>
        </w:tc>
        <w:tc>
          <w:tcPr>
            <w:tcW w:w="942" w:type="dxa"/>
            <w:tcBorders>
              <w:top w:val="nil"/>
              <w:left w:val="nil"/>
              <w:bottom w:val="single" w:sz="4" w:space="0" w:color="auto"/>
              <w:right w:val="single" w:sz="4" w:space="0" w:color="auto"/>
            </w:tcBorders>
            <w:shd w:val="clear" w:color="auto" w:fill="D9E2F3" w:themeFill="accent1" w:themeFillTint="33"/>
            <w:noWrap/>
            <w:vAlign w:val="bottom"/>
            <w:hideMark/>
          </w:tcPr>
          <w:p w14:paraId="031E6FD9"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4.20 </w:t>
            </w:r>
          </w:p>
        </w:tc>
      </w:tr>
      <w:tr w:rsidR="00E732FA" w:rsidRPr="003C7CB1" w14:paraId="2108FD16"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BF62FA6"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Germany </w:t>
            </w:r>
          </w:p>
        </w:tc>
        <w:tc>
          <w:tcPr>
            <w:tcW w:w="1430" w:type="dxa"/>
            <w:tcBorders>
              <w:top w:val="nil"/>
              <w:left w:val="nil"/>
              <w:bottom w:val="single" w:sz="4" w:space="0" w:color="auto"/>
              <w:right w:val="single" w:sz="4" w:space="0" w:color="auto"/>
            </w:tcBorders>
            <w:shd w:val="clear" w:color="auto" w:fill="auto"/>
            <w:noWrap/>
            <w:vAlign w:val="center"/>
            <w:hideMark/>
          </w:tcPr>
          <w:p w14:paraId="5E8EDEE6"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70,653 </w:t>
            </w:r>
          </w:p>
        </w:tc>
        <w:tc>
          <w:tcPr>
            <w:tcW w:w="1341" w:type="dxa"/>
            <w:tcBorders>
              <w:top w:val="nil"/>
              <w:left w:val="nil"/>
              <w:bottom w:val="single" w:sz="4" w:space="0" w:color="auto"/>
              <w:right w:val="single" w:sz="4" w:space="0" w:color="auto"/>
            </w:tcBorders>
            <w:shd w:val="clear" w:color="auto" w:fill="auto"/>
            <w:noWrap/>
            <w:vAlign w:val="center"/>
            <w:hideMark/>
          </w:tcPr>
          <w:p w14:paraId="2A0A1777"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4.5 </w:t>
            </w:r>
          </w:p>
        </w:tc>
        <w:tc>
          <w:tcPr>
            <w:tcW w:w="1086" w:type="dxa"/>
            <w:tcBorders>
              <w:top w:val="nil"/>
              <w:left w:val="nil"/>
              <w:bottom w:val="single" w:sz="4" w:space="0" w:color="auto"/>
              <w:right w:val="single" w:sz="4" w:space="0" w:color="auto"/>
            </w:tcBorders>
            <w:shd w:val="clear" w:color="auto" w:fill="auto"/>
            <w:noWrap/>
            <w:vAlign w:val="center"/>
            <w:hideMark/>
          </w:tcPr>
          <w:p w14:paraId="6032F803"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374,868 </w:t>
            </w:r>
          </w:p>
        </w:tc>
        <w:tc>
          <w:tcPr>
            <w:tcW w:w="1256" w:type="dxa"/>
            <w:tcBorders>
              <w:top w:val="nil"/>
              <w:left w:val="nil"/>
              <w:bottom w:val="single" w:sz="4" w:space="0" w:color="auto"/>
              <w:right w:val="single" w:sz="4" w:space="0" w:color="auto"/>
            </w:tcBorders>
            <w:shd w:val="clear" w:color="auto" w:fill="auto"/>
            <w:noWrap/>
            <w:vAlign w:val="center"/>
            <w:hideMark/>
          </w:tcPr>
          <w:p w14:paraId="1E616561"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4.0 </w:t>
            </w:r>
          </w:p>
        </w:tc>
        <w:tc>
          <w:tcPr>
            <w:tcW w:w="942" w:type="dxa"/>
            <w:tcBorders>
              <w:top w:val="nil"/>
              <w:left w:val="nil"/>
              <w:bottom w:val="single" w:sz="4" w:space="0" w:color="auto"/>
              <w:right w:val="single" w:sz="4" w:space="0" w:color="auto"/>
            </w:tcBorders>
            <w:shd w:val="clear" w:color="auto" w:fill="auto"/>
            <w:noWrap/>
            <w:vAlign w:val="bottom"/>
            <w:hideMark/>
          </w:tcPr>
          <w:p w14:paraId="197B0F5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5.31 </w:t>
            </w:r>
          </w:p>
        </w:tc>
      </w:tr>
      <w:tr w:rsidR="00E732FA" w:rsidRPr="003C7CB1" w14:paraId="3C1B8F1C"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70E20576"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Albania </w:t>
            </w:r>
          </w:p>
        </w:tc>
        <w:tc>
          <w:tcPr>
            <w:tcW w:w="1430" w:type="dxa"/>
            <w:tcBorders>
              <w:top w:val="nil"/>
              <w:left w:val="nil"/>
              <w:bottom w:val="single" w:sz="4" w:space="0" w:color="auto"/>
              <w:right w:val="single" w:sz="4" w:space="0" w:color="auto"/>
            </w:tcBorders>
            <w:shd w:val="clear" w:color="auto" w:fill="D9E2F3" w:themeFill="accent1" w:themeFillTint="33"/>
            <w:noWrap/>
            <w:vAlign w:val="center"/>
            <w:hideMark/>
          </w:tcPr>
          <w:p w14:paraId="29F88338"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56,547 </w:t>
            </w:r>
          </w:p>
        </w:tc>
        <w:tc>
          <w:tcPr>
            <w:tcW w:w="1341" w:type="dxa"/>
            <w:tcBorders>
              <w:top w:val="nil"/>
              <w:left w:val="nil"/>
              <w:bottom w:val="single" w:sz="4" w:space="0" w:color="auto"/>
              <w:right w:val="single" w:sz="4" w:space="0" w:color="auto"/>
            </w:tcBorders>
            <w:shd w:val="clear" w:color="auto" w:fill="D9E2F3" w:themeFill="accent1" w:themeFillTint="33"/>
            <w:noWrap/>
            <w:vAlign w:val="center"/>
            <w:hideMark/>
          </w:tcPr>
          <w:p w14:paraId="3DCEBEDB"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3.6 </w:t>
            </w:r>
          </w:p>
        </w:tc>
        <w:tc>
          <w:tcPr>
            <w:tcW w:w="1086" w:type="dxa"/>
            <w:tcBorders>
              <w:top w:val="nil"/>
              <w:left w:val="nil"/>
              <w:bottom w:val="single" w:sz="4" w:space="0" w:color="auto"/>
              <w:right w:val="single" w:sz="4" w:space="0" w:color="auto"/>
            </w:tcBorders>
            <w:shd w:val="clear" w:color="auto" w:fill="D9E2F3" w:themeFill="accent1" w:themeFillTint="33"/>
            <w:noWrap/>
            <w:vAlign w:val="center"/>
            <w:hideMark/>
          </w:tcPr>
          <w:p w14:paraId="3F7CA449"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177,831 </w:t>
            </w:r>
          </w:p>
        </w:tc>
        <w:tc>
          <w:tcPr>
            <w:tcW w:w="1256" w:type="dxa"/>
            <w:tcBorders>
              <w:top w:val="nil"/>
              <w:left w:val="nil"/>
              <w:bottom w:val="single" w:sz="4" w:space="0" w:color="auto"/>
              <w:right w:val="single" w:sz="4" w:space="0" w:color="auto"/>
            </w:tcBorders>
            <w:shd w:val="clear" w:color="auto" w:fill="D9E2F3" w:themeFill="accent1" w:themeFillTint="33"/>
            <w:noWrap/>
            <w:vAlign w:val="center"/>
            <w:hideMark/>
          </w:tcPr>
          <w:p w14:paraId="2BB75E5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1.9 </w:t>
            </w:r>
          </w:p>
        </w:tc>
        <w:tc>
          <w:tcPr>
            <w:tcW w:w="942" w:type="dxa"/>
            <w:tcBorders>
              <w:top w:val="nil"/>
              <w:left w:val="nil"/>
              <w:bottom w:val="single" w:sz="4" w:space="0" w:color="auto"/>
              <w:right w:val="single" w:sz="4" w:space="0" w:color="auto"/>
            </w:tcBorders>
            <w:shd w:val="clear" w:color="auto" w:fill="D9E2F3" w:themeFill="accent1" w:themeFillTint="33"/>
            <w:noWrap/>
            <w:vAlign w:val="bottom"/>
            <w:hideMark/>
          </w:tcPr>
          <w:p w14:paraId="34ABC118"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3.14 </w:t>
            </w:r>
          </w:p>
        </w:tc>
      </w:tr>
      <w:tr w:rsidR="00E732FA" w:rsidRPr="003C7CB1" w14:paraId="23E8717E"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84DF367"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Poland </w:t>
            </w:r>
          </w:p>
        </w:tc>
        <w:tc>
          <w:tcPr>
            <w:tcW w:w="1430" w:type="dxa"/>
            <w:tcBorders>
              <w:top w:val="nil"/>
              <w:left w:val="nil"/>
              <w:bottom w:val="single" w:sz="4" w:space="0" w:color="auto"/>
              <w:right w:val="single" w:sz="4" w:space="0" w:color="auto"/>
            </w:tcBorders>
            <w:shd w:val="clear" w:color="auto" w:fill="auto"/>
            <w:noWrap/>
            <w:vAlign w:val="center"/>
            <w:hideMark/>
          </w:tcPr>
          <w:p w14:paraId="317F5BCF"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40,776 </w:t>
            </w:r>
          </w:p>
        </w:tc>
        <w:tc>
          <w:tcPr>
            <w:tcW w:w="1341" w:type="dxa"/>
            <w:tcBorders>
              <w:top w:val="nil"/>
              <w:left w:val="nil"/>
              <w:bottom w:val="single" w:sz="4" w:space="0" w:color="auto"/>
              <w:right w:val="single" w:sz="4" w:space="0" w:color="auto"/>
            </w:tcBorders>
            <w:shd w:val="clear" w:color="auto" w:fill="auto"/>
            <w:noWrap/>
            <w:vAlign w:val="center"/>
            <w:hideMark/>
          </w:tcPr>
          <w:p w14:paraId="7DF1E02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2.6 </w:t>
            </w:r>
          </w:p>
        </w:tc>
        <w:tc>
          <w:tcPr>
            <w:tcW w:w="1086" w:type="dxa"/>
            <w:tcBorders>
              <w:top w:val="nil"/>
              <w:left w:val="nil"/>
              <w:bottom w:val="single" w:sz="4" w:space="0" w:color="auto"/>
              <w:right w:val="single" w:sz="4" w:space="0" w:color="auto"/>
            </w:tcBorders>
            <w:shd w:val="clear" w:color="auto" w:fill="auto"/>
            <w:noWrap/>
            <w:vAlign w:val="center"/>
            <w:hideMark/>
          </w:tcPr>
          <w:p w14:paraId="4331FF3B"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217,170 </w:t>
            </w:r>
          </w:p>
        </w:tc>
        <w:tc>
          <w:tcPr>
            <w:tcW w:w="1256" w:type="dxa"/>
            <w:tcBorders>
              <w:top w:val="nil"/>
              <w:left w:val="nil"/>
              <w:bottom w:val="single" w:sz="4" w:space="0" w:color="auto"/>
              <w:right w:val="single" w:sz="4" w:space="0" w:color="auto"/>
            </w:tcBorders>
            <w:shd w:val="clear" w:color="auto" w:fill="auto"/>
            <w:noWrap/>
            <w:vAlign w:val="center"/>
            <w:hideMark/>
          </w:tcPr>
          <w:p w14:paraId="70194F06"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2.3 </w:t>
            </w:r>
          </w:p>
        </w:tc>
        <w:tc>
          <w:tcPr>
            <w:tcW w:w="942" w:type="dxa"/>
            <w:tcBorders>
              <w:top w:val="nil"/>
              <w:left w:val="nil"/>
              <w:bottom w:val="single" w:sz="4" w:space="0" w:color="auto"/>
              <w:right w:val="single" w:sz="4" w:space="0" w:color="auto"/>
            </w:tcBorders>
            <w:shd w:val="clear" w:color="auto" w:fill="auto"/>
            <w:noWrap/>
            <w:vAlign w:val="bottom"/>
            <w:hideMark/>
          </w:tcPr>
          <w:p w14:paraId="15F99C28"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5.33 </w:t>
            </w:r>
          </w:p>
        </w:tc>
      </w:tr>
      <w:tr w:rsidR="00E732FA" w:rsidRPr="003C7CB1" w14:paraId="121608C0"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2756A2C7"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France </w:t>
            </w:r>
          </w:p>
        </w:tc>
        <w:tc>
          <w:tcPr>
            <w:tcW w:w="1430" w:type="dxa"/>
            <w:tcBorders>
              <w:top w:val="nil"/>
              <w:left w:val="nil"/>
              <w:bottom w:val="single" w:sz="4" w:space="0" w:color="auto"/>
              <w:right w:val="single" w:sz="4" w:space="0" w:color="auto"/>
            </w:tcBorders>
            <w:shd w:val="clear" w:color="auto" w:fill="D9E2F3" w:themeFill="accent1" w:themeFillTint="33"/>
            <w:noWrap/>
            <w:vAlign w:val="center"/>
            <w:hideMark/>
          </w:tcPr>
          <w:p w14:paraId="41AF6204"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35,985 </w:t>
            </w:r>
          </w:p>
        </w:tc>
        <w:tc>
          <w:tcPr>
            <w:tcW w:w="1341" w:type="dxa"/>
            <w:tcBorders>
              <w:top w:val="nil"/>
              <w:left w:val="nil"/>
              <w:bottom w:val="single" w:sz="4" w:space="0" w:color="auto"/>
              <w:right w:val="single" w:sz="4" w:space="0" w:color="auto"/>
            </w:tcBorders>
            <w:shd w:val="clear" w:color="auto" w:fill="D9E2F3" w:themeFill="accent1" w:themeFillTint="33"/>
            <w:noWrap/>
            <w:vAlign w:val="center"/>
            <w:hideMark/>
          </w:tcPr>
          <w:p w14:paraId="0050165D"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2.3 </w:t>
            </w:r>
          </w:p>
        </w:tc>
        <w:tc>
          <w:tcPr>
            <w:tcW w:w="1086" w:type="dxa"/>
            <w:tcBorders>
              <w:top w:val="nil"/>
              <w:left w:val="nil"/>
              <w:bottom w:val="single" w:sz="4" w:space="0" w:color="auto"/>
              <w:right w:val="single" w:sz="4" w:space="0" w:color="auto"/>
            </w:tcBorders>
            <w:shd w:val="clear" w:color="auto" w:fill="D9E2F3" w:themeFill="accent1" w:themeFillTint="33"/>
            <w:noWrap/>
            <w:vAlign w:val="center"/>
            <w:hideMark/>
          </w:tcPr>
          <w:p w14:paraId="1B769846"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151,369 </w:t>
            </w:r>
          </w:p>
        </w:tc>
        <w:tc>
          <w:tcPr>
            <w:tcW w:w="1256" w:type="dxa"/>
            <w:tcBorders>
              <w:top w:val="nil"/>
              <w:left w:val="nil"/>
              <w:bottom w:val="single" w:sz="4" w:space="0" w:color="auto"/>
              <w:right w:val="single" w:sz="4" w:space="0" w:color="auto"/>
            </w:tcBorders>
            <w:shd w:val="clear" w:color="auto" w:fill="D9E2F3" w:themeFill="accent1" w:themeFillTint="33"/>
            <w:noWrap/>
            <w:vAlign w:val="center"/>
            <w:hideMark/>
          </w:tcPr>
          <w:p w14:paraId="2FBC6889"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1.6 </w:t>
            </w:r>
          </w:p>
        </w:tc>
        <w:tc>
          <w:tcPr>
            <w:tcW w:w="942" w:type="dxa"/>
            <w:tcBorders>
              <w:top w:val="nil"/>
              <w:left w:val="nil"/>
              <w:bottom w:val="single" w:sz="4" w:space="0" w:color="auto"/>
              <w:right w:val="single" w:sz="4" w:space="0" w:color="auto"/>
            </w:tcBorders>
            <w:shd w:val="clear" w:color="auto" w:fill="D9E2F3" w:themeFill="accent1" w:themeFillTint="33"/>
            <w:noWrap/>
            <w:vAlign w:val="bottom"/>
            <w:hideMark/>
          </w:tcPr>
          <w:p w14:paraId="6A030CFC"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4.21 </w:t>
            </w:r>
          </w:p>
        </w:tc>
      </w:tr>
      <w:tr w:rsidR="00E732FA" w:rsidRPr="003C7CB1" w14:paraId="53025780" w14:textId="77777777" w:rsidTr="00E732FA">
        <w:trPr>
          <w:trHeight w:val="288"/>
          <w:jc w:val="right"/>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25A621F" w14:textId="77777777" w:rsidR="00E732FA" w:rsidRPr="003C7CB1" w:rsidRDefault="00E732FA" w:rsidP="00E732FA">
            <w:pPr>
              <w:spacing w:after="0" w:line="240" w:lineRule="auto"/>
              <w:rPr>
                <w:rFonts w:eastAsia="Times New Roman" w:cstheme="minorHAnsi"/>
                <w:sz w:val="20"/>
                <w:szCs w:val="20"/>
              </w:rPr>
            </w:pPr>
            <w:r w:rsidRPr="003C7CB1">
              <w:rPr>
                <w:rFonts w:eastAsia="Times New Roman" w:cstheme="minorHAnsi"/>
                <w:sz w:val="20"/>
                <w:szCs w:val="20"/>
              </w:rPr>
              <w:t xml:space="preserve">Republic of North Macedonia </w:t>
            </w:r>
          </w:p>
        </w:tc>
        <w:tc>
          <w:tcPr>
            <w:tcW w:w="1430" w:type="dxa"/>
            <w:tcBorders>
              <w:top w:val="nil"/>
              <w:left w:val="nil"/>
              <w:bottom w:val="single" w:sz="4" w:space="0" w:color="auto"/>
              <w:right w:val="single" w:sz="4" w:space="0" w:color="auto"/>
            </w:tcBorders>
            <w:shd w:val="clear" w:color="auto" w:fill="auto"/>
            <w:noWrap/>
            <w:vAlign w:val="center"/>
            <w:hideMark/>
          </w:tcPr>
          <w:p w14:paraId="10733E32"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27,965 </w:t>
            </w:r>
          </w:p>
        </w:tc>
        <w:tc>
          <w:tcPr>
            <w:tcW w:w="1341" w:type="dxa"/>
            <w:tcBorders>
              <w:top w:val="nil"/>
              <w:left w:val="nil"/>
              <w:bottom w:val="single" w:sz="4" w:space="0" w:color="auto"/>
              <w:right w:val="single" w:sz="4" w:space="0" w:color="auto"/>
            </w:tcBorders>
            <w:shd w:val="clear" w:color="auto" w:fill="auto"/>
            <w:noWrap/>
            <w:vAlign w:val="center"/>
            <w:hideMark/>
          </w:tcPr>
          <w:p w14:paraId="3025AC41"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1.8 </w:t>
            </w:r>
          </w:p>
        </w:tc>
        <w:tc>
          <w:tcPr>
            <w:tcW w:w="1086" w:type="dxa"/>
            <w:tcBorders>
              <w:top w:val="nil"/>
              <w:left w:val="nil"/>
              <w:bottom w:val="single" w:sz="4" w:space="0" w:color="auto"/>
              <w:right w:val="single" w:sz="4" w:space="0" w:color="auto"/>
            </w:tcBorders>
            <w:shd w:val="clear" w:color="auto" w:fill="auto"/>
            <w:noWrap/>
            <w:vAlign w:val="center"/>
            <w:hideMark/>
          </w:tcPr>
          <w:p w14:paraId="304DF3E9"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157,177 </w:t>
            </w:r>
          </w:p>
        </w:tc>
        <w:tc>
          <w:tcPr>
            <w:tcW w:w="1256" w:type="dxa"/>
            <w:tcBorders>
              <w:top w:val="nil"/>
              <w:left w:val="nil"/>
              <w:bottom w:val="single" w:sz="4" w:space="0" w:color="auto"/>
              <w:right w:val="single" w:sz="4" w:space="0" w:color="auto"/>
            </w:tcBorders>
            <w:shd w:val="clear" w:color="auto" w:fill="auto"/>
            <w:noWrap/>
            <w:vAlign w:val="center"/>
            <w:hideMark/>
          </w:tcPr>
          <w:p w14:paraId="3992F142"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1.7 </w:t>
            </w:r>
          </w:p>
        </w:tc>
        <w:tc>
          <w:tcPr>
            <w:tcW w:w="942" w:type="dxa"/>
            <w:tcBorders>
              <w:top w:val="nil"/>
              <w:left w:val="nil"/>
              <w:bottom w:val="single" w:sz="4" w:space="0" w:color="auto"/>
              <w:right w:val="single" w:sz="4" w:space="0" w:color="auto"/>
            </w:tcBorders>
            <w:shd w:val="clear" w:color="auto" w:fill="auto"/>
            <w:noWrap/>
            <w:vAlign w:val="bottom"/>
            <w:hideMark/>
          </w:tcPr>
          <w:p w14:paraId="553E52FB" w14:textId="77777777" w:rsidR="00E732FA" w:rsidRPr="003C7CB1" w:rsidRDefault="00E732FA" w:rsidP="00E732FA">
            <w:pPr>
              <w:spacing w:after="0" w:line="240" w:lineRule="auto"/>
              <w:jc w:val="right"/>
              <w:rPr>
                <w:rFonts w:eastAsia="Times New Roman" w:cstheme="minorHAnsi"/>
                <w:color w:val="000000"/>
                <w:sz w:val="20"/>
                <w:szCs w:val="20"/>
              </w:rPr>
            </w:pPr>
            <w:r w:rsidRPr="003C7CB1">
              <w:rPr>
                <w:rFonts w:eastAsia="Times New Roman" w:cstheme="minorHAnsi"/>
                <w:color w:val="000000"/>
                <w:sz w:val="20"/>
                <w:szCs w:val="20"/>
              </w:rPr>
              <w:t xml:space="preserve">5.62 </w:t>
            </w:r>
          </w:p>
        </w:tc>
      </w:tr>
    </w:tbl>
    <w:p w14:paraId="1BE3AE0E" w14:textId="77777777" w:rsidR="00E732FA" w:rsidRPr="003C7CB1" w:rsidRDefault="00E732FA" w:rsidP="00E732FA">
      <w:pPr>
        <w:spacing w:after="0"/>
        <w:jc w:val="both"/>
        <w:rPr>
          <w:rFonts w:cstheme="minorHAnsi"/>
          <w:bCs/>
          <w:sz w:val="24"/>
          <w:szCs w:val="24"/>
          <w:lang w:eastAsia="hr-HR"/>
        </w:rPr>
        <w:sectPr w:rsidR="00E732FA" w:rsidRPr="003C7CB1" w:rsidSect="009A62D7">
          <w:footerReference w:type="default" r:id="rId59"/>
          <w:type w:val="continuous"/>
          <w:pgSz w:w="11907" w:h="16840" w:code="9"/>
          <w:pgMar w:top="1440" w:right="1440" w:bottom="1440" w:left="1440" w:header="720" w:footer="720" w:gutter="0"/>
          <w:cols w:space="720"/>
          <w:docGrid w:linePitch="360"/>
        </w:sectPr>
      </w:pPr>
    </w:p>
    <w:p w14:paraId="08991FCA" w14:textId="19A8AF71" w:rsidR="00E732FA" w:rsidRPr="003C7CB1" w:rsidRDefault="00E732FA" w:rsidP="00E732FA">
      <w:pPr>
        <w:spacing w:after="120" w:line="240" w:lineRule="auto"/>
        <w:jc w:val="both"/>
        <w:rPr>
          <w:rFonts w:cstheme="minorHAnsi"/>
          <w:bCs/>
          <w:color w:val="000000"/>
          <w:sz w:val="24"/>
          <w:szCs w:val="24"/>
          <w:lang w:eastAsia="hr-HR"/>
        </w:rPr>
      </w:pPr>
      <w:r w:rsidRPr="003C7CB1">
        <w:rPr>
          <w:rFonts w:cstheme="minorHAnsi"/>
          <w:bCs/>
          <w:color w:val="000000"/>
          <w:sz w:val="24"/>
          <w:szCs w:val="24"/>
          <w:lang w:eastAsia="hr-HR"/>
        </w:rPr>
        <w:lastRenderedPageBreak/>
        <w:t>Determining the categories of emitting markets from which tourists come to Montenegro, was done on the basis of market analyzes conducted in cooperation with the NTO Montenegro, i.e., analysis of the generated touris</w:t>
      </w:r>
      <w:r w:rsidR="009E1543">
        <w:rPr>
          <w:rFonts w:cstheme="minorHAnsi"/>
          <w:bCs/>
          <w:color w:val="000000"/>
          <w:sz w:val="24"/>
          <w:szCs w:val="24"/>
          <w:lang w:eastAsia="hr-HR"/>
        </w:rPr>
        <w:t>m turnover</w:t>
      </w:r>
      <w:r w:rsidRPr="003C7CB1">
        <w:rPr>
          <w:rFonts w:cstheme="minorHAnsi"/>
          <w:bCs/>
          <w:color w:val="000000"/>
          <w:sz w:val="24"/>
          <w:szCs w:val="24"/>
          <w:lang w:eastAsia="hr-HR"/>
        </w:rPr>
        <w:t xml:space="preserve"> in the past years (overnight stays and total consumption), then based on the geographical position of the market in relation to our country, as well as air and other connections, but also the announcement of flights by airlines, tour operators, etc. </w:t>
      </w:r>
    </w:p>
    <w:p w14:paraId="75652D8B" w14:textId="77777777" w:rsidR="00E732FA" w:rsidRPr="003C7CB1" w:rsidRDefault="00E732FA" w:rsidP="00E732FA">
      <w:pPr>
        <w:spacing w:after="120" w:line="240" w:lineRule="auto"/>
        <w:jc w:val="both"/>
        <w:rPr>
          <w:rFonts w:cstheme="minorHAnsi"/>
          <w:bCs/>
          <w:color w:val="000000"/>
          <w:sz w:val="24"/>
          <w:szCs w:val="24"/>
          <w:lang w:eastAsia="hr-HR"/>
        </w:rPr>
      </w:pPr>
      <w:r w:rsidRPr="003C7CB1">
        <w:rPr>
          <w:rFonts w:cstheme="minorHAnsi"/>
          <w:bCs/>
          <w:color w:val="000000"/>
          <w:sz w:val="24"/>
          <w:szCs w:val="24"/>
          <w:lang w:eastAsia="hr-HR"/>
        </w:rPr>
        <w:t xml:space="preserve">According to the above parameters, emitting markets active until 2025 can be divided into groups as follows: </w:t>
      </w:r>
    </w:p>
    <w:tbl>
      <w:tblPr>
        <w:tblStyle w:val="TableGrid"/>
        <w:tblW w:w="0" w:type="auto"/>
        <w:tblInd w:w="720" w:type="dxa"/>
        <w:tblLook w:val="04A0" w:firstRow="1" w:lastRow="0" w:firstColumn="1" w:lastColumn="0" w:noHBand="0" w:noVBand="1"/>
      </w:tblPr>
      <w:tblGrid>
        <w:gridCol w:w="2536"/>
        <w:gridCol w:w="2693"/>
        <w:gridCol w:w="2551"/>
      </w:tblGrid>
      <w:tr w:rsidR="00E732FA" w:rsidRPr="003C7CB1" w14:paraId="38D56BDF" w14:textId="77777777" w:rsidTr="00E732FA">
        <w:tc>
          <w:tcPr>
            <w:tcW w:w="2536" w:type="dxa"/>
            <w:shd w:val="clear" w:color="auto" w:fill="B4C6E7" w:themeFill="accent1" w:themeFillTint="66"/>
          </w:tcPr>
          <w:p w14:paraId="4591314C" w14:textId="77777777" w:rsidR="00E732FA" w:rsidRPr="003C7CB1" w:rsidRDefault="00E732FA" w:rsidP="00E732FA">
            <w:pPr>
              <w:pStyle w:val="ListParagraph"/>
              <w:spacing w:after="0" w:line="240" w:lineRule="auto"/>
              <w:ind w:left="0"/>
              <w:jc w:val="center"/>
              <w:rPr>
                <w:rFonts w:cstheme="minorHAnsi"/>
                <w:b/>
                <w:bCs/>
                <w:color w:val="000000"/>
                <w:sz w:val="24"/>
                <w:szCs w:val="24"/>
                <w:lang w:eastAsia="hr-HR"/>
              </w:rPr>
            </w:pPr>
            <w:r w:rsidRPr="003C7CB1">
              <w:rPr>
                <w:rFonts w:cstheme="minorHAnsi"/>
                <w:b/>
                <w:bCs/>
                <w:color w:val="000000"/>
                <w:sz w:val="24"/>
                <w:szCs w:val="24"/>
                <w:lang w:eastAsia="hr-HR"/>
              </w:rPr>
              <w:t xml:space="preserve">GROUP A </w:t>
            </w:r>
          </w:p>
        </w:tc>
        <w:tc>
          <w:tcPr>
            <w:tcW w:w="2693" w:type="dxa"/>
            <w:shd w:val="clear" w:color="auto" w:fill="B4C6E7" w:themeFill="accent1" w:themeFillTint="66"/>
          </w:tcPr>
          <w:p w14:paraId="6E1CF790" w14:textId="77777777" w:rsidR="00E732FA" w:rsidRPr="003C7CB1" w:rsidRDefault="00E732FA" w:rsidP="00E732FA">
            <w:pPr>
              <w:pStyle w:val="ListParagraph"/>
              <w:spacing w:after="0" w:line="240" w:lineRule="auto"/>
              <w:ind w:left="0"/>
              <w:jc w:val="center"/>
              <w:rPr>
                <w:rFonts w:cstheme="minorHAnsi"/>
                <w:b/>
                <w:bCs/>
                <w:color w:val="000000"/>
                <w:sz w:val="24"/>
                <w:szCs w:val="24"/>
                <w:lang w:eastAsia="hr-HR"/>
              </w:rPr>
            </w:pPr>
            <w:r w:rsidRPr="003C7CB1">
              <w:rPr>
                <w:rFonts w:cstheme="minorHAnsi"/>
                <w:b/>
                <w:bCs/>
                <w:color w:val="000000"/>
                <w:sz w:val="24"/>
                <w:szCs w:val="24"/>
                <w:lang w:eastAsia="hr-HR"/>
              </w:rPr>
              <w:t xml:space="preserve">GROUP B </w:t>
            </w:r>
          </w:p>
        </w:tc>
        <w:tc>
          <w:tcPr>
            <w:tcW w:w="2551" w:type="dxa"/>
            <w:shd w:val="clear" w:color="auto" w:fill="B4C6E7" w:themeFill="accent1" w:themeFillTint="66"/>
          </w:tcPr>
          <w:p w14:paraId="6852500A" w14:textId="77777777" w:rsidR="00E732FA" w:rsidRPr="003C7CB1" w:rsidRDefault="00E732FA" w:rsidP="00E732FA">
            <w:pPr>
              <w:pStyle w:val="ListParagraph"/>
              <w:spacing w:after="0" w:line="240" w:lineRule="auto"/>
              <w:ind w:left="0"/>
              <w:jc w:val="center"/>
              <w:rPr>
                <w:rFonts w:cstheme="minorHAnsi"/>
                <w:b/>
                <w:bCs/>
                <w:color w:val="000000"/>
                <w:sz w:val="24"/>
                <w:szCs w:val="24"/>
                <w:lang w:eastAsia="hr-HR"/>
              </w:rPr>
            </w:pPr>
            <w:r w:rsidRPr="003C7CB1">
              <w:rPr>
                <w:rFonts w:cstheme="minorHAnsi"/>
                <w:b/>
                <w:bCs/>
                <w:color w:val="000000"/>
                <w:sz w:val="24"/>
                <w:szCs w:val="24"/>
                <w:lang w:eastAsia="hr-HR"/>
              </w:rPr>
              <w:t xml:space="preserve">GROUP C </w:t>
            </w:r>
          </w:p>
        </w:tc>
      </w:tr>
      <w:tr w:rsidR="00E732FA" w:rsidRPr="003C7CB1" w14:paraId="7BBCE528" w14:textId="77777777" w:rsidTr="00E732FA">
        <w:tc>
          <w:tcPr>
            <w:tcW w:w="2536" w:type="dxa"/>
            <w:shd w:val="clear" w:color="auto" w:fill="B4C6E7" w:themeFill="accent1" w:themeFillTint="66"/>
          </w:tcPr>
          <w:p w14:paraId="6E98147D" w14:textId="77777777" w:rsidR="00E732FA" w:rsidRPr="003C7CB1" w:rsidRDefault="00E732FA" w:rsidP="00E732FA">
            <w:pPr>
              <w:pStyle w:val="ListParagraph"/>
              <w:numPr>
                <w:ilvl w:val="0"/>
                <w:numId w:val="43"/>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Germany </w:t>
            </w:r>
          </w:p>
        </w:tc>
        <w:tc>
          <w:tcPr>
            <w:tcW w:w="2693" w:type="dxa"/>
            <w:shd w:val="clear" w:color="auto" w:fill="B4C6E7" w:themeFill="accent1" w:themeFillTint="66"/>
          </w:tcPr>
          <w:p w14:paraId="5B56EE61"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Italy </w:t>
            </w:r>
          </w:p>
        </w:tc>
        <w:tc>
          <w:tcPr>
            <w:tcW w:w="2551" w:type="dxa"/>
            <w:shd w:val="clear" w:color="auto" w:fill="B4C6E7" w:themeFill="accent1" w:themeFillTint="66"/>
          </w:tcPr>
          <w:p w14:paraId="3103D987" w14:textId="77777777" w:rsidR="00E732FA" w:rsidRPr="003C7CB1" w:rsidRDefault="00E732FA" w:rsidP="00E732FA">
            <w:pPr>
              <w:pStyle w:val="ListParagraph"/>
              <w:numPr>
                <w:ilvl w:val="0"/>
                <w:numId w:val="27"/>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USA </w:t>
            </w:r>
          </w:p>
        </w:tc>
      </w:tr>
      <w:tr w:rsidR="00E732FA" w:rsidRPr="003C7CB1" w14:paraId="519A97D9" w14:textId="77777777" w:rsidTr="00E732FA">
        <w:tc>
          <w:tcPr>
            <w:tcW w:w="2536" w:type="dxa"/>
            <w:shd w:val="clear" w:color="auto" w:fill="B4C6E7" w:themeFill="accent1" w:themeFillTint="66"/>
          </w:tcPr>
          <w:p w14:paraId="18B03CEC" w14:textId="77777777" w:rsidR="00E732FA" w:rsidRPr="003C7CB1" w:rsidRDefault="00E732FA" w:rsidP="00E732FA">
            <w:pPr>
              <w:pStyle w:val="ListParagraph"/>
              <w:numPr>
                <w:ilvl w:val="0"/>
                <w:numId w:val="25"/>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Great Britain  </w:t>
            </w:r>
          </w:p>
        </w:tc>
        <w:tc>
          <w:tcPr>
            <w:tcW w:w="2693" w:type="dxa"/>
            <w:shd w:val="clear" w:color="auto" w:fill="B4C6E7" w:themeFill="accent1" w:themeFillTint="66"/>
          </w:tcPr>
          <w:p w14:paraId="3C1DFA48"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Scandinavia </w:t>
            </w:r>
          </w:p>
        </w:tc>
        <w:tc>
          <w:tcPr>
            <w:tcW w:w="2551" w:type="dxa"/>
            <w:shd w:val="clear" w:color="auto" w:fill="B4C6E7" w:themeFill="accent1" w:themeFillTint="66"/>
          </w:tcPr>
          <w:p w14:paraId="6517801C" w14:textId="77777777" w:rsidR="00E732FA" w:rsidRPr="003C7CB1" w:rsidRDefault="00E732FA" w:rsidP="00E732FA">
            <w:pPr>
              <w:pStyle w:val="ListParagraph"/>
              <w:numPr>
                <w:ilvl w:val="0"/>
                <w:numId w:val="27"/>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Japan </w:t>
            </w:r>
          </w:p>
        </w:tc>
      </w:tr>
      <w:tr w:rsidR="00E732FA" w:rsidRPr="003C7CB1" w14:paraId="4EFABE73" w14:textId="77777777" w:rsidTr="00E732FA">
        <w:tc>
          <w:tcPr>
            <w:tcW w:w="2536" w:type="dxa"/>
            <w:shd w:val="clear" w:color="auto" w:fill="B4C6E7" w:themeFill="accent1" w:themeFillTint="66"/>
          </w:tcPr>
          <w:p w14:paraId="32C04C54" w14:textId="77777777" w:rsidR="00E732FA" w:rsidRPr="003C7CB1" w:rsidRDefault="00E732FA" w:rsidP="00E732FA">
            <w:pPr>
              <w:pStyle w:val="ListParagraph"/>
              <w:numPr>
                <w:ilvl w:val="0"/>
                <w:numId w:val="25"/>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France </w:t>
            </w:r>
          </w:p>
        </w:tc>
        <w:tc>
          <w:tcPr>
            <w:tcW w:w="2693" w:type="dxa"/>
            <w:shd w:val="clear" w:color="auto" w:fill="B4C6E7" w:themeFill="accent1" w:themeFillTint="66"/>
          </w:tcPr>
          <w:p w14:paraId="163D0CF5"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Netherland </w:t>
            </w:r>
          </w:p>
        </w:tc>
        <w:tc>
          <w:tcPr>
            <w:tcW w:w="2551" w:type="dxa"/>
            <w:shd w:val="clear" w:color="auto" w:fill="B4C6E7" w:themeFill="accent1" w:themeFillTint="66"/>
          </w:tcPr>
          <w:p w14:paraId="3F26CFB2" w14:textId="77777777" w:rsidR="00E732FA" w:rsidRPr="003C7CB1" w:rsidRDefault="00E732FA" w:rsidP="00E732FA">
            <w:pPr>
              <w:pStyle w:val="ListParagraph"/>
              <w:numPr>
                <w:ilvl w:val="0"/>
                <w:numId w:val="27"/>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UAE and other Gulf countries </w:t>
            </w:r>
          </w:p>
        </w:tc>
      </w:tr>
      <w:tr w:rsidR="00E732FA" w:rsidRPr="003C7CB1" w14:paraId="39C02E5E" w14:textId="77777777" w:rsidTr="00E732FA">
        <w:tc>
          <w:tcPr>
            <w:tcW w:w="2536" w:type="dxa"/>
            <w:shd w:val="clear" w:color="auto" w:fill="B4C6E7" w:themeFill="accent1" w:themeFillTint="66"/>
          </w:tcPr>
          <w:p w14:paraId="04691301" w14:textId="77777777" w:rsidR="00E732FA" w:rsidRPr="003C7CB1" w:rsidRDefault="00E732FA" w:rsidP="00E732FA">
            <w:pPr>
              <w:pStyle w:val="ListParagraph"/>
              <w:numPr>
                <w:ilvl w:val="0"/>
                <w:numId w:val="25"/>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Austria </w:t>
            </w:r>
          </w:p>
        </w:tc>
        <w:tc>
          <w:tcPr>
            <w:tcW w:w="2693" w:type="dxa"/>
            <w:shd w:val="clear" w:color="auto" w:fill="B4C6E7" w:themeFill="accent1" w:themeFillTint="66"/>
          </w:tcPr>
          <w:p w14:paraId="4E0ABCF1"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Belgium </w:t>
            </w:r>
          </w:p>
        </w:tc>
        <w:tc>
          <w:tcPr>
            <w:tcW w:w="2551" w:type="dxa"/>
            <w:shd w:val="clear" w:color="auto" w:fill="B4C6E7" w:themeFill="accent1" w:themeFillTint="66"/>
          </w:tcPr>
          <w:p w14:paraId="0CFF5081" w14:textId="77777777" w:rsidR="00E732FA" w:rsidRPr="003C7CB1" w:rsidRDefault="00E732FA" w:rsidP="00E732FA">
            <w:pPr>
              <w:pStyle w:val="ListParagraph"/>
              <w:numPr>
                <w:ilvl w:val="0"/>
                <w:numId w:val="27"/>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Turkey </w:t>
            </w:r>
          </w:p>
        </w:tc>
      </w:tr>
      <w:tr w:rsidR="00E732FA" w:rsidRPr="003C7CB1" w14:paraId="0B0A8537" w14:textId="77777777" w:rsidTr="00E732FA">
        <w:tc>
          <w:tcPr>
            <w:tcW w:w="2536" w:type="dxa"/>
            <w:shd w:val="clear" w:color="auto" w:fill="B4C6E7" w:themeFill="accent1" w:themeFillTint="66"/>
          </w:tcPr>
          <w:p w14:paraId="1CBFAD42" w14:textId="77777777" w:rsidR="00E732FA" w:rsidRPr="003C7CB1" w:rsidRDefault="00E732FA" w:rsidP="00E732FA">
            <w:pPr>
              <w:pStyle w:val="ListParagraph"/>
              <w:numPr>
                <w:ilvl w:val="0"/>
                <w:numId w:val="25"/>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Poland </w:t>
            </w:r>
          </w:p>
        </w:tc>
        <w:tc>
          <w:tcPr>
            <w:tcW w:w="2693" w:type="dxa"/>
            <w:shd w:val="clear" w:color="auto" w:fill="B4C6E7" w:themeFill="accent1" w:themeFillTint="66"/>
          </w:tcPr>
          <w:p w14:paraId="0066800B"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Russia </w:t>
            </w:r>
          </w:p>
        </w:tc>
        <w:tc>
          <w:tcPr>
            <w:tcW w:w="2551" w:type="dxa"/>
            <w:shd w:val="clear" w:color="auto" w:fill="B4C6E7" w:themeFill="accent1" w:themeFillTint="66"/>
          </w:tcPr>
          <w:p w14:paraId="774AC8E9" w14:textId="77777777" w:rsidR="00E732FA" w:rsidRPr="003C7CB1" w:rsidRDefault="00E732FA" w:rsidP="00E732FA">
            <w:pPr>
              <w:spacing w:after="0" w:line="240" w:lineRule="auto"/>
              <w:ind w:left="360"/>
              <w:jc w:val="both"/>
              <w:rPr>
                <w:rFonts w:cstheme="minorHAnsi"/>
                <w:bCs/>
                <w:color w:val="000000"/>
                <w:sz w:val="20"/>
                <w:szCs w:val="20"/>
                <w:lang w:eastAsia="hr-HR"/>
              </w:rPr>
            </w:pPr>
          </w:p>
        </w:tc>
      </w:tr>
      <w:tr w:rsidR="00E732FA" w:rsidRPr="003C7CB1" w14:paraId="4ADADAD6" w14:textId="77777777" w:rsidTr="00E732FA">
        <w:tc>
          <w:tcPr>
            <w:tcW w:w="2536" w:type="dxa"/>
            <w:shd w:val="clear" w:color="auto" w:fill="B4C6E7" w:themeFill="accent1" w:themeFillTint="66"/>
          </w:tcPr>
          <w:p w14:paraId="2DA54681"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Ukraine </w:t>
            </w:r>
          </w:p>
        </w:tc>
        <w:tc>
          <w:tcPr>
            <w:tcW w:w="2693" w:type="dxa"/>
            <w:shd w:val="clear" w:color="auto" w:fill="B4C6E7" w:themeFill="accent1" w:themeFillTint="66"/>
          </w:tcPr>
          <w:p w14:paraId="388E8D31"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Hungary </w:t>
            </w:r>
          </w:p>
        </w:tc>
        <w:tc>
          <w:tcPr>
            <w:tcW w:w="2551" w:type="dxa"/>
            <w:shd w:val="clear" w:color="auto" w:fill="B4C6E7" w:themeFill="accent1" w:themeFillTint="66"/>
          </w:tcPr>
          <w:p w14:paraId="4FCB71D5" w14:textId="77777777" w:rsidR="00E732FA" w:rsidRPr="003C7CB1" w:rsidRDefault="00E732FA" w:rsidP="00E732FA">
            <w:pPr>
              <w:pStyle w:val="ListParagraph"/>
              <w:spacing w:after="0" w:line="240" w:lineRule="auto"/>
              <w:ind w:left="0"/>
              <w:jc w:val="both"/>
              <w:rPr>
                <w:rFonts w:cstheme="minorHAnsi"/>
                <w:b/>
                <w:bCs/>
                <w:color w:val="000000"/>
                <w:sz w:val="20"/>
                <w:szCs w:val="20"/>
                <w:lang w:eastAsia="hr-HR"/>
              </w:rPr>
            </w:pPr>
          </w:p>
        </w:tc>
      </w:tr>
      <w:tr w:rsidR="00E732FA" w:rsidRPr="003C7CB1" w14:paraId="64CF35D9" w14:textId="77777777" w:rsidTr="00E732FA">
        <w:tc>
          <w:tcPr>
            <w:tcW w:w="2536" w:type="dxa"/>
            <w:shd w:val="clear" w:color="auto" w:fill="B4C6E7" w:themeFill="accent1" w:themeFillTint="66"/>
          </w:tcPr>
          <w:p w14:paraId="490A1125"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Region </w:t>
            </w:r>
          </w:p>
        </w:tc>
        <w:tc>
          <w:tcPr>
            <w:tcW w:w="2693" w:type="dxa"/>
            <w:shd w:val="clear" w:color="auto" w:fill="B4C6E7" w:themeFill="accent1" w:themeFillTint="66"/>
          </w:tcPr>
          <w:p w14:paraId="22408445"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Czech Republic   </w:t>
            </w:r>
          </w:p>
        </w:tc>
        <w:tc>
          <w:tcPr>
            <w:tcW w:w="2551" w:type="dxa"/>
            <w:shd w:val="clear" w:color="auto" w:fill="B4C6E7" w:themeFill="accent1" w:themeFillTint="66"/>
          </w:tcPr>
          <w:p w14:paraId="201F1E04" w14:textId="77777777" w:rsidR="00E732FA" w:rsidRPr="003C7CB1" w:rsidRDefault="00E732FA" w:rsidP="00E732FA">
            <w:pPr>
              <w:pStyle w:val="ListParagraph"/>
              <w:spacing w:after="0" w:line="240" w:lineRule="auto"/>
              <w:ind w:left="0"/>
              <w:jc w:val="both"/>
              <w:rPr>
                <w:rFonts w:cstheme="minorHAnsi"/>
                <w:b/>
                <w:bCs/>
                <w:color w:val="000000"/>
                <w:sz w:val="20"/>
                <w:szCs w:val="20"/>
                <w:lang w:eastAsia="hr-HR"/>
              </w:rPr>
            </w:pPr>
          </w:p>
        </w:tc>
      </w:tr>
      <w:tr w:rsidR="00E732FA" w:rsidRPr="003C7CB1" w14:paraId="723B7464" w14:textId="77777777" w:rsidTr="00E732FA">
        <w:trPr>
          <w:trHeight w:val="260"/>
        </w:trPr>
        <w:tc>
          <w:tcPr>
            <w:tcW w:w="2536" w:type="dxa"/>
            <w:shd w:val="clear" w:color="auto" w:fill="B4C6E7" w:themeFill="accent1" w:themeFillTint="66"/>
          </w:tcPr>
          <w:p w14:paraId="7C51C116" w14:textId="77777777" w:rsidR="00E732FA" w:rsidRPr="003C7CB1" w:rsidRDefault="00E732FA" w:rsidP="00E732FA">
            <w:pPr>
              <w:pStyle w:val="ListParagraph"/>
              <w:spacing w:after="0" w:line="240" w:lineRule="auto"/>
              <w:jc w:val="both"/>
              <w:rPr>
                <w:rFonts w:cstheme="minorHAnsi"/>
                <w:bCs/>
                <w:color w:val="000000"/>
                <w:sz w:val="20"/>
                <w:szCs w:val="20"/>
                <w:lang w:eastAsia="hr-HR"/>
              </w:rPr>
            </w:pPr>
          </w:p>
        </w:tc>
        <w:tc>
          <w:tcPr>
            <w:tcW w:w="2693" w:type="dxa"/>
            <w:shd w:val="clear" w:color="auto" w:fill="B4C6E7" w:themeFill="accent1" w:themeFillTint="66"/>
          </w:tcPr>
          <w:p w14:paraId="6769617A"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Switzerland </w:t>
            </w:r>
          </w:p>
        </w:tc>
        <w:tc>
          <w:tcPr>
            <w:tcW w:w="2551" w:type="dxa"/>
            <w:shd w:val="clear" w:color="auto" w:fill="B4C6E7" w:themeFill="accent1" w:themeFillTint="66"/>
          </w:tcPr>
          <w:p w14:paraId="50CD6228" w14:textId="77777777" w:rsidR="00E732FA" w:rsidRPr="003C7CB1" w:rsidRDefault="00E732FA" w:rsidP="00E732FA">
            <w:pPr>
              <w:pStyle w:val="ListParagraph"/>
              <w:spacing w:after="0" w:line="240" w:lineRule="auto"/>
              <w:ind w:left="0"/>
              <w:jc w:val="both"/>
              <w:rPr>
                <w:rFonts w:cstheme="minorHAnsi"/>
                <w:b/>
                <w:bCs/>
                <w:color w:val="000000"/>
                <w:sz w:val="20"/>
                <w:szCs w:val="20"/>
                <w:lang w:eastAsia="hr-HR"/>
              </w:rPr>
            </w:pPr>
          </w:p>
        </w:tc>
      </w:tr>
      <w:tr w:rsidR="00E732FA" w:rsidRPr="003C7CB1" w14:paraId="5280E7FB" w14:textId="77777777" w:rsidTr="00E732FA">
        <w:tc>
          <w:tcPr>
            <w:tcW w:w="2536" w:type="dxa"/>
            <w:shd w:val="clear" w:color="auto" w:fill="B4C6E7" w:themeFill="accent1" w:themeFillTint="66"/>
          </w:tcPr>
          <w:p w14:paraId="6DED14B0" w14:textId="77777777" w:rsidR="00E732FA" w:rsidRPr="003C7CB1" w:rsidRDefault="00E732FA" w:rsidP="00E732FA">
            <w:pPr>
              <w:pStyle w:val="ListParagraph"/>
              <w:spacing w:after="0" w:line="240" w:lineRule="auto"/>
              <w:jc w:val="both"/>
              <w:rPr>
                <w:rFonts w:cstheme="minorHAnsi"/>
                <w:bCs/>
                <w:color w:val="000000"/>
                <w:sz w:val="20"/>
                <w:szCs w:val="20"/>
                <w:lang w:eastAsia="hr-HR"/>
              </w:rPr>
            </w:pPr>
          </w:p>
        </w:tc>
        <w:tc>
          <w:tcPr>
            <w:tcW w:w="2693" w:type="dxa"/>
            <w:shd w:val="clear" w:color="auto" w:fill="B4C6E7" w:themeFill="accent1" w:themeFillTint="66"/>
          </w:tcPr>
          <w:p w14:paraId="3B3FA796"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Israel</w:t>
            </w:r>
          </w:p>
        </w:tc>
        <w:tc>
          <w:tcPr>
            <w:tcW w:w="2551" w:type="dxa"/>
            <w:shd w:val="clear" w:color="auto" w:fill="B4C6E7" w:themeFill="accent1" w:themeFillTint="66"/>
          </w:tcPr>
          <w:p w14:paraId="140D04E1" w14:textId="77777777" w:rsidR="00E732FA" w:rsidRPr="003C7CB1" w:rsidRDefault="00E732FA" w:rsidP="00E732FA">
            <w:pPr>
              <w:pStyle w:val="ListParagraph"/>
              <w:spacing w:after="0" w:line="240" w:lineRule="auto"/>
              <w:ind w:left="0"/>
              <w:jc w:val="both"/>
              <w:rPr>
                <w:rFonts w:cstheme="minorHAnsi"/>
                <w:b/>
                <w:bCs/>
                <w:color w:val="000000"/>
                <w:sz w:val="20"/>
                <w:szCs w:val="20"/>
                <w:lang w:eastAsia="hr-HR"/>
              </w:rPr>
            </w:pPr>
          </w:p>
        </w:tc>
      </w:tr>
      <w:tr w:rsidR="00E732FA" w:rsidRPr="003C7CB1" w14:paraId="073C19C7" w14:textId="77777777" w:rsidTr="00E732FA">
        <w:tc>
          <w:tcPr>
            <w:tcW w:w="2536" w:type="dxa"/>
            <w:shd w:val="clear" w:color="auto" w:fill="B4C6E7" w:themeFill="accent1" w:themeFillTint="66"/>
          </w:tcPr>
          <w:p w14:paraId="36506386" w14:textId="77777777" w:rsidR="00E732FA" w:rsidRPr="003C7CB1" w:rsidRDefault="00E732FA" w:rsidP="00E732FA">
            <w:pPr>
              <w:pStyle w:val="ListParagraph"/>
              <w:spacing w:after="0" w:line="240" w:lineRule="auto"/>
              <w:jc w:val="both"/>
              <w:rPr>
                <w:rFonts w:cstheme="minorHAnsi"/>
                <w:bCs/>
                <w:color w:val="000000"/>
                <w:sz w:val="20"/>
                <w:szCs w:val="20"/>
                <w:lang w:eastAsia="hr-HR"/>
              </w:rPr>
            </w:pPr>
          </w:p>
        </w:tc>
        <w:tc>
          <w:tcPr>
            <w:tcW w:w="2693" w:type="dxa"/>
            <w:shd w:val="clear" w:color="auto" w:fill="B4C6E7" w:themeFill="accent1" w:themeFillTint="66"/>
          </w:tcPr>
          <w:p w14:paraId="4506CF44" w14:textId="77777777" w:rsidR="00E732FA" w:rsidRPr="003C7CB1" w:rsidRDefault="00E732FA" w:rsidP="00E732FA">
            <w:pPr>
              <w:pStyle w:val="ListParagraph"/>
              <w:numPr>
                <w:ilvl w:val="0"/>
                <w:numId w:val="26"/>
              </w:numPr>
              <w:spacing w:after="0" w:line="240" w:lineRule="auto"/>
              <w:jc w:val="both"/>
              <w:rPr>
                <w:rFonts w:cstheme="minorHAnsi"/>
                <w:bCs/>
                <w:color w:val="000000"/>
                <w:sz w:val="20"/>
                <w:szCs w:val="20"/>
                <w:lang w:eastAsia="hr-HR"/>
              </w:rPr>
            </w:pPr>
            <w:r w:rsidRPr="003C7CB1">
              <w:rPr>
                <w:rFonts w:cstheme="minorHAnsi"/>
                <w:bCs/>
                <w:color w:val="000000"/>
                <w:sz w:val="20"/>
                <w:szCs w:val="20"/>
                <w:lang w:eastAsia="hr-HR"/>
              </w:rPr>
              <w:t xml:space="preserve">People's Republic of China </w:t>
            </w:r>
          </w:p>
        </w:tc>
        <w:tc>
          <w:tcPr>
            <w:tcW w:w="2551" w:type="dxa"/>
            <w:shd w:val="clear" w:color="auto" w:fill="B4C6E7" w:themeFill="accent1" w:themeFillTint="66"/>
          </w:tcPr>
          <w:p w14:paraId="314A3766" w14:textId="77777777" w:rsidR="00E732FA" w:rsidRPr="003C7CB1" w:rsidRDefault="00E732FA" w:rsidP="00E732FA">
            <w:pPr>
              <w:pStyle w:val="ListParagraph"/>
              <w:spacing w:after="0" w:line="240" w:lineRule="auto"/>
              <w:ind w:left="0"/>
              <w:jc w:val="both"/>
              <w:rPr>
                <w:rFonts w:cstheme="minorHAnsi"/>
                <w:b/>
                <w:bCs/>
                <w:color w:val="000000"/>
                <w:sz w:val="20"/>
                <w:szCs w:val="20"/>
                <w:lang w:eastAsia="hr-HR"/>
              </w:rPr>
            </w:pPr>
          </w:p>
        </w:tc>
      </w:tr>
    </w:tbl>
    <w:p w14:paraId="27B592FA" w14:textId="77777777" w:rsidR="00E732FA" w:rsidRPr="003C7CB1" w:rsidRDefault="00E732FA" w:rsidP="00E732FA">
      <w:pPr>
        <w:spacing w:after="0" w:line="240" w:lineRule="auto"/>
        <w:jc w:val="both"/>
        <w:rPr>
          <w:rFonts w:cstheme="minorHAnsi"/>
          <w:bCs/>
          <w:color w:val="000000"/>
          <w:sz w:val="24"/>
          <w:szCs w:val="24"/>
          <w:lang w:eastAsia="hr-HR"/>
        </w:rPr>
      </w:pPr>
    </w:p>
    <w:p w14:paraId="7BD456AF" w14:textId="77777777" w:rsidR="00E732FA" w:rsidRPr="003C7CB1" w:rsidRDefault="00E732FA" w:rsidP="00E732FA">
      <w:pPr>
        <w:pStyle w:val="ListParagraph"/>
        <w:numPr>
          <w:ilvl w:val="0"/>
          <w:numId w:val="58"/>
        </w:numPr>
        <w:spacing w:after="120" w:line="240" w:lineRule="auto"/>
        <w:jc w:val="both"/>
        <w:rPr>
          <w:rFonts w:eastAsia="Times New Roman" w:cs="Arial"/>
          <w:sz w:val="24"/>
          <w:szCs w:val="24"/>
        </w:rPr>
      </w:pPr>
      <w:r w:rsidRPr="003C7CB1">
        <w:rPr>
          <w:rFonts w:eastAsia="Times New Roman" w:cs="Arial"/>
          <w:b/>
          <w:sz w:val="24"/>
          <w:szCs w:val="24"/>
        </w:rPr>
        <w:t>Regional markets</w:t>
      </w:r>
      <w:r w:rsidRPr="003C7CB1">
        <w:rPr>
          <w:rFonts w:eastAsia="Times New Roman" w:cs="Arial"/>
          <w:sz w:val="24"/>
          <w:szCs w:val="24"/>
        </w:rPr>
        <w:t xml:space="preserve"> (Serbia, Bosnia and Herzegovina, Kosovo) showed a positive trend until 2019 and strong growth in 2021. Tourists from these markets are characterized by a dominant stay during the summer season and they mostly stay on the Montenegrin coast. </w:t>
      </w:r>
    </w:p>
    <w:p w14:paraId="1C0E7DEC" w14:textId="14F430A1" w:rsidR="00E732FA" w:rsidRPr="003C7CB1" w:rsidRDefault="00E732FA" w:rsidP="00E732FA">
      <w:pPr>
        <w:pStyle w:val="ListParagraph"/>
        <w:numPr>
          <w:ilvl w:val="0"/>
          <w:numId w:val="58"/>
        </w:numPr>
        <w:spacing w:after="120" w:line="240" w:lineRule="auto"/>
        <w:jc w:val="both"/>
        <w:rPr>
          <w:rFonts w:eastAsia="Times New Roman" w:cs="Arial"/>
          <w:sz w:val="24"/>
          <w:szCs w:val="24"/>
        </w:rPr>
      </w:pPr>
      <w:r w:rsidRPr="003C7CB1">
        <w:rPr>
          <w:rFonts w:eastAsia="Times New Roman" w:cs="Arial"/>
          <w:b/>
          <w:sz w:val="24"/>
          <w:szCs w:val="24"/>
        </w:rPr>
        <w:t>Eastern European markets</w:t>
      </w:r>
      <w:r w:rsidRPr="003C7CB1">
        <w:rPr>
          <w:rFonts w:eastAsia="Times New Roman" w:cs="Arial"/>
          <w:sz w:val="24"/>
          <w:szCs w:val="24"/>
        </w:rPr>
        <w:t xml:space="preserve"> - Russia is an important emitting market for Montenegro and it was among the ten leading world emitting markets in the period before the COVID-19 pandemic. Specifically, in the region of Eastern Europe, Russia accounts for 82% of all overnight stays, while the second most important is Ukraine (participates with 13%) and the third is Belarus with 6%.</w:t>
      </w:r>
      <w:r w:rsidRPr="003C7CB1">
        <w:t xml:space="preserve"> </w:t>
      </w:r>
      <w:r w:rsidRPr="003C7CB1">
        <w:rPr>
          <w:rFonts w:eastAsia="Times New Roman" w:cs="Arial"/>
          <w:sz w:val="24"/>
          <w:szCs w:val="24"/>
        </w:rPr>
        <w:t>Montenegro ranks 16th on the Russian list of preferences in relation to the choice of holiday destinations. Touris</w:t>
      </w:r>
      <w:r w:rsidR="00375468">
        <w:rPr>
          <w:rFonts w:eastAsia="Times New Roman" w:cs="Arial"/>
          <w:sz w:val="24"/>
          <w:szCs w:val="24"/>
        </w:rPr>
        <w:t>m turnover</w:t>
      </w:r>
      <w:r w:rsidRPr="003C7CB1">
        <w:rPr>
          <w:rFonts w:eastAsia="Times New Roman" w:cs="Arial"/>
          <w:sz w:val="24"/>
          <w:szCs w:val="24"/>
        </w:rPr>
        <w:t xml:space="preserve"> with Ukraine has significantly increased in 2021, so it is necessary to further improve direct air connectivity in order to animate, in addition to the Ukrainian, other markets of the former republics of the USSR. </w:t>
      </w:r>
    </w:p>
    <w:p w14:paraId="7301946F" w14:textId="0F5FFD69" w:rsidR="00E732FA" w:rsidRPr="003C7CB1" w:rsidRDefault="00E732FA" w:rsidP="00E732FA">
      <w:pPr>
        <w:pStyle w:val="ListParagraph"/>
        <w:numPr>
          <w:ilvl w:val="0"/>
          <w:numId w:val="58"/>
        </w:numPr>
        <w:spacing w:after="120" w:line="240" w:lineRule="auto"/>
        <w:jc w:val="both"/>
        <w:rPr>
          <w:rFonts w:eastAsia="Times New Roman" w:cs="Arial"/>
          <w:sz w:val="24"/>
          <w:szCs w:val="24"/>
        </w:rPr>
      </w:pPr>
      <w:r w:rsidRPr="003C7CB1">
        <w:rPr>
          <w:rFonts w:eastAsia="Times New Roman" w:cs="Arial"/>
          <w:b/>
          <w:sz w:val="24"/>
          <w:szCs w:val="24"/>
        </w:rPr>
        <w:t>Western European markets</w:t>
      </w:r>
      <w:r w:rsidRPr="003C7CB1">
        <w:rPr>
          <w:rFonts w:eastAsia="Times New Roman" w:cs="Arial"/>
          <w:sz w:val="24"/>
          <w:szCs w:val="24"/>
        </w:rPr>
        <w:t xml:space="preserve"> - Tourists from Germany, compared to other European tourists, are interested in coming to Montenegro in periods outside the main tourist season, i.e., during spring and autumn.</w:t>
      </w:r>
      <w:r w:rsidRPr="003C7CB1">
        <w:t xml:space="preserve"> </w:t>
      </w:r>
      <w:r w:rsidRPr="003C7CB1">
        <w:rPr>
          <w:rFonts w:eastAsia="Times New Roman" w:cs="Arial"/>
          <w:sz w:val="24"/>
          <w:szCs w:val="24"/>
        </w:rPr>
        <w:t>In this sense, further activities are needed to im</w:t>
      </w:r>
      <w:r w:rsidR="003C7CB1">
        <w:rPr>
          <w:rFonts w:eastAsia="Times New Roman" w:cs="Arial"/>
          <w:sz w:val="24"/>
          <w:szCs w:val="24"/>
        </w:rPr>
        <w:t>prove products/</w:t>
      </w:r>
      <w:r w:rsidRPr="003C7CB1">
        <w:rPr>
          <w:rFonts w:eastAsia="Times New Roman" w:cs="Arial"/>
          <w:sz w:val="24"/>
          <w:szCs w:val="24"/>
        </w:rPr>
        <w:t xml:space="preserve">experiences based on nature and culture, in order to increase the market share of German tourists in the pre- and post-season. Tourists from France and the UK had significant market potential during the summer seasons before the pandemic. In 2020, their absence was recorded, while in 2021, due to the global epidemiological situation, interest from these markets was low. </w:t>
      </w:r>
    </w:p>
    <w:p w14:paraId="1EA84E07" w14:textId="44DF5837" w:rsidR="00E732FA" w:rsidRPr="003C7CB1" w:rsidRDefault="00E732FA" w:rsidP="00E732FA">
      <w:pPr>
        <w:pStyle w:val="ListParagraph"/>
        <w:numPr>
          <w:ilvl w:val="0"/>
          <w:numId w:val="58"/>
        </w:numPr>
        <w:spacing w:after="120" w:line="240" w:lineRule="auto"/>
        <w:jc w:val="both"/>
        <w:rPr>
          <w:rFonts w:eastAsia="Times New Roman" w:cs="Arial"/>
          <w:sz w:val="24"/>
          <w:szCs w:val="24"/>
        </w:rPr>
      </w:pPr>
      <w:r w:rsidRPr="003C7CB1">
        <w:rPr>
          <w:rFonts w:eastAsia="Times New Roman" w:cs="Arial"/>
          <w:b/>
          <w:sz w:val="24"/>
          <w:szCs w:val="24"/>
        </w:rPr>
        <w:t>Central European markets</w:t>
      </w:r>
      <w:r w:rsidRPr="003C7CB1">
        <w:rPr>
          <w:rFonts w:eastAsia="Times New Roman" w:cs="Arial"/>
          <w:sz w:val="24"/>
          <w:szCs w:val="24"/>
        </w:rPr>
        <w:t xml:space="preserve"> - Tourists from Poland, traditionally friendly with the Montenegrin people, significantly contribute to increasing t</w:t>
      </w:r>
      <w:r w:rsidR="00676C21">
        <w:rPr>
          <w:rFonts w:eastAsia="Times New Roman" w:cs="Arial"/>
          <w:sz w:val="24"/>
          <w:szCs w:val="24"/>
        </w:rPr>
        <w:t>urnover</w:t>
      </w:r>
      <w:r w:rsidRPr="003C7CB1">
        <w:rPr>
          <w:rFonts w:eastAsia="Times New Roman" w:cs="Arial"/>
          <w:sz w:val="24"/>
          <w:szCs w:val="24"/>
        </w:rPr>
        <w:t xml:space="preserve"> throughout the year, and especially show interest in staying in the North of Montenegro. The situation is similar with other countries in this part of Europe (Czech Republic, Hungary, Slovakia). </w:t>
      </w:r>
    </w:p>
    <w:p w14:paraId="39C62501" w14:textId="57CA214F" w:rsidR="00E732FA" w:rsidRPr="003C7CB1" w:rsidRDefault="00E732FA" w:rsidP="00E732FA">
      <w:pPr>
        <w:pStyle w:val="ListParagraph"/>
        <w:numPr>
          <w:ilvl w:val="0"/>
          <w:numId w:val="58"/>
        </w:numPr>
        <w:spacing w:after="120" w:line="240" w:lineRule="auto"/>
        <w:jc w:val="both"/>
        <w:rPr>
          <w:rFonts w:eastAsia="Times New Roman" w:cs="Arial"/>
          <w:sz w:val="24"/>
          <w:szCs w:val="24"/>
        </w:rPr>
      </w:pPr>
      <w:r w:rsidRPr="003C7CB1">
        <w:rPr>
          <w:rFonts w:eastAsia="Times New Roman" w:cs="Arial"/>
          <w:b/>
          <w:sz w:val="24"/>
          <w:szCs w:val="24"/>
        </w:rPr>
        <w:t>Remote markets</w:t>
      </w:r>
      <w:r w:rsidRPr="003C7CB1">
        <w:rPr>
          <w:rFonts w:eastAsia="Times New Roman" w:cs="Arial"/>
          <w:sz w:val="24"/>
          <w:szCs w:val="24"/>
        </w:rPr>
        <w:t xml:space="preserve"> (USA, PR China and Israel) - the trend of tourists coming from these markets has not rehabilitated compared to the level of 2019, so their participation in </w:t>
      </w:r>
      <w:r w:rsidRPr="003C7CB1">
        <w:rPr>
          <w:rFonts w:eastAsia="Times New Roman" w:cs="Arial"/>
          <w:sz w:val="24"/>
          <w:szCs w:val="24"/>
        </w:rPr>
        <w:lastRenderedPageBreak/>
        <w:t>touris</w:t>
      </w:r>
      <w:r w:rsidR="00DF20E8">
        <w:rPr>
          <w:rFonts w:eastAsia="Times New Roman" w:cs="Arial"/>
          <w:sz w:val="24"/>
          <w:szCs w:val="24"/>
        </w:rPr>
        <w:t>m turnover</w:t>
      </w:r>
      <w:r w:rsidRPr="003C7CB1">
        <w:rPr>
          <w:rFonts w:eastAsia="Times New Roman" w:cs="Arial"/>
          <w:sz w:val="24"/>
          <w:szCs w:val="24"/>
        </w:rPr>
        <w:t xml:space="preserve"> will continue to depend predominantly on the global epidemiological situation.  </w:t>
      </w:r>
    </w:p>
    <w:p w14:paraId="018675A1" w14:textId="77777777" w:rsidR="00E732FA" w:rsidRPr="003C7CB1" w:rsidRDefault="00E732FA" w:rsidP="00E732FA">
      <w:pPr>
        <w:pStyle w:val="ListParagraph"/>
        <w:spacing w:after="120" w:line="240" w:lineRule="auto"/>
        <w:ind w:left="360"/>
        <w:jc w:val="center"/>
        <w:rPr>
          <w:rFonts w:eastAsia="Times New Roman" w:cs="Arial"/>
          <w:b/>
          <w:sz w:val="24"/>
          <w:szCs w:val="24"/>
        </w:rPr>
      </w:pPr>
      <w:r w:rsidRPr="003C7CB1">
        <w:rPr>
          <w:rFonts w:eastAsia="Times New Roman" w:cs="Arial"/>
          <w:b/>
          <w:sz w:val="24"/>
          <w:szCs w:val="24"/>
        </w:rPr>
        <w:t>***</w:t>
      </w:r>
    </w:p>
    <w:p w14:paraId="1E5B41EF" w14:textId="77777777" w:rsidR="00E732FA" w:rsidRPr="003C7CB1" w:rsidRDefault="00E732FA" w:rsidP="00E732FA">
      <w:pPr>
        <w:pStyle w:val="ListParagraph"/>
        <w:spacing w:after="120" w:line="240" w:lineRule="auto"/>
        <w:ind w:left="360"/>
        <w:jc w:val="both"/>
        <w:rPr>
          <w:rFonts w:eastAsia="Times New Roman" w:cs="Arial"/>
          <w:sz w:val="24"/>
          <w:szCs w:val="24"/>
        </w:rPr>
      </w:pPr>
    </w:p>
    <w:p w14:paraId="2DFD3A41" w14:textId="77777777" w:rsidR="00E732FA" w:rsidRPr="003C7CB1" w:rsidRDefault="00E732FA" w:rsidP="00E732FA">
      <w:pPr>
        <w:pStyle w:val="ListParagraph"/>
        <w:spacing w:after="120" w:line="240" w:lineRule="auto"/>
        <w:ind w:left="360"/>
        <w:jc w:val="both"/>
        <w:rPr>
          <w:rFonts w:eastAsia="Times New Roman" w:cs="Arial"/>
          <w:sz w:val="24"/>
          <w:szCs w:val="24"/>
        </w:rPr>
      </w:pPr>
      <w:r w:rsidRPr="003C7CB1">
        <w:rPr>
          <w:rFonts w:eastAsia="Times New Roman" w:cs="Arial"/>
          <w:sz w:val="24"/>
          <w:szCs w:val="24"/>
        </w:rPr>
        <w:t>Considering that tourism is an extremely sensitive economic branch that reacts promptly to all crisis events, it is expected that the current political crisis between Russia and Ukraine, i.e., war events on the territory of Ukraine, negatively affect global tourism trends.</w:t>
      </w:r>
      <w:r w:rsidRPr="003C7CB1">
        <w:t xml:space="preserve"> </w:t>
      </w:r>
      <w:r w:rsidRPr="003C7CB1">
        <w:rPr>
          <w:rFonts w:eastAsia="Times New Roman" w:cs="Arial"/>
          <w:sz w:val="24"/>
          <w:szCs w:val="24"/>
        </w:rPr>
        <w:t xml:space="preserve">This means that in the period when tourism is still recovering from the consequences of the Covid-19 pandemic, it is also facing a new crisis whose repercussions on tourism cannot be more precisely predicted at this time. </w:t>
      </w:r>
    </w:p>
    <w:p w14:paraId="66B09914" w14:textId="77777777" w:rsidR="00E732FA" w:rsidRPr="003C7CB1" w:rsidRDefault="00E732FA" w:rsidP="00E732FA">
      <w:pPr>
        <w:pStyle w:val="ListParagraph"/>
        <w:spacing w:after="120" w:line="240" w:lineRule="auto"/>
        <w:ind w:left="360"/>
        <w:jc w:val="both"/>
        <w:rPr>
          <w:rFonts w:eastAsia="Times New Roman" w:cs="Arial"/>
          <w:sz w:val="24"/>
          <w:szCs w:val="24"/>
        </w:rPr>
      </w:pPr>
    </w:p>
    <w:p w14:paraId="1FED8513" w14:textId="3E5583DD" w:rsidR="00E732FA" w:rsidRPr="003C7CB1" w:rsidRDefault="00E732FA" w:rsidP="00E732FA">
      <w:pPr>
        <w:pStyle w:val="ListParagraph"/>
        <w:spacing w:after="120" w:line="240" w:lineRule="auto"/>
        <w:ind w:left="360"/>
        <w:jc w:val="both"/>
        <w:rPr>
          <w:rFonts w:eastAsia="Times New Roman" w:cs="Arial"/>
          <w:sz w:val="24"/>
          <w:szCs w:val="24"/>
        </w:rPr>
      </w:pPr>
      <w:r w:rsidRPr="003C7CB1">
        <w:rPr>
          <w:rFonts w:eastAsia="Times New Roman" w:cs="Arial"/>
          <w:sz w:val="24"/>
          <w:szCs w:val="24"/>
        </w:rPr>
        <w:t xml:space="preserve">When it comes to Montenegro as a tourist destination, the experiences gained during the recovery of tourism from Covid-19 will be used. This means that practical solutions will be adapted to any potential crisis situation. </w:t>
      </w:r>
      <w:r w:rsidR="00765B94">
        <w:rPr>
          <w:rFonts w:cs="Arial"/>
          <w:sz w:val="24"/>
          <w:szCs w:val="24"/>
        </w:rPr>
        <w:t xml:space="preserve">                                                                                     </w:t>
      </w:r>
    </w:p>
    <w:p w14:paraId="7616DBCD" w14:textId="77777777" w:rsidR="00E732FA" w:rsidRPr="003C7CB1" w:rsidRDefault="00E732FA" w:rsidP="00E732FA">
      <w:pPr>
        <w:pStyle w:val="ListParagraph"/>
        <w:spacing w:after="120" w:line="240" w:lineRule="auto"/>
        <w:ind w:left="360"/>
        <w:jc w:val="both"/>
        <w:rPr>
          <w:rFonts w:eastAsia="Times New Roman" w:cs="Arial"/>
          <w:sz w:val="24"/>
          <w:szCs w:val="24"/>
        </w:rPr>
      </w:pPr>
    </w:p>
    <w:p w14:paraId="65FB46A0" w14:textId="77777777" w:rsidR="00E732FA" w:rsidRPr="003C7CB1" w:rsidRDefault="00E732FA" w:rsidP="00E732FA">
      <w:pPr>
        <w:pStyle w:val="ListParagraph"/>
        <w:spacing w:after="120" w:line="240" w:lineRule="auto"/>
        <w:ind w:left="360"/>
        <w:jc w:val="both"/>
        <w:rPr>
          <w:rFonts w:eastAsia="Times New Roman" w:cs="Arial"/>
          <w:sz w:val="24"/>
          <w:szCs w:val="24"/>
        </w:rPr>
      </w:pPr>
      <w:r w:rsidRPr="003C7CB1">
        <w:rPr>
          <w:rFonts w:eastAsia="Times New Roman" w:cs="Arial"/>
          <w:sz w:val="24"/>
          <w:szCs w:val="24"/>
        </w:rPr>
        <w:t xml:space="preserve">This adds value to this strategic document, as it aims to position Montenegro globally as a responsible, adaptable and a destination resilient to all types of crises. </w:t>
      </w:r>
    </w:p>
    <w:p w14:paraId="73D14B67" w14:textId="77777777" w:rsidR="00E732FA" w:rsidRPr="003C7CB1" w:rsidRDefault="00E732FA" w:rsidP="00E732FA">
      <w:pPr>
        <w:pStyle w:val="ListParagraph"/>
        <w:spacing w:after="120" w:line="240" w:lineRule="auto"/>
        <w:ind w:left="360"/>
        <w:jc w:val="both"/>
        <w:rPr>
          <w:rFonts w:eastAsia="Times New Roman" w:cs="Arial"/>
          <w:sz w:val="24"/>
          <w:szCs w:val="24"/>
        </w:rPr>
      </w:pPr>
    </w:p>
    <w:p w14:paraId="3F46A21C" w14:textId="77777777" w:rsidR="00E732FA" w:rsidRPr="003C7CB1" w:rsidRDefault="00E732FA" w:rsidP="00E732FA">
      <w:pPr>
        <w:pStyle w:val="ListParagraph"/>
        <w:spacing w:after="120" w:line="240" w:lineRule="auto"/>
        <w:ind w:left="360"/>
        <w:jc w:val="both"/>
        <w:rPr>
          <w:rFonts w:eastAsia="Times New Roman" w:cs="Arial"/>
          <w:sz w:val="24"/>
          <w:szCs w:val="24"/>
        </w:rPr>
      </w:pPr>
      <w:r w:rsidRPr="003C7CB1">
        <w:rPr>
          <w:rFonts w:eastAsia="Times New Roman" w:cs="Arial"/>
          <w:sz w:val="24"/>
          <w:szCs w:val="24"/>
        </w:rPr>
        <w:t xml:space="preserve">Accordingly, the definition of priority emission markets will be adjusted.  </w:t>
      </w:r>
    </w:p>
    <w:p w14:paraId="13C5D109" w14:textId="77777777" w:rsidR="00E732FA" w:rsidRPr="003C7CB1" w:rsidRDefault="00E732FA" w:rsidP="00E732FA">
      <w:pPr>
        <w:pStyle w:val="ListParagraph"/>
        <w:spacing w:after="120" w:line="240" w:lineRule="auto"/>
        <w:ind w:left="360"/>
        <w:jc w:val="both"/>
        <w:rPr>
          <w:rFonts w:eastAsia="Times New Roman" w:cs="Arial"/>
          <w:sz w:val="24"/>
          <w:szCs w:val="24"/>
        </w:rPr>
      </w:pPr>
      <w:r w:rsidRPr="003C7CB1">
        <w:rPr>
          <w:rFonts w:eastAsia="Times New Roman" w:cs="Arial"/>
          <w:sz w:val="24"/>
          <w:szCs w:val="24"/>
        </w:rPr>
        <w:t xml:space="preserve"> </w:t>
      </w:r>
    </w:p>
    <w:p w14:paraId="26F0F6FA" w14:textId="77777777" w:rsidR="00E732FA" w:rsidRPr="003C7CB1" w:rsidRDefault="00E732FA" w:rsidP="00E732FA">
      <w:pPr>
        <w:pStyle w:val="ListParagraph"/>
        <w:spacing w:after="120" w:line="240" w:lineRule="auto"/>
        <w:ind w:left="360"/>
        <w:jc w:val="both"/>
        <w:rPr>
          <w:rFonts w:eastAsia="Times New Roman" w:cs="Arial"/>
          <w:sz w:val="24"/>
          <w:szCs w:val="24"/>
        </w:rPr>
      </w:pPr>
      <w:r w:rsidRPr="003C7CB1">
        <w:rPr>
          <w:rFonts w:eastAsia="Times New Roman" w:cs="Arial"/>
          <w:sz w:val="24"/>
          <w:szCs w:val="24"/>
        </w:rPr>
        <w:t xml:space="preserve">      </w:t>
      </w:r>
    </w:p>
    <w:p w14:paraId="053F8AD9" w14:textId="77777777" w:rsidR="00E732FA" w:rsidRPr="003C7CB1" w:rsidRDefault="00E732FA" w:rsidP="00E732FA">
      <w:pPr>
        <w:pStyle w:val="ListParagraph"/>
        <w:spacing w:after="120" w:line="240" w:lineRule="auto"/>
        <w:ind w:left="360"/>
        <w:jc w:val="both"/>
        <w:rPr>
          <w:rFonts w:eastAsia="Times New Roman" w:cs="Arial"/>
          <w:sz w:val="24"/>
          <w:szCs w:val="24"/>
        </w:rPr>
      </w:pPr>
    </w:p>
    <w:p w14:paraId="71BE58E2" w14:textId="77777777" w:rsidR="00E732FA" w:rsidRPr="003C7CB1" w:rsidRDefault="00E732FA" w:rsidP="00E732FA">
      <w:pPr>
        <w:pStyle w:val="ListParagraph"/>
        <w:spacing w:after="120" w:line="240" w:lineRule="auto"/>
        <w:ind w:left="360"/>
        <w:jc w:val="both"/>
        <w:rPr>
          <w:rFonts w:eastAsia="Times New Roman" w:cs="Arial"/>
          <w:sz w:val="24"/>
          <w:szCs w:val="24"/>
        </w:rPr>
      </w:pPr>
    </w:p>
    <w:p w14:paraId="2E64BCD4" w14:textId="77777777" w:rsidR="00E732FA" w:rsidRPr="003C7CB1" w:rsidRDefault="00E732FA" w:rsidP="00E732FA">
      <w:pPr>
        <w:pStyle w:val="ListParagraph"/>
        <w:numPr>
          <w:ilvl w:val="0"/>
          <w:numId w:val="6"/>
        </w:numPr>
        <w:spacing w:after="0" w:line="240" w:lineRule="auto"/>
        <w:ind w:hanging="357"/>
        <w:jc w:val="both"/>
        <w:rPr>
          <w:b/>
          <w:sz w:val="28"/>
          <w:szCs w:val="28"/>
        </w:rPr>
      </w:pPr>
      <w:r w:rsidRPr="003C7CB1">
        <w:rPr>
          <w:b/>
          <w:sz w:val="28"/>
          <w:szCs w:val="28"/>
        </w:rPr>
        <w:br w:type="page"/>
      </w:r>
    </w:p>
    <w:p w14:paraId="69ACEC0D" w14:textId="77777777" w:rsidR="00E732FA" w:rsidRPr="003C7CB1" w:rsidRDefault="00E732FA" w:rsidP="00E732FA">
      <w:pPr>
        <w:spacing w:after="120"/>
        <w:jc w:val="both"/>
        <w:rPr>
          <w:sz w:val="24"/>
          <w:szCs w:val="24"/>
        </w:rPr>
      </w:pPr>
      <w:r w:rsidRPr="003C7CB1">
        <w:rPr>
          <w:noProof/>
          <w:sz w:val="24"/>
          <w:szCs w:val="24"/>
        </w:rPr>
        <w:lastRenderedPageBreak/>
        <w:drawing>
          <wp:inline distT="0" distB="0" distL="0" distR="0" wp14:anchorId="2FDDB32F" wp14:editId="032B9695">
            <wp:extent cx="5732145" cy="8108211"/>
            <wp:effectExtent l="0" t="0" r="1905" b="762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10 drvo problema.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29E8A32A" w14:textId="77777777" w:rsidR="00E732FA" w:rsidRPr="003C7CB1" w:rsidRDefault="00E732FA" w:rsidP="00E732FA">
      <w:pPr>
        <w:pStyle w:val="Heading1"/>
        <w:numPr>
          <w:ilvl w:val="0"/>
          <w:numId w:val="48"/>
        </w:numPr>
      </w:pPr>
      <w:bookmarkStart w:id="134" w:name="_Toc102133807"/>
      <w:bookmarkStart w:id="135" w:name="_Toc104544191"/>
      <w:r w:rsidRPr="003C7CB1">
        <w:lastRenderedPageBreak/>
        <w:t>PROBLEM TREE</w:t>
      </w:r>
      <w:bookmarkEnd w:id="134"/>
      <w:bookmarkEnd w:id="135"/>
      <w:r w:rsidRPr="003C7CB1">
        <w:t xml:space="preserve">  </w:t>
      </w:r>
    </w:p>
    <w:p w14:paraId="5CC84012" w14:textId="77777777" w:rsidR="00E732FA" w:rsidRPr="003C7CB1" w:rsidRDefault="00E732FA" w:rsidP="00E732FA">
      <w:pPr>
        <w:spacing w:after="120"/>
        <w:jc w:val="both"/>
        <w:rPr>
          <w:sz w:val="24"/>
          <w:szCs w:val="24"/>
        </w:rPr>
      </w:pPr>
      <w:r w:rsidRPr="003C7CB1">
        <w:rPr>
          <w:noProof/>
        </w:rPr>
        <mc:AlternateContent>
          <mc:Choice Requires="wps">
            <w:drawing>
              <wp:anchor distT="0" distB="0" distL="114300" distR="114300" simplePos="0" relativeHeight="251851264" behindDoc="0" locked="0" layoutInCell="1" allowOverlap="1" wp14:anchorId="35660E14" wp14:editId="2736ECEF">
                <wp:simplePos x="0" y="0"/>
                <wp:positionH relativeFrom="column">
                  <wp:posOffset>3529965</wp:posOffset>
                </wp:positionH>
                <wp:positionV relativeFrom="paragraph">
                  <wp:posOffset>6966292</wp:posOffset>
                </wp:positionV>
                <wp:extent cx="948690" cy="634365"/>
                <wp:effectExtent l="15240" t="14605" r="17145" b="27305"/>
                <wp:wrapNone/>
                <wp:docPr id="4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8690" cy="634365"/>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0F2E8775" w14:textId="77777777" w:rsidR="00193646" w:rsidRPr="0099458E" w:rsidRDefault="00193646" w:rsidP="00E732FA">
                            <w:pPr>
                              <w:jc w:val="center"/>
                              <w:rPr>
                                <w:b/>
                                <w:sz w:val="16"/>
                                <w:szCs w:val="16"/>
                              </w:rPr>
                            </w:pPr>
                            <w:r w:rsidRPr="004742ED">
                              <w:rPr>
                                <w:b/>
                                <w:sz w:val="16"/>
                                <w:szCs w:val="16"/>
                              </w:rPr>
                              <w:t>UNDEVELOPED INFRA AND SUPRA STRUCTURE</w:t>
                            </w:r>
                            <w:r>
                              <w:rPr>
                                <w:b/>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60E14" id="Rectangle 55" o:spid="_x0000_s1026" style="position:absolute;left:0;text-align:left;margin-left:277.95pt;margin-top:548.55pt;width:74.7pt;height:49.95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" strokecolor="#a9d18e" strokeweight="1pt">
                <v:fill color2="#c5e0b4" focus="100%" type="gradient"/>
                <v:shadow on="t" color="#385723" opacity=".5" offset="1pt"/>
                <v:textbox>
                  <w:txbxContent>
                    <w:p w14:paraId="0F2E8775" w14:textId="77777777" w:rsidR="00193646" w:rsidRPr="0099458E" w:rsidRDefault="00193646" w:rsidP="00E732FA">
                      <w:pPr>
                        <w:jc w:val="center"/>
                        <w:rPr>
                          <w:b/>
                          <w:sz w:val="16"/>
                          <w:szCs w:val="16"/>
                        </w:rPr>
                      </w:pPr>
                      <w:r w:rsidRPr="004742ED">
                        <w:rPr>
                          <w:b/>
                          <w:sz w:val="16"/>
                          <w:szCs w:val="16"/>
                        </w:rPr>
                        <w:t>UNDEVELOPED INFRA AND SUPRA STRUCTURE</w:t>
                      </w:r>
                      <w:r>
                        <w:rPr>
                          <w:b/>
                          <w:sz w:val="16"/>
                          <w:szCs w:val="16"/>
                        </w:rPr>
                        <w:t xml:space="preserve"> </w:t>
                      </w:r>
                    </w:p>
                  </w:txbxContent>
                </v:textbox>
              </v:rect>
            </w:pict>
          </mc:Fallback>
        </mc:AlternateContent>
      </w:r>
      <w:r w:rsidRPr="003C7CB1">
        <w:rPr>
          <w:noProof/>
        </w:rPr>
        <mc:AlternateContent>
          <mc:Choice Requires="wps">
            <w:drawing>
              <wp:anchor distT="0" distB="0" distL="114300" distR="114300" simplePos="0" relativeHeight="251855360" behindDoc="0" locked="0" layoutInCell="1" allowOverlap="1" wp14:anchorId="012C543C" wp14:editId="1CA8393F">
                <wp:simplePos x="0" y="0"/>
                <wp:positionH relativeFrom="column">
                  <wp:posOffset>3459707</wp:posOffset>
                </wp:positionH>
                <wp:positionV relativeFrom="paragraph">
                  <wp:posOffset>5811644</wp:posOffset>
                </wp:positionV>
                <wp:extent cx="1125855" cy="907576"/>
                <wp:effectExtent l="0" t="0" r="36195" b="64135"/>
                <wp:wrapNone/>
                <wp:docPr id="5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855" cy="907576"/>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070F5E5C" w14:textId="77777777" w:rsidR="00193646" w:rsidRDefault="00193646" w:rsidP="00E732FA">
                            <w:pPr>
                              <w:jc w:val="center"/>
                            </w:pPr>
                            <w:r w:rsidRPr="004742ED">
                              <w:rPr>
                                <w:b/>
                                <w:color w:val="000000" w:themeColor="text1"/>
                                <w:sz w:val="16"/>
                                <w:szCs w:val="16"/>
                              </w:rPr>
                              <w:t>INADEQUATE LEGISLATION, SYSTEM FAILURES, INSPECTION CAPACITIES</w:t>
                            </w:r>
                            <w:r>
                              <w:rPr>
                                <w:b/>
                                <w:color w:val="000000" w:themeColor="text1"/>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C543C" id="Rectangle 59" o:spid="_x0000_s1027" style="position:absolute;left:0;text-align:left;margin-left:272.4pt;margin-top:457.6pt;width:88.65pt;height:71.4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" strokecolor="#a9d18e" strokeweight="1pt">
                <v:fill color2="#c5e0b4" focus="100%" type="gradient"/>
                <v:shadow on="t" color="#385723" opacity=".5" offset="1pt"/>
                <v:textbox>
                  <w:txbxContent>
                    <w:p w14:paraId="070F5E5C" w14:textId="77777777" w:rsidR="00193646" w:rsidRDefault="00193646" w:rsidP="00E732FA">
                      <w:pPr>
                        <w:jc w:val="center"/>
                      </w:pPr>
                      <w:r w:rsidRPr="004742ED">
                        <w:rPr>
                          <w:b/>
                          <w:color w:val="000000" w:themeColor="text1"/>
                          <w:sz w:val="16"/>
                          <w:szCs w:val="16"/>
                        </w:rPr>
                        <w:t>INADEQUATE LEGISLATION, SYSTEM FAILURES, INSPECTION CAPACITIES</w:t>
                      </w:r>
                      <w:r>
                        <w:rPr>
                          <w:b/>
                          <w:color w:val="000000" w:themeColor="text1"/>
                          <w:sz w:val="16"/>
                          <w:szCs w:val="16"/>
                        </w:rPr>
                        <w:t xml:space="preserve"> </w:t>
                      </w:r>
                    </w:p>
                  </w:txbxContent>
                </v:textbox>
              </v:rect>
            </w:pict>
          </mc:Fallback>
        </mc:AlternateContent>
      </w:r>
      <w:r w:rsidRPr="003C7CB1">
        <w:rPr>
          <w:noProof/>
        </w:rPr>
        <mc:AlternateContent>
          <mc:Choice Requires="wps">
            <w:drawing>
              <wp:anchor distT="0" distB="0" distL="114300" distR="114300" simplePos="0" relativeHeight="251856384" behindDoc="0" locked="0" layoutInCell="1" allowOverlap="1" wp14:anchorId="7CA8E93F" wp14:editId="7709068A">
                <wp:simplePos x="0" y="0"/>
                <wp:positionH relativeFrom="column">
                  <wp:posOffset>2115403</wp:posOffset>
                </wp:positionH>
                <wp:positionV relativeFrom="paragraph">
                  <wp:posOffset>5811642</wp:posOffset>
                </wp:positionV>
                <wp:extent cx="1120140" cy="1221475"/>
                <wp:effectExtent l="0" t="0" r="41910" b="55245"/>
                <wp:wrapNone/>
                <wp:docPr id="5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1221475"/>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73A3B481" w14:textId="77777777" w:rsidR="00193646" w:rsidRDefault="00193646" w:rsidP="00E732FA">
                            <w:pPr>
                              <w:jc w:val="center"/>
                            </w:pPr>
                            <w:r w:rsidRPr="004742ED">
                              <w:rPr>
                                <w:b/>
                                <w:color w:val="000000" w:themeColor="text1"/>
                                <w:sz w:val="16"/>
                                <w:szCs w:val="16"/>
                              </w:rPr>
                              <w:t>INSUFFICIENT ECOLOGICAL AWARENESS</w:t>
                            </w:r>
                            <w:r>
                              <w:rPr>
                                <w:b/>
                                <w:color w:val="000000" w:themeColor="text1"/>
                                <w:sz w:val="16"/>
                                <w:szCs w:val="16"/>
                              </w:rPr>
                              <w:t xml:space="preserve"> (ENDANGERING NATURAL RESOURCES, </w:t>
                            </w:r>
                            <w:r w:rsidRPr="004742ED">
                              <w:rPr>
                                <w:b/>
                                <w:color w:val="000000" w:themeColor="text1"/>
                                <w:sz w:val="16"/>
                                <w:szCs w:val="16"/>
                              </w:rPr>
                              <w:t>INADEQUATE WASTE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8E93F" id="Rectangle 60" o:spid="_x0000_s1028" style="position:absolute;left:0;text-align:left;margin-left:166.55pt;margin-top:457.6pt;width:88.2pt;height:96.2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" strokecolor="#a9d18e" strokeweight="1pt">
                <v:fill color2="#c5e0b4" focus="100%" type="gradient"/>
                <v:shadow on="t" color="#385723" opacity=".5" offset="1pt"/>
                <v:textbox>
                  <w:txbxContent>
                    <w:p w14:paraId="73A3B481" w14:textId="77777777" w:rsidR="00193646" w:rsidRDefault="00193646" w:rsidP="00E732FA">
                      <w:pPr>
                        <w:jc w:val="center"/>
                      </w:pPr>
                      <w:r w:rsidRPr="004742ED">
                        <w:rPr>
                          <w:b/>
                          <w:color w:val="000000" w:themeColor="text1"/>
                          <w:sz w:val="16"/>
                          <w:szCs w:val="16"/>
                        </w:rPr>
                        <w:t>INSUFFICIENT ECOLOGICAL AWARENESS</w:t>
                      </w:r>
                      <w:r>
                        <w:rPr>
                          <w:b/>
                          <w:color w:val="000000" w:themeColor="text1"/>
                          <w:sz w:val="16"/>
                          <w:szCs w:val="16"/>
                        </w:rPr>
                        <w:t xml:space="preserve"> (ENDANGERING NATURAL RESOURCES, </w:t>
                      </w:r>
                      <w:r w:rsidRPr="004742ED">
                        <w:rPr>
                          <w:b/>
                          <w:color w:val="000000" w:themeColor="text1"/>
                          <w:sz w:val="16"/>
                          <w:szCs w:val="16"/>
                        </w:rPr>
                        <w:t>INADEQUATE WASTE MANAGEMENT)</w:t>
                      </w:r>
                    </w:p>
                  </w:txbxContent>
                </v:textbox>
              </v:rect>
            </w:pict>
          </mc:Fallback>
        </mc:AlternateContent>
      </w:r>
      <w:r w:rsidRPr="003C7CB1">
        <w:rPr>
          <w:noProof/>
        </w:rPr>
        <mc:AlternateContent>
          <mc:Choice Requires="wps">
            <w:drawing>
              <wp:anchor distT="0" distB="0" distL="114300" distR="114300" simplePos="0" relativeHeight="251852288" behindDoc="0" locked="0" layoutInCell="1" allowOverlap="1" wp14:anchorId="304CCCE7" wp14:editId="0D5D7BA2">
                <wp:simplePos x="0" y="0"/>
                <wp:positionH relativeFrom="column">
                  <wp:posOffset>1023582</wp:posOffset>
                </wp:positionH>
                <wp:positionV relativeFrom="paragraph">
                  <wp:posOffset>6719219</wp:posOffset>
                </wp:positionV>
                <wp:extent cx="982639" cy="723332"/>
                <wp:effectExtent l="0" t="0" r="46355" b="57785"/>
                <wp:wrapNone/>
                <wp:docPr id="5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639" cy="723332"/>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6A50A4D5" w14:textId="77777777" w:rsidR="00193646" w:rsidRPr="00285C9B" w:rsidRDefault="00193646" w:rsidP="00E732FA">
                            <w:pPr>
                              <w:jc w:val="center"/>
                              <w:rPr>
                                <w:b/>
                                <w:sz w:val="16"/>
                                <w:szCs w:val="16"/>
                                <w:lang w:val="sr-Latn-ME"/>
                              </w:rPr>
                            </w:pPr>
                            <w:r w:rsidRPr="004742ED">
                              <w:rPr>
                                <w:b/>
                                <w:sz w:val="16"/>
                                <w:szCs w:val="16"/>
                                <w:lang w:val="sr-Latn-ME"/>
                              </w:rPr>
                              <w:t>LOW AWARENESS OF THE IMPORTANCE OF TOURISM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CCCE7" id="Rectangle 56" o:spid="_x0000_s1029" style="position:absolute;left:0;text-align:left;margin-left:80.6pt;margin-top:529.05pt;width:77.35pt;height:56.9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" strokecolor="#a9d18e" strokeweight="1pt">
                <v:fill color2="#c5e0b4" focus="100%" type="gradient"/>
                <v:shadow on="t" color="#385723" opacity=".5" offset="1pt"/>
                <v:textbox>
                  <w:txbxContent>
                    <w:p w14:paraId="6A50A4D5" w14:textId="77777777" w:rsidR="00193646" w:rsidRPr="00285C9B" w:rsidRDefault="00193646" w:rsidP="00E732FA">
                      <w:pPr>
                        <w:jc w:val="center"/>
                        <w:rPr>
                          <w:b/>
                          <w:sz w:val="16"/>
                          <w:szCs w:val="16"/>
                          <w:lang w:val="sr-Latn-ME"/>
                        </w:rPr>
                      </w:pPr>
                      <w:r w:rsidRPr="004742ED">
                        <w:rPr>
                          <w:b/>
                          <w:sz w:val="16"/>
                          <w:szCs w:val="16"/>
                          <w:lang w:val="sr-Latn-ME"/>
                        </w:rPr>
                        <w:t>LOW AWARENESS OF THE IMPORTANCE OF TOURISM</w:t>
                      </w:r>
                    </w:p>
                  </w:txbxContent>
                </v:textbox>
              </v:rect>
            </w:pict>
          </mc:Fallback>
        </mc:AlternateContent>
      </w:r>
      <w:r w:rsidRPr="003C7CB1">
        <w:rPr>
          <w:noProof/>
        </w:rPr>
        <mc:AlternateContent>
          <mc:Choice Requires="wps">
            <w:drawing>
              <wp:anchor distT="0" distB="0" distL="114300" distR="114300" simplePos="0" relativeHeight="251889152" behindDoc="0" locked="0" layoutInCell="1" allowOverlap="1" wp14:anchorId="565CB4CA" wp14:editId="3D909967">
                <wp:simplePos x="0" y="0"/>
                <wp:positionH relativeFrom="column">
                  <wp:posOffset>777922</wp:posOffset>
                </wp:positionH>
                <wp:positionV relativeFrom="paragraph">
                  <wp:posOffset>1403416</wp:posOffset>
                </wp:positionV>
                <wp:extent cx="1480782" cy="990600"/>
                <wp:effectExtent l="0" t="0" r="43815" b="57150"/>
                <wp:wrapNone/>
                <wp:docPr id="6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782" cy="990600"/>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32D075D7" w14:textId="77777777" w:rsidR="00193646" w:rsidRDefault="00193646" w:rsidP="00E732FA">
                            <w:pPr>
                              <w:jc w:val="center"/>
                            </w:pPr>
                            <w:r w:rsidRPr="00F2611C">
                              <w:rPr>
                                <w:b/>
                                <w:color w:val="000000" w:themeColor="text1"/>
                                <w:sz w:val="18"/>
                                <w:szCs w:val="18"/>
                              </w:rPr>
                              <w:t>LIMITED PERFORMANCE OF THE DESTINATION MANAGEMENT MODEL AND LIMITED MARKETING PERFORMANCE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CB4CA" id="Rectangle 69" o:spid="_x0000_s1030" style="position:absolute;left:0;text-align:left;margin-left:61.25pt;margin-top:110.5pt;width:116.6pt;height:78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" strokecolor="#9dc3e6" strokeweight="1pt">
                <v:fill color2="#bdd7ee" focus="100%" type="gradient"/>
                <v:shadow on="t" color="#1f4e79" opacity=".5" offset="1pt"/>
                <v:textbox>
                  <w:txbxContent>
                    <w:p w14:paraId="32D075D7" w14:textId="77777777" w:rsidR="00193646" w:rsidRDefault="00193646" w:rsidP="00E732FA">
                      <w:pPr>
                        <w:jc w:val="center"/>
                      </w:pPr>
                      <w:r w:rsidRPr="00F2611C">
                        <w:rPr>
                          <w:b/>
                          <w:color w:val="000000" w:themeColor="text1"/>
                          <w:sz w:val="18"/>
                          <w:szCs w:val="18"/>
                        </w:rPr>
                        <w:t>LIMITED PERFORMANCE OF THE DESTINATION MANAGEMENT MODEL AND LIMITED MARKETING PERFORMANCE</w:t>
                      </w:r>
                    </w:p>
                  </w:txbxContent>
                </v:textbox>
              </v:rect>
            </w:pict>
          </mc:Fallback>
        </mc:AlternateContent>
      </w:r>
      <w:r w:rsidRPr="003C7CB1">
        <w:rPr>
          <w:noProof/>
        </w:rPr>
        <mc:AlternateContent>
          <mc:Choice Requires="wps">
            <w:drawing>
              <wp:anchor distT="0" distB="0" distL="114300" distR="114300" simplePos="0" relativeHeight="251885056" behindDoc="0" locked="0" layoutInCell="1" allowOverlap="1" wp14:anchorId="6F59CD19" wp14:editId="631E1943">
                <wp:simplePos x="0" y="0"/>
                <wp:positionH relativeFrom="column">
                  <wp:posOffset>791570</wp:posOffset>
                </wp:positionH>
                <wp:positionV relativeFrom="paragraph">
                  <wp:posOffset>523136</wp:posOffset>
                </wp:positionV>
                <wp:extent cx="1174987" cy="682956"/>
                <wp:effectExtent l="0" t="0" r="44450" b="60325"/>
                <wp:wrapNone/>
                <wp:docPr id="6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987" cy="682956"/>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0245999E" w14:textId="77777777" w:rsidR="00193646" w:rsidRPr="00F2611C" w:rsidRDefault="00193646" w:rsidP="00E732FA">
                            <w:pPr>
                              <w:jc w:val="center"/>
                              <w:rPr>
                                <w:b/>
                                <w:color w:val="000000" w:themeColor="text1"/>
                                <w:sz w:val="18"/>
                                <w:szCs w:val="18"/>
                              </w:rPr>
                            </w:pPr>
                            <w:r>
                              <w:rPr>
                                <w:b/>
                                <w:color w:val="000000" w:themeColor="text1"/>
                                <w:sz w:val="18"/>
                                <w:szCs w:val="18"/>
                              </w:rPr>
                              <w:t>SHORT PERIOD OF BUSINESS OF TOURISM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9CD19" id="Rectangle 66" o:spid="_x0000_s1031" style="position:absolute;left:0;text-align:left;margin-left:62.35pt;margin-top:41.2pt;width:92.5pt;height:53.8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" strokecolor="#9dc3e6" strokeweight="1pt">
                <v:fill color2="#bdd7ee" focus="100%" type="gradient"/>
                <v:shadow on="t" color="#1f4e79" opacity=".5" offset="1pt"/>
                <v:textbox>
                  <w:txbxContent>
                    <w:p w14:paraId="0245999E" w14:textId="77777777" w:rsidR="00193646" w:rsidRPr="00F2611C" w:rsidRDefault="00193646" w:rsidP="00E732FA">
                      <w:pPr>
                        <w:jc w:val="center"/>
                        <w:rPr>
                          <w:b/>
                          <w:color w:val="000000" w:themeColor="text1"/>
                          <w:sz w:val="18"/>
                          <w:szCs w:val="18"/>
                        </w:rPr>
                      </w:pPr>
                      <w:r>
                        <w:rPr>
                          <w:b/>
                          <w:color w:val="000000" w:themeColor="text1"/>
                          <w:sz w:val="18"/>
                          <w:szCs w:val="18"/>
                        </w:rPr>
                        <w:t>SHORT PERIOD OF BUSINESS OF TOURISM INDUSTRY</w:t>
                      </w:r>
                    </w:p>
                  </w:txbxContent>
                </v:textbox>
              </v:rect>
            </w:pict>
          </mc:Fallback>
        </mc:AlternateContent>
      </w:r>
      <w:r w:rsidRPr="003C7CB1">
        <w:rPr>
          <w:noProof/>
        </w:rPr>
        <mc:AlternateContent>
          <mc:Choice Requires="wps">
            <w:drawing>
              <wp:anchor distT="0" distB="0" distL="114300" distR="114300" simplePos="0" relativeHeight="251881984" behindDoc="0" locked="0" layoutInCell="1" allowOverlap="1" wp14:anchorId="14BC0FCF" wp14:editId="0DB74454">
                <wp:simplePos x="0" y="0"/>
                <wp:positionH relativeFrom="column">
                  <wp:posOffset>728345</wp:posOffset>
                </wp:positionH>
                <wp:positionV relativeFrom="paragraph">
                  <wp:posOffset>2517140</wp:posOffset>
                </wp:positionV>
                <wp:extent cx="1457325" cy="622935"/>
                <wp:effectExtent l="0" t="0" r="47625" b="62865"/>
                <wp:wrapNone/>
                <wp:docPr id="5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622935"/>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4322F413" w14:textId="77777777" w:rsidR="00193646" w:rsidRDefault="00193646" w:rsidP="00E732FA">
                            <w:pPr>
                              <w:jc w:val="center"/>
                            </w:pPr>
                            <w:r w:rsidRPr="004742ED">
                              <w:rPr>
                                <w:b/>
                                <w:color w:val="000000" w:themeColor="text1"/>
                                <w:sz w:val="18"/>
                                <w:szCs w:val="18"/>
                              </w:rPr>
                              <w:t>INSUFF</w:t>
                            </w:r>
                            <w:r>
                              <w:rPr>
                                <w:b/>
                                <w:color w:val="000000" w:themeColor="text1"/>
                                <w:sz w:val="18"/>
                                <w:szCs w:val="18"/>
                              </w:rPr>
                              <w:t>ICIENT PRIORITIZATION OF TOURISM</w:t>
                            </w:r>
                            <w:r w:rsidRPr="004742ED">
                              <w:rPr>
                                <w:b/>
                                <w:color w:val="000000" w:themeColor="text1"/>
                                <w:sz w:val="18"/>
                                <w:szCs w:val="18"/>
                              </w:rPr>
                              <w:t xml:space="preserve">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C0FCF" id="Rectangle 71" o:spid="_x0000_s1032" style="position:absolute;left:0;text-align:left;margin-left:57.35pt;margin-top:198.2pt;width:114.75pt;height:49.0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" strokecolor="#9dc3e6" strokeweight="1pt">
                <v:fill color2="#bdd7ee" focus="100%" type="gradient"/>
                <v:shadow on="t" color="#1f4e79" opacity=".5" offset="1pt"/>
                <v:textbox>
                  <w:txbxContent>
                    <w:p w14:paraId="4322F413" w14:textId="77777777" w:rsidR="00193646" w:rsidRDefault="00193646" w:rsidP="00E732FA">
                      <w:pPr>
                        <w:jc w:val="center"/>
                      </w:pPr>
                      <w:r w:rsidRPr="004742ED">
                        <w:rPr>
                          <w:b/>
                          <w:color w:val="000000" w:themeColor="text1"/>
                          <w:sz w:val="18"/>
                          <w:szCs w:val="18"/>
                        </w:rPr>
                        <w:t>INSUFF</w:t>
                      </w:r>
                      <w:r>
                        <w:rPr>
                          <w:b/>
                          <w:color w:val="000000" w:themeColor="text1"/>
                          <w:sz w:val="18"/>
                          <w:szCs w:val="18"/>
                        </w:rPr>
                        <w:t>ICIENT PRIORITIZATION OF TOURISM</w:t>
                      </w:r>
                      <w:r w:rsidRPr="004742ED">
                        <w:rPr>
                          <w:b/>
                          <w:color w:val="000000" w:themeColor="text1"/>
                          <w:sz w:val="18"/>
                          <w:szCs w:val="18"/>
                        </w:rPr>
                        <w:t xml:space="preserve"> DEVELOPMENT</w:t>
                      </w:r>
                    </w:p>
                  </w:txbxContent>
                </v:textbox>
              </v:rect>
            </w:pict>
          </mc:Fallback>
        </mc:AlternateContent>
      </w:r>
      <w:r w:rsidRPr="003C7CB1">
        <w:rPr>
          <w:noProof/>
        </w:rPr>
        <mc:AlternateContent>
          <mc:Choice Requires="wps">
            <w:drawing>
              <wp:anchor distT="0" distB="0" distL="114300" distR="114300" simplePos="0" relativeHeight="251857408" behindDoc="0" locked="0" layoutInCell="1" allowOverlap="1" wp14:anchorId="4AC512F9" wp14:editId="0575A6BD">
                <wp:simplePos x="0" y="0"/>
                <wp:positionH relativeFrom="column">
                  <wp:posOffset>4724400</wp:posOffset>
                </wp:positionH>
                <wp:positionV relativeFrom="paragraph">
                  <wp:posOffset>5810250</wp:posOffset>
                </wp:positionV>
                <wp:extent cx="1053465" cy="904875"/>
                <wp:effectExtent l="0" t="0" r="32385" b="66675"/>
                <wp:wrapNone/>
                <wp:docPr id="5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3465" cy="904875"/>
                        </a:xfrm>
                        <a:prstGeom prst="rect">
                          <a:avLst/>
                        </a:prstGeom>
                        <a:gradFill rotWithShape="0">
                          <a:gsLst>
                            <a:gs pos="0">
                              <a:srgbClr val="70AD47">
                                <a:lumMod val="60000"/>
                                <a:lumOff val="40000"/>
                              </a:srgbClr>
                            </a:gs>
                            <a:gs pos="50000">
                              <a:srgbClr val="70AD47">
                                <a:lumMod val="20000"/>
                                <a:lumOff val="80000"/>
                              </a:srgbClr>
                            </a:gs>
                            <a:gs pos="100000">
                              <a:srgbClr val="70AD47">
                                <a:lumMod val="60000"/>
                                <a:lumOff val="40000"/>
                              </a:srgbClr>
                            </a:gs>
                          </a:gsLst>
                          <a:lin ang="189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2EFA6728" w14:textId="77777777" w:rsidR="00193646" w:rsidRDefault="00193646" w:rsidP="00E732FA">
                            <w:pPr>
                              <w:jc w:val="center"/>
                            </w:pPr>
                            <w:r>
                              <w:rPr>
                                <w:b/>
                                <w:color w:val="000000" w:themeColor="text1"/>
                                <w:sz w:val="16"/>
                                <w:szCs w:val="16"/>
                              </w:rPr>
                              <w:t>LACK OF STRATEGICALLY MANAG</w:t>
                            </w:r>
                            <w:r w:rsidRPr="004742ED">
                              <w:rPr>
                                <w:b/>
                                <w:color w:val="000000" w:themeColor="text1"/>
                                <w:sz w:val="16"/>
                                <w:szCs w:val="16"/>
                              </w:rPr>
                              <w:t>ED DESTINATION MARKETING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512F9" id="Rectangle 61" o:spid="_x0000_s1033" style="position:absolute;left:0;text-align:left;margin-left:372pt;margin-top:457.5pt;width:82.95pt;height:71.2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" fillcolor="#a9d18e" strokecolor="#a9d18e" strokeweight="1pt">
                <v:fill color2="#e2f0d9" angle="135" focus="50%" type="gradient"/>
                <v:shadow on="t" color="#385723" opacity=".5" offset="1pt"/>
                <v:textbox>
                  <w:txbxContent>
                    <w:p w14:paraId="2EFA6728" w14:textId="77777777" w:rsidR="00193646" w:rsidRDefault="00193646" w:rsidP="00E732FA">
                      <w:pPr>
                        <w:jc w:val="center"/>
                      </w:pPr>
                      <w:r>
                        <w:rPr>
                          <w:b/>
                          <w:color w:val="000000" w:themeColor="text1"/>
                          <w:sz w:val="16"/>
                          <w:szCs w:val="16"/>
                        </w:rPr>
                        <w:t>LACK OF STRATEGICALLY MANAG</w:t>
                      </w:r>
                      <w:r w:rsidRPr="004742ED">
                        <w:rPr>
                          <w:b/>
                          <w:color w:val="000000" w:themeColor="text1"/>
                          <w:sz w:val="16"/>
                          <w:szCs w:val="16"/>
                        </w:rPr>
                        <w:t>ED DESTINATION MARKETING</w:t>
                      </w:r>
                    </w:p>
                  </w:txbxContent>
                </v:textbox>
              </v:rect>
            </w:pict>
          </mc:Fallback>
        </mc:AlternateContent>
      </w:r>
      <w:r w:rsidRPr="003C7CB1">
        <w:rPr>
          <w:noProof/>
        </w:rPr>
        <mc:AlternateContent>
          <mc:Choice Requires="wps">
            <w:drawing>
              <wp:anchor distT="0" distB="0" distL="114300" distR="114300" simplePos="0" relativeHeight="251890176" behindDoc="0" locked="0" layoutInCell="1" allowOverlap="1" wp14:anchorId="0D8A50B1" wp14:editId="0E465A57">
                <wp:simplePos x="0" y="0"/>
                <wp:positionH relativeFrom="column">
                  <wp:posOffset>314325</wp:posOffset>
                </wp:positionH>
                <wp:positionV relativeFrom="paragraph">
                  <wp:posOffset>5114925</wp:posOffset>
                </wp:positionV>
                <wp:extent cx="171450" cy="2209800"/>
                <wp:effectExtent l="0" t="0" r="19050" b="19050"/>
                <wp:wrapNone/>
                <wp:docPr id="68"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2209800"/>
                        </a:xfrm>
                        <a:prstGeom prst="leftBrace">
                          <a:avLst>
                            <a:gd name="adj1" fmla="val 1458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A47185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4" o:spid="_x0000_s1026" type="#_x0000_t87" style="position:absolute;margin-left:24.75pt;margin-top:402.75pt;width:13.5pt;height:174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" adj="2443"/>
            </w:pict>
          </mc:Fallback>
        </mc:AlternateContent>
      </w:r>
      <w:r w:rsidRPr="003C7CB1">
        <w:rPr>
          <w:noProof/>
        </w:rPr>
        <mc:AlternateContent>
          <mc:Choice Requires="wps">
            <w:drawing>
              <wp:anchor distT="0" distB="0" distL="114300" distR="114300" simplePos="0" relativeHeight="251894272" behindDoc="0" locked="0" layoutInCell="1" allowOverlap="1" wp14:anchorId="3C046C62" wp14:editId="10BECEF6">
                <wp:simplePos x="0" y="0"/>
                <wp:positionH relativeFrom="column">
                  <wp:posOffset>2495550</wp:posOffset>
                </wp:positionH>
                <wp:positionV relativeFrom="paragraph">
                  <wp:posOffset>1213485</wp:posOffset>
                </wp:positionV>
                <wp:extent cx="1219200" cy="680085"/>
                <wp:effectExtent l="0" t="0" r="19050" b="24765"/>
                <wp:wrapNone/>
                <wp:docPr id="44" name="Rectangle 44"/>
                <wp:cNvGraphicFramePr/>
                <a:graphic xmlns:a="http://schemas.openxmlformats.org/drawingml/2006/main">
                  <a:graphicData uri="http://schemas.microsoft.com/office/word/2010/wordprocessingShape">
                    <wps:wsp>
                      <wps:cNvSpPr/>
                      <wps:spPr>
                        <a:xfrm>
                          <a:off x="0" y="0"/>
                          <a:ext cx="1219200" cy="680085"/>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7542360" w14:textId="77777777" w:rsidR="00193646" w:rsidRPr="007E699C" w:rsidRDefault="00193646" w:rsidP="00E732FA">
                            <w:pPr>
                              <w:jc w:val="center"/>
                              <w:rPr>
                                <w:b/>
                                <w:sz w:val="20"/>
                                <w:szCs w:val="20"/>
                                <w:lang w:val="sr-Latn-ME"/>
                              </w:rPr>
                            </w:pPr>
                            <w:r w:rsidRPr="00F2611C">
                              <w:rPr>
                                <w:b/>
                                <w:sz w:val="20"/>
                                <w:szCs w:val="20"/>
                                <w:lang w:val="sr-Latn-ME"/>
                              </w:rPr>
                              <w:t>POPULATION MIGRATION</w:t>
                            </w:r>
                            <w:r>
                              <w:rPr>
                                <w:b/>
                                <w:sz w:val="20"/>
                                <w:szCs w:val="20"/>
                                <w:lang w:val="sr-Latn-M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046C62" id="Rectangle 44" o:spid="_x0000_s1034" style="position:absolute;left:0;text-align:left;margin-left:196.5pt;margin-top:95.55pt;width:96pt;height:53.55pt;z-index:25189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" fillcolor="#b1cbe9" strokecolor="#5b9bd5" strokeweight=".5pt">
                <v:fill color2="#92b9e4" rotate="t" colors="0 #b1cbe9;.5 #a3c1e5;1 #92b9e4" focus="100%" type="gradient">
                  <o:fill v:ext="view" type="gradientUnscaled"/>
                </v:fill>
                <v:textbox>
                  <w:txbxContent>
                    <w:p w14:paraId="57542360" w14:textId="77777777" w:rsidR="00193646" w:rsidRPr="007E699C" w:rsidRDefault="00193646" w:rsidP="00E732FA">
                      <w:pPr>
                        <w:jc w:val="center"/>
                        <w:rPr>
                          <w:b/>
                          <w:sz w:val="20"/>
                          <w:szCs w:val="20"/>
                          <w:lang w:val="sr-Latn-ME"/>
                        </w:rPr>
                      </w:pPr>
                      <w:r w:rsidRPr="00F2611C">
                        <w:rPr>
                          <w:b/>
                          <w:sz w:val="20"/>
                          <w:szCs w:val="20"/>
                          <w:lang w:val="sr-Latn-ME"/>
                        </w:rPr>
                        <w:t>POPULATION MIGRATION</w:t>
                      </w:r>
                      <w:r>
                        <w:rPr>
                          <w:b/>
                          <w:sz w:val="20"/>
                          <w:szCs w:val="20"/>
                          <w:lang w:val="sr-Latn-ME"/>
                        </w:rPr>
                        <w:t xml:space="preserve"> </w:t>
                      </w:r>
                    </w:p>
                  </w:txbxContent>
                </v:textbox>
              </v:rect>
            </w:pict>
          </mc:Fallback>
        </mc:AlternateContent>
      </w:r>
      <w:r w:rsidRPr="003C7CB1">
        <w:rPr>
          <w:noProof/>
        </w:rPr>
        <mc:AlternateContent>
          <mc:Choice Requires="wps">
            <w:drawing>
              <wp:anchor distT="0" distB="0" distL="114300" distR="114300" simplePos="0" relativeHeight="251886080" behindDoc="0" locked="0" layoutInCell="1" allowOverlap="1" wp14:anchorId="0316614D" wp14:editId="0C9F87B7">
                <wp:simplePos x="0" y="0"/>
                <wp:positionH relativeFrom="column">
                  <wp:posOffset>2667000</wp:posOffset>
                </wp:positionH>
                <wp:positionV relativeFrom="paragraph">
                  <wp:posOffset>2019300</wp:posOffset>
                </wp:positionV>
                <wp:extent cx="1139825" cy="647700"/>
                <wp:effectExtent l="0" t="0" r="22225" b="19050"/>
                <wp:wrapNone/>
                <wp:docPr id="97" name="Rectangle 97"/>
                <wp:cNvGraphicFramePr/>
                <a:graphic xmlns:a="http://schemas.openxmlformats.org/drawingml/2006/main">
                  <a:graphicData uri="http://schemas.microsoft.com/office/word/2010/wordprocessingShape">
                    <wps:wsp>
                      <wps:cNvSpPr/>
                      <wps:spPr>
                        <a:xfrm>
                          <a:off x="0" y="0"/>
                          <a:ext cx="1139825" cy="64770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1DDFC68" w14:textId="77777777" w:rsidR="00193646" w:rsidRPr="00285C9B" w:rsidRDefault="00193646" w:rsidP="00E732FA">
                            <w:pPr>
                              <w:jc w:val="center"/>
                              <w:rPr>
                                <w:b/>
                                <w:sz w:val="18"/>
                                <w:szCs w:val="18"/>
                                <w:lang w:val="sr-Latn-ME"/>
                              </w:rPr>
                            </w:pPr>
                            <w:r w:rsidRPr="00F2611C">
                              <w:rPr>
                                <w:b/>
                                <w:sz w:val="18"/>
                                <w:szCs w:val="18"/>
                                <w:lang w:val="sr-Latn-ME"/>
                              </w:rPr>
                              <w:t>GRAY BUSINESS ZONE</w:t>
                            </w:r>
                            <w:r>
                              <w:rPr>
                                <w:b/>
                                <w:sz w:val="18"/>
                                <w:szCs w:val="18"/>
                                <w:lang w:val="sr-Latn-M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6614D" id="Rectangle 97" o:spid="_x0000_s1035" style="position:absolute;left:0;text-align:left;margin-left:210pt;margin-top:159pt;width:89.75pt;height:51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" fillcolor="#b1cbe9" strokecolor="#5b9bd5" strokeweight=".5pt">
                <v:fill color2="#92b9e4" rotate="t" colors="0 #b1cbe9;.5 #a3c1e5;1 #92b9e4" focus="100%" type="gradient">
                  <o:fill v:ext="view" type="gradientUnscaled"/>
                </v:fill>
                <v:textbox>
                  <w:txbxContent>
                    <w:p w14:paraId="51DDFC68" w14:textId="77777777" w:rsidR="00193646" w:rsidRPr="00285C9B" w:rsidRDefault="00193646" w:rsidP="00E732FA">
                      <w:pPr>
                        <w:jc w:val="center"/>
                        <w:rPr>
                          <w:b/>
                          <w:sz w:val="18"/>
                          <w:szCs w:val="18"/>
                          <w:lang w:val="sr-Latn-ME"/>
                        </w:rPr>
                      </w:pPr>
                      <w:r w:rsidRPr="00F2611C">
                        <w:rPr>
                          <w:b/>
                          <w:sz w:val="18"/>
                          <w:szCs w:val="18"/>
                          <w:lang w:val="sr-Latn-ME"/>
                        </w:rPr>
                        <w:t>GRAY BUSINESS ZONE</w:t>
                      </w:r>
                      <w:r>
                        <w:rPr>
                          <w:b/>
                          <w:sz w:val="18"/>
                          <w:szCs w:val="18"/>
                          <w:lang w:val="sr-Latn-ME"/>
                        </w:rPr>
                        <w:t xml:space="preserve"> </w:t>
                      </w:r>
                    </w:p>
                  </w:txbxContent>
                </v:textbox>
              </v:rect>
            </w:pict>
          </mc:Fallback>
        </mc:AlternateContent>
      </w:r>
      <w:r w:rsidRPr="003C7CB1">
        <w:rPr>
          <w:noProof/>
        </w:rPr>
        <mc:AlternateContent>
          <mc:Choice Requires="wps">
            <w:drawing>
              <wp:anchor distT="0" distB="0" distL="114300" distR="114300" simplePos="0" relativeHeight="251884032" behindDoc="0" locked="0" layoutInCell="1" allowOverlap="1" wp14:anchorId="5F26288F" wp14:editId="55EEE5CF">
                <wp:simplePos x="0" y="0"/>
                <wp:positionH relativeFrom="column">
                  <wp:posOffset>4200525</wp:posOffset>
                </wp:positionH>
                <wp:positionV relativeFrom="paragraph">
                  <wp:posOffset>2257425</wp:posOffset>
                </wp:positionV>
                <wp:extent cx="1577340" cy="295275"/>
                <wp:effectExtent l="0" t="0" r="41910" b="66675"/>
                <wp:wrapNone/>
                <wp:docPr id="6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295275"/>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4C28F626" w14:textId="77777777" w:rsidR="00193646" w:rsidRDefault="00193646" w:rsidP="00E732FA">
                            <w:r>
                              <w:rPr>
                                <w:b/>
                                <w:color w:val="000000" w:themeColor="text1"/>
                                <w:sz w:val="18"/>
                                <w:szCs w:val="18"/>
                              </w:rPr>
                              <w:t>ECOLOGICAL BLACK SPO</w:t>
                            </w:r>
                            <w:r w:rsidRPr="004742ED">
                              <w:rPr>
                                <w:b/>
                                <w:color w:val="000000" w:themeColor="text1"/>
                                <w:sz w:val="18"/>
                                <w:szCs w:val="18"/>
                              </w:rPr>
                              <w:t>TS</w:t>
                            </w:r>
                            <w:r>
                              <w:rPr>
                                <w:b/>
                                <w:color w:val="000000" w:themeColor="text1"/>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6288F" id="Rectangle 72" o:spid="_x0000_s1036" style="position:absolute;left:0;text-align:left;margin-left:330.75pt;margin-top:177.75pt;width:124.2pt;height:23.2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" strokecolor="#9dc3e6" strokeweight="1pt">
                <v:fill color2="#bdd7ee" focus="100%" type="gradient"/>
                <v:shadow on="t" color="#1f4e79" opacity=".5" offset="1pt"/>
                <v:textbox>
                  <w:txbxContent>
                    <w:p w14:paraId="4C28F626" w14:textId="77777777" w:rsidR="00193646" w:rsidRDefault="00193646" w:rsidP="00E732FA">
                      <w:r>
                        <w:rPr>
                          <w:b/>
                          <w:color w:val="000000" w:themeColor="text1"/>
                          <w:sz w:val="18"/>
                          <w:szCs w:val="18"/>
                        </w:rPr>
                        <w:t>ECOLOGICAL BLACK SPO</w:t>
                      </w:r>
                      <w:r w:rsidRPr="004742ED">
                        <w:rPr>
                          <w:b/>
                          <w:color w:val="000000" w:themeColor="text1"/>
                          <w:sz w:val="18"/>
                          <w:szCs w:val="18"/>
                        </w:rPr>
                        <w:t>TS</w:t>
                      </w:r>
                      <w:r>
                        <w:rPr>
                          <w:b/>
                          <w:color w:val="000000" w:themeColor="text1"/>
                          <w:sz w:val="18"/>
                          <w:szCs w:val="18"/>
                        </w:rPr>
                        <w:t xml:space="preserve"> </w:t>
                      </w:r>
                    </w:p>
                  </w:txbxContent>
                </v:textbox>
              </v:rect>
            </w:pict>
          </mc:Fallback>
        </mc:AlternateContent>
      </w:r>
      <w:r w:rsidRPr="003C7CB1">
        <w:rPr>
          <w:noProof/>
        </w:rPr>
        <mc:AlternateContent>
          <mc:Choice Requires="wps">
            <w:drawing>
              <wp:anchor distT="0" distB="0" distL="114300" distR="114300" simplePos="0" relativeHeight="251849216" behindDoc="0" locked="0" layoutInCell="1" allowOverlap="1" wp14:anchorId="48F30805" wp14:editId="2E878F25">
                <wp:simplePos x="0" y="0"/>
                <wp:positionH relativeFrom="column">
                  <wp:posOffset>1438275</wp:posOffset>
                </wp:positionH>
                <wp:positionV relativeFrom="paragraph">
                  <wp:posOffset>3714749</wp:posOffset>
                </wp:positionV>
                <wp:extent cx="3181350" cy="809625"/>
                <wp:effectExtent l="0" t="0" r="38100" b="66675"/>
                <wp:wrapNone/>
                <wp:docPr id="4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809625"/>
                        </a:xfrm>
                        <a:prstGeom prst="rect">
                          <a:avLst/>
                        </a:prstGeom>
                        <a:gradFill rotWithShape="0">
                          <a:gsLst>
                            <a:gs pos="0">
                              <a:sysClr val="window" lastClr="FFFFFF">
                                <a:lumMod val="100000"/>
                                <a:lumOff val="0"/>
                              </a:sysClr>
                            </a:gs>
                            <a:gs pos="100000">
                              <a:srgbClr val="A5A5A5">
                                <a:lumMod val="40000"/>
                                <a:lumOff val="60000"/>
                              </a:srgbClr>
                            </a:gs>
                          </a:gsLst>
                          <a:lin ang="5400000" scaled="1"/>
                        </a:gradFill>
                        <a:ln w="12700">
                          <a:solidFill>
                            <a:srgbClr val="A5A5A5">
                              <a:lumMod val="60000"/>
                              <a:lumOff val="40000"/>
                            </a:srgbClr>
                          </a:solidFill>
                          <a:miter lim="800000"/>
                          <a:headEnd/>
                          <a:tailEnd/>
                        </a:ln>
                        <a:effectLst>
                          <a:outerShdw dist="28398" dir="3806097" algn="ctr" rotWithShape="0">
                            <a:srgbClr val="A5A5A5">
                              <a:lumMod val="50000"/>
                              <a:lumOff val="0"/>
                              <a:alpha val="50000"/>
                            </a:srgbClr>
                          </a:outerShdw>
                        </a:effectLst>
                      </wps:spPr>
                      <wps:txbx>
                        <w:txbxContent>
                          <w:p w14:paraId="5A77FDE0" w14:textId="77777777" w:rsidR="00193646" w:rsidRPr="004742ED" w:rsidRDefault="00193646" w:rsidP="00E732FA">
                            <w:pPr>
                              <w:spacing w:after="0"/>
                              <w:jc w:val="center"/>
                              <w:rPr>
                                <w:b/>
                                <w:sz w:val="18"/>
                                <w:szCs w:val="18"/>
                              </w:rPr>
                            </w:pPr>
                            <w:r w:rsidRPr="004742ED">
                              <w:rPr>
                                <w:b/>
                                <w:sz w:val="18"/>
                                <w:szCs w:val="18"/>
                              </w:rPr>
                              <w:t>SEASONALITY,</w:t>
                            </w:r>
                          </w:p>
                          <w:p w14:paraId="48534DB2" w14:textId="77777777" w:rsidR="00193646" w:rsidRPr="004742ED" w:rsidRDefault="00193646" w:rsidP="00E732FA">
                            <w:pPr>
                              <w:spacing w:after="0"/>
                              <w:jc w:val="center"/>
                              <w:rPr>
                                <w:b/>
                                <w:sz w:val="18"/>
                                <w:szCs w:val="18"/>
                              </w:rPr>
                            </w:pPr>
                            <w:r w:rsidRPr="004742ED">
                              <w:rPr>
                                <w:b/>
                                <w:sz w:val="18"/>
                                <w:szCs w:val="18"/>
                              </w:rPr>
                              <w:t>REGIONAL IMBALANCE,</w:t>
                            </w:r>
                          </w:p>
                          <w:p w14:paraId="3ED87EE7" w14:textId="77777777" w:rsidR="00193646" w:rsidRPr="004742ED" w:rsidRDefault="00193646" w:rsidP="00E732FA">
                            <w:pPr>
                              <w:spacing w:after="0"/>
                              <w:jc w:val="center"/>
                              <w:rPr>
                                <w:b/>
                                <w:sz w:val="18"/>
                                <w:szCs w:val="18"/>
                              </w:rPr>
                            </w:pPr>
                            <w:r w:rsidRPr="004742ED">
                              <w:rPr>
                                <w:b/>
                                <w:sz w:val="18"/>
                                <w:szCs w:val="18"/>
                              </w:rPr>
                              <w:t>INADEQUATE QUALITY OF SERVICE (STAFF, CAPACITY),</w:t>
                            </w:r>
                          </w:p>
                          <w:p w14:paraId="12894A93" w14:textId="77777777" w:rsidR="00193646" w:rsidRPr="00A93677" w:rsidRDefault="00193646" w:rsidP="00E732FA">
                            <w:pPr>
                              <w:spacing w:after="0"/>
                              <w:jc w:val="center"/>
                              <w:rPr>
                                <w:sz w:val="16"/>
                                <w:szCs w:val="16"/>
                              </w:rPr>
                            </w:pPr>
                            <w:r>
                              <w:rPr>
                                <w:b/>
                                <w:sz w:val="18"/>
                                <w:szCs w:val="18"/>
                              </w:rPr>
                              <w:t>GRA</w:t>
                            </w:r>
                            <w:r w:rsidRPr="004742ED">
                              <w:rPr>
                                <w:b/>
                                <w:sz w:val="18"/>
                                <w:szCs w:val="18"/>
                              </w:rPr>
                              <w:t>Y ECONOMY</w:t>
                            </w:r>
                            <w:r>
                              <w:rPr>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30805" id="Rectangle 53" o:spid="_x0000_s1037" style="position:absolute;left:0;text-align:left;margin-left:113.25pt;margin-top:292.5pt;width:250.5pt;height:63.7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" strokecolor="#c9c9c9" strokeweight="1pt">
                <v:fill color2="#dbdbdb" focus="100%" type="gradient"/>
                <v:shadow on="t" color="#525252" opacity=".5" offset="1pt"/>
                <v:textbox>
                  <w:txbxContent>
                    <w:p w14:paraId="5A77FDE0" w14:textId="77777777" w:rsidR="00193646" w:rsidRPr="004742ED" w:rsidRDefault="00193646" w:rsidP="00E732FA">
                      <w:pPr>
                        <w:spacing w:after="0"/>
                        <w:jc w:val="center"/>
                        <w:rPr>
                          <w:b/>
                          <w:sz w:val="18"/>
                          <w:szCs w:val="18"/>
                        </w:rPr>
                      </w:pPr>
                      <w:r w:rsidRPr="004742ED">
                        <w:rPr>
                          <w:b/>
                          <w:sz w:val="18"/>
                          <w:szCs w:val="18"/>
                        </w:rPr>
                        <w:t>SEASONALITY,</w:t>
                      </w:r>
                    </w:p>
                    <w:p w14:paraId="48534DB2" w14:textId="77777777" w:rsidR="00193646" w:rsidRPr="004742ED" w:rsidRDefault="00193646" w:rsidP="00E732FA">
                      <w:pPr>
                        <w:spacing w:after="0"/>
                        <w:jc w:val="center"/>
                        <w:rPr>
                          <w:b/>
                          <w:sz w:val="18"/>
                          <w:szCs w:val="18"/>
                        </w:rPr>
                      </w:pPr>
                      <w:r w:rsidRPr="004742ED">
                        <w:rPr>
                          <w:b/>
                          <w:sz w:val="18"/>
                          <w:szCs w:val="18"/>
                        </w:rPr>
                        <w:t>REGIONAL IMBALANCE,</w:t>
                      </w:r>
                    </w:p>
                    <w:p w14:paraId="3ED87EE7" w14:textId="77777777" w:rsidR="00193646" w:rsidRPr="004742ED" w:rsidRDefault="00193646" w:rsidP="00E732FA">
                      <w:pPr>
                        <w:spacing w:after="0"/>
                        <w:jc w:val="center"/>
                        <w:rPr>
                          <w:b/>
                          <w:sz w:val="18"/>
                          <w:szCs w:val="18"/>
                        </w:rPr>
                      </w:pPr>
                      <w:r w:rsidRPr="004742ED">
                        <w:rPr>
                          <w:b/>
                          <w:sz w:val="18"/>
                          <w:szCs w:val="18"/>
                        </w:rPr>
                        <w:t>INADEQUATE QUALITY OF SERVICE (STAFF, CAPACITY),</w:t>
                      </w:r>
                    </w:p>
                    <w:p w14:paraId="12894A93" w14:textId="77777777" w:rsidR="00193646" w:rsidRPr="00A93677" w:rsidRDefault="00193646" w:rsidP="00E732FA">
                      <w:pPr>
                        <w:spacing w:after="0"/>
                        <w:jc w:val="center"/>
                        <w:rPr>
                          <w:sz w:val="16"/>
                          <w:szCs w:val="16"/>
                        </w:rPr>
                      </w:pPr>
                      <w:r>
                        <w:rPr>
                          <w:b/>
                          <w:sz w:val="18"/>
                          <w:szCs w:val="18"/>
                        </w:rPr>
                        <w:t>GRA</w:t>
                      </w:r>
                      <w:r w:rsidRPr="004742ED">
                        <w:rPr>
                          <w:b/>
                          <w:sz w:val="18"/>
                          <w:szCs w:val="18"/>
                        </w:rPr>
                        <w:t>Y ECONOMY</w:t>
                      </w:r>
                      <w:r>
                        <w:rPr>
                          <w:b/>
                          <w:sz w:val="18"/>
                          <w:szCs w:val="18"/>
                        </w:rPr>
                        <w:t xml:space="preserve"> </w:t>
                      </w:r>
                    </w:p>
                  </w:txbxContent>
                </v:textbox>
              </v:rect>
            </w:pict>
          </mc:Fallback>
        </mc:AlternateContent>
      </w:r>
      <w:r w:rsidRPr="003C7CB1">
        <w:rPr>
          <w:noProof/>
        </w:rPr>
        <mc:AlternateContent>
          <mc:Choice Requires="wps">
            <w:drawing>
              <wp:anchor distT="0" distB="0" distL="114300" distR="114300" simplePos="0" relativeHeight="251850240" behindDoc="0" locked="0" layoutInCell="1" allowOverlap="1" wp14:anchorId="218B446D" wp14:editId="76CCD619">
                <wp:simplePos x="0" y="0"/>
                <wp:positionH relativeFrom="column">
                  <wp:posOffset>2116455</wp:posOffset>
                </wp:positionH>
                <wp:positionV relativeFrom="paragraph">
                  <wp:posOffset>5022850</wp:posOffset>
                </wp:positionV>
                <wp:extent cx="1045845" cy="668655"/>
                <wp:effectExtent l="13335" t="8890" r="17145" b="27305"/>
                <wp:wrapNone/>
                <wp:docPr id="4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845" cy="668655"/>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37FE9709" w14:textId="2DC6D3AD" w:rsidR="00193646" w:rsidRDefault="00193646" w:rsidP="00E732FA">
                            <w:pPr>
                              <w:jc w:val="center"/>
                            </w:pPr>
                            <w:r w:rsidRPr="004742ED">
                              <w:rPr>
                                <w:b/>
                                <w:color w:val="000000" w:themeColor="text1"/>
                                <w:sz w:val="16"/>
                                <w:szCs w:val="16"/>
                              </w:rPr>
                              <w:t xml:space="preserve">INSUFFICIENTLY DIVERSIFIED </w:t>
                            </w:r>
                            <w:r>
                              <w:rPr>
                                <w:b/>
                                <w:color w:val="000000" w:themeColor="text1"/>
                                <w:sz w:val="16"/>
                                <w:szCs w:val="16"/>
                              </w:rPr>
                              <w:t>TOURISM PRODUCT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B446D" id="Rectangle 54" o:spid="_x0000_s1038" style="position:absolute;left:0;text-align:left;margin-left:166.65pt;margin-top:395.5pt;width:82.35pt;height:52.6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" strokecolor="#a9d18e" strokeweight="1pt">
                <v:fill color2="#c5e0b4" focus="100%" type="gradient"/>
                <v:shadow on="t" color="#385723" opacity=".5" offset="1pt"/>
                <v:textbox>
                  <w:txbxContent>
                    <w:p w14:paraId="37FE9709" w14:textId="2DC6D3AD" w:rsidR="00193646" w:rsidRDefault="00193646" w:rsidP="00E732FA">
                      <w:pPr>
                        <w:jc w:val="center"/>
                      </w:pPr>
                      <w:r w:rsidRPr="004742ED">
                        <w:rPr>
                          <w:b/>
                          <w:color w:val="000000" w:themeColor="text1"/>
                          <w:sz w:val="16"/>
                          <w:szCs w:val="16"/>
                        </w:rPr>
                        <w:t xml:space="preserve">INSUFFICIENTLY DIVERSIFIED </w:t>
                      </w:r>
                      <w:r>
                        <w:rPr>
                          <w:b/>
                          <w:color w:val="000000" w:themeColor="text1"/>
                          <w:sz w:val="16"/>
                          <w:szCs w:val="16"/>
                        </w:rPr>
                        <w:t>TOURISM PRODUCT</w:t>
                      </w:r>
                    </w:p>
                  </w:txbxContent>
                </v:textbox>
              </v:rect>
            </w:pict>
          </mc:Fallback>
        </mc:AlternateContent>
      </w:r>
      <w:r w:rsidRPr="003C7CB1">
        <w:rPr>
          <w:noProof/>
        </w:rPr>
        <mc:AlternateContent>
          <mc:Choice Requires="wps">
            <w:drawing>
              <wp:anchor distT="0" distB="0" distL="114300" distR="114300" simplePos="0" relativeHeight="251853312" behindDoc="0" locked="0" layoutInCell="1" allowOverlap="1" wp14:anchorId="2B3E6862" wp14:editId="14372F47">
                <wp:simplePos x="0" y="0"/>
                <wp:positionH relativeFrom="column">
                  <wp:posOffset>3381375</wp:posOffset>
                </wp:positionH>
                <wp:positionV relativeFrom="paragraph">
                  <wp:posOffset>5053330</wp:posOffset>
                </wp:positionV>
                <wp:extent cx="1588770" cy="634365"/>
                <wp:effectExtent l="9525" t="14605" r="11430" b="2730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8770" cy="634365"/>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3CF4FF80" w14:textId="77777777" w:rsidR="00193646" w:rsidRPr="0099458E" w:rsidRDefault="00193646" w:rsidP="00E732FA">
                            <w:pPr>
                              <w:jc w:val="center"/>
                              <w:rPr>
                                <w:sz w:val="16"/>
                                <w:szCs w:val="16"/>
                              </w:rPr>
                            </w:pPr>
                            <w:r w:rsidRPr="004742ED">
                              <w:rPr>
                                <w:b/>
                                <w:color w:val="000000" w:themeColor="text1"/>
                                <w:sz w:val="16"/>
                                <w:szCs w:val="16"/>
                              </w:rPr>
                              <w:t>LACK OF QUALITY STAFF, EDUCATION, TRAINING AND DUAL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E6862" id="Rectangle 57" o:spid="_x0000_s1039" style="position:absolute;left:0;text-align:left;margin-left:266.25pt;margin-top:397.9pt;width:125.1pt;height:49.9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" strokecolor="#a9d18e" strokeweight="1pt">
                <v:fill color2="#c5e0b4" focus="100%" type="gradient"/>
                <v:shadow on="t" color="#385723" opacity=".5" offset="1pt"/>
                <v:textbox>
                  <w:txbxContent>
                    <w:p w14:paraId="3CF4FF80" w14:textId="77777777" w:rsidR="00193646" w:rsidRPr="0099458E" w:rsidRDefault="00193646" w:rsidP="00E732FA">
                      <w:pPr>
                        <w:jc w:val="center"/>
                        <w:rPr>
                          <w:sz w:val="16"/>
                          <w:szCs w:val="16"/>
                        </w:rPr>
                      </w:pPr>
                      <w:r w:rsidRPr="004742ED">
                        <w:rPr>
                          <w:b/>
                          <w:color w:val="000000" w:themeColor="text1"/>
                          <w:sz w:val="16"/>
                          <w:szCs w:val="16"/>
                        </w:rPr>
                        <w:t>LACK OF QUALITY STAFF, EDUCATION, TRAINING AND DUAL EDUCATION</w:t>
                      </w:r>
                    </w:p>
                  </w:txbxContent>
                </v:textbox>
              </v:rect>
            </w:pict>
          </mc:Fallback>
        </mc:AlternateContent>
      </w:r>
      <w:r w:rsidRPr="003C7CB1">
        <w:rPr>
          <w:noProof/>
        </w:rPr>
        <mc:AlternateContent>
          <mc:Choice Requires="wps">
            <w:drawing>
              <wp:anchor distT="0" distB="0" distL="114300" distR="114300" simplePos="0" relativeHeight="251893248" behindDoc="0" locked="0" layoutInCell="1" allowOverlap="1" wp14:anchorId="241D68B2" wp14:editId="17464D75">
                <wp:simplePos x="0" y="0"/>
                <wp:positionH relativeFrom="column">
                  <wp:posOffset>647700</wp:posOffset>
                </wp:positionH>
                <wp:positionV relativeFrom="paragraph">
                  <wp:posOffset>5076825</wp:posOffset>
                </wp:positionV>
                <wp:extent cx="1123950" cy="5905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123950" cy="59055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1DFA9311" w14:textId="77777777" w:rsidR="00193646" w:rsidRPr="003964E1" w:rsidRDefault="00193646" w:rsidP="00E732FA">
                            <w:pPr>
                              <w:jc w:val="center"/>
                              <w:rPr>
                                <w:b/>
                                <w:sz w:val="18"/>
                                <w:szCs w:val="18"/>
                                <w:lang w:val="sr-Latn-ME"/>
                              </w:rPr>
                            </w:pPr>
                            <w:r w:rsidRPr="004742ED">
                              <w:rPr>
                                <w:b/>
                                <w:sz w:val="18"/>
                                <w:szCs w:val="18"/>
                                <w:lang w:val="sr-Latn-ME"/>
                              </w:rPr>
                              <w:t>ECONOMIC REGIONAL INEQUALITY</w:t>
                            </w:r>
                            <w:r>
                              <w:rPr>
                                <w:b/>
                                <w:sz w:val="18"/>
                                <w:szCs w:val="18"/>
                                <w:lang w:val="sr-Latn-M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1D68B2" id="Rectangle 42" o:spid="_x0000_s1040" style="position:absolute;left:0;text-align:left;margin-left:51pt;margin-top:399.75pt;width:88.5pt;height:46.5pt;z-index:25189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" fillcolor="#b5d5a7" strokecolor="#70ad47" strokeweight=".5pt">
                <v:fill color2="#9cca86" rotate="t" colors="0 #b5d5a7;.5 #aace99;1 #9cca86" focus="100%" type="gradient">
                  <o:fill v:ext="view" type="gradientUnscaled"/>
                </v:fill>
                <v:textbox>
                  <w:txbxContent>
                    <w:p w14:paraId="1DFA9311" w14:textId="77777777" w:rsidR="00193646" w:rsidRPr="003964E1" w:rsidRDefault="00193646" w:rsidP="00E732FA">
                      <w:pPr>
                        <w:jc w:val="center"/>
                        <w:rPr>
                          <w:b/>
                          <w:sz w:val="18"/>
                          <w:szCs w:val="18"/>
                          <w:lang w:val="sr-Latn-ME"/>
                        </w:rPr>
                      </w:pPr>
                      <w:r w:rsidRPr="004742ED">
                        <w:rPr>
                          <w:b/>
                          <w:sz w:val="18"/>
                          <w:szCs w:val="18"/>
                          <w:lang w:val="sr-Latn-ME"/>
                        </w:rPr>
                        <w:t>ECONOMIC REGIONAL INEQUALITY</w:t>
                      </w:r>
                      <w:r>
                        <w:rPr>
                          <w:b/>
                          <w:sz w:val="18"/>
                          <w:szCs w:val="18"/>
                          <w:lang w:val="sr-Latn-ME"/>
                        </w:rPr>
                        <w:t xml:space="preserve"> </w:t>
                      </w:r>
                    </w:p>
                  </w:txbxContent>
                </v:textbox>
              </v:rect>
            </w:pict>
          </mc:Fallback>
        </mc:AlternateContent>
      </w:r>
      <w:r w:rsidRPr="003C7CB1">
        <w:rPr>
          <w:noProof/>
        </w:rPr>
        <mc:AlternateContent>
          <mc:Choice Requires="wps">
            <w:drawing>
              <wp:anchor distT="0" distB="0" distL="114300" distR="114300" simplePos="0" relativeHeight="251854336" behindDoc="0" locked="0" layoutInCell="1" allowOverlap="1" wp14:anchorId="7F163E58" wp14:editId="1362A2B1">
                <wp:simplePos x="0" y="0"/>
                <wp:positionH relativeFrom="column">
                  <wp:posOffset>666750</wp:posOffset>
                </wp:positionH>
                <wp:positionV relativeFrom="paragraph">
                  <wp:posOffset>5810250</wp:posOffset>
                </wp:positionV>
                <wp:extent cx="1143000" cy="742950"/>
                <wp:effectExtent l="0" t="0" r="38100" b="57150"/>
                <wp:wrapNone/>
                <wp:docPr id="5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42950"/>
                        </a:xfrm>
                        <a:prstGeom prst="rect">
                          <a:avLst/>
                        </a:prstGeom>
                        <a:gradFill rotWithShape="0">
                          <a:gsLst>
                            <a:gs pos="0">
                              <a:sysClr val="window" lastClr="FFFFFF">
                                <a:lumMod val="100000"/>
                                <a:lumOff val="0"/>
                              </a:sysClr>
                            </a:gs>
                            <a:gs pos="100000">
                              <a:srgbClr val="70AD47">
                                <a:lumMod val="40000"/>
                                <a:lumOff val="60000"/>
                              </a:srgbClr>
                            </a:gs>
                          </a:gsLst>
                          <a:lin ang="5400000" scaled="1"/>
                        </a:gradFill>
                        <a:ln w="12700">
                          <a:solidFill>
                            <a:srgbClr val="70AD47">
                              <a:lumMod val="60000"/>
                              <a:lumOff val="40000"/>
                            </a:srgbClr>
                          </a:solidFill>
                          <a:miter lim="800000"/>
                          <a:headEnd/>
                          <a:tailEnd/>
                        </a:ln>
                        <a:effectLst>
                          <a:outerShdw dist="28398" dir="3806097" algn="ctr" rotWithShape="0">
                            <a:srgbClr val="70AD47">
                              <a:lumMod val="50000"/>
                              <a:lumOff val="0"/>
                              <a:alpha val="50000"/>
                            </a:srgbClr>
                          </a:outerShdw>
                        </a:effectLst>
                      </wps:spPr>
                      <wps:txbx>
                        <w:txbxContent>
                          <w:p w14:paraId="30E8A42E" w14:textId="77777777" w:rsidR="00193646" w:rsidRDefault="00193646" w:rsidP="00E732FA">
                            <w:pPr>
                              <w:jc w:val="center"/>
                            </w:pPr>
                            <w:r w:rsidRPr="004742ED">
                              <w:rPr>
                                <w:b/>
                                <w:color w:val="000000" w:themeColor="text1"/>
                                <w:sz w:val="16"/>
                                <w:szCs w:val="16"/>
                              </w:rPr>
                              <w:t>LACK OF INNOVATIVE TECHNOLOGICAL 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63E58" id="Rectangle 58" o:spid="_x0000_s1041" style="position:absolute;left:0;text-align:left;margin-left:52.5pt;margin-top:457.5pt;width:90pt;height:58.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" strokecolor="#a9d18e" strokeweight="1pt">
                <v:fill color2="#c5e0b4" focus="100%" type="gradient"/>
                <v:shadow on="t" color="#385723" opacity=".5" offset="1pt"/>
                <v:textbox>
                  <w:txbxContent>
                    <w:p w14:paraId="30E8A42E" w14:textId="77777777" w:rsidR="00193646" w:rsidRDefault="00193646" w:rsidP="00E732FA">
                      <w:pPr>
                        <w:jc w:val="center"/>
                      </w:pPr>
                      <w:r w:rsidRPr="004742ED">
                        <w:rPr>
                          <w:b/>
                          <w:color w:val="000000" w:themeColor="text1"/>
                          <w:sz w:val="16"/>
                          <w:szCs w:val="16"/>
                        </w:rPr>
                        <w:t>LACK OF INNOVATIVE TECHNOLOGICAL SOLUTIONS</w:t>
                      </w:r>
                    </w:p>
                  </w:txbxContent>
                </v:textbox>
              </v:rect>
            </w:pict>
          </mc:Fallback>
        </mc:AlternateContent>
      </w:r>
      <w:r w:rsidRPr="003C7CB1">
        <w:rPr>
          <w:noProof/>
        </w:rPr>
        <mc:AlternateContent>
          <mc:Choice Requires="wps">
            <w:drawing>
              <wp:anchor distT="0" distB="0" distL="114300" distR="114300" simplePos="0" relativeHeight="251873792" behindDoc="0" locked="0" layoutInCell="1" allowOverlap="1" wp14:anchorId="4A08295B" wp14:editId="362765B8">
                <wp:simplePos x="0" y="0"/>
                <wp:positionH relativeFrom="column">
                  <wp:posOffset>-617708</wp:posOffset>
                </wp:positionH>
                <wp:positionV relativeFrom="paragraph">
                  <wp:posOffset>1398123</wp:posOffset>
                </wp:positionV>
                <wp:extent cx="1011555" cy="571500"/>
                <wp:effectExtent l="0" t="0" r="36195" b="57150"/>
                <wp:wrapNone/>
                <wp:docPr id="6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571500"/>
                        </a:xfrm>
                        <a:prstGeom prst="rect">
                          <a:avLst/>
                        </a:prstGeom>
                        <a:gradFill rotWithShape="0">
                          <a:gsLst>
                            <a:gs pos="0">
                              <a:sysClr val="window" lastClr="FFFFFF">
                                <a:lumMod val="100000"/>
                                <a:lumOff val="0"/>
                              </a:sysClr>
                            </a:gs>
                            <a:gs pos="100000">
                              <a:srgbClr val="FFC000">
                                <a:lumMod val="40000"/>
                                <a:lumOff val="60000"/>
                              </a:srgbClr>
                            </a:gs>
                          </a:gsLst>
                          <a:lin ang="5400000" scaled="1"/>
                        </a:gradFill>
                        <a:ln w="12700">
                          <a:solidFill>
                            <a:srgbClr val="FFC000">
                              <a:lumMod val="60000"/>
                              <a:lumOff val="40000"/>
                            </a:srgbClr>
                          </a:solidFill>
                          <a:miter lim="800000"/>
                          <a:headEnd/>
                          <a:tailEnd/>
                        </a:ln>
                        <a:effectLst>
                          <a:outerShdw dist="28398" dir="3806097" algn="ctr" rotWithShape="0">
                            <a:srgbClr val="FFC000">
                              <a:lumMod val="50000"/>
                              <a:lumOff val="0"/>
                              <a:alpha val="50000"/>
                            </a:srgbClr>
                          </a:outerShdw>
                        </a:effectLst>
                      </wps:spPr>
                      <wps:txbx>
                        <w:txbxContent>
                          <w:p w14:paraId="67EF4A9B" w14:textId="77777777" w:rsidR="00193646" w:rsidRPr="00CC6A87" w:rsidRDefault="00193646" w:rsidP="00E732FA">
                            <w:pPr>
                              <w:jc w:val="center"/>
                              <w:rPr>
                                <w:b/>
                                <w:sz w:val="18"/>
                                <w:szCs w:val="18"/>
                              </w:rPr>
                            </w:pPr>
                            <w:r w:rsidRPr="00F2611C">
                              <w:rPr>
                                <w:b/>
                                <w:sz w:val="18"/>
                                <w:szCs w:val="18"/>
                              </w:rPr>
                              <w:t>PROBLEM</w:t>
                            </w:r>
                          </w:p>
                          <w:p w14:paraId="620E0A9A" w14:textId="77777777" w:rsidR="00193646" w:rsidRPr="00F2611C" w:rsidRDefault="00193646" w:rsidP="00E732FA">
                            <w:pPr>
                              <w:jc w:val="center"/>
                              <w:rPr>
                                <w:b/>
                                <w:sz w:val="18"/>
                                <w:szCs w:val="18"/>
                              </w:rPr>
                            </w:pPr>
                            <w:r w:rsidRPr="00F2611C">
                              <w:rPr>
                                <w:b/>
                                <w:sz w:val="18"/>
                                <w:szCs w:val="18"/>
                              </w:rPr>
                              <w:t>CONSEQUENCES</w:t>
                            </w:r>
                            <w:r>
                              <w:rPr>
                                <w:b/>
                                <w:sz w:val="18"/>
                                <w:szCs w:val="18"/>
                              </w:rPr>
                              <w:t xml:space="preserve"> </w:t>
                            </w:r>
                          </w:p>
                          <w:p w14:paraId="4FB99E2C" w14:textId="77777777" w:rsidR="00193646" w:rsidRDefault="00193646" w:rsidP="00E732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8295B" id="Rectangle 63" o:spid="_x0000_s1042" style="position:absolute;left:0;text-align:left;margin-left:-48.65pt;margin-top:110.1pt;width:79.65pt;height:4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" strokecolor="#ffd966" strokeweight="1pt">
                <v:fill color2="#ffe699" focus="100%" type="gradient"/>
                <v:shadow on="t" color="#7f6000" opacity=".5" offset="1pt"/>
                <v:textbox>
                  <w:txbxContent>
                    <w:p w14:paraId="67EF4A9B" w14:textId="77777777" w:rsidR="00193646" w:rsidRPr="00CC6A87" w:rsidRDefault="00193646" w:rsidP="00E732FA">
                      <w:pPr>
                        <w:jc w:val="center"/>
                        <w:rPr>
                          <w:b/>
                          <w:sz w:val="18"/>
                          <w:szCs w:val="18"/>
                        </w:rPr>
                      </w:pPr>
                      <w:r w:rsidRPr="00F2611C">
                        <w:rPr>
                          <w:b/>
                          <w:sz w:val="18"/>
                          <w:szCs w:val="18"/>
                        </w:rPr>
                        <w:t>PROBLEM</w:t>
                      </w:r>
                    </w:p>
                    <w:p w14:paraId="620E0A9A" w14:textId="77777777" w:rsidR="00193646" w:rsidRPr="00F2611C" w:rsidRDefault="00193646" w:rsidP="00E732FA">
                      <w:pPr>
                        <w:jc w:val="center"/>
                        <w:rPr>
                          <w:b/>
                          <w:sz w:val="18"/>
                          <w:szCs w:val="18"/>
                        </w:rPr>
                      </w:pPr>
                      <w:r w:rsidRPr="00F2611C">
                        <w:rPr>
                          <w:b/>
                          <w:sz w:val="18"/>
                          <w:szCs w:val="18"/>
                        </w:rPr>
                        <w:t>CONSEQUENCES</w:t>
                      </w:r>
                      <w:r>
                        <w:rPr>
                          <w:b/>
                          <w:sz w:val="18"/>
                          <w:szCs w:val="18"/>
                        </w:rPr>
                        <w:t xml:space="preserve"> </w:t>
                      </w:r>
                    </w:p>
                    <w:p w14:paraId="4FB99E2C" w14:textId="77777777" w:rsidR="00193646" w:rsidRDefault="00193646" w:rsidP="00E732FA"/>
                  </w:txbxContent>
                </v:textbox>
              </v:rect>
            </w:pict>
          </mc:Fallback>
        </mc:AlternateContent>
      </w:r>
      <w:r w:rsidRPr="003C7CB1">
        <w:rPr>
          <w:noProof/>
        </w:rPr>
        <mc:AlternateContent>
          <mc:Choice Requires="wps">
            <w:drawing>
              <wp:anchor distT="0" distB="0" distL="114300" distR="114300" simplePos="0" relativeHeight="251866624" behindDoc="0" locked="0" layoutInCell="1" allowOverlap="1" wp14:anchorId="20761FA2" wp14:editId="6EA850E2">
                <wp:simplePos x="0" y="0"/>
                <wp:positionH relativeFrom="column">
                  <wp:posOffset>4198620</wp:posOffset>
                </wp:positionH>
                <wp:positionV relativeFrom="paragraph">
                  <wp:posOffset>1463041</wp:posOffset>
                </wp:positionV>
                <wp:extent cx="1548765" cy="426720"/>
                <wp:effectExtent l="0" t="0" r="32385" b="49530"/>
                <wp:wrapNone/>
                <wp:docPr id="6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765" cy="426720"/>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1EF5CADD" w14:textId="77777777" w:rsidR="00193646" w:rsidRDefault="00193646" w:rsidP="00E732FA">
                            <w:pPr>
                              <w:jc w:val="center"/>
                            </w:pPr>
                            <w:r w:rsidRPr="004742ED">
                              <w:rPr>
                                <w:b/>
                                <w:color w:val="000000" w:themeColor="text1"/>
                                <w:sz w:val="18"/>
                                <w:szCs w:val="18"/>
                              </w:rPr>
                              <w:t xml:space="preserve">INSUFFICIENT QUALITY </w:t>
                            </w:r>
                            <w:r>
                              <w:rPr>
                                <w:b/>
                                <w:color w:val="000000" w:themeColor="text1"/>
                                <w:sz w:val="18"/>
                                <w:szCs w:val="18"/>
                              </w:rPr>
                              <w:t xml:space="preserve">OF </w:t>
                            </w:r>
                            <w:r w:rsidRPr="004742ED">
                              <w:rPr>
                                <w:b/>
                                <w:color w:val="000000" w:themeColor="text1"/>
                                <w:sz w:val="18"/>
                                <w:szCs w:val="18"/>
                              </w:rPr>
                              <w:t>SERVICE</w:t>
                            </w:r>
                            <w:r>
                              <w:rPr>
                                <w:b/>
                                <w:color w:val="000000" w:themeColor="text1"/>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61FA2" id="Rectangle 70" o:spid="_x0000_s1043" style="position:absolute;left:0;text-align:left;margin-left:330.6pt;margin-top:115.2pt;width:121.95pt;height:33.6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" strokecolor="#9dc3e6" strokeweight="1pt">
                <v:fill color2="#bdd7ee" focus="100%" type="gradient"/>
                <v:shadow on="t" color="#1f4e79" opacity=".5" offset="1pt"/>
                <v:textbox>
                  <w:txbxContent>
                    <w:p w14:paraId="1EF5CADD" w14:textId="77777777" w:rsidR="00193646" w:rsidRDefault="00193646" w:rsidP="00E732FA">
                      <w:pPr>
                        <w:jc w:val="center"/>
                      </w:pPr>
                      <w:r w:rsidRPr="004742ED">
                        <w:rPr>
                          <w:b/>
                          <w:color w:val="000000" w:themeColor="text1"/>
                          <w:sz w:val="18"/>
                          <w:szCs w:val="18"/>
                        </w:rPr>
                        <w:t xml:space="preserve">INSUFFICIENT QUALITY </w:t>
                      </w:r>
                      <w:r>
                        <w:rPr>
                          <w:b/>
                          <w:color w:val="000000" w:themeColor="text1"/>
                          <w:sz w:val="18"/>
                          <w:szCs w:val="18"/>
                        </w:rPr>
                        <w:t xml:space="preserve">OF </w:t>
                      </w:r>
                      <w:r w:rsidRPr="004742ED">
                        <w:rPr>
                          <w:b/>
                          <w:color w:val="000000" w:themeColor="text1"/>
                          <w:sz w:val="18"/>
                          <w:szCs w:val="18"/>
                        </w:rPr>
                        <w:t>SERVICE</w:t>
                      </w:r>
                      <w:r>
                        <w:rPr>
                          <w:b/>
                          <w:color w:val="000000" w:themeColor="text1"/>
                          <w:sz w:val="18"/>
                          <w:szCs w:val="18"/>
                        </w:rPr>
                        <w:t xml:space="preserve"> </w:t>
                      </w:r>
                    </w:p>
                  </w:txbxContent>
                </v:textbox>
              </v:rect>
            </w:pict>
          </mc:Fallback>
        </mc:AlternateContent>
      </w:r>
      <w:r w:rsidRPr="003C7CB1">
        <w:rPr>
          <w:noProof/>
        </w:rPr>
        <mc:AlternateContent>
          <mc:Choice Requires="wps">
            <w:drawing>
              <wp:anchor distT="0" distB="0" distL="114300" distR="114300" simplePos="0" relativeHeight="251858432" behindDoc="0" locked="0" layoutInCell="1" allowOverlap="1" wp14:anchorId="4A33CF6F" wp14:editId="40A9AD5E">
                <wp:simplePos x="0" y="0"/>
                <wp:positionH relativeFrom="column">
                  <wp:posOffset>-651510</wp:posOffset>
                </wp:positionH>
                <wp:positionV relativeFrom="paragraph">
                  <wp:posOffset>5638165</wp:posOffset>
                </wp:positionV>
                <wp:extent cx="952500" cy="464820"/>
                <wp:effectExtent l="0" t="0" r="38100" b="49530"/>
                <wp:wrapNone/>
                <wp:docPr id="7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64820"/>
                        </a:xfrm>
                        <a:prstGeom prst="rect">
                          <a:avLst/>
                        </a:prstGeom>
                        <a:gradFill rotWithShape="0">
                          <a:gsLst>
                            <a:gs pos="0">
                              <a:sysClr val="window" lastClr="FFFFFF">
                                <a:lumMod val="100000"/>
                                <a:lumOff val="0"/>
                              </a:sysClr>
                            </a:gs>
                            <a:gs pos="100000">
                              <a:srgbClr val="FFC000">
                                <a:lumMod val="40000"/>
                                <a:lumOff val="60000"/>
                              </a:srgbClr>
                            </a:gs>
                          </a:gsLst>
                          <a:lin ang="5400000" scaled="1"/>
                        </a:gradFill>
                        <a:ln w="12700">
                          <a:solidFill>
                            <a:srgbClr val="FFC000">
                              <a:lumMod val="60000"/>
                              <a:lumOff val="40000"/>
                            </a:srgbClr>
                          </a:solidFill>
                          <a:miter lim="800000"/>
                          <a:headEnd/>
                          <a:tailEnd/>
                        </a:ln>
                        <a:effectLst>
                          <a:outerShdw dist="28398" dir="3806097" algn="ctr" rotWithShape="0">
                            <a:srgbClr val="FFC000">
                              <a:lumMod val="50000"/>
                              <a:lumOff val="0"/>
                              <a:alpha val="50000"/>
                            </a:srgbClr>
                          </a:outerShdw>
                        </a:effectLst>
                      </wps:spPr>
                      <wps:txbx>
                        <w:txbxContent>
                          <w:p w14:paraId="567441B2" w14:textId="77777777" w:rsidR="00193646" w:rsidRPr="00CC6A87" w:rsidRDefault="00193646" w:rsidP="00E732FA">
                            <w:pPr>
                              <w:jc w:val="center"/>
                              <w:rPr>
                                <w:b/>
                                <w:sz w:val="18"/>
                                <w:szCs w:val="18"/>
                              </w:rPr>
                            </w:pPr>
                            <w:r w:rsidRPr="004742ED">
                              <w:rPr>
                                <w:b/>
                                <w:sz w:val="18"/>
                                <w:szCs w:val="18"/>
                              </w:rPr>
                              <w:t>CAUSES OF THE PROBLEM</w:t>
                            </w:r>
                            <w:r>
                              <w:rPr>
                                <w:b/>
                                <w:sz w:val="18"/>
                                <w:szCs w:val="18"/>
                              </w:rPr>
                              <w:t xml:space="preserv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3CF6F" id="Rectangle 62" o:spid="_x0000_s1044" style="position:absolute;left:0;text-align:left;margin-left:-51.3pt;margin-top:443.95pt;width:75pt;height:36.6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" strokecolor="#ffd966" strokeweight="1pt">
                <v:fill color2="#ffe699" focus="100%" type="gradient"/>
                <v:shadow on="t" color="#7f6000" opacity=".5" offset="1pt"/>
                <v:textbox>
                  <w:txbxContent>
                    <w:p w14:paraId="567441B2" w14:textId="77777777" w:rsidR="00193646" w:rsidRPr="00CC6A87" w:rsidRDefault="00193646" w:rsidP="00E732FA">
                      <w:pPr>
                        <w:jc w:val="center"/>
                        <w:rPr>
                          <w:b/>
                          <w:sz w:val="18"/>
                          <w:szCs w:val="18"/>
                        </w:rPr>
                      </w:pPr>
                      <w:r w:rsidRPr="004742ED">
                        <w:rPr>
                          <w:b/>
                          <w:sz w:val="18"/>
                          <w:szCs w:val="18"/>
                        </w:rPr>
                        <w:t>CAUSES OF THE PROBLEM</w:t>
                      </w:r>
                      <w:r>
                        <w:rPr>
                          <w:b/>
                          <w:sz w:val="18"/>
                          <w:szCs w:val="18"/>
                        </w:rPr>
                        <w:t xml:space="preserve">S </w:t>
                      </w:r>
                    </w:p>
                  </w:txbxContent>
                </v:textbox>
              </v:rect>
            </w:pict>
          </mc:Fallback>
        </mc:AlternateContent>
      </w:r>
      <w:r w:rsidRPr="003C7CB1">
        <w:rPr>
          <w:noProof/>
        </w:rPr>
        <mc:AlternateContent>
          <mc:Choice Requires="wps">
            <w:drawing>
              <wp:anchor distT="0" distB="0" distL="114300" distR="114300" simplePos="0" relativeHeight="251892224" behindDoc="0" locked="0" layoutInCell="1" allowOverlap="1" wp14:anchorId="486CB309" wp14:editId="0D1D297A">
                <wp:simplePos x="0" y="0"/>
                <wp:positionH relativeFrom="column">
                  <wp:posOffset>750570</wp:posOffset>
                </wp:positionH>
                <wp:positionV relativeFrom="paragraph">
                  <wp:posOffset>3821430</wp:posOffset>
                </wp:positionV>
                <wp:extent cx="205740" cy="485775"/>
                <wp:effectExtent l="5715" t="11430" r="7620" b="7620"/>
                <wp:wrapNone/>
                <wp:docPr id="75"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 cy="485775"/>
                        </a:xfrm>
                        <a:prstGeom prst="leftBrace">
                          <a:avLst>
                            <a:gd name="adj1" fmla="val 196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81DFE63" id="AutoShape 76" o:spid="_x0000_s1026" type="#_x0000_t87" style="position:absolute;margin-left:59.1pt;margin-top:300.9pt;width:16.2pt;height:38.2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vDgwIAAC4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"/>
            </w:pict>
          </mc:Fallback>
        </mc:AlternateContent>
      </w:r>
      <w:r w:rsidRPr="003C7CB1">
        <w:rPr>
          <w:noProof/>
        </w:rPr>
        <mc:AlternateContent>
          <mc:Choice Requires="wps">
            <w:drawing>
              <wp:anchor distT="0" distB="0" distL="114300" distR="114300" simplePos="0" relativeHeight="251883008" behindDoc="0" locked="0" layoutInCell="1" allowOverlap="1" wp14:anchorId="32CCF28E" wp14:editId="7B820521">
                <wp:simplePos x="0" y="0"/>
                <wp:positionH relativeFrom="column">
                  <wp:posOffset>-566420</wp:posOffset>
                </wp:positionH>
                <wp:positionV relativeFrom="paragraph">
                  <wp:posOffset>3790950</wp:posOffset>
                </wp:positionV>
                <wp:extent cx="965835" cy="485775"/>
                <wp:effectExtent l="11430" t="11430" r="13335" b="26670"/>
                <wp:wrapNone/>
                <wp:docPr id="5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485775"/>
                        </a:xfrm>
                        <a:prstGeom prst="rect">
                          <a:avLst/>
                        </a:prstGeom>
                        <a:gradFill rotWithShape="0">
                          <a:gsLst>
                            <a:gs pos="0">
                              <a:srgbClr val="FFC000">
                                <a:lumMod val="60000"/>
                                <a:lumOff val="40000"/>
                              </a:srgbClr>
                            </a:gs>
                            <a:gs pos="50000">
                              <a:srgbClr val="FFC000">
                                <a:lumMod val="100000"/>
                                <a:lumOff val="0"/>
                              </a:srgbClr>
                            </a:gs>
                            <a:gs pos="100000">
                              <a:srgbClr val="FFC000">
                                <a:lumMod val="60000"/>
                                <a:lumOff val="40000"/>
                              </a:srgbClr>
                            </a:gs>
                          </a:gsLst>
                          <a:lin ang="5400000" scaled="1"/>
                        </a:gradFill>
                        <a:ln w="12700">
                          <a:solidFill>
                            <a:srgbClr val="FFC000">
                              <a:lumMod val="100000"/>
                              <a:lumOff val="0"/>
                            </a:srgbClr>
                          </a:solidFill>
                          <a:miter lim="800000"/>
                          <a:headEnd/>
                          <a:tailEnd/>
                        </a:ln>
                        <a:effectLst>
                          <a:outerShdw dist="28398" dir="3806097" algn="ctr" rotWithShape="0">
                            <a:srgbClr val="FFC000">
                              <a:lumMod val="50000"/>
                              <a:lumOff val="0"/>
                            </a:srgbClr>
                          </a:outerShdw>
                        </a:effectLst>
                      </wps:spPr>
                      <wps:txbx>
                        <w:txbxContent>
                          <w:p w14:paraId="45093975" w14:textId="77777777" w:rsidR="00193646" w:rsidRPr="0099458E" w:rsidRDefault="00193646" w:rsidP="00E732FA">
                            <w:pPr>
                              <w:jc w:val="center"/>
                            </w:pPr>
                            <w:r>
                              <w:t>KEY PROBLEMS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CF28E" id="Rectangle 65" o:spid="_x0000_s1045" style="position:absolute;left:0;text-align:left;margin-left:-44.6pt;margin-top:298.5pt;width:76.05pt;height:38.2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" fillcolor="#ffd966" strokecolor="#ffc000" strokeweight="1pt">
                <v:fill color2="#ffc000" focus="50%" type="gradient"/>
                <v:shadow on="t" color="#7f6000" offset="1pt"/>
                <v:textbox>
                  <w:txbxContent>
                    <w:p w14:paraId="45093975" w14:textId="77777777" w:rsidR="00193646" w:rsidRPr="0099458E" w:rsidRDefault="00193646" w:rsidP="00E732FA">
                      <w:pPr>
                        <w:jc w:val="center"/>
                      </w:pPr>
                      <w:r>
                        <w:t>KEY PROBLEMS</w:t>
                      </w:r>
                    </w:p>
                  </w:txbxContent>
                </v:textbox>
              </v:rect>
            </w:pict>
          </mc:Fallback>
        </mc:AlternateContent>
      </w:r>
      <w:r w:rsidRPr="003C7CB1">
        <w:rPr>
          <w:noProof/>
        </w:rPr>
        <mc:AlternateContent>
          <mc:Choice Requires="wps">
            <w:drawing>
              <wp:anchor distT="0" distB="0" distL="114300" distR="114300" simplePos="0" relativeHeight="251891200" behindDoc="0" locked="0" layoutInCell="1" allowOverlap="1" wp14:anchorId="460BB122" wp14:editId="49973FCA">
                <wp:simplePos x="0" y="0"/>
                <wp:positionH relativeFrom="column">
                  <wp:posOffset>537210</wp:posOffset>
                </wp:positionH>
                <wp:positionV relativeFrom="paragraph">
                  <wp:posOffset>424815</wp:posOffset>
                </wp:positionV>
                <wp:extent cx="90805" cy="2428875"/>
                <wp:effectExtent l="13335" t="5715" r="10160" b="13335"/>
                <wp:wrapNone/>
                <wp:docPr id="6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428875"/>
                        </a:xfrm>
                        <a:prstGeom prst="leftBrace">
                          <a:avLst>
                            <a:gd name="adj1" fmla="val 22290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01D6958" id="AutoShape 75" o:spid="_x0000_s1026" type="#_x0000_t87" style="position:absolute;margin-left:42.3pt;margin-top:33.45pt;width:7.15pt;height:191.25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"/>
            </w:pict>
          </mc:Fallback>
        </mc:AlternateContent>
      </w:r>
      <w:r w:rsidRPr="003C7CB1">
        <w:rPr>
          <w:noProof/>
        </w:rPr>
        <mc:AlternateContent>
          <mc:Choice Requires="wps">
            <w:drawing>
              <wp:anchor distT="0" distB="0" distL="114300" distR="114300" simplePos="0" relativeHeight="251888128" behindDoc="0" locked="0" layoutInCell="1" allowOverlap="1" wp14:anchorId="4A770B70" wp14:editId="53FEA679">
                <wp:simplePos x="0" y="0"/>
                <wp:positionH relativeFrom="column">
                  <wp:posOffset>4194810</wp:posOffset>
                </wp:positionH>
                <wp:positionV relativeFrom="paragraph">
                  <wp:posOffset>590550</wp:posOffset>
                </wp:positionV>
                <wp:extent cx="1503045" cy="622935"/>
                <wp:effectExtent l="13335" t="9525" r="17145" b="24765"/>
                <wp:wrapNone/>
                <wp:docPr id="6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622935"/>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0DEE17A5" w14:textId="77777777" w:rsidR="00193646" w:rsidRDefault="00193646" w:rsidP="00E732FA">
                            <w:pPr>
                              <w:jc w:val="center"/>
                            </w:pPr>
                            <w:r w:rsidRPr="004742ED">
                              <w:rPr>
                                <w:b/>
                                <w:color w:val="000000" w:themeColor="text1"/>
                                <w:sz w:val="18"/>
                                <w:szCs w:val="18"/>
                              </w:rPr>
                              <w:t>INADEQUATE AVAILABILITY OF PRODUCTS AND SERVICES</w:t>
                            </w:r>
                            <w:r>
                              <w:rPr>
                                <w:b/>
                                <w:color w:val="000000" w:themeColor="text1"/>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70B70" id="Rectangle 68" o:spid="_x0000_s1046" style="position:absolute;left:0;text-align:left;margin-left:330.3pt;margin-top:46.5pt;width:118.35pt;height:49.0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" strokecolor="#9dc3e6" strokeweight="1pt">
                <v:fill color2="#bdd7ee" focus="100%" type="gradient"/>
                <v:shadow on="t" color="#1f4e79" opacity=".5" offset="1pt"/>
                <v:textbox>
                  <w:txbxContent>
                    <w:p w14:paraId="0DEE17A5" w14:textId="77777777" w:rsidR="00193646" w:rsidRDefault="00193646" w:rsidP="00E732FA">
                      <w:pPr>
                        <w:jc w:val="center"/>
                      </w:pPr>
                      <w:r w:rsidRPr="004742ED">
                        <w:rPr>
                          <w:b/>
                          <w:color w:val="000000" w:themeColor="text1"/>
                          <w:sz w:val="18"/>
                          <w:szCs w:val="18"/>
                        </w:rPr>
                        <w:t>INADEQUATE AVAILABILITY OF PRODUCTS AND SERVICES</w:t>
                      </w:r>
                      <w:r>
                        <w:rPr>
                          <w:b/>
                          <w:color w:val="000000" w:themeColor="text1"/>
                          <w:sz w:val="18"/>
                          <w:szCs w:val="18"/>
                        </w:rPr>
                        <w:t xml:space="preserve"> </w:t>
                      </w:r>
                    </w:p>
                  </w:txbxContent>
                </v:textbox>
              </v:rect>
            </w:pict>
          </mc:Fallback>
        </mc:AlternateContent>
      </w:r>
      <w:r w:rsidRPr="003C7CB1">
        <w:rPr>
          <w:noProof/>
        </w:rPr>
        <mc:AlternateContent>
          <mc:Choice Requires="wps">
            <w:drawing>
              <wp:anchor distT="0" distB="0" distL="114300" distR="114300" simplePos="0" relativeHeight="251887104" behindDoc="0" locked="0" layoutInCell="1" allowOverlap="1" wp14:anchorId="6B45412D" wp14:editId="5AE257A7">
                <wp:simplePos x="0" y="0"/>
                <wp:positionH relativeFrom="column">
                  <wp:posOffset>2497455</wp:posOffset>
                </wp:positionH>
                <wp:positionV relativeFrom="paragraph">
                  <wp:posOffset>293370</wp:posOffset>
                </wp:positionV>
                <wp:extent cx="1314450" cy="622935"/>
                <wp:effectExtent l="11430" t="7620" r="17145" b="26670"/>
                <wp:wrapNone/>
                <wp:docPr id="5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22935"/>
                        </a:xfrm>
                        <a:prstGeom prst="rect">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020DDC21" w14:textId="77777777" w:rsidR="00193646" w:rsidRPr="00617D92" w:rsidRDefault="00193646" w:rsidP="00E732FA">
                            <w:pPr>
                              <w:rPr>
                                <w:sz w:val="18"/>
                                <w:szCs w:val="18"/>
                              </w:rPr>
                            </w:pPr>
                            <w:r w:rsidRPr="00F2611C">
                              <w:rPr>
                                <w:b/>
                                <w:color w:val="000000" w:themeColor="text1"/>
                                <w:sz w:val="18"/>
                                <w:szCs w:val="18"/>
                              </w:rPr>
                              <w:t>REGIONAL IMBALANCE</w:t>
                            </w:r>
                            <w:r>
                              <w:rPr>
                                <w:b/>
                                <w:color w:val="000000" w:themeColor="text1"/>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5412D" id="Rectangle 67" o:spid="_x0000_s1047" style="position:absolute;left:0;text-align:left;margin-left:196.65pt;margin-top:23.1pt;width:103.5pt;height:49.0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" strokecolor="#9dc3e6" strokeweight="1pt">
                <v:fill color2="#bdd7ee" focus="100%" type="gradient"/>
                <v:shadow on="t" color="#1f4e79" opacity=".5" offset="1pt"/>
                <v:textbox>
                  <w:txbxContent>
                    <w:p w14:paraId="020DDC21" w14:textId="77777777" w:rsidR="00193646" w:rsidRPr="00617D92" w:rsidRDefault="00193646" w:rsidP="00E732FA">
                      <w:pPr>
                        <w:rPr>
                          <w:sz w:val="18"/>
                          <w:szCs w:val="18"/>
                        </w:rPr>
                      </w:pPr>
                      <w:r w:rsidRPr="00F2611C">
                        <w:rPr>
                          <w:b/>
                          <w:color w:val="000000" w:themeColor="text1"/>
                          <w:sz w:val="18"/>
                          <w:szCs w:val="18"/>
                        </w:rPr>
                        <w:t>REGIONAL IMBALANCE</w:t>
                      </w:r>
                      <w:r>
                        <w:rPr>
                          <w:b/>
                          <w:color w:val="000000" w:themeColor="text1"/>
                          <w:sz w:val="18"/>
                          <w:szCs w:val="18"/>
                        </w:rPr>
                        <w:t xml:space="preserve"> </w:t>
                      </w:r>
                    </w:p>
                  </w:txbxContent>
                </v:textbox>
              </v:rect>
            </w:pict>
          </mc:Fallback>
        </mc:AlternateContent>
      </w:r>
      <w:r w:rsidRPr="003C7CB1">
        <w:rPr>
          <w:noProof/>
        </w:rPr>
        <w:drawing>
          <wp:inline distT="0" distB="0" distL="0" distR="0" wp14:anchorId="384988B2" wp14:editId="780DE522">
            <wp:extent cx="6575524" cy="7324436"/>
            <wp:effectExtent l="0" t="0" r="0" b="0"/>
            <wp:docPr id="173" name="Picture 4" descr="146,460 Tree Roots Stock Photos, Pictures &amp;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6,460 Tree Roots Stock Photos, Pictures &amp;amp; Royalty-Free Images - iStock"/>
                    <pic:cNvPicPr>
                      <a:picLocks noChangeAspect="1" noChangeArrowheads="1"/>
                    </pic:cNvPicPr>
                  </pic:nvPicPr>
                  <pic:blipFill>
                    <a:blip r:embed="rId61" cstate="print"/>
                    <a:srcRect/>
                    <a:stretch>
                      <a:fillRect/>
                    </a:stretch>
                  </pic:blipFill>
                  <pic:spPr bwMode="auto">
                    <a:xfrm>
                      <a:off x="0" y="0"/>
                      <a:ext cx="6587816" cy="7338128"/>
                    </a:xfrm>
                    <a:prstGeom prst="rect">
                      <a:avLst/>
                    </a:prstGeom>
                    <a:noFill/>
                    <a:ln w="9525">
                      <a:noFill/>
                      <a:miter lim="800000"/>
                      <a:headEnd/>
                      <a:tailEnd/>
                    </a:ln>
                  </pic:spPr>
                </pic:pic>
              </a:graphicData>
            </a:graphic>
          </wp:inline>
        </w:drawing>
      </w:r>
    </w:p>
    <w:p w14:paraId="094EED20" w14:textId="77777777" w:rsidR="00E732FA" w:rsidRPr="003C7CB1" w:rsidRDefault="00E732FA" w:rsidP="00E732FA">
      <w:pPr>
        <w:tabs>
          <w:tab w:val="left" w:pos="967"/>
        </w:tabs>
        <w:rPr>
          <w:sz w:val="24"/>
          <w:szCs w:val="24"/>
        </w:rPr>
      </w:pPr>
    </w:p>
    <w:p w14:paraId="33EB9E65" w14:textId="77777777" w:rsidR="00E732FA" w:rsidRPr="003C7CB1" w:rsidRDefault="00E732FA" w:rsidP="00E732FA">
      <w:pPr>
        <w:spacing w:after="0" w:line="240" w:lineRule="auto"/>
        <w:rPr>
          <w:sz w:val="24"/>
          <w:szCs w:val="24"/>
        </w:rPr>
      </w:pPr>
      <w:r w:rsidRPr="003C7CB1">
        <w:rPr>
          <w:sz w:val="24"/>
          <w:szCs w:val="24"/>
        </w:rPr>
        <w:br w:type="page"/>
      </w:r>
    </w:p>
    <w:p w14:paraId="71286440" w14:textId="77777777" w:rsidR="00E732FA" w:rsidRPr="003C7CB1" w:rsidRDefault="00E732FA" w:rsidP="00E732FA">
      <w:pPr>
        <w:tabs>
          <w:tab w:val="left" w:pos="967"/>
        </w:tabs>
        <w:spacing w:after="120"/>
        <w:rPr>
          <w:sz w:val="24"/>
          <w:szCs w:val="24"/>
        </w:rPr>
      </w:pPr>
      <w:r w:rsidRPr="003C7CB1">
        <w:rPr>
          <w:noProof/>
          <w:sz w:val="24"/>
          <w:szCs w:val="24"/>
        </w:rPr>
        <w:lastRenderedPageBreak/>
        <w:drawing>
          <wp:inline distT="0" distB="0" distL="0" distR="0" wp14:anchorId="481C4CB3" wp14:editId="03134F09">
            <wp:extent cx="5732144" cy="8108211"/>
            <wp:effectExtent l="0" t="0" r="2540" b="762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11 misija vizija.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2144" cy="8108211"/>
                    </a:xfrm>
                    <a:prstGeom prst="rect">
                      <a:avLst/>
                    </a:prstGeom>
                  </pic:spPr>
                </pic:pic>
              </a:graphicData>
            </a:graphic>
          </wp:inline>
        </w:drawing>
      </w:r>
    </w:p>
    <w:p w14:paraId="359AEA1B" w14:textId="77777777" w:rsidR="00E732FA" w:rsidRPr="003C7CB1" w:rsidRDefault="00E732FA" w:rsidP="00E732FA">
      <w:pPr>
        <w:tabs>
          <w:tab w:val="left" w:pos="967"/>
        </w:tabs>
        <w:spacing w:after="120"/>
        <w:rPr>
          <w:sz w:val="24"/>
          <w:szCs w:val="24"/>
        </w:rPr>
      </w:pPr>
    </w:p>
    <w:p w14:paraId="1313D538" w14:textId="77777777" w:rsidR="00E732FA" w:rsidRPr="003C7CB1" w:rsidRDefault="00E732FA" w:rsidP="00E732FA">
      <w:pPr>
        <w:pStyle w:val="Heading1"/>
        <w:numPr>
          <w:ilvl w:val="0"/>
          <w:numId w:val="48"/>
        </w:numPr>
        <w:rPr>
          <w:lang w:eastAsia="hr-HR"/>
        </w:rPr>
      </w:pPr>
      <w:bookmarkStart w:id="136" w:name="_Toc102133808"/>
      <w:bookmarkStart w:id="137" w:name="_Toc104544192"/>
      <w:r w:rsidRPr="003C7CB1">
        <w:rPr>
          <w:lang w:eastAsia="hr-HR"/>
        </w:rPr>
        <w:lastRenderedPageBreak/>
        <w:t>VISION, MISSION, CREDO</w:t>
      </w:r>
      <w:bookmarkEnd w:id="136"/>
      <w:bookmarkEnd w:id="137"/>
      <w:r w:rsidRPr="003C7CB1">
        <w:rPr>
          <w:lang w:eastAsia="hr-HR"/>
        </w:rPr>
        <w:t xml:space="preserve"> </w:t>
      </w:r>
    </w:p>
    <w:p w14:paraId="7AE77CCA" w14:textId="77777777" w:rsidR="00E732FA" w:rsidRPr="003C7CB1" w:rsidRDefault="00E732FA" w:rsidP="00E732FA">
      <w:pPr>
        <w:rPr>
          <w:lang w:eastAsia="hr-HR"/>
        </w:rPr>
      </w:pPr>
    </w:p>
    <w:p w14:paraId="1DAB3B1C" w14:textId="77777777" w:rsidR="00E732FA" w:rsidRPr="003C7CB1" w:rsidRDefault="00E732FA" w:rsidP="003F22DD">
      <w:pPr>
        <w:jc w:val="both"/>
        <w:rPr>
          <w:sz w:val="24"/>
          <w:szCs w:val="24"/>
          <w:lang w:eastAsia="hr-HR"/>
        </w:rPr>
      </w:pPr>
      <w:r w:rsidRPr="003C7CB1">
        <w:rPr>
          <w:sz w:val="24"/>
          <w:szCs w:val="24"/>
          <w:lang w:eastAsia="hr-HR"/>
        </w:rPr>
        <w:t xml:space="preserve">The vision of this Strategy clearly defines the ultimate goal. The mission is a roadmap that leads to the achievement of that goal, while the credo is a system of beliefs and guiding principles. </w:t>
      </w:r>
    </w:p>
    <w:p w14:paraId="4D076009" w14:textId="77777777" w:rsidR="00E732FA" w:rsidRPr="003C7CB1" w:rsidRDefault="00E732FA" w:rsidP="00E732FA">
      <w:pPr>
        <w:rPr>
          <w:sz w:val="24"/>
          <w:szCs w:val="24"/>
          <w:lang w:eastAsia="hr-HR"/>
        </w:rPr>
      </w:pPr>
    </w:p>
    <w:p w14:paraId="2EFC2252" w14:textId="77777777" w:rsidR="00E732FA" w:rsidRPr="003C7CB1" w:rsidRDefault="00E732FA" w:rsidP="00E732FA">
      <w:pPr>
        <w:spacing w:after="120"/>
        <w:jc w:val="center"/>
        <w:rPr>
          <w:b/>
          <w:color w:val="2F5496" w:themeColor="accent1" w:themeShade="BF"/>
          <w:sz w:val="28"/>
          <w:szCs w:val="28"/>
          <w:lang w:eastAsia="hr-HR"/>
        </w:rPr>
      </w:pPr>
      <w:r w:rsidRPr="003C7CB1">
        <w:rPr>
          <w:b/>
          <w:color w:val="2F5496" w:themeColor="accent1" w:themeShade="BF"/>
          <w:sz w:val="28"/>
          <w:szCs w:val="28"/>
          <w:lang w:eastAsia="hr-HR"/>
        </w:rPr>
        <w:t xml:space="preserve">VISION </w:t>
      </w:r>
    </w:p>
    <w:p w14:paraId="19BD7098" w14:textId="77777777" w:rsidR="00E732FA" w:rsidRPr="003C7CB1" w:rsidRDefault="00E732FA" w:rsidP="00E732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5" w:themeFillTint="33"/>
        <w:rPr>
          <w:lang w:eastAsia="hr-HR"/>
        </w:rPr>
      </w:pPr>
      <w:bookmarkStart w:id="138" w:name="_Toc91285536"/>
      <w:bookmarkStart w:id="139" w:name="_Toc91286180"/>
      <w:bookmarkStart w:id="140" w:name="_Toc91286327"/>
      <w:bookmarkStart w:id="141" w:name="_Toc91461488"/>
      <w:r w:rsidRPr="003C7CB1">
        <w:rPr>
          <w:b/>
          <w:i/>
          <w:sz w:val="28"/>
          <w:szCs w:val="28"/>
          <w:lang w:eastAsia="hr-HR"/>
        </w:rPr>
        <w:t xml:space="preserve">In 2025, Montenegro is a globally recognizable tourist destination.  </w:t>
      </w:r>
    </w:p>
    <w:p w14:paraId="139531AA" w14:textId="77777777" w:rsidR="00E732FA" w:rsidRPr="003C7CB1" w:rsidRDefault="00E732FA" w:rsidP="00E732FA">
      <w:pPr>
        <w:jc w:val="center"/>
        <w:rPr>
          <w:b/>
          <w:color w:val="4472C4" w:themeColor="accent1"/>
          <w:sz w:val="28"/>
          <w:lang w:eastAsia="hr-HR"/>
        </w:rPr>
      </w:pPr>
      <w:bookmarkStart w:id="142" w:name="_Toc91500018"/>
      <w:bookmarkStart w:id="143" w:name="_Toc91500509"/>
      <w:bookmarkStart w:id="144" w:name="_Toc91518927"/>
      <w:bookmarkStart w:id="145" w:name="_Toc91521914"/>
      <w:bookmarkStart w:id="146" w:name="_Toc95299945"/>
      <w:bookmarkStart w:id="147" w:name="_Toc95303025"/>
      <w:bookmarkStart w:id="148" w:name="_Toc97902489"/>
      <w:r w:rsidRPr="003C7CB1">
        <w:rPr>
          <w:b/>
          <w:color w:val="4472C4" w:themeColor="accent1"/>
          <w:sz w:val="28"/>
          <w:lang w:eastAsia="hr-HR"/>
        </w:rPr>
        <w:t>MIS</w:t>
      </w:r>
      <w:bookmarkEnd w:id="121"/>
      <w:bookmarkEnd w:id="138"/>
      <w:bookmarkEnd w:id="139"/>
      <w:bookmarkEnd w:id="140"/>
      <w:bookmarkEnd w:id="141"/>
      <w:bookmarkEnd w:id="142"/>
      <w:bookmarkEnd w:id="143"/>
      <w:bookmarkEnd w:id="144"/>
      <w:bookmarkEnd w:id="145"/>
      <w:bookmarkEnd w:id="146"/>
      <w:bookmarkEnd w:id="147"/>
      <w:bookmarkEnd w:id="148"/>
      <w:r w:rsidRPr="003C7CB1">
        <w:rPr>
          <w:b/>
          <w:color w:val="4472C4" w:themeColor="accent1"/>
          <w:sz w:val="28"/>
          <w:lang w:eastAsia="hr-HR"/>
        </w:rPr>
        <w:t>SION</w:t>
      </w:r>
    </w:p>
    <w:p w14:paraId="5D9F144F" w14:textId="77777777" w:rsidR="00E732FA" w:rsidRPr="003C7CB1" w:rsidRDefault="00E732FA" w:rsidP="00E732FA">
      <w:pPr>
        <w:pBdr>
          <w:top w:val="single" w:sz="4" w:space="1" w:color="auto"/>
          <w:left w:val="single" w:sz="4" w:space="4" w:color="auto"/>
          <w:bottom w:val="single" w:sz="4" w:space="1" w:color="auto"/>
          <w:right w:val="single" w:sz="4" w:space="4" w:color="auto"/>
        </w:pBdr>
        <w:shd w:val="clear" w:color="auto" w:fill="DEEAF6" w:themeFill="accent5" w:themeFillTint="33"/>
        <w:spacing w:after="120"/>
        <w:jc w:val="both"/>
        <w:rPr>
          <w:b/>
          <w:i/>
          <w:sz w:val="28"/>
          <w:szCs w:val="28"/>
        </w:rPr>
      </w:pPr>
      <w:r w:rsidRPr="003C7CB1">
        <w:rPr>
          <w:b/>
          <w:i/>
          <w:sz w:val="28"/>
          <w:szCs w:val="28"/>
        </w:rPr>
        <w:t xml:space="preserve">Montenegro manages the destination in a sustainable way, creating an innovative, green and inclusive tourism product, influencing the increase in tourism spending, reducing seasonality and regional imbalance, with the aim of raising living standards of local population and tourist satisfaction. </w:t>
      </w:r>
    </w:p>
    <w:p w14:paraId="3ADAF477" w14:textId="77777777" w:rsidR="00E732FA" w:rsidRPr="003C7CB1" w:rsidRDefault="00E732FA" w:rsidP="00E732FA">
      <w:pPr>
        <w:jc w:val="center"/>
        <w:rPr>
          <w:b/>
          <w:color w:val="2F5496" w:themeColor="accent1" w:themeShade="BF"/>
          <w:sz w:val="28"/>
          <w:szCs w:val="28"/>
          <w:lang w:eastAsia="hr-HR"/>
        </w:rPr>
      </w:pPr>
    </w:p>
    <w:p w14:paraId="7CE143EE" w14:textId="77777777" w:rsidR="00E732FA" w:rsidRPr="003C7CB1" w:rsidRDefault="00E732FA" w:rsidP="00E732FA">
      <w:pPr>
        <w:jc w:val="center"/>
        <w:rPr>
          <w:lang w:eastAsia="hr-HR"/>
        </w:rPr>
      </w:pPr>
      <w:r w:rsidRPr="003C7CB1">
        <w:rPr>
          <w:b/>
          <w:color w:val="2F5496" w:themeColor="accent1" w:themeShade="BF"/>
          <w:sz w:val="28"/>
          <w:szCs w:val="28"/>
          <w:lang w:eastAsia="hr-HR"/>
        </w:rPr>
        <w:t xml:space="preserve">CREDO </w:t>
      </w:r>
    </w:p>
    <w:p w14:paraId="68F80555" w14:textId="225D5FC2" w:rsidR="00E732FA" w:rsidRPr="003C7CB1" w:rsidRDefault="00E732FA" w:rsidP="00E732FA">
      <w:pPr>
        <w:pBdr>
          <w:top w:val="single" w:sz="4" w:space="1" w:color="auto"/>
          <w:left w:val="single" w:sz="4" w:space="4" w:color="auto"/>
          <w:bottom w:val="single" w:sz="4" w:space="1" w:color="auto"/>
          <w:right w:val="single" w:sz="4" w:space="4" w:color="auto"/>
        </w:pBdr>
        <w:shd w:val="clear" w:color="auto" w:fill="DEEAF6" w:themeFill="accent5" w:themeFillTint="33"/>
        <w:spacing w:after="120"/>
        <w:jc w:val="both"/>
        <w:rPr>
          <w:b/>
          <w:i/>
          <w:sz w:val="28"/>
          <w:szCs w:val="28"/>
        </w:rPr>
      </w:pPr>
      <w:r w:rsidRPr="003C7CB1">
        <w:rPr>
          <w:b/>
          <w:i/>
          <w:sz w:val="28"/>
          <w:szCs w:val="28"/>
        </w:rPr>
        <w:t xml:space="preserve">Montenegro is promising, </w:t>
      </w:r>
      <w:r w:rsidR="00F10D41">
        <w:rPr>
          <w:b/>
          <w:i/>
          <w:sz w:val="28"/>
          <w:szCs w:val="28"/>
        </w:rPr>
        <w:t>explore</w:t>
      </w:r>
      <w:r w:rsidRPr="003C7CB1">
        <w:rPr>
          <w:b/>
          <w:i/>
          <w:sz w:val="28"/>
          <w:szCs w:val="28"/>
        </w:rPr>
        <w:t xml:space="preserve"> it. </w:t>
      </w:r>
    </w:p>
    <w:p w14:paraId="0DF18219" w14:textId="77777777" w:rsidR="00E732FA" w:rsidRPr="003C7CB1" w:rsidRDefault="00E732FA" w:rsidP="00E732FA">
      <w:pPr>
        <w:spacing w:after="0" w:line="240" w:lineRule="auto"/>
        <w:rPr>
          <w:lang w:eastAsia="hr-HR"/>
        </w:rPr>
      </w:pPr>
      <w:r w:rsidRPr="003C7CB1">
        <w:rPr>
          <w:lang w:eastAsia="hr-HR"/>
        </w:rPr>
        <w:br w:type="page"/>
      </w:r>
    </w:p>
    <w:p w14:paraId="0518A1FF" w14:textId="77777777" w:rsidR="00E732FA" w:rsidRPr="003C7CB1" w:rsidRDefault="00E732FA" w:rsidP="00E732FA">
      <w:pPr>
        <w:rPr>
          <w:lang w:eastAsia="hr-HR"/>
        </w:rPr>
      </w:pPr>
      <w:r w:rsidRPr="003C7CB1">
        <w:rPr>
          <w:noProof/>
        </w:rPr>
        <w:lastRenderedPageBreak/>
        <w:drawing>
          <wp:inline distT="0" distB="0" distL="0" distR="0" wp14:anchorId="14DA62A6" wp14:editId="13242353">
            <wp:extent cx="5732145" cy="8108211"/>
            <wp:effectExtent l="0" t="0" r="1905"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12 savremeni pravci razvoja turizma.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1D0B6DDC" w14:textId="77777777" w:rsidR="00E732FA" w:rsidRPr="003C7CB1" w:rsidRDefault="00E732FA" w:rsidP="00E732FA">
      <w:pPr>
        <w:rPr>
          <w:lang w:eastAsia="hr-HR"/>
        </w:rPr>
      </w:pPr>
    </w:p>
    <w:p w14:paraId="5A824991" w14:textId="77777777" w:rsidR="00E732FA" w:rsidRPr="003C7CB1" w:rsidRDefault="00E732FA" w:rsidP="00E732FA">
      <w:pPr>
        <w:pStyle w:val="Heading1"/>
        <w:numPr>
          <w:ilvl w:val="0"/>
          <w:numId w:val="48"/>
        </w:numPr>
        <w:rPr>
          <w:lang w:eastAsia="hr-HR"/>
        </w:rPr>
      </w:pPr>
      <w:bookmarkStart w:id="149" w:name="_Toc102133809"/>
      <w:bookmarkStart w:id="150" w:name="_Toc104544193"/>
      <w:r w:rsidRPr="003C7CB1">
        <w:rPr>
          <w:lang w:eastAsia="hr-HR"/>
        </w:rPr>
        <w:lastRenderedPageBreak/>
        <w:t>MODERN DIRECTIONS OF TOURISM DEVELOPMENT</w:t>
      </w:r>
      <w:bookmarkEnd w:id="149"/>
      <w:bookmarkEnd w:id="150"/>
    </w:p>
    <w:p w14:paraId="534D25CD" w14:textId="77777777" w:rsidR="00E732FA" w:rsidRPr="003C7CB1" w:rsidRDefault="00E732FA" w:rsidP="00E732FA">
      <w:pPr>
        <w:spacing w:after="120"/>
        <w:rPr>
          <w:lang w:eastAsia="hr-HR"/>
        </w:rPr>
      </w:pPr>
    </w:p>
    <w:p w14:paraId="51B0196A" w14:textId="77777777" w:rsidR="00E732FA" w:rsidRPr="003C7CB1" w:rsidRDefault="00E732FA" w:rsidP="00E732FA">
      <w:pPr>
        <w:pBdr>
          <w:top w:val="single" w:sz="4" w:space="1" w:color="auto"/>
          <w:left w:val="single" w:sz="4" w:space="4" w:color="auto"/>
          <w:bottom w:val="single" w:sz="4" w:space="1" w:color="auto"/>
          <w:right w:val="single" w:sz="4" w:space="4" w:color="auto"/>
        </w:pBdr>
        <w:shd w:val="clear" w:color="auto" w:fill="C5E0B3" w:themeFill="accent6" w:themeFillTint="66"/>
        <w:spacing w:after="120"/>
        <w:jc w:val="center"/>
        <w:rPr>
          <w:rFonts w:cstheme="minorHAnsi"/>
          <w:b/>
          <w:sz w:val="28"/>
          <w:szCs w:val="28"/>
          <w:u w:val="single"/>
        </w:rPr>
      </w:pPr>
      <w:r w:rsidRPr="003C7CB1">
        <w:rPr>
          <w:rFonts w:cstheme="minorHAnsi"/>
          <w:b/>
          <w:sz w:val="28"/>
          <w:szCs w:val="28"/>
        </w:rPr>
        <w:t>TOURISM SHOULD BE SUSTAINABLE, INCLUSIVE, SMART, GREEN AND RESPONSIBLE</w:t>
      </w:r>
    </w:p>
    <w:p w14:paraId="6BCBDF95" w14:textId="77777777" w:rsidR="00E732FA" w:rsidRPr="003C7CB1" w:rsidRDefault="00E732FA" w:rsidP="00E732FA">
      <w:pPr>
        <w:pStyle w:val="Heading2"/>
        <w:spacing w:before="0" w:after="120" w:line="240" w:lineRule="auto"/>
        <w:rPr>
          <w:sz w:val="26"/>
        </w:rPr>
      </w:pPr>
      <w:bookmarkStart w:id="151" w:name="_Toc91286182"/>
      <w:bookmarkStart w:id="152" w:name="_Toc95303027"/>
      <w:bookmarkStart w:id="153" w:name="_Toc102133810"/>
      <w:bookmarkStart w:id="154" w:name="_Toc104544194"/>
      <w:r w:rsidRPr="003C7CB1">
        <w:rPr>
          <w:sz w:val="26"/>
        </w:rPr>
        <w:t xml:space="preserve">11.1. </w:t>
      </w:r>
      <w:bookmarkEnd w:id="151"/>
      <w:bookmarkEnd w:id="152"/>
      <w:r w:rsidRPr="003C7CB1">
        <w:rPr>
          <w:sz w:val="26"/>
        </w:rPr>
        <w:t>Sustainable tourism</w:t>
      </w:r>
      <w:bookmarkEnd w:id="153"/>
      <w:bookmarkEnd w:id="154"/>
    </w:p>
    <w:p w14:paraId="074D3C70"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heme="minorHAnsi"/>
          <w:sz w:val="24"/>
          <w:szCs w:val="24"/>
        </w:rPr>
      </w:pPr>
      <w:r w:rsidRPr="003C7CB1">
        <w:rPr>
          <w:rFonts w:eastAsia="Times New Roman" w:cstheme="minorHAnsi"/>
          <w:sz w:val="24"/>
          <w:szCs w:val="24"/>
        </w:rPr>
        <w:t xml:space="preserve">The principle of sustainability encompasses environmental, economic and socio-cultural aspects of tourism development, so it is important to establish and maintain a balance between these three dimensions. </w:t>
      </w:r>
    </w:p>
    <w:p w14:paraId="391437FB"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sz w:val="24"/>
          <w:szCs w:val="24"/>
        </w:rPr>
      </w:pPr>
      <w:r w:rsidRPr="003C7CB1">
        <w:rPr>
          <w:rFonts w:eastAsia="Times New Roman" w:cstheme="minorHAnsi"/>
          <w:sz w:val="24"/>
          <w:szCs w:val="24"/>
        </w:rPr>
        <w:t>In 2016, Montenegro adopted the National Strategy for Sustainable Development until 2030, which is a long-term development strategy of Montenegro which defines solutions for sustainable management of four groups of national resources - human, social, natural and economic, as priorities for overall sustainable development of Montenegrin society.</w:t>
      </w:r>
      <w:r w:rsidRPr="003C7CB1">
        <w:rPr>
          <w:rFonts w:eastAsia="Times New Roman" w:cstheme="minorHAnsi"/>
          <w:noProof/>
          <w:sz w:val="24"/>
          <w:szCs w:val="24"/>
        </w:rPr>
        <w:drawing>
          <wp:anchor distT="0" distB="0" distL="114300" distR="114300" simplePos="0" relativeHeight="251880960" behindDoc="0" locked="0" layoutInCell="1" allowOverlap="1" wp14:anchorId="43742ED4" wp14:editId="5B35630D">
            <wp:simplePos x="0" y="0"/>
            <wp:positionH relativeFrom="margin">
              <wp:align>right</wp:align>
            </wp:positionH>
            <wp:positionV relativeFrom="paragraph">
              <wp:posOffset>3810</wp:posOffset>
            </wp:positionV>
            <wp:extent cx="2720340" cy="1482090"/>
            <wp:effectExtent l="0" t="0" r="3810" b="381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20340" cy="1482090"/>
                    </a:xfrm>
                    <a:prstGeom prst="rect">
                      <a:avLst/>
                    </a:prstGeom>
                    <a:noFill/>
                  </pic:spPr>
                </pic:pic>
              </a:graphicData>
            </a:graphic>
            <wp14:sizeRelH relativeFrom="page">
              <wp14:pctWidth>0</wp14:pctWidth>
            </wp14:sizeRelH>
            <wp14:sizeRelV relativeFrom="page">
              <wp14:pctHeight>0</wp14:pctHeight>
            </wp14:sizeRelV>
          </wp:anchor>
        </w:drawing>
      </w:r>
      <w:r w:rsidRPr="003C7CB1">
        <w:rPr>
          <w:sz w:val="24"/>
          <w:szCs w:val="24"/>
        </w:rPr>
        <w:t xml:space="preserve"> </w:t>
      </w:r>
    </w:p>
    <w:p w14:paraId="57B460DD"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heme="minorHAnsi"/>
          <w:sz w:val="24"/>
          <w:szCs w:val="24"/>
        </w:rPr>
      </w:pPr>
      <w:r w:rsidRPr="003C7CB1">
        <w:rPr>
          <w:rFonts w:eastAsia="Times New Roman" w:cstheme="minorHAnsi"/>
          <w:sz w:val="24"/>
          <w:szCs w:val="24"/>
        </w:rPr>
        <w:t>According to the United Nations World Tourism Organization (UNWTO)</w:t>
      </w:r>
      <w:r w:rsidRPr="003C7CB1">
        <w:rPr>
          <w:rStyle w:val="FootnoteReference"/>
          <w:rFonts w:eastAsia="Times New Roman" w:cstheme="minorHAnsi"/>
          <w:sz w:val="24"/>
          <w:szCs w:val="24"/>
        </w:rPr>
        <w:footnoteReference w:id="32"/>
      </w:r>
      <w:r w:rsidRPr="003C7CB1">
        <w:rPr>
          <w:rFonts w:eastAsia="Times New Roman" w:cstheme="minorHAnsi"/>
          <w:sz w:val="24"/>
          <w:szCs w:val="24"/>
        </w:rPr>
        <w:t>, sustainable tourism should strive to provide:</w:t>
      </w:r>
    </w:p>
    <w:p w14:paraId="3DF4DF78" w14:textId="77777777" w:rsidR="00E732FA" w:rsidRPr="003C7CB1" w:rsidRDefault="00E732FA" w:rsidP="00E732FA">
      <w:pPr>
        <w:pStyle w:val="ListParagraph"/>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jc w:val="both"/>
        <w:rPr>
          <w:rFonts w:eastAsia="Times New Roman" w:cstheme="minorHAnsi"/>
          <w:sz w:val="24"/>
          <w:szCs w:val="24"/>
        </w:rPr>
      </w:pPr>
      <w:r w:rsidRPr="003C7CB1">
        <w:rPr>
          <w:rFonts w:eastAsia="Times New Roman" w:cstheme="minorHAnsi"/>
          <w:sz w:val="24"/>
          <w:szCs w:val="24"/>
        </w:rPr>
        <w:t xml:space="preserve">Optimal use of environmental resources; </w:t>
      </w:r>
    </w:p>
    <w:p w14:paraId="762DC89F" w14:textId="77777777" w:rsidR="00E732FA" w:rsidRPr="003C7CB1" w:rsidRDefault="00E732FA" w:rsidP="00E732FA">
      <w:pPr>
        <w:pStyle w:val="ListParagraph"/>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jc w:val="both"/>
        <w:rPr>
          <w:rFonts w:eastAsia="Times New Roman" w:cstheme="minorHAnsi"/>
          <w:sz w:val="24"/>
          <w:szCs w:val="24"/>
        </w:rPr>
      </w:pPr>
      <w:r w:rsidRPr="003C7CB1">
        <w:rPr>
          <w:rFonts w:eastAsia="Times New Roman" w:cstheme="minorHAnsi"/>
          <w:sz w:val="24"/>
          <w:szCs w:val="24"/>
        </w:rPr>
        <w:t xml:space="preserve">Respect for the socio-cultural authenticity of the host communities, preservation of their cultural heritage and traditional values ​​with intercultural understanding and tolerance; </w:t>
      </w:r>
    </w:p>
    <w:p w14:paraId="55766748" w14:textId="77777777" w:rsidR="00E732FA" w:rsidRPr="003C7CB1" w:rsidRDefault="00E732FA" w:rsidP="00E732FA">
      <w:pPr>
        <w:pStyle w:val="ListParagraph"/>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jc w:val="both"/>
        <w:rPr>
          <w:rFonts w:eastAsia="Times New Roman" w:cstheme="minorHAnsi"/>
          <w:sz w:val="24"/>
          <w:szCs w:val="24"/>
        </w:rPr>
      </w:pPr>
      <w:r w:rsidRPr="003C7CB1">
        <w:rPr>
          <w:rFonts w:eastAsia="Times New Roman" w:cstheme="minorHAnsi"/>
          <w:sz w:val="24"/>
          <w:szCs w:val="24"/>
        </w:rPr>
        <w:t xml:space="preserve">Ensure sustainable, long-term economic activities, providing socio-economic benefits that are equitably distributed, including stable employment and income-generating opportunities and social services for host communities, while contributing to poverty reduction. </w:t>
      </w:r>
    </w:p>
    <w:p w14:paraId="3A65282C"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heme="minorHAnsi"/>
          <w:sz w:val="24"/>
          <w:szCs w:val="24"/>
        </w:rPr>
      </w:pPr>
      <w:r w:rsidRPr="003C7CB1">
        <w:rPr>
          <w:rFonts w:eastAsia="Times New Roman" w:cstheme="minorHAnsi"/>
          <w:sz w:val="24"/>
          <w:szCs w:val="24"/>
        </w:rPr>
        <w:t xml:space="preserve">Encouraging sustainable tourism development is a continuous process in which it is necessary to include all stakeholders in society, and policy makers, but also all other entities, including tourists themselves. It is important to monitor this process, but also to actively raise awareness of the importance of sustainability in the sector. </w:t>
      </w:r>
    </w:p>
    <w:p w14:paraId="55C2F2DB" w14:textId="77777777" w:rsidR="00E732FA" w:rsidRPr="003C7CB1" w:rsidRDefault="00E732FA" w:rsidP="00E7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heme="minorHAnsi"/>
          <w:sz w:val="24"/>
          <w:szCs w:val="24"/>
        </w:rPr>
      </w:pPr>
      <w:r w:rsidRPr="003C7CB1">
        <w:rPr>
          <w:rFonts w:eastAsia="Times New Roman" w:cstheme="minorHAnsi"/>
          <w:sz w:val="24"/>
          <w:szCs w:val="24"/>
        </w:rPr>
        <w:t>One of the trends in tourism that can contribute to sustainability is “Slow tourism”. For tourists who strive for relaxation and slowing down the daily pace, this is an interesting choice. The goal is for tourist visits to be carried out outside key tourist sites, and for tourism to be “slower and smarter” after the COVID-19 pandemic. Slow tourism is a response to mass tourism, and at the same time the concept of how to spend a healthy vacation. This concept can equally apply to a weekend in a city, as well as a longer stay somewhere in the mountains or on the coast, as long as the pace is slower and more moderate than before.</w:t>
      </w:r>
      <w:r w:rsidRPr="003C7CB1">
        <w:t xml:space="preserve"> </w:t>
      </w:r>
      <w:r w:rsidRPr="003C7CB1">
        <w:rPr>
          <w:rFonts w:eastAsia="Times New Roman" w:cstheme="minorHAnsi"/>
          <w:sz w:val="24"/>
          <w:szCs w:val="24"/>
        </w:rPr>
        <w:t xml:space="preserve">Confirmation of interest in this type of tourist offer can be found in Guest survey 2017, NTO, and Survey on the attitudes and consumption of tourists in Bar in 2019, TO Bar, according to which passive rest and enjoyment, as well as enjoyment of gastronomy, are two of the three main holiday </w:t>
      </w:r>
      <w:r w:rsidRPr="003C7CB1">
        <w:rPr>
          <w:rFonts w:eastAsia="Times New Roman" w:cstheme="minorHAnsi"/>
          <w:sz w:val="24"/>
          <w:szCs w:val="24"/>
        </w:rPr>
        <w:lastRenderedPageBreak/>
        <w:t xml:space="preserve">motives. This indicates the perception of Montenegro as a holiday tourist destination, which is also a good basis for the development of slow tourism in some sites. </w:t>
      </w:r>
    </w:p>
    <w:p w14:paraId="32EB915A" w14:textId="77777777" w:rsidR="00E732FA" w:rsidRPr="003C7CB1" w:rsidRDefault="00E732FA" w:rsidP="00E732FA">
      <w:pPr>
        <w:pStyle w:val="Heading2"/>
        <w:spacing w:before="0" w:after="120" w:line="240" w:lineRule="auto"/>
        <w:rPr>
          <w:sz w:val="26"/>
        </w:rPr>
      </w:pPr>
      <w:bookmarkStart w:id="155" w:name="_Toc91286183"/>
      <w:bookmarkStart w:id="156" w:name="_Toc95303028"/>
      <w:bookmarkStart w:id="157" w:name="_Toc102133811"/>
      <w:bookmarkStart w:id="158" w:name="_Toc104544195"/>
      <w:r w:rsidRPr="003C7CB1">
        <w:rPr>
          <w:sz w:val="26"/>
        </w:rPr>
        <w:t xml:space="preserve">11.2. </w:t>
      </w:r>
      <w:bookmarkEnd w:id="155"/>
      <w:bookmarkEnd w:id="156"/>
      <w:r w:rsidRPr="003C7CB1">
        <w:rPr>
          <w:sz w:val="26"/>
        </w:rPr>
        <w:t>Inclusive tourism</w:t>
      </w:r>
      <w:bookmarkEnd w:id="157"/>
      <w:bookmarkEnd w:id="158"/>
    </w:p>
    <w:p w14:paraId="123402B7" w14:textId="77777777" w:rsidR="00E732FA" w:rsidRPr="003C7CB1" w:rsidRDefault="00E732FA" w:rsidP="00E732FA">
      <w:pPr>
        <w:pStyle w:val="NormalWeb"/>
        <w:shd w:val="clear" w:color="auto" w:fill="FFFFFF"/>
        <w:spacing w:before="0" w:beforeAutospacing="0" w:after="120" w:afterAutospacing="0"/>
        <w:jc w:val="both"/>
        <w:rPr>
          <w:rFonts w:asciiTheme="minorHAnsi" w:hAnsiTheme="minorHAnsi" w:cstheme="minorHAnsi"/>
          <w:color w:val="212529"/>
        </w:rPr>
      </w:pPr>
      <w:r w:rsidRPr="003C7CB1">
        <w:rPr>
          <w:rFonts w:asciiTheme="minorHAnsi" w:hAnsiTheme="minorHAnsi" w:cstheme="minorHAnsi"/>
          <w:color w:val="212529"/>
        </w:rPr>
        <w:t xml:space="preserve">The COVID-19 pandemic had a huge impact on all segments of society and the economy. Developed and developing economies have also been affected, and the whole situation has mostly had a negative impact on marginalized groups and the most vulnerable populations. </w:t>
      </w:r>
    </w:p>
    <w:p w14:paraId="7058D1DD" w14:textId="77777777" w:rsidR="00E732FA" w:rsidRPr="003C7CB1" w:rsidRDefault="00E732FA" w:rsidP="00E732FA">
      <w:pPr>
        <w:pStyle w:val="NormalWeb"/>
        <w:shd w:val="clear" w:color="auto" w:fill="FFFFFF"/>
        <w:spacing w:before="0" w:beforeAutospacing="0" w:after="120" w:afterAutospacing="0"/>
        <w:jc w:val="both"/>
        <w:rPr>
          <w:rFonts w:asciiTheme="minorHAnsi" w:hAnsiTheme="minorHAnsi" w:cstheme="minorHAnsi"/>
          <w:color w:val="212529"/>
        </w:rPr>
      </w:pPr>
      <w:r w:rsidRPr="003C7CB1">
        <w:rPr>
          <w:rFonts w:asciiTheme="minorHAnsi" w:hAnsiTheme="minorHAnsi" w:cstheme="minorHAnsi"/>
          <w:color w:val="212529"/>
        </w:rPr>
        <w:t>Inclusive tourism tends to make tourism accessible to all, that all people, without distinction, have the right to enjoy tourist experiences.</w:t>
      </w:r>
      <w:r w:rsidRPr="003C7CB1">
        <w:t xml:space="preserve"> </w:t>
      </w:r>
      <w:r w:rsidRPr="003C7CB1">
        <w:rPr>
          <w:rFonts w:asciiTheme="minorHAnsi" w:hAnsiTheme="minorHAnsi" w:cstheme="minorHAnsi"/>
          <w:color w:val="212529"/>
        </w:rPr>
        <w:t>In fact, this form of tourism is adapted to people such as: those with disabilities, the elderly, people with chronic health problems, people with acute illnesses and parents with young children, women, young people… so that everyone has equal access to tourism services</w:t>
      </w:r>
      <w:r w:rsidRPr="003C7CB1">
        <w:rPr>
          <w:rStyle w:val="FootnoteReference"/>
          <w:rFonts w:asciiTheme="minorHAnsi" w:hAnsiTheme="minorHAnsi" w:cstheme="minorHAnsi"/>
          <w:color w:val="212529"/>
        </w:rPr>
        <w:footnoteReference w:id="33"/>
      </w:r>
      <w:r w:rsidRPr="003C7CB1">
        <w:rPr>
          <w:rFonts w:asciiTheme="minorHAnsi" w:hAnsiTheme="minorHAnsi" w:cstheme="minorHAnsi"/>
          <w:color w:val="212529"/>
        </w:rPr>
        <w:t xml:space="preserve">. </w:t>
      </w:r>
    </w:p>
    <w:p w14:paraId="1A77EBA5" w14:textId="77777777" w:rsidR="00E732FA" w:rsidRPr="003C7CB1" w:rsidRDefault="00E732FA" w:rsidP="00E732FA">
      <w:pPr>
        <w:pStyle w:val="NormalWeb"/>
        <w:shd w:val="clear" w:color="auto" w:fill="FFFFFF"/>
        <w:spacing w:before="0" w:beforeAutospacing="0" w:after="120" w:afterAutospacing="0"/>
        <w:jc w:val="both"/>
        <w:rPr>
          <w:rFonts w:asciiTheme="minorHAnsi" w:hAnsiTheme="minorHAnsi" w:cstheme="minorHAnsi"/>
          <w:color w:val="212529"/>
        </w:rPr>
      </w:pPr>
      <w:r w:rsidRPr="003C7CB1">
        <w:rPr>
          <w:rFonts w:asciiTheme="minorHAnsi" w:hAnsiTheme="minorHAnsi" w:cstheme="minorHAnsi"/>
        </w:rPr>
        <w:t>Also, in accordance with the concept of inclusive tourism and growth, which according to the Organization for Economic Cooperation and Development (OECD) is “economic growth that is equitably distributed in society and creates opportunities for all”, more attention should be paid to employment of young people and women, persons with disabilities, representatives of minorities, etc.</w:t>
      </w:r>
      <w:r w:rsidRPr="003C7CB1">
        <w:rPr>
          <w:rFonts w:asciiTheme="minorHAnsi" w:hAnsiTheme="minorHAnsi" w:cstheme="minorHAnsi"/>
          <w:noProof/>
          <w:color w:val="212529"/>
        </w:rPr>
        <w:drawing>
          <wp:anchor distT="0" distB="0" distL="114300" distR="114300" simplePos="0" relativeHeight="251879936" behindDoc="0" locked="0" layoutInCell="1" allowOverlap="1" wp14:anchorId="2A25DEC3" wp14:editId="09DFAE0B">
            <wp:simplePos x="0" y="0"/>
            <wp:positionH relativeFrom="margin">
              <wp:align>left</wp:align>
            </wp:positionH>
            <wp:positionV relativeFrom="paragraph">
              <wp:posOffset>429260</wp:posOffset>
            </wp:positionV>
            <wp:extent cx="2576830" cy="1122045"/>
            <wp:effectExtent l="0" t="0" r="0" b="1905"/>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84297" cy="1125246"/>
                    </a:xfrm>
                    <a:prstGeom prst="rect">
                      <a:avLst/>
                    </a:prstGeom>
                    <a:noFill/>
                  </pic:spPr>
                </pic:pic>
              </a:graphicData>
            </a:graphic>
            <wp14:sizeRelH relativeFrom="page">
              <wp14:pctWidth>0</wp14:pctWidth>
            </wp14:sizeRelH>
            <wp14:sizeRelV relativeFrom="page">
              <wp14:pctHeight>0</wp14:pctHeight>
            </wp14:sizeRelV>
          </wp:anchor>
        </w:drawing>
      </w:r>
      <w:r w:rsidRPr="003C7CB1">
        <w:rPr>
          <w:rFonts w:asciiTheme="minorHAnsi" w:hAnsiTheme="minorHAnsi" w:cstheme="minorHAnsi"/>
        </w:rPr>
        <w:t xml:space="preserve"> </w:t>
      </w:r>
      <w:r w:rsidRPr="003C7CB1">
        <w:rPr>
          <w:rFonts w:asciiTheme="minorHAnsi" w:hAnsiTheme="minorHAnsi" w:cstheme="minorHAnsi"/>
          <w:color w:val="212529"/>
        </w:rPr>
        <w:t xml:space="preserve"> </w:t>
      </w:r>
    </w:p>
    <w:p w14:paraId="0597E333" w14:textId="77777777" w:rsidR="00E732FA" w:rsidRPr="003C7CB1" w:rsidRDefault="00E732FA" w:rsidP="00E732FA">
      <w:pPr>
        <w:pStyle w:val="NormalWeb"/>
        <w:shd w:val="clear" w:color="auto" w:fill="FFFFFF"/>
        <w:spacing w:before="0" w:beforeAutospacing="0" w:after="120" w:afterAutospacing="0"/>
        <w:jc w:val="both"/>
        <w:rPr>
          <w:rFonts w:asciiTheme="minorHAnsi" w:hAnsiTheme="minorHAnsi" w:cstheme="minorHAnsi"/>
          <w:color w:val="212529"/>
        </w:rPr>
      </w:pPr>
      <w:r w:rsidRPr="003C7CB1">
        <w:rPr>
          <w:rFonts w:asciiTheme="minorHAnsi" w:hAnsiTheme="minorHAnsi" w:cstheme="minorHAnsi"/>
          <w:color w:val="212529"/>
        </w:rPr>
        <w:t>It is very important to envisage the involvement of young people through the implementation of the Youth Guarantee program launched by the European Commission so that all persons under 30 receive a quality offer for: job, further education, internship or professional training, within four months after completing formal education or losing job. Montenegro has the possibility of financial support for this program through the Economic and Investment Plan for the Western Balkans from October 2020. In October 2021, the EC launched the first phase of a process that will lead to the formulation of an implementation plan in all Western Balkan countries by June 2022.</w:t>
      </w:r>
      <w:r w:rsidRPr="003C7CB1">
        <w:rPr>
          <w:rFonts w:ascii="Calibri" w:eastAsia="Calibri" w:hAnsi="Calibri" w:cs="Calibri"/>
          <w:vertAlign w:val="superscript"/>
        </w:rPr>
        <w:t xml:space="preserve"> </w:t>
      </w:r>
      <w:r w:rsidRPr="003C7CB1">
        <w:rPr>
          <w:rFonts w:ascii="Calibri" w:eastAsia="Calibri" w:hAnsi="Calibri" w:cs="Calibri"/>
          <w:vertAlign w:val="superscript"/>
        </w:rPr>
        <w:footnoteReference w:id="34"/>
      </w:r>
      <w:r w:rsidRPr="003C7CB1">
        <w:rPr>
          <w:rFonts w:asciiTheme="minorHAnsi" w:hAnsiTheme="minorHAnsi" w:cstheme="minorHAnsi"/>
          <w:color w:val="212529"/>
        </w:rPr>
        <w:t xml:space="preserve"> Given that tourism is one of the strategic branches of economic development of Montenegro, and bearing in mind the principles of the Program, young people will have the opportunity to train, educate or improve for occupations in demand in the labor market. This will further encourage and support the employment of the domestic labor force with greater inclusion of young people. </w:t>
      </w:r>
    </w:p>
    <w:p w14:paraId="2EF3CF3B" w14:textId="77777777" w:rsidR="00E732FA" w:rsidRPr="003C7CB1" w:rsidRDefault="00E732FA" w:rsidP="00E732FA">
      <w:pPr>
        <w:pStyle w:val="NormalWeb"/>
        <w:shd w:val="clear" w:color="auto" w:fill="FFFFFF"/>
        <w:spacing w:before="0" w:beforeAutospacing="0" w:after="120" w:afterAutospacing="0"/>
        <w:jc w:val="both"/>
        <w:rPr>
          <w:rFonts w:asciiTheme="minorHAnsi" w:hAnsiTheme="minorHAnsi" w:cstheme="minorHAnsi"/>
          <w:color w:val="212529"/>
        </w:rPr>
      </w:pPr>
      <w:r w:rsidRPr="003C7CB1">
        <w:rPr>
          <w:rFonts w:asciiTheme="minorHAnsi" w:hAnsiTheme="minorHAnsi" w:cstheme="minorHAnsi"/>
          <w:color w:val="212529"/>
        </w:rPr>
        <w:t>In the context of supporting the employment of women in the sector, the existence of incentives for women's entrepreneurship is very important, and the adoption of the Strategy for the Development of Women's Entrepreneurship of Montenegro for the period 2021-2024 which is a mechanism for strengthening the participation of women in entrepreneurship, even in the tourism and hospitality sector, is especially important.</w:t>
      </w:r>
      <w:r w:rsidRPr="003C7CB1">
        <w:t xml:space="preserve"> </w:t>
      </w:r>
      <w:r w:rsidRPr="003C7CB1">
        <w:rPr>
          <w:rFonts w:asciiTheme="minorHAnsi" w:hAnsiTheme="minorHAnsi" w:cstheme="minorHAnsi"/>
          <w:color w:val="212529"/>
        </w:rPr>
        <w:t xml:space="preserve">The formulation of incentive measures in this segment is a sure way to better inclusion of women. </w:t>
      </w:r>
    </w:p>
    <w:p w14:paraId="5A61CAA5" w14:textId="77777777" w:rsidR="00E732FA" w:rsidRPr="003C7CB1" w:rsidRDefault="00E732FA" w:rsidP="00E732FA">
      <w:pPr>
        <w:pStyle w:val="NormalWeb"/>
        <w:shd w:val="clear" w:color="auto" w:fill="FFFFFF"/>
        <w:spacing w:before="0" w:beforeAutospacing="0" w:after="120" w:afterAutospacing="0"/>
        <w:jc w:val="both"/>
        <w:rPr>
          <w:rFonts w:asciiTheme="minorHAnsi" w:hAnsiTheme="minorHAnsi" w:cstheme="minorHAnsi"/>
          <w:color w:val="212529"/>
        </w:rPr>
      </w:pPr>
      <w:r w:rsidRPr="003C7CB1">
        <w:rPr>
          <w:rFonts w:asciiTheme="minorHAnsi" w:hAnsiTheme="minorHAnsi" w:cstheme="minorHAnsi"/>
          <w:color w:val="212529"/>
        </w:rPr>
        <w:t xml:space="preserve">The importance of the concept according to which tourism should be inclusive was confirmed by the United Nations World Tourism Organization (UNWTO), so the theme of World Tourism Day 2021 was Tourism for Inclusive Growth.  </w:t>
      </w:r>
    </w:p>
    <w:p w14:paraId="74A80F54" w14:textId="77777777" w:rsidR="00E732FA" w:rsidRPr="003C7CB1" w:rsidRDefault="00E732FA" w:rsidP="00E732FA">
      <w:pPr>
        <w:pStyle w:val="Heading2"/>
        <w:spacing w:before="0" w:after="120" w:line="240" w:lineRule="auto"/>
        <w:rPr>
          <w:sz w:val="26"/>
        </w:rPr>
      </w:pPr>
      <w:bookmarkStart w:id="159" w:name="_Toc95303031"/>
      <w:bookmarkStart w:id="160" w:name="_Toc102133812"/>
      <w:bookmarkStart w:id="161" w:name="_Toc104544196"/>
      <w:r w:rsidRPr="003C7CB1">
        <w:rPr>
          <w:sz w:val="26"/>
        </w:rPr>
        <w:lastRenderedPageBreak/>
        <w:t xml:space="preserve">11.3. </w:t>
      </w:r>
      <w:bookmarkEnd w:id="159"/>
      <w:r w:rsidRPr="003C7CB1">
        <w:rPr>
          <w:sz w:val="26"/>
        </w:rPr>
        <w:t>Smart tourism</w:t>
      </w:r>
      <w:bookmarkEnd w:id="160"/>
      <w:bookmarkEnd w:id="161"/>
      <w:r w:rsidRPr="003C7CB1">
        <w:rPr>
          <w:sz w:val="26"/>
        </w:rPr>
        <w:t xml:space="preserve"> </w:t>
      </w:r>
    </w:p>
    <w:p w14:paraId="6E60FF3A"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The concept of smart tourism refers to the application of information and communication technologies (ICT), artificial intelligence and virtual reality, mobile applications, innovative solutions in the direction of improving tourism.</w:t>
      </w:r>
      <w:r w:rsidRPr="003C7CB1">
        <w:rPr>
          <w:rStyle w:val="FootnoteReference"/>
          <w:rFonts w:cstheme="minorHAnsi"/>
          <w:color w:val="333333"/>
          <w:sz w:val="24"/>
          <w:szCs w:val="24"/>
          <w:shd w:val="clear" w:color="auto" w:fill="FFFFFF"/>
        </w:rPr>
        <w:t xml:space="preserve"> </w:t>
      </w:r>
      <w:r w:rsidRPr="003C7CB1">
        <w:rPr>
          <w:rStyle w:val="FootnoteReference"/>
          <w:rFonts w:cstheme="minorHAnsi"/>
          <w:color w:val="333333"/>
          <w:sz w:val="24"/>
          <w:szCs w:val="24"/>
          <w:shd w:val="clear" w:color="auto" w:fill="FFFFFF"/>
        </w:rPr>
        <w:footnoteReference w:id="35"/>
      </w:r>
    </w:p>
    <w:p w14:paraId="1A2C3BB3"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The COVID-19 pandemic has negatively affected tourism, but it has also imposed special standards and opened up opportunities for new forms of business.</w:t>
      </w:r>
      <w:r w:rsidRPr="003C7CB1">
        <w:rPr>
          <w:rFonts w:cstheme="minorHAnsi"/>
          <w:noProof/>
          <w:sz w:val="24"/>
          <w:szCs w:val="24"/>
        </w:rPr>
        <w:drawing>
          <wp:anchor distT="0" distB="0" distL="114300" distR="114300" simplePos="0" relativeHeight="251878912" behindDoc="0" locked="0" layoutInCell="1" allowOverlap="1" wp14:anchorId="65248F3F" wp14:editId="46984704">
            <wp:simplePos x="0" y="0"/>
            <wp:positionH relativeFrom="margin">
              <wp:posOffset>0</wp:posOffset>
            </wp:positionH>
            <wp:positionV relativeFrom="paragraph">
              <wp:posOffset>217805</wp:posOffset>
            </wp:positionV>
            <wp:extent cx="2230120" cy="1339215"/>
            <wp:effectExtent l="0" t="0" r="0" b="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30120" cy="1339215"/>
                    </a:xfrm>
                    <a:prstGeom prst="rect">
                      <a:avLst/>
                    </a:prstGeom>
                    <a:noFill/>
                  </pic:spPr>
                </pic:pic>
              </a:graphicData>
            </a:graphic>
            <wp14:sizeRelH relativeFrom="page">
              <wp14:pctWidth>0</wp14:pctWidth>
            </wp14:sizeRelH>
            <wp14:sizeRelV relativeFrom="page">
              <wp14:pctHeight>0</wp14:pctHeight>
            </wp14:sizeRelV>
          </wp:anchor>
        </w:drawing>
      </w:r>
      <w:r w:rsidRPr="003C7CB1">
        <w:rPr>
          <w:rFonts w:cstheme="minorHAnsi"/>
          <w:sz w:val="24"/>
          <w:szCs w:val="24"/>
        </w:rPr>
        <w:t xml:space="preserve"> In that sense, it encouraged the digital transformation of tourism in the direction of sustainable development, with the application of new technologies and smart tourism solutions, and led service providers in the sector to transform their business in order to use their potentials and resources more efficiently.</w:t>
      </w:r>
      <w:r w:rsidRPr="003C7CB1">
        <w:t xml:space="preserve"> </w:t>
      </w:r>
      <w:r w:rsidRPr="003C7CB1">
        <w:rPr>
          <w:rFonts w:cstheme="minorHAnsi"/>
          <w:sz w:val="24"/>
          <w:szCs w:val="24"/>
        </w:rPr>
        <w:t xml:space="preserve">Digital solutions have enabled more direct and active interaction between tourists, tourism products and destinations. A high degree of interaction and personalized approach has been enabled through the implementation of digital solutions, which has become one of the leading requirements of modern tourists. </w:t>
      </w:r>
    </w:p>
    <w:p w14:paraId="2DFAFD99"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shd w:val="clear" w:color="auto" w:fill="FFFFFF"/>
        </w:rPr>
        <w:t>The existence of the European Commission's initiative, established in 2018, called Smart Tourism Destinations, supporting EU cities to facilitate access to tourism and hospitality products and services through technological innovations, speaks in favor of the claim to make tourism in Europe smart.</w:t>
      </w:r>
      <w:r w:rsidRPr="003C7CB1">
        <w:t xml:space="preserve"> </w:t>
      </w:r>
      <w:r w:rsidRPr="003C7CB1">
        <w:rPr>
          <w:rFonts w:cstheme="minorHAnsi"/>
          <w:sz w:val="24"/>
          <w:szCs w:val="24"/>
          <w:shd w:val="clear" w:color="auto" w:fill="FFFFFF"/>
        </w:rPr>
        <w:t>The goal is for EU cities to implement innovative digital solutions to make tourism sustainable and accessible, by using their cultural heritage and creativity to enhance the tourism experience.</w:t>
      </w:r>
      <w:r w:rsidRPr="003C7CB1">
        <w:rPr>
          <w:rFonts w:cstheme="minorHAnsi"/>
          <w:sz w:val="24"/>
          <w:szCs w:val="24"/>
        </w:rPr>
        <w:t xml:space="preserve"> </w:t>
      </w:r>
    </w:p>
    <w:p w14:paraId="10DF9992"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 xml:space="preserve">Entities in Montenegro are working on digitalization in tourism through various projects, in which the emphasis is on the application of smart technologies to improve the visibility of the destination, creating virtual reality content, promoting the destination in digital format, etc.  </w:t>
      </w:r>
    </w:p>
    <w:p w14:paraId="6D133859" w14:textId="77777777" w:rsidR="00E732FA" w:rsidRPr="003C7CB1" w:rsidRDefault="00E732FA" w:rsidP="00E732FA">
      <w:pPr>
        <w:spacing w:after="120" w:line="240" w:lineRule="auto"/>
        <w:jc w:val="both"/>
        <w:rPr>
          <w:rFonts w:cstheme="minorHAnsi"/>
          <w:sz w:val="24"/>
          <w:szCs w:val="24"/>
        </w:rPr>
      </w:pPr>
      <w:r w:rsidRPr="003C7CB1">
        <w:rPr>
          <w:rFonts w:cstheme="minorHAnsi"/>
          <w:sz w:val="24"/>
          <w:szCs w:val="24"/>
        </w:rPr>
        <w:t>The digital era has also brought a number of benefits when it comes to working from home, and the situation caused by the COVID-19 pandemic has further encouraged this type of business, through a special category of digital nomads.</w:t>
      </w:r>
      <w:r w:rsidRPr="003C7CB1">
        <w:t xml:space="preserve"> </w:t>
      </w:r>
      <w:r w:rsidRPr="003C7CB1">
        <w:rPr>
          <w:rFonts w:cstheme="minorHAnsi"/>
          <w:sz w:val="24"/>
          <w:szCs w:val="24"/>
        </w:rPr>
        <w:t>According to some estimates, there were almost five million digital nomads in the world before the pandemic, now there are four times as many, and research predicts that by 2035, one billion people will work online.  The Government of Montenegro has recognized this growing trend and undertaken activities in preparation for the Program for Attracting Digital Nomads, in the hope that Montenegro will become a globally attractive destination for them, which would greatly contribute to further development of tourism, IT sector and overall increase in economic activity in our country.</w:t>
      </w:r>
      <w:r w:rsidRPr="003C7CB1">
        <w:t xml:space="preserve"> </w:t>
      </w:r>
      <w:r w:rsidRPr="003C7CB1">
        <w:rPr>
          <w:rFonts w:cstheme="minorHAnsi"/>
          <w:sz w:val="24"/>
          <w:szCs w:val="24"/>
        </w:rPr>
        <w:t>Montenegro has a good predisposition to attract digital nomads, such as - relatively low cost of living, fast and cheap internet, good geographical location, rich nature, low crime rate, favorable tax rates for residents and business owners, etc.</w:t>
      </w:r>
      <w:r w:rsidRPr="003C7CB1">
        <w:t xml:space="preserve"> </w:t>
      </w:r>
      <w:r w:rsidRPr="003C7CB1">
        <w:rPr>
          <w:rFonts w:cstheme="minorHAnsi"/>
          <w:sz w:val="24"/>
          <w:szCs w:val="24"/>
        </w:rPr>
        <w:t xml:space="preserve">According to the proposed </w:t>
      </w:r>
      <w:r w:rsidRPr="003C7CB1">
        <w:rPr>
          <w:rFonts w:cstheme="minorHAnsi"/>
          <w:sz w:val="24"/>
          <w:szCs w:val="24"/>
        </w:rPr>
        <w:lastRenderedPageBreak/>
        <w:t xml:space="preserve">Program, one of the goals of the Government is to have 250 digital nomads in Montenegro in 2023, and 1,000 digital nomads two years later.  </w:t>
      </w:r>
    </w:p>
    <w:p w14:paraId="1565A505" w14:textId="77777777" w:rsidR="00E732FA" w:rsidRPr="003C7CB1" w:rsidRDefault="00E732FA" w:rsidP="00E732FA">
      <w:pPr>
        <w:spacing w:after="120" w:line="240" w:lineRule="auto"/>
        <w:jc w:val="both"/>
        <w:rPr>
          <w:rFonts w:cstheme="minorHAnsi"/>
          <w:sz w:val="26"/>
          <w:szCs w:val="26"/>
        </w:rPr>
      </w:pPr>
    </w:p>
    <w:p w14:paraId="77787FDD" w14:textId="77777777" w:rsidR="00E732FA" w:rsidRPr="003C7CB1" w:rsidRDefault="00E732FA" w:rsidP="00E732FA">
      <w:pPr>
        <w:pStyle w:val="Heading2"/>
        <w:spacing w:before="0" w:after="120" w:line="240" w:lineRule="auto"/>
        <w:rPr>
          <w:sz w:val="26"/>
        </w:rPr>
      </w:pPr>
      <w:bookmarkStart w:id="162" w:name="_Toc95303032"/>
      <w:bookmarkStart w:id="163" w:name="_Toc102133813"/>
      <w:bookmarkStart w:id="164" w:name="_Toc104544197"/>
      <w:r w:rsidRPr="003C7CB1">
        <w:rPr>
          <w:sz w:val="26"/>
        </w:rPr>
        <w:t xml:space="preserve">11.4. </w:t>
      </w:r>
      <w:bookmarkEnd w:id="162"/>
      <w:r w:rsidRPr="003C7CB1">
        <w:rPr>
          <w:sz w:val="26"/>
        </w:rPr>
        <w:t>Green and responsible tourism</w:t>
      </w:r>
      <w:bookmarkEnd w:id="163"/>
      <w:bookmarkEnd w:id="164"/>
      <w:r w:rsidRPr="003C7CB1">
        <w:rPr>
          <w:sz w:val="26"/>
        </w:rPr>
        <w:t xml:space="preserve"> </w:t>
      </w:r>
    </w:p>
    <w:p w14:paraId="64CE3353" w14:textId="77777777" w:rsidR="00E732FA" w:rsidRPr="003C7CB1" w:rsidRDefault="00E732FA" w:rsidP="00E732FA">
      <w:pPr>
        <w:spacing w:after="120" w:line="240" w:lineRule="auto"/>
        <w:jc w:val="both"/>
        <w:rPr>
          <w:sz w:val="24"/>
          <w:szCs w:val="24"/>
        </w:rPr>
      </w:pPr>
      <w:r w:rsidRPr="003C7CB1">
        <w:rPr>
          <w:sz w:val="24"/>
          <w:szCs w:val="24"/>
        </w:rPr>
        <w:t>The term green tourism does not only mean a special type of tourism, but a horizontal component relevant to all types of tourism.</w:t>
      </w:r>
      <w:r w:rsidRPr="003C7CB1">
        <w:t xml:space="preserve"> </w:t>
      </w:r>
      <w:r w:rsidRPr="003C7CB1">
        <w:rPr>
          <w:sz w:val="24"/>
          <w:szCs w:val="24"/>
        </w:rPr>
        <w:t xml:space="preserve">Green tourism refers to the encouragement of a specific way of doing business, in terms of reducing energy consumption and water savings, reducing the use of plastic, efficient and environmentally friendly waste disposal, promoting biodiversity, reducing carbon footprint, but also staying in the local community and using food from local population.  </w:t>
      </w:r>
    </w:p>
    <w:p w14:paraId="5593E2AC" w14:textId="77777777" w:rsidR="00E732FA" w:rsidRPr="003C7CB1" w:rsidRDefault="00E732FA" w:rsidP="00E732FA">
      <w:pPr>
        <w:spacing w:after="120" w:line="240" w:lineRule="auto"/>
        <w:jc w:val="center"/>
        <w:rPr>
          <w:sz w:val="24"/>
          <w:szCs w:val="24"/>
        </w:rPr>
      </w:pPr>
      <w:r w:rsidRPr="003C7CB1">
        <w:rPr>
          <w:noProof/>
          <w:sz w:val="24"/>
          <w:szCs w:val="24"/>
        </w:rPr>
        <w:drawing>
          <wp:inline distT="0" distB="0" distL="0" distR="0" wp14:anchorId="5AE94A34" wp14:editId="42D0A05B">
            <wp:extent cx="1456814" cy="1246909"/>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59274" cy="1249015"/>
                    </a:xfrm>
                    <a:prstGeom prst="rect">
                      <a:avLst/>
                    </a:prstGeom>
                    <a:noFill/>
                  </pic:spPr>
                </pic:pic>
              </a:graphicData>
            </a:graphic>
          </wp:inline>
        </w:drawing>
      </w:r>
      <w:r w:rsidRPr="003C7CB1">
        <w:rPr>
          <w:noProof/>
          <w:sz w:val="24"/>
          <w:szCs w:val="24"/>
        </w:rPr>
        <w:drawing>
          <wp:inline distT="0" distB="0" distL="0" distR="0" wp14:anchorId="58A49960" wp14:editId="3D9CDB4E">
            <wp:extent cx="902335" cy="845128"/>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03958" cy="846648"/>
                    </a:xfrm>
                    <a:prstGeom prst="rect">
                      <a:avLst/>
                    </a:prstGeom>
                    <a:noFill/>
                  </pic:spPr>
                </pic:pic>
              </a:graphicData>
            </a:graphic>
          </wp:inline>
        </w:drawing>
      </w:r>
      <w:r w:rsidRPr="003C7CB1">
        <w:rPr>
          <w:noProof/>
          <w:sz w:val="24"/>
          <w:szCs w:val="24"/>
        </w:rPr>
        <w:drawing>
          <wp:inline distT="0" distB="0" distL="0" distR="0" wp14:anchorId="45961A99" wp14:editId="2A874290">
            <wp:extent cx="1316879" cy="1191491"/>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24236" cy="1198147"/>
                    </a:xfrm>
                    <a:prstGeom prst="rect">
                      <a:avLst/>
                    </a:prstGeom>
                    <a:noFill/>
                  </pic:spPr>
                </pic:pic>
              </a:graphicData>
            </a:graphic>
          </wp:inline>
        </w:drawing>
      </w:r>
    </w:p>
    <w:p w14:paraId="256BD36D" w14:textId="77777777" w:rsidR="00E732FA" w:rsidRPr="003C7CB1" w:rsidRDefault="00E732FA" w:rsidP="00E732FA">
      <w:pPr>
        <w:spacing w:after="120" w:line="240" w:lineRule="auto"/>
        <w:jc w:val="both"/>
        <w:rPr>
          <w:sz w:val="24"/>
          <w:szCs w:val="24"/>
        </w:rPr>
      </w:pPr>
      <w:r w:rsidRPr="003C7CB1">
        <w:rPr>
          <w:sz w:val="24"/>
          <w:szCs w:val="24"/>
        </w:rPr>
        <w:t>The responsible tourism component came to the fore during the COVID-19 pandemic. In order to withstand future crises, a tourist destination must be recognized as responsible.</w:t>
      </w:r>
      <w:r w:rsidRPr="003C7CB1">
        <w:t xml:space="preserve"> </w:t>
      </w:r>
      <w:r w:rsidRPr="003C7CB1">
        <w:rPr>
          <w:sz w:val="24"/>
          <w:szCs w:val="24"/>
        </w:rPr>
        <w:t xml:space="preserve">This is an increasingly pronounced demand of tourists who have high expectations when it comes to preserving health and the environment. Of course, such an environment is the result of synergistic planning and action of all local and national stakeholders.  </w:t>
      </w:r>
    </w:p>
    <w:p w14:paraId="349AC880" w14:textId="77777777" w:rsidR="00E732FA" w:rsidRPr="003C7CB1" w:rsidRDefault="00E732FA" w:rsidP="00E732FA">
      <w:pPr>
        <w:spacing w:after="120" w:line="240" w:lineRule="auto"/>
        <w:jc w:val="both"/>
        <w:rPr>
          <w:sz w:val="24"/>
          <w:szCs w:val="24"/>
        </w:rPr>
      </w:pPr>
      <w:r w:rsidRPr="003C7CB1">
        <w:rPr>
          <w:sz w:val="24"/>
          <w:szCs w:val="24"/>
        </w:rPr>
        <w:t xml:space="preserve">From the aspect of green tourism, in order to overcome regional inequality, and underdeveloped offers in the northern region, as well as reducing seasonality in business, development directions relate to: </w:t>
      </w:r>
    </w:p>
    <w:p w14:paraId="310AB06A" w14:textId="77777777" w:rsidR="00E732FA" w:rsidRPr="003C7CB1" w:rsidRDefault="00E732FA" w:rsidP="00E732FA">
      <w:pPr>
        <w:pStyle w:val="ListParagraph"/>
        <w:numPr>
          <w:ilvl w:val="0"/>
          <w:numId w:val="57"/>
        </w:numPr>
        <w:spacing w:after="120" w:line="240" w:lineRule="auto"/>
        <w:jc w:val="both"/>
        <w:rPr>
          <w:sz w:val="24"/>
          <w:szCs w:val="24"/>
        </w:rPr>
      </w:pPr>
      <w:r w:rsidRPr="003C7CB1">
        <w:rPr>
          <w:sz w:val="24"/>
          <w:szCs w:val="24"/>
        </w:rPr>
        <w:t xml:space="preserve">development of so-called “Green” or eco types of accommodation facilities that meet the requirements of environmental standards (e.g., eco lodge, wild beauty resorts, </w:t>
      </w:r>
      <w:proofErr w:type="spellStart"/>
      <w:r w:rsidRPr="003C7CB1">
        <w:rPr>
          <w:sz w:val="24"/>
          <w:szCs w:val="24"/>
        </w:rPr>
        <w:t>ethno</w:t>
      </w:r>
      <w:proofErr w:type="spellEnd"/>
      <w:r w:rsidRPr="003C7CB1">
        <w:rPr>
          <w:sz w:val="24"/>
          <w:szCs w:val="24"/>
        </w:rPr>
        <w:t xml:space="preserve"> villages, etc.); </w:t>
      </w:r>
    </w:p>
    <w:p w14:paraId="021EAB27" w14:textId="77777777" w:rsidR="00E732FA" w:rsidRPr="003C7CB1" w:rsidRDefault="00E732FA" w:rsidP="00E732FA">
      <w:pPr>
        <w:pStyle w:val="ListParagraph"/>
        <w:numPr>
          <w:ilvl w:val="0"/>
          <w:numId w:val="57"/>
        </w:numPr>
        <w:spacing w:after="120" w:line="240" w:lineRule="auto"/>
        <w:jc w:val="both"/>
        <w:rPr>
          <w:sz w:val="24"/>
          <w:szCs w:val="24"/>
        </w:rPr>
      </w:pPr>
      <w:r w:rsidRPr="003C7CB1">
        <w:rPr>
          <w:sz w:val="24"/>
          <w:szCs w:val="24"/>
        </w:rPr>
        <w:t xml:space="preserve">business - intensifying the application of new technologies and digitalization in the tourism business; </w:t>
      </w:r>
    </w:p>
    <w:p w14:paraId="6D98A612" w14:textId="77777777" w:rsidR="00E732FA" w:rsidRPr="003C7CB1" w:rsidRDefault="00E732FA" w:rsidP="00E732FA">
      <w:pPr>
        <w:pStyle w:val="ListParagraph"/>
        <w:numPr>
          <w:ilvl w:val="0"/>
          <w:numId w:val="57"/>
        </w:numPr>
        <w:spacing w:after="120" w:line="240" w:lineRule="auto"/>
        <w:jc w:val="both"/>
        <w:rPr>
          <w:sz w:val="24"/>
          <w:szCs w:val="24"/>
        </w:rPr>
      </w:pPr>
      <w:r w:rsidRPr="003C7CB1">
        <w:rPr>
          <w:sz w:val="24"/>
          <w:szCs w:val="24"/>
        </w:rPr>
        <w:t xml:space="preserve">development of the offer or products that are, among other things, in the function of a unique experience and healthy lifestyle, i.e., redirecting the tourist offer and products to the types that put the individual and the care of a healthy life in the forefront (sports tourism, adventure tourism, camp tourism, tourism in protected areas, etc.); </w:t>
      </w:r>
    </w:p>
    <w:p w14:paraId="1427F582" w14:textId="77777777" w:rsidR="00E732FA" w:rsidRPr="003C7CB1" w:rsidRDefault="00E732FA" w:rsidP="00E732FA">
      <w:pPr>
        <w:pStyle w:val="ListParagraph"/>
        <w:numPr>
          <w:ilvl w:val="0"/>
          <w:numId w:val="57"/>
        </w:numPr>
        <w:spacing w:after="120" w:line="240" w:lineRule="auto"/>
        <w:jc w:val="both"/>
        <w:rPr>
          <w:sz w:val="24"/>
          <w:szCs w:val="24"/>
        </w:rPr>
      </w:pPr>
      <w:r w:rsidRPr="003C7CB1">
        <w:rPr>
          <w:sz w:val="24"/>
          <w:szCs w:val="24"/>
        </w:rPr>
        <w:t xml:space="preserve">increasing the energy efficiency of tourist facilities with electricity saving measures; </w:t>
      </w:r>
    </w:p>
    <w:p w14:paraId="5C023519" w14:textId="77777777" w:rsidR="00E732FA" w:rsidRPr="003C7CB1" w:rsidRDefault="00E732FA" w:rsidP="00E732FA">
      <w:pPr>
        <w:pStyle w:val="ListParagraph"/>
        <w:numPr>
          <w:ilvl w:val="0"/>
          <w:numId w:val="57"/>
        </w:numPr>
        <w:spacing w:after="120" w:line="240" w:lineRule="auto"/>
        <w:jc w:val="both"/>
        <w:rPr>
          <w:sz w:val="24"/>
          <w:szCs w:val="24"/>
        </w:rPr>
      </w:pPr>
      <w:r w:rsidRPr="003C7CB1">
        <w:rPr>
          <w:sz w:val="24"/>
          <w:szCs w:val="24"/>
        </w:rPr>
        <w:t xml:space="preserve">energy transition to renewable energy sources - use of solar energy in tourist facilities. </w:t>
      </w:r>
    </w:p>
    <w:p w14:paraId="5BBBD4C0" w14:textId="77777777" w:rsidR="00E732FA" w:rsidRPr="003C7CB1" w:rsidRDefault="00E732FA" w:rsidP="00E732FA">
      <w:pPr>
        <w:spacing w:after="120" w:line="240" w:lineRule="auto"/>
        <w:jc w:val="both"/>
        <w:rPr>
          <w:sz w:val="24"/>
          <w:szCs w:val="24"/>
        </w:rPr>
      </w:pPr>
    </w:p>
    <w:p w14:paraId="4FDDAD54" w14:textId="77777777" w:rsidR="00E732FA" w:rsidRPr="003C7CB1" w:rsidRDefault="00E732FA" w:rsidP="00E732FA">
      <w:pPr>
        <w:pStyle w:val="Heading3"/>
        <w:spacing w:before="0" w:after="120" w:line="240" w:lineRule="auto"/>
        <w:rPr>
          <w:b/>
          <w:i w:val="0"/>
          <w:color w:val="2F5496" w:themeColor="accent1" w:themeShade="BF"/>
        </w:rPr>
      </w:pPr>
      <w:bookmarkStart w:id="165" w:name="_Toc95303033"/>
      <w:bookmarkStart w:id="166" w:name="_Toc102133814"/>
      <w:bookmarkStart w:id="167" w:name="_Toc104544198"/>
      <w:r w:rsidRPr="003C7CB1">
        <w:rPr>
          <w:rFonts w:eastAsiaTheme="minorHAnsi" w:cstheme="minorBidi"/>
          <w:b/>
          <w:i w:val="0"/>
          <w:color w:val="2F5496" w:themeColor="accent1" w:themeShade="BF"/>
        </w:rPr>
        <w:t xml:space="preserve">11.4.1. </w:t>
      </w:r>
      <w:bookmarkEnd w:id="165"/>
      <w:r w:rsidRPr="003C7CB1">
        <w:rPr>
          <w:b/>
          <w:i w:val="0"/>
          <w:color w:val="2F5496" w:themeColor="accent1" w:themeShade="BF"/>
        </w:rPr>
        <w:t>National Certificate for Responsible Tourism</w:t>
      </w:r>
      <w:bookmarkEnd w:id="166"/>
      <w:bookmarkEnd w:id="167"/>
      <w:r w:rsidRPr="003C7CB1">
        <w:rPr>
          <w:b/>
          <w:i w:val="0"/>
          <w:color w:val="2F5496" w:themeColor="accent1" w:themeShade="BF"/>
        </w:rPr>
        <w:t xml:space="preserve"> </w:t>
      </w:r>
    </w:p>
    <w:p w14:paraId="064F58B8" w14:textId="77777777" w:rsidR="00E732FA" w:rsidRPr="003C7CB1" w:rsidRDefault="00E732FA" w:rsidP="00E732FA">
      <w:pPr>
        <w:spacing w:after="120" w:line="240" w:lineRule="auto"/>
        <w:jc w:val="both"/>
        <w:rPr>
          <w:sz w:val="24"/>
          <w:szCs w:val="24"/>
        </w:rPr>
      </w:pPr>
      <w:r w:rsidRPr="003C7CB1">
        <w:rPr>
          <w:sz w:val="24"/>
          <w:szCs w:val="24"/>
        </w:rPr>
        <w:t>The creation of a national certificate for responsible tourism can influence the better positioning of Montenegro as a responsible destination, in the light of the pandemic which, according to eminent tourism experts, will dictate business conditions at least until the middle of 2023. Tourists have become very demanding in terms of destination responsibility and the implementation of high hygienic and health standards.</w:t>
      </w:r>
      <w:r w:rsidRPr="003C7CB1">
        <w:t xml:space="preserve"> </w:t>
      </w:r>
      <w:r w:rsidRPr="003C7CB1">
        <w:rPr>
          <w:sz w:val="24"/>
          <w:szCs w:val="24"/>
        </w:rPr>
        <w:t xml:space="preserve">Also, tourists already got use to </w:t>
      </w:r>
      <w:r w:rsidRPr="003C7CB1">
        <w:rPr>
          <w:sz w:val="24"/>
          <w:szCs w:val="24"/>
        </w:rPr>
        <w:lastRenderedPageBreak/>
        <w:t>international certificates, but with them, additional strength is given to the destination by national certificates, the implementation of which is carried out and primarily controlled through inter-ministerial and inter-institutional mechanisms.</w:t>
      </w:r>
      <w:r w:rsidRPr="003C7CB1">
        <w:t xml:space="preserve"> </w:t>
      </w:r>
      <w:r w:rsidRPr="003C7CB1">
        <w:rPr>
          <w:sz w:val="24"/>
          <w:szCs w:val="24"/>
        </w:rPr>
        <w:t xml:space="preserve">In accordance with the new circumstances, our goal is to provide everyone with a safe and comfortable stay. Regardless of whether a tourist is in one of our diverse accommodation facilities, enjoying restaurants or exciting trips, the tendency is to behave responsibly and respect a number of safety measures, which ensure a responsible, clean and unpolluted environment during the trip. Based on the above postulates, a national brand (label) will be created, which will be a guarantee of responsible behavior in all segments of tourism and hospitality. The brand will have several levels (bronze, silver and gold) and will be awarded by the relevant ministry responsible for tourism. Unlike many certificates of a similar type which are awarded without verification, based on a checklist, this certificate will be the result of continuous verification and compliance with safety standards and requirements of tourists imposed by new circumstances. A national brand of this kind will be an additional strength of the destination. This means that all tourism professionals who care about their reputation will tend to become owners of the National Certificate for Responsible Tourism. As many certificates as possible, with very high defined standards, will influence the promotion of Montenegro as a responsible destination and will position it high on the list of desirable destinations where tourists feel safe.  </w:t>
      </w:r>
    </w:p>
    <w:p w14:paraId="2D0B3F38" w14:textId="77777777" w:rsidR="00E732FA" w:rsidRPr="003C7CB1" w:rsidRDefault="00E732FA" w:rsidP="00E732FA">
      <w:pPr>
        <w:spacing w:after="120" w:line="240" w:lineRule="auto"/>
        <w:jc w:val="both"/>
        <w:rPr>
          <w:sz w:val="24"/>
          <w:szCs w:val="24"/>
        </w:rPr>
      </w:pPr>
    </w:p>
    <w:p w14:paraId="23851FE9" w14:textId="77777777" w:rsidR="00E732FA" w:rsidRPr="003C7CB1" w:rsidRDefault="00E732FA" w:rsidP="00E732FA">
      <w:pPr>
        <w:pStyle w:val="Heading3"/>
        <w:spacing w:before="0" w:after="120" w:line="240" w:lineRule="auto"/>
        <w:rPr>
          <w:b/>
          <w:i w:val="0"/>
          <w:color w:val="2F5496" w:themeColor="accent1" w:themeShade="BF"/>
        </w:rPr>
      </w:pPr>
      <w:bookmarkStart w:id="168" w:name="_Toc95303034"/>
      <w:bookmarkStart w:id="169" w:name="_Toc102133815"/>
      <w:bookmarkStart w:id="170" w:name="_Toc104544199"/>
      <w:r w:rsidRPr="003C7CB1">
        <w:rPr>
          <w:rFonts w:eastAsiaTheme="minorHAnsi" w:cstheme="minorBidi"/>
          <w:b/>
          <w:i w:val="0"/>
          <w:color w:val="2F5496" w:themeColor="accent1" w:themeShade="BF"/>
        </w:rPr>
        <w:t xml:space="preserve">11.4.2. </w:t>
      </w:r>
      <w:bookmarkEnd w:id="168"/>
      <w:r w:rsidRPr="003C7CB1">
        <w:rPr>
          <w:b/>
          <w:i w:val="0"/>
          <w:color w:val="2F5496" w:themeColor="accent1" w:themeShade="BF"/>
        </w:rPr>
        <w:t>Climate change</w:t>
      </w:r>
      <w:bookmarkEnd w:id="169"/>
      <w:bookmarkEnd w:id="170"/>
      <w:r w:rsidRPr="003C7CB1">
        <w:rPr>
          <w:b/>
          <w:i w:val="0"/>
          <w:color w:val="2F5496" w:themeColor="accent1" w:themeShade="BF"/>
        </w:rPr>
        <w:t xml:space="preserve">  </w:t>
      </w:r>
    </w:p>
    <w:p w14:paraId="4525FBF2" w14:textId="77777777" w:rsidR="00E732FA" w:rsidRPr="003C7CB1" w:rsidRDefault="00E732FA" w:rsidP="00E732FA">
      <w:pPr>
        <w:spacing w:after="120" w:line="240" w:lineRule="auto"/>
        <w:jc w:val="both"/>
        <w:rPr>
          <w:sz w:val="24"/>
          <w:szCs w:val="24"/>
        </w:rPr>
      </w:pPr>
      <w:r w:rsidRPr="003C7CB1">
        <w:rPr>
          <w:sz w:val="24"/>
          <w:szCs w:val="24"/>
        </w:rPr>
        <w:t>The implementation of emergency climate actions in tourism is of particular importance for creating the necessary conditions for greater resilience of this sector.</w:t>
      </w:r>
      <w:r w:rsidRPr="003C7CB1">
        <w:rPr>
          <w:noProof/>
          <w:sz w:val="24"/>
          <w:szCs w:val="24"/>
        </w:rPr>
        <w:drawing>
          <wp:anchor distT="0" distB="0" distL="114300" distR="114300" simplePos="0" relativeHeight="251877888" behindDoc="1" locked="0" layoutInCell="1" allowOverlap="1" wp14:anchorId="22116621" wp14:editId="1087D556">
            <wp:simplePos x="0" y="0"/>
            <wp:positionH relativeFrom="margin">
              <wp:posOffset>3266440</wp:posOffset>
            </wp:positionH>
            <wp:positionV relativeFrom="paragraph">
              <wp:posOffset>84685</wp:posOffset>
            </wp:positionV>
            <wp:extent cx="2465705" cy="1149350"/>
            <wp:effectExtent l="0" t="0" r="0" b="0"/>
            <wp:wrapTight wrapText="bothSides">
              <wp:wrapPolygon edited="0">
                <wp:start x="0" y="0"/>
                <wp:lineTo x="0" y="21123"/>
                <wp:lineTo x="21361" y="21123"/>
                <wp:lineTo x="21361" y="0"/>
                <wp:lineTo x="0" y="0"/>
              </wp:wrapPolygon>
            </wp:wrapTight>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65705" cy="1149350"/>
                    </a:xfrm>
                    <a:prstGeom prst="rect">
                      <a:avLst/>
                    </a:prstGeom>
                    <a:noFill/>
                  </pic:spPr>
                </pic:pic>
              </a:graphicData>
            </a:graphic>
            <wp14:sizeRelH relativeFrom="page">
              <wp14:pctWidth>0</wp14:pctWidth>
            </wp14:sizeRelH>
            <wp14:sizeRelV relativeFrom="page">
              <wp14:pctHeight>0</wp14:pctHeight>
            </wp14:sizeRelV>
          </wp:anchor>
        </w:drawing>
      </w:r>
      <w:r w:rsidRPr="003C7CB1">
        <w:rPr>
          <w:sz w:val="24"/>
          <w:szCs w:val="24"/>
        </w:rPr>
        <w:t xml:space="preserve"> Climate action is reflected in efforts to measure and reduce GHG (greenhouse gases) emissions and strengthen the capacity to adapt to climate impacts. Montenegro is one of the first countries in the Balkans to demonstrate its commitment to combating climate change by reducing CO2 emissions, working both internationally and nationally to accelerate the implementation of climate change measures through clean energy, clean technology and renewed focus on green infrastructure and green economy development.</w:t>
      </w:r>
      <w:r w:rsidRPr="003C7CB1">
        <w:t xml:space="preserve"> </w:t>
      </w:r>
      <w:r w:rsidRPr="003C7CB1">
        <w:rPr>
          <w:sz w:val="24"/>
          <w:szCs w:val="24"/>
        </w:rPr>
        <w:t>By signing the Paris Agreement in 2015, Montenegro committed itself to reducing carbon emissions by 30% by 2030 and has already managed to achieve this goal before the defined deadline. Although a relatively small country with less than a million inhabitants, it is in a group of only 16 countries, out of a total of 197 globally, that have already met this goal</w:t>
      </w:r>
      <w:r w:rsidRPr="003C7CB1">
        <w:rPr>
          <w:rStyle w:val="FootnoteReference"/>
          <w:sz w:val="24"/>
          <w:szCs w:val="24"/>
        </w:rPr>
        <w:footnoteReference w:id="36"/>
      </w:r>
      <w:r w:rsidRPr="003C7CB1">
        <w:rPr>
          <w:sz w:val="24"/>
          <w:szCs w:val="24"/>
        </w:rPr>
        <w:t xml:space="preserve">. Montenegro is resolutely paving its way towards a green transition and is at the forefront in using renewable energy sources. More than half of the total electricity produced annually is from renewable energy sources. During 2021, on the occasion of the 30th anniversary of the proclamation of the ecological state, the national contribution for the reduction of greenhouse gas emissions was determined and the reduction goal was increased to 35% by 2030.  </w:t>
      </w:r>
    </w:p>
    <w:p w14:paraId="5D3F45A2" w14:textId="77777777" w:rsidR="00E732FA" w:rsidRPr="003C7CB1" w:rsidRDefault="00E732FA" w:rsidP="00E732FA">
      <w:pPr>
        <w:spacing w:after="120" w:line="240" w:lineRule="auto"/>
        <w:jc w:val="both"/>
        <w:rPr>
          <w:sz w:val="24"/>
          <w:szCs w:val="24"/>
        </w:rPr>
      </w:pPr>
      <w:r w:rsidRPr="003C7CB1">
        <w:rPr>
          <w:sz w:val="24"/>
          <w:szCs w:val="24"/>
        </w:rPr>
        <w:lastRenderedPageBreak/>
        <w:t xml:space="preserve">In this regard, the </w:t>
      </w:r>
      <w:r w:rsidRPr="003C7CB1">
        <w:rPr>
          <w:b/>
          <w:sz w:val="24"/>
          <w:szCs w:val="24"/>
        </w:rPr>
        <w:t>Glasgow Declaration on Climate Action in Tourism</w:t>
      </w:r>
      <w:r w:rsidRPr="003C7CB1">
        <w:rPr>
          <w:sz w:val="24"/>
          <w:szCs w:val="24"/>
        </w:rPr>
        <w:t xml:space="preserve"> was adopted, with the aim of raising awareness of tourism stakeholders and providing stronger action to support global commitment to reducing emissions and reaching a net zero rate before 2050. The Declaration was signed by a large number of leaders in the tourism industry, followed by a large number of countries and other stakeholders in tourism. The signatories of the Glasgow Declaration agree on five common procedures to ensure that climate actions are harmonized throughout the tourism sector, as follows: measurement, decarbonization, renewal, cooperation and finance.  </w:t>
      </w:r>
    </w:p>
    <w:p w14:paraId="5F5F4612" w14:textId="77777777" w:rsidR="00E732FA" w:rsidRPr="003C7CB1" w:rsidRDefault="00E732FA" w:rsidP="00E732FA">
      <w:pPr>
        <w:spacing w:after="120" w:line="240" w:lineRule="auto"/>
        <w:jc w:val="both"/>
        <w:rPr>
          <w:sz w:val="24"/>
          <w:szCs w:val="24"/>
        </w:rPr>
      </w:pPr>
      <w:r w:rsidRPr="003C7CB1">
        <w:rPr>
          <w:sz w:val="24"/>
          <w:szCs w:val="24"/>
        </w:rPr>
        <w:t xml:space="preserve">Montenegro, like many other countries that have contributed the least to climate change, will face the harmful and sometimes devastating effects of global warming - rising sea temperatures, extinction of ecosystems, droughts and floods - which will have an undesirable domino effect on human health, the economy and sectors which depend on weather patterns, such as agriculture, forestry and tourism.  </w:t>
      </w:r>
    </w:p>
    <w:p w14:paraId="651001CB" w14:textId="77777777" w:rsidR="00E732FA" w:rsidRPr="003C7CB1" w:rsidRDefault="00E732FA" w:rsidP="00E732FA">
      <w:pPr>
        <w:spacing w:after="120" w:line="240" w:lineRule="auto"/>
        <w:jc w:val="both"/>
        <w:rPr>
          <w:sz w:val="24"/>
          <w:szCs w:val="24"/>
        </w:rPr>
      </w:pPr>
      <w:r w:rsidRPr="003C7CB1">
        <w:rPr>
          <w:sz w:val="24"/>
          <w:szCs w:val="24"/>
        </w:rPr>
        <w:t xml:space="preserve">Existing risk assessments as well as available scientific research lead to the conclusion that Montenegrin tourism is at risk of multiple climate hazards, especially changes in precipitation patterns (floods and droughts), higher temperatures and coastal erosion, changes in the marine environment, stormy winds and storms. A number of factors affecting exposure and vulnerability have been identified, including dependence on foreign tourists, concentration in a relatively small number of tourist “hot spots”, demographic trends, etc. </w:t>
      </w:r>
    </w:p>
    <w:p w14:paraId="3221C01C" w14:textId="11ADEA3B" w:rsidR="00E732FA" w:rsidRPr="003C7CB1" w:rsidRDefault="00E732FA" w:rsidP="00E732FA">
      <w:pPr>
        <w:spacing w:after="120" w:line="240" w:lineRule="auto"/>
        <w:jc w:val="both"/>
        <w:rPr>
          <w:sz w:val="24"/>
          <w:szCs w:val="24"/>
        </w:rPr>
      </w:pPr>
      <w:r w:rsidRPr="003C7CB1">
        <w:rPr>
          <w:sz w:val="24"/>
          <w:szCs w:val="24"/>
        </w:rPr>
        <w:t xml:space="preserve">The operational goal proposed by the strategy, which refers to the diversification of the </w:t>
      </w:r>
      <w:r w:rsidR="00C65FFD">
        <w:rPr>
          <w:sz w:val="24"/>
          <w:szCs w:val="24"/>
        </w:rPr>
        <w:t>tourism product</w:t>
      </w:r>
      <w:r w:rsidRPr="003C7CB1">
        <w:rPr>
          <w:sz w:val="24"/>
          <w:szCs w:val="24"/>
        </w:rPr>
        <w:t>, includes important measures in the direction of reducing climate risk, i.e., development is directed towards less exposed and vulnerable regions.</w:t>
      </w:r>
      <w:r w:rsidRPr="003C7CB1">
        <w:t xml:space="preserve"> </w:t>
      </w:r>
      <w:r w:rsidRPr="003C7CB1">
        <w:rPr>
          <w:sz w:val="24"/>
          <w:szCs w:val="24"/>
        </w:rPr>
        <w:t xml:space="preserve">It is essential to support these regions in developing adequate infrastructure and capacity to cope with the increased number of visitors in relation to potential changes in climate parameters and resource base (e.g., loss of beach, increased water scarcity). </w:t>
      </w:r>
    </w:p>
    <w:p w14:paraId="53D3B335" w14:textId="77777777" w:rsidR="00E732FA" w:rsidRPr="003C7CB1" w:rsidRDefault="00E732FA" w:rsidP="00E732FA">
      <w:pPr>
        <w:spacing w:after="120" w:line="240" w:lineRule="auto"/>
        <w:jc w:val="both"/>
        <w:rPr>
          <w:sz w:val="24"/>
          <w:szCs w:val="24"/>
        </w:rPr>
      </w:pPr>
      <w:r w:rsidRPr="003C7CB1">
        <w:rPr>
          <w:sz w:val="24"/>
          <w:szCs w:val="24"/>
        </w:rPr>
        <w:t xml:space="preserve">Competent institutions for climate change are establishing a legal and strategic framework in response to international obligations on this issue, and tourism is being considered in several areas. In the following period, work will be done on the National Adaptation Plan (NAP) and a special adaptation plan for the tourism sector. </w:t>
      </w:r>
    </w:p>
    <w:p w14:paraId="7B8EEB91" w14:textId="77777777" w:rsidR="00E732FA" w:rsidRPr="003C7CB1" w:rsidRDefault="00E732FA" w:rsidP="00E732FA">
      <w:pPr>
        <w:spacing w:after="120" w:line="240" w:lineRule="auto"/>
        <w:jc w:val="both"/>
        <w:rPr>
          <w:sz w:val="24"/>
          <w:szCs w:val="24"/>
        </w:rPr>
      </w:pPr>
      <w:r w:rsidRPr="003C7CB1">
        <w:rPr>
          <w:sz w:val="24"/>
          <w:szCs w:val="24"/>
        </w:rPr>
        <w:t xml:space="preserve">In addition to the above, the areas of national park policy, health and safety, infrastructure development, agriculture, land use planning, with emphasis on defining expected risks in relation to tourist destinations, the role of stakeholders and adaptation measures are of special importance for climate change. </w:t>
      </w:r>
    </w:p>
    <w:p w14:paraId="34F0086C" w14:textId="77777777" w:rsidR="00E732FA" w:rsidRPr="003C7CB1" w:rsidRDefault="00E732FA" w:rsidP="00E732FA">
      <w:pPr>
        <w:spacing w:after="120" w:line="240" w:lineRule="auto"/>
        <w:jc w:val="both"/>
        <w:rPr>
          <w:sz w:val="24"/>
          <w:szCs w:val="24"/>
        </w:rPr>
      </w:pPr>
    </w:p>
    <w:p w14:paraId="777FDCB1" w14:textId="77777777" w:rsidR="00E732FA" w:rsidRPr="003C7CB1" w:rsidRDefault="00E732FA" w:rsidP="00E732FA">
      <w:pPr>
        <w:pStyle w:val="Heading3"/>
        <w:spacing w:before="0" w:after="120" w:line="240" w:lineRule="auto"/>
        <w:rPr>
          <w:b/>
          <w:i w:val="0"/>
          <w:color w:val="2F5496" w:themeColor="accent1" w:themeShade="BF"/>
        </w:rPr>
      </w:pPr>
      <w:bookmarkStart w:id="171" w:name="_Toc95303035"/>
      <w:bookmarkStart w:id="172" w:name="_Toc102133816"/>
      <w:bookmarkStart w:id="173" w:name="_Toc104544200"/>
      <w:r w:rsidRPr="003C7CB1">
        <w:rPr>
          <w:b/>
          <w:i w:val="0"/>
          <w:color w:val="2F5496" w:themeColor="accent1" w:themeShade="BF"/>
        </w:rPr>
        <w:t>11.4.3. E - mobil</w:t>
      </w:r>
      <w:bookmarkEnd w:id="171"/>
      <w:r w:rsidRPr="003C7CB1">
        <w:rPr>
          <w:b/>
          <w:i w:val="0"/>
          <w:color w:val="2F5496" w:themeColor="accent1" w:themeShade="BF"/>
        </w:rPr>
        <w:t>ity</w:t>
      </w:r>
      <w:bookmarkEnd w:id="172"/>
      <w:bookmarkEnd w:id="173"/>
      <w:r w:rsidRPr="003C7CB1">
        <w:rPr>
          <w:b/>
          <w:i w:val="0"/>
          <w:color w:val="2F5496" w:themeColor="accent1" w:themeShade="BF"/>
        </w:rPr>
        <w:t xml:space="preserve"> </w:t>
      </w:r>
    </w:p>
    <w:p w14:paraId="7F425ABF" w14:textId="77777777" w:rsidR="00E732FA" w:rsidRPr="003C7CB1" w:rsidRDefault="00E732FA" w:rsidP="00E732FA">
      <w:pPr>
        <w:spacing w:after="120" w:line="240" w:lineRule="auto"/>
        <w:jc w:val="both"/>
        <w:rPr>
          <w:sz w:val="24"/>
          <w:szCs w:val="24"/>
        </w:rPr>
      </w:pPr>
      <w:r w:rsidRPr="003C7CB1">
        <w:rPr>
          <w:noProof/>
        </w:rPr>
        <w:drawing>
          <wp:anchor distT="0" distB="0" distL="114300" distR="114300" simplePos="0" relativeHeight="251876864" behindDoc="0" locked="0" layoutInCell="1" allowOverlap="1" wp14:anchorId="460FF372" wp14:editId="6CFB46E2">
            <wp:simplePos x="0" y="0"/>
            <wp:positionH relativeFrom="column">
              <wp:posOffset>3477260</wp:posOffset>
            </wp:positionH>
            <wp:positionV relativeFrom="paragraph">
              <wp:posOffset>269291</wp:posOffset>
            </wp:positionV>
            <wp:extent cx="2103120" cy="1218565"/>
            <wp:effectExtent l="0" t="0" r="0" b="635"/>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03120" cy="1218565"/>
                    </a:xfrm>
                    <a:prstGeom prst="rect">
                      <a:avLst/>
                    </a:prstGeom>
                    <a:noFill/>
                  </pic:spPr>
                </pic:pic>
              </a:graphicData>
            </a:graphic>
            <wp14:sizeRelH relativeFrom="page">
              <wp14:pctWidth>0</wp14:pctWidth>
            </wp14:sizeRelH>
            <wp14:sizeRelV relativeFrom="page">
              <wp14:pctHeight>0</wp14:pctHeight>
            </wp14:sizeRelV>
          </wp:anchor>
        </w:drawing>
      </w:r>
      <w:r w:rsidRPr="003C7CB1">
        <w:rPr>
          <w:sz w:val="24"/>
          <w:szCs w:val="24"/>
        </w:rPr>
        <w:t xml:space="preserve">According to estimates, global tourism contributes to total global greenhouse gas emissions of about 5%, of which about 40% belongs to air transport, 30% to road transport and 20% to tourist accommodation. </w:t>
      </w:r>
    </w:p>
    <w:p w14:paraId="2FA059AF" w14:textId="77777777" w:rsidR="00E732FA" w:rsidRPr="003C7CB1" w:rsidRDefault="00E732FA" w:rsidP="00E732FA">
      <w:pPr>
        <w:spacing w:after="120" w:line="240" w:lineRule="auto"/>
        <w:jc w:val="both"/>
        <w:rPr>
          <w:sz w:val="24"/>
          <w:szCs w:val="24"/>
        </w:rPr>
      </w:pPr>
      <w:r w:rsidRPr="003C7CB1">
        <w:rPr>
          <w:sz w:val="24"/>
          <w:szCs w:val="24"/>
        </w:rPr>
        <w:t xml:space="preserve">The development of e-mobility, as a foundation for sustainable and clean transport, is one of the key elements of the transition to a low-carbon economy. The dynamics of this process depends on the success </w:t>
      </w:r>
      <w:r w:rsidRPr="003C7CB1">
        <w:rPr>
          <w:sz w:val="24"/>
          <w:szCs w:val="24"/>
        </w:rPr>
        <w:lastRenderedPageBreak/>
        <w:t>of overcoming barriers that prevent or slow down the development of market and business models, increasing the share of electric vehicles in the fleet and building infrastructure for their charging.</w:t>
      </w:r>
      <w:r w:rsidRPr="003C7CB1">
        <w:t xml:space="preserve"> </w:t>
      </w:r>
      <w:r w:rsidRPr="003C7CB1">
        <w:rPr>
          <w:sz w:val="24"/>
          <w:szCs w:val="24"/>
        </w:rPr>
        <w:t>Globally, e-mobility is still in the initial stage of development in Montenegro, and in order to reach a state in which further development takes place exclusively on market principles, it is necessary to encourage development by applying incentive measures. In this regard, within the project of Development of low-carbon tourism in Montenegro, which was implemented in cooperation with the Ministry responsible for environment and tourism and UNDP, and funded by the Global Environment Facility (GEF), the Feasibility study on e-mobility was prepared in order to present this concept in Montenegro, which would contribute to the reduction of greenhouse gas (GHG) emissions in transport. Within the Study, analyzes were conducted in relation to the situational analysis of the legal, institutional and financial framework for e-mobility, then the cost-benefit analysis of this concept and the analysis of the e-mobility market in Montenegro.</w:t>
      </w:r>
      <w:r w:rsidRPr="003C7CB1">
        <w:t xml:space="preserve"> </w:t>
      </w:r>
      <w:r w:rsidRPr="003C7CB1">
        <w:rPr>
          <w:sz w:val="24"/>
          <w:szCs w:val="24"/>
        </w:rPr>
        <w:t xml:space="preserve">According to the above analyzes and the Study, it can be concluded that the required financial incentives for the development of e-mobility in Montenegro are absolutely necessary. </w:t>
      </w:r>
    </w:p>
    <w:p w14:paraId="359D51A3" w14:textId="77777777" w:rsidR="00E732FA" w:rsidRPr="003C7CB1" w:rsidRDefault="00E732FA" w:rsidP="00E732FA">
      <w:pPr>
        <w:pStyle w:val="Heading3"/>
        <w:spacing w:before="0" w:after="120" w:line="240" w:lineRule="auto"/>
        <w:rPr>
          <w:b/>
          <w:i w:val="0"/>
          <w:color w:val="2F5496" w:themeColor="accent1" w:themeShade="BF"/>
          <w:lang w:eastAsia="hr-HR"/>
        </w:rPr>
      </w:pPr>
      <w:bookmarkStart w:id="174" w:name="_Toc88167827"/>
      <w:bookmarkStart w:id="175" w:name="_Toc95303036"/>
      <w:bookmarkStart w:id="176" w:name="_Toc102133817"/>
      <w:bookmarkStart w:id="177" w:name="_Toc104544201"/>
      <w:r w:rsidRPr="003C7CB1">
        <w:rPr>
          <w:b/>
          <w:i w:val="0"/>
          <w:color w:val="2F5496" w:themeColor="accent1" w:themeShade="BF"/>
          <w:lang w:eastAsia="hr-HR"/>
        </w:rPr>
        <w:t xml:space="preserve">11.4.4. </w:t>
      </w:r>
      <w:bookmarkEnd w:id="174"/>
      <w:bookmarkEnd w:id="175"/>
      <w:r w:rsidRPr="003C7CB1">
        <w:rPr>
          <w:b/>
          <w:i w:val="0"/>
          <w:color w:val="2F5496" w:themeColor="accent1" w:themeShade="BF"/>
          <w:lang w:eastAsia="hr-HR"/>
        </w:rPr>
        <w:t>Certification in tourism</w:t>
      </w:r>
      <w:bookmarkEnd w:id="176"/>
      <w:bookmarkEnd w:id="177"/>
      <w:r w:rsidRPr="003C7CB1">
        <w:rPr>
          <w:b/>
          <w:i w:val="0"/>
          <w:color w:val="2F5496" w:themeColor="accent1" w:themeShade="BF"/>
          <w:lang w:eastAsia="hr-HR"/>
        </w:rPr>
        <w:t xml:space="preserve"> </w:t>
      </w:r>
    </w:p>
    <w:p w14:paraId="6F51A37E" w14:textId="77777777" w:rsidR="00E732FA" w:rsidRPr="003C7CB1" w:rsidRDefault="00E732FA" w:rsidP="00E732FA">
      <w:pPr>
        <w:spacing w:after="120" w:line="240" w:lineRule="auto"/>
        <w:jc w:val="both"/>
        <w:rPr>
          <w:sz w:val="24"/>
          <w:szCs w:val="24"/>
        </w:rPr>
      </w:pPr>
      <w:r w:rsidRPr="003C7CB1">
        <w:rPr>
          <w:sz w:val="24"/>
          <w:szCs w:val="24"/>
        </w:rPr>
        <w:t xml:space="preserve">An important instrument in environmental protection at the global level is eco-labeling, or </w:t>
      </w:r>
      <w:r w:rsidRPr="003C7CB1">
        <w:rPr>
          <w:b/>
          <w:sz w:val="24"/>
          <w:szCs w:val="24"/>
        </w:rPr>
        <w:t>environmental certification</w:t>
      </w:r>
      <w:r w:rsidRPr="003C7CB1">
        <w:rPr>
          <w:sz w:val="24"/>
          <w:szCs w:val="24"/>
        </w:rPr>
        <w:t xml:space="preserve">. Environmental certification is a voluntary mechanism for confirming the quality of sustainable business. The certification process involves an expert assessment of the compliance of the business with certain sustainability criteria. In addition to the following (a description of several of them follows), there are a large number of other certificates whose application will be considered in the coming period. </w:t>
      </w:r>
    </w:p>
    <w:p w14:paraId="29FA0B57" w14:textId="77777777" w:rsidR="00E732FA" w:rsidRPr="003C7CB1" w:rsidRDefault="00E732FA" w:rsidP="00E732FA">
      <w:pPr>
        <w:spacing w:after="120" w:line="240" w:lineRule="auto"/>
        <w:jc w:val="both"/>
      </w:pPr>
      <w:r w:rsidRPr="003C7CB1">
        <w:rPr>
          <w:rFonts w:cstheme="minorHAnsi"/>
          <w:b/>
          <w:sz w:val="24"/>
          <w:szCs w:val="24"/>
          <w:lang w:eastAsia="hr-HR"/>
        </w:rPr>
        <w:t xml:space="preserve">Green destinations </w:t>
      </w:r>
      <w:r w:rsidRPr="003C7CB1">
        <w:rPr>
          <w:rFonts w:cstheme="minorHAnsi"/>
          <w:sz w:val="24"/>
          <w:szCs w:val="24"/>
          <w:lang w:eastAsia="hr-HR"/>
        </w:rPr>
        <w:t>is a certification created by the Global Sustainable Tourism Council (GSTC) creating global standards for sustainability in travel and tourism.</w:t>
      </w:r>
      <w:r w:rsidRPr="003C7CB1">
        <w:rPr>
          <w:noProof/>
        </w:rPr>
        <w:drawing>
          <wp:anchor distT="0" distB="0" distL="114300" distR="114300" simplePos="0" relativeHeight="251870720" behindDoc="0" locked="0" layoutInCell="1" allowOverlap="1" wp14:anchorId="7EDB5092" wp14:editId="3EAEF6A3">
            <wp:simplePos x="0" y="0"/>
            <wp:positionH relativeFrom="margin">
              <wp:posOffset>0</wp:posOffset>
            </wp:positionH>
            <wp:positionV relativeFrom="paragraph">
              <wp:posOffset>86995</wp:posOffset>
            </wp:positionV>
            <wp:extent cx="1343025" cy="512445"/>
            <wp:effectExtent l="0" t="0" r="9525" b="1905"/>
            <wp:wrapSquare wrapText="bothSides"/>
            <wp:docPr id="184" name="Picture 184" descr="Green Dest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Destination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43025"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CB1">
        <w:rPr>
          <w:rFonts w:cstheme="minorHAnsi"/>
          <w:b/>
          <w:sz w:val="24"/>
          <w:szCs w:val="24"/>
          <w:lang w:eastAsia="hr-HR"/>
        </w:rPr>
        <w:t xml:space="preserve"> </w:t>
      </w:r>
      <w:r w:rsidRPr="003C7CB1">
        <w:rPr>
          <w:rFonts w:cstheme="minorHAnsi"/>
          <w:sz w:val="24"/>
          <w:szCs w:val="24"/>
          <w:lang w:eastAsia="hr-HR"/>
        </w:rPr>
        <w:t>The criteria are used for education and awareness raising, policy making for businesses and government agencies and other types of organizations, measurement and evaluation, and as a basis for certification. They appeared as a need to establish sustainability standards in tourism at the global level and are divided into four pillars: sustainable management, socio-economic impacts, cultural impacts and environmental impacts (including consumption of resources, reducing pollution, and conserving biodiversity and landscapes). The criteria are the minimum, not the maximum that businesses, governments and destinations need to achieve in order to move closer to social, environmental, cultural and economic sustainability.</w:t>
      </w:r>
      <w:r w:rsidRPr="003C7CB1">
        <w:rPr>
          <w:rStyle w:val="FootnoteReference"/>
          <w:rFonts w:cstheme="minorHAnsi"/>
          <w:sz w:val="24"/>
          <w:szCs w:val="24"/>
          <w:lang w:eastAsia="hr-HR"/>
        </w:rPr>
        <w:t xml:space="preserve"> </w:t>
      </w:r>
      <w:r w:rsidRPr="003C7CB1">
        <w:rPr>
          <w:rStyle w:val="FootnoteReference"/>
          <w:rFonts w:cstheme="minorHAnsi"/>
          <w:sz w:val="24"/>
          <w:szCs w:val="24"/>
          <w:lang w:eastAsia="hr-HR"/>
        </w:rPr>
        <w:footnoteReference w:id="37"/>
      </w:r>
      <w:r w:rsidRPr="003C7CB1">
        <w:t xml:space="preserve"> </w:t>
      </w:r>
      <w:r w:rsidRPr="003C7CB1">
        <w:rPr>
          <w:sz w:val="24"/>
        </w:rPr>
        <w:t xml:space="preserve">An example of good practice in Montenegro is </w:t>
      </w:r>
      <w:proofErr w:type="spellStart"/>
      <w:r w:rsidRPr="003C7CB1">
        <w:rPr>
          <w:sz w:val="24"/>
        </w:rPr>
        <w:t>Tivat</w:t>
      </w:r>
      <w:proofErr w:type="spellEnd"/>
      <w:r w:rsidRPr="003C7CB1">
        <w:rPr>
          <w:sz w:val="24"/>
        </w:rPr>
        <w:t xml:space="preserve"> TO, which started the process of implementing the Green Destinations program, and won the award of Top 100 Sustainable Destinations 2020 and was declared the winner in the category of “Nature and Ecotourism” at the Green Destinations Sustainable Story Award 2021.</w:t>
      </w:r>
      <w:r w:rsidRPr="003C7CB1">
        <w:t xml:space="preserve"> </w:t>
      </w:r>
      <w:r w:rsidRPr="003C7CB1">
        <w:rPr>
          <w:sz w:val="24"/>
        </w:rPr>
        <w:t xml:space="preserve">There is interest from some other local entities to be involved in this project, and the recognition of micro destinations in Montenegro as green and sustainable, would certainly raise the rating of the destination as a whole, so it is desirable to encourage such concepts. </w:t>
      </w:r>
    </w:p>
    <w:p w14:paraId="7891D81A" w14:textId="77777777" w:rsidR="00E732FA" w:rsidRPr="003C7CB1" w:rsidRDefault="00E732FA" w:rsidP="00E732FA">
      <w:pPr>
        <w:spacing w:after="120" w:line="240" w:lineRule="auto"/>
        <w:jc w:val="both"/>
        <w:rPr>
          <w:rFonts w:cstheme="minorHAnsi"/>
          <w:sz w:val="24"/>
          <w:szCs w:val="24"/>
          <w:lang w:eastAsia="hr-HR"/>
        </w:rPr>
      </w:pPr>
      <w:r w:rsidRPr="003C7CB1">
        <w:rPr>
          <w:rFonts w:cstheme="minorHAnsi"/>
          <w:sz w:val="24"/>
          <w:szCs w:val="24"/>
          <w:lang w:eastAsia="hr-HR"/>
        </w:rPr>
        <w:t xml:space="preserve">Several more internationally recognized certificates are available in Montenegro, which are awarded to service providers in the tourism and hospitality sector, as follows: </w:t>
      </w:r>
    </w:p>
    <w:p w14:paraId="0E1C52F0" w14:textId="77777777" w:rsidR="00E732FA" w:rsidRPr="003C7CB1" w:rsidRDefault="00E732FA" w:rsidP="00E732FA">
      <w:pPr>
        <w:pStyle w:val="ListParagraph"/>
        <w:spacing w:after="120" w:line="240" w:lineRule="auto"/>
        <w:ind w:left="0"/>
        <w:jc w:val="both"/>
        <w:rPr>
          <w:rFonts w:cstheme="minorHAnsi"/>
          <w:sz w:val="24"/>
          <w:szCs w:val="24"/>
        </w:rPr>
      </w:pPr>
      <w:r w:rsidRPr="003C7CB1">
        <w:rPr>
          <w:rFonts w:cstheme="minorHAnsi"/>
          <w:b/>
          <w:sz w:val="24"/>
          <w:szCs w:val="24"/>
        </w:rPr>
        <w:lastRenderedPageBreak/>
        <w:t>Blue flag</w:t>
      </w:r>
      <w:r w:rsidRPr="003C7CB1">
        <w:rPr>
          <w:rFonts w:cstheme="minorHAnsi"/>
          <w:sz w:val="24"/>
          <w:szCs w:val="24"/>
        </w:rPr>
        <w:t xml:space="preserve"> is an international recognition and an exclusive environmental feature awarded to beaches and marinas that meet 32 ​​binding criteria.</w:t>
      </w:r>
      <w:r w:rsidRPr="003C7CB1">
        <w:rPr>
          <w:noProof/>
        </w:rPr>
        <w:drawing>
          <wp:anchor distT="0" distB="0" distL="114300" distR="114300" simplePos="0" relativeHeight="251874816" behindDoc="1" locked="0" layoutInCell="1" allowOverlap="1" wp14:anchorId="59389FF5" wp14:editId="6C5D648D">
            <wp:simplePos x="0" y="0"/>
            <wp:positionH relativeFrom="column">
              <wp:posOffset>38735</wp:posOffset>
            </wp:positionH>
            <wp:positionV relativeFrom="paragraph">
              <wp:posOffset>1905</wp:posOffset>
            </wp:positionV>
            <wp:extent cx="1260475" cy="557530"/>
            <wp:effectExtent l="0" t="0" r="0" b="0"/>
            <wp:wrapTight wrapText="bothSides">
              <wp:wrapPolygon edited="0">
                <wp:start x="0" y="0"/>
                <wp:lineTo x="0" y="20665"/>
                <wp:lineTo x="21219" y="20665"/>
                <wp:lineTo x="21219" y="0"/>
                <wp:lineTo x="0" y="0"/>
              </wp:wrapPolygon>
            </wp:wrapTight>
            <wp:docPr id="185" name="Picture 185" descr="C:\Users\m.kovacevic\AppData\Local\Microsoft\Windows\INetCache\Content.MSO\10BD6B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cevic\AppData\Local\Microsoft\Windows\INetCache\Content.MSO\10BD6B36.tmp"/>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60475"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CB1">
        <w:rPr>
          <w:rFonts w:cstheme="minorHAnsi"/>
          <w:sz w:val="24"/>
          <w:szCs w:val="24"/>
        </w:rPr>
        <w:t xml:space="preserve"> It has been awarded in Montenegro since 2003, based on the decision of the International Jury consisting of representative of UNEP (UN Environment Program), UNWTO (UN World Tourism Organization), ILS (International Life Saving Federation), IUCN (International Union for Conservation of Nature), an international expert on environmental education, representative of ICOMIA (International Council of Marine Industry Associations) and representative of FEE (Foundation for Environmental Education), which implements the Blue Flag program. International jury considers candidacies submitted by the Montenegro National Commission set up by the ministry in charge of tourism. </w:t>
      </w:r>
    </w:p>
    <w:p w14:paraId="6FA66D78" w14:textId="77777777" w:rsidR="00E732FA" w:rsidRPr="003C7CB1" w:rsidRDefault="00E732FA" w:rsidP="00E732FA">
      <w:pPr>
        <w:spacing w:after="120" w:line="240" w:lineRule="auto"/>
        <w:jc w:val="both"/>
        <w:rPr>
          <w:sz w:val="24"/>
          <w:szCs w:val="24"/>
        </w:rPr>
      </w:pPr>
      <w:r w:rsidRPr="003C7CB1">
        <w:rPr>
          <w:b/>
          <w:sz w:val="24"/>
          <w:szCs w:val="24"/>
        </w:rPr>
        <w:t>Ecolabel</w:t>
      </w:r>
      <w:r w:rsidRPr="003C7CB1">
        <w:rPr>
          <w:sz w:val="24"/>
          <w:szCs w:val="24"/>
        </w:rPr>
        <w:t xml:space="preserve"> and </w:t>
      </w:r>
      <w:proofErr w:type="spellStart"/>
      <w:r w:rsidRPr="003C7CB1">
        <w:rPr>
          <w:b/>
          <w:sz w:val="24"/>
          <w:szCs w:val="24"/>
        </w:rPr>
        <w:t>Travelife</w:t>
      </w:r>
      <w:proofErr w:type="spellEnd"/>
      <w:r w:rsidRPr="003C7CB1">
        <w:rPr>
          <w:sz w:val="24"/>
          <w:szCs w:val="24"/>
        </w:rPr>
        <w:t xml:space="preserve"> are international environmental certificates which were initially introduced through the project of Development of low-carbon tourism in Montenegro which was implemented by UNDP and the Government of Montenegro with the support of GEF. </w:t>
      </w:r>
    </w:p>
    <w:p w14:paraId="5EC27BD8" w14:textId="77777777" w:rsidR="00E732FA" w:rsidRPr="003C7CB1" w:rsidRDefault="00E732FA" w:rsidP="00E732FA">
      <w:pPr>
        <w:pStyle w:val="ListParagraph"/>
        <w:spacing w:after="120" w:line="240" w:lineRule="auto"/>
        <w:ind w:left="0"/>
        <w:jc w:val="both"/>
        <w:rPr>
          <w:sz w:val="24"/>
          <w:szCs w:val="24"/>
        </w:rPr>
      </w:pPr>
      <w:r w:rsidRPr="003C7CB1">
        <w:rPr>
          <w:b/>
          <w:sz w:val="24"/>
          <w:szCs w:val="24"/>
        </w:rPr>
        <w:t xml:space="preserve">The European Union Ecolabel </w:t>
      </w:r>
      <w:r w:rsidRPr="003C7CB1">
        <w:rPr>
          <w:sz w:val="24"/>
          <w:szCs w:val="24"/>
        </w:rPr>
        <w:t>is a label established by a regulation of the European Commission, with the aim of providing support to users and tourists to more easily identify products and services that are less harmful to the environment.</w:t>
      </w:r>
      <w:r w:rsidRPr="003C7CB1">
        <w:rPr>
          <w:noProof/>
          <w:sz w:val="24"/>
          <w:szCs w:val="24"/>
        </w:rPr>
        <w:drawing>
          <wp:anchor distT="0" distB="0" distL="114300" distR="114300" simplePos="0" relativeHeight="251869696" behindDoc="0" locked="0" layoutInCell="1" allowOverlap="1" wp14:anchorId="55E75A4D" wp14:editId="2780172A">
            <wp:simplePos x="0" y="0"/>
            <wp:positionH relativeFrom="margin">
              <wp:posOffset>38100</wp:posOffset>
            </wp:positionH>
            <wp:positionV relativeFrom="paragraph">
              <wp:posOffset>55880</wp:posOffset>
            </wp:positionV>
            <wp:extent cx="1219200" cy="539750"/>
            <wp:effectExtent l="0" t="0" r="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19200" cy="539750"/>
                    </a:xfrm>
                    <a:prstGeom prst="rect">
                      <a:avLst/>
                    </a:prstGeom>
                    <a:noFill/>
                  </pic:spPr>
                </pic:pic>
              </a:graphicData>
            </a:graphic>
            <wp14:sizeRelH relativeFrom="page">
              <wp14:pctWidth>0</wp14:pctWidth>
            </wp14:sizeRelH>
            <wp14:sizeRelV relativeFrom="page">
              <wp14:pctHeight>0</wp14:pctHeight>
            </wp14:sizeRelV>
          </wp:anchor>
        </w:drawing>
      </w:r>
      <w:r w:rsidRPr="003C7CB1">
        <w:rPr>
          <w:sz w:val="24"/>
          <w:szCs w:val="24"/>
        </w:rPr>
        <w:t xml:space="preserve"> The ultimate goal of this certificate is to reduce the negative impact of consumption and production on the environment, health, climate, resources and energy. </w:t>
      </w:r>
    </w:p>
    <w:p w14:paraId="6615F2FF" w14:textId="77777777" w:rsidR="00E732FA" w:rsidRPr="003C7CB1" w:rsidRDefault="00E732FA" w:rsidP="00E732FA">
      <w:pPr>
        <w:spacing w:after="120" w:line="240" w:lineRule="auto"/>
        <w:jc w:val="both"/>
        <w:rPr>
          <w:sz w:val="24"/>
          <w:szCs w:val="24"/>
        </w:rPr>
      </w:pPr>
      <w:proofErr w:type="spellStart"/>
      <w:r w:rsidRPr="003C7CB1">
        <w:rPr>
          <w:b/>
          <w:sz w:val="24"/>
          <w:szCs w:val="24"/>
        </w:rPr>
        <w:t>Travelife</w:t>
      </w:r>
      <w:proofErr w:type="spellEnd"/>
      <w:r w:rsidRPr="003C7CB1">
        <w:rPr>
          <w:b/>
          <w:sz w:val="24"/>
          <w:szCs w:val="24"/>
        </w:rPr>
        <w:t xml:space="preserve"> </w:t>
      </w:r>
      <w:r w:rsidRPr="003C7CB1">
        <w:rPr>
          <w:sz w:val="24"/>
          <w:szCs w:val="24"/>
        </w:rPr>
        <w:t xml:space="preserve">is an initiative for training, management and certification of tourism companies, which are dedicated to sustainable business. </w:t>
      </w:r>
      <w:proofErr w:type="spellStart"/>
      <w:r w:rsidRPr="003C7CB1">
        <w:rPr>
          <w:sz w:val="24"/>
          <w:szCs w:val="24"/>
        </w:rPr>
        <w:t>Travelife</w:t>
      </w:r>
      <w:proofErr w:type="spellEnd"/>
      <w:r w:rsidRPr="003C7CB1">
        <w:rPr>
          <w:sz w:val="24"/>
          <w:szCs w:val="24"/>
        </w:rPr>
        <w:t xml:space="preserve"> is an internationally recognized certification scheme, whose criteria for obtaining the certificate are divided into four thematic groups: a) general management; b) environmental protection; c) labor rights, human rights and cooperation with local communities; and d) conditions in supply chain (vendors and guests).</w:t>
      </w:r>
      <w:r w:rsidRPr="003C7CB1">
        <w:rPr>
          <w:noProof/>
          <w:sz w:val="24"/>
          <w:szCs w:val="24"/>
        </w:rPr>
        <w:drawing>
          <wp:anchor distT="0" distB="0" distL="114300" distR="114300" simplePos="0" relativeHeight="251868672" behindDoc="0" locked="0" layoutInCell="1" allowOverlap="1" wp14:anchorId="78055BE7" wp14:editId="00A3AF39">
            <wp:simplePos x="0" y="0"/>
            <wp:positionH relativeFrom="margin">
              <wp:posOffset>9525</wp:posOffset>
            </wp:positionH>
            <wp:positionV relativeFrom="paragraph">
              <wp:posOffset>40005</wp:posOffset>
            </wp:positionV>
            <wp:extent cx="1219200" cy="565785"/>
            <wp:effectExtent l="0" t="0" r="0" b="5715"/>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19200" cy="565785"/>
                    </a:xfrm>
                    <a:prstGeom prst="rect">
                      <a:avLst/>
                    </a:prstGeom>
                    <a:noFill/>
                  </pic:spPr>
                </pic:pic>
              </a:graphicData>
            </a:graphic>
            <wp14:sizeRelH relativeFrom="page">
              <wp14:pctWidth>0</wp14:pctWidth>
            </wp14:sizeRelH>
            <wp14:sizeRelV relativeFrom="page">
              <wp14:pctHeight>0</wp14:pctHeight>
            </wp14:sizeRelV>
          </wp:anchor>
        </w:drawing>
      </w:r>
      <w:r w:rsidRPr="003C7CB1">
        <w:rPr>
          <w:sz w:val="24"/>
          <w:szCs w:val="24"/>
        </w:rPr>
        <w:t xml:space="preserve"> </w:t>
      </w:r>
    </w:p>
    <w:p w14:paraId="7317FF32" w14:textId="77777777" w:rsidR="00E732FA" w:rsidRPr="003C7CB1" w:rsidRDefault="00E732FA" w:rsidP="00E732FA">
      <w:pPr>
        <w:spacing w:after="120" w:line="240" w:lineRule="auto"/>
        <w:jc w:val="both"/>
        <w:rPr>
          <w:sz w:val="24"/>
          <w:szCs w:val="24"/>
        </w:rPr>
      </w:pPr>
      <w:r w:rsidRPr="003C7CB1">
        <w:rPr>
          <w:sz w:val="24"/>
          <w:szCs w:val="24"/>
        </w:rPr>
        <w:t xml:space="preserve">Tour operators such as TUI Travel, Thomas Cook, Virgin Holidays, Kuoni and </w:t>
      </w:r>
      <w:proofErr w:type="spellStart"/>
      <w:r w:rsidRPr="003C7CB1">
        <w:rPr>
          <w:sz w:val="24"/>
          <w:szCs w:val="24"/>
        </w:rPr>
        <w:t>Neckermann</w:t>
      </w:r>
      <w:proofErr w:type="spellEnd"/>
      <w:r w:rsidRPr="003C7CB1">
        <w:rPr>
          <w:sz w:val="24"/>
          <w:szCs w:val="24"/>
        </w:rPr>
        <w:t xml:space="preserve"> require an international certificate such as </w:t>
      </w:r>
      <w:proofErr w:type="spellStart"/>
      <w:r w:rsidRPr="003C7CB1">
        <w:rPr>
          <w:sz w:val="24"/>
          <w:szCs w:val="24"/>
        </w:rPr>
        <w:t>Travelife</w:t>
      </w:r>
      <w:proofErr w:type="spellEnd"/>
      <w:r w:rsidRPr="003C7CB1">
        <w:rPr>
          <w:sz w:val="24"/>
          <w:szCs w:val="24"/>
        </w:rPr>
        <w:t xml:space="preserve"> for accommodation facilities.</w:t>
      </w:r>
    </w:p>
    <w:p w14:paraId="7AA603D7" w14:textId="77777777" w:rsidR="00E732FA" w:rsidRPr="003C7CB1" w:rsidRDefault="00E732FA" w:rsidP="00E732FA">
      <w:pPr>
        <w:spacing w:after="120" w:line="240" w:lineRule="auto"/>
        <w:jc w:val="both"/>
        <w:rPr>
          <w:rFonts w:cstheme="minorHAnsi"/>
          <w:sz w:val="24"/>
          <w:szCs w:val="24"/>
          <w:lang w:eastAsia="hr-HR"/>
        </w:rPr>
      </w:pPr>
      <w:r w:rsidRPr="003C7CB1">
        <w:rPr>
          <w:rFonts w:cstheme="minorHAnsi"/>
          <w:b/>
          <w:sz w:val="24"/>
          <w:szCs w:val="24"/>
          <w:lang w:eastAsia="hr-HR"/>
        </w:rPr>
        <w:t>Green Key</w:t>
      </w:r>
      <w:r w:rsidRPr="003C7CB1">
        <w:rPr>
          <w:rStyle w:val="FootnoteReference"/>
          <w:rFonts w:cstheme="minorHAnsi"/>
          <w:b/>
          <w:sz w:val="24"/>
          <w:szCs w:val="24"/>
          <w:lang w:eastAsia="hr-HR"/>
        </w:rPr>
        <w:footnoteReference w:id="38"/>
      </w:r>
      <w:r w:rsidRPr="003C7CB1">
        <w:rPr>
          <w:rFonts w:cstheme="minorHAnsi"/>
          <w:b/>
          <w:sz w:val="24"/>
          <w:szCs w:val="24"/>
          <w:lang w:eastAsia="hr-HR"/>
        </w:rPr>
        <w:t xml:space="preserve"> </w:t>
      </w:r>
      <w:r w:rsidRPr="003C7CB1">
        <w:rPr>
          <w:rFonts w:cstheme="minorHAnsi"/>
          <w:sz w:val="24"/>
          <w:szCs w:val="24"/>
          <w:lang w:eastAsia="hr-HR"/>
        </w:rPr>
        <w:t>is an eco-label that confirms the commitment of the company and compliance with and adherence to strict criteria and rules, prescribed by the Foundation for Environmental Education (FEE).</w:t>
      </w:r>
      <w:r w:rsidRPr="003C7CB1">
        <w:rPr>
          <w:rFonts w:cstheme="minorHAnsi"/>
          <w:noProof/>
          <w:color w:val="1F3864" w:themeColor="accent1" w:themeShade="80"/>
          <w:sz w:val="24"/>
          <w:szCs w:val="24"/>
        </w:rPr>
        <w:drawing>
          <wp:anchor distT="0" distB="0" distL="114300" distR="114300" simplePos="0" relativeHeight="251867648" behindDoc="0" locked="0" layoutInCell="1" allowOverlap="1" wp14:anchorId="2285CC64" wp14:editId="01FED207">
            <wp:simplePos x="0" y="0"/>
            <wp:positionH relativeFrom="margin">
              <wp:posOffset>41275</wp:posOffset>
            </wp:positionH>
            <wp:positionV relativeFrom="paragraph">
              <wp:posOffset>89535</wp:posOffset>
            </wp:positionV>
            <wp:extent cx="1106805" cy="512445"/>
            <wp:effectExtent l="0" t="0" r="0" b="1905"/>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06805" cy="512445"/>
                    </a:xfrm>
                    <a:prstGeom prst="rect">
                      <a:avLst/>
                    </a:prstGeom>
                    <a:noFill/>
                  </pic:spPr>
                </pic:pic>
              </a:graphicData>
            </a:graphic>
            <wp14:sizeRelH relativeFrom="page">
              <wp14:pctWidth>0</wp14:pctWidth>
            </wp14:sizeRelH>
            <wp14:sizeRelV relativeFrom="page">
              <wp14:pctHeight>0</wp14:pctHeight>
            </wp14:sizeRelV>
          </wp:anchor>
        </w:drawing>
      </w:r>
      <w:r w:rsidRPr="003C7CB1">
        <w:rPr>
          <w:rFonts w:cstheme="minorHAnsi"/>
          <w:sz w:val="24"/>
          <w:szCs w:val="24"/>
          <w:lang w:eastAsia="hr-HR"/>
        </w:rPr>
        <w:t xml:space="preserve"> The most widespread is the international eco-label, awarded to about 3,100 hotels and other facilities in 66 countries around the world, including Montenegro. Green Key is constantly looking for new and sustainable methods of work and use of technology in order to keep the overall environmental footprint as small as possible, through methods such as reducing the use of energy, water, waste, etc. </w:t>
      </w:r>
    </w:p>
    <w:p w14:paraId="4DEE57D9" w14:textId="77777777" w:rsidR="00E732FA" w:rsidRPr="003C7CB1" w:rsidRDefault="00E732FA" w:rsidP="00E732FA">
      <w:pPr>
        <w:spacing w:after="120" w:line="240" w:lineRule="auto"/>
        <w:jc w:val="both"/>
        <w:rPr>
          <w:rFonts w:cstheme="minorHAnsi"/>
          <w:sz w:val="24"/>
          <w:szCs w:val="24"/>
          <w:lang w:eastAsia="hr-HR"/>
        </w:rPr>
      </w:pPr>
      <w:r w:rsidRPr="003C7CB1">
        <w:rPr>
          <w:rFonts w:cstheme="minorHAnsi"/>
          <w:sz w:val="24"/>
          <w:szCs w:val="24"/>
          <w:lang w:eastAsia="hr-HR"/>
        </w:rPr>
        <w:t xml:space="preserve">In addition to the above, there are additional certificates that are less presented in practice.  </w:t>
      </w:r>
    </w:p>
    <w:p w14:paraId="4BAD0CB4" w14:textId="77777777" w:rsidR="00E732FA" w:rsidRPr="003C7CB1" w:rsidRDefault="00E732FA" w:rsidP="00E732FA">
      <w:pPr>
        <w:spacing w:after="0" w:line="240" w:lineRule="auto"/>
        <w:rPr>
          <w:rFonts w:cstheme="minorHAnsi"/>
          <w:sz w:val="24"/>
          <w:szCs w:val="24"/>
          <w:lang w:eastAsia="hr-HR"/>
        </w:rPr>
      </w:pPr>
    </w:p>
    <w:p w14:paraId="48CD2C4F" w14:textId="77777777" w:rsidR="00E732FA" w:rsidRPr="003C7CB1" w:rsidRDefault="00E732FA" w:rsidP="00E732FA">
      <w:pPr>
        <w:spacing w:after="0" w:line="240" w:lineRule="auto"/>
        <w:rPr>
          <w:rFonts w:cstheme="minorHAnsi"/>
          <w:sz w:val="24"/>
          <w:szCs w:val="24"/>
          <w:lang w:eastAsia="hr-HR"/>
        </w:rPr>
      </w:pPr>
    </w:p>
    <w:p w14:paraId="0229A127" w14:textId="77777777" w:rsidR="00E732FA" w:rsidRPr="003C7CB1" w:rsidRDefault="00E732FA" w:rsidP="00E732FA">
      <w:pPr>
        <w:spacing w:after="0" w:line="240" w:lineRule="auto"/>
        <w:rPr>
          <w:rFonts w:cstheme="minorHAnsi"/>
          <w:sz w:val="24"/>
          <w:szCs w:val="24"/>
          <w:lang w:eastAsia="hr-HR"/>
        </w:rPr>
      </w:pPr>
    </w:p>
    <w:p w14:paraId="12180F77" w14:textId="77777777" w:rsidR="00E732FA" w:rsidRPr="003C7CB1" w:rsidRDefault="00E732FA" w:rsidP="00E732FA">
      <w:pPr>
        <w:spacing w:after="0" w:line="240" w:lineRule="auto"/>
        <w:rPr>
          <w:rFonts w:cstheme="minorHAnsi"/>
          <w:sz w:val="24"/>
          <w:szCs w:val="24"/>
          <w:lang w:eastAsia="hr-HR"/>
        </w:rPr>
      </w:pPr>
    </w:p>
    <w:p w14:paraId="401607D9" w14:textId="77777777" w:rsidR="00E732FA" w:rsidRPr="003C7CB1" w:rsidRDefault="00E732FA" w:rsidP="00E732FA">
      <w:pPr>
        <w:spacing w:after="0" w:line="240" w:lineRule="auto"/>
        <w:rPr>
          <w:rFonts w:cstheme="minorHAnsi"/>
          <w:sz w:val="24"/>
          <w:szCs w:val="24"/>
          <w:lang w:eastAsia="hr-HR"/>
        </w:rPr>
      </w:pPr>
    </w:p>
    <w:p w14:paraId="35BFA916" w14:textId="27B6E957" w:rsidR="00122643" w:rsidRPr="003C7CB1" w:rsidRDefault="00122643">
      <w:pPr>
        <w:spacing w:after="0" w:line="240" w:lineRule="auto"/>
        <w:rPr>
          <w:rFonts w:cstheme="minorHAnsi"/>
          <w:sz w:val="24"/>
          <w:szCs w:val="24"/>
          <w:lang w:eastAsia="hr-HR"/>
        </w:rPr>
      </w:pPr>
    </w:p>
    <w:p w14:paraId="068A0866" w14:textId="63FC19B6" w:rsidR="007B3399" w:rsidRPr="003C7CB1" w:rsidRDefault="00E431EA" w:rsidP="00E372B9">
      <w:pPr>
        <w:spacing w:after="120" w:line="240" w:lineRule="auto"/>
        <w:jc w:val="both"/>
        <w:rPr>
          <w:rFonts w:cstheme="minorHAnsi"/>
          <w:sz w:val="24"/>
          <w:szCs w:val="24"/>
          <w:lang w:eastAsia="hr-HR"/>
        </w:rPr>
      </w:pPr>
      <w:r w:rsidRPr="003C7CB1">
        <w:rPr>
          <w:rFonts w:cstheme="minorHAnsi"/>
          <w:noProof/>
          <w:sz w:val="24"/>
          <w:szCs w:val="24"/>
        </w:rPr>
        <w:drawing>
          <wp:inline distT="0" distB="0" distL="0" distR="0" wp14:anchorId="597352B4" wp14:editId="2AFFADA1">
            <wp:extent cx="5732145" cy="8108211"/>
            <wp:effectExtent l="0" t="0" r="1905"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13 ciljevi razvoja turizma.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14C6836B" w14:textId="0B3203EF" w:rsidR="00906BC1" w:rsidRPr="003C7CB1" w:rsidRDefault="008D060F" w:rsidP="00E372B9">
      <w:pPr>
        <w:pStyle w:val="Heading1"/>
        <w:spacing w:before="0" w:after="120" w:line="240" w:lineRule="auto"/>
      </w:pPr>
      <w:bookmarkStart w:id="178" w:name="_Toc95303037"/>
      <w:bookmarkStart w:id="179" w:name="_Toc104544202"/>
      <w:r w:rsidRPr="003C7CB1">
        <w:rPr>
          <w:rFonts w:eastAsiaTheme="minorHAnsi" w:cstheme="minorBidi"/>
          <w:szCs w:val="28"/>
        </w:rPr>
        <w:lastRenderedPageBreak/>
        <w:t>1</w:t>
      </w:r>
      <w:r w:rsidR="007677AB" w:rsidRPr="003C7CB1">
        <w:rPr>
          <w:rFonts w:eastAsiaTheme="minorHAnsi" w:cstheme="minorBidi"/>
          <w:szCs w:val="28"/>
        </w:rPr>
        <w:t>2</w:t>
      </w:r>
      <w:r w:rsidR="008F0DCD" w:rsidRPr="003C7CB1">
        <w:rPr>
          <w:szCs w:val="28"/>
        </w:rPr>
        <w:t>.</w:t>
      </w:r>
      <w:r w:rsidR="008F0DCD" w:rsidRPr="003C7CB1">
        <w:t xml:space="preserve"> </w:t>
      </w:r>
      <w:bookmarkEnd w:id="178"/>
      <w:r w:rsidR="003D7149" w:rsidRPr="003C7CB1">
        <w:t>GOALS OF TOURISM DEVELOPMENT IN MONTENEGRO</w:t>
      </w:r>
      <w:bookmarkEnd w:id="179"/>
    </w:p>
    <w:p w14:paraId="1EAC4BDB" w14:textId="0B88A62D" w:rsidR="00906BC1" w:rsidRPr="003C7CB1" w:rsidRDefault="003D7149" w:rsidP="00955065">
      <w:pPr>
        <w:spacing w:after="120" w:line="240" w:lineRule="auto"/>
        <w:contextualSpacing/>
        <w:jc w:val="both"/>
        <w:rPr>
          <w:rFonts w:ascii="Calibri" w:eastAsia="Calibri" w:hAnsi="Calibri" w:cs="Calibri"/>
          <w:sz w:val="24"/>
          <w:szCs w:val="24"/>
        </w:rPr>
      </w:pPr>
      <w:r w:rsidRPr="003C7CB1">
        <w:rPr>
          <w:rFonts w:ascii="Calibri" w:eastAsia="Calibri" w:hAnsi="Calibri" w:cs="Calibri"/>
          <w:sz w:val="24"/>
          <w:szCs w:val="24"/>
        </w:rPr>
        <w:t xml:space="preserve">Tourism is the dominant industry in Montenegro, complementary to almost all other economic activities and specific in its export component, </w:t>
      </w:r>
      <w:r w:rsidR="003C7CB1" w:rsidRPr="003C7CB1">
        <w:rPr>
          <w:rFonts w:ascii="Calibri" w:eastAsia="Calibri" w:hAnsi="Calibri" w:cs="Calibri"/>
          <w:sz w:val="24"/>
          <w:szCs w:val="24"/>
        </w:rPr>
        <w:t>i.e.</w:t>
      </w:r>
      <w:r w:rsidRPr="003C7CB1">
        <w:rPr>
          <w:rFonts w:ascii="Calibri" w:eastAsia="Calibri" w:hAnsi="Calibri" w:cs="Calibri"/>
          <w:sz w:val="24"/>
          <w:szCs w:val="24"/>
        </w:rPr>
        <w:t xml:space="preserve"> the fact that, on average, annually, more than 90% of turnover is generated by foreign tourists</w:t>
      </w:r>
      <w:r w:rsidR="00906BC1" w:rsidRPr="003C7CB1">
        <w:rPr>
          <w:rFonts w:ascii="Calibri" w:eastAsia="Calibri" w:hAnsi="Calibri" w:cs="Calibri"/>
          <w:sz w:val="24"/>
          <w:szCs w:val="24"/>
        </w:rPr>
        <w:t>.</w:t>
      </w:r>
    </w:p>
    <w:p w14:paraId="52E6DBF0" w14:textId="77777777" w:rsidR="00906BC1" w:rsidRPr="003C7CB1" w:rsidRDefault="00906BC1" w:rsidP="00955065">
      <w:pPr>
        <w:spacing w:after="120" w:line="240" w:lineRule="auto"/>
        <w:contextualSpacing/>
        <w:jc w:val="both"/>
        <w:rPr>
          <w:rFonts w:ascii="Calibri" w:hAnsi="Calibri" w:cs="Calibri"/>
          <w:sz w:val="24"/>
          <w:szCs w:val="24"/>
        </w:rPr>
      </w:pPr>
    </w:p>
    <w:p w14:paraId="3A1B8178" w14:textId="77777777" w:rsidR="00253D5E" w:rsidRPr="003C7CB1" w:rsidRDefault="00253D5E" w:rsidP="00253D5E">
      <w:pPr>
        <w:spacing w:after="120" w:line="240" w:lineRule="auto"/>
        <w:jc w:val="both"/>
        <w:rPr>
          <w:rFonts w:ascii="Calibri" w:hAnsi="Calibri" w:cs="Calibri"/>
          <w:sz w:val="24"/>
          <w:szCs w:val="24"/>
        </w:rPr>
      </w:pPr>
      <w:r w:rsidRPr="003C7CB1">
        <w:rPr>
          <w:rFonts w:ascii="Calibri" w:hAnsi="Calibri" w:cs="Calibri"/>
          <w:sz w:val="24"/>
          <w:szCs w:val="24"/>
        </w:rPr>
        <w:t>Analyzes of the situation in the tourism sector during the previous period pointed to numerous restrictions on faster development, which are the main cause of the still short period of tourism business during the year, as well as the imbalance of tourist offer between the coastal and northern regions. In this regard, we can identify three main "concentrations" that need to be reduced in the coming period:</w:t>
      </w:r>
    </w:p>
    <w:p w14:paraId="4C42A82B" w14:textId="076A3290" w:rsidR="00253D5E" w:rsidRPr="003C7CB1" w:rsidRDefault="00253D5E" w:rsidP="00253D5E">
      <w:pPr>
        <w:pStyle w:val="ListParagraph"/>
        <w:numPr>
          <w:ilvl w:val="0"/>
          <w:numId w:val="28"/>
        </w:numPr>
        <w:spacing w:after="120" w:line="240" w:lineRule="auto"/>
        <w:jc w:val="both"/>
        <w:rPr>
          <w:rFonts w:ascii="Calibri" w:hAnsi="Calibri" w:cs="Calibri"/>
          <w:b/>
          <w:sz w:val="24"/>
          <w:szCs w:val="24"/>
        </w:rPr>
      </w:pPr>
      <w:r w:rsidRPr="003C7CB1">
        <w:rPr>
          <w:rFonts w:ascii="Calibri" w:hAnsi="Calibri" w:cs="Calibri"/>
          <w:b/>
          <w:sz w:val="24"/>
          <w:szCs w:val="24"/>
        </w:rPr>
        <w:t>95% of touris</w:t>
      </w:r>
      <w:r w:rsidR="00F0564D">
        <w:rPr>
          <w:rFonts w:ascii="Calibri" w:hAnsi="Calibri" w:cs="Calibri"/>
          <w:b/>
          <w:sz w:val="24"/>
          <w:szCs w:val="24"/>
        </w:rPr>
        <w:t>m turnover</w:t>
      </w:r>
      <w:r w:rsidRPr="003C7CB1">
        <w:rPr>
          <w:rFonts w:ascii="Calibri" w:hAnsi="Calibri" w:cs="Calibri"/>
          <w:b/>
          <w:sz w:val="24"/>
          <w:szCs w:val="24"/>
        </w:rPr>
        <w:t xml:space="preserve"> (overnight stays and income) is achieved on the coast,</w:t>
      </w:r>
    </w:p>
    <w:p w14:paraId="343A4FB7" w14:textId="3B49B0E1" w:rsidR="00253D5E" w:rsidRPr="003C7CB1" w:rsidRDefault="00253D5E" w:rsidP="00253D5E">
      <w:pPr>
        <w:pStyle w:val="ListParagraph"/>
        <w:numPr>
          <w:ilvl w:val="0"/>
          <w:numId w:val="28"/>
        </w:numPr>
        <w:spacing w:after="120" w:line="240" w:lineRule="auto"/>
        <w:jc w:val="both"/>
        <w:rPr>
          <w:rFonts w:ascii="Calibri" w:hAnsi="Calibri" w:cs="Calibri"/>
          <w:b/>
          <w:sz w:val="24"/>
          <w:szCs w:val="24"/>
        </w:rPr>
      </w:pPr>
      <w:r w:rsidRPr="003C7CB1">
        <w:rPr>
          <w:rFonts w:ascii="Calibri" w:hAnsi="Calibri" w:cs="Calibri"/>
          <w:b/>
          <w:sz w:val="24"/>
          <w:szCs w:val="24"/>
        </w:rPr>
        <w:t>75% of touris</w:t>
      </w:r>
      <w:r w:rsidR="00F0564D">
        <w:rPr>
          <w:rFonts w:ascii="Calibri" w:hAnsi="Calibri" w:cs="Calibri"/>
          <w:b/>
          <w:sz w:val="24"/>
          <w:szCs w:val="24"/>
        </w:rPr>
        <w:t>m turnover</w:t>
      </w:r>
      <w:r w:rsidRPr="003C7CB1">
        <w:rPr>
          <w:rFonts w:ascii="Calibri" w:hAnsi="Calibri" w:cs="Calibri"/>
          <w:b/>
          <w:sz w:val="24"/>
          <w:szCs w:val="24"/>
        </w:rPr>
        <w:t xml:space="preserve"> is achieved in the summer months, and</w:t>
      </w:r>
    </w:p>
    <w:p w14:paraId="47A657C1" w14:textId="6C011678" w:rsidR="00195B6F" w:rsidRPr="003C7CB1" w:rsidRDefault="00253D5E" w:rsidP="00253D5E">
      <w:pPr>
        <w:pStyle w:val="ListParagraph"/>
        <w:numPr>
          <w:ilvl w:val="0"/>
          <w:numId w:val="28"/>
        </w:numPr>
        <w:spacing w:after="120" w:line="240" w:lineRule="auto"/>
        <w:jc w:val="both"/>
        <w:rPr>
          <w:rFonts w:ascii="Calibri" w:hAnsi="Calibri" w:cs="Calibri"/>
          <w:b/>
          <w:sz w:val="24"/>
          <w:szCs w:val="24"/>
        </w:rPr>
      </w:pPr>
      <w:r w:rsidRPr="003C7CB1">
        <w:rPr>
          <w:rFonts w:ascii="Calibri" w:hAnsi="Calibri" w:cs="Calibri"/>
          <w:b/>
          <w:sz w:val="24"/>
          <w:szCs w:val="24"/>
        </w:rPr>
        <w:t>70% represents the share of individual (private) accommodation in total accommodation capacity</w:t>
      </w:r>
      <w:r w:rsidR="008A0AE5" w:rsidRPr="003C7CB1">
        <w:rPr>
          <w:rFonts w:ascii="Calibri" w:hAnsi="Calibri" w:cs="Calibri"/>
          <w:b/>
          <w:sz w:val="24"/>
          <w:szCs w:val="24"/>
        </w:rPr>
        <w:t>.</w:t>
      </w:r>
    </w:p>
    <w:p w14:paraId="53816C7E" w14:textId="2405332F" w:rsidR="008A0AE5" w:rsidRPr="003C7CB1" w:rsidRDefault="00313565" w:rsidP="008F7D0F">
      <w:pPr>
        <w:shd w:val="clear" w:color="auto" w:fill="FFFFFF" w:themeFill="background1"/>
        <w:spacing w:after="0" w:line="240" w:lineRule="auto"/>
        <w:contextualSpacing/>
        <w:jc w:val="both"/>
        <w:rPr>
          <w:rFonts w:ascii="Calibri" w:hAnsi="Calibri" w:cs="Calibri"/>
          <w:sz w:val="24"/>
          <w:szCs w:val="24"/>
        </w:rPr>
      </w:pPr>
      <w:r w:rsidRPr="003C7CB1">
        <w:rPr>
          <w:rFonts w:ascii="Calibri" w:eastAsia="Calibri" w:hAnsi="Calibri" w:cs="Calibri"/>
          <w:sz w:val="24"/>
          <w:szCs w:val="24"/>
        </w:rPr>
        <w:t>In order to overcome this situation and create preconditions for the most efficient development of tourism, and thus other industries, future activities will be focused on</w:t>
      </w:r>
      <w:r w:rsidR="008A0AE5" w:rsidRPr="003C7CB1">
        <w:rPr>
          <w:rFonts w:ascii="Calibri" w:hAnsi="Calibri" w:cs="Calibri"/>
          <w:sz w:val="24"/>
          <w:szCs w:val="24"/>
        </w:rPr>
        <w:t>:</w:t>
      </w:r>
    </w:p>
    <w:p w14:paraId="5B65839D" w14:textId="6B180DF8" w:rsidR="008A0AE5" w:rsidRPr="003C7CB1" w:rsidRDefault="00313565" w:rsidP="00313565">
      <w:pPr>
        <w:pStyle w:val="ListParagraph"/>
        <w:numPr>
          <w:ilvl w:val="0"/>
          <w:numId w:val="6"/>
        </w:numPr>
        <w:shd w:val="clear" w:color="auto" w:fill="FFFFFF" w:themeFill="background1"/>
        <w:spacing w:after="0" w:line="240" w:lineRule="auto"/>
        <w:jc w:val="both"/>
        <w:rPr>
          <w:rFonts w:ascii="Calibri" w:hAnsi="Calibri" w:cs="Calibri"/>
          <w:sz w:val="24"/>
          <w:szCs w:val="24"/>
        </w:rPr>
      </w:pPr>
      <w:r w:rsidRPr="003C7CB1">
        <w:rPr>
          <w:rFonts w:ascii="Calibri" w:hAnsi="Calibri" w:cs="Calibri"/>
          <w:sz w:val="24"/>
          <w:szCs w:val="24"/>
        </w:rPr>
        <w:t xml:space="preserve">Raising the level of quality of a </w:t>
      </w:r>
      <w:r w:rsidR="00C65FFD">
        <w:rPr>
          <w:rFonts w:ascii="Calibri" w:hAnsi="Calibri" w:cs="Calibri"/>
          <w:sz w:val="24"/>
          <w:szCs w:val="24"/>
        </w:rPr>
        <w:t>tourism product</w:t>
      </w:r>
      <w:r w:rsidRPr="003C7CB1">
        <w:rPr>
          <w:rFonts w:ascii="Calibri" w:hAnsi="Calibri" w:cs="Calibri"/>
          <w:sz w:val="24"/>
          <w:szCs w:val="24"/>
        </w:rPr>
        <w:t xml:space="preserve"> on the coast in relation to its quantity. The goal is to achieve that accommodation capacities of level 3-5 * prevail, to improve the quality of beaches, improve the accompanying infrastructure (road, water supply, utilities, etc.), to develop accompanying facilities for active holidays (coastal hinterland), etc</w:t>
      </w:r>
      <w:r w:rsidR="00153C65" w:rsidRPr="003C7CB1">
        <w:rPr>
          <w:rFonts w:ascii="Calibri" w:hAnsi="Calibri" w:cs="Calibri"/>
          <w:sz w:val="24"/>
          <w:szCs w:val="24"/>
        </w:rPr>
        <w:t>.</w:t>
      </w:r>
      <w:r w:rsidR="008A0AE5" w:rsidRPr="003C7CB1">
        <w:rPr>
          <w:rFonts w:ascii="Calibri" w:hAnsi="Calibri" w:cs="Calibri"/>
          <w:sz w:val="24"/>
          <w:szCs w:val="24"/>
        </w:rPr>
        <w:t>;</w:t>
      </w:r>
    </w:p>
    <w:p w14:paraId="503830BA" w14:textId="76D6FA17" w:rsidR="008A0AE5" w:rsidRPr="003C7CB1" w:rsidRDefault="00313565" w:rsidP="00313565">
      <w:pPr>
        <w:pStyle w:val="ListParagraph"/>
        <w:numPr>
          <w:ilvl w:val="0"/>
          <w:numId w:val="6"/>
        </w:numPr>
        <w:shd w:val="clear" w:color="auto" w:fill="FFFFFF" w:themeFill="background1"/>
        <w:spacing w:after="0" w:line="240" w:lineRule="auto"/>
        <w:jc w:val="both"/>
        <w:rPr>
          <w:rFonts w:ascii="Calibri" w:eastAsia="Calibri" w:hAnsi="Calibri" w:cs="Calibri"/>
          <w:sz w:val="24"/>
          <w:szCs w:val="24"/>
        </w:rPr>
      </w:pPr>
      <w:r w:rsidRPr="003C7CB1">
        <w:rPr>
          <w:rFonts w:ascii="Calibri" w:hAnsi="Calibri" w:cs="Calibri"/>
          <w:sz w:val="24"/>
          <w:szCs w:val="24"/>
        </w:rPr>
        <w:t xml:space="preserve">Diversification of the </w:t>
      </w:r>
      <w:r w:rsidR="00C65FFD">
        <w:rPr>
          <w:rFonts w:ascii="Calibri" w:hAnsi="Calibri" w:cs="Calibri"/>
          <w:sz w:val="24"/>
          <w:szCs w:val="24"/>
        </w:rPr>
        <w:t>tourism product</w:t>
      </w:r>
      <w:r w:rsidRPr="003C7CB1">
        <w:rPr>
          <w:rFonts w:ascii="Calibri" w:hAnsi="Calibri" w:cs="Calibri"/>
          <w:sz w:val="24"/>
          <w:szCs w:val="24"/>
        </w:rPr>
        <w:t xml:space="preserve"> with a combination of urban and rural products, with an emphasis on the year-round offer and the North of Montenegro (offer based on nature and improving the tourist experience)</w:t>
      </w:r>
      <w:r w:rsidR="004E271D" w:rsidRPr="003C7CB1">
        <w:rPr>
          <w:rFonts w:ascii="Calibri" w:hAnsi="Calibri" w:cs="Calibri"/>
          <w:sz w:val="24"/>
          <w:szCs w:val="24"/>
        </w:rPr>
        <w:t>;</w:t>
      </w:r>
    </w:p>
    <w:p w14:paraId="55E67394" w14:textId="79D5E902" w:rsidR="00FB0683" w:rsidRPr="003C7CB1" w:rsidRDefault="00313565" w:rsidP="00313565">
      <w:pPr>
        <w:pStyle w:val="ListParagraph"/>
        <w:numPr>
          <w:ilvl w:val="0"/>
          <w:numId w:val="6"/>
        </w:numPr>
        <w:shd w:val="clear" w:color="auto" w:fill="FFFFFF" w:themeFill="background1"/>
        <w:spacing w:after="0" w:line="240" w:lineRule="auto"/>
        <w:jc w:val="both"/>
        <w:rPr>
          <w:rFonts w:ascii="Calibri" w:eastAsia="Calibri" w:hAnsi="Calibri" w:cs="Calibri"/>
          <w:sz w:val="24"/>
          <w:szCs w:val="24"/>
        </w:rPr>
      </w:pPr>
      <w:r w:rsidRPr="003C7CB1">
        <w:rPr>
          <w:rFonts w:ascii="Calibri" w:hAnsi="Calibri" w:cs="Calibri"/>
          <w:sz w:val="24"/>
          <w:szCs w:val="24"/>
        </w:rPr>
        <w:t xml:space="preserve">Encouraging "green" accommodation capacities of hotel and similar type with eco characteristics (wild beauty, eco lodge, eco village, etc.). In this way, the quality of the offer will be improved, seasonality will be reduced, </w:t>
      </w:r>
      <w:r w:rsidR="003C7CB1" w:rsidRPr="003C7CB1">
        <w:rPr>
          <w:rFonts w:ascii="Calibri" w:hAnsi="Calibri" w:cs="Calibri"/>
          <w:sz w:val="24"/>
          <w:szCs w:val="24"/>
        </w:rPr>
        <w:t>i.e.</w:t>
      </w:r>
      <w:r w:rsidRPr="003C7CB1">
        <w:rPr>
          <w:rFonts w:ascii="Calibri" w:hAnsi="Calibri" w:cs="Calibri"/>
          <w:sz w:val="24"/>
          <w:szCs w:val="24"/>
        </w:rPr>
        <w:t xml:space="preserve"> the duration of the tourist season will be extended and the share of hotels in the total accommodation capacities will be increased, all while respecting the principles of sustainability and applying responsible destination management</w:t>
      </w:r>
      <w:r w:rsidR="00FB0683" w:rsidRPr="003C7CB1">
        <w:rPr>
          <w:rFonts w:ascii="Calibri" w:hAnsi="Calibri" w:cs="Calibri"/>
          <w:sz w:val="24"/>
          <w:szCs w:val="24"/>
        </w:rPr>
        <w:t xml:space="preserve">.   </w:t>
      </w:r>
    </w:p>
    <w:p w14:paraId="3ACB8D13" w14:textId="77777777" w:rsidR="00B04396" w:rsidRPr="003C7CB1" w:rsidRDefault="00B04396" w:rsidP="00B04396">
      <w:pPr>
        <w:shd w:val="clear" w:color="auto" w:fill="FFFFFF" w:themeFill="background1"/>
        <w:spacing w:after="0" w:line="240" w:lineRule="auto"/>
        <w:jc w:val="both"/>
        <w:rPr>
          <w:rFonts w:ascii="Calibri" w:eastAsia="Calibri" w:hAnsi="Calibri" w:cs="Calibri"/>
          <w:sz w:val="24"/>
          <w:szCs w:val="24"/>
        </w:rPr>
      </w:pPr>
    </w:p>
    <w:p w14:paraId="04ECDABF" w14:textId="65E408B6" w:rsidR="001C6A94" w:rsidRPr="003C7CB1" w:rsidRDefault="00F31754" w:rsidP="00955065">
      <w:pPr>
        <w:pStyle w:val="Heading2"/>
        <w:spacing w:before="0" w:after="120" w:line="240" w:lineRule="auto"/>
        <w:jc w:val="both"/>
        <w:rPr>
          <w:szCs w:val="24"/>
        </w:rPr>
      </w:pPr>
      <w:bookmarkStart w:id="180" w:name="_Toc95303038"/>
      <w:bookmarkStart w:id="181" w:name="_Toc104544203"/>
      <w:r w:rsidRPr="003C7CB1">
        <w:rPr>
          <w:rFonts w:eastAsia="Calibri"/>
        </w:rPr>
        <w:t>1</w:t>
      </w:r>
      <w:r w:rsidR="007677AB" w:rsidRPr="003C7CB1">
        <w:rPr>
          <w:rFonts w:eastAsia="Calibri"/>
        </w:rPr>
        <w:t>2</w:t>
      </w:r>
      <w:r w:rsidR="001C6A94" w:rsidRPr="003C7CB1">
        <w:rPr>
          <w:rFonts w:eastAsia="Calibri"/>
        </w:rPr>
        <w:t xml:space="preserve">.1. </w:t>
      </w:r>
      <w:bookmarkEnd w:id="180"/>
      <w:r w:rsidR="00CD56A4" w:rsidRPr="003C7CB1">
        <w:rPr>
          <w:rFonts w:eastAsia="Calibri"/>
        </w:rPr>
        <w:t>Projections for the development of accommodation capacities and the workforce</w:t>
      </w:r>
      <w:bookmarkEnd w:id="181"/>
      <w:r w:rsidR="0021453D" w:rsidRPr="003C7CB1">
        <w:rPr>
          <w:szCs w:val="24"/>
        </w:rPr>
        <w:t xml:space="preserve"> </w:t>
      </w:r>
    </w:p>
    <w:p w14:paraId="0D908D08" w14:textId="07571CFA" w:rsidR="00467DEB" w:rsidRPr="003C7CB1" w:rsidRDefault="00CD56A4" w:rsidP="00955065">
      <w:pPr>
        <w:spacing w:after="120" w:line="240" w:lineRule="auto"/>
        <w:jc w:val="both"/>
        <w:rPr>
          <w:sz w:val="24"/>
          <w:szCs w:val="24"/>
        </w:rPr>
      </w:pPr>
      <w:r w:rsidRPr="003C7CB1">
        <w:rPr>
          <w:sz w:val="24"/>
          <w:szCs w:val="24"/>
        </w:rPr>
        <w:t xml:space="preserve">Having in mind that the hospitality industry is the most important segment of the </w:t>
      </w:r>
      <w:r w:rsidR="00C65FFD">
        <w:rPr>
          <w:sz w:val="24"/>
          <w:szCs w:val="24"/>
        </w:rPr>
        <w:t>tourism product</w:t>
      </w:r>
      <w:r w:rsidRPr="003C7CB1">
        <w:rPr>
          <w:sz w:val="24"/>
          <w:szCs w:val="24"/>
        </w:rPr>
        <w:t xml:space="preserve">, special attention will be paid to activities related to the further development and improvement of hotel capacities in Montenegro. In this regard, the following is a projection of expected capacities in hotels and similar facilities both at the level of Montenegro and at the regional level, based on current and planned investment projects, </w:t>
      </w:r>
      <w:r w:rsidR="003C7CB1" w:rsidRPr="003C7CB1">
        <w:rPr>
          <w:sz w:val="24"/>
          <w:szCs w:val="24"/>
        </w:rPr>
        <w:t>i.e.</w:t>
      </w:r>
      <w:r w:rsidRPr="003C7CB1">
        <w:rPr>
          <w:sz w:val="24"/>
          <w:szCs w:val="24"/>
        </w:rPr>
        <w:t xml:space="preserve"> greenfield and brownfield investments</w:t>
      </w:r>
      <w:r w:rsidR="00A34458" w:rsidRPr="003C7CB1">
        <w:rPr>
          <w:sz w:val="24"/>
          <w:szCs w:val="24"/>
        </w:rPr>
        <w:t xml:space="preserve">.  </w:t>
      </w:r>
    </w:p>
    <w:p w14:paraId="2B2C1DD6" w14:textId="02A1E888" w:rsidR="00E431EA" w:rsidRPr="003C7CB1" w:rsidRDefault="003A0238" w:rsidP="00E372B9">
      <w:pPr>
        <w:spacing w:after="120" w:line="240" w:lineRule="auto"/>
        <w:jc w:val="both"/>
        <w:rPr>
          <w:sz w:val="24"/>
          <w:szCs w:val="24"/>
        </w:rPr>
      </w:pPr>
      <w:r w:rsidRPr="003C7CB1">
        <w:rPr>
          <w:sz w:val="24"/>
          <w:szCs w:val="24"/>
        </w:rPr>
        <w:t>According to projections, at the level of Montenegro in 2025, the number of beds in hotels and similar facilities will be 52,200, which is an increase at an average annual rate of 4.2% in the period from 2019 to 2025. In the same period, when it comes to camps, the growth of their capacities is projected at 7.4%, and private accommodation at 1.3% (Table No. 15 and Graph No. 13</w:t>
      </w:r>
      <w:r w:rsidR="0062781A" w:rsidRPr="003C7CB1">
        <w:rPr>
          <w:sz w:val="24"/>
          <w:szCs w:val="24"/>
        </w:rPr>
        <w:t>).</w:t>
      </w:r>
    </w:p>
    <w:p w14:paraId="50217E5D" w14:textId="2FF98CC7" w:rsidR="00153C65" w:rsidRPr="003C7CB1" w:rsidRDefault="00153C65" w:rsidP="00E372B9">
      <w:pPr>
        <w:spacing w:after="120" w:line="240" w:lineRule="auto"/>
        <w:jc w:val="both"/>
        <w:rPr>
          <w:sz w:val="24"/>
          <w:szCs w:val="24"/>
        </w:rPr>
      </w:pPr>
    </w:p>
    <w:p w14:paraId="139A83B7" w14:textId="29BBB9A8" w:rsidR="00153C65" w:rsidRPr="003C7CB1" w:rsidRDefault="00153C65" w:rsidP="00E372B9">
      <w:pPr>
        <w:spacing w:after="120" w:line="240" w:lineRule="auto"/>
        <w:jc w:val="both"/>
        <w:rPr>
          <w:sz w:val="24"/>
          <w:szCs w:val="24"/>
        </w:rPr>
      </w:pPr>
    </w:p>
    <w:p w14:paraId="21CE2206" w14:textId="7BFBF84C" w:rsidR="00153C65" w:rsidRPr="003C7CB1" w:rsidRDefault="00153C65" w:rsidP="00E372B9">
      <w:pPr>
        <w:spacing w:after="120" w:line="240" w:lineRule="auto"/>
        <w:jc w:val="both"/>
        <w:rPr>
          <w:sz w:val="24"/>
          <w:szCs w:val="24"/>
        </w:rPr>
      </w:pPr>
    </w:p>
    <w:p w14:paraId="0C717DB0" w14:textId="77777777" w:rsidR="00153C65" w:rsidRPr="003C7CB1" w:rsidRDefault="00153C65" w:rsidP="00E372B9">
      <w:pPr>
        <w:spacing w:after="120" w:line="240" w:lineRule="auto"/>
        <w:jc w:val="both"/>
        <w:rPr>
          <w:sz w:val="24"/>
          <w:szCs w:val="24"/>
        </w:rPr>
      </w:pPr>
    </w:p>
    <w:p w14:paraId="14421D7B" w14:textId="1F8DD432" w:rsidR="001C6A94" w:rsidRPr="003C7CB1" w:rsidRDefault="003A0238" w:rsidP="00B04396">
      <w:pPr>
        <w:spacing w:after="120" w:line="240" w:lineRule="auto"/>
        <w:contextualSpacing/>
        <w:jc w:val="center"/>
        <w:rPr>
          <w:rFonts w:eastAsiaTheme="majorEastAsia" w:cstheme="majorBidi"/>
          <w:b/>
        </w:rPr>
      </w:pPr>
      <w:r w:rsidRPr="003C7CB1">
        <w:rPr>
          <w:rFonts w:eastAsiaTheme="majorEastAsia" w:cstheme="majorBidi"/>
          <w:b/>
        </w:rPr>
        <w:t>Table No. 15 - Model of growth of accommodation capacities of Montenegro until 2025</w:t>
      </w:r>
    </w:p>
    <w:p w14:paraId="31A6941F" w14:textId="77777777" w:rsidR="008F7D0F" w:rsidRPr="003C7CB1" w:rsidRDefault="008F7D0F" w:rsidP="00B04396">
      <w:pPr>
        <w:spacing w:after="120" w:line="240" w:lineRule="auto"/>
        <w:contextualSpacing/>
        <w:jc w:val="center"/>
        <w:rPr>
          <w:rFonts w:eastAsiaTheme="majorEastAsia" w:cstheme="majorBidi"/>
          <w:b/>
        </w:rPr>
      </w:pPr>
    </w:p>
    <w:tbl>
      <w:tblPr>
        <w:tblW w:w="9607" w:type="dxa"/>
        <w:jc w:val="center"/>
        <w:tblLook w:val="04A0" w:firstRow="1" w:lastRow="0" w:firstColumn="1" w:lastColumn="0" w:noHBand="0" w:noVBand="1"/>
      </w:tblPr>
      <w:tblGrid>
        <w:gridCol w:w="1585"/>
        <w:gridCol w:w="1246"/>
        <w:gridCol w:w="816"/>
        <w:gridCol w:w="1246"/>
        <w:gridCol w:w="816"/>
        <w:gridCol w:w="1167"/>
        <w:gridCol w:w="1246"/>
        <w:gridCol w:w="822"/>
        <w:gridCol w:w="1167"/>
      </w:tblGrid>
      <w:tr w:rsidR="00E0203A" w:rsidRPr="003C7CB1" w14:paraId="6ADD4CEA" w14:textId="77777777" w:rsidTr="00383257">
        <w:trPr>
          <w:trHeight w:val="547"/>
          <w:jc w:val="center"/>
        </w:trPr>
        <w:tc>
          <w:tcPr>
            <w:tcW w:w="1081" w:type="dxa"/>
            <w:vMerge w:val="restart"/>
            <w:tcBorders>
              <w:top w:val="single" w:sz="4" w:space="0" w:color="auto"/>
              <w:left w:val="single" w:sz="4" w:space="0" w:color="auto"/>
              <w:bottom w:val="single" w:sz="4" w:space="0" w:color="auto"/>
              <w:right w:val="single" w:sz="4" w:space="0" w:color="auto"/>
            </w:tcBorders>
            <w:shd w:val="clear" w:color="000000" w:fill="D9E1F2"/>
            <w:vAlign w:val="bottom"/>
            <w:hideMark/>
          </w:tcPr>
          <w:p w14:paraId="4771A22B" w14:textId="7F056618" w:rsidR="00E0203A" w:rsidRPr="003C7CB1" w:rsidRDefault="003A0238" w:rsidP="003A0238">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Accommodation capacities</w:t>
            </w:r>
          </w:p>
        </w:tc>
        <w:tc>
          <w:tcPr>
            <w:tcW w:w="2062" w:type="dxa"/>
            <w:gridSpan w:val="2"/>
            <w:tcBorders>
              <w:top w:val="single" w:sz="4" w:space="0" w:color="auto"/>
              <w:left w:val="nil"/>
              <w:bottom w:val="single" w:sz="4" w:space="0" w:color="auto"/>
              <w:right w:val="single" w:sz="4" w:space="0" w:color="auto"/>
            </w:tcBorders>
            <w:shd w:val="clear" w:color="000000" w:fill="D9E1F2"/>
            <w:noWrap/>
            <w:vAlign w:val="center"/>
            <w:hideMark/>
          </w:tcPr>
          <w:p w14:paraId="6D672515" w14:textId="406F21BF" w:rsidR="00E0203A" w:rsidRPr="003C7CB1" w:rsidRDefault="00E0203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2011</w:t>
            </w:r>
          </w:p>
        </w:tc>
        <w:tc>
          <w:tcPr>
            <w:tcW w:w="2062" w:type="dxa"/>
            <w:gridSpan w:val="2"/>
            <w:tcBorders>
              <w:top w:val="single" w:sz="4" w:space="0" w:color="auto"/>
              <w:left w:val="nil"/>
              <w:bottom w:val="single" w:sz="4" w:space="0" w:color="auto"/>
              <w:right w:val="single" w:sz="4" w:space="0" w:color="auto"/>
            </w:tcBorders>
            <w:shd w:val="clear" w:color="000000" w:fill="D9E1F2"/>
            <w:vAlign w:val="center"/>
            <w:hideMark/>
          </w:tcPr>
          <w:p w14:paraId="29069230" w14:textId="6D65F49C" w:rsidR="00E0203A" w:rsidRPr="003C7CB1" w:rsidRDefault="00E0203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2019</w:t>
            </w:r>
          </w:p>
        </w:tc>
        <w:tc>
          <w:tcPr>
            <w:tcW w:w="1167"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C230324" w14:textId="45C476BD" w:rsidR="00E0203A" w:rsidRPr="003C7CB1" w:rsidRDefault="003A0238"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Average annual growth rate 2019/2011.</w:t>
            </w:r>
          </w:p>
        </w:tc>
        <w:tc>
          <w:tcPr>
            <w:tcW w:w="2068" w:type="dxa"/>
            <w:gridSpan w:val="2"/>
            <w:tcBorders>
              <w:top w:val="single" w:sz="4" w:space="0" w:color="auto"/>
              <w:left w:val="nil"/>
              <w:bottom w:val="single" w:sz="4" w:space="0" w:color="auto"/>
              <w:right w:val="single" w:sz="4" w:space="0" w:color="auto"/>
            </w:tcBorders>
            <w:shd w:val="clear" w:color="000000" w:fill="D9E1F2"/>
            <w:vAlign w:val="center"/>
            <w:hideMark/>
          </w:tcPr>
          <w:p w14:paraId="663C75C2" w14:textId="7EF0DBFA" w:rsidR="00E0203A" w:rsidRPr="003C7CB1" w:rsidRDefault="00236F25"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2025</w:t>
            </w:r>
          </w:p>
        </w:tc>
        <w:tc>
          <w:tcPr>
            <w:tcW w:w="1167"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387E9315" w14:textId="07343C3B" w:rsidR="00E0203A" w:rsidRPr="003C7CB1" w:rsidRDefault="003A0238"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Average annual growth rate 2019/2025.</w:t>
            </w:r>
          </w:p>
        </w:tc>
      </w:tr>
      <w:tr w:rsidR="003C4230" w:rsidRPr="003C7CB1" w14:paraId="22A4906B" w14:textId="77777777" w:rsidTr="00383257">
        <w:trPr>
          <w:trHeight w:val="325"/>
          <w:jc w:val="center"/>
        </w:trPr>
        <w:tc>
          <w:tcPr>
            <w:tcW w:w="1081" w:type="dxa"/>
            <w:vMerge/>
            <w:tcBorders>
              <w:top w:val="single" w:sz="4" w:space="0" w:color="auto"/>
              <w:left w:val="single" w:sz="4" w:space="0" w:color="auto"/>
              <w:bottom w:val="single" w:sz="4" w:space="0" w:color="auto"/>
              <w:right w:val="single" w:sz="4" w:space="0" w:color="auto"/>
            </w:tcBorders>
            <w:vAlign w:val="center"/>
            <w:hideMark/>
          </w:tcPr>
          <w:p w14:paraId="46DCA75E" w14:textId="77777777" w:rsidR="00E0203A" w:rsidRPr="003C7CB1" w:rsidRDefault="00E0203A" w:rsidP="00E372B9">
            <w:pPr>
              <w:spacing w:after="120" w:line="240" w:lineRule="auto"/>
              <w:rPr>
                <w:rFonts w:eastAsia="Times New Roman" w:cs="Times New Roman"/>
                <w:b/>
                <w:bCs/>
                <w:color w:val="000000"/>
                <w:sz w:val="20"/>
                <w:szCs w:val="20"/>
              </w:rPr>
            </w:pPr>
          </w:p>
        </w:tc>
        <w:tc>
          <w:tcPr>
            <w:tcW w:w="1246" w:type="dxa"/>
            <w:tcBorders>
              <w:top w:val="nil"/>
              <w:left w:val="nil"/>
              <w:bottom w:val="single" w:sz="4" w:space="0" w:color="auto"/>
              <w:right w:val="single" w:sz="4" w:space="0" w:color="auto"/>
            </w:tcBorders>
            <w:shd w:val="clear" w:color="000000" w:fill="D9E1F2"/>
            <w:noWrap/>
            <w:vAlign w:val="bottom"/>
            <w:hideMark/>
          </w:tcPr>
          <w:p w14:paraId="14D206AD" w14:textId="320CC8EC" w:rsidR="00205C88" w:rsidRPr="003C7CB1" w:rsidRDefault="003A0238" w:rsidP="002A1165">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Capacity (number of beds)</w:t>
            </w:r>
          </w:p>
        </w:tc>
        <w:tc>
          <w:tcPr>
            <w:tcW w:w="816" w:type="dxa"/>
            <w:tcBorders>
              <w:top w:val="nil"/>
              <w:left w:val="nil"/>
              <w:bottom w:val="single" w:sz="4" w:space="0" w:color="auto"/>
              <w:right w:val="single" w:sz="4" w:space="0" w:color="auto"/>
            </w:tcBorders>
            <w:shd w:val="clear" w:color="000000" w:fill="D9E1F2"/>
            <w:noWrap/>
            <w:vAlign w:val="bottom"/>
            <w:hideMark/>
          </w:tcPr>
          <w:p w14:paraId="5F3875C8" w14:textId="33B7E53E" w:rsidR="003A0238" w:rsidRPr="003C7CB1" w:rsidRDefault="003A0238" w:rsidP="002A1165">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Partici</w:t>
            </w:r>
            <w:proofErr w:type="spellEnd"/>
          </w:p>
          <w:p w14:paraId="5856C7BB" w14:textId="67E1DF17" w:rsidR="00E0203A" w:rsidRPr="003C7CB1" w:rsidRDefault="003A0238" w:rsidP="002A1165">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pation</w:t>
            </w:r>
            <w:proofErr w:type="spellEnd"/>
          </w:p>
        </w:tc>
        <w:tc>
          <w:tcPr>
            <w:tcW w:w="1246" w:type="dxa"/>
            <w:tcBorders>
              <w:top w:val="nil"/>
              <w:left w:val="nil"/>
              <w:bottom w:val="single" w:sz="4" w:space="0" w:color="auto"/>
              <w:right w:val="single" w:sz="4" w:space="0" w:color="auto"/>
            </w:tcBorders>
            <w:shd w:val="clear" w:color="000000" w:fill="D9E1F2"/>
            <w:noWrap/>
            <w:vAlign w:val="bottom"/>
            <w:hideMark/>
          </w:tcPr>
          <w:p w14:paraId="6F086CA9" w14:textId="78B3E9F9" w:rsidR="00205C88" w:rsidRPr="003C7CB1" w:rsidRDefault="003A0238" w:rsidP="002A1165">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Capacity (number of beds)</w:t>
            </w:r>
          </w:p>
        </w:tc>
        <w:tc>
          <w:tcPr>
            <w:tcW w:w="816" w:type="dxa"/>
            <w:tcBorders>
              <w:top w:val="nil"/>
              <w:left w:val="nil"/>
              <w:bottom w:val="single" w:sz="4" w:space="0" w:color="auto"/>
              <w:right w:val="single" w:sz="4" w:space="0" w:color="auto"/>
            </w:tcBorders>
            <w:shd w:val="clear" w:color="000000" w:fill="D9E1F2"/>
            <w:noWrap/>
            <w:vAlign w:val="bottom"/>
            <w:hideMark/>
          </w:tcPr>
          <w:p w14:paraId="2BB85225" w14:textId="77777777" w:rsidR="003A0238" w:rsidRPr="003C7CB1" w:rsidRDefault="003A0238" w:rsidP="003A0238">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Partici</w:t>
            </w:r>
            <w:proofErr w:type="spellEnd"/>
          </w:p>
          <w:p w14:paraId="313D8961" w14:textId="59340EAF" w:rsidR="00E0203A" w:rsidRPr="003C7CB1" w:rsidRDefault="003A0238" w:rsidP="003A0238">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pation</w:t>
            </w:r>
            <w:proofErr w:type="spellEnd"/>
          </w:p>
        </w:tc>
        <w:tc>
          <w:tcPr>
            <w:tcW w:w="1167" w:type="dxa"/>
            <w:vMerge/>
            <w:tcBorders>
              <w:top w:val="single" w:sz="4" w:space="0" w:color="auto"/>
              <w:left w:val="single" w:sz="4" w:space="0" w:color="auto"/>
              <w:bottom w:val="single" w:sz="4" w:space="0" w:color="auto"/>
              <w:right w:val="single" w:sz="4" w:space="0" w:color="auto"/>
            </w:tcBorders>
            <w:vAlign w:val="center"/>
            <w:hideMark/>
          </w:tcPr>
          <w:p w14:paraId="20CC1CFD" w14:textId="77777777" w:rsidR="00E0203A" w:rsidRPr="003C7CB1" w:rsidRDefault="00E0203A" w:rsidP="002A1165">
            <w:pPr>
              <w:spacing w:after="120" w:line="240" w:lineRule="auto"/>
              <w:jc w:val="center"/>
              <w:rPr>
                <w:rFonts w:eastAsia="Times New Roman" w:cs="Times New Roman"/>
                <w:b/>
                <w:bCs/>
                <w:color w:val="000000"/>
                <w:sz w:val="20"/>
                <w:szCs w:val="20"/>
              </w:rPr>
            </w:pPr>
          </w:p>
        </w:tc>
        <w:tc>
          <w:tcPr>
            <w:tcW w:w="1246" w:type="dxa"/>
            <w:tcBorders>
              <w:top w:val="nil"/>
              <w:left w:val="nil"/>
              <w:bottom w:val="single" w:sz="4" w:space="0" w:color="auto"/>
              <w:right w:val="single" w:sz="4" w:space="0" w:color="auto"/>
            </w:tcBorders>
            <w:shd w:val="clear" w:color="000000" w:fill="D9E1F2"/>
            <w:noWrap/>
            <w:vAlign w:val="bottom"/>
            <w:hideMark/>
          </w:tcPr>
          <w:p w14:paraId="5180EC14" w14:textId="0DBD498F" w:rsidR="00E0203A" w:rsidRPr="003C7CB1" w:rsidRDefault="003A0238" w:rsidP="002A1165">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Capacity (number of beds)</w:t>
            </w:r>
          </w:p>
        </w:tc>
        <w:tc>
          <w:tcPr>
            <w:tcW w:w="822" w:type="dxa"/>
            <w:tcBorders>
              <w:top w:val="nil"/>
              <w:left w:val="nil"/>
              <w:bottom w:val="single" w:sz="4" w:space="0" w:color="auto"/>
              <w:right w:val="single" w:sz="4" w:space="0" w:color="auto"/>
            </w:tcBorders>
            <w:shd w:val="clear" w:color="000000" w:fill="D9E1F2"/>
            <w:noWrap/>
            <w:vAlign w:val="bottom"/>
            <w:hideMark/>
          </w:tcPr>
          <w:p w14:paraId="58C9A992" w14:textId="77777777" w:rsidR="003A0238" w:rsidRPr="003C7CB1" w:rsidRDefault="003A0238" w:rsidP="003A0238">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Partici</w:t>
            </w:r>
            <w:proofErr w:type="spellEnd"/>
          </w:p>
          <w:p w14:paraId="59ED90C2" w14:textId="4B7B26FF" w:rsidR="00E0203A" w:rsidRPr="003C7CB1" w:rsidRDefault="003A0238" w:rsidP="003A0238">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pation</w:t>
            </w:r>
            <w:proofErr w:type="spellEnd"/>
          </w:p>
        </w:tc>
        <w:tc>
          <w:tcPr>
            <w:tcW w:w="1167" w:type="dxa"/>
            <w:vMerge/>
            <w:tcBorders>
              <w:top w:val="nil"/>
              <w:left w:val="single" w:sz="4" w:space="0" w:color="auto"/>
              <w:bottom w:val="single" w:sz="4" w:space="0" w:color="auto"/>
              <w:right w:val="single" w:sz="4" w:space="0" w:color="auto"/>
            </w:tcBorders>
            <w:vAlign w:val="center"/>
            <w:hideMark/>
          </w:tcPr>
          <w:p w14:paraId="09D745FC" w14:textId="77777777" w:rsidR="00E0203A" w:rsidRPr="003C7CB1" w:rsidRDefault="00E0203A" w:rsidP="00E372B9">
            <w:pPr>
              <w:spacing w:after="120" w:line="240" w:lineRule="auto"/>
              <w:rPr>
                <w:rFonts w:eastAsia="Times New Roman" w:cs="Times New Roman"/>
                <w:b/>
                <w:bCs/>
                <w:color w:val="000000"/>
                <w:sz w:val="20"/>
                <w:szCs w:val="20"/>
              </w:rPr>
            </w:pPr>
          </w:p>
        </w:tc>
      </w:tr>
      <w:tr w:rsidR="003C4230" w:rsidRPr="003C7CB1" w14:paraId="7343B7FC"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5115F" w14:textId="21B1C976" w:rsidR="00E0203A" w:rsidRPr="003C7CB1" w:rsidRDefault="003A0238"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Hotels and similar facilities</w:t>
            </w:r>
          </w:p>
        </w:tc>
        <w:tc>
          <w:tcPr>
            <w:tcW w:w="1246" w:type="dxa"/>
            <w:tcBorders>
              <w:top w:val="nil"/>
              <w:left w:val="nil"/>
              <w:bottom w:val="single" w:sz="4" w:space="0" w:color="auto"/>
              <w:right w:val="single" w:sz="4" w:space="0" w:color="auto"/>
            </w:tcBorders>
            <w:shd w:val="clear" w:color="auto" w:fill="auto"/>
            <w:noWrap/>
            <w:vAlign w:val="bottom"/>
            <w:hideMark/>
          </w:tcPr>
          <w:p w14:paraId="5AB81B56" w14:textId="739F97E0"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306</w:t>
            </w:r>
          </w:p>
        </w:tc>
        <w:tc>
          <w:tcPr>
            <w:tcW w:w="816" w:type="dxa"/>
            <w:tcBorders>
              <w:top w:val="nil"/>
              <w:left w:val="nil"/>
              <w:bottom w:val="single" w:sz="4" w:space="0" w:color="auto"/>
              <w:right w:val="single" w:sz="4" w:space="0" w:color="auto"/>
            </w:tcBorders>
            <w:shd w:val="clear" w:color="auto" w:fill="auto"/>
            <w:noWrap/>
            <w:vAlign w:val="bottom"/>
            <w:hideMark/>
          </w:tcPr>
          <w:p w14:paraId="63FDAA6D" w14:textId="66DC9A3B"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23</w:t>
            </w:r>
            <w:r w:rsidR="00D44728" w:rsidRPr="003C7CB1">
              <w:rPr>
                <w:rFonts w:eastAsia="Times New Roman" w:cs="Times New Roman"/>
                <w:color w:val="000000"/>
                <w:sz w:val="20"/>
                <w:szCs w:val="20"/>
              </w:rPr>
              <w:t>,</w:t>
            </w:r>
            <w:r w:rsidRPr="003C7CB1">
              <w:rPr>
                <w:rFonts w:eastAsia="Times New Roman" w:cs="Times New Roman"/>
                <w:color w:val="000000"/>
                <w:sz w:val="20"/>
                <w:szCs w:val="20"/>
              </w:rPr>
              <w:t>02%</w:t>
            </w:r>
          </w:p>
        </w:tc>
        <w:tc>
          <w:tcPr>
            <w:tcW w:w="1246" w:type="dxa"/>
            <w:tcBorders>
              <w:top w:val="nil"/>
              <w:left w:val="nil"/>
              <w:bottom w:val="single" w:sz="4" w:space="0" w:color="auto"/>
              <w:right w:val="single" w:sz="4" w:space="0" w:color="auto"/>
            </w:tcBorders>
            <w:shd w:val="clear" w:color="auto" w:fill="auto"/>
            <w:noWrap/>
            <w:vAlign w:val="bottom"/>
            <w:hideMark/>
          </w:tcPr>
          <w:p w14:paraId="157FFEED" w14:textId="21D7FCA2"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40</w:t>
            </w:r>
            <w:r w:rsidR="00D44728" w:rsidRPr="003C7CB1">
              <w:rPr>
                <w:rFonts w:eastAsia="Times New Roman" w:cs="Times New Roman"/>
                <w:color w:val="000000"/>
                <w:sz w:val="20"/>
                <w:szCs w:val="20"/>
              </w:rPr>
              <w:t>.</w:t>
            </w:r>
            <w:r w:rsidRPr="003C7CB1">
              <w:rPr>
                <w:rFonts w:eastAsia="Times New Roman" w:cs="Times New Roman"/>
                <w:color w:val="000000"/>
                <w:sz w:val="20"/>
                <w:szCs w:val="20"/>
              </w:rPr>
              <w:t>814</w:t>
            </w:r>
          </w:p>
        </w:tc>
        <w:tc>
          <w:tcPr>
            <w:tcW w:w="816" w:type="dxa"/>
            <w:tcBorders>
              <w:top w:val="nil"/>
              <w:left w:val="nil"/>
              <w:bottom w:val="single" w:sz="4" w:space="0" w:color="auto"/>
              <w:right w:val="single" w:sz="4" w:space="0" w:color="auto"/>
            </w:tcBorders>
            <w:shd w:val="clear" w:color="auto" w:fill="auto"/>
            <w:noWrap/>
            <w:vAlign w:val="bottom"/>
            <w:hideMark/>
          </w:tcPr>
          <w:p w14:paraId="6A639014" w14:textId="55068E25"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23</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167" w:type="dxa"/>
            <w:tcBorders>
              <w:top w:val="nil"/>
              <w:left w:val="nil"/>
              <w:bottom w:val="single" w:sz="4" w:space="0" w:color="auto"/>
              <w:right w:val="single" w:sz="4" w:space="0" w:color="auto"/>
            </w:tcBorders>
            <w:shd w:val="clear" w:color="auto" w:fill="auto"/>
            <w:noWrap/>
            <w:vAlign w:val="bottom"/>
            <w:hideMark/>
          </w:tcPr>
          <w:p w14:paraId="089B4222" w14:textId="00560745"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8%</w:t>
            </w:r>
          </w:p>
        </w:tc>
        <w:tc>
          <w:tcPr>
            <w:tcW w:w="1246" w:type="dxa"/>
            <w:tcBorders>
              <w:top w:val="nil"/>
              <w:left w:val="nil"/>
              <w:bottom w:val="single" w:sz="4" w:space="0" w:color="auto"/>
              <w:right w:val="single" w:sz="4" w:space="0" w:color="auto"/>
            </w:tcBorders>
            <w:shd w:val="clear" w:color="auto" w:fill="auto"/>
            <w:noWrap/>
            <w:vAlign w:val="bottom"/>
            <w:hideMark/>
          </w:tcPr>
          <w:p w14:paraId="4744D749" w14:textId="39EE3D0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52</w:t>
            </w:r>
            <w:r w:rsidR="00BE57D7" w:rsidRPr="003C7CB1">
              <w:rPr>
                <w:rFonts w:eastAsia="Times New Roman" w:cs="Times New Roman"/>
                <w:color w:val="000000"/>
                <w:sz w:val="20"/>
                <w:szCs w:val="20"/>
              </w:rPr>
              <w:t>.</w:t>
            </w:r>
            <w:r w:rsidRPr="003C7CB1">
              <w:rPr>
                <w:rFonts w:eastAsia="Times New Roman" w:cs="Times New Roman"/>
                <w:color w:val="000000"/>
                <w:sz w:val="20"/>
                <w:szCs w:val="20"/>
              </w:rPr>
              <w:t>200</w:t>
            </w:r>
          </w:p>
        </w:tc>
        <w:tc>
          <w:tcPr>
            <w:tcW w:w="822" w:type="dxa"/>
            <w:tcBorders>
              <w:top w:val="nil"/>
              <w:left w:val="nil"/>
              <w:bottom w:val="single" w:sz="4" w:space="0" w:color="auto"/>
              <w:right w:val="single" w:sz="4" w:space="0" w:color="auto"/>
            </w:tcBorders>
            <w:shd w:val="clear" w:color="auto" w:fill="auto"/>
            <w:noWrap/>
            <w:vAlign w:val="bottom"/>
            <w:hideMark/>
          </w:tcPr>
          <w:p w14:paraId="3703E98E" w14:textId="7AA80463"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26</w:t>
            </w:r>
            <w:r w:rsidR="00BE57D7"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2C23C4DA" w14:textId="0810AA55" w:rsidR="00E0203A" w:rsidRPr="003C7CB1" w:rsidRDefault="00E52DD4"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 xml:space="preserve">   </w:t>
            </w:r>
            <w:r w:rsidR="00E0203A" w:rsidRPr="003C7CB1">
              <w:rPr>
                <w:rFonts w:eastAsia="Times New Roman" w:cs="Times New Roman"/>
                <w:color w:val="000000"/>
                <w:sz w:val="20"/>
                <w:szCs w:val="20"/>
              </w:rPr>
              <w:t>4</w:t>
            </w:r>
            <w:r w:rsidR="00BE57D7" w:rsidRPr="003C7CB1">
              <w:rPr>
                <w:rFonts w:eastAsia="Times New Roman" w:cs="Times New Roman"/>
                <w:color w:val="000000"/>
                <w:sz w:val="20"/>
                <w:szCs w:val="20"/>
              </w:rPr>
              <w:t>,</w:t>
            </w:r>
            <w:r w:rsidR="00E0203A" w:rsidRPr="003C7CB1">
              <w:rPr>
                <w:rFonts w:eastAsia="Times New Roman" w:cs="Times New Roman"/>
                <w:color w:val="000000"/>
                <w:sz w:val="20"/>
                <w:szCs w:val="20"/>
              </w:rPr>
              <w:t>2%</w:t>
            </w:r>
          </w:p>
        </w:tc>
      </w:tr>
      <w:tr w:rsidR="003C4230" w:rsidRPr="003C7CB1" w14:paraId="1396DC72"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621C1" w14:textId="77777777" w:rsidR="00E0203A" w:rsidRPr="003C7CB1" w:rsidRDefault="00E0203A"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5</w:t>
            </w:r>
            <w:r w:rsidR="00EB6A52" w:rsidRPr="003C7CB1">
              <w:rPr>
                <w:rFonts w:eastAsia="Times New Roman" w:cs="Times New Roman"/>
                <w:b/>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0879AF7A" w14:textId="27485651"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310</w:t>
            </w:r>
          </w:p>
        </w:tc>
        <w:tc>
          <w:tcPr>
            <w:tcW w:w="816" w:type="dxa"/>
            <w:tcBorders>
              <w:top w:val="nil"/>
              <w:left w:val="nil"/>
              <w:bottom w:val="single" w:sz="4" w:space="0" w:color="auto"/>
              <w:right w:val="single" w:sz="4" w:space="0" w:color="auto"/>
            </w:tcBorders>
            <w:shd w:val="clear" w:color="auto" w:fill="auto"/>
            <w:noWrap/>
            <w:vAlign w:val="bottom"/>
            <w:hideMark/>
          </w:tcPr>
          <w:p w14:paraId="3F4D7DF0" w14:textId="35BD3135"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D44728" w:rsidRPr="003C7CB1">
              <w:rPr>
                <w:rFonts w:eastAsia="Times New Roman" w:cs="Times New Roman"/>
                <w:color w:val="000000"/>
                <w:sz w:val="20"/>
                <w:szCs w:val="20"/>
              </w:rPr>
              <w:t>,</w:t>
            </w:r>
            <w:r w:rsidRPr="003C7CB1">
              <w:rPr>
                <w:rFonts w:eastAsia="Times New Roman" w:cs="Times New Roman"/>
                <w:color w:val="000000"/>
                <w:sz w:val="20"/>
                <w:szCs w:val="20"/>
              </w:rPr>
              <w:t>9%</w:t>
            </w:r>
          </w:p>
        </w:tc>
        <w:tc>
          <w:tcPr>
            <w:tcW w:w="1246" w:type="dxa"/>
            <w:tcBorders>
              <w:top w:val="nil"/>
              <w:left w:val="nil"/>
              <w:bottom w:val="single" w:sz="4" w:space="0" w:color="auto"/>
              <w:right w:val="single" w:sz="4" w:space="0" w:color="auto"/>
            </w:tcBorders>
            <w:shd w:val="clear" w:color="auto" w:fill="auto"/>
            <w:noWrap/>
            <w:vAlign w:val="bottom"/>
            <w:hideMark/>
          </w:tcPr>
          <w:p w14:paraId="1AE536E2" w14:textId="005EF507"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D44728" w:rsidRPr="003C7CB1">
              <w:rPr>
                <w:rFonts w:eastAsia="Times New Roman" w:cs="Times New Roman"/>
                <w:color w:val="000000"/>
                <w:sz w:val="20"/>
                <w:szCs w:val="20"/>
              </w:rPr>
              <w:t>.</w:t>
            </w:r>
            <w:r w:rsidRPr="003C7CB1">
              <w:rPr>
                <w:rFonts w:eastAsia="Times New Roman" w:cs="Times New Roman"/>
                <w:color w:val="000000"/>
                <w:sz w:val="20"/>
                <w:szCs w:val="20"/>
              </w:rPr>
              <w:t>862</w:t>
            </w:r>
          </w:p>
        </w:tc>
        <w:tc>
          <w:tcPr>
            <w:tcW w:w="816" w:type="dxa"/>
            <w:tcBorders>
              <w:top w:val="nil"/>
              <w:left w:val="nil"/>
              <w:bottom w:val="single" w:sz="4" w:space="0" w:color="auto"/>
              <w:right w:val="single" w:sz="4" w:space="0" w:color="auto"/>
            </w:tcBorders>
            <w:shd w:val="clear" w:color="auto" w:fill="auto"/>
            <w:noWrap/>
            <w:vAlign w:val="bottom"/>
            <w:hideMark/>
          </w:tcPr>
          <w:p w14:paraId="667735A5" w14:textId="35A057C3"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167" w:type="dxa"/>
            <w:tcBorders>
              <w:top w:val="nil"/>
              <w:left w:val="nil"/>
              <w:bottom w:val="single" w:sz="4" w:space="0" w:color="auto"/>
              <w:right w:val="single" w:sz="4" w:space="0" w:color="auto"/>
            </w:tcBorders>
            <w:shd w:val="clear" w:color="auto" w:fill="auto"/>
            <w:noWrap/>
            <w:vAlign w:val="bottom"/>
            <w:hideMark/>
          </w:tcPr>
          <w:p w14:paraId="0651E7F7" w14:textId="5FEECD6F"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10</w:t>
            </w:r>
            <w:r w:rsidR="00BE57D7" w:rsidRPr="003C7CB1">
              <w:rPr>
                <w:rFonts w:eastAsia="Times New Roman" w:cs="Times New Roman"/>
                <w:color w:val="000000"/>
                <w:sz w:val="20"/>
                <w:szCs w:val="20"/>
              </w:rPr>
              <w:t>,</w:t>
            </w:r>
            <w:r w:rsidRPr="003C7CB1">
              <w:rPr>
                <w:rFonts w:eastAsia="Times New Roman" w:cs="Times New Roman"/>
                <w:color w:val="000000"/>
                <w:sz w:val="20"/>
                <w:szCs w:val="20"/>
              </w:rPr>
              <w:t>3%</w:t>
            </w:r>
          </w:p>
        </w:tc>
        <w:tc>
          <w:tcPr>
            <w:tcW w:w="1246" w:type="dxa"/>
            <w:tcBorders>
              <w:top w:val="nil"/>
              <w:left w:val="nil"/>
              <w:bottom w:val="single" w:sz="4" w:space="0" w:color="auto"/>
              <w:right w:val="single" w:sz="4" w:space="0" w:color="auto"/>
            </w:tcBorders>
            <w:shd w:val="clear" w:color="auto" w:fill="auto"/>
            <w:noWrap/>
            <w:vAlign w:val="bottom"/>
            <w:hideMark/>
          </w:tcPr>
          <w:p w14:paraId="0F3CAD39" w14:textId="7EFC1F5E"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6</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000</w:t>
            </w:r>
          </w:p>
        </w:tc>
        <w:tc>
          <w:tcPr>
            <w:tcW w:w="822" w:type="dxa"/>
            <w:tcBorders>
              <w:top w:val="nil"/>
              <w:left w:val="nil"/>
              <w:bottom w:val="single" w:sz="4" w:space="0" w:color="auto"/>
              <w:right w:val="single" w:sz="4" w:space="0" w:color="auto"/>
            </w:tcBorders>
            <w:shd w:val="clear" w:color="auto" w:fill="auto"/>
            <w:noWrap/>
            <w:vAlign w:val="bottom"/>
            <w:hideMark/>
          </w:tcPr>
          <w:p w14:paraId="25CE29EB" w14:textId="6C7112BE"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BE57D7" w:rsidRPr="003C7CB1">
              <w:rPr>
                <w:rFonts w:eastAsia="Times New Roman" w:cs="Times New Roman"/>
                <w:color w:val="000000"/>
                <w:sz w:val="20"/>
                <w:szCs w:val="20"/>
              </w:rPr>
              <w:t>,</w:t>
            </w:r>
            <w:r w:rsidRPr="003C7CB1">
              <w:rPr>
                <w:rFonts w:eastAsia="Times New Roman" w:cs="Times New Roman"/>
                <w:color w:val="000000"/>
                <w:sz w:val="20"/>
                <w:szCs w:val="20"/>
              </w:rPr>
              <w:t>1%</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712AD769" w14:textId="6B7DCCFC" w:rsidR="00E0203A" w:rsidRPr="003C7CB1" w:rsidRDefault="00E52DD4"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 xml:space="preserve"> </w:t>
            </w:r>
            <w:r w:rsidR="00E0203A" w:rsidRPr="003C7CB1">
              <w:rPr>
                <w:rFonts w:eastAsia="Times New Roman" w:cs="Times New Roman"/>
                <w:color w:val="000000"/>
                <w:sz w:val="20"/>
                <w:szCs w:val="20"/>
              </w:rPr>
              <w:t>13</w:t>
            </w:r>
            <w:r w:rsidR="00BE57D7" w:rsidRPr="003C7CB1">
              <w:rPr>
                <w:rFonts w:eastAsia="Times New Roman" w:cs="Times New Roman"/>
                <w:color w:val="000000"/>
                <w:sz w:val="20"/>
                <w:szCs w:val="20"/>
              </w:rPr>
              <w:t>,</w:t>
            </w:r>
            <w:r w:rsidR="00E0203A" w:rsidRPr="003C7CB1">
              <w:rPr>
                <w:rFonts w:eastAsia="Times New Roman" w:cs="Times New Roman"/>
                <w:color w:val="000000"/>
                <w:sz w:val="20"/>
                <w:szCs w:val="20"/>
              </w:rPr>
              <w:t>1%</w:t>
            </w:r>
          </w:p>
        </w:tc>
      </w:tr>
      <w:tr w:rsidR="003C4230" w:rsidRPr="003C7CB1" w14:paraId="122194AF"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3BA49" w14:textId="77777777" w:rsidR="00E0203A" w:rsidRPr="003C7CB1" w:rsidRDefault="00E0203A"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4</w:t>
            </w:r>
            <w:r w:rsidR="00EB6A52" w:rsidRPr="003C7CB1">
              <w:rPr>
                <w:rFonts w:eastAsia="Times New Roman" w:cs="Times New Roman"/>
                <w:b/>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475E5730" w14:textId="1D24229E"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8</w:t>
            </w:r>
            <w:r w:rsidR="00D44728" w:rsidRPr="003C7CB1">
              <w:rPr>
                <w:rFonts w:eastAsia="Times New Roman" w:cs="Times New Roman"/>
                <w:color w:val="000000"/>
                <w:sz w:val="20"/>
                <w:szCs w:val="20"/>
              </w:rPr>
              <w:t>.</w:t>
            </w:r>
            <w:r w:rsidRPr="003C7CB1">
              <w:rPr>
                <w:rFonts w:eastAsia="Times New Roman" w:cs="Times New Roman"/>
                <w:color w:val="000000"/>
                <w:sz w:val="20"/>
                <w:szCs w:val="20"/>
              </w:rPr>
              <w:t>432</w:t>
            </w:r>
          </w:p>
        </w:tc>
        <w:tc>
          <w:tcPr>
            <w:tcW w:w="816" w:type="dxa"/>
            <w:tcBorders>
              <w:top w:val="nil"/>
              <w:left w:val="nil"/>
              <w:bottom w:val="single" w:sz="4" w:space="0" w:color="auto"/>
              <w:right w:val="single" w:sz="4" w:space="0" w:color="auto"/>
            </w:tcBorders>
            <w:shd w:val="clear" w:color="auto" w:fill="auto"/>
            <w:noWrap/>
            <w:vAlign w:val="bottom"/>
            <w:hideMark/>
          </w:tcPr>
          <w:p w14:paraId="0943B005" w14:textId="75C63EE5"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50%</w:t>
            </w:r>
          </w:p>
        </w:tc>
        <w:tc>
          <w:tcPr>
            <w:tcW w:w="1246" w:type="dxa"/>
            <w:tcBorders>
              <w:top w:val="nil"/>
              <w:left w:val="nil"/>
              <w:bottom w:val="single" w:sz="4" w:space="0" w:color="auto"/>
              <w:right w:val="single" w:sz="4" w:space="0" w:color="auto"/>
            </w:tcBorders>
            <w:shd w:val="clear" w:color="auto" w:fill="auto"/>
            <w:noWrap/>
            <w:vAlign w:val="bottom"/>
            <w:hideMark/>
          </w:tcPr>
          <w:p w14:paraId="04C472A8" w14:textId="2A1E2CF1"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736</w:t>
            </w:r>
          </w:p>
        </w:tc>
        <w:tc>
          <w:tcPr>
            <w:tcW w:w="816" w:type="dxa"/>
            <w:tcBorders>
              <w:top w:val="nil"/>
              <w:left w:val="nil"/>
              <w:bottom w:val="single" w:sz="4" w:space="0" w:color="auto"/>
              <w:right w:val="single" w:sz="4" w:space="0" w:color="auto"/>
            </w:tcBorders>
            <w:shd w:val="clear" w:color="auto" w:fill="auto"/>
            <w:noWrap/>
            <w:vAlign w:val="bottom"/>
            <w:hideMark/>
          </w:tcPr>
          <w:p w14:paraId="7F6F4B67" w14:textId="1AB3CF79"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12</w:t>
            </w:r>
            <w:r w:rsidR="00D44728" w:rsidRPr="003C7CB1">
              <w:rPr>
                <w:rFonts w:eastAsia="Times New Roman" w:cs="Times New Roman"/>
                <w:color w:val="000000"/>
                <w:sz w:val="20"/>
                <w:szCs w:val="20"/>
              </w:rPr>
              <w:t>,</w:t>
            </w:r>
            <w:r w:rsidRPr="003C7CB1">
              <w:rPr>
                <w:rFonts w:eastAsia="Times New Roman" w:cs="Times New Roman"/>
                <w:color w:val="000000"/>
                <w:sz w:val="20"/>
                <w:szCs w:val="20"/>
              </w:rPr>
              <w:t>63%</w:t>
            </w:r>
          </w:p>
        </w:tc>
        <w:tc>
          <w:tcPr>
            <w:tcW w:w="1167" w:type="dxa"/>
            <w:tcBorders>
              <w:top w:val="nil"/>
              <w:left w:val="nil"/>
              <w:bottom w:val="single" w:sz="4" w:space="0" w:color="auto"/>
              <w:right w:val="single" w:sz="4" w:space="0" w:color="auto"/>
            </w:tcBorders>
            <w:shd w:val="clear" w:color="auto" w:fill="auto"/>
            <w:noWrap/>
            <w:vAlign w:val="bottom"/>
            <w:hideMark/>
          </w:tcPr>
          <w:p w14:paraId="6BACAD58" w14:textId="67F7DEB4"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12</w:t>
            </w:r>
            <w:r w:rsidR="00BE57D7" w:rsidRPr="003C7CB1">
              <w:rPr>
                <w:rFonts w:eastAsia="Times New Roman" w:cs="Times New Roman"/>
                <w:color w:val="000000"/>
                <w:sz w:val="20"/>
                <w:szCs w:val="20"/>
              </w:rPr>
              <w:t>,</w:t>
            </w:r>
            <w:r w:rsidRPr="003C7CB1">
              <w:rPr>
                <w:rFonts w:eastAsia="Times New Roman" w:cs="Times New Roman"/>
                <w:color w:val="000000"/>
                <w:sz w:val="20"/>
                <w:szCs w:val="20"/>
              </w:rPr>
              <w:t>6%</w:t>
            </w:r>
          </w:p>
        </w:tc>
        <w:tc>
          <w:tcPr>
            <w:tcW w:w="1246" w:type="dxa"/>
            <w:tcBorders>
              <w:top w:val="nil"/>
              <w:left w:val="nil"/>
              <w:bottom w:val="single" w:sz="4" w:space="0" w:color="auto"/>
              <w:right w:val="single" w:sz="4" w:space="0" w:color="auto"/>
            </w:tcBorders>
            <w:shd w:val="clear" w:color="auto" w:fill="auto"/>
            <w:noWrap/>
            <w:vAlign w:val="bottom"/>
            <w:hideMark/>
          </w:tcPr>
          <w:p w14:paraId="5A82FDC8" w14:textId="7009EF14"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34</w:t>
            </w:r>
            <w:r w:rsidR="00BE57D7" w:rsidRPr="003C7CB1">
              <w:rPr>
                <w:rFonts w:eastAsia="Times New Roman" w:cs="Times New Roman"/>
                <w:color w:val="000000"/>
                <w:sz w:val="20"/>
                <w:szCs w:val="20"/>
              </w:rPr>
              <w:t>.</w:t>
            </w:r>
            <w:r w:rsidRPr="003C7CB1">
              <w:rPr>
                <w:rFonts w:eastAsia="Times New Roman" w:cs="Times New Roman"/>
                <w:color w:val="000000"/>
                <w:sz w:val="20"/>
                <w:szCs w:val="20"/>
              </w:rPr>
              <w:t>200</w:t>
            </w:r>
          </w:p>
        </w:tc>
        <w:tc>
          <w:tcPr>
            <w:tcW w:w="822" w:type="dxa"/>
            <w:tcBorders>
              <w:top w:val="nil"/>
              <w:left w:val="nil"/>
              <w:bottom w:val="single" w:sz="4" w:space="0" w:color="auto"/>
              <w:right w:val="single" w:sz="4" w:space="0" w:color="auto"/>
            </w:tcBorders>
            <w:shd w:val="clear" w:color="auto" w:fill="auto"/>
            <w:noWrap/>
            <w:vAlign w:val="bottom"/>
            <w:hideMark/>
          </w:tcPr>
          <w:p w14:paraId="6E4EC263" w14:textId="2C75CDAE"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17</w:t>
            </w:r>
            <w:r w:rsidR="00BE57D7" w:rsidRPr="003C7CB1">
              <w:rPr>
                <w:rFonts w:eastAsia="Times New Roman" w:cs="Times New Roman"/>
                <w:color w:val="000000"/>
                <w:sz w:val="20"/>
                <w:szCs w:val="20"/>
              </w:rPr>
              <w:t>,</w:t>
            </w:r>
            <w:r w:rsidRPr="003C7CB1">
              <w:rPr>
                <w:rFonts w:eastAsia="Times New Roman" w:cs="Times New Roman"/>
                <w:color w:val="000000"/>
                <w:sz w:val="20"/>
                <w:szCs w:val="20"/>
              </w:rPr>
              <w:t>5%</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5E843CE9" w14:textId="5FB2DAB9" w:rsidR="00E0203A" w:rsidRPr="003C7CB1" w:rsidRDefault="00E52DD4"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 xml:space="preserve">   </w:t>
            </w:r>
            <w:r w:rsidR="00E0203A" w:rsidRPr="003C7CB1">
              <w:rPr>
                <w:rFonts w:eastAsia="Times New Roman" w:cs="Times New Roman"/>
                <w:color w:val="000000"/>
                <w:sz w:val="20"/>
                <w:szCs w:val="20"/>
              </w:rPr>
              <w:t>7</w:t>
            </w:r>
            <w:r w:rsidR="00BE57D7" w:rsidRPr="003C7CB1">
              <w:rPr>
                <w:rFonts w:eastAsia="Times New Roman" w:cs="Times New Roman"/>
                <w:color w:val="000000"/>
                <w:sz w:val="20"/>
                <w:szCs w:val="20"/>
              </w:rPr>
              <w:t>,</w:t>
            </w:r>
            <w:r w:rsidR="00E0203A" w:rsidRPr="003C7CB1">
              <w:rPr>
                <w:rFonts w:eastAsia="Times New Roman" w:cs="Times New Roman"/>
                <w:color w:val="000000"/>
                <w:sz w:val="20"/>
                <w:szCs w:val="20"/>
              </w:rPr>
              <w:t>8%</w:t>
            </w:r>
          </w:p>
        </w:tc>
      </w:tr>
      <w:tr w:rsidR="003C4230" w:rsidRPr="003C7CB1" w14:paraId="2968BA0B"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1AF7A" w14:textId="77777777" w:rsidR="00E0203A" w:rsidRPr="003C7CB1" w:rsidRDefault="00E0203A"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3</w:t>
            </w:r>
            <w:r w:rsidR="00EB6A52" w:rsidRPr="003C7CB1">
              <w:rPr>
                <w:rFonts w:eastAsia="Times New Roman" w:cs="Times New Roman"/>
                <w:b/>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31C5B41D" w14:textId="0E50BBED"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8</w:t>
            </w:r>
            <w:r w:rsidR="00D44728" w:rsidRPr="003C7CB1">
              <w:rPr>
                <w:rFonts w:eastAsia="Times New Roman" w:cs="Times New Roman"/>
                <w:color w:val="000000"/>
                <w:sz w:val="20"/>
                <w:szCs w:val="20"/>
              </w:rPr>
              <w:t>.</w:t>
            </w:r>
            <w:r w:rsidRPr="003C7CB1">
              <w:rPr>
                <w:rFonts w:eastAsia="Times New Roman" w:cs="Times New Roman"/>
                <w:color w:val="000000"/>
                <w:sz w:val="20"/>
                <w:szCs w:val="20"/>
              </w:rPr>
              <w:t>385</w:t>
            </w:r>
          </w:p>
        </w:tc>
        <w:tc>
          <w:tcPr>
            <w:tcW w:w="816" w:type="dxa"/>
            <w:tcBorders>
              <w:top w:val="nil"/>
              <w:left w:val="nil"/>
              <w:bottom w:val="single" w:sz="4" w:space="0" w:color="auto"/>
              <w:right w:val="single" w:sz="4" w:space="0" w:color="auto"/>
            </w:tcBorders>
            <w:shd w:val="clear" w:color="auto" w:fill="auto"/>
            <w:noWrap/>
            <w:vAlign w:val="bottom"/>
            <w:hideMark/>
          </w:tcPr>
          <w:p w14:paraId="089B7961" w14:textId="1840698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5%</w:t>
            </w:r>
          </w:p>
        </w:tc>
        <w:tc>
          <w:tcPr>
            <w:tcW w:w="1246" w:type="dxa"/>
            <w:tcBorders>
              <w:top w:val="nil"/>
              <w:left w:val="nil"/>
              <w:bottom w:val="single" w:sz="4" w:space="0" w:color="auto"/>
              <w:right w:val="single" w:sz="4" w:space="0" w:color="auto"/>
            </w:tcBorders>
            <w:shd w:val="clear" w:color="auto" w:fill="auto"/>
            <w:noWrap/>
            <w:vAlign w:val="bottom"/>
            <w:hideMark/>
          </w:tcPr>
          <w:p w14:paraId="4F8C4498" w14:textId="62AECFDF"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9</w:t>
            </w:r>
            <w:r w:rsidR="00D44728" w:rsidRPr="003C7CB1">
              <w:rPr>
                <w:rFonts w:eastAsia="Times New Roman" w:cs="Times New Roman"/>
                <w:color w:val="000000"/>
                <w:sz w:val="20"/>
                <w:szCs w:val="20"/>
              </w:rPr>
              <w:t>.</w:t>
            </w:r>
            <w:r w:rsidRPr="003C7CB1">
              <w:rPr>
                <w:rFonts w:eastAsia="Times New Roman" w:cs="Times New Roman"/>
                <w:color w:val="000000"/>
                <w:sz w:val="20"/>
                <w:szCs w:val="20"/>
              </w:rPr>
              <w:t>210</w:t>
            </w:r>
          </w:p>
        </w:tc>
        <w:tc>
          <w:tcPr>
            <w:tcW w:w="816" w:type="dxa"/>
            <w:tcBorders>
              <w:top w:val="nil"/>
              <w:left w:val="nil"/>
              <w:bottom w:val="single" w:sz="4" w:space="0" w:color="auto"/>
              <w:right w:val="single" w:sz="4" w:space="0" w:color="auto"/>
            </w:tcBorders>
            <w:shd w:val="clear" w:color="auto" w:fill="auto"/>
            <w:noWrap/>
            <w:vAlign w:val="bottom"/>
            <w:hideMark/>
          </w:tcPr>
          <w:p w14:paraId="53306A90" w14:textId="345EF46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4%</w:t>
            </w:r>
          </w:p>
        </w:tc>
        <w:tc>
          <w:tcPr>
            <w:tcW w:w="1167" w:type="dxa"/>
            <w:tcBorders>
              <w:top w:val="nil"/>
              <w:left w:val="nil"/>
              <w:bottom w:val="single" w:sz="4" w:space="0" w:color="auto"/>
              <w:right w:val="single" w:sz="4" w:space="0" w:color="auto"/>
            </w:tcBorders>
            <w:shd w:val="clear" w:color="auto" w:fill="auto"/>
            <w:noWrap/>
            <w:vAlign w:val="bottom"/>
            <w:hideMark/>
          </w:tcPr>
          <w:p w14:paraId="0374ED02" w14:textId="2805F435"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BE57D7" w:rsidRPr="003C7CB1">
              <w:rPr>
                <w:rFonts w:eastAsia="Times New Roman" w:cs="Times New Roman"/>
                <w:color w:val="000000"/>
                <w:sz w:val="20"/>
                <w:szCs w:val="20"/>
              </w:rPr>
              <w:t>,</w:t>
            </w:r>
            <w:r w:rsidRPr="003C7CB1">
              <w:rPr>
                <w:rFonts w:eastAsia="Times New Roman" w:cs="Times New Roman"/>
                <w:color w:val="000000"/>
                <w:sz w:val="20"/>
                <w:szCs w:val="20"/>
              </w:rPr>
              <w:t>4%</w:t>
            </w:r>
          </w:p>
        </w:tc>
        <w:tc>
          <w:tcPr>
            <w:tcW w:w="1246" w:type="dxa"/>
            <w:tcBorders>
              <w:top w:val="nil"/>
              <w:left w:val="nil"/>
              <w:bottom w:val="single" w:sz="4" w:space="0" w:color="auto"/>
              <w:right w:val="single" w:sz="4" w:space="0" w:color="auto"/>
            </w:tcBorders>
            <w:shd w:val="clear" w:color="auto" w:fill="auto"/>
            <w:noWrap/>
            <w:vAlign w:val="bottom"/>
            <w:hideMark/>
          </w:tcPr>
          <w:p w14:paraId="37B51F46" w14:textId="6D1981FF"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000</w:t>
            </w:r>
          </w:p>
        </w:tc>
        <w:tc>
          <w:tcPr>
            <w:tcW w:w="822" w:type="dxa"/>
            <w:tcBorders>
              <w:top w:val="nil"/>
              <w:left w:val="nil"/>
              <w:bottom w:val="single" w:sz="4" w:space="0" w:color="auto"/>
              <w:right w:val="single" w:sz="4" w:space="0" w:color="auto"/>
            </w:tcBorders>
            <w:shd w:val="clear" w:color="auto" w:fill="auto"/>
            <w:noWrap/>
            <w:vAlign w:val="bottom"/>
            <w:hideMark/>
          </w:tcPr>
          <w:p w14:paraId="3A7D8716" w14:textId="11FE807F"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BE57D7" w:rsidRPr="003C7CB1">
              <w:rPr>
                <w:rFonts w:eastAsia="Times New Roman" w:cs="Times New Roman"/>
                <w:color w:val="000000"/>
                <w:sz w:val="20"/>
                <w:szCs w:val="20"/>
              </w:rPr>
              <w:t>,</w:t>
            </w:r>
            <w:r w:rsidRPr="003C7CB1">
              <w:rPr>
                <w:rFonts w:eastAsia="Times New Roman" w:cs="Times New Roman"/>
                <w:color w:val="000000"/>
                <w:sz w:val="20"/>
                <w:szCs w:val="20"/>
              </w:rPr>
              <w:t>6%</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7CB43BD8" w14:textId="7502FAE5" w:rsidR="00E0203A" w:rsidRPr="003C7CB1" w:rsidRDefault="00E52DD4"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 xml:space="preserve">   </w:t>
            </w:r>
            <w:r w:rsidR="00E0203A" w:rsidRPr="003C7CB1">
              <w:rPr>
                <w:rFonts w:eastAsia="Times New Roman" w:cs="Times New Roman"/>
                <w:color w:val="000000"/>
                <w:sz w:val="20"/>
                <w:szCs w:val="20"/>
              </w:rPr>
              <w:t>3</w:t>
            </w:r>
            <w:r w:rsidR="00BE57D7" w:rsidRPr="003C7CB1">
              <w:rPr>
                <w:rFonts w:eastAsia="Times New Roman" w:cs="Times New Roman"/>
                <w:color w:val="000000"/>
                <w:sz w:val="20"/>
                <w:szCs w:val="20"/>
              </w:rPr>
              <w:t>,</w:t>
            </w:r>
            <w:r w:rsidR="00E0203A" w:rsidRPr="003C7CB1">
              <w:rPr>
                <w:rFonts w:eastAsia="Times New Roman" w:cs="Times New Roman"/>
                <w:color w:val="000000"/>
                <w:sz w:val="20"/>
                <w:szCs w:val="20"/>
              </w:rPr>
              <w:t>0%</w:t>
            </w:r>
          </w:p>
        </w:tc>
      </w:tr>
      <w:tr w:rsidR="003C4230" w:rsidRPr="003C7CB1" w14:paraId="71E9769E"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B5F31E" w14:textId="77777777" w:rsidR="00E0203A" w:rsidRPr="003C7CB1" w:rsidRDefault="00E0203A"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2</w:t>
            </w:r>
            <w:r w:rsidR="00EB6A52" w:rsidRPr="003C7CB1">
              <w:rPr>
                <w:rFonts w:eastAsia="Times New Roman" w:cs="Times New Roman"/>
                <w:b/>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2C3C8570" w14:textId="648C44D0"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13</w:t>
            </w:r>
            <w:r w:rsidR="00D44728" w:rsidRPr="003C7CB1">
              <w:rPr>
                <w:rFonts w:eastAsia="Times New Roman" w:cs="Times New Roman"/>
                <w:color w:val="000000"/>
                <w:sz w:val="20"/>
                <w:szCs w:val="20"/>
              </w:rPr>
              <w:t>.</w:t>
            </w:r>
            <w:r w:rsidRPr="003C7CB1">
              <w:rPr>
                <w:rFonts w:eastAsia="Times New Roman" w:cs="Times New Roman"/>
                <w:color w:val="000000"/>
                <w:sz w:val="20"/>
                <w:szCs w:val="20"/>
              </w:rPr>
              <w:t>045</w:t>
            </w:r>
          </w:p>
        </w:tc>
        <w:tc>
          <w:tcPr>
            <w:tcW w:w="816" w:type="dxa"/>
            <w:tcBorders>
              <w:top w:val="nil"/>
              <w:left w:val="nil"/>
              <w:bottom w:val="single" w:sz="4" w:space="0" w:color="auto"/>
              <w:right w:val="single" w:sz="4" w:space="0" w:color="auto"/>
            </w:tcBorders>
            <w:shd w:val="clear" w:color="auto" w:fill="auto"/>
            <w:noWrap/>
            <w:vAlign w:val="bottom"/>
            <w:hideMark/>
          </w:tcPr>
          <w:p w14:paraId="28D7F4BA" w14:textId="662471B2"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8</w:t>
            </w:r>
            <w:r w:rsidR="00D44728" w:rsidRPr="003C7CB1">
              <w:rPr>
                <w:rFonts w:eastAsia="Times New Roman" w:cs="Times New Roman"/>
                <w:color w:val="000000"/>
                <w:sz w:val="20"/>
                <w:szCs w:val="20"/>
              </w:rPr>
              <w:t>,</w:t>
            </w:r>
            <w:r w:rsidRPr="003C7CB1">
              <w:rPr>
                <w:rFonts w:eastAsia="Times New Roman" w:cs="Times New Roman"/>
                <w:color w:val="000000"/>
                <w:sz w:val="20"/>
                <w:szCs w:val="20"/>
              </w:rPr>
              <w:t>5%</w:t>
            </w:r>
          </w:p>
        </w:tc>
        <w:tc>
          <w:tcPr>
            <w:tcW w:w="1246" w:type="dxa"/>
            <w:tcBorders>
              <w:top w:val="nil"/>
              <w:left w:val="nil"/>
              <w:bottom w:val="single" w:sz="4" w:space="0" w:color="auto"/>
              <w:right w:val="single" w:sz="4" w:space="0" w:color="auto"/>
            </w:tcBorders>
            <w:shd w:val="clear" w:color="auto" w:fill="auto"/>
            <w:noWrap/>
            <w:vAlign w:val="bottom"/>
            <w:hideMark/>
          </w:tcPr>
          <w:p w14:paraId="7FD451A4" w14:textId="6769924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217</w:t>
            </w:r>
          </w:p>
        </w:tc>
        <w:tc>
          <w:tcPr>
            <w:tcW w:w="816" w:type="dxa"/>
            <w:tcBorders>
              <w:top w:val="nil"/>
              <w:left w:val="nil"/>
              <w:bottom w:val="single" w:sz="4" w:space="0" w:color="auto"/>
              <w:right w:val="single" w:sz="4" w:space="0" w:color="auto"/>
            </w:tcBorders>
            <w:shd w:val="clear" w:color="auto" w:fill="auto"/>
            <w:noWrap/>
            <w:vAlign w:val="bottom"/>
            <w:hideMark/>
          </w:tcPr>
          <w:p w14:paraId="0F4D0B20" w14:textId="094FFBD1"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D44728"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167" w:type="dxa"/>
            <w:tcBorders>
              <w:top w:val="nil"/>
              <w:left w:val="nil"/>
              <w:bottom w:val="single" w:sz="4" w:space="0" w:color="auto"/>
              <w:right w:val="single" w:sz="4" w:space="0" w:color="auto"/>
            </w:tcBorders>
            <w:shd w:val="clear" w:color="auto" w:fill="auto"/>
            <w:noWrap/>
            <w:vAlign w:val="bottom"/>
            <w:hideMark/>
          </w:tcPr>
          <w:p w14:paraId="19B0788F" w14:textId="60DF3372"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246" w:type="dxa"/>
            <w:tcBorders>
              <w:top w:val="nil"/>
              <w:left w:val="nil"/>
              <w:bottom w:val="single" w:sz="4" w:space="0" w:color="auto"/>
              <w:right w:val="single" w:sz="4" w:space="0" w:color="auto"/>
            </w:tcBorders>
            <w:shd w:val="clear" w:color="auto" w:fill="auto"/>
            <w:noWrap/>
            <w:vAlign w:val="bottom"/>
            <w:hideMark/>
          </w:tcPr>
          <w:p w14:paraId="220DC6B0" w14:textId="069D102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000</w:t>
            </w:r>
          </w:p>
        </w:tc>
        <w:tc>
          <w:tcPr>
            <w:tcW w:w="822" w:type="dxa"/>
            <w:tcBorders>
              <w:top w:val="nil"/>
              <w:left w:val="nil"/>
              <w:bottom w:val="single" w:sz="4" w:space="0" w:color="auto"/>
              <w:right w:val="single" w:sz="4" w:space="0" w:color="auto"/>
            </w:tcBorders>
            <w:shd w:val="clear" w:color="auto" w:fill="auto"/>
            <w:noWrap/>
            <w:vAlign w:val="bottom"/>
            <w:hideMark/>
          </w:tcPr>
          <w:p w14:paraId="058C2562" w14:textId="2F023BC1"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BE57D7" w:rsidRPr="003C7CB1">
              <w:rPr>
                <w:rFonts w:eastAsia="Times New Roman" w:cs="Times New Roman"/>
                <w:color w:val="000000"/>
                <w:sz w:val="20"/>
                <w:szCs w:val="20"/>
              </w:rPr>
              <w:t>,</w:t>
            </w:r>
            <w:r w:rsidRPr="003C7CB1">
              <w:rPr>
                <w:rFonts w:eastAsia="Times New Roman" w:cs="Times New Roman"/>
                <w:color w:val="000000"/>
                <w:sz w:val="20"/>
                <w:szCs w:val="20"/>
              </w:rPr>
              <w:t>5%</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6C82D31A" w14:textId="6A506672" w:rsidR="00E0203A" w:rsidRPr="003C7CB1" w:rsidRDefault="00E0203A"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-24</w:t>
            </w:r>
            <w:r w:rsidR="00BE57D7" w:rsidRPr="003C7CB1">
              <w:rPr>
                <w:rFonts w:eastAsia="Times New Roman" w:cs="Times New Roman"/>
                <w:color w:val="000000"/>
                <w:sz w:val="20"/>
                <w:szCs w:val="20"/>
              </w:rPr>
              <w:t>,</w:t>
            </w:r>
            <w:r w:rsidRPr="003C7CB1">
              <w:rPr>
                <w:rFonts w:eastAsia="Times New Roman" w:cs="Times New Roman"/>
                <w:color w:val="000000"/>
                <w:sz w:val="20"/>
                <w:szCs w:val="20"/>
              </w:rPr>
              <w:t>1%</w:t>
            </w:r>
          </w:p>
        </w:tc>
      </w:tr>
      <w:tr w:rsidR="003C4230" w:rsidRPr="003C7CB1" w14:paraId="2D0C57AB"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787413" w14:textId="77777777" w:rsidR="00E0203A" w:rsidRPr="003C7CB1" w:rsidRDefault="00E0203A"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1</w:t>
            </w:r>
            <w:r w:rsidR="00EB6A52" w:rsidRPr="003C7CB1">
              <w:rPr>
                <w:rFonts w:eastAsia="Times New Roman" w:cs="Times New Roman"/>
                <w:b/>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3C09CD4D" w14:textId="7438C6BD"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w:t>
            </w:r>
            <w:r w:rsidR="00D44728" w:rsidRPr="003C7CB1">
              <w:rPr>
                <w:rFonts w:eastAsia="Times New Roman" w:cs="Times New Roman"/>
                <w:color w:val="000000"/>
                <w:sz w:val="20"/>
                <w:szCs w:val="20"/>
              </w:rPr>
              <w:t>.</w:t>
            </w:r>
            <w:r w:rsidRPr="003C7CB1">
              <w:rPr>
                <w:rFonts w:eastAsia="Times New Roman" w:cs="Times New Roman"/>
                <w:color w:val="000000"/>
                <w:sz w:val="20"/>
                <w:szCs w:val="20"/>
              </w:rPr>
              <w:t>134</w:t>
            </w:r>
          </w:p>
        </w:tc>
        <w:tc>
          <w:tcPr>
            <w:tcW w:w="816" w:type="dxa"/>
            <w:tcBorders>
              <w:top w:val="nil"/>
              <w:left w:val="nil"/>
              <w:bottom w:val="single" w:sz="4" w:space="0" w:color="auto"/>
              <w:right w:val="single" w:sz="4" w:space="0" w:color="auto"/>
            </w:tcBorders>
            <w:shd w:val="clear" w:color="auto" w:fill="auto"/>
            <w:noWrap/>
            <w:vAlign w:val="bottom"/>
            <w:hideMark/>
          </w:tcPr>
          <w:p w14:paraId="5F15D8FD" w14:textId="424F2C2B"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246" w:type="dxa"/>
            <w:tcBorders>
              <w:top w:val="nil"/>
              <w:left w:val="nil"/>
              <w:bottom w:val="single" w:sz="4" w:space="0" w:color="auto"/>
              <w:right w:val="single" w:sz="4" w:space="0" w:color="auto"/>
            </w:tcBorders>
            <w:shd w:val="clear" w:color="auto" w:fill="auto"/>
            <w:noWrap/>
            <w:vAlign w:val="bottom"/>
            <w:hideMark/>
          </w:tcPr>
          <w:p w14:paraId="64324FD4" w14:textId="581E6A37" w:rsidR="00E0203A" w:rsidRPr="003C7CB1" w:rsidRDefault="00E0203A" w:rsidP="00383257">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789</w:t>
            </w:r>
          </w:p>
        </w:tc>
        <w:tc>
          <w:tcPr>
            <w:tcW w:w="816" w:type="dxa"/>
            <w:tcBorders>
              <w:top w:val="nil"/>
              <w:left w:val="nil"/>
              <w:bottom w:val="single" w:sz="4" w:space="0" w:color="auto"/>
              <w:right w:val="single" w:sz="4" w:space="0" w:color="auto"/>
            </w:tcBorders>
            <w:shd w:val="clear" w:color="auto" w:fill="auto"/>
            <w:noWrap/>
            <w:vAlign w:val="bottom"/>
            <w:hideMark/>
          </w:tcPr>
          <w:p w14:paraId="792D63C2" w14:textId="27124124"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167" w:type="dxa"/>
            <w:tcBorders>
              <w:top w:val="nil"/>
              <w:left w:val="nil"/>
              <w:bottom w:val="single" w:sz="4" w:space="0" w:color="auto"/>
              <w:right w:val="single" w:sz="4" w:space="0" w:color="auto"/>
            </w:tcBorders>
            <w:shd w:val="clear" w:color="auto" w:fill="auto"/>
            <w:noWrap/>
            <w:vAlign w:val="bottom"/>
            <w:hideMark/>
          </w:tcPr>
          <w:p w14:paraId="5D591152" w14:textId="50753250"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246" w:type="dxa"/>
            <w:tcBorders>
              <w:top w:val="nil"/>
              <w:left w:val="nil"/>
              <w:bottom w:val="single" w:sz="4" w:space="0" w:color="auto"/>
              <w:right w:val="single" w:sz="4" w:space="0" w:color="auto"/>
            </w:tcBorders>
            <w:shd w:val="clear" w:color="auto" w:fill="auto"/>
            <w:noWrap/>
            <w:vAlign w:val="bottom"/>
            <w:hideMark/>
          </w:tcPr>
          <w:p w14:paraId="3CFA5CC4" w14:textId="77777777"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22" w:type="dxa"/>
            <w:tcBorders>
              <w:top w:val="nil"/>
              <w:left w:val="nil"/>
              <w:bottom w:val="single" w:sz="4" w:space="0" w:color="auto"/>
              <w:right w:val="single" w:sz="4" w:space="0" w:color="auto"/>
            </w:tcBorders>
            <w:shd w:val="clear" w:color="auto" w:fill="auto"/>
            <w:noWrap/>
            <w:vAlign w:val="bottom"/>
            <w:hideMark/>
          </w:tcPr>
          <w:p w14:paraId="6BC5AD35" w14:textId="77777777"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1992BA93" w14:textId="59FD3D50" w:rsidR="00E0203A" w:rsidRPr="003C7CB1" w:rsidRDefault="00E0203A"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-100</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w:t>
            </w:r>
          </w:p>
        </w:tc>
      </w:tr>
      <w:tr w:rsidR="003C4230" w:rsidRPr="003C7CB1" w14:paraId="0D227702"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8C12C9" w14:textId="676C6A31" w:rsidR="00E0203A" w:rsidRPr="003C7CB1" w:rsidRDefault="003A0238"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Camps</w:t>
            </w:r>
          </w:p>
        </w:tc>
        <w:tc>
          <w:tcPr>
            <w:tcW w:w="1246" w:type="dxa"/>
            <w:tcBorders>
              <w:top w:val="nil"/>
              <w:left w:val="nil"/>
              <w:bottom w:val="single" w:sz="4" w:space="0" w:color="auto"/>
              <w:right w:val="single" w:sz="4" w:space="0" w:color="auto"/>
            </w:tcBorders>
            <w:shd w:val="clear" w:color="auto" w:fill="auto"/>
            <w:noWrap/>
            <w:vAlign w:val="bottom"/>
            <w:hideMark/>
          </w:tcPr>
          <w:p w14:paraId="11B996CB" w14:textId="5C3C74C2"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D44728" w:rsidRPr="003C7CB1">
              <w:rPr>
                <w:rFonts w:eastAsia="Times New Roman" w:cs="Times New Roman"/>
                <w:color w:val="000000"/>
                <w:sz w:val="20"/>
                <w:szCs w:val="20"/>
              </w:rPr>
              <w:t>.</w:t>
            </w:r>
            <w:r w:rsidRPr="003C7CB1">
              <w:rPr>
                <w:rFonts w:eastAsia="Times New Roman" w:cs="Times New Roman"/>
                <w:color w:val="000000"/>
                <w:sz w:val="20"/>
                <w:szCs w:val="20"/>
              </w:rPr>
              <w:t>554</w:t>
            </w:r>
          </w:p>
        </w:tc>
        <w:tc>
          <w:tcPr>
            <w:tcW w:w="816" w:type="dxa"/>
            <w:tcBorders>
              <w:top w:val="nil"/>
              <w:left w:val="nil"/>
              <w:bottom w:val="single" w:sz="4" w:space="0" w:color="auto"/>
              <w:right w:val="single" w:sz="4" w:space="0" w:color="auto"/>
            </w:tcBorders>
            <w:shd w:val="clear" w:color="auto" w:fill="auto"/>
            <w:noWrap/>
            <w:vAlign w:val="bottom"/>
            <w:hideMark/>
          </w:tcPr>
          <w:p w14:paraId="17DAA132" w14:textId="277AB96F"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246" w:type="dxa"/>
            <w:tcBorders>
              <w:top w:val="nil"/>
              <w:left w:val="nil"/>
              <w:bottom w:val="single" w:sz="4" w:space="0" w:color="auto"/>
              <w:right w:val="single" w:sz="4" w:space="0" w:color="auto"/>
            </w:tcBorders>
            <w:shd w:val="clear" w:color="auto" w:fill="auto"/>
            <w:noWrap/>
            <w:vAlign w:val="bottom"/>
            <w:hideMark/>
          </w:tcPr>
          <w:p w14:paraId="3966BE86" w14:textId="4DC77A6F"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D44728" w:rsidRPr="003C7CB1">
              <w:rPr>
                <w:rFonts w:eastAsia="Times New Roman" w:cs="Times New Roman"/>
                <w:color w:val="000000"/>
                <w:sz w:val="20"/>
                <w:szCs w:val="20"/>
              </w:rPr>
              <w:t>.</w:t>
            </w:r>
            <w:r w:rsidRPr="003C7CB1">
              <w:rPr>
                <w:rFonts w:eastAsia="Times New Roman" w:cs="Times New Roman"/>
                <w:color w:val="000000"/>
                <w:sz w:val="20"/>
                <w:szCs w:val="20"/>
              </w:rPr>
              <w:t>925</w:t>
            </w:r>
          </w:p>
        </w:tc>
        <w:tc>
          <w:tcPr>
            <w:tcW w:w="816" w:type="dxa"/>
            <w:tcBorders>
              <w:top w:val="nil"/>
              <w:left w:val="nil"/>
              <w:bottom w:val="single" w:sz="4" w:space="0" w:color="auto"/>
              <w:right w:val="single" w:sz="4" w:space="0" w:color="auto"/>
            </w:tcBorders>
            <w:shd w:val="clear" w:color="auto" w:fill="auto"/>
            <w:noWrap/>
            <w:vAlign w:val="bottom"/>
            <w:hideMark/>
          </w:tcPr>
          <w:p w14:paraId="35A7FFD5" w14:textId="474ED1FB"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D44728"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167" w:type="dxa"/>
            <w:tcBorders>
              <w:top w:val="nil"/>
              <w:left w:val="nil"/>
              <w:bottom w:val="single" w:sz="4" w:space="0" w:color="auto"/>
              <w:right w:val="single" w:sz="4" w:space="0" w:color="auto"/>
            </w:tcBorders>
            <w:shd w:val="clear" w:color="auto" w:fill="auto"/>
            <w:noWrap/>
            <w:vAlign w:val="bottom"/>
            <w:hideMark/>
          </w:tcPr>
          <w:p w14:paraId="090E7077" w14:textId="22F2EF13"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246" w:type="dxa"/>
            <w:tcBorders>
              <w:top w:val="nil"/>
              <w:left w:val="nil"/>
              <w:bottom w:val="single" w:sz="4" w:space="0" w:color="auto"/>
              <w:right w:val="single" w:sz="4" w:space="0" w:color="auto"/>
            </w:tcBorders>
            <w:shd w:val="clear" w:color="auto" w:fill="auto"/>
            <w:noWrap/>
            <w:vAlign w:val="bottom"/>
            <w:hideMark/>
          </w:tcPr>
          <w:p w14:paraId="09FD2FCB" w14:textId="63C356C8"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w:t>
            </w:r>
            <w:r w:rsidR="00BE57D7" w:rsidRPr="003C7CB1">
              <w:rPr>
                <w:rFonts w:eastAsia="Times New Roman" w:cs="Times New Roman"/>
                <w:color w:val="000000"/>
                <w:sz w:val="20"/>
                <w:szCs w:val="20"/>
              </w:rPr>
              <w:t>.</w:t>
            </w:r>
            <w:r w:rsidRPr="003C7CB1">
              <w:rPr>
                <w:rFonts w:eastAsia="Times New Roman" w:cs="Times New Roman"/>
                <w:color w:val="000000"/>
                <w:sz w:val="20"/>
                <w:szCs w:val="20"/>
              </w:rPr>
              <w:t>500</w:t>
            </w:r>
          </w:p>
        </w:tc>
        <w:tc>
          <w:tcPr>
            <w:tcW w:w="822" w:type="dxa"/>
            <w:tcBorders>
              <w:top w:val="nil"/>
              <w:left w:val="nil"/>
              <w:bottom w:val="single" w:sz="4" w:space="0" w:color="auto"/>
              <w:right w:val="single" w:sz="4" w:space="0" w:color="auto"/>
            </w:tcBorders>
            <w:shd w:val="clear" w:color="auto" w:fill="auto"/>
            <w:noWrap/>
            <w:vAlign w:val="bottom"/>
            <w:hideMark/>
          </w:tcPr>
          <w:p w14:paraId="511F38D1" w14:textId="3DDA5E1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BE57D7" w:rsidRPr="003C7CB1">
              <w:rPr>
                <w:rFonts w:eastAsia="Times New Roman" w:cs="Times New Roman"/>
                <w:color w:val="000000"/>
                <w:sz w:val="20"/>
                <w:szCs w:val="20"/>
              </w:rPr>
              <w:t>,</w:t>
            </w:r>
            <w:r w:rsidRPr="003C7CB1">
              <w:rPr>
                <w:rFonts w:eastAsia="Times New Roman" w:cs="Times New Roman"/>
                <w:color w:val="000000"/>
                <w:sz w:val="20"/>
                <w:szCs w:val="20"/>
              </w:rPr>
              <w:t>3%</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35D37B00" w14:textId="6C4AD82C" w:rsidR="00E0203A" w:rsidRPr="003C7CB1" w:rsidRDefault="00E52DD4"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 xml:space="preserve">      </w:t>
            </w:r>
            <w:r w:rsidR="00E0203A" w:rsidRPr="003C7CB1">
              <w:rPr>
                <w:rFonts w:eastAsia="Times New Roman" w:cs="Times New Roman"/>
                <w:color w:val="000000"/>
                <w:sz w:val="20"/>
                <w:szCs w:val="20"/>
              </w:rPr>
              <w:t>7</w:t>
            </w:r>
            <w:r w:rsidR="00BE57D7" w:rsidRPr="003C7CB1">
              <w:rPr>
                <w:rFonts w:eastAsia="Times New Roman" w:cs="Times New Roman"/>
                <w:color w:val="000000"/>
                <w:sz w:val="20"/>
                <w:szCs w:val="20"/>
              </w:rPr>
              <w:t>,</w:t>
            </w:r>
            <w:r w:rsidR="00E0203A" w:rsidRPr="003C7CB1">
              <w:rPr>
                <w:rFonts w:eastAsia="Times New Roman" w:cs="Times New Roman"/>
                <w:color w:val="000000"/>
                <w:sz w:val="20"/>
                <w:szCs w:val="20"/>
              </w:rPr>
              <w:t>4%</w:t>
            </w:r>
          </w:p>
        </w:tc>
      </w:tr>
      <w:tr w:rsidR="003C4230" w:rsidRPr="003C7CB1" w14:paraId="4CC12DA3" w14:textId="77777777" w:rsidTr="00383257">
        <w:trPr>
          <w:trHeight w:val="319"/>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C508E" w14:textId="21DDC2B9" w:rsidR="00E0203A" w:rsidRPr="003C7CB1" w:rsidRDefault="003A0238" w:rsidP="00E372B9">
            <w:pPr>
              <w:spacing w:after="120" w:line="240" w:lineRule="auto"/>
              <w:jc w:val="center"/>
              <w:rPr>
                <w:rFonts w:eastAsia="Times New Roman" w:cs="Times New Roman"/>
                <w:b/>
                <w:color w:val="000000"/>
                <w:sz w:val="20"/>
                <w:szCs w:val="20"/>
              </w:rPr>
            </w:pPr>
            <w:r w:rsidRPr="003C7CB1">
              <w:rPr>
                <w:rFonts w:eastAsia="Times New Roman" w:cs="Times New Roman"/>
                <w:b/>
                <w:color w:val="000000"/>
                <w:sz w:val="20"/>
                <w:szCs w:val="20"/>
              </w:rPr>
              <w:t>Private accommodation</w:t>
            </w:r>
          </w:p>
        </w:tc>
        <w:tc>
          <w:tcPr>
            <w:tcW w:w="1246" w:type="dxa"/>
            <w:tcBorders>
              <w:top w:val="nil"/>
              <w:left w:val="nil"/>
              <w:bottom w:val="single" w:sz="4" w:space="0" w:color="auto"/>
              <w:right w:val="single" w:sz="4" w:space="0" w:color="auto"/>
            </w:tcBorders>
            <w:shd w:val="clear" w:color="auto" w:fill="auto"/>
            <w:noWrap/>
            <w:vAlign w:val="bottom"/>
            <w:hideMark/>
          </w:tcPr>
          <w:p w14:paraId="6AEB46B4" w14:textId="4CC1563A"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115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508</w:t>
            </w:r>
          </w:p>
        </w:tc>
        <w:tc>
          <w:tcPr>
            <w:tcW w:w="816" w:type="dxa"/>
            <w:tcBorders>
              <w:top w:val="nil"/>
              <w:left w:val="nil"/>
              <w:bottom w:val="single" w:sz="4" w:space="0" w:color="auto"/>
              <w:right w:val="single" w:sz="4" w:space="0" w:color="auto"/>
            </w:tcBorders>
            <w:shd w:val="clear" w:color="auto" w:fill="auto"/>
            <w:noWrap/>
            <w:vAlign w:val="bottom"/>
            <w:hideMark/>
          </w:tcPr>
          <w:p w14:paraId="5F044F9D" w14:textId="75DC6D08"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75</w:t>
            </w:r>
            <w:r w:rsidR="00D44728" w:rsidRPr="003C7CB1">
              <w:rPr>
                <w:rFonts w:eastAsia="Times New Roman" w:cs="Times New Roman"/>
                <w:color w:val="000000"/>
                <w:sz w:val="20"/>
                <w:szCs w:val="20"/>
              </w:rPr>
              <w:t>,</w:t>
            </w:r>
            <w:r w:rsidRPr="003C7CB1">
              <w:rPr>
                <w:rFonts w:eastAsia="Times New Roman" w:cs="Times New Roman"/>
                <w:color w:val="000000"/>
                <w:sz w:val="20"/>
                <w:szCs w:val="20"/>
              </w:rPr>
              <w:t>3%</w:t>
            </w:r>
          </w:p>
        </w:tc>
        <w:tc>
          <w:tcPr>
            <w:tcW w:w="1246" w:type="dxa"/>
            <w:tcBorders>
              <w:top w:val="nil"/>
              <w:left w:val="nil"/>
              <w:bottom w:val="single" w:sz="4" w:space="0" w:color="auto"/>
              <w:right w:val="single" w:sz="4" w:space="0" w:color="auto"/>
            </w:tcBorders>
            <w:shd w:val="clear" w:color="auto" w:fill="auto"/>
            <w:noWrap/>
            <w:vAlign w:val="bottom"/>
            <w:hideMark/>
          </w:tcPr>
          <w:p w14:paraId="436F2D5A" w14:textId="333243CD"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128</w:t>
            </w:r>
            <w:r w:rsidR="00D44728" w:rsidRPr="003C7CB1">
              <w:rPr>
                <w:rFonts w:eastAsia="Times New Roman" w:cs="Times New Roman"/>
                <w:color w:val="000000"/>
                <w:sz w:val="20"/>
                <w:szCs w:val="20"/>
              </w:rPr>
              <w:t>.</w:t>
            </w:r>
            <w:r w:rsidRPr="003C7CB1">
              <w:rPr>
                <w:rFonts w:eastAsia="Times New Roman" w:cs="Times New Roman"/>
                <w:color w:val="000000"/>
                <w:sz w:val="20"/>
                <w:szCs w:val="20"/>
              </w:rPr>
              <w:t>386</w:t>
            </w:r>
          </w:p>
        </w:tc>
        <w:tc>
          <w:tcPr>
            <w:tcW w:w="816" w:type="dxa"/>
            <w:tcBorders>
              <w:top w:val="nil"/>
              <w:left w:val="nil"/>
              <w:bottom w:val="single" w:sz="4" w:space="0" w:color="auto"/>
              <w:right w:val="single" w:sz="4" w:space="0" w:color="auto"/>
            </w:tcBorders>
            <w:shd w:val="clear" w:color="auto" w:fill="auto"/>
            <w:noWrap/>
            <w:vAlign w:val="bottom"/>
            <w:hideMark/>
          </w:tcPr>
          <w:p w14:paraId="1B2B9E14" w14:textId="16E2DB5B"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74</w:t>
            </w:r>
            <w:r w:rsidR="00D44728" w:rsidRPr="003C7CB1">
              <w:rPr>
                <w:rFonts w:eastAsia="Times New Roman" w:cs="Times New Roman"/>
                <w:color w:val="000000"/>
                <w:sz w:val="20"/>
                <w:szCs w:val="20"/>
              </w:rPr>
              <w:t>,</w:t>
            </w:r>
            <w:r w:rsidRPr="003C7CB1">
              <w:rPr>
                <w:rFonts w:eastAsia="Times New Roman" w:cs="Times New Roman"/>
                <w:color w:val="000000"/>
                <w:sz w:val="20"/>
                <w:szCs w:val="20"/>
              </w:rPr>
              <w:t>6%</w:t>
            </w:r>
          </w:p>
        </w:tc>
        <w:tc>
          <w:tcPr>
            <w:tcW w:w="1167" w:type="dxa"/>
            <w:tcBorders>
              <w:top w:val="nil"/>
              <w:left w:val="nil"/>
              <w:bottom w:val="single" w:sz="4" w:space="0" w:color="auto"/>
              <w:right w:val="single" w:sz="4" w:space="0" w:color="auto"/>
            </w:tcBorders>
            <w:shd w:val="clear" w:color="auto" w:fill="auto"/>
            <w:noWrap/>
            <w:vAlign w:val="bottom"/>
            <w:hideMark/>
          </w:tcPr>
          <w:p w14:paraId="735C2A92" w14:textId="5DEFF8EC"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3%</w:t>
            </w:r>
          </w:p>
        </w:tc>
        <w:tc>
          <w:tcPr>
            <w:tcW w:w="1246" w:type="dxa"/>
            <w:tcBorders>
              <w:top w:val="nil"/>
              <w:left w:val="nil"/>
              <w:bottom w:val="single" w:sz="4" w:space="0" w:color="auto"/>
              <w:right w:val="single" w:sz="4" w:space="0" w:color="auto"/>
            </w:tcBorders>
            <w:shd w:val="clear" w:color="auto" w:fill="auto"/>
            <w:noWrap/>
            <w:vAlign w:val="bottom"/>
            <w:hideMark/>
          </w:tcPr>
          <w:p w14:paraId="31DA23EB" w14:textId="09BC698E"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139</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000</w:t>
            </w:r>
          </w:p>
        </w:tc>
        <w:tc>
          <w:tcPr>
            <w:tcW w:w="822" w:type="dxa"/>
            <w:tcBorders>
              <w:top w:val="nil"/>
              <w:left w:val="nil"/>
              <w:bottom w:val="single" w:sz="4" w:space="0" w:color="auto"/>
              <w:right w:val="single" w:sz="4" w:space="0" w:color="auto"/>
            </w:tcBorders>
            <w:shd w:val="clear" w:color="auto" w:fill="auto"/>
            <w:noWrap/>
            <w:vAlign w:val="bottom"/>
            <w:hideMark/>
          </w:tcPr>
          <w:p w14:paraId="18A0B209" w14:textId="60763F0E" w:rsidR="00E0203A" w:rsidRPr="003C7CB1" w:rsidRDefault="00E0203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71</w:t>
            </w:r>
            <w:r w:rsidR="00BE57D7"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167" w:type="dxa"/>
            <w:tcBorders>
              <w:top w:val="single" w:sz="4" w:space="0" w:color="auto"/>
              <w:left w:val="nil"/>
              <w:bottom w:val="single" w:sz="4" w:space="0" w:color="auto"/>
              <w:right w:val="single" w:sz="4" w:space="0" w:color="auto"/>
            </w:tcBorders>
            <w:shd w:val="clear" w:color="auto" w:fill="auto"/>
            <w:noWrap/>
            <w:vAlign w:val="bottom"/>
            <w:hideMark/>
          </w:tcPr>
          <w:p w14:paraId="67DAB791" w14:textId="1D530243" w:rsidR="00E0203A" w:rsidRPr="003C7CB1" w:rsidRDefault="00E52DD4" w:rsidP="00E372B9">
            <w:pPr>
              <w:spacing w:after="120" w:line="240" w:lineRule="auto"/>
              <w:jc w:val="center"/>
              <w:rPr>
                <w:rFonts w:eastAsia="Times New Roman" w:cs="Times New Roman"/>
                <w:color w:val="000000"/>
                <w:sz w:val="20"/>
                <w:szCs w:val="20"/>
              </w:rPr>
            </w:pPr>
            <w:r w:rsidRPr="003C7CB1">
              <w:rPr>
                <w:rFonts w:eastAsia="Times New Roman" w:cs="Times New Roman"/>
                <w:color w:val="000000"/>
                <w:sz w:val="20"/>
                <w:szCs w:val="20"/>
              </w:rPr>
              <w:t xml:space="preserve">     </w:t>
            </w:r>
            <w:r w:rsidR="00E0203A" w:rsidRPr="003C7CB1">
              <w:rPr>
                <w:rFonts w:eastAsia="Times New Roman" w:cs="Times New Roman"/>
                <w:color w:val="000000"/>
                <w:sz w:val="20"/>
                <w:szCs w:val="20"/>
              </w:rPr>
              <w:t>1</w:t>
            </w:r>
            <w:r w:rsidR="00BE57D7" w:rsidRPr="003C7CB1">
              <w:rPr>
                <w:rFonts w:eastAsia="Times New Roman" w:cs="Times New Roman"/>
                <w:color w:val="000000"/>
                <w:sz w:val="20"/>
                <w:szCs w:val="20"/>
              </w:rPr>
              <w:t>,</w:t>
            </w:r>
            <w:r w:rsidR="00E0203A" w:rsidRPr="003C7CB1">
              <w:rPr>
                <w:rFonts w:eastAsia="Times New Roman" w:cs="Times New Roman"/>
                <w:color w:val="000000"/>
                <w:sz w:val="20"/>
                <w:szCs w:val="20"/>
              </w:rPr>
              <w:t>3%</w:t>
            </w:r>
          </w:p>
        </w:tc>
      </w:tr>
      <w:tr w:rsidR="003C4230" w:rsidRPr="003C7CB1" w14:paraId="414637B2" w14:textId="77777777" w:rsidTr="00383257">
        <w:trPr>
          <w:trHeight w:val="319"/>
          <w:jc w:val="center"/>
        </w:trPr>
        <w:tc>
          <w:tcPr>
            <w:tcW w:w="1081" w:type="dxa"/>
            <w:tcBorders>
              <w:top w:val="single" w:sz="4" w:space="0" w:color="auto"/>
              <w:left w:val="single" w:sz="4" w:space="0" w:color="auto"/>
              <w:right w:val="single" w:sz="4" w:space="0" w:color="auto"/>
            </w:tcBorders>
            <w:shd w:val="clear" w:color="000000" w:fill="D9E1F2"/>
            <w:vAlign w:val="bottom"/>
            <w:hideMark/>
          </w:tcPr>
          <w:p w14:paraId="2A0098A3" w14:textId="4CAF4179" w:rsidR="00E0203A" w:rsidRPr="003C7CB1" w:rsidRDefault="003A0238"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Total</w:t>
            </w:r>
          </w:p>
        </w:tc>
        <w:tc>
          <w:tcPr>
            <w:tcW w:w="1246" w:type="dxa"/>
            <w:tcBorders>
              <w:top w:val="single" w:sz="4" w:space="0" w:color="auto"/>
              <w:left w:val="nil"/>
              <w:right w:val="single" w:sz="4" w:space="0" w:color="auto"/>
            </w:tcBorders>
            <w:shd w:val="clear" w:color="000000" w:fill="D9E1F2"/>
            <w:noWrap/>
            <w:vAlign w:val="bottom"/>
            <w:hideMark/>
          </w:tcPr>
          <w:p w14:paraId="73EC778F" w14:textId="4CAFDC80"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153</w:t>
            </w:r>
            <w:r w:rsidR="00D44728" w:rsidRPr="003C7CB1">
              <w:rPr>
                <w:rFonts w:eastAsia="Times New Roman" w:cs="Times New Roman"/>
                <w:b/>
                <w:bCs/>
                <w:color w:val="000000"/>
                <w:sz w:val="20"/>
                <w:szCs w:val="20"/>
              </w:rPr>
              <w:t>.</w:t>
            </w:r>
            <w:r w:rsidRPr="003C7CB1">
              <w:rPr>
                <w:rFonts w:eastAsia="Times New Roman" w:cs="Times New Roman"/>
                <w:b/>
                <w:bCs/>
                <w:color w:val="000000"/>
                <w:sz w:val="20"/>
                <w:szCs w:val="20"/>
              </w:rPr>
              <w:t>368</w:t>
            </w:r>
          </w:p>
        </w:tc>
        <w:tc>
          <w:tcPr>
            <w:tcW w:w="816" w:type="dxa"/>
            <w:tcBorders>
              <w:top w:val="single" w:sz="4" w:space="0" w:color="auto"/>
              <w:left w:val="nil"/>
              <w:right w:val="single" w:sz="4" w:space="0" w:color="auto"/>
            </w:tcBorders>
            <w:shd w:val="clear" w:color="000000" w:fill="D9E1F2"/>
            <w:noWrap/>
            <w:vAlign w:val="bottom"/>
            <w:hideMark/>
          </w:tcPr>
          <w:p w14:paraId="51B39AB1" w14:textId="77777777"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100%</w:t>
            </w:r>
          </w:p>
        </w:tc>
        <w:tc>
          <w:tcPr>
            <w:tcW w:w="1246" w:type="dxa"/>
            <w:tcBorders>
              <w:top w:val="single" w:sz="4" w:space="0" w:color="auto"/>
              <w:left w:val="nil"/>
              <w:right w:val="single" w:sz="4" w:space="0" w:color="auto"/>
            </w:tcBorders>
            <w:shd w:val="clear" w:color="000000" w:fill="D9E1F2"/>
            <w:noWrap/>
            <w:vAlign w:val="bottom"/>
            <w:hideMark/>
          </w:tcPr>
          <w:p w14:paraId="724247F2" w14:textId="39339A04"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172</w:t>
            </w:r>
            <w:r w:rsidR="00D44728" w:rsidRPr="003C7CB1">
              <w:rPr>
                <w:rFonts w:eastAsia="Times New Roman" w:cs="Times New Roman"/>
                <w:b/>
                <w:bCs/>
                <w:color w:val="000000"/>
                <w:sz w:val="20"/>
                <w:szCs w:val="20"/>
              </w:rPr>
              <w:t>.</w:t>
            </w:r>
            <w:r w:rsidRPr="003C7CB1">
              <w:rPr>
                <w:rFonts w:eastAsia="Times New Roman" w:cs="Times New Roman"/>
                <w:b/>
                <w:bCs/>
                <w:color w:val="000000"/>
                <w:sz w:val="20"/>
                <w:szCs w:val="20"/>
              </w:rPr>
              <w:t>125</w:t>
            </w:r>
          </w:p>
        </w:tc>
        <w:tc>
          <w:tcPr>
            <w:tcW w:w="816" w:type="dxa"/>
            <w:tcBorders>
              <w:top w:val="single" w:sz="4" w:space="0" w:color="auto"/>
              <w:left w:val="nil"/>
              <w:right w:val="single" w:sz="4" w:space="0" w:color="auto"/>
            </w:tcBorders>
            <w:shd w:val="clear" w:color="000000" w:fill="D9E1F2"/>
            <w:noWrap/>
            <w:vAlign w:val="bottom"/>
            <w:hideMark/>
          </w:tcPr>
          <w:p w14:paraId="73CF1256" w14:textId="77777777"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100%</w:t>
            </w:r>
          </w:p>
        </w:tc>
        <w:tc>
          <w:tcPr>
            <w:tcW w:w="1167" w:type="dxa"/>
            <w:tcBorders>
              <w:top w:val="single" w:sz="4" w:space="0" w:color="auto"/>
              <w:left w:val="nil"/>
              <w:right w:val="single" w:sz="4" w:space="0" w:color="auto"/>
            </w:tcBorders>
            <w:shd w:val="clear" w:color="000000" w:fill="D9E1F2"/>
            <w:noWrap/>
            <w:vAlign w:val="bottom"/>
            <w:hideMark/>
          </w:tcPr>
          <w:p w14:paraId="69FF5E28" w14:textId="18D97A7D"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w:t>
            </w:r>
            <w:r w:rsidR="00BE57D7" w:rsidRPr="003C7CB1">
              <w:rPr>
                <w:rFonts w:eastAsia="Times New Roman" w:cs="Times New Roman"/>
                <w:b/>
                <w:bCs/>
                <w:color w:val="000000"/>
                <w:sz w:val="20"/>
                <w:szCs w:val="20"/>
              </w:rPr>
              <w:t>,</w:t>
            </w:r>
            <w:r w:rsidRPr="003C7CB1">
              <w:rPr>
                <w:rFonts w:eastAsia="Times New Roman" w:cs="Times New Roman"/>
                <w:b/>
                <w:bCs/>
                <w:color w:val="000000"/>
                <w:sz w:val="20"/>
                <w:szCs w:val="20"/>
              </w:rPr>
              <w:t>5%</w:t>
            </w:r>
          </w:p>
        </w:tc>
        <w:tc>
          <w:tcPr>
            <w:tcW w:w="1246" w:type="dxa"/>
            <w:tcBorders>
              <w:top w:val="single" w:sz="4" w:space="0" w:color="auto"/>
              <w:left w:val="nil"/>
              <w:right w:val="single" w:sz="4" w:space="0" w:color="auto"/>
            </w:tcBorders>
            <w:shd w:val="clear" w:color="000000" w:fill="D9E1F2"/>
            <w:noWrap/>
            <w:vAlign w:val="bottom"/>
            <w:hideMark/>
          </w:tcPr>
          <w:p w14:paraId="04CC1A8C" w14:textId="15CF667D"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195</w:t>
            </w:r>
            <w:r w:rsidR="00BE57D7" w:rsidRPr="003C7CB1">
              <w:rPr>
                <w:rFonts w:eastAsia="Times New Roman" w:cs="Times New Roman"/>
                <w:b/>
                <w:bCs/>
                <w:color w:val="000000"/>
                <w:sz w:val="20"/>
                <w:szCs w:val="20"/>
              </w:rPr>
              <w:t>.</w:t>
            </w:r>
            <w:r w:rsidRPr="003C7CB1">
              <w:rPr>
                <w:rFonts w:eastAsia="Times New Roman" w:cs="Times New Roman"/>
                <w:b/>
                <w:bCs/>
                <w:color w:val="000000"/>
                <w:sz w:val="20"/>
                <w:szCs w:val="20"/>
              </w:rPr>
              <w:t>700</w:t>
            </w:r>
          </w:p>
        </w:tc>
        <w:tc>
          <w:tcPr>
            <w:tcW w:w="822" w:type="dxa"/>
            <w:tcBorders>
              <w:top w:val="single" w:sz="4" w:space="0" w:color="auto"/>
              <w:left w:val="nil"/>
              <w:right w:val="single" w:sz="4" w:space="0" w:color="auto"/>
            </w:tcBorders>
            <w:shd w:val="clear" w:color="000000" w:fill="D9E1F2"/>
            <w:noWrap/>
            <w:vAlign w:val="bottom"/>
            <w:hideMark/>
          </w:tcPr>
          <w:p w14:paraId="2523238F" w14:textId="34E7141C" w:rsidR="00E0203A" w:rsidRPr="003C7CB1" w:rsidRDefault="00E0203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100</w:t>
            </w:r>
            <w:r w:rsidR="00BE57D7" w:rsidRPr="003C7CB1">
              <w:rPr>
                <w:rFonts w:eastAsia="Times New Roman" w:cs="Times New Roman"/>
                <w:b/>
                <w:bCs/>
                <w:color w:val="000000"/>
                <w:sz w:val="20"/>
                <w:szCs w:val="20"/>
              </w:rPr>
              <w:t>,</w:t>
            </w:r>
            <w:r w:rsidRPr="003C7CB1">
              <w:rPr>
                <w:rFonts w:eastAsia="Times New Roman" w:cs="Times New Roman"/>
                <w:b/>
                <w:bCs/>
                <w:color w:val="000000"/>
                <w:sz w:val="20"/>
                <w:szCs w:val="20"/>
              </w:rPr>
              <w:t>0%</w:t>
            </w:r>
          </w:p>
        </w:tc>
        <w:tc>
          <w:tcPr>
            <w:tcW w:w="1167" w:type="dxa"/>
            <w:tcBorders>
              <w:top w:val="single" w:sz="4" w:space="0" w:color="auto"/>
              <w:left w:val="nil"/>
              <w:right w:val="single" w:sz="4" w:space="0" w:color="auto"/>
            </w:tcBorders>
            <w:shd w:val="clear" w:color="000000" w:fill="D9E1F2"/>
            <w:noWrap/>
            <w:vAlign w:val="bottom"/>
            <w:hideMark/>
          </w:tcPr>
          <w:p w14:paraId="5017EF5A" w14:textId="6922F164" w:rsidR="00E0203A" w:rsidRPr="003C7CB1" w:rsidRDefault="00E52DD4"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 xml:space="preserve">    </w:t>
            </w:r>
            <w:r w:rsidR="00E0203A" w:rsidRPr="003C7CB1">
              <w:rPr>
                <w:rFonts w:eastAsia="Times New Roman" w:cs="Times New Roman"/>
                <w:b/>
                <w:bCs/>
                <w:color w:val="000000"/>
                <w:sz w:val="20"/>
                <w:szCs w:val="20"/>
              </w:rPr>
              <w:t>2</w:t>
            </w:r>
            <w:r w:rsidR="00BE57D7" w:rsidRPr="003C7CB1">
              <w:rPr>
                <w:rFonts w:eastAsia="Times New Roman" w:cs="Times New Roman"/>
                <w:b/>
                <w:bCs/>
                <w:color w:val="000000"/>
                <w:sz w:val="20"/>
                <w:szCs w:val="20"/>
              </w:rPr>
              <w:t>,</w:t>
            </w:r>
            <w:r w:rsidR="00E0203A" w:rsidRPr="003C7CB1">
              <w:rPr>
                <w:rFonts w:eastAsia="Times New Roman" w:cs="Times New Roman"/>
                <w:b/>
                <w:bCs/>
                <w:color w:val="000000"/>
                <w:sz w:val="20"/>
                <w:szCs w:val="20"/>
              </w:rPr>
              <w:t>2%</w:t>
            </w:r>
          </w:p>
        </w:tc>
      </w:tr>
      <w:tr w:rsidR="007B3399" w:rsidRPr="003C7CB1" w14:paraId="76C87BC6" w14:textId="77777777" w:rsidTr="00383257">
        <w:trPr>
          <w:trHeight w:val="319"/>
          <w:jc w:val="center"/>
        </w:trPr>
        <w:tc>
          <w:tcPr>
            <w:tcW w:w="9607" w:type="dxa"/>
            <w:gridSpan w:val="9"/>
            <w:shd w:val="clear" w:color="auto" w:fill="auto"/>
            <w:vAlign w:val="bottom"/>
          </w:tcPr>
          <w:p w14:paraId="3DD38600" w14:textId="5E441F6E" w:rsidR="007B3399" w:rsidRPr="003C7CB1" w:rsidRDefault="003A0238" w:rsidP="00353B47">
            <w:pPr>
              <w:spacing w:after="120" w:line="240" w:lineRule="auto"/>
              <w:rPr>
                <w:rFonts w:eastAsia="Times New Roman" w:cs="Times New Roman"/>
                <w:bCs/>
                <w:i/>
                <w:color w:val="000000"/>
                <w:sz w:val="20"/>
                <w:szCs w:val="20"/>
              </w:rPr>
            </w:pPr>
            <w:r w:rsidRPr="003C7CB1">
              <w:rPr>
                <w:rFonts w:eastAsia="Times New Roman" w:cs="Times New Roman"/>
                <w:bCs/>
                <w:i/>
                <w:color w:val="000000"/>
                <w:sz w:val="20"/>
                <w:szCs w:val="20"/>
              </w:rPr>
              <w:t>Source: MONSTAT, processing by the Ministry of Economic Development</w:t>
            </w:r>
          </w:p>
        </w:tc>
      </w:tr>
    </w:tbl>
    <w:p w14:paraId="64F466BA" w14:textId="77777777" w:rsidR="00A05A97" w:rsidRPr="003C7CB1" w:rsidRDefault="00A05A97" w:rsidP="00834591">
      <w:bookmarkStart w:id="182" w:name="_Toc91284361"/>
      <w:bookmarkStart w:id="183" w:name="_Toc91285551"/>
      <w:bookmarkStart w:id="184" w:name="_Toc91286195"/>
      <w:bookmarkStart w:id="185" w:name="_Toc91286342"/>
      <w:bookmarkStart w:id="186" w:name="_Toc91286721"/>
      <w:bookmarkStart w:id="187" w:name="_Toc91461503"/>
      <w:bookmarkStart w:id="188" w:name="_Toc91500033"/>
      <w:bookmarkStart w:id="189" w:name="_Toc91500524"/>
      <w:bookmarkStart w:id="190" w:name="_Toc91518941"/>
      <w:bookmarkStart w:id="191" w:name="_Toc91521928"/>
      <w:bookmarkStart w:id="192" w:name="_Toc95303039"/>
    </w:p>
    <w:bookmarkEnd w:id="182"/>
    <w:bookmarkEnd w:id="183"/>
    <w:bookmarkEnd w:id="184"/>
    <w:bookmarkEnd w:id="185"/>
    <w:bookmarkEnd w:id="186"/>
    <w:bookmarkEnd w:id="187"/>
    <w:bookmarkEnd w:id="188"/>
    <w:bookmarkEnd w:id="189"/>
    <w:bookmarkEnd w:id="190"/>
    <w:bookmarkEnd w:id="191"/>
    <w:bookmarkEnd w:id="192"/>
    <w:p w14:paraId="57B1575C" w14:textId="5DB27962" w:rsidR="00E0203A" w:rsidRPr="003C7CB1" w:rsidRDefault="00834591" w:rsidP="00054272">
      <w:pPr>
        <w:spacing w:after="120" w:line="240" w:lineRule="auto"/>
        <w:jc w:val="center"/>
      </w:pPr>
      <w:r w:rsidRPr="003C7CB1">
        <w:rPr>
          <w:b/>
        </w:rPr>
        <w:t>Graph No. 13 - Model of growth of accommodation capacities of Montenegro until 2025</w:t>
      </w:r>
      <w:r w:rsidR="00E0203A" w:rsidRPr="003C7CB1">
        <w:rPr>
          <w:noProof/>
        </w:rPr>
        <w:drawing>
          <wp:inline distT="0" distB="0" distL="0" distR="0" wp14:anchorId="794E7C0A" wp14:editId="4706843E">
            <wp:extent cx="5305425" cy="3061335"/>
            <wp:effectExtent l="0" t="0" r="9525" b="5715"/>
            <wp:docPr id="39" name="Chart 39">
              <a:extLst xmlns:a="http://schemas.openxmlformats.org/drawingml/2006/main">
                <a:ext uri="{FF2B5EF4-FFF2-40B4-BE49-F238E27FC236}">
                  <a16:creationId xmlns:a16="http://schemas.microsoft.com/office/drawing/2014/main" id="{69CC5EAC-1AF0-864D-AE3C-6DFE886CE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9714A06" w14:textId="574B3975" w:rsidR="008C5662" w:rsidRPr="003C7CB1" w:rsidRDefault="00353B47" w:rsidP="00353B47">
      <w:pPr>
        <w:spacing w:after="120" w:line="240" w:lineRule="auto"/>
        <w:rPr>
          <w:i/>
          <w:sz w:val="20"/>
          <w:szCs w:val="20"/>
        </w:rPr>
      </w:pPr>
      <w:r w:rsidRPr="003C7CB1">
        <w:rPr>
          <w:i/>
          <w:sz w:val="20"/>
          <w:szCs w:val="20"/>
        </w:rPr>
        <w:t xml:space="preserve">       </w:t>
      </w:r>
      <w:r w:rsidR="005D5C42" w:rsidRPr="003C7CB1">
        <w:rPr>
          <w:i/>
          <w:sz w:val="20"/>
          <w:szCs w:val="20"/>
        </w:rPr>
        <w:t>Source: MONSTAT, processing by the Ministry of Economic Development</w:t>
      </w:r>
    </w:p>
    <w:p w14:paraId="3EC9D71A" w14:textId="4DD89792" w:rsidR="00044AC6" w:rsidRPr="003C7CB1" w:rsidRDefault="005D5C42" w:rsidP="00E372B9">
      <w:pPr>
        <w:spacing w:after="120" w:line="240" w:lineRule="auto"/>
        <w:jc w:val="both"/>
        <w:rPr>
          <w:sz w:val="24"/>
          <w:szCs w:val="24"/>
        </w:rPr>
      </w:pPr>
      <w:r w:rsidRPr="003C7CB1">
        <w:rPr>
          <w:sz w:val="24"/>
          <w:szCs w:val="24"/>
        </w:rPr>
        <w:t xml:space="preserve">According to projections in the Coastal Region in 2025, the number of beds in hotels and similar facilities will be 42,300, which is an increase at an average annual rate of 3.1% in the </w:t>
      </w:r>
      <w:r w:rsidRPr="003C7CB1">
        <w:rPr>
          <w:sz w:val="24"/>
          <w:szCs w:val="24"/>
        </w:rPr>
        <w:lastRenderedPageBreak/>
        <w:t>period from 2019 to 2025. In the same period, when it comes to camps, the growth of their capacities is projected at 5.4%, and private accommodation at 0.6% (Table No. 16 and Graph No. 14</w:t>
      </w:r>
      <w:r w:rsidR="00EB6A52" w:rsidRPr="003C7CB1">
        <w:rPr>
          <w:sz w:val="24"/>
          <w:szCs w:val="24"/>
        </w:rPr>
        <w:t xml:space="preserve">). </w:t>
      </w:r>
      <w:r w:rsidR="000D5640" w:rsidRPr="003C7CB1">
        <w:rPr>
          <w:sz w:val="24"/>
          <w:szCs w:val="24"/>
        </w:rPr>
        <w:t xml:space="preserve"> </w:t>
      </w:r>
    </w:p>
    <w:p w14:paraId="1450F16D" w14:textId="77777777" w:rsidR="00F65EBC" w:rsidRPr="003C7CB1" w:rsidRDefault="00F65EBC" w:rsidP="00E372B9">
      <w:pPr>
        <w:spacing w:after="120" w:line="240" w:lineRule="auto"/>
        <w:jc w:val="both"/>
        <w:rPr>
          <w:sz w:val="24"/>
          <w:szCs w:val="24"/>
        </w:rPr>
      </w:pPr>
    </w:p>
    <w:p w14:paraId="7EE1D74F" w14:textId="2B5E1DD0" w:rsidR="000F5624" w:rsidRPr="003C7CB1" w:rsidRDefault="005D5C42" w:rsidP="008C5662">
      <w:pPr>
        <w:jc w:val="center"/>
        <w:rPr>
          <w:b/>
        </w:rPr>
      </w:pPr>
      <w:r w:rsidRPr="003C7CB1">
        <w:rPr>
          <w:b/>
        </w:rPr>
        <w:t>Table No. 16 - Model of accommodation capacity growth in the Coastal Region until 2025</w:t>
      </w:r>
    </w:p>
    <w:tbl>
      <w:tblPr>
        <w:tblW w:w="10260" w:type="dxa"/>
        <w:tblInd w:w="-545" w:type="dxa"/>
        <w:tblLayout w:type="fixed"/>
        <w:tblLook w:val="04A0" w:firstRow="1" w:lastRow="0" w:firstColumn="1" w:lastColumn="0" w:noHBand="0" w:noVBand="1"/>
      </w:tblPr>
      <w:tblGrid>
        <w:gridCol w:w="1440"/>
        <w:gridCol w:w="1260"/>
        <w:gridCol w:w="810"/>
        <w:gridCol w:w="1350"/>
        <w:gridCol w:w="810"/>
        <w:gridCol w:w="1170"/>
        <w:gridCol w:w="1260"/>
        <w:gridCol w:w="900"/>
        <w:gridCol w:w="1260"/>
      </w:tblGrid>
      <w:tr w:rsidR="000F5624" w:rsidRPr="003C7CB1" w14:paraId="57B53866" w14:textId="77777777" w:rsidTr="007723CA">
        <w:trPr>
          <w:trHeight w:val="415"/>
        </w:trPr>
        <w:tc>
          <w:tcPr>
            <w:tcW w:w="1440"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390DFABE" w14:textId="06BB283C" w:rsidR="000F5624" w:rsidRPr="003C7CB1" w:rsidRDefault="005D5C42" w:rsidP="00BE1C9C">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Accommodation capacities</w:t>
            </w:r>
          </w:p>
        </w:tc>
        <w:tc>
          <w:tcPr>
            <w:tcW w:w="2070" w:type="dxa"/>
            <w:gridSpan w:val="2"/>
            <w:tcBorders>
              <w:top w:val="single" w:sz="4" w:space="0" w:color="auto"/>
              <w:left w:val="nil"/>
              <w:bottom w:val="single" w:sz="4" w:space="0" w:color="auto"/>
              <w:right w:val="single" w:sz="4" w:space="0" w:color="auto"/>
            </w:tcBorders>
            <w:shd w:val="clear" w:color="000000" w:fill="D9E1F2"/>
            <w:noWrap/>
            <w:vAlign w:val="center"/>
            <w:hideMark/>
          </w:tcPr>
          <w:p w14:paraId="68592D67" w14:textId="6CA45A97" w:rsidR="000F5624" w:rsidRPr="003C7CB1" w:rsidRDefault="000F5624" w:rsidP="00BC3891">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2011</w:t>
            </w:r>
          </w:p>
        </w:tc>
        <w:tc>
          <w:tcPr>
            <w:tcW w:w="2160" w:type="dxa"/>
            <w:gridSpan w:val="2"/>
            <w:tcBorders>
              <w:top w:val="single" w:sz="4" w:space="0" w:color="auto"/>
              <w:left w:val="nil"/>
              <w:bottom w:val="single" w:sz="4" w:space="0" w:color="auto"/>
              <w:right w:val="single" w:sz="4" w:space="0" w:color="auto"/>
            </w:tcBorders>
            <w:shd w:val="clear" w:color="000000" w:fill="D9E1F2"/>
            <w:vAlign w:val="center"/>
            <w:hideMark/>
          </w:tcPr>
          <w:p w14:paraId="402FB537" w14:textId="08CA38CB" w:rsidR="000F5624" w:rsidRPr="003C7CB1" w:rsidRDefault="000F5624" w:rsidP="00BC3891">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2019</w:t>
            </w:r>
          </w:p>
        </w:tc>
        <w:tc>
          <w:tcPr>
            <w:tcW w:w="1170" w:type="dxa"/>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0147CEEF" w14:textId="64268B02" w:rsidR="000F5624" w:rsidRPr="003C7CB1" w:rsidRDefault="005D5C42" w:rsidP="00BC3891">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Average annual growth rate </w:t>
            </w:r>
            <w:r w:rsidR="0021453D" w:rsidRPr="003C7CB1">
              <w:rPr>
                <w:rFonts w:ascii="Calibri" w:eastAsia="Times New Roman" w:hAnsi="Calibri" w:cs="Times New Roman"/>
                <w:b/>
                <w:bCs/>
                <w:color w:val="000000"/>
                <w:sz w:val="20"/>
                <w:szCs w:val="20"/>
              </w:rPr>
              <w:t>2019</w:t>
            </w:r>
            <w:r w:rsidRPr="003C7CB1">
              <w:rPr>
                <w:rFonts w:ascii="Calibri" w:eastAsia="Times New Roman" w:hAnsi="Calibri" w:cs="Times New Roman"/>
                <w:b/>
                <w:bCs/>
                <w:color w:val="000000"/>
                <w:sz w:val="20"/>
                <w:szCs w:val="20"/>
              </w:rPr>
              <w:t>/2011</w:t>
            </w:r>
          </w:p>
        </w:tc>
        <w:tc>
          <w:tcPr>
            <w:tcW w:w="2160" w:type="dxa"/>
            <w:gridSpan w:val="2"/>
            <w:tcBorders>
              <w:top w:val="single" w:sz="4" w:space="0" w:color="auto"/>
              <w:left w:val="nil"/>
              <w:bottom w:val="single" w:sz="4" w:space="0" w:color="auto"/>
              <w:right w:val="single" w:sz="4" w:space="0" w:color="auto"/>
            </w:tcBorders>
            <w:shd w:val="clear" w:color="000000" w:fill="D9E1F2"/>
            <w:vAlign w:val="center"/>
            <w:hideMark/>
          </w:tcPr>
          <w:p w14:paraId="3ADA5308" w14:textId="086DFEB4" w:rsidR="000F5624" w:rsidRPr="003C7CB1" w:rsidRDefault="00236F25" w:rsidP="00BC3891">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2025</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4B03A30" w14:textId="0D5E5BFE" w:rsidR="000F5624" w:rsidRPr="003C7CB1" w:rsidRDefault="005D5C42" w:rsidP="00BC3891">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Average annual growth rate </w:t>
            </w:r>
            <w:r w:rsidR="0021453D" w:rsidRPr="003C7CB1">
              <w:rPr>
                <w:rFonts w:ascii="Calibri" w:eastAsia="Times New Roman" w:hAnsi="Calibri" w:cs="Times New Roman"/>
                <w:b/>
                <w:bCs/>
                <w:color w:val="000000"/>
                <w:sz w:val="20"/>
                <w:szCs w:val="20"/>
              </w:rPr>
              <w:t>2025</w:t>
            </w:r>
            <w:r w:rsidR="000F5624" w:rsidRPr="003C7CB1">
              <w:rPr>
                <w:rFonts w:ascii="Calibri" w:eastAsia="Times New Roman" w:hAnsi="Calibri" w:cs="Times New Roman"/>
                <w:b/>
                <w:bCs/>
                <w:color w:val="000000"/>
                <w:sz w:val="20"/>
                <w:szCs w:val="20"/>
              </w:rPr>
              <w:t>/2019</w:t>
            </w:r>
          </w:p>
        </w:tc>
      </w:tr>
      <w:tr w:rsidR="007723CA" w:rsidRPr="003C7CB1" w14:paraId="7AE0D48E" w14:textId="77777777" w:rsidTr="007723CA">
        <w:trPr>
          <w:trHeight w:val="420"/>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5E418FA6" w14:textId="77777777" w:rsidR="000F5624" w:rsidRPr="003C7CB1" w:rsidRDefault="000F5624" w:rsidP="00BE1C9C">
            <w:pPr>
              <w:spacing w:after="0" w:line="240" w:lineRule="auto"/>
              <w:rPr>
                <w:rFonts w:ascii="Calibri" w:eastAsia="Times New Roman" w:hAnsi="Calibri" w:cs="Times New Roman"/>
                <w:b/>
                <w:bCs/>
                <w:color w:val="000000"/>
                <w:sz w:val="20"/>
                <w:szCs w:val="20"/>
              </w:rPr>
            </w:pPr>
          </w:p>
        </w:tc>
        <w:tc>
          <w:tcPr>
            <w:tcW w:w="1260" w:type="dxa"/>
            <w:tcBorders>
              <w:top w:val="nil"/>
              <w:left w:val="nil"/>
              <w:bottom w:val="single" w:sz="4" w:space="0" w:color="auto"/>
              <w:right w:val="single" w:sz="4" w:space="0" w:color="auto"/>
            </w:tcBorders>
            <w:shd w:val="clear" w:color="000000" w:fill="D9E1F2"/>
            <w:noWrap/>
            <w:vAlign w:val="bottom"/>
            <w:hideMark/>
          </w:tcPr>
          <w:p w14:paraId="2B04AF64" w14:textId="2674915D" w:rsidR="00205C88" w:rsidRPr="003C7CB1" w:rsidRDefault="005D5C42" w:rsidP="007723C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Capacity (number of beds)</w:t>
            </w:r>
          </w:p>
        </w:tc>
        <w:tc>
          <w:tcPr>
            <w:tcW w:w="810" w:type="dxa"/>
            <w:tcBorders>
              <w:top w:val="nil"/>
              <w:left w:val="nil"/>
              <w:bottom w:val="single" w:sz="4" w:space="0" w:color="auto"/>
              <w:right w:val="single" w:sz="4" w:space="0" w:color="auto"/>
            </w:tcBorders>
            <w:shd w:val="clear" w:color="000000" w:fill="D9E1F2"/>
            <w:noWrap/>
            <w:vAlign w:val="bottom"/>
            <w:hideMark/>
          </w:tcPr>
          <w:p w14:paraId="3271E173" w14:textId="77777777" w:rsidR="005D5C42" w:rsidRPr="003C7CB1" w:rsidRDefault="005D5C42" w:rsidP="005D5C42">
            <w:pPr>
              <w:spacing w:after="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Partici</w:t>
            </w:r>
            <w:proofErr w:type="spellEnd"/>
          </w:p>
          <w:p w14:paraId="6DC9523D" w14:textId="55E2D41D" w:rsidR="000F5624" w:rsidRPr="003C7CB1" w:rsidRDefault="005D5C42" w:rsidP="005D5C42">
            <w:pPr>
              <w:spacing w:after="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pation</w:t>
            </w:r>
            <w:proofErr w:type="spellEnd"/>
          </w:p>
        </w:tc>
        <w:tc>
          <w:tcPr>
            <w:tcW w:w="1350" w:type="dxa"/>
            <w:tcBorders>
              <w:top w:val="nil"/>
              <w:left w:val="nil"/>
              <w:bottom w:val="single" w:sz="4" w:space="0" w:color="auto"/>
              <w:right w:val="single" w:sz="4" w:space="0" w:color="auto"/>
            </w:tcBorders>
            <w:shd w:val="clear" w:color="000000" w:fill="D9E1F2"/>
            <w:noWrap/>
            <w:vAlign w:val="bottom"/>
            <w:hideMark/>
          </w:tcPr>
          <w:p w14:paraId="167F0365" w14:textId="3F00D464" w:rsidR="00205C88" w:rsidRPr="003C7CB1" w:rsidRDefault="005D5C42" w:rsidP="007723C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Capacity (number of beds)</w:t>
            </w:r>
          </w:p>
        </w:tc>
        <w:tc>
          <w:tcPr>
            <w:tcW w:w="810" w:type="dxa"/>
            <w:tcBorders>
              <w:top w:val="nil"/>
              <w:left w:val="nil"/>
              <w:bottom w:val="single" w:sz="4" w:space="0" w:color="auto"/>
              <w:right w:val="single" w:sz="4" w:space="0" w:color="auto"/>
            </w:tcBorders>
            <w:shd w:val="clear" w:color="000000" w:fill="D9E1F2"/>
            <w:noWrap/>
            <w:vAlign w:val="bottom"/>
            <w:hideMark/>
          </w:tcPr>
          <w:p w14:paraId="2503D2DB" w14:textId="77777777" w:rsidR="005D5C42" w:rsidRPr="003C7CB1" w:rsidRDefault="005D5C42" w:rsidP="005D5C42">
            <w:pPr>
              <w:spacing w:after="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Partici</w:t>
            </w:r>
            <w:proofErr w:type="spellEnd"/>
          </w:p>
          <w:p w14:paraId="21B208E5" w14:textId="1EBCE896" w:rsidR="000F5624" w:rsidRPr="003C7CB1" w:rsidRDefault="005D5C42" w:rsidP="005D5C42">
            <w:pPr>
              <w:spacing w:after="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pation</w:t>
            </w:r>
            <w:proofErr w:type="spellEnd"/>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460BEC71" w14:textId="77777777" w:rsidR="000F5624" w:rsidRPr="003C7CB1" w:rsidRDefault="000F5624" w:rsidP="00BC3891">
            <w:pPr>
              <w:spacing w:after="0" w:line="240" w:lineRule="auto"/>
              <w:jc w:val="center"/>
              <w:rPr>
                <w:rFonts w:ascii="Calibri" w:eastAsia="Times New Roman" w:hAnsi="Calibri" w:cs="Times New Roman"/>
                <w:b/>
                <w:bCs/>
                <w:color w:val="000000"/>
                <w:sz w:val="20"/>
                <w:szCs w:val="20"/>
              </w:rPr>
            </w:pPr>
          </w:p>
        </w:tc>
        <w:tc>
          <w:tcPr>
            <w:tcW w:w="1260" w:type="dxa"/>
            <w:tcBorders>
              <w:top w:val="nil"/>
              <w:left w:val="nil"/>
              <w:bottom w:val="single" w:sz="4" w:space="0" w:color="auto"/>
              <w:right w:val="single" w:sz="4" w:space="0" w:color="auto"/>
            </w:tcBorders>
            <w:shd w:val="clear" w:color="000000" w:fill="D9E1F2"/>
            <w:noWrap/>
            <w:vAlign w:val="bottom"/>
            <w:hideMark/>
          </w:tcPr>
          <w:p w14:paraId="105A8256" w14:textId="35637E03" w:rsidR="00205C88" w:rsidRPr="003C7CB1" w:rsidRDefault="005D5C42" w:rsidP="007723C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Capacity (number of beds)</w:t>
            </w:r>
          </w:p>
        </w:tc>
        <w:tc>
          <w:tcPr>
            <w:tcW w:w="900" w:type="dxa"/>
            <w:tcBorders>
              <w:top w:val="nil"/>
              <w:left w:val="nil"/>
              <w:bottom w:val="single" w:sz="4" w:space="0" w:color="auto"/>
              <w:right w:val="single" w:sz="4" w:space="0" w:color="auto"/>
            </w:tcBorders>
            <w:shd w:val="clear" w:color="000000" w:fill="D9E1F2"/>
            <w:noWrap/>
            <w:vAlign w:val="bottom"/>
            <w:hideMark/>
          </w:tcPr>
          <w:p w14:paraId="7B2EE2C4" w14:textId="77777777" w:rsidR="005D5C42" w:rsidRPr="003C7CB1" w:rsidRDefault="005D5C42" w:rsidP="005D5C42">
            <w:pPr>
              <w:spacing w:after="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Partici</w:t>
            </w:r>
            <w:proofErr w:type="spellEnd"/>
          </w:p>
          <w:p w14:paraId="7B46CD31" w14:textId="50BE627A" w:rsidR="000F5624" w:rsidRPr="003C7CB1" w:rsidRDefault="005D5C42" w:rsidP="005D5C42">
            <w:pPr>
              <w:spacing w:after="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pation</w:t>
            </w:r>
            <w:proofErr w:type="spellEnd"/>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63ADA98" w14:textId="77777777" w:rsidR="000F5624" w:rsidRPr="003C7CB1" w:rsidRDefault="000F5624" w:rsidP="00BC3891">
            <w:pPr>
              <w:spacing w:after="0" w:line="240" w:lineRule="auto"/>
              <w:jc w:val="center"/>
              <w:rPr>
                <w:rFonts w:ascii="Calibri" w:eastAsia="Times New Roman" w:hAnsi="Calibri" w:cs="Times New Roman"/>
                <w:b/>
                <w:bCs/>
                <w:color w:val="000000"/>
                <w:sz w:val="20"/>
                <w:szCs w:val="20"/>
              </w:rPr>
            </w:pPr>
          </w:p>
        </w:tc>
      </w:tr>
      <w:tr w:rsidR="007723CA" w:rsidRPr="003C7CB1" w14:paraId="75D5D8B4"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73589" w14:textId="410FBFAB" w:rsidR="000F5624" w:rsidRPr="003C7CB1" w:rsidRDefault="005D5C42"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Hotels and similar facilities</w:t>
            </w:r>
          </w:p>
        </w:tc>
        <w:tc>
          <w:tcPr>
            <w:tcW w:w="1260" w:type="dxa"/>
            <w:tcBorders>
              <w:top w:val="nil"/>
              <w:left w:val="nil"/>
              <w:bottom w:val="single" w:sz="4" w:space="0" w:color="auto"/>
              <w:right w:val="single" w:sz="4" w:space="0" w:color="auto"/>
            </w:tcBorders>
            <w:shd w:val="clear" w:color="auto" w:fill="auto"/>
            <w:noWrap/>
            <w:vAlign w:val="bottom"/>
            <w:hideMark/>
          </w:tcPr>
          <w:p w14:paraId="2CDD9C9E" w14:textId="0AEBEC8E"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262</w:t>
            </w:r>
          </w:p>
        </w:tc>
        <w:tc>
          <w:tcPr>
            <w:tcW w:w="810" w:type="dxa"/>
            <w:tcBorders>
              <w:top w:val="nil"/>
              <w:left w:val="nil"/>
              <w:bottom w:val="single" w:sz="4" w:space="0" w:color="auto"/>
              <w:right w:val="single" w:sz="4" w:space="0" w:color="auto"/>
            </w:tcBorders>
            <w:shd w:val="clear" w:color="auto" w:fill="auto"/>
            <w:noWrap/>
            <w:vAlign w:val="bottom"/>
            <w:hideMark/>
          </w:tcPr>
          <w:p w14:paraId="4CCE16B0" w14:textId="0ADBAAB1"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19494E1C" w14:textId="54D4E7B6"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35</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289</w:t>
            </w:r>
          </w:p>
        </w:tc>
        <w:tc>
          <w:tcPr>
            <w:tcW w:w="810" w:type="dxa"/>
            <w:tcBorders>
              <w:top w:val="nil"/>
              <w:left w:val="nil"/>
              <w:bottom w:val="single" w:sz="4" w:space="0" w:color="auto"/>
              <w:right w:val="single" w:sz="4" w:space="0" w:color="auto"/>
            </w:tcBorders>
            <w:shd w:val="clear" w:color="auto" w:fill="auto"/>
            <w:noWrap/>
            <w:vAlign w:val="bottom"/>
            <w:hideMark/>
          </w:tcPr>
          <w:p w14:paraId="2C46386D" w14:textId="23DCF213"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18</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170" w:type="dxa"/>
            <w:tcBorders>
              <w:top w:val="nil"/>
              <w:left w:val="nil"/>
              <w:bottom w:val="single" w:sz="4" w:space="0" w:color="auto"/>
              <w:right w:val="single" w:sz="4" w:space="0" w:color="auto"/>
            </w:tcBorders>
            <w:shd w:val="clear" w:color="auto" w:fill="auto"/>
            <w:noWrap/>
            <w:vAlign w:val="bottom"/>
            <w:hideMark/>
          </w:tcPr>
          <w:p w14:paraId="1CEF868A" w14:textId="7E548C23"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bottom"/>
            <w:hideMark/>
          </w:tcPr>
          <w:p w14:paraId="2C0926EA" w14:textId="3DE6FF3A"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300</w:t>
            </w:r>
          </w:p>
        </w:tc>
        <w:tc>
          <w:tcPr>
            <w:tcW w:w="900" w:type="dxa"/>
            <w:tcBorders>
              <w:top w:val="nil"/>
              <w:left w:val="nil"/>
              <w:bottom w:val="single" w:sz="4" w:space="0" w:color="auto"/>
              <w:right w:val="single" w:sz="4" w:space="0" w:color="auto"/>
            </w:tcBorders>
            <w:shd w:val="clear" w:color="auto" w:fill="auto"/>
            <w:noWrap/>
            <w:vAlign w:val="bottom"/>
            <w:hideMark/>
          </w:tcPr>
          <w:p w14:paraId="76269D1F" w14:textId="04C58540"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bottom"/>
            <w:hideMark/>
          </w:tcPr>
          <w:p w14:paraId="42669E5B" w14:textId="710B0146"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r>
      <w:tr w:rsidR="007723CA" w:rsidRPr="003C7CB1" w14:paraId="2DE9B03E"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774D1" w14:textId="77777777" w:rsidR="000F5624" w:rsidRPr="003C7CB1" w:rsidRDefault="000F5624"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5</w:t>
            </w:r>
            <w:r w:rsidR="00EB6A52" w:rsidRPr="003C7CB1">
              <w:rPr>
                <w:rFonts w:ascii="Calibri" w:eastAsia="Times New Roman" w:hAnsi="Calibri" w:cs="Times New Roman"/>
                <w:b/>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579407A" w14:textId="58831711"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310</w:t>
            </w:r>
          </w:p>
        </w:tc>
        <w:tc>
          <w:tcPr>
            <w:tcW w:w="810" w:type="dxa"/>
            <w:tcBorders>
              <w:top w:val="nil"/>
              <w:left w:val="nil"/>
              <w:bottom w:val="single" w:sz="4" w:space="0" w:color="auto"/>
              <w:right w:val="single" w:sz="4" w:space="0" w:color="auto"/>
            </w:tcBorders>
            <w:shd w:val="clear" w:color="auto" w:fill="auto"/>
            <w:noWrap/>
            <w:vAlign w:val="bottom"/>
            <w:hideMark/>
          </w:tcPr>
          <w:p w14:paraId="47AB7E42" w14:textId="77777777" w:rsidR="000F5624" w:rsidRPr="003C7CB1" w:rsidRDefault="000F5624" w:rsidP="00BE1C9C">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19178039" w14:textId="06CA239D"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335</w:t>
            </w:r>
          </w:p>
        </w:tc>
        <w:tc>
          <w:tcPr>
            <w:tcW w:w="810" w:type="dxa"/>
            <w:tcBorders>
              <w:top w:val="nil"/>
              <w:left w:val="nil"/>
              <w:bottom w:val="single" w:sz="4" w:space="0" w:color="auto"/>
              <w:right w:val="single" w:sz="4" w:space="0" w:color="auto"/>
            </w:tcBorders>
            <w:shd w:val="clear" w:color="auto" w:fill="auto"/>
            <w:noWrap/>
            <w:vAlign w:val="bottom"/>
            <w:hideMark/>
          </w:tcPr>
          <w:p w14:paraId="359EC0CE" w14:textId="144B51CD"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170" w:type="dxa"/>
            <w:tcBorders>
              <w:top w:val="nil"/>
              <w:left w:val="nil"/>
              <w:bottom w:val="single" w:sz="4" w:space="0" w:color="auto"/>
              <w:right w:val="single" w:sz="4" w:space="0" w:color="auto"/>
            </w:tcBorders>
            <w:shd w:val="clear" w:color="auto" w:fill="auto"/>
            <w:noWrap/>
            <w:vAlign w:val="bottom"/>
            <w:hideMark/>
          </w:tcPr>
          <w:p w14:paraId="26577E39" w14:textId="32EB3BEA"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bottom"/>
            <w:hideMark/>
          </w:tcPr>
          <w:p w14:paraId="05920CF4" w14:textId="0A8A7089"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4F07A19D" w14:textId="0D700CA9"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w:t>
            </w:r>
          </w:p>
        </w:tc>
        <w:tc>
          <w:tcPr>
            <w:tcW w:w="1260" w:type="dxa"/>
            <w:tcBorders>
              <w:top w:val="nil"/>
              <w:left w:val="nil"/>
              <w:bottom w:val="single" w:sz="4" w:space="0" w:color="auto"/>
              <w:right w:val="single" w:sz="4" w:space="0" w:color="auto"/>
            </w:tcBorders>
            <w:shd w:val="clear" w:color="auto" w:fill="auto"/>
            <w:noWrap/>
            <w:vAlign w:val="bottom"/>
            <w:hideMark/>
          </w:tcPr>
          <w:p w14:paraId="72CFEDFB" w14:textId="10264465"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9</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r>
      <w:tr w:rsidR="007723CA" w:rsidRPr="003C7CB1" w14:paraId="2ED05C6A"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B1050" w14:textId="77777777" w:rsidR="000F5624" w:rsidRPr="003C7CB1" w:rsidRDefault="000F5624"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4</w:t>
            </w:r>
            <w:r w:rsidR="00EB6A52" w:rsidRPr="003C7CB1">
              <w:rPr>
                <w:rFonts w:ascii="Calibri" w:eastAsia="Times New Roman" w:hAnsi="Calibri" w:cs="Times New Roman"/>
                <w:b/>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E4DCC71" w14:textId="29EDB9E7"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707</w:t>
            </w:r>
          </w:p>
        </w:tc>
        <w:tc>
          <w:tcPr>
            <w:tcW w:w="810" w:type="dxa"/>
            <w:tcBorders>
              <w:top w:val="nil"/>
              <w:left w:val="nil"/>
              <w:bottom w:val="single" w:sz="4" w:space="0" w:color="auto"/>
              <w:right w:val="single" w:sz="4" w:space="0" w:color="auto"/>
            </w:tcBorders>
            <w:shd w:val="clear" w:color="auto" w:fill="auto"/>
            <w:noWrap/>
            <w:vAlign w:val="bottom"/>
            <w:hideMark/>
          </w:tcPr>
          <w:p w14:paraId="29A8DCCD" w14:textId="77777777" w:rsidR="000F5624" w:rsidRPr="003C7CB1" w:rsidRDefault="000F5624" w:rsidP="00BE1C9C">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4E2B5E77" w14:textId="13C4E021"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19</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071</w:t>
            </w:r>
          </w:p>
        </w:tc>
        <w:tc>
          <w:tcPr>
            <w:tcW w:w="810" w:type="dxa"/>
            <w:tcBorders>
              <w:top w:val="nil"/>
              <w:left w:val="nil"/>
              <w:bottom w:val="single" w:sz="4" w:space="0" w:color="auto"/>
              <w:right w:val="single" w:sz="4" w:space="0" w:color="auto"/>
            </w:tcBorders>
            <w:shd w:val="clear" w:color="auto" w:fill="auto"/>
            <w:noWrap/>
            <w:vAlign w:val="bottom"/>
            <w:hideMark/>
          </w:tcPr>
          <w:p w14:paraId="70D3EBB2" w14:textId="65416E84"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9</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bottom"/>
            <w:hideMark/>
          </w:tcPr>
          <w:p w14:paraId="0D05FE28" w14:textId="3FDCEAAC"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39F40CFD" w14:textId="7060C0A7"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28</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800</w:t>
            </w:r>
          </w:p>
        </w:tc>
        <w:tc>
          <w:tcPr>
            <w:tcW w:w="900" w:type="dxa"/>
            <w:tcBorders>
              <w:top w:val="nil"/>
              <w:left w:val="nil"/>
              <w:bottom w:val="single" w:sz="4" w:space="0" w:color="auto"/>
              <w:right w:val="single" w:sz="4" w:space="0" w:color="auto"/>
            </w:tcBorders>
            <w:shd w:val="clear" w:color="auto" w:fill="auto"/>
            <w:noWrap/>
            <w:vAlign w:val="bottom"/>
            <w:hideMark/>
          </w:tcPr>
          <w:p w14:paraId="62A3122F" w14:textId="587282C4"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13</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w:t>
            </w:r>
          </w:p>
        </w:tc>
        <w:tc>
          <w:tcPr>
            <w:tcW w:w="1260" w:type="dxa"/>
            <w:tcBorders>
              <w:top w:val="nil"/>
              <w:left w:val="nil"/>
              <w:bottom w:val="single" w:sz="4" w:space="0" w:color="auto"/>
              <w:right w:val="single" w:sz="4" w:space="0" w:color="auto"/>
            </w:tcBorders>
            <w:shd w:val="clear" w:color="auto" w:fill="auto"/>
            <w:noWrap/>
            <w:vAlign w:val="bottom"/>
            <w:hideMark/>
          </w:tcPr>
          <w:p w14:paraId="24FD91D5" w14:textId="40478463"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r>
      <w:tr w:rsidR="007723CA" w:rsidRPr="003C7CB1" w14:paraId="3183DF2C"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625A7" w14:textId="77777777" w:rsidR="000F5624" w:rsidRPr="003C7CB1" w:rsidRDefault="000F5624"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3</w:t>
            </w:r>
            <w:r w:rsidR="00EB6A52" w:rsidRPr="003C7CB1">
              <w:rPr>
                <w:rFonts w:ascii="Calibri" w:eastAsia="Times New Roman" w:hAnsi="Calibri" w:cs="Times New Roman"/>
                <w:b/>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18F34A8" w14:textId="768A96FB"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068</w:t>
            </w:r>
          </w:p>
        </w:tc>
        <w:tc>
          <w:tcPr>
            <w:tcW w:w="810" w:type="dxa"/>
            <w:tcBorders>
              <w:top w:val="nil"/>
              <w:left w:val="nil"/>
              <w:bottom w:val="single" w:sz="4" w:space="0" w:color="auto"/>
              <w:right w:val="single" w:sz="4" w:space="0" w:color="auto"/>
            </w:tcBorders>
            <w:shd w:val="clear" w:color="auto" w:fill="auto"/>
            <w:noWrap/>
            <w:vAlign w:val="bottom"/>
            <w:hideMark/>
          </w:tcPr>
          <w:p w14:paraId="1DE40BB1" w14:textId="77777777" w:rsidR="000F5624" w:rsidRPr="003C7CB1" w:rsidRDefault="000F5624" w:rsidP="00BE1C9C">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50A1461D" w14:textId="02D71E45"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443</w:t>
            </w:r>
          </w:p>
        </w:tc>
        <w:tc>
          <w:tcPr>
            <w:tcW w:w="810" w:type="dxa"/>
            <w:tcBorders>
              <w:top w:val="nil"/>
              <w:left w:val="nil"/>
              <w:bottom w:val="single" w:sz="4" w:space="0" w:color="auto"/>
              <w:right w:val="single" w:sz="4" w:space="0" w:color="auto"/>
            </w:tcBorders>
            <w:shd w:val="clear" w:color="auto" w:fill="auto"/>
            <w:noWrap/>
            <w:vAlign w:val="bottom"/>
            <w:hideMark/>
          </w:tcPr>
          <w:p w14:paraId="560BA4F2" w14:textId="313E78DD"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bottom"/>
            <w:hideMark/>
          </w:tcPr>
          <w:p w14:paraId="17C3ACA9" w14:textId="066203FA"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6%</w:t>
            </w:r>
          </w:p>
        </w:tc>
        <w:tc>
          <w:tcPr>
            <w:tcW w:w="1260" w:type="dxa"/>
            <w:tcBorders>
              <w:top w:val="nil"/>
              <w:left w:val="nil"/>
              <w:bottom w:val="single" w:sz="4" w:space="0" w:color="auto"/>
              <w:right w:val="single" w:sz="4" w:space="0" w:color="auto"/>
            </w:tcBorders>
            <w:shd w:val="clear" w:color="auto" w:fill="auto"/>
            <w:noWrap/>
            <w:vAlign w:val="bottom"/>
            <w:hideMark/>
          </w:tcPr>
          <w:p w14:paraId="48C39394" w14:textId="02381D33"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8</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500</w:t>
            </w:r>
          </w:p>
        </w:tc>
        <w:tc>
          <w:tcPr>
            <w:tcW w:w="900" w:type="dxa"/>
            <w:tcBorders>
              <w:top w:val="nil"/>
              <w:left w:val="nil"/>
              <w:bottom w:val="single" w:sz="4" w:space="0" w:color="auto"/>
              <w:right w:val="single" w:sz="4" w:space="0" w:color="auto"/>
            </w:tcBorders>
            <w:shd w:val="clear" w:color="auto" w:fill="auto"/>
            <w:noWrap/>
            <w:vAlign w:val="bottom"/>
            <w:hideMark/>
          </w:tcPr>
          <w:p w14:paraId="120179D9" w14:textId="3A4CA12F"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260" w:type="dxa"/>
            <w:tcBorders>
              <w:top w:val="nil"/>
              <w:left w:val="nil"/>
              <w:bottom w:val="single" w:sz="4" w:space="0" w:color="auto"/>
              <w:right w:val="single" w:sz="4" w:space="0" w:color="auto"/>
            </w:tcBorders>
            <w:shd w:val="clear" w:color="auto" w:fill="auto"/>
            <w:noWrap/>
            <w:vAlign w:val="bottom"/>
            <w:hideMark/>
          </w:tcPr>
          <w:p w14:paraId="5DAC2E94" w14:textId="522AB7DC"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r>
      <w:tr w:rsidR="007723CA" w:rsidRPr="003C7CB1" w14:paraId="3389F32A"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157B0B" w14:textId="77777777" w:rsidR="000F5624" w:rsidRPr="003C7CB1" w:rsidRDefault="000F5624"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2</w:t>
            </w:r>
            <w:r w:rsidR="00EB6A52" w:rsidRPr="003C7CB1">
              <w:rPr>
                <w:rFonts w:ascii="Calibri" w:eastAsia="Times New Roman" w:hAnsi="Calibri" w:cs="Times New Roman"/>
                <w:b/>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21E2996" w14:textId="4AAE557E"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154</w:t>
            </w:r>
          </w:p>
        </w:tc>
        <w:tc>
          <w:tcPr>
            <w:tcW w:w="810" w:type="dxa"/>
            <w:tcBorders>
              <w:top w:val="nil"/>
              <w:left w:val="nil"/>
              <w:bottom w:val="single" w:sz="4" w:space="0" w:color="auto"/>
              <w:right w:val="single" w:sz="4" w:space="0" w:color="auto"/>
            </w:tcBorders>
            <w:shd w:val="clear" w:color="auto" w:fill="auto"/>
            <w:noWrap/>
            <w:vAlign w:val="bottom"/>
            <w:hideMark/>
          </w:tcPr>
          <w:p w14:paraId="0A2E6278" w14:textId="77777777" w:rsidR="000F5624" w:rsidRPr="003C7CB1" w:rsidRDefault="000F5624" w:rsidP="00BE1C9C">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30845C8D" w14:textId="11B0ED19"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735</w:t>
            </w:r>
          </w:p>
        </w:tc>
        <w:tc>
          <w:tcPr>
            <w:tcW w:w="810" w:type="dxa"/>
            <w:tcBorders>
              <w:top w:val="nil"/>
              <w:left w:val="nil"/>
              <w:bottom w:val="single" w:sz="4" w:space="0" w:color="auto"/>
              <w:right w:val="single" w:sz="4" w:space="0" w:color="auto"/>
            </w:tcBorders>
            <w:shd w:val="clear" w:color="auto" w:fill="auto"/>
            <w:noWrap/>
            <w:vAlign w:val="bottom"/>
            <w:hideMark/>
          </w:tcPr>
          <w:p w14:paraId="60DF6796" w14:textId="1CF13C0B"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c>
          <w:tcPr>
            <w:tcW w:w="1170" w:type="dxa"/>
            <w:tcBorders>
              <w:top w:val="nil"/>
              <w:left w:val="nil"/>
              <w:bottom w:val="single" w:sz="4" w:space="0" w:color="auto"/>
              <w:right w:val="single" w:sz="4" w:space="0" w:color="auto"/>
            </w:tcBorders>
            <w:shd w:val="clear" w:color="auto" w:fill="auto"/>
            <w:noWrap/>
            <w:vAlign w:val="bottom"/>
            <w:hideMark/>
          </w:tcPr>
          <w:p w14:paraId="7595C193" w14:textId="09518273"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260" w:type="dxa"/>
            <w:tcBorders>
              <w:top w:val="nil"/>
              <w:left w:val="nil"/>
              <w:bottom w:val="single" w:sz="4" w:space="0" w:color="auto"/>
              <w:right w:val="single" w:sz="4" w:space="0" w:color="auto"/>
            </w:tcBorders>
            <w:shd w:val="clear" w:color="auto" w:fill="auto"/>
            <w:noWrap/>
            <w:vAlign w:val="bottom"/>
            <w:hideMark/>
          </w:tcPr>
          <w:p w14:paraId="0D302DAD" w14:textId="455790C5"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0C54F056" w14:textId="5A63810B"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bottom"/>
            <w:hideMark/>
          </w:tcPr>
          <w:p w14:paraId="3194C658" w14:textId="5D6B4728"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w:t>
            </w:r>
          </w:p>
        </w:tc>
      </w:tr>
      <w:tr w:rsidR="007723CA" w:rsidRPr="003C7CB1" w14:paraId="13EBDD5C"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4259E4" w14:textId="77777777" w:rsidR="000F5624" w:rsidRPr="003C7CB1" w:rsidRDefault="000F5624"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1</w:t>
            </w:r>
            <w:r w:rsidR="00EB6A52" w:rsidRPr="003C7CB1">
              <w:rPr>
                <w:rFonts w:ascii="Calibri" w:eastAsia="Times New Roman" w:hAnsi="Calibri" w:cs="Times New Roman"/>
                <w:b/>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627F4C2E" w14:textId="6C8AF62A"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023</w:t>
            </w:r>
          </w:p>
        </w:tc>
        <w:tc>
          <w:tcPr>
            <w:tcW w:w="810" w:type="dxa"/>
            <w:tcBorders>
              <w:top w:val="nil"/>
              <w:left w:val="nil"/>
              <w:bottom w:val="single" w:sz="4" w:space="0" w:color="auto"/>
              <w:right w:val="single" w:sz="4" w:space="0" w:color="auto"/>
            </w:tcBorders>
            <w:shd w:val="clear" w:color="auto" w:fill="auto"/>
            <w:noWrap/>
            <w:vAlign w:val="bottom"/>
            <w:hideMark/>
          </w:tcPr>
          <w:p w14:paraId="489A5E12" w14:textId="77777777" w:rsidR="000F5624" w:rsidRPr="003C7CB1" w:rsidRDefault="000F5624" w:rsidP="00BE1C9C">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6517BED0" w14:textId="4B849C1E"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705</w:t>
            </w:r>
          </w:p>
        </w:tc>
        <w:tc>
          <w:tcPr>
            <w:tcW w:w="810" w:type="dxa"/>
            <w:tcBorders>
              <w:top w:val="nil"/>
              <w:left w:val="nil"/>
              <w:bottom w:val="single" w:sz="4" w:space="0" w:color="auto"/>
              <w:right w:val="single" w:sz="4" w:space="0" w:color="auto"/>
            </w:tcBorders>
            <w:shd w:val="clear" w:color="auto" w:fill="auto"/>
            <w:noWrap/>
            <w:vAlign w:val="bottom"/>
            <w:hideMark/>
          </w:tcPr>
          <w:p w14:paraId="5B002F71" w14:textId="2898551D"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w:t>
            </w:r>
          </w:p>
        </w:tc>
        <w:tc>
          <w:tcPr>
            <w:tcW w:w="1170" w:type="dxa"/>
            <w:tcBorders>
              <w:top w:val="nil"/>
              <w:left w:val="nil"/>
              <w:bottom w:val="single" w:sz="4" w:space="0" w:color="auto"/>
              <w:right w:val="single" w:sz="4" w:space="0" w:color="auto"/>
            </w:tcBorders>
            <w:shd w:val="clear" w:color="auto" w:fill="auto"/>
            <w:noWrap/>
            <w:vAlign w:val="bottom"/>
            <w:hideMark/>
          </w:tcPr>
          <w:p w14:paraId="3128E1E3" w14:textId="64D0989C"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bottom"/>
            <w:hideMark/>
          </w:tcPr>
          <w:p w14:paraId="086E8128" w14:textId="77777777"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14:paraId="125D9E25" w14:textId="77777777"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2C88B747" w14:textId="45AE8265"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-100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r>
      <w:tr w:rsidR="007723CA" w:rsidRPr="003C7CB1" w14:paraId="43DD2BC9"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97DF99" w14:textId="53FE9E69" w:rsidR="000F5624" w:rsidRPr="003C7CB1" w:rsidRDefault="005D5C42"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Camps</w:t>
            </w:r>
          </w:p>
        </w:tc>
        <w:tc>
          <w:tcPr>
            <w:tcW w:w="1260" w:type="dxa"/>
            <w:tcBorders>
              <w:top w:val="nil"/>
              <w:left w:val="nil"/>
              <w:bottom w:val="single" w:sz="4" w:space="0" w:color="auto"/>
              <w:right w:val="single" w:sz="4" w:space="0" w:color="auto"/>
            </w:tcBorders>
            <w:shd w:val="clear" w:color="auto" w:fill="auto"/>
            <w:noWrap/>
            <w:vAlign w:val="bottom"/>
            <w:hideMark/>
          </w:tcPr>
          <w:p w14:paraId="0F69CDDF" w14:textId="260DA772"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869</w:t>
            </w:r>
          </w:p>
        </w:tc>
        <w:tc>
          <w:tcPr>
            <w:tcW w:w="810" w:type="dxa"/>
            <w:tcBorders>
              <w:top w:val="nil"/>
              <w:left w:val="nil"/>
              <w:bottom w:val="single" w:sz="4" w:space="0" w:color="auto"/>
              <w:right w:val="single" w:sz="4" w:space="0" w:color="auto"/>
            </w:tcBorders>
            <w:shd w:val="clear" w:color="auto" w:fill="auto"/>
            <w:noWrap/>
            <w:vAlign w:val="bottom"/>
            <w:hideMark/>
          </w:tcPr>
          <w:p w14:paraId="690B9CF4" w14:textId="65149114"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7D913EA3" w14:textId="1CDB954A"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266</w:t>
            </w:r>
          </w:p>
        </w:tc>
        <w:tc>
          <w:tcPr>
            <w:tcW w:w="810" w:type="dxa"/>
            <w:tcBorders>
              <w:top w:val="nil"/>
              <w:left w:val="nil"/>
              <w:bottom w:val="single" w:sz="4" w:space="0" w:color="auto"/>
              <w:right w:val="single" w:sz="4" w:space="0" w:color="auto"/>
            </w:tcBorders>
            <w:shd w:val="clear" w:color="auto" w:fill="auto"/>
            <w:noWrap/>
            <w:vAlign w:val="bottom"/>
            <w:hideMark/>
          </w:tcPr>
          <w:p w14:paraId="481CF909" w14:textId="39F7D70A"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170" w:type="dxa"/>
            <w:tcBorders>
              <w:top w:val="nil"/>
              <w:left w:val="nil"/>
              <w:bottom w:val="single" w:sz="4" w:space="0" w:color="auto"/>
              <w:right w:val="single" w:sz="4" w:space="0" w:color="auto"/>
            </w:tcBorders>
            <w:shd w:val="clear" w:color="auto" w:fill="auto"/>
            <w:noWrap/>
            <w:vAlign w:val="bottom"/>
            <w:hideMark/>
          </w:tcPr>
          <w:p w14:paraId="1A8AB7FF" w14:textId="67E4DD42"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c>
          <w:tcPr>
            <w:tcW w:w="1260" w:type="dxa"/>
            <w:tcBorders>
              <w:top w:val="nil"/>
              <w:left w:val="nil"/>
              <w:bottom w:val="single" w:sz="4" w:space="0" w:color="auto"/>
              <w:right w:val="single" w:sz="4" w:space="0" w:color="auto"/>
            </w:tcBorders>
            <w:shd w:val="clear" w:color="auto" w:fill="auto"/>
            <w:noWrap/>
            <w:vAlign w:val="bottom"/>
            <w:hideMark/>
          </w:tcPr>
          <w:p w14:paraId="56C1706D" w14:textId="4AEA379C"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100</w:t>
            </w:r>
          </w:p>
        </w:tc>
        <w:tc>
          <w:tcPr>
            <w:tcW w:w="900" w:type="dxa"/>
            <w:tcBorders>
              <w:top w:val="nil"/>
              <w:left w:val="nil"/>
              <w:bottom w:val="single" w:sz="4" w:space="0" w:color="auto"/>
              <w:right w:val="single" w:sz="4" w:space="0" w:color="auto"/>
            </w:tcBorders>
            <w:shd w:val="clear" w:color="auto" w:fill="auto"/>
            <w:noWrap/>
            <w:vAlign w:val="bottom"/>
            <w:hideMark/>
          </w:tcPr>
          <w:p w14:paraId="5602E7AE" w14:textId="47B320DB"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bottom"/>
            <w:hideMark/>
          </w:tcPr>
          <w:p w14:paraId="487ECF22" w14:textId="263BCADF"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r>
      <w:tr w:rsidR="007723CA" w:rsidRPr="003C7CB1" w14:paraId="3263A7A0"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58F18" w14:textId="70E4787D" w:rsidR="000F5624" w:rsidRPr="003C7CB1" w:rsidRDefault="005D5C42" w:rsidP="00BE1C9C">
            <w:pPr>
              <w:spacing w:after="0" w:line="240" w:lineRule="auto"/>
              <w:jc w:val="center"/>
              <w:rPr>
                <w:rFonts w:ascii="Calibri" w:eastAsia="Times New Roman" w:hAnsi="Calibri" w:cs="Times New Roman"/>
                <w:b/>
                <w:color w:val="000000"/>
                <w:sz w:val="20"/>
                <w:szCs w:val="20"/>
              </w:rPr>
            </w:pPr>
            <w:r w:rsidRPr="003C7CB1">
              <w:rPr>
                <w:rFonts w:ascii="Calibri" w:eastAsia="Times New Roman" w:hAnsi="Calibri" w:cs="Times New Roman"/>
                <w:b/>
                <w:color w:val="000000"/>
                <w:sz w:val="20"/>
                <w:szCs w:val="20"/>
              </w:rPr>
              <w:t>Private accommodation</w:t>
            </w:r>
          </w:p>
        </w:tc>
        <w:tc>
          <w:tcPr>
            <w:tcW w:w="1260" w:type="dxa"/>
            <w:tcBorders>
              <w:top w:val="nil"/>
              <w:left w:val="nil"/>
              <w:bottom w:val="single" w:sz="4" w:space="0" w:color="auto"/>
              <w:right w:val="single" w:sz="4" w:space="0" w:color="auto"/>
            </w:tcBorders>
            <w:shd w:val="clear" w:color="auto" w:fill="auto"/>
            <w:noWrap/>
            <w:vAlign w:val="bottom"/>
            <w:hideMark/>
          </w:tcPr>
          <w:p w14:paraId="7FAF53B9" w14:textId="70EFC9C3"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114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515</w:t>
            </w:r>
          </w:p>
        </w:tc>
        <w:tc>
          <w:tcPr>
            <w:tcW w:w="810" w:type="dxa"/>
            <w:tcBorders>
              <w:top w:val="nil"/>
              <w:left w:val="nil"/>
              <w:bottom w:val="single" w:sz="4" w:space="0" w:color="auto"/>
              <w:right w:val="single" w:sz="4" w:space="0" w:color="auto"/>
            </w:tcBorders>
            <w:shd w:val="clear" w:color="auto" w:fill="auto"/>
            <w:noWrap/>
            <w:vAlign w:val="bottom"/>
            <w:hideMark/>
          </w:tcPr>
          <w:p w14:paraId="042BCF68" w14:textId="11846B90"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77</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6%</w:t>
            </w:r>
          </w:p>
        </w:tc>
        <w:tc>
          <w:tcPr>
            <w:tcW w:w="1350" w:type="dxa"/>
            <w:tcBorders>
              <w:top w:val="nil"/>
              <w:left w:val="nil"/>
              <w:bottom w:val="single" w:sz="4" w:space="0" w:color="auto"/>
              <w:right w:val="single" w:sz="4" w:space="0" w:color="auto"/>
            </w:tcBorders>
            <w:shd w:val="clear" w:color="auto" w:fill="auto"/>
            <w:noWrap/>
            <w:vAlign w:val="bottom"/>
            <w:hideMark/>
          </w:tcPr>
          <w:p w14:paraId="1FC06B2D" w14:textId="6A6EE23D"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157</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781</w:t>
            </w:r>
          </w:p>
        </w:tc>
        <w:tc>
          <w:tcPr>
            <w:tcW w:w="810" w:type="dxa"/>
            <w:tcBorders>
              <w:top w:val="nil"/>
              <w:left w:val="nil"/>
              <w:bottom w:val="single" w:sz="4" w:space="0" w:color="auto"/>
              <w:right w:val="single" w:sz="4" w:space="0" w:color="auto"/>
            </w:tcBorders>
            <w:shd w:val="clear" w:color="auto" w:fill="auto"/>
            <w:noWrap/>
            <w:vAlign w:val="bottom"/>
            <w:hideMark/>
          </w:tcPr>
          <w:p w14:paraId="33DC5F23" w14:textId="73743EF1"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80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bottom"/>
            <w:hideMark/>
          </w:tcPr>
          <w:p w14:paraId="283A87A0" w14:textId="4505D029"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260" w:type="dxa"/>
            <w:tcBorders>
              <w:top w:val="nil"/>
              <w:left w:val="nil"/>
              <w:bottom w:val="single" w:sz="4" w:space="0" w:color="auto"/>
              <w:right w:val="single" w:sz="4" w:space="0" w:color="auto"/>
            </w:tcBorders>
            <w:shd w:val="clear" w:color="auto" w:fill="auto"/>
            <w:noWrap/>
            <w:vAlign w:val="bottom"/>
            <w:hideMark/>
          </w:tcPr>
          <w:p w14:paraId="6871CAA8" w14:textId="1B3DCD18"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164</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70787E72" w14:textId="2E2B04C7"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78</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hideMark/>
          </w:tcPr>
          <w:p w14:paraId="5997DF70" w14:textId="373095FD" w:rsidR="000F5624" w:rsidRPr="003C7CB1" w:rsidRDefault="000F5624" w:rsidP="00BE1C9C">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91223D"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6%</w:t>
            </w:r>
          </w:p>
        </w:tc>
      </w:tr>
      <w:tr w:rsidR="007723CA" w:rsidRPr="003C7CB1" w14:paraId="30671062" w14:textId="77777777" w:rsidTr="007723CA">
        <w:trPr>
          <w:trHeight w:val="236"/>
        </w:trPr>
        <w:tc>
          <w:tcPr>
            <w:tcW w:w="1440" w:type="dxa"/>
            <w:tcBorders>
              <w:top w:val="single" w:sz="4" w:space="0" w:color="auto"/>
              <w:left w:val="single" w:sz="4" w:space="0" w:color="auto"/>
              <w:bottom w:val="single" w:sz="4" w:space="0" w:color="auto"/>
              <w:right w:val="single" w:sz="4" w:space="0" w:color="auto"/>
            </w:tcBorders>
            <w:shd w:val="clear" w:color="000000" w:fill="D9E1F2"/>
            <w:vAlign w:val="bottom"/>
            <w:hideMark/>
          </w:tcPr>
          <w:p w14:paraId="34227A18" w14:textId="3334A495" w:rsidR="000F5624" w:rsidRPr="003C7CB1" w:rsidRDefault="005D5C42" w:rsidP="00BE1C9C">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Total</w:t>
            </w:r>
          </w:p>
        </w:tc>
        <w:tc>
          <w:tcPr>
            <w:tcW w:w="1260" w:type="dxa"/>
            <w:tcBorders>
              <w:top w:val="nil"/>
              <w:left w:val="nil"/>
              <w:bottom w:val="single" w:sz="4" w:space="0" w:color="auto"/>
              <w:right w:val="single" w:sz="4" w:space="0" w:color="auto"/>
            </w:tcBorders>
            <w:shd w:val="clear" w:color="000000" w:fill="D9E1F2"/>
            <w:noWrap/>
            <w:vAlign w:val="bottom"/>
            <w:hideMark/>
          </w:tcPr>
          <w:p w14:paraId="29B2C3CF" w14:textId="664BD759"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147</w:t>
            </w:r>
            <w:r w:rsidR="0091223D"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646</w:t>
            </w:r>
          </w:p>
        </w:tc>
        <w:tc>
          <w:tcPr>
            <w:tcW w:w="810" w:type="dxa"/>
            <w:tcBorders>
              <w:top w:val="nil"/>
              <w:left w:val="nil"/>
              <w:bottom w:val="single" w:sz="4" w:space="0" w:color="auto"/>
              <w:right w:val="single" w:sz="4" w:space="0" w:color="auto"/>
            </w:tcBorders>
            <w:shd w:val="clear" w:color="000000" w:fill="D9E1F2"/>
            <w:noWrap/>
            <w:vAlign w:val="bottom"/>
            <w:hideMark/>
          </w:tcPr>
          <w:p w14:paraId="4A0EB4EA" w14:textId="77777777"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100%</w:t>
            </w:r>
          </w:p>
        </w:tc>
        <w:tc>
          <w:tcPr>
            <w:tcW w:w="1350" w:type="dxa"/>
            <w:tcBorders>
              <w:top w:val="nil"/>
              <w:left w:val="nil"/>
              <w:bottom w:val="single" w:sz="4" w:space="0" w:color="auto"/>
              <w:right w:val="single" w:sz="4" w:space="0" w:color="auto"/>
            </w:tcBorders>
            <w:shd w:val="clear" w:color="000000" w:fill="D9E1F2"/>
            <w:noWrap/>
            <w:vAlign w:val="bottom"/>
            <w:hideMark/>
          </w:tcPr>
          <w:p w14:paraId="313F513F" w14:textId="45FFF79F"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195</w:t>
            </w:r>
            <w:r w:rsidR="0091223D"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336</w:t>
            </w:r>
          </w:p>
        </w:tc>
        <w:tc>
          <w:tcPr>
            <w:tcW w:w="810" w:type="dxa"/>
            <w:tcBorders>
              <w:top w:val="nil"/>
              <w:left w:val="nil"/>
              <w:bottom w:val="single" w:sz="4" w:space="0" w:color="auto"/>
              <w:right w:val="single" w:sz="4" w:space="0" w:color="auto"/>
            </w:tcBorders>
            <w:shd w:val="clear" w:color="000000" w:fill="D9E1F2"/>
            <w:noWrap/>
            <w:vAlign w:val="bottom"/>
            <w:hideMark/>
          </w:tcPr>
          <w:p w14:paraId="651CA85D" w14:textId="77777777"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100%</w:t>
            </w:r>
          </w:p>
        </w:tc>
        <w:tc>
          <w:tcPr>
            <w:tcW w:w="1170" w:type="dxa"/>
            <w:tcBorders>
              <w:top w:val="nil"/>
              <w:left w:val="nil"/>
              <w:bottom w:val="single" w:sz="4" w:space="0" w:color="auto"/>
              <w:right w:val="single" w:sz="4" w:space="0" w:color="auto"/>
            </w:tcBorders>
            <w:shd w:val="clear" w:color="000000" w:fill="D9E1F2"/>
            <w:noWrap/>
            <w:vAlign w:val="bottom"/>
            <w:hideMark/>
          </w:tcPr>
          <w:p w14:paraId="1773E6C2" w14:textId="6CC72C48"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3</w:t>
            </w:r>
            <w:r w:rsidR="0091223D"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6%</w:t>
            </w:r>
          </w:p>
        </w:tc>
        <w:tc>
          <w:tcPr>
            <w:tcW w:w="1260" w:type="dxa"/>
            <w:tcBorders>
              <w:top w:val="nil"/>
              <w:left w:val="nil"/>
              <w:bottom w:val="single" w:sz="4" w:space="0" w:color="auto"/>
              <w:right w:val="single" w:sz="4" w:space="0" w:color="auto"/>
            </w:tcBorders>
            <w:shd w:val="clear" w:color="000000" w:fill="D9E1F2"/>
            <w:noWrap/>
            <w:vAlign w:val="bottom"/>
            <w:hideMark/>
          </w:tcPr>
          <w:p w14:paraId="54685453" w14:textId="55AD783A"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209</w:t>
            </w:r>
            <w:r w:rsidR="0091223D"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400</w:t>
            </w:r>
          </w:p>
        </w:tc>
        <w:tc>
          <w:tcPr>
            <w:tcW w:w="900" w:type="dxa"/>
            <w:tcBorders>
              <w:top w:val="nil"/>
              <w:left w:val="nil"/>
              <w:bottom w:val="single" w:sz="4" w:space="0" w:color="auto"/>
              <w:right w:val="single" w:sz="4" w:space="0" w:color="auto"/>
            </w:tcBorders>
            <w:shd w:val="clear" w:color="000000" w:fill="D9E1F2"/>
            <w:noWrap/>
            <w:vAlign w:val="bottom"/>
            <w:hideMark/>
          </w:tcPr>
          <w:p w14:paraId="4177E8AB" w14:textId="4A732571"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100</w:t>
            </w:r>
            <w:r w:rsidR="0091223D"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0%</w:t>
            </w:r>
          </w:p>
        </w:tc>
        <w:tc>
          <w:tcPr>
            <w:tcW w:w="1260" w:type="dxa"/>
            <w:tcBorders>
              <w:top w:val="nil"/>
              <w:left w:val="nil"/>
              <w:bottom w:val="single" w:sz="4" w:space="0" w:color="auto"/>
              <w:right w:val="single" w:sz="4" w:space="0" w:color="auto"/>
            </w:tcBorders>
            <w:shd w:val="clear" w:color="000000" w:fill="D9E1F2"/>
            <w:noWrap/>
            <w:vAlign w:val="bottom"/>
            <w:hideMark/>
          </w:tcPr>
          <w:p w14:paraId="3025ACE8" w14:textId="64FFDC6B" w:rsidR="000F5624" w:rsidRPr="003C7CB1" w:rsidRDefault="000F5624" w:rsidP="00BE1C9C">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w:t>
            </w:r>
            <w:r w:rsidR="0091223D"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2%</w:t>
            </w:r>
          </w:p>
        </w:tc>
      </w:tr>
    </w:tbl>
    <w:p w14:paraId="7CEC39BE" w14:textId="7FE0D642" w:rsidR="00DE34DA" w:rsidRPr="003C7CB1" w:rsidRDefault="005D5C42" w:rsidP="00353B47">
      <w:pPr>
        <w:rPr>
          <w:i/>
          <w:sz w:val="20"/>
          <w:szCs w:val="20"/>
        </w:rPr>
      </w:pPr>
      <w:r w:rsidRPr="003C7CB1">
        <w:rPr>
          <w:i/>
          <w:sz w:val="20"/>
          <w:szCs w:val="20"/>
        </w:rPr>
        <w:t>Source: MONSTAT, processing by the Ministry of Economic Development</w:t>
      </w:r>
    </w:p>
    <w:p w14:paraId="6A8BB44D" w14:textId="77777777" w:rsidR="00BF6224" w:rsidRPr="003C7CB1" w:rsidRDefault="00BF6224" w:rsidP="008C5662">
      <w:pPr>
        <w:jc w:val="center"/>
        <w:rPr>
          <w:b/>
        </w:rPr>
      </w:pPr>
    </w:p>
    <w:p w14:paraId="23653BEC" w14:textId="09ACC3BB" w:rsidR="000F5624" w:rsidRPr="003C7CB1" w:rsidRDefault="005D5C42" w:rsidP="00FB0892">
      <w:pPr>
        <w:jc w:val="center"/>
      </w:pPr>
      <w:r w:rsidRPr="003C7CB1">
        <w:rPr>
          <w:b/>
        </w:rPr>
        <w:t>Graph No. 14 - Model of accommodation capacity growth in the Coastal Region until 2025</w:t>
      </w:r>
      <w:r w:rsidR="000F5624" w:rsidRPr="003C7CB1">
        <w:rPr>
          <w:noProof/>
        </w:rPr>
        <w:drawing>
          <wp:inline distT="0" distB="0" distL="0" distR="0" wp14:anchorId="4A5C83BA" wp14:editId="3205519A">
            <wp:extent cx="5715000" cy="3543300"/>
            <wp:effectExtent l="0" t="0" r="0" b="0"/>
            <wp:docPr id="43" name="Chart 43">
              <a:extLst xmlns:a="http://schemas.openxmlformats.org/drawingml/2006/main">
                <a:ext uri="{FF2B5EF4-FFF2-40B4-BE49-F238E27FC236}">
                  <a16:creationId xmlns:a16="http://schemas.microsoft.com/office/drawing/2014/main" id="{1418E8FC-328F-794A-990F-E381A1ACC6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3F37753" w14:textId="77777777" w:rsidR="005D5C42" w:rsidRPr="003C7CB1" w:rsidRDefault="005D5C42" w:rsidP="00A30310">
      <w:pPr>
        <w:spacing w:after="120" w:line="240" w:lineRule="auto"/>
        <w:jc w:val="both"/>
        <w:rPr>
          <w:i/>
          <w:sz w:val="20"/>
          <w:szCs w:val="20"/>
        </w:rPr>
      </w:pPr>
      <w:r w:rsidRPr="003C7CB1">
        <w:rPr>
          <w:i/>
          <w:sz w:val="20"/>
          <w:szCs w:val="20"/>
        </w:rPr>
        <w:t>Source: MONSTAT, processing by the Ministry of Economic Development</w:t>
      </w:r>
    </w:p>
    <w:p w14:paraId="280E9D84" w14:textId="71B07C77" w:rsidR="00B10B1F" w:rsidRPr="003C7CB1" w:rsidRDefault="005D5C42" w:rsidP="00A30310">
      <w:pPr>
        <w:spacing w:after="120" w:line="240" w:lineRule="auto"/>
        <w:jc w:val="both"/>
        <w:rPr>
          <w:sz w:val="24"/>
          <w:szCs w:val="24"/>
        </w:rPr>
      </w:pPr>
      <w:r w:rsidRPr="003C7CB1">
        <w:rPr>
          <w:sz w:val="24"/>
          <w:szCs w:val="24"/>
        </w:rPr>
        <w:lastRenderedPageBreak/>
        <w:t xml:space="preserve">When it comes to the Central region, by 2025, an average annual growth rate of 5.4% is projected, </w:t>
      </w:r>
      <w:r w:rsidR="003C7CB1" w:rsidRPr="003C7CB1">
        <w:rPr>
          <w:sz w:val="24"/>
          <w:szCs w:val="24"/>
        </w:rPr>
        <w:t>i.e.</w:t>
      </w:r>
      <w:r w:rsidRPr="003C7CB1">
        <w:rPr>
          <w:sz w:val="24"/>
          <w:szCs w:val="24"/>
        </w:rPr>
        <w:t xml:space="preserve"> 4,900 beds in hotels and similar facilities. When we talk about camps, the growth of their capacities is projected at the level of 5.4%, while the growth of capacities in private accommodation is projected at the level of 0.6%, for the same period (Table No. 17 and Graph No. 15).</w:t>
      </w:r>
      <w:r w:rsidR="00765B94">
        <w:rPr>
          <w:rFonts w:cs="Arial"/>
          <w:sz w:val="24"/>
          <w:szCs w:val="24"/>
        </w:rPr>
        <w:t xml:space="preserve">                                                                                                   </w:t>
      </w:r>
    </w:p>
    <w:p w14:paraId="0DB305AE" w14:textId="1148B824" w:rsidR="005968B4" w:rsidRPr="003C7CB1" w:rsidRDefault="005D5C42" w:rsidP="00B10B1F">
      <w:pPr>
        <w:spacing w:after="120" w:line="240" w:lineRule="auto"/>
        <w:jc w:val="center"/>
        <w:rPr>
          <w:sz w:val="24"/>
          <w:szCs w:val="24"/>
        </w:rPr>
      </w:pPr>
      <w:r w:rsidRPr="003C7CB1">
        <w:rPr>
          <w:b/>
        </w:rPr>
        <w:t>Table No. 17 - Model of accommodation capacity growth in the Central region until 2025</w:t>
      </w:r>
    </w:p>
    <w:tbl>
      <w:tblPr>
        <w:tblW w:w="10122" w:type="dxa"/>
        <w:jc w:val="center"/>
        <w:tblLook w:val="04A0" w:firstRow="1" w:lastRow="0" w:firstColumn="1" w:lastColumn="0" w:noHBand="0" w:noVBand="1"/>
      </w:tblPr>
      <w:tblGrid>
        <w:gridCol w:w="1585"/>
        <w:gridCol w:w="1246"/>
        <w:gridCol w:w="823"/>
        <w:gridCol w:w="1246"/>
        <w:gridCol w:w="815"/>
        <w:gridCol w:w="1199"/>
        <w:gridCol w:w="1276"/>
        <w:gridCol w:w="819"/>
        <w:gridCol w:w="1113"/>
      </w:tblGrid>
      <w:tr w:rsidR="00DE34DA" w:rsidRPr="003C7CB1" w14:paraId="2D53FFF1" w14:textId="77777777" w:rsidTr="00112023">
        <w:trPr>
          <w:trHeight w:val="233"/>
          <w:jc w:val="center"/>
        </w:trPr>
        <w:tc>
          <w:tcPr>
            <w:tcW w:w="1585" w:type="dxa"/>
            <w:vMerge w:val="restart"/>
            <w:tcBorders>
              <w:top w:val="single" w:sz="4" w:space="0" w:color="auto"/>
              <w:left w:val="single" w:sz="4" w:space="0" w:color="auto"/>
              <w:bottom w:val="single" w:sz="4" w:space="0" w:color="auto"/>
              <w:right w:val="single" w:sz="4" w:space="0" w:color="auto"/>
            </w:tcBorders>
            <w:shd w:val="clear" w:color="000000" w:fill="D9E1F2"/>
            <w:vAlign w:val="bottom"/>
            <w:hideMark/>
          </w:tcPr>
          <w:p w14:paraId="12A2CA30" w14:textId="2FEB4297" w:rsidR="00DE34DA" w:rsidRPr="003C7CB1" w:rsidRDefault="005D5C42"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Accommodation capacities</w:t>
            </w:r>
          </w:p>
        </w:tc>
        <w:tc>
          <w:tcPr>
            <w:tcW w:w="2069"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0A335501" w14:textId="267AC702" w:rsidR="00DE34DA" w:rsidRPr="003C7CB1" w:rsidRDefault="00DE34DA"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2011</w:t>
            </w:r>
          </w:p>
        </w:tc>
        <w:tc>
          <w:tcPr>
            <w:tcW w:w="2061" w:type="dxa"/>
            <w:gridSpan w:val="2"/>
            <w:tcBorders>
              <w:top w:val="single" w:sz="4" w:space="0" w:color="auto"/>
              <w:left w:val="nil"/>
              <w:bottom w:val="single" w:sz="4" w:space="0" w:color="auto"/>
              <w:right w:val="single" w:sz="4" w:space="0" w:color="auto"/>
            </w:tcBorders>
            <w:shd w:val="clear" w:color="000000" w:fill="D9E1F2"/>
            <w:vAlign w:val="bottom"/>
            <w:hideMark/>
          </w:tcPr>
          <w:p w14:paraId="6E50B85D" w14:textId="616CEEEF" w:rsidR="00DE34DA" w:rsidRPr="003C7CB1" w:rsidRDefault="00DE34DA"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2019</w:t>
            </w:r>
          </w:p>
        </w:tc>
        <w:tc>
          <w:tcPr>
            <w:tcW w:w="1199" w:type="dxa"/>
            <w:vMerge w:val="restart"/>
            <w:tcBorders>
              <w:top w:val="single" w:sz="4" w:space="0" w:color="auto"/>
              <w:left w:val="single" w:sz="4" w:space="0" w:color="auto"/>
              <w:bottom w:val="single" w:sz="4" w:space="0" w:color="000000"/>
              <w:right w:val="single" w:sz="4" w:space="0" w:color="auto"/>
            </w:tcBorders>
            <w:shd w:val="clear" w:color="000000" w:fill="D9E1F2"/>
            <w:vAlign w:val="bottom"/>
            <w:hideMark/>
          </w:tcPr>
          <w:p w14:paraId="29BDC00C" w14:textId="26A99A05" w:rsidR="00DE34DA" w:rsidRPr="003C7CB1" w:rsidRDefault="005D5C42"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 xml:space="preserve">Average annual growth rate </w:t>
            </w:r>
            <w:r w:rsidR="0021453D" w:rsidRPr="003C7CB1">
              <w:rPr>
                <w:rFonts w:eastAsia="Times New Roman" w:cs="Times New Roman"/>
                <w:b/>
                <w:bCs/>
                <w:color w:val="000000"/>
                <w:sz w:val="20"/>
                <w:szCs w:val="20"/>
              </w:rPr>
              <w:t>2019</w:t>
            </w:r>
            <w:r w:rsidRPr="003C7CB1">
              <w:rPr>
                <w:rFonts w:eastAsia="Times New Roman" w:cs="Times New Roman"/>
                <w:b/>
                <w:bCs/>
                <w:color w:val="000000"/>
                <w:sz w:val="20"/>
                <w:szCs w:val="20"/>
              </w:rPr>
              <w:t>/2011</w:t>
            </w:r>
          </w:p>
        </w:tc>
        <w:tc>
          <w:tcPr>
            <w:tcW w:w="2095" w:type="dxa"/>
            <w:gridSpan w:val="2"/>
            <w:tcBorders>
              <w:top w:val="single" w:sz="4" w:space="0" w:color="auto"/>
              <w:left w:val="nil"/>
              <w:bottom w:val="single" w:sz="4" w:space="0" w:color="auto"/>
              <w:right w:val="single" w:sz="4" w:space="0" w:color="auto"/>
            </w:tcBorders>
            <w:shd w:val="clear" w:color="000000" w:fill="D9E1F2"/>
            <w:vAlign w:val="bottom"/>
            <w:hideMark/>
          </w:tcPr>
          <w:p w14:paraId="6F7D545D" w14:textId="0996F6EB" w:rsidR="00DE34DA" w:rsidRPr="003C7CB1" w:rsidRDefault="00236F25"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2025</w:t>
            </w:r>
          </w:p>
        </w:tc>
        <w:tc>
          <w:tcPr>
            <w:tcW w:w="1113" w:type="dxa"/>
            <w:vMerge w:val="restart"/>
            <w:tcBorders>
              <w:top w:val="single" w:sz="4" w:space="0" w:color="auto"/>
              <w:left w:val="single" w:sz="4" w:space="0" w:color="auto"/>
              <w:bottom w:val="single" w:sz="4" w:space="0" w:color="auto"/>
              <w:right w:val="single" w:sz="4" w:space="0" w:color="auto"/>
            </w:tcBorders>
            <w:shd w:val="clear" w:color="000000" w:fill="D9E1F2"/>
            <w:vAlign w:val="bottom"/>
            <w:hideMark/>
          </w:tcPr>
          <w:p w14:paraId="361A62FB" w14:textId="2A48A7D6" w:rsidR="00DE34DA" w:rsidRPr="003C7CB1" w:rsidRDefault="005D5C42"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 xml:space="preserve">Average annual growth rate </w:t>
            </w:r>
            <w:r w:rsidR="0021453D" w:rsidRPr="003C7CB1">
              <w:rPr>
                <w:rFonts w:eastAsia="Times New Roman" w:cs="Times New Roman"/>
                <w:b/>
                <w:bCs/>
                <w:color w:val="000000"/>
                <w:sz w:val="20"/>
                <w:szCs w:val="20"/>
              </w:rPr>
              <w:t>2025</w:t>
            </w:r>
            <w:r w:rsidR="00DE34DA" w:rsidRPr="003C7CB1">
              <w:rPr>
                <w:rFonts w:eastAsia="Times New Roman" w:cs="Times New Roman"/>
                <w:b/>
                <w:bCs/>
                <w:color w:val="000000"/>
                <w:sz w:val="20"/>
                <w:szCs w:val="20"/>
              </w:rPr>
              <w:t>/2019</w:t>
            </w:r>
          </w:p>
        </w:tc>
      </w:tr>
      <w:tr w:rsidR="00B10B1F" w:rsidRPr="003C7CB1" w14:paraId="66196C6F" w14:textId="77777777" w:rsidTr="00112023">
        <w:trPr>
          <w:trHeight w:val="233"/>
          <w:jc w:val="center"/>
        </w:trPr>
        <w:tc>
          <w:tcPr>
            <w:tcW w:w="1585" w:type="dxa"/>
            <w:vMerge/>
            <w:tcBorders>
              <w:top w:val="single" w:sz="4" w:space="0" w:color="auto"/>
              <w:left w:val="single" w:sz="4" w:space="0" w:color="auto"/>
              <w:bottom w:val="single" w:sz="4" w:space="0" w:color="auto"/>
              <w:right w:val="single" w:sz="4" w:space="0" w:color="auto"/>
            </w:tcBorders>
            <w:vAlign w:val="center"/>
            <w:hideMark/>
          </w:tcPr>
          <w:p w14:paraId="0A8E8257" w14:textId="77777777" w:rsidR="00DE34DA" w:rsidRPr="003C7CB1" w:rsidRDefault="00DE34DA" w:rsidP="00E372B9">
            <w:pPr>
              <w:spacing w:after="120" w:line="240" w:lineRule="auto"/>
              <w:rPr>
                <w:rFonts w:eastAsia="Times New Roman" w:cs="Times New Roman"/>
                <w:b/>
                <w:bCs/>
                <w:color w:val="000000"/>
                <w:sz w:val="20"/>
                <w:szCs w:val="20"/>
              </w:rPr>
            </w:pPr>
          </w:p>
        </w:tc>
        <w:tc>
          <w:tcPr>
            <w:tcW w:w="1246" w:type="dxa"/>
            <w:tcBorders>
              <w:top w:val="nil"/>
              <w:left w:val="nil"/>
              <w:bottom w:val="single" w:sz="4" w:space="0" w:color="auto"/>
              <w:right w:val="single" w:sz="4" w:space="0" w:color="auto"/>
            </w:tcBorders>
            <w:shd w:val="clear" w:color="000000" w:fill="D9E1F2"/>
            <w:noWrap/>
            <w:vAlign w:val="bottom"/>
            <w:hideMark/>
          </w:tcPr>
          <w:p w14:paraId="4618D27D" w14:textId="4B0ECFBE" w:rsidR="00205C88" w:rsidRPr="003C7CB1" w:rsidRDefault="005D5C42"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Capacity (number of beds)</w:t>
            </w:r>
          </w:p>
        </w:tc>
        <w:tc>
          <w:tcPr>
            <w:tcW w:w="823" w:type="dxa"/>
            <w:tcBorders>
              <w:top w:val="nil"/>
              <w:left w:val="nil"/>
              <w:bottom w:val="single" w:sz="4" w:space="0" w:color="auto"/>
              <w:right w:val="single" w:sz="4" w:space="0" w:color="auto"/>
            </w:tcBorders>
            <w:shd w:val="clear" w:color="000000" w:fill="D9E1F2"/>
            <w:noWrap/>
            <w:vAlign w:val="bottom"/>
            <w:hideMark/>
          </w:tcPr>
          <w:p w14:paraId="26C8262C" w14:textId="77777777" w:rsidR="005D5C42" w:rsidRPr="003C7CB1" w:rsidRDefault="005D5C42" w:rsidP="005D5C42">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Partici</w:t>
            </w:r>
            <w:proofErr w:type="spellEnd"/>
          </w:p>
          <w:p w14:paraId="414FCE77" w14:textId="676D3927" w:rsidR="00DE34DA" w:rsidRPr="003C7CB1" w:rsidRDefault="005D5C42" w:rsidP="005D5C42">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pation</w:t>
            </w:r>
            <w:proofErr w:type="spellEnd"/>
          </w:p>
        </w:tc>
        <w:tc>
          <w:tcPr>
            <w:tcW w:w="1246" w:type="dxa"/>
            <w:tcBorders>
              <w:top w:val="nil"/>
              <w:left w:val="nil"/>
              <w:bottom w:val="single" w:sz="4" w:space="0" w:color="auto"/>
              <w:right w:val="single" w:sz="4" w:space="0" w:color="auto"/>
            </w:tcBorders>
            <w:shd w:val="clear" w:color="000000" w:fill="D9E1F2"/>
            <w:noWrap/>
            <w:vAlign w:val="bottom"/>
            <w:hideMark/>
          </w:tcPr>
          <w:p w14:paraId="68806E9D" w14:textId="03EDEC23" w:rsidR="00205C88" w:rsidRPr="003C7CB1" w:rsidRDefault="005D5C42"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Capacity (number of beds)</w:t>
            </w:r>
          </w:p>
        </w:tc>
        <w:tc>
          <w:tcPr>
            <w:tcW w:w="815" w:type="dxa"/>
            <w:tcBorders>
              <w:top w:val="nil"/>
              <w:left w:val="nil"/>
              <w:bottom w:val="single" w:sz="4" w:space="0" w:color="auto"/>
              <w:right w:val="single" w:sz="4" w:space="0" w:color="auto"/>
            </w:tcBorders>
            <w:shd w:val="clear" w:color="000000" w:fill="D9E1F2"/>
            <w:noWrap/>
            <w:vAlign w:val="bottom"/>
            <w:hideMark/>
          </w:tcPr>
          <w:p w14:paraId="6A159F84" w14:textId="77777777" w:rsidR="005D5C42" w:rsidRPr="003C7CB1" w:rsidRDefault="005D5C42" w:rsidP="005D5C42">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Partici</w:t>
            </w:r>
            <w:proofErr w:type="spellEnd"/>
          </w:p>
          <w:p w14:paraId="22206A6F" w14:textId="5A957C51" w:rsidR="00DE34DA" w:rsidRPr="003C7CB1" w:rsidRDefault="005D5C42" w:rsidP="005D5C42">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pation</w:t>
            </w:r>
            <w:proofErr w:type="spellEnd"/>
          </w:p>
        </w:tc>
        <w:tc>
          <w:tcPr>
            <w:tcW w:w="1199" w:type="dxa"/>
            <w:vMerge/>
            <w:tcBorders>
              <w:top w:val="single" w:sz="4" w:space="0" w:color="auto"/>
              <w:left w:val="single" w:sz="4" w:space="0" w:color="auto"/>
              <w:bottom w:val="single" w:sz="4" w:space="0" w:color="000000"/>
              <w:right w:val="single" w:sz="4" w:space="0" w:color="auto"/>
            </w:tcBorders>
            <w:vAlign w:val="center"/>
            <w:hideMark/>
          </w:tcPr>
          <w:p w14:paraId="509FDF4B" w14:textId="77777777" w:rsidR="00DE34DA" w:rsidRPr="003C7CB1" w:rsidRDefault="00DE34DA" w:rsidP="00F33713">
            <w:pPr>
              <w:spacing w:after="120" w:line="240" w:lineRule="auto"/>
              <w:jc w:val="center"/>
              <w:rPr>
                <w:rFonts w:eastAsia="Times New Roman" w:cs="Times New Roman"/>
                <w:b/>
                <w:bCs/>
                <w:color w:val="000000"/>
                <w:sz w:val="20"/>
                <w:szCs w:val="20"/>
              </w:rPr>
            </w:pPr>
          </w:p>
        </w:tc>
        <w:tc>
          <w:tcPr>
            <w:tcW w:w="1276" w:type="dxa"/>
            <w:tcBorders>
              <w:top w:val="nil"/>
              <w:left w:val="nil"/>
              <w:bottom w:val="single" w:sz="4" w:space="0" w:color="auto"/>
              <w:right w:val="single" w:sz="4" w:space="0" w:color="auto"/>
            </w:tcBorders>
            <w:shd w:val="clear" w:color="000000" w:fill="D9E1F2"/>
            <w:noWrap/>
            <w:vAlign w:val="bottom"/>
            <w:hideMark/>
          </w:tcPr>
          <w:p w14:paraId="3C1BB2E6" w14:textId="32F614DD" w:rsidR="00205C88" w:rsidRPr="003C7CB1" w:rsidRDefault="005D5C42" w:rsidP="00F33713">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Capacity (number of beds)</w:t>
            </w:r>
          </w:p>
        </w:tc>
        <w:tc>
          <w:tcPr>
            <w:tcW w:w="819" w:type="dxa"/>
            <w:tcBorders>
              <w:top w:val="nil"/>
              <w:left w:val="nil"/>
              <w:bottom w:val="single" w:sz="4" w:space="0" w:color="auto"/>
              <w:right w:val="single" w:sz="4" w:space="0" w:color="auto"/>
            </w:tcBorders>
            <w:shd w:val="clear" w:color="000000" w:fill="D9E1F2"/>
            <w:noWrap/>
            <w:vAlign w:val="bottom"/>
            <w:hideMark/>
          </w:tcPr>
          <w:p w14:paraId="1691FEBD" w14:textId="77777777" w:rsidR="005D5C42" w:rsidRPr="003C7CB1" w:rsidRDefault="005D5C42" w:rsidP="005D5C42">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Partici</w:t>
            </w:r>
            <w:proofErr w:type="spellEnd"/>
          </w:p>
          <w:p w14:paraId="0DAAEEE2" w14:textId="79E65B91" w:rsidR="00DE34DA" w:rsidRPr="003C7CB1" w:rsidRDefault="005D5C42" w:rsidP="005D5C42">
            <w:pPr>
              <w:spacing w:after="120" w:line="240" w:lineRule="auto"/>
              <w:jc w:val="center"/>
              <w:rPr>
                <w:rFonts w:eastAsia="Times New Roman" w:cs="Times New Roman"/>
                <w:b/>
                <w:bCs/>
                <w:color w:val="000000"/>
                <w:sz w:val="20"/>
                <w:szCs w:val="20"/>
              </w:rPr>
            </w:pPr>
            <w:proofErr w:type="spellStart"/>
            <w:r w:rsidRPr="003C7CB1">
              <w:rPr>
                <w:rFonts w:eastAsia="Times New Roman" w:cs="Times New Roman"/>
                <w:b/>
                <w:bCs/>
                <w:color w:val="000000"/>
                <w:sz w:val="20"/>
                <w:szCs w:val="20"/>
              </w:rPr>
              <w:t>pation</w:t>
            </w:r>
            <w:proofErr w:type="spellEnd"/>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719B18F5" w14:textId="77777777" w:rsidR="00DE34DA" w:rsidRPr="003C7CB1" w:rsidRDefault="00DE34DA" w:rsidP="00F33713">
            <w:pPr>
              <w:spacing w:after="120" w:line="240" w:lineRule="auto"/>
              <w:jc w:val="center"/>
              <w:rPr>
                <w:rFonts w:eastAsia="Times New Roman" w:cs="Times New Roman"/>
                <w:b/>
                <w:bCs/>
                <w:color w:val="000000"/>
                <w:sz w:val="20"/>
                <w:szCs w:val="20"/>
              </w:rPr>
            </w:pPr>
          </w:p>
        </w:tc>
      </w:tr>
      <w:tr w:rsidR="00B10B1F" w:rsidRPr="003C7CB1" w14:paraId="7F844C24"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1BADC" w14:textId="77B45DB4" w:rsidR="00DE34DA" w:rsidRPr="003C7CB1" w:rsidRDefault="005D5C42"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Hotels and similar facilities</w:t>
            </w:r>
          </w:p>
        </w:tc>
        <w:tc>
          <w:tcPr>
            <w:tcW w:w="1246" w:type="dxa"/>
            <w:tcBorders>
              <w:top w:val="nil"/>
              <w:left w:val="nil"/>
              <w:bottom w:val="single" w:sz="4" w:space="0" w:color="auto"/>
              <w:right w:val="single" w:sz="4" w:space="0" w:color="auto"/>
            </w:tcBorders>
            <w:shd w:val="clear" w:color="auto" w:fill="auto"/>
            <w:noWrap/>
            <w:vAlign w:val="bottom"/>
            <w:hideMark/>
          </w:tcPr>
          <w:p w14:paraId="584A7046" w14:textId="29D426B8"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F33713" w:rsidRPr="003C7CB1">
              <w:rPr>
                <w:rFonts w:eastAsia="Times New Roman" w:cs="Times New Roman"/>
                <w:color w:val="000000"/>
                <w:sz w:val="20"/>
                <w:szCs w:val="20"/>
              </w:rPr>
              <w:t>.</w:t>
            </w:r>
            <w:r w:rsidRPr="003C7CB1">
              <w:rPr>
                <w:rFonts w:eastAsia="Times New Roman" w:cs="Times New Roman"/>
                <w:color w:val="000000"/>
                <w:sz w:val="20"/>
                <w:szCs w:val="20"/>
              </w:rPr>
              <w:t>845</w:t>
            </w:r>
          </w:p>
        </w:tc>
        <w:tc>
          <w:tcPr>
            <w:tcW w:w="823" w:type="dxa"/>
            <w:tcBorders>
              <w:top w:val="nil"/>
              <w:left w:val="nil"/>
              <w:bottom w:val="single" w:sz="4" w:space="0" w:color="auto"/>
              <w:right w:val="single" w:sz="4" w:space="0" w:color="auto"/>
            </w:tcBorders>
            <w:shd w:val="clear" w:color="auto" w:fill="auto"/>
            <w:noWrap/>
            <w:vAlign w:val="bottom"/>
            <w:hideMark/>
          </w:tcPr>
          <w:p w14:paraId="3AC20C11" w14:textId="656CDC0F"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96</w:t>
            </w:r>
            <w:r w:rsidR="00F33713" w:rsidRPr="003C7CB1">
              <w:rPr>
                <w:rFonts w:eastAsia="Times New Roman" w:cs="Times New Roman"/>
                <w:color w:val="000000"/>
                <w:sz w:val="20"/>
                <w:szCs w:val="20"/>
              </w:rPr>
              <w:t>,</w:t>
            </w:r>
            <w:r w:rsidRPr="003C7CB1">
              <w:rPr>
                <w:rFonts w:eastAsia="Times New Roman" w:cs="Times New Roman"/>
                <w:color w:val="000000"/>
                <w:sz w:val="20"/>
                <w:szCs w:val="20"/>
              </w:rPr>
              <w:t>7%</w:t>
            </w:r>
          </w:p>
        </w:tc>
        <w:tc>
          <w:tcPr>
            <w:tcW w:w="1246" w:type="dxa"/>
            <w:tcBorders>
              <w:top w:val="nil"/>
              <w:left w:val="nil"/>
              <w:bottom w:val="single" w:sz="4" w:space="0" w:color="auto"/>
              <w:right w:val="single" w:sz="4" w:space="0" w:color="auto"/>
            </w:tcBorders>
            <w:shd w:val="clear" w:color="auto" w:fill="auto"/>
            <w:noWrap/>
            <w:vAlign w:val="bottom"/>
            <w:hideMark/>
          </w:tcPr>
          <w:p w14:paraId="4155AB76" w14:textId="1A34651D"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941DD8" w:rsidRPr="003C7CB1">
              <w:rPr>
                <w:rFonts w:eastAsia="Times New Roman" w:cs="Times New Roman"/>
                <w:color w:val="000000"/>
                <w:sz w:val="20"/>
                <w:szCs w:val="20"/>
              </w:rPr>
              <w:t>.</w:t>
            </w:r>
            <w:r w:rsidRPr="003C7CB1">
              <w:rPr>
                <w:rFonts w:eastAsia="Times New Roman" w:cs="Times New Roman"/>
                <w:color w:val="000000"/>
                <w:sz w:val="20"/>
                <w:szCs w:val="20"/>
              </w:rPr>
              <w:t>580</w:t>
            </w:r>
          </w:p>
        </w:tc>
        <w:tc>
          <w:tcPr>
            <w:tcW w:w="815" w:type="dxa"/>
            <w:tcBorders>
              <w:top w:val="nil"/>
              <w:left w:val="nil"/>
              <w:bottom w:val="single" w:sz="4" w:space="0" w:color="auto"/>
              <w:right w:val="single" w:sz="4" w:space="0" w:color="auto"/>
            </w:tcBorders>
            <w:shd w:val="clear" w:color="auto" w:fill="auto"/>
            <w:noWrap/>
            <w:vAlign w:val="bottom"/>
            <w:hideMark/>
          </w:tcPr>
          <w:p w14:paraId="0E9FAC0E" w14:textId="301B57BA"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49</w:t>
            </w:r>
            <w:r w:rsidR="00941DD8" w:rsidRPr="003C7CB1">
              <w:rPr>
                <w:rFonts w:eastAsia="Times New Roman" w:cs="Times New Roman"/>
                <w:color w:val="000000"/>
                <w:sz w:val="20"/>
                <w:szCs w:val="20"/>
              </w:rPr>
              <w:t>,</w:t>
            </w:r>
            <w:r w:rsidRPr="003C7CB1">
              <w:rPr>
                <w:rFonts w:eastAsia="Times New Roman" w:cs="Times New Roman"/>
                <w:color w:val="000000"/>
                <w:sz w:val="20"/>
                <w:szCs w:val="20"/>
              </w:rPr>
              <w:t>8%</w:t>
            </w:r>
          </w:p>
        </w:tc>
        <w:tc>
          <w:tcPr>
            <w:tcW w:w="1199" w:type="dxa"/>
            <w:tcBorders>
              <w:top w:val="nil"/>
              <w:left w:val="nil"/>
              <w:bottom w:val="single" w:sz="4" w:space="0" w:color="auto"/>
              <w:right w:val="single" w:sz="4" w:space="0" w:color="auto"/>
            </w:tcBorders>
            <w:shd w:val="clear" w:color="auto" w:fill="auto"/>
            <w:noWrap/>
            <w:vAlign w:val="bottom"/>
            <w:hideMark/>
          </w:tcPr>
          <w:p w14:paraId="1E9854ED" w14:textId="4E2BF37C"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8</w:t>
            </w:r>
            <w:r w:rsidR="00941DD8" w:rsidRPr="003C7CB1">
              <w:rPr>
                <w:rFonts w:eastAsia="Times New Roman" w:cs="Times New Roman"/>
                <w:color w:val="000000"/>
                <w:sz w:val="20"/>
                <w:szCs w:val="20"/>
              </w:rPr>
              <w:t>,</w:t>
            </w:r>
            <w:r w:rsidRPr="003C7CB1">
              <w:rPr>
                <w:rFonts w:eastAsia="Times New Roman" w:cs="Times New Roman"/>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bottom"/>
            <w:hideMark/>
          </w:tcPr>
          <w:p w14:paraId="54FED8A5" w14:textId="7872A758"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900</w:t>
            </w:r>
          </w:p>
        </w:tc>
        <w:tc>
          <w:tcPr>
            <w:tcW w:w="819" w:type="dxa"/>
            <w:tcBorders>
              <w:top w:val="nil"/>
              <w:left w:val="nil"/>
              <w:bottom w:val="single" w:sz="4" w:space="0" w:color="auto"/>
              <w:right w:val="single" w:sz="4" w:space="0" w:color="auto"/>
            </w:tcBorders>
            <w:shd w:val="clear" w:color="auto" w:fill="auto"/>
            <w:noWrap/>
            <w:vAlign w:val="bottom"/>
            <w:hideMark/>
          </w:tcPr>
          <w:p w14:paraId="4FCA15E5" w14:textId="19B326A3"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1%</w:t>
            </w:r>
          </w:p>
        </w:tc>
        <w:tc>
          <w:tcPr>
            <w:tcW w:w="1113" w:type="dxa"/>
            <w:tcBorders>
              <w:top w:val="nil"/>
              <w:left w:val="nil"/>
              <w:bottom w:val="single" w:sz="4" w:space="0" w:color="auto"/>
              <w:right w:val="single" w:sz="4" w:space="0" w:color="auto"/>
            </w:tcBorders>
            <w:shd w:val="clear" w:color="auto" w:fill="auto"/>
            <w:noWrap/>
            <w:vAlign w:val="bottom"/>
            <w:hideMark/>
          </w:tcPr>
          <w:p w14:paraId="16B6D7DF" w14:textId="3512F24D"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941DD8" w:rsidRPr="003C7CB1">
              <w:rPr>
                <w:rFonts w:eastAsia="Times New Roman" w:cs="Times New Roman"/>
                <w:color w:val="000000"/>
                <w:sz w:val="20"/>
                <w:szCs w:val="20"/>
              </w:rPr>
              <w:t>,</w:t>
            </w:r>
            <w:r w:rsidRPr="003C7CB1">
              <w:rPr>
                <w:rFonts w:eastAsia="Times New Roman" w:cs="Times New Roman"/>
                <w:color w:val="000000"/>
                <w:sz w:val="20"/>
                <w:szCs w:val="20"/>
              </w:rPr>
              <w:t>4%</w:t>
            </w:r>
          </w:p>
        </w:tc>
      </w:tr>
      <w:tr w:rsidR="00B10B1F" w:rsidRPr="003C7CB1" w14:paraId="62F6FE6E"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A01E2" w14:textId="77777777" w:rsidR="00DE34DA" w:rsidRPr="003C7CB1" w:rsidRDefault="00DE34D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5</w:t>
            </w:r>
            <w:r w:rsidR="00EB6A52" w:rsidRPr="003C7CB1">
              <w:rPr>
                <w:rFonts w:eastAsia="Times New Roman" w:cs="Times New Roman"/>
                <w:b/>
                <w:bCs/>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2AD6F7DF"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23" w:type="dxa"/>
            <w:tcBorders>
              <w:top w:val="nil"/>
              <w:left w:val="nil"/>
              <w:bottom w:val="single" w:sz="4" w:space="0" w:color="auto"/>
              <w:right w:val="single" w:sz="4" w:space="0" w:color="auto"/>
            </w:tcBorders>
            <w:shd w:val="clear" w:color="auto" w:fill="auto"/>
            <w:noWrap/>
            <w:vAlign w:val="bottom"/>
            <w:hideMark/>
          </w:tcPr>
          <w:p w14:paraId="13EFE567" w14:textId="637B08E5"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F33713"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246" w:type="dxa"/>
            <w:tcBorders>
              <w:top w:val="nil"/>
              <w:left w:val="nil"/>
              <w:bottom w:val="single" w:sz="4" w:space="0" w:color="auto"/>
              <w:right w:val="single" w:sz="4" w:space="0" w:color="auto"/>
            </w:tcBorders>
            <w:shd w:val="clear" w:color="auto" w:fill="auto"/>
            <w:noWrap/>
            <w:vAlign w:val="bottom"/>
            <w:hideMark/>
          </w:tcPr>
          <w:p w14:paraId="75406D84"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527</w:t>
            </w:r>
          </w:p>
        </w:tc>
        <w:tc>
          <w:tcPr>
            <w:tcW w:w="815" w:type="dxa"/>
            <w:tcBorders>
              <w:top w:val="nil"/>
              <w:left w:val="nil"/>
              <w:bottom w:val="single" w:sz="4" w:space="0" w:color="auto"/>
              <w:right w:val="single" w:sz="4" w:space="0" w:color="auto"/>
            </w:tcBorders>
            <w:shd w:val="clear" w:color="auto" w:fill="auto"/>
            <w:noWrap/>
            <w:vAlign w:val="bottom"/>
            <w:hideMark/>
          </w:tcPr>
          <w:p w14:paraId="43B65DA2" w14:textId="6032E748"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7</w:t>
            </w:r>
            <w:r w:rsidR="00941DD8" w:rsidRPr="003C7CB1">
              <w:rPr>
                <w:rFonts w:eastAsia="Times New Roman" w:cs="Times New Roman"/>
                <w:color w:val="000000"/>
                <w:sz w:val="20"/>
                <w:szCs w:val="20"/>
              </w:rPr>
              <w:t>,</w:t>
            </w:r>
            <w:r w:rsidRPr="003C7CB1">
              <w:rPr>
                <w:rFonts w:eastAsia="Times New Roman" w:cs="Times New Roman"/>
                <w:color w:val="000000"/>
                <w:sz w:val="20"/>
                <w:szCs w:val="20"/>
              </w:rPr>
              <w:t>33%</w:t>
            </w:r>
          </w:p>
        </w:tc>
        <w:tc>
          <w:tcPr>
            <w:tcW w:w="1199" w:type="dxa"/>
            <w:tcBorders>
              <w:top w:val="nil"/>
              <w:left w:val="nil"/>
              <w:bottom w:val="single" w:sz="4" w:space="0" w:color="auto"/>
              <w:right w:val="single" w:sz="4" w:space="0" w:color="auto"/>
            </w:tcBorders>
            <w:shd w:val="clear" w:color="auto" w:fill="auto"/>
            <w:noWrap/>
            <w:vAlign w:val="bottom"/>
            <w:hideMark/>
          </w:tcPr>
          <w:p w14:paraId="4632F348"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BABEC6C" w14:textId="27BC10A9"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000</w:t>
            </w:r>
          </w:p>
        </w:tc>
        <w:tc>
          <w:tcPr>
            <w:tcW w:w="819" w:type="dxa"/>
            <w:tcBorders>
              <w:top w:val="nil"/>
              <w:left w:val="nil"/>
              <w:bottom w:val="single" w:sz="4" w:space="0" w:color="auto"/>
              <w:right w:val="single" w:sz="4" w:space="0" w:color="auto"/>
            </w:tcBorders>
            <w:shd w:val="clear" w:color="auto" w:fill="auto"/>
            <w:noWrap/>
            <w:vAlign w:val="bottom"/>
            <w:hideMark/>
          </w:tcPr>
          <w:p w14:paraId="7D99A7D9" w14:textId="45E404EB"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bottom"/>
            <w:hideMark/>
          </w:tcPr>
          <w:p w14:paraId="0AC92E04" w14:textId="46C8874E"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3%</w:t>
            </w:r>
          </w:p>
        </w:tc>
      </w:tr>
      <w:tr w:rsidR="00B10B1F" w:rsidRPr="003C7CB1" w14:paraId="1B028C16"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BBDE5" w14:textId="77777777" w:rsidR="00DE34DA" w:rsidRPr="003C7CB1" w:rsidRDefault="00DE34D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4</w:t>
            </w:r>
            <w:r w:rsidR="00EB6A52" w:rsidRPr="003C7CB1">
              <w:rPr>
                <w:rFonts w:eastAsia="Times New Roman" w:cs="Times New Roman"/>
                <w:b/>
                <w:bCs/>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6400BE4D"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933</w:t>
            </w:r>
          </w:p>
        </w:tc>
        <w:tc>
          <w:tcPr>
            <w:tcW w:w="823" w:type="dxa"/>
            <w:tcBorders>
              <w:top w:val="nil"/>
              <w:left w:val="nil"/>
              <w:bottom w:val="single" w:sz="4" w:space="0" w:color="auto"/>
              <w:right w:val="single" w:sz="4" w:space="0" w:color="auto"/>
            </w:tcBorders>
            <w:shd w:val="clear" w:color="auto" w:fill="auto"/>
            <w:noWrap/>
            <w:vAlign w:val="bottom"/>
            <w:hideMark/>
          </w:tcPr>
          <w:p w14:paraId="0B916E16" w14:textId="1C783060"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48</w:t>
            </w:r>
            <w:r w:rsidR="00F33713" w:rsidRPr="003C7CB1">
              <w:rPr>
                <w:rFonts w:eastAsia="Times New Roman" w:cs="Times New Roman"/>
                <w:color w:val="000000"/>
                <w:sz w:val="20"/>
                <w:szCs w:val="20"/>
              </w:rPr>
              <w:t>,</w:t>
            </w:r>
            <w:r w:rsidRPr="003C7CB1">
              <w:rPr>
                <w:rFonts w:eastAsia="Times New Roman" w:cs="Times New Roman"/>
                <w:color w:val="000000"/>
                <w:sz w:val="20"/>
                <w:szCs w:val="20"/>
              </w:rPr>
              <w:t>9%</w:t>
            </w:r>
          </w:p>
        </w:tc>
        <w:tc>
          <w:tcPr>
            <w:tcW w:w="1246" w:type="dxa"/>
            <w:tcBorders>
              <w:top w:val="nil"/>
              <w:left w:val="nil"/>
              <w:bottom w:val="single" w:sz="4" w:space="0" w:color="auto"/>
              <w:right w:val="single" w:sz="4" w:space="0" w:color="auto"/>
            </w:tcBorders>
            <w:shd w:val="clear" w:color="auto" w:fill="auto"/>
            <w:noWrap/>
            <w:vAlign w:val="bottom"/>
            <w:hideMark/>
          </w:tcPr>
          <w:p w14:paraId="6538FADC" w14:textId="158144D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791</w:t>
            </w:r>
          </w:p>
        </w:tc>
        <w:tc>
          <w:tcPr>
            <w:tcW w:w="815" w:type="dxa"/>
            <w:tcBorders>
              <w:top w:val="nil"/>
              <w:left w:val="nil"/>
              <w:bottom w:val="single" w:sz="4" w:space="0" w:color="auto"/>
              <w:right w:val="single" w:sz="4" w:space="0" w:color="auto"/>
            </w:tcBorders>
            <w:shd w:val="clear" w:color="auto" w:fill="auto"/>
            <w:noWrap/>
            <w:vAlign w:val="bottom"/>
            <w:hideMark/>
          </w:tcPr>
          <w:p w14:paraId="55FCC4F4" w14:textId="6F34E7FD"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93%</w:t>
            </w:r>
          </w:p>
        </w:tc>
        <w:tc>
          <w:tcPr>
            <w:tcW w:w="1199" w:type="dxa"/>
            <w:tcBorders>
              <w:top w:val="nil"/>
              <w:left w:val="nil"/>
              <w:bottom w:val="single" w:sz="4" w:space="0" w:color="auto"/>
              <w:right w:val="single" w:sz="4" w:space="0" w:color="auto"/>
            </w:tcBorders>
            <w:shd w:val="clear" w:color="auto" w:fill="auto"/>
            <w:noWrap/>
            <w:vAlign w:val="bottom"/>
            <w:hideMark/>
          </w:tcPr>
          <w:p w14:paraId="5D1CA838" w14:textId="3E134B71"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8</w:t>
            </w:r>
            <w:r w:rsidR="00941DD8" w:rsidRPr="003C7CB1">
              <w:rPr>
                <w:rFonts w:eastAsia="Times New Roman" w:cs="Times New Roman"/>
                <w:color w:val="000000"/>
                <w:sz w:val="20"/>
                <w:szCs w:val="20"/>
              </w:rPr>
              <w:t>,</w:t>
            </w:r>
            <w:r w:rsidRPr="003C7CB1">
              <w:rPr>
                <w:rFonts w:eastAsia="Times New Roman" w:cs="Times New Roman"/>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2F6E558B" w14:textId="1AB67405"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941DD8" w:rsidRPr="003C7CB1">
              <w:rPr>
                <w:rFonts w:eastAsia="Times New Roman" w:cs="Times New Roman"/>
                <w:color w:val="000000"/>
                <w:sz w:val="20"/>
                <w:szCs w:val="20"/>
              </w:rPr>
              <w:t>.</w:t>
            </w:r>
            <w:r w:rsidRPr="003C7CB1">
              <w:rPr>
                <w:rFonts w:eastAsia="Times New Roman" w:cs="Times New Roman"/>
                <w:color w:val="000000"/>
                <w:sz w:val="20"/>
                <w:szCs w:val="20"/>
              </w:rPr>
              <w:t>400</w:t>
            </w:r>
          </w:p>
        </w:tc>
        <w:tc>
          <w:tcPr>
            <w:tcW w:w="819" w:type="dxa"/>
            <w:tcBorders>
              <w:top w:val="nil"/>
              <w:left w:val="nil"/>
              <w:bottom w:val="single" w:sz="4" w:space="0" w:color="auto"/>
              <w:right w:val="single" w:sz="4" w:space="0" w:color="auto"/>
            </w:tcBorders>
            <w:shd w:val="clear" w:color="auto" w:fill="auto"/>
            <w:noWrap/>
            <w:vAlign w:val="bottom"/>
            <w:hideMark/>
          </w:tcPr>
          <w:p w14:paraId="36D4903C" w14:textId="53BE1B40"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26</w:t>
            </w:r>
            <w:r w:rsidR="00941DD8" w:rsidRPr="003C7CB1">
              <w:rPr>
                <w:rFonts w:eastAsia="Times New Roman" w:cs="Times New Roman"/>
                <w:color w:val="000000"/>
                <w:sz w:val="20"/>
                <w:szCs w:val="20"/>
              </w:rPr>
              <w:t>,</w:t>
            </w:r>
            <w:r w:rsidRPr="003C7CB1">
              <w:rPr>
                <w:rFonts w:eastAsia="Times New Roman" w:cs="Times New Roman"/>
                <w:color w:val="000000"/>
                <w:sz w:val="20"/>
                <w:szCs w:val="20"/>
              </w:rPr>
              <w:t>5%</w:t>
            </w:r>
          </w:p>
        </w:tc>
        <w:tc>
          <w:tcPr>
            <w:tcW w:w="1113" w:type="dxa"/>
            <w:tcBorders>
              <w:top w:val="nil"/>
              <w:left w:val="nil"/>
              <w:bottom w:val="single" w:sz="4" w:space="0" w:color="auto"/>
              <w:right w:val="single" w:sz="4" w:space="0" w:color="auto"/>
            </w:tcBorders>
            <w:shd w:val="clear" w:color="auto" w:fill="auto"/>
            <w:noWrap/>
            <w:vAlign w:val="bottom"/>
            <w:hideMark/>
          </w:tcPr>
          <w:p w14:paraId="13AE265D" w14:textId="708DE5E5"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w:t>
            </w:r>
          </w:p>
        </w:tc>
      </w:tr>
      <w:tr w:rsidR="00B10B1F" w:rsidRPr="003C7CB1" w14:paraId="38BCD084"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4FAB6" w14:textId="77777777" w:rsidR="00DE34DA" w:rsidRPr="003C7CB1" w:rsidRDefault="00DE34D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3</w:t>
            </w:r>
            <w:r w:rsidR="00EB6A52" w:rsidRPr="003C7CB1">
              <w:rPr>
                <w:rFonts w:eastAsia="Times New Roman" w:cs="Times New Roman"/>
                <w:b/>
                <w:bCs/>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5ED30656"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580</w:t>
            </w:r>
          </w:p>
        </w:tc>
        <w:tc>
          <w:tcPr>
            <w:tcW w:w="823" w:type="dxa"/>
            <w:tcBorders>
              <w:top w:val="nil"/>
              <w:left w:val="nil"/>
              <w:bottom w:val="single" w:sz="4" w:space="0" w:color="auto"/>
              <w:right w:val="single" w:sz="4" w:space="0" w:color="auto"/>
            </w:tcBorders>
            <w:shd w:val="clear" w:color="auto" w:fill="auto"/>
            <w:noWrap/>
            <w:vAlign w:val="bottom"/>
            <w:hideMark/>
          </w:tcPr>
          <w:p w14:paraId="60A6F27F" w14:textId="4103EF70"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30</w:t>
            </w:r>
            <w:r w:rsidR="00F33713" w:rsidRPr="003C7CB1">
              <w:rPr>
                <w:rFonts w:eastAsia="Times New Roman" w:cs="Times New Roman"/>
                <w:color w:val="000000"/>
                <w:sz w:val="20"/>
                <w:szCs w:val="20"/>
              </w:rPr>
              <w:t>,</w:t>
            </w:r>
            <w:r w:rsidRPr="003C7CB1">
              <w:rPr>
                <w:rFonts w:eastAsia="Times New Roman" w:cs="Times New Roman"/>
                <w:color w:val="000000"/>
                <w:sz w:val="20"/>
                <w:szCs w:val="20"/>
              </w:rPr>
              <w:t>4%</w:t>
            </w:r>
          </w:p>
        </w:tc>
        <w:tc>
          <w:tcPr>
            <w:tcW w:w="1246" w:type="dxa"/>
            <w:tcBorders>
              <w:top w:val="nil"/>
              <w:left w:val="nil"/>
              <w:bottom w:val="single" w:sz="4" w:space="0" w:color="auto"/>
              <w:right w:val="single" w:sz="4" w:space="0" w:color="auto"/>
            </w:tcBorders>
            <w:shd w:val="clear" w:color="auto" w:fill="auto"/>
            <w:noWrap/>
            <w:vAlign w:val="bottom"/>
            <w:hideMark/>
          </w:tcPr>
          <w:p w14:paraId="7FB1E97E" w14:textId="3658E2A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028</w:t>
            </w:r>
          </w:p>
        </w:tc>
        <w:tc>
          <w:tcPr>
            <w:tcW w:w="815" w:type="dxa"/>
            <w:tcBorders>
              <w:top w:val="nil"/>
              <w:left w:val="nil"/>
              <w:bottom w:val="single" w:sz="4" w:space="0" w:color="auto"/>
              <w:right w:val="single" w:sz="4" w:space="0" w:color="auto"/>
            </w:tcBorders>
            <w:shd w:val="clear" w:color="auto" w:fill="auto"/>
            <w:noWrap/>
            <w:vAlign w:val="bottom"/>
            <w:hideMark/>
          </w:tcPr>
          <w:p w14:paraId="67579489" w14:textId="42A2D3D1"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31%</w:t>
            </w:r>
          </w:p>
        </w:tc>
        <w:tc>
          <w:tcPr>
            <w:tcW w:w="1199" w:type="dxa"/>
            <w:tcBorders>
              <w:top w:val="nil"/>
              <w:left w:val="nil"/>
              <w:bottom w:val="single" w:sz="4" w:space="0" w:color="auto"/>
              <w:right w:val="single" w:sz="4" w:space="0" w:color="auto"/>
            </w:tcBorders>
            <w:shd w:val="clear" w:color="auto" w:fill="auto"/>
            <w:noWrap/>
            <w:vAlign w:val="bottom"/>
            <w:hideMark/>
          </w:tcPr>
          <w:p w14:paraId="25EA3F16" w14:textId="505DF133"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7</w:t>
            </w:r>
            <w:r w:rsidR="00941DD8" w:rsidRPr="003C7CB1">
              <w:rPr>
                <w:rFonts w:eastAsia="Times New Roman" w:cs="Times New Roman"/>
                <w:color w:val="000000"/>
                <w:sz w:val="20"/>
                <w:szCs w:val="20"/>
              </w:rPr>
              <w:t>,</w:t>
            </w:r>
            <w:r w:rsidRPr="003C7CB1">
              <w:rPr>
                <w:rFonts w:eastAsia="Times New Roman" w:cs="Times New Roman"/>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bottom"/>
            <w:hideMark/>
          </w:tcPr>
          <w:p w14:paraId="2682F760" w14:textId="26343275"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500</w:t>
            </w:r>
          </w:p>
        </w:tc>
        <w:tc>
          <w:tcPr>
            <w:tcW w:w="819" w:type="dxa"/>
            <w:tcBorders>
              <w:top w:val="nil"/>
              <w:left w:val="nil"/>
              <w:bottom w:val="single" w:sz="4" w:space="0" w:color="auto"/>
              <w:right w:val="single" w:sz="4" w:space="0" w:color="auto"/>
            </w:tcBorders>
            <w:shd w:val="clear" w:color="auto" w:fill="auto"/>
            <w:noWrap/>
            <w:vAlign w:val="bottom"/>
            <w:hideMark/>
          </w:tcPr>
          <w:p w14:paraId="0958E330" w14:textId="07603653"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16</w:t>
            </w:r>
            <w:r w:rsidR="00941DD8" w:rsidRPr="003C7CB1">
              <w:rPr>
                <w:rFonts w:eastAsia="Times New Roman" w:cs="Times New Roman"/>
                <w:color w:val="000000"/>
                <w:sz w:val="20"/>
                <w:szCs w:val="20"/>
              </w:rPr>
              <w:t>,</w:t>
            </w:r>
            <w:r w:rsidRPr="003C7CB1">
              <w:rPr>
                <w:rFonts w:eastAsia="Times New Roman" w:cs="Times New Roman"/>
                <w:color w:val="000000"/>
                <w:sz w:val="20"/>
                <w:szCs w:val="20"/>
              </w:rPr>
              <w:t>6%</w:t>
            </w:r>
          </w:p>
        </w:tc>
        <w:tc>
          <w:tcPr>
            <w:tcW w:w="1113" w:type="dxa"/>
            <w:tcBorders>
              <w:top w:val="nil"/>
              <w:left w:val="nil"/>
              <w:bottom w:val="single" w:sz="4" w:space="0" w:color="auto"/>
              <w:right w:val="single" w:sz="4" w:space="0" w:color="auto"/>
            </w:tcBorders>
            <w:shd w:val="clear" w:color="auto" w:fill="auto"/>
            <w:noWrap/>
            <w:vAlign w:val="bottom"/>
            <w:hideMark/>
          </w:tcPr>
          <w:p w14:paraId="32105C97" w14:textId="7C5C3EFD"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6</w:t>
            </w:r>
            <w:r w:rsidR="00941DD8" w:rsidRPr="003C7CB1">
              <w:rPr>
                <w:rFonts w:eastAsia="Times New Roman" w:cs="Times New Roman"/>
                <w:color w:val="000000"/>
                <w:sz w:val="20"/>
                <w:szCs w:val="20"/>
              </w:rPr>
              <w:t>,</w:t>
            </w:r>
            <w:r w:rsidRPr="003C7CB1">
              <w:rPr>
                <w:rFonts w:eastAsia="Times New Roman" w:cs="Times New Roman"/>
                <w:color w:val="000000"/>
                <w:sz w:val="20"/>
                <w:szCs w:val="20"/>
              </w:rPr>
              <w:t>5%</w:t>
            </w:r>
          </w:p>
        </w:tc>
      </w:tr>
      <w:tr w:rsidR="00B10B1F" w:rsidRPr="003C7CB1" w14:paraId="5569F607"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98329E" w14:textId="77777777" w:rsidR="00DE34DA" w:rsidRPr="003C7CB1" w:rsidRDefault="00DE34D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2</w:t>
            </w:r>
            <w:r w:rsidR="00EB6A52" w:rsidRPr="003C7CB1">
              <w:rPr>
                <w:rFonts w:eastAsia="Times New Roman" w:cs="Times New Roman"/>
                <w:b/>
                <w:bCs/>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6FDAA8FE"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332</w:t>
            </w:r>
          </w:p>
        </w:tc>
        <w:tc>
          <w:tcPr>
            <w:tcW w:w="823" w:type="dxa"/>
            <w:tcBorders>
              <w:top w:val="nil"/>
              <w:left w:val="nil"/>
              <w:bottom w:val="single" w:sz="4" w:space="0" w:color="auto"/>
              <w:right w:val="single" w:sz="4" w:space="0" w:color="auto"/>
            </w:tcBorders>
            <w:shd w:val="clear" w:color="auto" w:fill="auto"/>
            <w:noWrap/>
            <w:vAlign w:val="bottom"/>
            <w:hideMark/>
          </w:tcPr>
          <w:p w14:paraId="3292110F" w14:textId="06F0E4E0"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17</w:t>
            </w:r>
            <w:r w:rsidR="00F33713" w:rsidRPr="003C7CB1">
              <w:rPr>
                <w:rFonts w:eastAsia="Times New Roman" w:cs="Times New Roman"/>
                <w:color w:val="000000"/>
                <w:sz w:val="20"/>
                <w:szCs w:val="20"/>
              </w:rPr>
              <w:t>,</w:t>
            </w:r>
            <w:r w:rsidRPr="003C7CB1">
              <w:rPr>
                <w:rFonts w:eastAsia="Times New Roman" w:cs="Times New Roman"/>
                <w:color w:val="000000"/>
                <w:sz w:val="20"/>
                <w:szCs w:val="20"/>
              </w:rPr>
              <w:t>4%</w:t>
            </w:r>
          </w:p>
        </w:tc>
        <w:tc>
          <w:tcPr>
            <w:tcW w:w="1246" w:type="dxa"/>
            <w:tcBorders>
              <w:top w:val="nil"/>
              <w:left w:val="nil"/>
              <w:bottom w:val="single" w:sz="4" w:space="0" w:color="auto"/>
              <w:right w:val="single" w:sz="4" w:space="0" w:color="auto"/>
            </w:tcBorders>
            <w:shd w:val="clear" w:color="auto" w:fill="auto"/>
            <w:noWrap/>
            <w:vAlign w:val="bottom"/>
            <w:hideMark/>
          </w:tcPr>
          <w:p w14:paraId="28A53ECC"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224</w:t>
            </w:r>
          </w:p>
        </w:tc>
        <w:tc>
          <w:tcPr>
            <w:tcW w:w="815" w:type="dxa"/>
            <w:tcBorders>
              <w:top w:val="nil"/>
              <w:left w:val="nil"/>
              <w:bottom w:val="single" w:sz="4" w:space="0" w:color="auto"/>
              <w:right w:val="single" w:sz="4" w:space="0" w:color="auto"/>
            </w:tcBorders>
            <w:shd w:val="clear" w:color="auto" w:fill="auto"/>
            <w:noWrap/>
            <w:vAlign w:val="bottom"/>
            <w:hideMark/>
          </w:tcPr>
          <w:p w14:paraId="6666E37C" w14:textId="7EB4C9AC"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941DD8" w:rsidRPr="003C7CB1">
              <w:rPr>
                <w:rFonts w:eastAsia="Times New Roman" w:cs="Times New Roman"/>
                <w:color w:val="000000"/>
                <w:sz w:val="20"/>
                <w:szCs w:val="20"/>
              </w:rPr>
              <w:t>,</w:t>
            </w:r>
            <w:r w:rsidRPr="003C7CB1">
              <w:rPr>
                <w:rFonts w:eastAsia="Times New Roman" w:cs="Times New Roman"/>
                <w:color w:val="000000"/>
                <w:sz w:val="20"/>
                <w:szCs w:val="20"/>
              </w:rPr>
              <w:t>12%</w:t>
            </w:r>
          </w:p>
        </w:tc>
        <w:tc>
          <w:tcPr>
            <w:tcW w:w="1199" w:type="dxa"/>
            <w:tcBorders>
              <w:top w:val="nil"/>
              <w:left w:val="nil"/>
              <w:bottom w:val="single" w:sz="4" w:space="0" w:color="auto"/>
              <w:right w:val="single" w:sz="4" w:space="0" w:color="auto"/>
            </w:tcBorders>
            <w:shd w:val="clear" w:color="auto" w:fill="auto"/>
            <w:noWrap/>
            <w:vAlign w:val="bottom"/>
            <w:hideMark/>
          </w:tcPr>
          <w:p w14:paraId="143201E9" w14:textId="403203D9"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bottom"/>
            <w:hideMark/>
          </w:tcPr>
          <w:p w14:paraId="5D8016C4"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19" w:type="dxa"/>
            <w:tcBorders>
              <w:top w:val="nil"/>
              <w:left w:val="nil"/>
              <w:bottom w:val="single" w:sz="4" w:space="0" w:color="auto"/>
              <w:right w:val="single" w:sz="4" w:space="0" w:color="auto"/>
            </w:tcBorders>
            <w:shd w:val="clear" w:color="auto" w:fill="auto"/>
            <w:noWrap/>
            <w:vAlign w:val="bottom"/>
            <w:hideMark/>
          </w:tcPr>
          <w:p w14:paraId="15F65637"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c>
          <w:tcPr>
            <w:tcW w:w="1113" w:type="dxa"/>
            <w:tcBorders>
              <w:top w:val="nil"/>
              <w:left w:val="nil"/>
              <w:bottom w:val="single" w:sz="4" w:space="0" w:color="auto"/>
              <w:right w:val="single" w:sz="4" w:space="0" w:color="auto"/>
            </w:tcBorders>
            <w:shd w:val="clear" w:color="auto" w:fill="auto"/>
            <w:noWrap/>
            <w:vAlign w:val="bottom"/>
            <w:hideMark/>
          </w:tcPr>
          <w:p w14:paraId="26563CDF" w14:textId="0B08FFAA"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-100</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w:t>
            </w:r>
          </w:p>
        </w:tc>
      </w:tr>
      <w:tr w:rsidR="00B10B1F" w:rsidRPr="003C7CB1" w14:paraId="18C789ED"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103B2A" w14:textId="77777777" w:rsidR="00DE34DA" w:rsidRPr="003C7CB1" w:rsidRDefault="00DE34DA"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1</w:t>
            </w:r>
            <w:r w:rsidR="00EB6A52" w:rsidRPr="003C7CB1">
              <w:rPr>
                <w:rFonts w:eastAsia="Times New Roman" w:cs="Times New Roman"/>
                <w:b/>
                <w:bCs/>
                <w:color w:val="000000"/>
                <w:sz w:val="20"/>
                <w:szCs w:val="20"/>
              </w:rPr>
              <w:t>*</w:t>
            </w:r>
          </w:p>
        </w:tc>
        <w:tc>
          <w:tcPr>
            <w:tcW w:w="1246" w:type="dxa"/>
            <w:tcBorders>
              <w:top w:val="nil"/>
              <w:left w:val="nil"/>
              <w:bottom w:val="single" w:sz="4" w:space="0" w:color="auto"/>
              <w:right w:val="single" w:sz="4" w:space="0" w:color="auto"/>
            </w:tcBorders>
            <w:shd w:val="clear" w:color="auto" w:fill="auto"/>
            <w:noWrap/>
            <w:vAlign w:val="bottom"/>
            <w:hideMark/>
          </w:tcPr>
          <w:p w14:paraId="52BAA52E"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23" w:type="dxa"/>
            <w:tcBorders>
              <w:top w:val="nil"/>
              <w:left w:val="nil"/>
              <w:bottom w:val="single" w:sz="4" w:space="0" w:color="auto"/>
              <w:right w:val="single" w:sz="4" w:space="0" w:color="auto"/>
            </w:tcBorders>
            <w:shd w:val="clear" w:color="auto" w:fill="auto"/>
            <w:noWrap/>
            <w:vAlign w:val="bottom"/>
            <w:hideMark/>
          </w:tcPr>
          <w:p w14:paraId="5D5FB744" w14:textId="45068783"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F33713"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246" w:type="dxa"/>
            <w:tcBorders>
              <w:top w:val="nil"/>
              <w:left w:val="nil"/>
              <w:bottom w:val="single" w:sz="4" w:space="0" w:color="auto"/>
              <w:right w:val="single" w:sz="4" w:space="0" w:color="auto"/>
            </w:tcBorders>
            <w:shd w:val="clear" w:color="auto" w:fill="auto"/>
            <w:noWrap/>
            <w:vAlign w:val="bottom"/>
            <w:hideMark/>
          </w:tcPr>
          <w:p w14:paraId="3C069893"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10</w:t>
            </w:r>
          </w:p>
        </w:tc>
        <w:tc>
          <w:tcPr>
            <w:tcW w:w="815" w:type="dxa"/>
            <w:tcBorders>
              <w:top w:val="nil"/>
              <w:left w:val="nil"/>
              <w:bottom w:val="single" w:sz="4" w:space="0" w:color="auto"/>
              <w:right w:val="single" w:sz="4" w:space="0" w:color="auto"/>
            </w:tcBorders>
            <w:shd w:val="clear" w:color="auto" w:fill="auto"/>
            <w:noWrap/>
            <w:vAlign w:val="bottom"/>
            <w:hideMark/>
          </w:tcPr>
          <w:p w14:paraId="64181651" w14:textId="23430458"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941DD8" w:rsidRPr="003C7CB1">
              <w:rPr>
                <w:rFonts w:eastAsia="Times New Roman" w:cs="Times New Roman"/>
                <w:color w:val="000000"/>
                <w:sz w:val="20"/>
                <w:szCs w:val="20"/>
              </w:rPr>
              <w:t>,</w:t>
            </w:r>
            <w:r w:rsidRPr="003C7CB1">
              <w:rPr>
                <w:rFonts w:eastAsia="Times New Roman" w:cs="Times New Roman"/>
                <w:color w:val="000000"/>
                <w:sz w:val="20"/>
                <w:szCs w:val="20"/>
              </w:rPr>
              <w:t>14%</w:t>
            </w:r>
          </w:p>
        </w:tc>
        <w:tc>
          <w:tcPr>
            <w:tcW w:w="1199" w:type="dxa"/>
            <w:tcBorders>
              <w:top w:val="nil"/>
              <w:left w:val="nil"/>
              <w:bottom w:val="single" w:sz="4" w:space="0" w:color="auto"/>
              <w:right w:val="single" w:sz="4" w:space="0" w:color="auto"/>
            </w:tcBorders>
            <w:shd w:val="clear" w:color="auto" w:fill="auto"/>
            <w:noWrap/>
            <w:vAlign w:val="bottom"/>
            <w:hideMark/>
          </w:tcPr>
          <w:p w14:paraId="0B1D163E"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EB02D1"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19" w:type="dxa"/>
            <w:tcBorders>
              <w:top w:val="nil"/>
              <w:left w:val="nil"/>
              <w:bottom w:val="single" w:sz="4" w:space="0" w:color="auto"/>
              <w:right w:val="single" w:sz="4" w:space="0" w:color="auto"/>
            </w:tcBorders>
            <w:shd w:val="clear" w:color="auto" w:fill="auto"/>
            <w:noWrap/>
            <w:vAlign w:val="bottom"/>
            <w:hideMark/>
          </w:tcPr>
          <w:p w14:paraId="53D7F1E7"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c>
          <w:tcPr>
            <w:tcW w:w="1113" w:type="dxa"/>
            <w:tcBorders>
              <w:top w:val="nil"/>
              <w:left w:val="nil"/>
              <w:bottom w:val="single" w:sz="4" w:space="0" w:color="auto"/>
              <w:right w:val="single" w:sz="4" w:space="0" w:color="auto"/>
            </w:tcBorders>
            <w:shd w:val="clear" w:color="auto" w:fill="auto"/>
            <w:noWrap/>
            <w:vAlign w:val="bottom"/>
            <w:hideMark/>
          </w:tcPr>
          <w:p w14:paraId="1E680D00" w14:textId="3090EF82"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-100</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w:t>
            </w:r>
          </w:p>
        </w:tc>
      </w:tr>
      <w:tr w:rsidR="00B10B1F" w:rsidRPr="003C7CB1" w14:paraId="58EDC159"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03032B" w14:textId="1A381C82" w:rsidR="00DE34DA" w:rsidRPr="003C7CB1" w:rsidRDefault="005D5C42"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Camps</w:t>
            </w:r>
          </w:p>
        </w:tc>
        <w:tc>
          <w:tcPr>
            <w:tcW w:w="1246" w:type="dxa"/>
            <w:tcBorders>
              <w:top w:val="nil"/>
              <w:left w:val="nil"/>
              <w:bottom w:val="single" w:sz="4" w:space="0" w:color="auto"/>
              <w:right w:val="single" w:sz="4" w:space="0" w:color="auto"/>
            </w:tcBorders>
            <w:shd w:val="clear" w:color="auto" w:fill="auto"/>
            <w:noWrap/>
            <w:vAlign w:val="bottom"/>
            <w:hideMark/>
          </w:tcPr>
          <w:p w14:paraId="209D59B2"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23" w:type="dxa"/>
            <w:tcBorders>
              <w:top w:val="nil"/>
              <w:left w:val="nil"/>
              <w:bottom w:val="single" w:sz="4" w:space="0" w:color="auto"/>
              <w:right w:val="single" w:sz="4" w:space="0" w:color="auto"/>
            </w:tcBorders>
            <w:shd w:val="clear" w:color="auto" w:fill="auto"/>
            <w:noWrap/>
            <w:vAlign w:val="bottom"/>
            <w:hideMark/>
          </w:tcPr>
          <w:p w14:paraId="4F86C9AB" w14:textId="232C87FF"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F33713"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246" w:type="dxa"/>
            <w:tcBorders>
              <w:top w:val="nil"/>
              <w:left w:val="nil"/>
              <w:bottom w:val="single" w:sz="4" w:space="0" w:color="auto"/>
              <w:right w:val="single" w:sz="4" w:space="0" w:color="auto"/>
            </w:tcBorders>
            <w:shd w:val="clear" w:color="auto" w:fill="auto"/>
            <w:noWrap/>
            <w:vAlign w:val="bottom"/>
            <w:hideMark/>
          </w:tcPr>
          <w:p w14:paraId="00F39452"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p>
        </w:tc>
        <w:tc>
          <w:tcPr>
            <w:tcW w:w="815" w:type="dxa"/>
            <w:tcBorders>
              <w:top w:val="nil"/>
              <w:left w:val="nil"/>
              <w:bottom w:val="single" w:sz="4" w:space="0" w:color="auto"/>
              <w:right w:val="single" w:sz="4" w:space="0" w:color="auto"/>
            </w:tcBorders>
            <w:shd w:val="clear" w:color="auto" w:fill="auto"/>
            <w:noWrap/>
            <w:vAlign w:val="bottom"/>
            <w:hideMark/>
          </w:tcPr>
          <w:p w14:paraId="1B8DB02F" w14:textId="73A960FA"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0</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w:t>
            </w:r>
          </w:p>
        </w:tc>
        <w:tc>
          <w:tcPr>
            <w:tcW w:w="1199" w:type="dxa"/>
            <w:tcBorders>
              <w:top w:val="nil"/>
              <w:left w:val="nil"/>
              <w:bottom w:val="single" w:sz="4" w:space="0" w:color="auto"/>
              <w:right w:val="single" w:sz="4" w:space="0" w:color="auto"/>
            </w:tcBorders>
            <w:shd w:val="clear" w:color="auto" w:fill="auto"/>
            <w:noWrap/>
            <w:vAlign w:val="bottom"/>
            <w:hideMark/>
          </w:tcPr>
          <w:p w14:paraId="25ACBCDD"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ED63BB1"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100</w:t>
            </w:r>
          </w:p>
        </w:tc>
        <w:tc>
          <w:tcPr>
            <w:tcW w:w="819" w:type="dxa"/>
            <w:tcBorders>
              <w:top w:val="nil"/>
              <w:left w:val="nil"/>
              <w:bottom w:val="single" w:sz="4" w:space="0" w:color="auto"/>
              <w:right w:val="single" w:sz="4" w:space="0" w:color="auto"/>
            </w:tcBorders>
            <w:shd w:val="clear" w:color="auto" w:fill="auto"/>
            <w:noWrap/>
            <w:vAlign w:val="bottom"/>
            <w:hideMark/>
          </w:tcPr>
          <w:p w14:paraId="2BBCEFD9" w14:textId="4896A98B"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1</w:t>
            </w:r>
            <w:r w:rsidR="00941DD8" w:rsidRPr="003C7CB1">
              <w:rPr>
                <w:rFonts w:eastAsia="Times New Roman" w:cs="Times New Roman"/>
                <w:color w:val="000000"/>
                <w:sz w:val="20"/>
                <w:szCs w:val="20"/>
              </w:rPr>
              <w:t>,</w:t>
            </w:r>
            <w:r w:rsidRPr="003C7CB1">
              <w:rPr>
                <w:rFonts w:eastAsia="Times New Roman" w:cs="Times New Roman"/>
                <w:color w:val="000000"/>
                <w:sz w:val="20"/>
                <w:szCs w:val="20"/>
              </w:rPr>
              <w:t>1%</w:t>
            </w:r>
          </w:p>
        </w:tc>
        <w:tc>
          <w:tcPr>
            <w:tcW w:w="1113" w:type="dxa"/>
            <w:tcBorders>
              <w:top w:val="nil"/>
              <w:left w:val="nil"/>
              <w:bottom w:val="single" w:sz="4" w:space="0" w:color="auto"/>
              <w:right w:val="single" w:sz="4" w:space="0" w:color="auto"/>
            </w:tcBorders>
            <w:shd w:val="clear" w:color="auto" w:fill="auto"/>
            <w:noWrap/>
            <w:vAlign w:val="bottom"/>
            <w:hideMark/>
          </w:tcPr>
          <w:p w14:paraId="0A4A2157"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w:t>
            </w:r>
          </w:p>
        </w:tc>
      </w:tr>
      <w:tr w:rsidR="00B10B1F" w:rsidRPr="003C7CB1" w14:paraId="57B3460B"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1F5CC2" w14:textId="15DD4DF4" w:rsidR="00DE34DA" w:rsidRPr="003C7CB1" w:rsidRDefault="005D5C42"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Private accommodation</w:t>
            </w:r>
          </w:p>
        </w:tc>
        <w:tc>
          <w:tcPr>
            <w:tcW w:w="1246" w:type="dxa"/>
            <w:tcBorders>
              <w:top w:val="nil"/>
              <w:left w:val="nil"/>
              <w:bottom w:val="single" w:sz="4" w:space="0" w:color="auto"/>
              <w:right w:val="single" w:sz="4" w:space="0" w:color="auto"/>
            </w:tcBorders>
            <w:shd w:val="clear" w:color="auto" w:fill="auto"/>
            <w:noWrap/>
            <w:vAlign w:val="bottom"/>
            <w:hideMark/>
          </w:tcPr>
          <w:p w14:paraId="323647C2" w14:textId="77777777"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63</w:t>
            </w:r>
          </w:p>
        </w:tc>
        <w:tc>
          <w:tcPr>
            <w:tcW w:w="823" w:type="dxa"/>
            <w:tcBorders>
              <w:top w:val="nil"/>
              <w:left w:val="nil"/>
              <w:bottom w:val="single" w:sz="4" w:space="0" w:color="auto"/>
              <w:right w:val="single" w:sz="4" w:space="0" w:color="auto"/>
            </w:tcBorders>
            <w:shd w:val="clear" w:color="auto" w:fill="auto"/>
            <w:noWrap/>
            <w:vAlign w:val="bottom"/>
            <w:hideMark/>
          </w:tcPr>
          <w:p w14:paraId="676BA9AD" w14:textId="5BF56851"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F33713" w:rsidRPr="003C7CB1">
              <w:rPr>
                <w:rFonts w:eastAsia="Times New Roman" w:cs="Times New Roman"/>
                <w:color w:val="000000"/>
                <w:sz w:val="20"/>
                <w:szCs w:val="20"/>
              </w:rPr>
              <w:t>,</w:t>
            </w:r>
            <w:r w:rsidRPr="003C7CB1">
              <w:rPr>
                <w:rFonts w:eastAsia="Times New Roman" w:cs="Times New Roman"/>
                <w:color w:val="000000"/>
                <w:sz w:val="20"/>
                <w:szCs w:val="20"/>
              </w:rPr>
              <w:t>3%</w:t>
            </w:r>
          </w:p>
        </w:tc>
        <w:tc>
          <w:tcPr>
            <w:tcW w:w="1246" w:type="dxa"/>
            <w:tcBorders>
              <w:top w:val="nil"/>
              <w:left w:val="nil"/>
              <w:bottom w:val="single" w:sz="4" w:space="0" w:color="auto"/>
              <w:right w:val="single" w:sz="4" w:space="0" w:color="auto"/>
            </w:tcBorders>
            <w:shd w:val="clear" w:color="auto" w:fill="auto"/>
            <w:noWrap/>
            <w:vAlign w:val="bottom"/>
            <w:hideMark/>
          </w:tcPr>
          <w:p w14:paraId="285947A3" w14:textId="7BBE2D53"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3</w:t>
            </w:r>
            <w:r w:rsidR="00941DD8" w:rsidRPr="003C7CB1">
              <w:rPr>
                <w:rFonts w:eastAsia="Times New Roman" w:cs="Times New Roman"/>
                <w:color w:val="000000"/>
                <w:sz w:val="20"/>
                <w:szCs w:val="20"/>
              </w:rPr>
              <w:t>.</w:t>
            </w:r>
            <w:r w:rsidRPr="003C7CB1">
              <w:rPr>
                <w:rFonts w:eastAsia="Times New Roman" w:cs="Times New Roman"/>
                <w:color w:val="000000"/>
                <w:sz w:val="20"/>
                <w:szCs w:val="20"/>
              </w:rPr>
              <w:t>605</w:t>
            </w:r>
          </w:p>
        </w:tc>
        <w:tc>
          <w:tcPr>
            <w:tcW w:w="815" w:type="dxa"/>
            <w:tcBorders>
              <w:top w:val="nil"/>
              <w:left w:val="nil"/>
              <w:bottom w:val="single" w:sz="4" w:space="0" w:color="auto"/>
              <w:right w:val="single" w:sz="4" w:space="0" w:color="auto"/>
            </w:tcBorders>
            <w:shd w:val="clear" w:color="auto" w:fill="auto"/>
            <w:noWrap/>
            <w:vAlign w:val="bottom"/>
            <w:hideMark/>
          </w:tcPr>
          <w:p w14:paraId="041E0060" w14:textId="72F834CF"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50</w:t>
            </w:r>
            <w:r w:rsidR="00941DD8" w:rsidRPr="003C7CB1">
              <w:rPr>
                <w:rFonts w:eastAsia="Times New Roman" w:cs="Times New Roman"/>
                <w:color w:val="000000"/>
                <w:sz w:val="20"/>
                <w:szCs w:val="20"/>
              </w:rPr>
              <w:t>,</w:t>
            </w:r>
            <w:r w:rsidRPr="003C7CB1">
              <w:rPr>
                <w:rFonts w:eastAsia="Times New Roman" w:cs="Times New Roman"/>
                <w:color w:val="000000"/>
                <w:sz w:val="20"/>
                <w:szCs w:val="20"/>
              </w:rPr>
              <w:t>2%</w:t>
            </w:r>
          </w:p>
        </w:tc>
        <w:tc>
          <w:tcPr>
            <w:tcW w:w="1199" w:type="dxa"/>
            <w:tcBorders>
              <w:top w:val="nil"/>
              <w:left w:val="nil"/>
              <w:bottom w:val="single" w:sz="4" w:space="0" w:color="auto"/>
              <w:right w:val="single" w:sz="4" w:space="0" w:color="auto"/>
            </w:tcBorders>
            <w:shd w:val="clear" w:color="auto" w:fill="auto"/>
            <w:noWrap/>
            <w:vAlign w:val="bottom"/>
            <w:hideMark/>
          </w:tcPr>
          <w:p w14:paraId="0E011348" w14:textId="444B191A"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65</w:t>
            </w:r>
            <w:r w:rsidR="00941DD8" w:rsidRPr="003C7CB1">
              <w:rPr>
                <w:rFonts w:eastAsia="Times New Roman" w:cs="Times New Roman"/>
                <w:color w:val="000000"/>
                <w:sz w:val="20"/>
                <w:szCs w:val="20"/>
              </w:rPr>
              <w:t>,</w:t>
            </w:r>
            <w:r w:rsidRPr="003C7CB1">
              <w:rPr>
                <w:rFonts w:eastAsia="Times New Roman" w:cs="Times New Roman"/>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bottom"/>
            <w:hideMark/>
          </w:tcPr>
          <w:p w14:paraId="5A4D71AB" w14:textId="48481AAF"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050</w:t>
            </w:r>
          </w:p>
        </w:tc>
        <w:tc>
          <w:tcPr>
            <w:tcW w:w="819" w:type="dxa"/>
            <w:tcBorders>
              <w:top w:val="nil"/>
              <w:left w:val="nil"/>
              <w:bottom w:val="single" w:sz="4" w:space="0" w:color="auto"/>
              <w:right w:val="single" w:sz="4" w:space="0" w:color="auto"/>
            </w:tcBorders>
            <w:shd w:val="clear" w:color="auto" w:fill="auto"/>
            <w:noWrap/>
            <w:vAlign w:val="bottom"/>
            <w:hideMark/>
          </w:tcPr>
          <w:p w14:paraId="680E9605" w14:textId="45A9E261"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44</w:t>
            </w:r>
            <w:r w:rsidR="00941DD8" w:rsidRPr="003C7CB1">
              <w:rPr>
                <w:rFonts w:eastAsia="Times New Roman" w:cs="Times New Roman"/>
                <w:color w:val="000000"/>
                <w:sz w:val="20"/>
                <w:szCs w:val="20"/>
              </w:rPr>
              <w:t>,</w:t>
            </w:r>
            <w:r w:rsidRPr="003C7CB1">
              <w:rPr>
                <w:rFonts w:eastAsia="Times New Roman" w:cs="Times New Roman"/>
                <w:color w:val="000000"/>
                <w:sz w:val="20"/>
                <w:szCs w:val="20"/>
              </w:rPr>
              <w:t>8%</w:t>
            </w:r>
          </w:p>
        </w:tc>
        <w:tc>
          <w:tcPr>
            <w:tcW w:w="1113" w:type="dxa"/>
            <w:tcBorders>
              <w:top w:val="nil"/>
              <w:left w:val="nil"/>
              <w:bottom w:val="single" w:sz="4" w:space="0" w:color="auto"/>
              <w:right w:val="single" w:sz="4" w:space="0" w:color="auto"/>
            </w:tcBorders>
            <w:shd w:val="clear" w:color="auto" w:fill="auto"/>
            <w:noWrap/>
            <w:vAlign w:val="bottom"/>
            <w:hideMark/>
          </w:tcPr>
          <w:p w14:paraId="129E230C" w14:textId="31B7135F" w:rsidR="00DE34DA" w:rsidRPr="003C7CB1" w:rsidRDefault="00DE34DA" w:rsidP="00E372B9">
            <w:pPr>
              <w:spacing w:after="120" w:line="240" w:lineRule="auto"/>
              <w:jc w:val="right"/>
              <w:rPr>
                <w:rFonts w:eastAsia="Times New Roman" w:cs="Times New Roman"/>
                <w:color w:val="000000"/>
                <w:sz w:val="20"/>
                <w:szCs w:val="20"/>
              </w:rPr>
            </w:pPr>
            <w:r w:rsidRPr="003C7CB1">
              <w:rPr>
                <w:rFonts w:eastAsia="Times New Roman" w:cs="Times New Roman"/>
                <w:color w:val="000000"/>
                <w:sz w:val="20"/>
                <w:szCs w:val="20"/>
              </w:rPr>
              <w:t>2</w:t>
            </w:r>
            <w:r w:rsidR="00941DD8" w:rsidRPr="003C7CB1">
              <w:rPr>
                <w:rFonts w:eastAsia="Times New Roman" w:cs="Times New Roman"/>
                <w:color w:val="000000"/>
                <w:sz w:val="20"/>
                <w:szCs w:val="20"/>
              </w:rPr>
              <w:t>,</w:t>
            </w:r>
            <w:r w:rsidRPr="003C7CB1">
              <w:rPr>
                <w:rFonts w:eastAsia="Times New Roman" w:cs="Times New Roman"/>
                <w:color w:val="000000"/>
                <w:sz w:val="20"/>
                <w:szCs w:val="20"/>
              </w:rPr>
              <w:t>0%</w:t>
            </w:r>
          </w:p>
        </w:tc>
      </w:tr>
      <w:tr w:rsidR="00B10B1F" w:rsidRPr="003C7CB1" w14:paraId="179A563B" w14:textId="77777777" w:rsidTr="00112023">
        <w:trPr>
          <w:trHeight w:val="233"/>
          <w:jc w:val="center"/>
        </w:trPr>
        <w:tc>
          <w:tcPr>
            <w:tcW w:w="1585" w:type="dxa"/>
            <w:tcBorders>
              <w:top w:val="single" w:sz="4" w:space="0" w:color="auto"/>
              <w:left w:val="single" w:sz="4" w:space="0" w:color="auto"/>
              <w:bottom w:val="single" w:sz="4" w:space="0" w:color="auto"/>
              <w:right w:val="single" w:sz="4" w:space="0" w:color="auto"/>
            </w:tcBorders>
            <w:shd w:val="clear" w:color="000000" w:fill="D9E1F2"/>
            <w:vAlign w:val="bottom"/>
            <w:hideMark/>
          </w:tcPr>
          <w:p w14:paraId="1393072A" w14:textId="4539A8A8" w:rsidR="00DE34DA" w:rsidRPr="003C7CB1" w:rsidRDefault="005D5C42" w:rsidP="00E372B9">
            <w:pPr>
              <w:spacing w:after="120" w:line="240" w:lineRule="auto"/>
              <w:jc w:val="center"/>
              <w:rPr>
                <w:rFonts w:eastAsia="Times New Roman" w:cs="Times New Roman"/>
                <w:b/>
                <w:bCs/>
                <w:color w:val="000000"/>
                <w:sz w:val="20"/>
                <w:szCs w:val="20"/>
              </w:rPr>
            </w:pPr>
            <w:r w:rsidRPr="003C7CB1">
              <w:rPr>
                <w:rFonts w:eastAsia="Times New Roman" w:cs="Times New Roman"/>
                <w:b/>
                <w:bCs/>
                <w:color w:val="000000"/>
                <w:sz w:val="20"/>
                <w:szCs w:val="20"/>
              </w:rPr>
              <w:t>Total</w:t>
            </w:r>
          </w:p>
        </w:tc>
        <w:tc>
          <w:tcPr>
            <w:tcW w:w="1246" w:type="dxa"/>
            <w:tcBorders>
              <w:top w:val="nil"/>
              <w:left w:val="nil"/>
              <w:bottom w:val="single" w:sz="4" w:space="0" w:color="auto"/>
              <w:right w:val="single" w:sz="4" w:space="0" w:color="auto"/>
            </w:tcBorders>
            <w:shd w:val="clear" w:color="000000" w:fill="D9E1F2"/>
            <w:noWrap/>
            <w:vAlign w:val="bottom"/>
            <w:hideMark/>
          </w:tcPr>
          <w:p w14:paraId="0A8690B5" w14:textId="460610B8"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w:t>
            </w:r>
            <w:r w:rsidR="00F33713" w:rsidRPr="003C7CB1">
              <w:rPr>
                <w:rFonts w:eastAsia="Times New Roman" w:cs="Times New Roman"/>
                <w:b/>
                <w:bCs/>
                <w:color w:val="000000"/>
                <w:sz w:val="20"/>
                <w:szCs w:val="20"/>
              </w:rPr>
              <w:t>.</w:t>
            </w:r>
            <w:r w:rsidRPr="003C7CB1">
              <w:rPr>
                <w:rFonts w:eastAsia="Times New Roman" w:cs="Times New Roman"/>
                <w:b/>
                <w:bCs/>
                <w:color w:val="000000"/>
                <w:sz w:val="20"/>
                <w:szCs w:val="20"/>
              </w:rPr>
              <w:t>908</w:t>
            </w:r>
          </w:p>
        </w:tc>
        <w:tc>
          <w:tcPr>
            <w:tcW w:w="823" w:type="dxa"/>
            <w:tcBorders>
              <w:top w:val="nil"/>
              <w:left w:val="nil"/>
              <w:bottom w:val="single" w:sz="4" w:space="0" w:color="auto"/>
              <w:right w:val="single" w:sz="4" w:space="0" w:color="auto"/>
            </w:tcBorders>
            <w:shd w:val="clear" w:color="000000" w:fill="D9E1F2"/>
            <w:noWrap/>
            <w:vAlign w:val="bottom"/>
            <w:hideMark/>
          </w:tcPr>
          <w:p w14:paraId="676A16F0" w14:textId="77777777"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100%</w:t>
            </w:r>
          </w:p>
        </w:tc>
        <w:tc>
          <w:tcPr>
            <w:tcW w:w="1246" w:type="dxa"/>
            <w:tcBorders>
              <w:top w:val="nil"/>
              <w:left w:val="nil"/>
              <w:bottom w:val="single" w:sz="4" w:space="0" w:color="auto"/>
              <w:right w:val="single" w:sz="4" w:space="0" w:color="auto"/>
            </w:tcBorders>
            <w:shd w:val="clear" w:color="000000" w:fill="D9E1F2"/>
            <w:noWrap/>
            <w:vAlign w:val="bottom"/>
            <w:hideMark/>
          </w:tcPr>
          <w:p w14:paraId="6BFEF550" w14:textId="59F0377F"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7</w:t>
            </w:r>
            <w:r w:rsidR="00941DD8" w:rsidRPr="003C7CB1">
              <w:rPr>
                <w:rFonts w:eastAsia="Times New Roman" w:cs="Times New Roman"/>
                <w:b/>
                <w:bCs/>
                <w:color w:val="000000"/>
                <w:sz w:val="20"/>
                <w:szCs w:val="20"/>
              </w:rPr>
              <w:t>.</w:t>
            </w:r>
            <w:r w:rsidRPr="003C7CB1">
              <w:rPr>
                <w:rFonts w:eastAsia="Times New Roman" w:cs="Times New Roman"/>
                <w:b/>
                <w:bCs/>
                <w:color w:val="000000"/>
                <w:sz w:val="20"/>
                <w:szCs w:val="20"/>
              </w:rPr>
              <w:t>185</w:t>
            </w:r>
          </w:p>
        </w:tc>
        <w:tc>
          <w:tcPr>
            <w:tcW w:w="815" w:type="dxa"/>
            <w:tcBorders>
              <w:top w:val="nil"/>
              <w:left w:val="nil"/>
              <w:bottom w:val="single" w:sz="4" w:space="0" w:color="auto"/>
              <w:right w:val="single" w:sz="4" w:space="0" w:color="auto"/>
            </w:tcBorders>
            <w:shd w:val="clear" w:color="000000" w:fill="D9E1F2"/>
            <w:noWrap/>
            <w:vAlign w:val="bottom"/>
            <w:hideMark/>
          </w:tcPr>
          <w:p w14:paraId="2F15EF21" w14:textId="77777777"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100%</w:t>
            </w:r>
          </w:p>
        </w:tc>
        <w:tc>
          <w:tcPr>
            <w:tcW w:w="1199" w:type="dxa"/>
            <w:tcBorders>
              <w:top w:val="nil"/>
              <w:left w:val="nil"/>
              <w:bottom w:val="single" w:sz="4" w:space="0" w:color="auto"/>
              <w:right w:val="single" w:sz="4" w:space="0" w:color="auto"/>
            </w:tcBorders>
            <w:shd w:val="clear" w:color="000000" w:fill="D9E1F2"/>
            <w:noWrap/>
            <w:vAlign w:val="bottom"/>
            <w:hideMark/>
          </w:tcPr>
          <w:p w14:paraId="7783A292" w14:textId="213285E1"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18</w:t>
            </w:r>
            <w:r w:rsidR="00941DD8" w:rsidRPr="003C7CB1">
              <w:rPr>
                <w:rFonts w:eastAsia="Times New Roman" w:cs="Times New Roman"/>
                <w:b/>
                <w:bCs/>
                <w:color w:val="000000"/>
                <w:sz w:val="20"/>
                <w:szCs w:val="20"/>
              </w:rPr>
              <w:t>,</w:t>
            </w:r>
            <w:r w:rsidRPr="003C7CB1">
              <w:rPr>
                <w:rFonts w:eastAsia="Times New Roman" w:cs="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E1F2"/>
            <w:noWrap/>
            <w:vAlign w:val="bottom"/>
            <w:hideMark/>
          </w:tcPr>
          <w:p w14:paraId="1000B639" w14:textId="2528D99D"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9</w:t>
            </w:r>
            <w:r w:rsidR="00941DD8" w:rsidRPr="003C7CB1">
              <w:rPr>
                <w:rFonts w:eastAsia="Times New Roman" w:cs="Times New Roman"/>
                <w:b/>
                <w:bCs/>
                <w:color w:val="000000"/>
                <w:sz w:val="20"/>
                <w:szCs w:val="20"/>
              </w:rPr>
              <w:t>.</w:t>
            </w:r>
            <w:r w:rsidRPr="003C7CB1">
              <w:rPr>
                <w:rFonts w:eastAsia="Times New Roman" w:cs="Times New Roman"/>
                <w:b/>
                <w:bCs/>
                <w:color w:val="000000"/>
                <w:sz w:val="20"/>
                <w:szCs w:val="20"/>
              </w:rPr>
              <w:t>050</w:t>
            </w:r>
          </w:p>
        </w:tc>
        <w:tc>
          <w:tcPr>
            <w:tcW w:w="819" w:type="dxa"/>
            <w:tcBorders>
              <w:top w:val="nil"/>
              <w:left w:val="nil"/>
              <w:bottom w:val="single" w:sz="4" w:space="0" w:color="auto"/>
              <w:right w:val="single" w:sz="4" w:space="0" w:color="auto"/>
            </w:tcBorders>
            <w:shd w:val="clear" w:color="000000" w:fill="D9E1F2"/>
            <w:noWrap/>
            <w:vAlign w:val="bottom"/>
            <w:hideMark/>
          </w:tcPr>
          <w:p w14:paraId="065B73DD" w14:textId="43022224"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100</w:t>
            </w:r>
            <w:r w:rsidR="00941DD8" w:rsidRPr="003C7CB1">
              <w:rPr>
                <w:rFonts w:eastAsia="Times New Roman" w:cs="Times New Roman"/>
                <w:b/>
                <w:bCs/>
                <w:color w:val="000000"/>
                <w:sz w:val="20"/>
                <w:szCs w:val="20"/>
              </w:rPr>
              <w:t>,</w:t>
            </w:r>
            <w:r w:rsidRPr="003C7CB1">
              <w:rPr>
                <w:rFonts w:eastAsia="Times New Roman" w:cs="Times New Roman"/>
                <w:b/>
                <w:bCs/>
                <w:color w:val="000000"/>
                <w:sz w:val="20"/>
                <w:szCs w:val="20"/>
              </w:rPr>
              <w:t>0%</w:t>
            </w:r>
          </w:p>
        </w:tc>
        <w:tc>
          <w:tcPr>
            <w:tcW w:w="1113" w:type="dxa"/>
            <w:tcBorders>
              <w:top w:val="nil"/>
              <w:left w:val="nil"/>
              <w:bottom w:val="single" w:sz="4" w:space="0" w:color="auto"/>
              <w:right w:val="single" w:sz="4" w:space="0" w:color="auto"/>
            </w:tcBorders>
            <w:shd w:val="clear" w:color="000000" w:fill="D9E1F2"/>
            <w:noWrap/>
            <w:vAlign w:val="bottom"/>
            <w:hideMark/>
          </w:tcPr>
          <w:p w14:paraId="7D789FE0" w14:textId="56D5048F" w:rsidR="00DE34DA" w:rsidRPr="003C7CB1" w:rsidRDefault="00DE34DA" w:rsidP="00E372B9">
            <w:pPr>
              <w:spacing w:after="120" w:line="240" w:lineRule="auto"/>
              <w:jc w:val="right"/>
              <w:rPr>
                <w:rFonts w:eastAsia="Times New Roman" w:cs="Times New Roman"/>
                <w:b/>
                <w:bCs/>
                <w:color w:val="000000"/>
                <w:sz w:val="20"/>
                <w:szCs w:val="20"/>
              </w:rPr>
            </w:pPr>
            <w:r w:rsidRPr="003C7CB1">
              <w:rPr>
                <w:rFonts w:eastAsia="Times New Roman" w:cs="Times New Roman"/>
                <w:b/>
                <w:bCs/>
                <w:color w:val="000000"/>
                <w:sz w:val="20"/>
                <w:szCs w:val="20"/>
              </w:rPr>
              <w:t>3</w:t>
            </w:r>
            <w:r w:rsidR="00941DD8" w:rsidRPr="003C7CB1">
              <w:rPr>
                <w:rFonts w:eastAsia="Times New Roman" w:cs="Times New Roman"/>
                <w:b/>
                <w:bCs/>
                <w:color w:val="000000"/>
                <w:sz w:val="20"/>
                <w:szCs w:val="20"/>
              </w:rPr>
              <w:t>,</w:t>
            </w:r>
            <w:r w:rsidRPr="003C7CB1">
              <w:rPr>
                <w:rFonts w:eastAsia="Times New Roman" w:cs="Times New Roman"/>
                <w:b/>
                <w:bCs/>
                <w:color w:val="000000"/>
                <w:sz w:val="20"/>
                <w:szCs w:val="20"/>
              </w:rPr>
              <w:t>9%</w:t>
            </w:r>
          </w:p>
        </w:tc>
      </w:tr>
    </w:tbl>
    <w:p w14:paraId="46EE328B" w14:textId="5D6C6932" w:rsidR="00DF6DEF" w:rsidRPr="003C7CB1" w:rsidRDefault="00236F25" w:rsidP="00353B47">
      <w:pPr>
        <w:spacing w:after="120" w:line="240" w:lineRule="auto"/>
        <w:rPr>
          <w:i/>
          <w:sz w:val="20"/>
          <w:szCs w:val="20"/>
        </w:rPr>
      </w:pPr>
      <w:r w:rsidRPr="003C7CB1">
        <w:rPr>
          <w:i/>
          <w:sz w:val="20"/>
          <w:szCs w:val="20"/>
        </w:rPr>
        <w:t>Source: MONSTAT, processing by the Ministry of Economic Development</w:t>
      </w:r>
    </w:p>
    <w:p w14:paraId="4EF9B9D9" w14:textId="272E448C" w:rsidR="002409E3" w:rsidRPr="003C7CB1" w:rsidRDefault="00236F25" w:rsidP="00432696">
      <w:pPr>
        <w:spacing w:after="120" w:line="240" w:lineRule="auto"/>
        <w:jc w:val="center"/>
      </w:pPr>
      <w:r w:rsidRPr="003C7CB1">
        <w:rPr>
          <w:b/>
        </w:rPr>
        <w:t>Graph No. 15 - Model of accommodation capacity growth in the Central region until 2025</w:t>
      </w:r>
      <w:r w:rsidR="00DE34DA" w:rsidRPr="003C7CB1">
        <w:rPr>
          <w:noProof/>
        </w:rPr>
        <w:drawing>
          <wp:inline distT="0" distB="0" distL="0" distR="0" wp14:anchorId="728C28BC" wp14:editId="7D54FFF7">
            <wp:extent cx="5466400" cy="3430270"/>
            <wp:effectExtent l="0" t="0" r="1270" b="17780"/>
            <wp:docPr id="76" name="Chart 76">
              <a:extLst xmlns:a="http://schemas.openxmlformats.org/drawingml/2006/main">
                <a:ext uri="{FF2B5EF4-FFF2-40B4-BE49-F238E27FC236}">
                  <a16:creationId xmlns:a16="http://schemas.microsoft.com/office/drawing/2014/main" id="{71F9440D-8704-4445-85CB-31082C620E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D5B8954" w14:textId="0408BFF7" w:rsidR="008C5662" w:rsidRPr="003C7CB1" w:rsidRDefault="00353B47" w:rsidP="00353B47">
      <w:pPr>
        <w:spacing w:after="120" w:line="240" w:lineRule="auto"/>
        <w:rPr>
          <w:i/>
          <w:sz w:val="20"/>
          <w:szCs w:val="20"/>
        </w:rPr>
      </w:pPr>
      <w:r w:rsidRPr="003C7CB1">
        <w:rPr>
          <w:i/>
          <w:sz w:val="20"/>
          <w:szCs w:val="20"/>
        </w:rPr>
        <w:t xml:space="preserve">   </w:t>
      </w:r>
      <w:r w:rsidR="009256C2" w:rsidRPr="003C7CB1">
        <w:rPr>
          <w:i/>
          <w:sz w:val="20"/>
          <w:szCs w:val="20"/>
        </w:rPr>
        <w:t xml:space="preserve"> </w:t>
      </w:r>
      <w:r w:rsidR="00236F25" w:rsidRPr="003C7CB1">
        <w:rPr>
          <w:i/>
          <w:sz w:val="20"/>
          <w:szCs w:val="20"/>
        </w:rPr>
        <w:t>Source: MONSTAT, processing by the Ministry of Economic Development</w:t>
      </w:r>
    </w:p>
    <w:p w14:paraId="1BB05101" w14:textId="3DD10177" w:rsidR="00DF6DEF" w:rsidRPr="003C7CB1" w:rsidRDefault="00236F25" w:rsidP="00E372B9">
      <w:pPr>
        <w:spacing w:after="120" w:line="240" w:lineRule="auto"/>
        <w:jc w:val="both"/>
        <w:rPr>
          <w:sz w:val="24"/>
          <w:szCs w:val="24"/>
        </w:rPr>
      </w:pPr>
      <w:r w:rsidRPr="003C7CB1">
        <w:rPr>
          <w:sz w:val="24"/>
          <w:szCs w:val="24"/>
        </w:rPr>
        <w:lastRenderedPageBreak/>
        <w:t>In the period until 2025, the growth of accommodation capacities in the northern region is expected, according to projections, at an average annual growth rate of 17%, or 5,000 beds in hotels and similar facilities, at a rate of 12.4% when it comes to camps, and at the rate of 2% for private accommodation (Table No. 18 and Graph No. 16</w:t>
      </w:r>
      <w:r w:rsidR="00EB6A52" w:rsidRPr="003C7CB1">
        <w:rPr>
          <w:sz w:val="24"/>
          <w:szCs w:val="24"/>
        </w:rPr>
        <w:t xml:space="preserve">). </w:t>
      </w:r>
    </w:p>
    <w:p w14:paraId="56206602" w14:textId="1B0D6E6A" w:rsidR="002409E3" w:rsidRPr="003C7CB1" w:rsidRDefault="00236F25" w:rsidP="00E372B9">
      <w:pPr>
        <w:spacing w:after="120" w:line="240" w:lineRule="auto"/>
        <w:jc w:val="center"/>
        <w:rPr>
          <w:b/>
        </w:rPr>
      </w:pPr>
      <w:r w:rsidRPr="003C7CB1">
        <w:rPr>
          <w:b/>
        </w:rPr>
        <w:t xml:space="preserve">Table No. 18 - Model of accommodation capacity growth in the </w:t>
      </w:r>
      <w:r w:rsidR="00F92FA7">
        <w:rPr>
          <w:b/>
        </w:rPr>
        <w:t>N</w:t>
      </w:r>
      <w:r w:rsidRPr="003C7CB1">
        <w:rPr>
          <w:b/>
        </w:rPr>
        <w:t>orthern region until 2025</w:t>
      </w:r>
    </w:p>
    <w:tbl>
      <w:tblPr>
        <w:tblW w:w="10260" w:type="dxa"/>
        <w:jc w:val="center"/>
        <w:tblLayout w:type="fixed"/>
        <w:tblLook w:val="04A0" w:firstRow="1" w:lastRow="0" w:firstColumn="1" w:lastColumn="0" w:noHBand="0" w:noVBand="1"/>
      </w:tblPr>
      <w:tblGrid>
        <w:gridCol w:w="1620"/>
        <w:gridCol w:w="1080"/>
        <w:gridCol w:w="938"/>
        <w:gridCol w:w="1312"/>
        <w:gridCol w:w="810"/>
        <w:gridCol w:w="1170"/>
        <w:gridCol w:w="1260"/>
        <w:gridCol w:w="900"/>
        <w:gridCol w:w="1170"/>
      </w:tblGrid>
      <w:tr w:rsidR="002409E3" w:rsidRPr="003C7CB1" w14:paraId="346B560E" w14:textId="77777777" w:rsidTr="00112023">
        <w:trPr>
          <w:trHeight w:val="279"/>
          <w:jc w:val="center"/>
        </w:trPr>
        <w:tc>
          <w:tcPr>
            <w:tcW w:w="1620" w:type="dxa"/>
            <w:vMerge w:val="restart"/>
            <w:tcBorders>
              <w:top w:val="single" w:sz="4" w:space="0" w:color="auto"/>
              <w:left w:val="single" w:sz="4" w:space="0" w:color="auto"/>
              <w:bottom w:val="single" w:sz="4" w:space="0" w:color="auto"/>
              <w:right w:val="single" w:sz="4" w:space="0" w:color="auto"/>
            </w:tcBorders>
            <w:shd w:val="clear" w:color="000000" w:fill="D9E1F2"/>
            <w:vAlign w:val="bottom"/>
            <w:hideMark/>
          </w:tcPr>
          <w:p w14:paraId="5C387D3C" w14:textId="583ECFBF" w:rsidR="00010967" w:rsidRPr="003C7CB1" w:rsidRDefault="00236F25" w:rsidP="00010967">
            <w:pPr>
              <w:spacing w:after="120" w:line="240" w:lineRule="auto"/>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Accommodation capacities </w:t>
            </w:r>
          </w:p>
          <w:p w14:paraId="33F641FB" w14:textId="5E722669" w:rsidR="002409E3" w:rsidRPr="003C7CB1" w:rsidRDefault="002409E3" w:rsidP="00010967">
            <w:pPr>
              <w:spacing w:after="120" w:line="240" w:lineRule="auto"/>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 </w:t>
            </w:r>
          </w:p>
        </w:tc>
        <w:tc>
          <w:tcPr>
            <w:tcW w:w="2018"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094DF934" w14:textId="047B640C" w:rsidR="002409E3" w:rsidRPr="003C7CB1" w:rsidRDefault="002409E3" w:rsidP="006F559A">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2011</w:t>
            </w:r>
          </w:p>
        </w:tc>
        <w:tc>
          <w:tcPr>
            <w:tcW w:w="2122" w:type="dxa"/>
            <w:gridSpan w:val="2"/>
            <w:tcBorders>
              <w:top w:val="single" w:sz="4" w:space="0" w:color="auto"/>
              <w:left w:val="nil"/>
              <w:bottom w:val="single" w:sz="4" w:space="0" w:color="auto"/>
              <w:right w:val="single" w:sz="4" w:space="0" w:color="auto"/>
            </w:tcBorders>
            <w:shd w:val="clear" w:color="000000" w:fill="D9E1F2"/>
            <w:vAlign w:val="bottom"/>
            <w:hideMark/>
          </w:tcPr>
          <w:p w14:paraId="0F5DEA27" w14:textId="614E47C3" w:rsidR="002409E3" w:rsidRPr="003C7CB1" w:rsidRDefault="002409E3" w:rsidP="006F559A">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2019</w:t>
            </w:r>
          </w:p>
        </w:tc>
        <w:tc>
          <w:tcPr>
            <w:tcW w:w="1170" w:type="dxa"/>
            <w:vMerge w:val="restart"/>
            <w:tcBorders>
              <w:top w:val="single" w:sz="4" w:space="0" w:color="auto"/>
              <w:left w:val="single" w:sz="4" w:space="0" w:color="auto"/>
              <w:bottom w:val="single" w:sz="4" w:space="0" w:color="000000"/>
              <w:right w:val="single" w:sz="4" w:space="0" w:color="auto"/>
            </w:tcBorders>
            <w:shd w:val="clear" w:color="000000" w:fill="D9E1F2"/>
            <w:vAlign w:val="bottom"/>
            <w:hideMark/>
          </w:tcPr>
          <w:p w14:paraId="0FA17EE4" w14:textId="3CBFDFA1" w:rsidR="002409E3" w:rsidRPr="003C7CB1" w:rsidRDefault="00236F25" w:rsidP="00B81575">
            <w:pPr>
              <w:spacing w:after="120" w:line="240" w:lineRule="auto"/>
              <w:ind w:left="-104" w:firstLine="104"/>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Average annual growth rate </w:t>
            </w:r>
            <w:r w:rsidR="0021453D" w:rsidRPr="003C7CB1">
              <w:rPr>
                <w:rFonts w:ascii="Calibri" w:eastAsia="Times New Roman" w:hAnsi="Calibri" w:cs="Times New Roman"/>
                <w:b/>
                <w:bCs/>
                <w:color w:val="000000"/>
                <w:sz w:val="20"/>
                <w:szCs w:val="20"/>
              </w:rPr>
              <w:t>2019</w:t>
            </w:r>
            <w:r w:rsidRPr="003C7CB1">
              <w:rPr>
                <w:rFonts w:ascii="Calibri" w:eastAsia="Times New Roman" w:hAnsi="Calibri" w:cs="Times New Roman"/>
                <w:b/>
                <w:bCs/>
                <w:color w:val="000000"/>
                <w:sz w:val="20"/>
                <w:szCs w:val="20"/>
              </w:rPr>
              <w:t>/2011</w:t>
            </w:r>
          </w:p>
          <w:p w14:paraId="20EC9EBB" w14:textId="7E2940A2" w:rsidR="00010967" w:rsidRPr="003C7CB1" w:rsidRDefault="00010967" w:rsidP="006F559A">
            <w:pPr>
              <w:spacing w:after="120" w:line="240" w:lineRule="auto"/>
              <w:jc w:val="center"/>
              <w:rPr>
                <w:rFonts w:ascii="Calibri" w:eastAsia="Times New Roman" w:hAnsi="Calibri" w:cs="Times New Roman"/>
                <w:b/>
                <w:bCs/>
                <w:color w:val="000000"/>
                <w:sz w:val="20"/>
                <w:szCs w:val="20"/>
              </w:rPr>
            </w:pPr>
          </w:p>
        </w:tc>
        <w:tc>
          <w:tcPr>
            <w:tcW w:w="2160" w:type="dxa"/>
            <w:gridSpan w:val="2"/>
            <w:tcBorders>
              <w:top w:val="single" w:sz="4" w:space="0" w:color="auto"/>
              <w:left w:val="nil"/>
              <w:bottom w:val="single" w:sz="4" w:space="0" w:color="auto"/>
              <w:right w:val="single" w:sz="4" w:space="0" w:color="auto"/>
            </w:tcBorders>
            <w:shd w:val="clear" w:color="000000" w:fill="D9E1F2"/>
            <w:vAlign w:val="bottom"/>
            <w:hideMark/>
          </w:tcPr>
          <w:p w14:paraId="30922721" w14:textId="5EC7AEEA" w:rsidR="002409E3" w:rsidRPr="003C7CB1" w:rsidRDefault="00236F25" w:rsidP="006F559A">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2025</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D9E1F2"/>
            <w:vAlign w:val="bottom"/>
            <w:hideMark/>
          </w:tcPr>
          <w:p w14:paraId="43707C8E" w14:textId="5B6930AB" w:rsidR="002409E3" w:rsidRPr="003C7CB1" w:rsidRDefault="00236F25" w:rsidP="00B81575">
            <w:pPr>
              <w:spacing w:after="120" w:line="240" w:lineRule="auto"/>
              <w:ind w:left="-104" w:firstLine="104"/>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Average annual growth rate </w:t>
            </w:r>
            <w:r w:rsidR="0021453D" w:rsidRPr="003C7CB1">
              <w:rPr>
                <w:rFonts w:ascii="Calibri" w:eastAsia="Times New Roman" w:hAnsi="Calibri" w:cs="Times New Roman"/>
                <w:b/>
                <w:bCs/>
                <w:color w:val="000000"/>
                <w:sz w:val="20"/>
                <w:szCs w:val="20"/>
              </w:rPr>
              <w:t>2025</w:t>
            </w:r>
            <w:r w:rsidR="002409E3" w:rsidRPr="003C7CB1">
              <w:rPr>
                <w:rFonts w:ascii="Calibri" w:eastAsia="Times New Roman" w:hAnsi="Calibri" w:cs="Times New Roman"/>
                <w:b/>
                <w:bCs/>
                <w:color w:val="000000"/>
                <w:sz w:val="20"/>
                <w:szCs w:val="20"/>
              </w:rPr>
              <w:t>/2019</w:t>
            </w:r>
          </w:p>
          <w:p w14:paraId="71F3E37E" w14:textId="71D99686" w:rsidR="00010967" w:rsidRPr="003C7CB1" w:rsidRDefault="00010967" w:rsidP="006F559A">
            <w:pPr>
              <w:spacing w:after="120" w:line="240" w:lineRule="auto"/>
              <w:jc w:val="center"/>
              <w:rPr>
                <w:rFonts w:ascii="Calibri" w:eastAsia="Times New Roman" w:hAnsi="Calibri" w:cs="Times New Roman"/>
                <w:b/>
                <w:bCs/>
                <w:color w:val="000000"/>
                <w:sz w:val="20"/>
                <w:szCs w:val="20"/>
              </w:rPr>
            </w:pPr>
          </w:p>
        </w:tc>
      </w:tr>
      <w:tr w:rsidR="008C4044" w:rsidRPr="003C7CB1" w14:paraId="726586D0" w14:textId="77777777" w:rsidTr="00112023">
        <w:trPr>
          <w:trHeight w:val="908"/>
          <w:jc w:val="center"/>
        </w:trPr>
        <w:tc>
          <w:tcPr>
            <w:tcW w:w="1620" w:type="dxa"/>
            <w:vMerge/>
            <w:tcBorders>
              <w:top w:val="single" w:sz="4" w:space="0" w:color="auto"/>
              <w:left w:val="single" w:sz="4" w:space="0" w:color="auto"/>
              <w:bottom w:val="single" w:sz="4" w:space="0" w:color="auto"/>
              <w:right w:val="single" w:sz="4" w:space="0" w:color="auto"/>
            </w:tcBorders>
            <w:vAlign w:val="center"/>
            <w:hideMark/>
          </w:tcPr>
          <w:p w14:paraId="14D1258A" w14:textId="77777777" w:rsidR="002409E3" w:rsidRPr="003C7CB1" w:rsidRDefault="002409E3" w:rsidP="00E372B9">
            <w:pPr>
              <w:spacing w:after="120" w:line="240" w:lineRule="auto"/>
              <w:rPr>
                <w:rFonts w:ascii="Calibri" w:eastAsia="Times New Roman" w:hAnsi="Calibri" w:cs="Times New Roman"/>
                <w:b/>
                <w:bCs/>
                <w:color w:val="000000"/>
                <w:sz w:val="20"/>
                <w:szCs w:val="20"/>
              </w:rPr>
            </w:pPr>
          </w:p>
        </w:tc>
        <w:tc>
          <w:tcPr>
            <w:tcW w:w="1080" w:type="dxa"/>
            <w:tcBorders>
              <w:top w:val="nil"/>
              <w:left w:val="nil"/>
              <w:bottom w:val="single" w:sz="4" w:space="0" w:color="auto"/>
              <w:right w:val="single" w:sz="4" w:space="0" w:color="auto"/>
            </w:tcBorders>
            <w:shd w:val="clear" w:color="000000" w:fill="D9E1F2"/>
            <w:noWrap/>
            <w:vAlign w:val="bottom"/>
            <w:hideMark/>
          </w:tcPr>
          <w:p w14:paraId="2683B969" w14:textId="0A424F23" w:rsidR="00205C88" w:rsidRPr="003C7CB1" w:rsidRDefault="00236F25" w:rsidP="002A1165">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Capacity (number of beds)</w:t>
            </w:r>
          </w:p>
        </w:tc>
        <w:tc>
          <w:tcPr>
            <w:tcW w:w="938" w:type="dxa"/>
            <w:tcBorders>
              <w:top w:val="nil"/>
              <w:left w:val="nil"/>
              <w:bottom w:val="single" w:sz="4" w:space="0" w:color="auto"/>
              <w:right w:val="single" w:sz="4" w:space="0" w:color="auto"/>
            </w:tcBorders>
            <w:shd w:val="clear" w:color="000000" w:fill="D9E1F2"/>
            <w:noWrap/>
            <w:vAlign w:val="bottom"/>
            <w:hideMark/>
          </w:tcPr>
          <w:p w14:paraId="0E6EAE17" w14:textId="77777777" w:rsidR="00236F25" w:rsidRPr="003C7CB1" w:rsidRDefault="00236F25" w:rsidP="00236F25">
            <w:pPr>
              <w:spacing w:after="12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Partici</w:t>
            </w:r>
            <w:proofErr w:type="spellEnd"/>
          </w:p>
          <w:p w14:paraId="266CBB1A" w14:textId="47196503" w:rsidR="002409E3" w:rsidRPr="003C7CB1" w:rsidRDefault="00236F25" w:rsidP="00236F25">
            <w:pPr>
              <w:spacing w:after="12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pation</w:t>
            </w:r>
            <w:proofErr w:type="spellEnd"/>
          </w:p>
        </w:tc>
        <w:tc>
          <w:tcPr>
            <w:tcW w:w="1312" w:type="dxa"/>
            <w:tcBorders>
              <w:top w:val="nil"/>
              <w:left w:val="nil"/>
              <w:bottom w:val="single" w:sz="4" w:space="0" w:color="auto"/>
              <w:right w:val="single" w:sz="4" w:space="0" w:color="auto"/>
            </w:tcBorders>
            <w:shd w:val="clear" w:color="000000" w:fill="D9E1F2"/>
            <w:noWrap/>
            <w:vAlign w:val="bottom"/>
            <w:hideMark/>
          </w:tcPr>
          <w:p w14:paraId="7763A788" w14:textId="1E694467" w:rsidR="00205C88" w:rsidRPr="003C7CB1" w:rsidRDefault="00236F25" w:rsidP="008C4044">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Capacity (number of beds)</w:t>
            </w:r>
          </w:p>
        </w:tc>
        <w:tc>
          <w:tcPr>
            <w:tcW w:w="810" w:type="dxa"/>
            <w:tcBorders>
              <w:top w:val="nil"/>
              <w:left w:val="nil"/>
              <w:bottom w:val="single" w:sz="4" w:space="0" w:color="auto"/>
              <w:right w:val="single" w:sz="4" w:space="0" w:color="auto"/>
            </w:tcBorders>
            <w:shd w:val="clear" w:color="000000" w:fill="D9E1F2"/>
            <w:noWrap/>
            <w:vAlign w:val="bottom"/>
            <w:hideMark/>
          </w:tcPr>
          <w:p w14:paraId="778B7A47" w14:textId="77777777" w:rsidR="00236F25" w:rsidRPr="003C7CB1" w:rsidRDefault="00236F25" w:rsidP="00236F25">
            <w:pPr>
              <w:spacing w:after="12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Partici</w:t>
            </w:r>
            <w:proofErr w:type="spellEnd"/>
          </w:p>
          <w:p w14:paraId="451F1035" w14:textId="3CDEF83E" w:rsidR="002409E3" w:rsidRPr="003C7CB1" w:rsidRDefault="00236F25" w:rsidP="00236F25">
            <w:pPr>
              <w:spacing w:after="12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pation</w:t>
            </w:r>
            <w:proofErr w:type="spellEnd"/>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53BD8836" w14:textId="77777777" w:rsidR="002409E3" w:rsidRPr="003C7CB1" w:rsidRDefault="002409E3" w:rsidP="006F559A">
            <w:pPr>
              <w:spacing w:after="120" w:line="240" w:lineRule="auto"/>
              <w:jc w:val="center"/>
              <w:rPr>
                <w:rFonts w:ascii="Calibri" w:eastAsia="Times New Roman" w:hAnsi="Calibri" w:cs="Times New Roman"/>
                <w:b/>
                <w:bCs/>
                <w:color w:val="000000"/>
                <w:sz w:val="20"/>
                <w:szCs w:val="20"/>
              </w:rPr>
            </w:pPr>
          </w:p>
        </w:tc>
        <w:tc>
          <w:tcPr>
            <w:tcW w:w="1260" w:type="dxa"/>
            <w:tcBorders>
              <w:top w:val="nil"/>
              <w:left w:val="nil"/>
              <w:bottom w:val="single" w:sz="4" w:space="0" w:color="auto"/>
              <w:right w:val="single" w:sz="4" w:space="0" w:color="auto"/>
            </w:tcBorders>
            <w:shd w:val="clear" w:color="000000" w:fill="D9E1F2"/>
            <w:noWrap/>
            <w:vAlign w:val="bottom"/>
            <w:hideMark/>
          </w:tcPr>
          <w:p w14:paraId="4FB50FF9" w14:textId="41CCEDAB" w:rsidR="00205C88" w:rsidRPr="003C7CB1" w:rsidRDefault="00236F25" w:rsidP="008C4044">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Capacity (number of beds)</w:t>
            </w:r>
          </w:p>
        </w:tc>
        <w:tc>
          <w:tcPr>
            <w:tcW w:w="900" w:type="dxa"/>
            <w:tcBorders>
              <w:top w:val="nil"/>
              <w:left w:val="nil"/>
              <w:bottom w:val="single" w:sz="4" w:space="0" w:color="auto"/>
              <w:right w:val="single" w:sz="4" w:space="0" w:color="auto"/>
            </w:tcBorders>
            <w:shd w:val="clear" w:color="000000" w:fill="D9E1F2"/>
            <w:noWrap/>
            <w:vAlign w:val="bottom"/>
            <w:hideMark/>
          </w:tcPr>
          <w:p w14:paraId="117F83D5" w14:textId="77777777" w:rsidR="00236F25" w:rsidRPr="003C7CB1" w:rsidRDefault="00236F25" w:rsidP="00236F25">
            <w:pPr>
              <w:spacing w:after="12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Partici</w:t>
            </w:r>
            <w:proofErr w:type="spellEnd"/>
          </w:p>
          <w:p w14:paraId="7032944D" w14:textId="63F12AB0" w:rsidR="002409E3" w:rsidRPr="003C7CB1" w:rsidRDefault="00236F25" w:rsidP="00236F25">
            <w:pPr>
              <w:spacing w:after="120" w:line="240" w:lineRule="auto"/>
              <w:jc w:val="center"/>
              <w:rPr>
                <w:rFonts w:ascii="Calibri" w:eastAsia="Times New Roman" w:hAnsi="Calibri" w:cs="Times New Roman"/>
                <w:b/>
                <w:bCs/>
                <w:color w:val="000000"/>
                <w:sz w:val="20"/>
                <w:szCs w:val="20"/>
              </w:rPr>
            </w:pPr>
            <w:proofErr w:type="spellStart"/>
            <w:r w:rsidRPr="003C7CB1">
              <w:rPr>
                <w:rFonts w:ascii="Calibri" w:eastAsia="Times New Roman" w:hAnsi="Calibri" w:cs="Times New Roman"/>
                <w:b/>
                <w:bCs/>
                <w:color w:val="000000"/>
                <w:sz w:val="20"/>
                <w:szCs w:val="20"/>
              </w:rPr>
              <w:t>pation</w:t>
            </w:r>
            <w:proofErr w:type="spellEnd"/>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5F704DCC" w14:textId="77777777" w:rsidR="002409E3" w:rsidRPr="003C7CB1" w:rsidRDefault="002409E3" w:rsidP="006F559A">
            <w:pPr>
              <w:spacing w:after="120" w:line="240" w:lineRule="auto"/>
              <w:jc w:val="center"/>
              <w:rPr>
                <w:rFonts w:ascii="Calibri" w:eastAsia="Times New Roman" w:hAnsi="Calibri" w:cs="Times New Roman"/>
                <w:b/>
                <w:bCs/>
                <w:color w:val="000000"/>
                <w:sz w:val="20"/>
                <w:szCs w:val="20"/>
              </w:rPr>
            </w:pPr>
          </w:p>
        </w:tc>
      </w:tr>
      <w:tr w:rsidR="008C4044" w:rsidRPr="003C7CB1" w14:paraId="13B74DE1"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1D57F" w14:textId="4B44A7C7" w:rsidR="002409E3" w:rsidRPr="003C7CB1" w:rsidRDefault="00236F25"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Hotels and similar facilities</w:t>
            </w:r>
          </w:p>
        </w:tc>
        <w:tc>
          <w:tcPr>
            <w:tcW w:w="1080" w:type="dxa"/>
            <w:tcBorders>
              <w:top w:val="nil"/>
              <w:left w:val="nil"/>
              <w:bottom w:val="single" w:sz="4" w:space="0" w:color="auto"/>
              <w:right w:val="single" w:sz="4" w:space="0" w:color="auto"/>
            </w:tcBorders>
            <w:shd w:val="clear" w:color="auto" w:fill="auto"/>
            <w:noWrap/>
            <w:vAlign w:val="bottom"/>
            <w:hideMark/>
          </w:tcPr>
          <w:p w14:paraId="47982D65" w14:textId="727EC995"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199</w:t>
            </w:r>
          </w:p>
        </w:tc>
        <w:tc>
          <w:tcPr>
            <w:tcW w:w="938" w:type="dxa"/>
            <w:tcBorders>
              <w:top w:val="nil"/>
              <w:left w:val="nil"/>
              <w:bottom w:val="single" w:sz="4" w:space="0" w:color="auto"/>
              <w:right w:val="single" w:sz="4" w:space="0" w:color="auto"/>
            </w:tcBorders>
            <w:shd w:val="clear" w:color="auto" w:fill="auto"/>
            <w:noWrap/>
            <w:vAlign w:val="bottom"/>
            <w:hideMark/>
          </w:tcPr>
          <w:p w14:paraId="341267BD" w14:textId="2149F61E"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57</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6%</w:t>
            </w:r>
          </w:p>
        </w:tc>
        <w:tc>
          <w:tcPr>
            <w:tcW w:w="1312" w:type="dxa"/>
            <w:tcBorders>
              <w:top w:val="nil"/>
              <w:left w:val="nil"/>
              <w:bottom w:val="single" w:sz="4" w:space="0" w:color="auto"/>
              <w:right w:val="single" w:sz="4" w:space="0" w:color="auto"/>
            </w:tcBorders>
            <w:shd w:val="clear" w:color="auto" w:fill="auto"/>
            <w:noWrap/>
            <w:vAlign w:val="bottom"/>
            <w:hideMark/>
          </w:tcPr>
          <w:p w14:paraId="412294A7" w14:textId="46DAF483"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945</w:t>
            </w:r>
          </w:p>
        </w:tc>
        <w:tc>
          <w:tcPr>
            <w:tcW w:w="810" w:type="dxa"/>
            <w:tcBorders>
              <w:top w:val="nil"/>
              <w:left w:val="nil"/>
              <w:bottom w:val="single" w:sz="4" w:space="0" w:color="auto"/>
              <w:right w:val="single" w:sz="4" w:space="0" w:color="auto"/>
            </w:tcBorders>
            <w:shd w:val="clear" w:color="auto" w:fill="auto"/>
            <w:noWrap/>
            <w:vAlign w:val="bottom"/>
            <w:hideMark/>
          </w:tcPr>
          <w:p w14:paraId="66ADA016" w14:textId="299067BF"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44</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w:t>
            </w:r>
          </w:p>
        </w:tc>
        <w:tc>
          <w:tcPr>
            <w:tcW w:w="1170" w:type="dxa"/>
            <w:tcBorders>
              <w:top w:val="nil"/>
              <w:left w:val="nil"/>
              <w:bottom w:val="single" w:sz="4" w:space="0" w:color="auto"/>
              <w:right w:val="single" w:sz="4" w:space="0" w:color="auto"/>
            </w:tcBorders>
            <w:shd w:val="clear" w:color="auto" w:fill="auto"/>
            <w:noWrap/>
            <w:vAlign w:val="bottom"/>
            <w:hideMark/>
          </w:tcPr>
          <w:p w14:paraId="2DE34888" w14:textId="69C46871"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bottom"/>
            <w:hideMark/>
          </w:tcPr>
          <w:p w14:paraId="03624966" w14:textId="2EBD9252"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6CA6862C" w14:textId="2075383D"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170" w:type="dxa"/>
            <w:tcBorders>
              <w:top w:val="nil"/>
              <w:left w:val="nil"/>
              <w:bottom w:val="single" w:sz="4" w:space="0" w:color="auto"/>
              <w:right w:val="single" w:sz="4" w:space="0" w:color="auto"/>
            </w:tcBorders>
            <w:shd w:val="clear" w:color="auto" w:fill="auto"/>
            <w:noWrap/>
            <w:vAlign w:val="bottom"/>
            <w:hideMark/>
          </w:tcPr>
          <w:p w14:paraId="4B76480F" w14:textId="5847AE4D"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r>
      <w:tr w:rsidR="008C4044" w:rsidRPr="003C7CB1" w14:paraId="14786625"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36FD3" w14:textId="77777777" w:rsidR="002409E3" w:rsidRPr="003C7CB1" w:rsidRDefault="002409E3"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5</w:t>
            </w:r>
            <w:r w:rsidR="00EB6A52" w:rsidRPr="003C7CB1">
              <w:rPr>
                <w:rFonts w:ascii="Calibri" w:eastAsia="Times New Roman" w:hAnsi="Calibri" w:cs="Times New Roman"/>
                <w:b/>
                <w:bCs/>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2255EF9C"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55D5F42F" w14:textId="173425B1"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w:t>
            </w:r>
          </w:p>
        </w:tc>
        <w:tc>
          <w:tcPr>
            <w:tcW w:w="1312" w:type="dxa"/>
            <w:tcBorders>
              <w:top w:val="nil"/>
              <w:left w:val="nil"/>
              <w:bottom w:val="single" w:sz="4" w:space="0" w:color="auto"/>
              <w:right w:val="single" w:sz="4" w:space="0" w:color="auto"/>
            </w:tcBorders>
            <w:shd w:val="clear" w:color="auto" w:fill="auto"/>
            <w:noWrap/>
            <w:vAlign w:val="bottom"/>
            <w:hideMark/>
          </w:tcPr>
          <w:p w14:paraId="0C0597FA"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810" w:type="dxa"/>
            <w:tcBorders>
              <w:top w:val="nil"/>
              <w:left w:val="nil"/>
              <w:bottom w:val="single" w:sz="4" w:space="0" w:color="auto"/>
              <w:right w:val="single" w:sz="4" w:space="0" w:color="auto"/>
            </w:tcBorders>
            <w:shd w:val="clear" w:color="auto" w:fill="auto"/>
            <w:noWrap/>
            <w:vAlign w:val="bottom"/>
            <w:hideMark/>
          </w:tcPr>
          <w:p w14:paraId="4DA410AF" w14:textId="37DBDE81"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w:t>
            </w:r>
          </w:p>
        </w:tc>
        <w:tc>
          <w:tcPr>
            <w:tcW w:w="1170" w:type="dxa"/>
            <w:tcBorders>
              <w:top w:val="nil"/>
              <w:left w:val="nil"/>
              <w:bottom w:val="single" w:sz="4" w:space="0" w:color="auto"/>
              <w:right w:val="single" w:sz="4" w:space="0" w:color="auto"/>
            </w:tcBorders>
            <w:shd w:val="clear" w:color="auto" w:fill="auto"/>
            <w:noWrap/>
            <w:vAlign w:val="bottom"/>
            <w:hideMark/>
          </w:tcPr>
          <w:p w14:paraId="2A20F2A0" w14:textId="05F31DE4"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4D08B0ED" w14:textId="03CD6888"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617854E7" w14:textId="7E70911B"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noWrap/>
            <w:vAlign w:val="bottom"/>
            <w:hideMark/>
          </w:tcPr>
          <w:p w14:paraId="605E15D5"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w:t>
            </w:r>
          </w:p>
        </w:tc>
      </w:tr>
      <w:tr w:rsidR="008C4044" w:rsidRPr="003C7CB1" w14:paraId="1D1EC68B"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36425" w14:textId="77777777" w:rsidR="002409E3" w:rsidRPr="003C7CB1" w:rsidRDefault="002409E3"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4</w:t>
            </w:r>
            <w:r w:rsidR="00EB6A52" w:rsidRPr="003C7CB1">
              <w:rPr>
                <w:rFonts w:ascii="Calibri" w:eastAsia="Times New Roman" w:hAnsi="Calibri" w:cs="Times New Roman"/>
                <w:b/>
                <w:bCs/>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3955BCF4"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638</w:t>
            </w:r>
          </w:p>
        </w:tc>
        <w:tc>
          <w:tcPr>
            <w:tcW w:w="938" w:type="dxa"/>
            <w:tcBorders>
              <w:top w:val="nil"/>
              <w:left w:val="nil"/>
              <w:bottom w:val="single" w:sz="4" w:space="0" w:color="auto"/>
              <w:right w:val="single" w:sz="4" w:space="0" w:color="auto"/>
            </w:tcBorders>
            <w:shd w:val="clear" w:color="auto" w:fill="auto"/>
            <w:noWrap/>
            <w:vAlign w:val="bottom"/>
            <w:hideMark/>
          </w:tcPr>
          <w:p w14:paraId="293EAA7E" w14:textId="405815CA"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16</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71%</w:t>
            </w:r>
          </w:p>
        </w:tc>
        <w:tc>
          <w:tcPr>
            <w:tcW w:w="1312" w:type="dxa"/>
            <w:tcBorders>
              <w:top w:val="nil"/>
              <w:left w:val="nil"/>
              <w:bottom w:val="single" w:sz="4" w:space="0" w:color="auto"/>
              <w:right w:val="single" w:sz="4" w:space="0" w:color="auto"/>
            </w:tcBorders>
            <w:shd w:val="clear" w:color="auto" w:fill="auto"/>
            <w:noWrap/>
            <w:vAlign w:val="bottom"/>
            <w:hideMark/>
          </w:tcPr>
          <w:p w14:paraId="641F730C"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874</w:t>
            </w:r>
          </w:p>
        </w:tc>
        <w:tc>
          <w:tcPr>
            <w:tcW w:w="810" w:type="dxa"/>
            <w:tcBorders>
              <w:top w:val="nil"/>
              <w:left w:val="nil"/>
              <w:bottom w:val="single" w:sz="4" w:space="0" w:color="auto"/>
              <w:right w:val="single" w:sz="4" w:space="0" w:color="auto"/>
            </w:tcBorders>
            <w:shd w:val="clear" w:color="auto" w:fill="auto"/>
            <w:noWrap/>
            <w:vAlign w:val="bottom"/>
            <w:hideMark/>
          </w:tcPr>
          <w:p w14:paraId="258D73F2" w14:textId="09F23492"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08%</w:t>
            </w:r>
          </w:p>
        </w:tc>
        <w:tc>
          <w:tcPr>
            <w:tcW w:w="1170" w:type="dxa"/>
            <w:tcBorders>
              <w:top w:val="nil"/>
              <w:left w:val="nil"/>
              <w:bottom w:val="single" w:sz="4" w:space="0" w:color="auto"/>
              <w:right w:val="single" w:sz="4" w:space="0" w:color="auto"/>
            </w:tcBorders>
            <w:shd w:val="clear" w:color="auto" w:fill="auto"/>
            <w:noWrap/>
            <w:vAlign w:val="bottom"/>
            <w:hideMark/>
          </w:tcPr>
          <w:p w14:paraId="3EA5C38F" w14:textId="3A8096F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784C2B13" w14:textId="09079AE1"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1D1D67D9" w14:textId="0A6F6314"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36</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170" w:type="dxa"/>
            <w:tcBorders>
              <w:top w:val="nil"/>
              <w:left w:val="nil"/>
              <w:bottom w:val="single" w:sz="4" w:space="0" w:color="auto"/>
              <w:right w:val="single" w:sz="4" w:space="0" w:color="auto"/>
            </w:tcBorders>
            <w:shd w:val="clear" w:color="auto" w:fill="auto"/>
            <w:noWrap/>
            <w:vAlign w:val="bottom"/>
            <w:hideMark/>
          </w:tcPr>
          <w:p w14:paraId="0C25B1B3" w14:textId="20382992"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w:t>
            </w:r>
          </w:p>
        </w:tc>
      </w:tr>
      <w:tr w:rsidR="008C4044" w:rsidRPr="003C7CB1" w14:paraId="5EF61780"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383E9" w14:textId="77777777" w:rsidR="002409E3" w:rsidRPr="003C7CB1" w:rsidRDefault="002409E3"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3</w:t>
            </w:r>
            <w:r w:rsidR="00EB6A52" w:rsidRPr="003C7CB1">
              <w:rPr>
                <w:rFonts w:ascii="Calibri" w:eastAsia="Times New Roman" w:hAnsi="Calibri" w:cs="Times New Roman"/>
                <w:b/>
                <w:bCs/>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41D84B13"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759</w:t>
            </w:r>
          </w:p>
        </w:tc>
        <w:tc>
          <w:tcPr>
            <w:tcW w:w="938" w:type="dxa"/>
            <w:tcBorders>
              <w:top w:val="nil"/>
              <w:left w:val="nil"/>
              <w:bottom w:val="single" w:sz="4" w:space="0" w:color="auto"/>
              <w:right w:val="single" w:sz="4" w:space="0" w:color="auto"/>
            </w:tcBorders>
            <w:shd w:val="clear" w:color="auto" w:fill="auto"/>
            <w:noWrap/>
            <w:vAlign w:val="bottom"/>
            <w:hideMark/>
          </w:tcPr>
          <w:p w14:paraId="21C4F20B" w14:textId="506E4BEF"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19</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87%</w:t>
            </w:r>
          </w:p>
        </w:tc>
        <w:tc>
          <w:tcPr>
            <w:tcW w:w="1312" w:type="dxa"/>
            <w:tcBorders>
              <w:top w:val="nil"/>
              <w:left w:val="nil"/>
              <w:bottom w:val="single" w:sz="4" w:space="0" w:color="auto"/>
              <w:right w:val="single" w:sz="4" w:space="0" w:color="auto"/>
            </w:tcBorders>
            <w:shd w:val="clear" w:color="auto" w:fill="auto"/>
            <w:noWrap/>
            <w:vAlign w:val="bottom"/>
            <w:hideMark/>
          </w:tcPr>
          <w:p w14:paraId="1B86572E"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739</w:t>
            </w:r>
          </w:p>
        </w:tc>
        <w:tc>
          <w:tcPr>
            <w:tcW w:w="810" w:type="dxa"/>
            <w:tcBorders>
              <w:top w:val="nil"/>
              <w:left w:val="nil"/>
              <w:bottom w:val="single" w:sz="4" w:space="0" w:color="auto"/>
              <w:right w:val="single" w:sz="4" w:space="0" w:color="auto"/>
            </w:tcBorders>
            <w:shd w:val="clear" w:color="auto" w:fill="auto"/>
            <w:noWrap/>
            <w:vAlign w:val="bottom"/>
            <w:hideMark/>
          </w:tcPr>
          <w:p w14:paraId="0BCB489F" w14:textId="05062851"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16</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98%</w:t>
            </w:r>
          </w:p>
        </w:tc>
        <w:tc>
          <w:tcPr>
            <w:tcW w:w="1170" w:type="dxa"/>
            <w:tcBorders>
              <w:top w:val="nil"/>
              <w:left w:val="nil"/>
              <w:bottom w:val="single" w:sz="4" w:space="0" w:color="auto"/>
              <w:right w:val="single" w:sz="4" w:space="0" w:color="auto"/>
            </w:tcBorders>
            <w:shd w:val="clear" w:color="auto" w:fill="auto"/>
            <w:noWrap/>
            <w:vAlign w:val="bottom"/>
            <w:hideMark/>
          </w:tcPr>
          <w:p w14:paraId="10ADA520" w14:textId="2C401083"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hideMark/>
          </w:tcPr>
          <w:p w14:paraId="70A47A4A" w14:textId="04213554"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900" w:type="dxa"/>
            <w:tcBorders>
              <w:top w:val="nil"/>
              <w:left w:val="nil"/>
              <w:bottom w:val="single" w:sz="4" w:space="0" w:color="auto"/>
              <w:right w:val="single" w:sz="4" w:space="0" w:color="auto"/>
            </w:tcBorders>
            <w:shd w:val="clear" w:color="auto" w:fill="auto"/>
            <w:noWrap/>
            <w:vAlign w:val="bottom"/>
            <w:hideMark/>
          </w:tcPr>
          <w:p w14:paraId="70F45587" w14:textId="1058BE3D"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noWrap/>
            <w:vAlign w:val="bottom"/>
            <w:hideMark/>
          </w:tcPr>
          <w:p w14:paraId="68820491" w14:textId="7691BA3F"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r>
      <w:tr w:rsidR="008C4044" w:rsidRPr="003C7CB1" w14:paraId="641F9E34"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067C3" w14:textId="77777777" w:rsidR="002409E3" w:rsidRPr="003C7CB1" w:rsidRDefault="002409E3"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2</w:t>
            </w:r>
            <w:r w:rsidR="00EB6A52" w:rsidRPr="003C7CB1">
              <w:rPr>
                <w:rFonts w:ascii="Calibri" w:eastAsia="Times New Roman" w:hAnsi="Calibri" w:cs="Times New Roman"/>
                <w:b/>
                <w:bCs/>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1EC96AA6"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691</w:t>
            </w:r>
          </w:p>
        </w:tc>
        <w:tc>
          <w:tcPr>
            <w:tcW w:w="938" w:type="dxa"/>
            <w:tcBorders>
              <w:top w:val="nil"/>
              <w:left w:val="nil"/>
              <w:bottom w:val="single" w:sz="4" w:space="0" w:color="auto"/>
              <w:right w:val="single" w:sz="4" w:space="0" w:color="auto"/>
            </w:tcBorders>
            <w:shd w:val="clear" w:color="auto" w:fill="auto"/>
            <w:noWrap/>
            <w:vAlign w:val="bottom"/>
            <w:hideMark/>
          </w:tcPr>
          <w:p w14:paraId="300D2EBC" w14:textId="23B59DD3"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18</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09%</w:t>
            </w:r>
          </w:p>
        </w:tc>
        <w:tc>
          <w:tcPr>
            <w:tcW w:w="1312" w:type="dxa"/>
            <w:tcBorders>
              <w:top w:val="nil"/>
              <w:left w:val="nil"/>
              <w:bottom w:val="single" w:sz="4" w:space="0" w:color="auto"/>
              <w:right w:val="single" w:sz="4" w:space="0" w:color="auto"/>
            </w:tcBorders>
            <w:shd w:val="clear" w:color="auto" w:fill="auto"/>
            <w:noWrap/>
            <w:vAlign w:val="bottom"/>
            <w:hideMark/>
          </w:tcPr>
          <w:p w14:paraId="04C6A044"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258</w:t>
            </w:r>
          </w:p>
        </w:tc>
        <w:tc>
          <w:tcPr>
            <w:tcW w:w="810" w:type="dxa"/>
            <w:tcBorders>
              <w:top w:val="nil"/>
              <w:left w:val="nil"/>
              <w:bottom w:val="single" w:sz="4" w:space="0" w:color="auto"/>
              <w:right w:val="single" w:sz="4" w:space="0" w:color="auto"/>
            </w:tcBorders>
            <w:shd w:val="clear" w:color="auto" w:fill="auto"/>
            <w:noWrap/>
            <w:vAlign w:val="bottom"/>
            <w:hideMark/>
          </w:tcPr>
          <w:p w14:paraId="52FF0C7F" w14:textId="79CC44C6"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93%</w:t>
            </w:r>
          </w:p>
        </w:tc>
        <w:tc>
          <w:tcPr>
            <w:tcW w:w="1170" w:type="dxa"/>
            <w:tcBorders>
              <w:top w:val="nil"/>
              <w:left w:val="nil"/>
              <w:bottom w:val="single" w:sz="4" w:space="0" w:color="auto"/>
              <w:right w:val="single" w:sz="4" w:space="0" w:color="auto"/>
            </w:tcBorders>
            <w:shd w:val="clear" w:color="auto" w:fill="auto"/>
            <w:noWrap/>
            <w:vAlign w:val="bottom"/>
            <w:hideMark/>
          </w:tcPr>
          <w:p w14:paraId="1D8F3C08" w14:textId="4093A04A"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6%</w:t>
            </w:r>
          </w:p>
        </w:tc>
        <w:tc>
          <w:tcPr>
            <w:tcW w:w="1260" w:type="dxa"/>
            <w:tcBorders>
              <w:top w:val="nil"/>
              <w:left w:val="nil"/>
              <w:bottom w:val="single" w:sz="4" w:space="0" w:color="auto"/>
              <w:right w:val="single" w:sz="4" w:space="0" w:color="auto"/>
            </w:tcBorders>
            <w:shd w:val="clear" w:color="auto" w:fill="auto"/>
            <w:noWrap/>
            <w:vAlign w:val="bottom"/>
            <w:hideMark/>
          </w:tcPr>
          <w:p w14:paraId="1AFEB4DB"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14:paraId="386D0702" w14:textId="4EC0278E"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noWrap/>
            <w:vAlign w:val="bottom"/>
            <w:hideMark/>
          </w:tcPr>
          <w:p w14:paraId="49B29C36" w14:textId="38C09D73"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-100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r>
      <w:tr w:rsidR="008C4044" w:rsidRPr="003C7CB1" w14:paraId="75173CD1"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521E2" w14:textId="77777777" w:rsidR="002409E3" w:rsidRPr="003C7CB1" w:rsidRDefault="002409E3"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w:t>
            </w:r>
            <w:r w:rsidR="00EB6A52" w:rsidRPr="003C7CB1">
              <w:rPr>
                <w:rFonts w:ascii="Calibri" w:eastAsia="Times New Roman" w:hAnsi="Calibri" w:cs="Times New Roman"/>
                <w:b/>
                <w:bCs/>
                <w:color w:val="000000"/>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5BF1B1A4"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111</w:t>
            </w:r>
          </w:p>
        </w:tc>
        <w:tc>
          <w:tcPr>
            <w:tcW w:w="938" w:type="dxa"/>
            <w:tcBorders>
              <w:top w:val="nil"/>
              <w:left w:val="nil"/>
              <w:bottom w:val="single" w:sz="4" w:space="0" w:color="auto"/>
              <w:right w:val="single" w:sz="4" w:space="0" w:color="auto"/>
            </w:tcBorders>
            <w:shd w:val="clear" w:color="auto" w:fill="auto"/>
            <w:noWrap/>
            <w:vAlign w:val="bottom"/>
            <w:hideMark/>
          </w:tcPr>
          <w:p w14:paraId="6238D8E9" w14:textId="5A137CFC"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91%</w:t>
            </w:r>
          </w:p>
        </w:tc>
        <w:tc>
          <w:tcPr>
            <w:tcW w:w="1312" w:type="dxa"/>
            <w:tcBorders>
              <w:top w:val="nil"/>
              <w:left w:val="nil"/>
              <w:bottom w:val="single" w:sz="4" w:space="0" w:color="auto"/>
              <w:right w:val="single" w:sz="4" w:space="0" w:color="auto"/>
            </w:tcBorders>
            <w:shd w:val="clear" w:color="auto" w:fill="auto"/>
            <w:noWrap/>
            <w:vAlign w:val="bottom"/>
            <w:hideMark/>
          </w:tcPr>
          <w:p w14:paraId="39E657E8"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74</w:t>
            </w:r>
          </w:p>
        </w:tc>
        <w:tc>
          <w:tcPr>
            <w:tcW w:w="810" w:type="dxa"/>
            <w:tcBorders>
              <w:top w:val="nil"/>
              <w:left w:val="nil"/>
              <w:bottom w:val="single" w:sz="4" w:space="0" w:color="auto"/>
              <w:right w:val="single" w:sz="4" w:space="0" w:color="auto"/>
            </w:tcBorders>
            <w:shd w:val="clear" w:color="auto" w:fill="auto"/>
            <w:noWrap/>
            <w:vAlign w:val="bottom"/>
            <w:hideMark/>
          </w:tcPr>
          <w:p w14:paraId="54C74362" w14:textId="7AD2488B"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70%</w:t>
            </w:r>
          </w:p>
        </w:tc>
        <w:tc>
          <w:tcPr>
            <w:tcW w:w="1170" w:type="dxa"/>
            <w:tcBorders>
              <w:top w:val="nil"/>
              <w:left w:val="nil"/>
              <w:bottom w:val="single" w:sz="4" w:space="0" w:color="auto"/>
              <w:right w:val="single" w:sz="4" w:space="0" w:color="auto"/>
            </w:tcBorders>
            <w:shd w:val="clear" w:color="auto" w:fill="auto"/>
            <w:noWrap/>
            <w:vAlign w:val="bottom"/>
            <w:hideMark/>
          </w:tcPr>
          <w:p w14:paraId="7B70FA36" w14:textId="135505EE"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w:t>
            </w:r>
          </w:p>
        </w:tc>
        <w:tc>
          <w:tcPr>
            <w:tcW w:w="1260" w:type="dxa"/>
            <w:tcBorders>
              <w:top w:val="nil"/>
              <w:left w:val="nil"/>
              <w:bottom w:val="single" w:sz="4" w:space="0" w:color="auto"/>
              <w:right w:val="single" w:sz="4" w:space="0" w:color="auto"/>
            </w:tcBorders>
            <w:shd w:val="clear" w:color="auto" w:fill="auto"/>
            <w:noWrap/>
            <w:vAlign w:val="bottom"/>
            <w:hideMark/>
          </w:tcPr>
          <w:p w14:paraId="383BF43C"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900" w:type="dxa"/>
            <w:tcBorders>
              <w:top w:val="nil"/>
              <w:left w:val="nil"/>
              <w:bottom w:val="single" w:sz="4" w:space="0" w:color="auto"/>
              <w:right w:val="single" w:sz="4" w:space="0" w:color="auto"/>
            </w:tcBorders>
            <w:shd w:val="clear" w:color="auto" w:fill="auto"/>
            <w:noWrap/>
            <w:vAlign w:val="bottom"/>
            <w:hideMark/>
          </w:tcPr>
          <w:p w14:paraId="6F157D22" w14:textId="52D63A79"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noWrap/>
            <w:vAlign w:val="bottom"/>
            <w:hideMark/>
          </w:tcPr>
          <w:p w14:paraId="266E6B4D" w14:textId="51491119"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-100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r>
      <w:tr w:rsidR="008C4044" w:rsidRPr="003C7CB1" w14:paraId="47192D46"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50195" w14:textId="6AEA3578" w:rsidR="002409E3" w:rsidRPr="003C7CB1" w:rsidRDefault="00236F25"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Camps</w:t>
            </w:r>
          </w:p>
        </w:tc>
        <w:tc>
          <w:tcPr>
            <w:tcW w:w="1080" w:type="dxa"/>
            <w:tcBorders>
              <w:top w:val="nil"/>
              <w:left w:val="nil"/>
              <w:bottom w:val="single" w:sz="4" w:space="0" w:color="auto"/>
              <w:right w:val="single" w:sz="4" w:space="0" w:color="auto"/>
            </w:tcBorders>
            <w:shd w:val="clear" w:color="auto" w:fill="auto"/>
            <w:noWrap/>
            <w:vAlign w:val="bottom"/>
            <w:hideMark/>
          </w:tcPr>
          <w:p w14:paraId="649A7B15"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685</w:t>
            </w:r>
          </w:p>
        </w:tc>
        <w:tc>
          <w:tcPr>
            <w:tcW w:w="938" w:type="dxa"/>
            <w:tcBorders>
              <w:top w:val="nil"/>
              <w:left w:val="nil"/>
              <w:bottom w:val="single" w:sz="4" w:space="0" w:color="auto"/>
              <w:right w:val="single" w:sz="4" w:space="0" w:color="auto"/>
            </w:tcBorders>
            <w:shd w:val="clear" w:color="auto" w:fill="auto"/>
            <w:noWrap/>
            <w:vAlign w:val="bottom"/>
            <w:hideMark/>
          </w:tcPr>
          <w:p w14:paraId="1570B930" w14:textId="569A6F8D"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17</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w:t>
            </w:r>
          </w:p>
        </w:tc>
        <w:tc>
          <w:tcPr>
            <w:tcW w:w="1312" w:type="dxa"/>
            <w:tcBorders>
              <w:top w:val="nil"/>
              <w:left w:val="nil"/>
              <w:bottom w:val="single" w:sz="4" w:space="0" w:color="auto"/>
              <w:right w:val="single" w:sz="4" w:space="0" w:color="auto"/>
            </w:tcBorders>
            <w:shd w:val="clear" w:color="auto" w:fill="auto"/>
            <w:noWrap/>
            <w:vAlign w:val="bottom"/>
            <w:hideMark/>
          </w:tcPr>
          <w:p w14:paraId="207D10C6"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659</w:t>
            </w:r>
          </w:p>
        </w:tc>
        <w:tc>
          <w:tcPr>
            <w:tcW w:w="810" w:type="dxa"/>
            <w:tcBorders>
              <w:top w:val="nil"/>
              <w:left w:val="nil"/>
              <w:bottom w:val="single" w:sz="4" w:space="0" w:color="auto"/>
              <w:right w:val="single" w:sz="4" w:space="0" w:color="auto"/>
            </w:tcBorders>
            <w:shd w:val="clear" w:color="auto" w:fill="auto"/>
            <w:noWrap/>
            <w:vAlign w:val="bottom"/>
            <w:hideMark/>
          </w:tcPr>
          <w:p w14:paraId="78F94774" w14:textId="617CD8BC"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15</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170" w:type="dxa"/>
            <w:tcBorders>
              <w:top w:val="nil"/>
              <w:left w:val="nil"/>
              <w:bottom w:val="single" w:sz="4" w:space="0" w:color="auto"/>
              <w:right w:val="single" w:sz="4" w:space="0" w:color="auto"/>
            </w:tcBorders>
            <w:shd w:val="clear" w:color="auto" w:fill="auto"/>
            <w:noWrap/>
            <w:vAlign w:val="bottom"/>
            <w:hideMark/>
          </w:tcPr>
          <w:p w14:paraId="0E3730F1" w14:textId="5A60D80F"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260" w:type="dxa"/>
            <w:tcBorders>
              <w:top w:val="nil"/>
              <w:left w:val="nil"/>
              <w:bottom w:val="single" w:sz="4" w:space="0" w:color="auto"/>
              <w:right w:val="single" w:sz="4" w:space="0" w:color="auto"/>
            </w:tcBorders>
            <w:shd w:val="clear" w:color="auto" w:fill="auto"/>
            <w:noWrap/>
            <w:vAlign w:val="bottom"/>
            <w:hideMark/>
          </w:tcPr>
          <w:p w14:paraId="765D5481" w14:textId="5708B554"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330</w:t>
            </w:r>
          </w:p>
        </w:tc>
        <w:tc>
          <w:tcPr>
            <w:tcW w:w="900" w:type="dxa"/>
            <w:tcBorders>
              <w:top w:val="nil"/>
              <w:left w:val="nil"/>
              <w:bottom w:val="single" w:sz="4" w:space="0" w:color="auto"/>
              <w:right w:val="single" w:sz="4" w:space="0" w:color="auto"/>
            </w:tcBorders>
            <w:shd w:val="clear" w:color="auto" w:fill="auto"/>
            <w:noWrap/>
            <w:vAlign w:val="bottom"/>
            <w:hideMark/>
          </w:tcPr>
          <w:p w14:paraId="757FD996" w14:textId="0BA22F85"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16</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c>
          <w:tcPr>
            <w:tcW w:w="1170" w:type="dxa"/>
            <w:tcBorders>
              <w:top w:val="nil"/>
              <w:left w:val="nil"/>
              <w:bottom w:val="single" w:sz="4" w:space="0" w:color="auto"/>
              <w:right w:val="single" w:sz="4" w:space="0" w:color="auto"/>
            </w:tcBorders>
            <w:shd w:val="clear" w:color="auto" w:fill="auto"/>
            <w:noWrap/>
            <w:vAlign w:val="bottom"/>
            <w:hideMark/>
          </w:tcPr>
          <w:p w14:paraId="44CB5218" w14:textId="599321D4"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r>
      <w:tr w:rsidR="008C4044" w:rsidRPr="003C7CB1" w14:paraId="28BB3E71" w14:textId="77777777" w:rsidTr="00112023">
        <w:trPr>
          <w:trHeight w:val="279"/>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EAA601" w14:textId="65726ACA" w:rsidR="002409E3" w:rsidRPr="003C7CB1" w:rsidRDefault="00236F25"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Private accommodation</w:t>
            </w:r>
          </w:p>
        </w:tc>
        <w:tc>
          <w:tcPr>
            <w:tcW w:w="1080" w:type="dxa"/>
            <w:tcBorders>
              <w:top w:val="nil"/>
              <w:left w:val="nil"/>
              <w:bottom w:val="single" w:sz="4" w:space="0" w:color="auto"/>
              <w:right w:val="single" w:sz="4" w:space="0" w:color="auto"/>
            </w:tcBorders>
            <w:shd w:val="clear" w:color="auto" w:fill="auto"/>
            <w:noWrap/>
            <w:vAlign w:val="bottom"/>
            <w:hideMark/>
          </w:tcPr>
          <w:p w14:paraId="63EF4A74" w14:textId="77777777"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935</w:t>
            </w:r>
          </w:p>
        </w:tc>
        <w:tc>
          <w:tcPr>
            <w:tcW w:w="938" w:type="dxa"/>
            <w:tcBorders>
              <w:top w:val="nil"/>
              <w:left w:val="nil"/>
              <w:bottom w:val="single" w:sz="4" w:space="0" w:color="auto"/>
              <w:right w:val="single" w:sz="4" w:space="0" w:color="auto"/>
            </w:tcBorders>
            <w:shd w:val="clear" w:color="auto" w:fill="auto"/>
            <w:noWrap/>
            <w:vAlign w:val="bottom"/>
            <w:hideMark/>
          </w:tcPr>
          <w:p w14:paraId="6E083907" w14:textId="492C7E8E"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24</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w:t>
            </w:r>
          </w:p>
        </w:tc>
        <w:tc>
          <w:tcPr>
            <w:tcW w:w="1312" w:type="dxa"/>
            <w:tcBorders>
              <w:top w:val="nil"/>
              <w:left w:val="nil"/>
              <w:bottom w:val="single" w:sz="4" w:space="0" w:color="auto"/>
              <w:right w:val="single" w:sz="4" w:space="0" w:color="auto"/>
            </w:tcBorders>
            <w:shd w:val="clear" w:color="auto" w:fill="auto"/>
            <w:noWrap/>
            <w:vAlign w:val="bottom"/>
            <w:hideMark/>
          </w:tcPr>
          <w:p w14:paraId="4C80A92B" w14:textId="1A50E69F"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749</w:t>
            </w:r>
          </w:p>
        </w:tc>
        <w:tc>
          <w:tcPr>
            <w:tcW w:w="810" w:type="dxa"/>
            <w:tcBorders>
              <w:top w:val="nil"/>
              <w:left w:val="nil"/>
              <w:bottom w:val="single" w:sz="4" w:space="0" w:color="auto"/>
              <w:right w:val="single" w:sz="4" w:space="0" w:color="auto"/>
            </w:tcBorders>
            <w:shd w:val="clear" w:color="auto" w:fill="auto"/>
            <w:noWrap/>
            <w:vAlign w:val="bottom"/>
            <w:hideMark/>
          </w:tcPr>
          <w:p w14:paraId="7EE6B88D" w14:textId="73909A60"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40</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w:t>
            </w:r>
          </w:p>
        </w:tc>
        <w:tc>
          <w:tcPr>
            <w:tcW w:w="1170" w:type="dxa"/>
            <w:tcBorders>
              <w:top w:val="nil"/>
              <w:left w:val="nil"/>
              <w:bottom w:val="single" w:sz="4" w:space="0" w:color="auto"/>
              <w:right w:val="single" w:sz="4" w:space="0" w:color="auto"/>
            </w:tcBorders>
            <w:shd w:val="clear" w:color="auto" w:fill="auto"/>
            <w:noWrap/>
            <w:vAlign w:val="bottom"/>
            <w:hideMark/>
          </w:tcPr>
          <w:p w14:paraId="7442E292" w14:textId="4F2CA31E"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8</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1%</w:t>
            </w:r>
          </w:p>
        </w:tc>
        <w:tc>
          <w:tcPr>
            <w:tcW w:w="1260" w:type="dxa"/>
            <w:tcBorders>
              <w:top w:val="nil"/>
              <w:left w:val="nil"/>
              <w:bottom w:val="single" w:sz="4" w:space="0" w:color="auto"/>
              <w:right w:val="single" w:sz="4" w:space="0" w:color="auto"/>
            </w:tcBorders>
            <w:shd w:val="clear" w:color="auto" w:fill="auto"/>
            <w:noWrap/>
            <w:vAlign w:val="bottom"/>
            <w:hideMark/>
          </w:tcPr>
          <w:p w14:paraId="44FAE3DD" w14:textId="3F9CFEE5"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970</w:t>
            </w:r>
          </w:p>
        </w:tc>
        <w:tc>
          <w:tcPr>
            <w:tcW w:w="900" w:type="dxa"/>
            <w:tcBorders>
              <w:top w:val="nil"/>
              <w:left w:val="nil"/>
              <w:bottom w:val="single" w:sz="4" w:space="0" w:color="auto"/>
              <w:right w:val="single" w:sz="4" w:space="0" w:color="auto"/>
            </w:tcBorders>
            <w:shd w:val="clear" w:color="auto" w:fill="auto"/>
            <w:noWrap/>
            <w:vAlign w:val="bottom"/>
            <w:hideMark/>
          </w:tcPr>
          <w:p w14:paraId="6804739E" w14:textId="4034878E"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23</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w:t>
            </w:r>
          </w:p>
        </w:tc>
        <w:tc>
          <w:tcPr>
            <w:tcW w:w="1170" w:type="dxa"/>
            <w:tcBorders>
              <w:top w:val="nil"/>
              <w:left w:val="nil"/>
              <w:bottom w:val="single" w:sz="4" w:space="0" w:color="auto"/>
              <w:right w:val="single" w:sz="4" w:space="0" w:color="auto"/>
            </w:tcBorders>
            <w:shd w:val="clear" w:color="auto" w:fill="auto"/>
            <w:noWrap/>
            <w:vAlign w:val="bottom"/>
            <w:hideMark/>
          </w:tcPr>
          <w:p w14:paraId="0DD4688A" w14:textId="2DB5E6DA" w:rsidR="002409E3" w:rsidRPr="003C7CB1" w:rsidRDefault="002409E3" w:rsidP="00E372B9">
            <w:pPr>
              <w:spacing w:after="12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6F559A"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w:t>
            </w:r>
          </w:p>
        </w:tc>
      </w:tr>
      <w:tr w:rsidR="008C4044" w:rsidRPr="003C7CB1" w14:paraId="7F09540A" w14:textId="77777777" w:rsidTr="00112023">
        <w:trPr>
          <w:trHeight w:val="152"/>
          <w:jc w:val="center"/>
        </w:trPr>
        <w:tc>
          <w:tcPr>
            <w:tcW w:w="1620" w:type="dxa"/>
            <w:tcBorders>
              <w:top w:val="single" w:sz="4" w:space="0" w:color="auto"/>
              <w:left w:val="single" w:sz="4" w:space="0" w:color="auto"/>
              <w:bottom w:val="single" w:sz="4" w:space="0" w:color="auto"/>
              <w:right w:val="single" w:sz="4" w:space="0" w:color="auto"/>
            </w:tcBorders>
            <w:shd w:val="clear" w:color="000000" w:fill="D9E1F2"/>
            <w:vAlign w:val="bottom"/>
            <w:hideMark/>
          </w:tcPr>
          <w:p w14:paraId="32573364" w14:textId="27A67F0E" w:rsidR="002409E3" w:rsidRPr="003C7CB1" w:rsidRDefault="00236F25" w:rsidP="00E372B9">
            <w:pPr>
              <w:spacing w:after="12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Total</w:t>
            </w:r>
          </w:p>
        </w:tc>
        <w:tc>
          <w:tcPr>
            <w:tcW w:w="1080" w:type="dxa"/>
            <w:tcBorders>
              <w:top w:val="nil"/>
              <w:left w:val="nil"/>
              <w:bottom w:val="single" w:sz="4" w:space="0" w:color="auto"/>
              <w:right w:val="single" w:sz="4" w:space="0" w:color="auto"/>
            </w:tcBorders>
            <w:shd w:val="clear" w:color="000000" w:fill="D9E1F2"/>
            <w:noWrap/>
            <w:vAlign w:val="bottom"/>
            <w:hideMark/>
          </w:tcPr>
          <w:p w14:paraId="565B61F6" w14:textId="297AE488"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3</w:t>
            </w:r>
            <w:r w:rsidR="006F559A"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819</w:t>
            </w:r>
          </w:p>
        </w:tc>
        <w:tc>
          <w:tcPr>
            <w:tcW w:w="938" w:type="dxa"/>
            <w:tcBorders>
              <w:top w:val="nil"/>
              <w:left w:val="nil"/>
              <w:bottom w:val="single" w:sz="4" w:space="0" w:color="auto"/>
              <w:right w:val="single" w:sz="4" w:space="0" w:color="auto"/>
            </w:tcBorders>
            <w:shd w:val="clear" w:color="000000" w:fill="D9E1F2"/>
            <w:noWrap/>
            <w:vAlign w:val="bottom"/>
            <w:hideMark/>
          </w:tcPr>
          <w:p w14:paraId="0ACA0405" w14:textId="77777777"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100%</w:t>
            </w:r>
          </w:p>
        </w:tc>
        <w:tc>
          <w:tcPr>
            <w:tcW w:w="1312" w:type="dxa"/>
            <w:tcBorders>
              <w:top w:val="nil"/>
              <w:left w:val="nil"/>
              <w:bottom w:val="single" w:sz="4" w:space="0" w:color="auto"/>
              <w:right w:val="single" w:sz="4" w:space="0" w:color="auto"/>
            </w:tcBorders>
            <w:shd w:val="clear" w:color="000000" w:fill="D9E1F2"/>
            <w:noWrap/>
            <w:vAlign w:val="bottom"/>
            <w:hideMark/>
          </w:tcPr>
          <w:p w14:paraId="0308EBA4" w14:textId="62278647"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4</w:t>
            </w:r>
            <w:r w:rsidR="006F559A"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353</w:t>
            </w:r>
          </w:p>
        </w:tc>
        <w:tc>
          <w:tcPr>
            <w:tcW w:w="810" w:type="dxa"/>
            <w:tcBorders>
              <w:top w:val="nil"/>
              <w:left w:val="nil"/>
              <w:bottom w:val="single" w:sz="4" w:space="0" w:color="auto"/>
              <w:right w:val="single" w:sz="4" w:space="0" w:color="auto"/>
            </w:tcBorders>
            <w:shd w:val="clear" w:color="000000" w:fill="D9E1F2"/>
            <w:noWrap/>
            <w:vAlign w:val="bottom"/>
            <w:hideMark/>
          </w:tcPr>
          <w:p w14:paraId="0844B26C" w14:textId="77777777"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100%</w:t>
            </w:r>
          </w:p>
        </w:tc>
        <w:tc>
          <w:tcPr>
            <w:tcW w:w="1170" w:type="dxa"/>
            <w:tcBorders>
              <w:top w:val="nil"/>
              <w:left w:val="nil"/>
              <w:bottom w:val="single" w:sz="4" w:space="0" w:color="auto"/>
              <w:right w:val="single" w:sz="4" w:space="0" w:color="auto"/>
            </w:tcBorders>
            <w:shd w:val="clear" w:color="000000" w:fill="D9E1F2"/>
            <w:noWrap/>
            <w:vAlign w:val="bottom"/>
            <w:hideMark/>
          </w:tcPr>
          <w:p w14:paraId="4E7D836C" w14:textId="3F731120"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w:t>
            </w:r>
            <w:r w:rsidR="006F559A"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6%</w:t>
            </w:r>
          </w:p>
        </w:tc>
        <w:tc>
          <w:tcPr>
            <w:tcW w:w="1260" w:type="dxa"/>
            <w:tcBorders>
              <w:top w:val="nil"/>
              <w:left w:val="nil"/>
              <w:bottom w:val="single" w:sz="4" w:space="0" w:color="auto"/>
              <w:right w:val="single" w:sz="4" w:space="0" w:color="auto"/>
            </w:tcBorders>
            <w:shd w:val="clear" w:color="000000" w:fill="D9E1F2"/>
            <w:noWrap/>
            <w:vAlign w:val="bottom"/>
            <w:hideMark/>
          </w:tcPr>
          <w:p w14:paraId="40279AD2" w14:textId="01F97BC5"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8</w:t>
            </w:r>
            <w:r w:rsidR="006F559A"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300</w:t>
            </w:r>
          </w:p>
        </w:tc>
        <w:tc>
          <w:tcPr>
            <w:tcW w:w="900" w:type="dxa"/>
            <w:tcBorders>
              <w:top w:val="nil"/>
              <w:left w:val="nil"/>
              <w:bottom w:val="single" w:sz="4" w:space="0" w:color="auto"/>
              <w:right w:val="single" w:sz="4" w:space="0" w:color="auto"/>
            </w:tcBorders>
            <w:shd w:val="clear" w:color="000000" w:fill="D9E1F2"/>
            <w:noWrap/>
            <w:vAlign w:val="bottom"/>
            <w:hideMark/>
          </w:tcPr>
          <w:p w14:paraId="4A6B379D" w14:textId="6E78041E"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100</w:t>
            </w:r>
            <w:r w:rsidR="006F559A"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0%</w:t>
            </w:r>
          </w:p>
        </w:tc>
        <w:tc>
          <w:tcPr>
            <w:tcW w:w="1170" w:type="dxa"/>
            <w:tcBorders>
              <w:top w:val="nil"/>
              <w:left w:val="nil"/>
              <w:bottom w:val="single" w:sz="4" w:space="0" w:color="auto"/>
              <w:right w:val="single" w:sz="4" w:space="0" w:color="auto"/>
            </w:tcBorders>
            <w:shd w:val="clear" w:color="000000" w:fill="D9E1F2"/>
            <w:noWrap/>
            <w:vAlign w:val="bottom"/>
            <w:hideMark/>
          </w:tcPr>
          <w:p w14:paraId="0E416D43" w14:textId="024EB077" w:rsidR="002409E3" w:rsidRPr="003C7CB1" w:rsidRDefault="002409E3" w:rsidP="00E372B9">
            <w:pPr>
              <w:spacing w:after="12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11</w:t>
            </w:r>
            <w:r w:rsidR="006F559A"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4%</w:t>
            </w:r>
          </w:p>
        </w:tc>
      </w:tr>
    </w:tbl>
    <w:p w14:paraId="2E4A3320" w14:textId="38397F78" w:rsidR="00BF6224" w:rsidRPr="003C7CB1" w:rsidRDefault="00236F25" w:rsidP="002E260D">
      <w:pPr>
        <w:spacing w:after="120" w:line="240" w:lineRule="auto"/>
        <w:rPr>
          <w:i/>
          <w:sz w:val="20"/>
          <w:szCs w:val="20"/>
        </w:rPr>
      </w:pPr>
      <w:r w:rsidRPr="003C7CB1">
        <w:rPr>
          <w:i/>
          <w:sz w:val="20"/>
          <w:szCs w:val="20"/>
        </w:rPr>
        <w:t>Source: MONSTAT, processing by the Ministry of Economic Development</w:t>
      </w:r>
    </w:p>
    <w:p w14:paraId="7D6D7E0C" w14:textId="57B618A5" w:rsidR="000F5A32" w:rsidRPr="003C7CB1" w:rsidRDefault="00B81575" w:rsidP="00E372B9">
      <w:pPr>
        <w:spacing w:after="120" w:line="240" w:lineRule="auto"/>
        <w:jc w:val="center"/>
        <w:rPr>
          <w:b/>
        </w:rPr>
      </w:pPr>
      <w:r w:rsidRPr="003C7CB1">
        <w:rPr>
          <w:b/>
        </w:rPr>
        <w:t xml:space="preserve">Graph No. 16 - Model of accommodation capacity growth in the </w:t>
      </w:r>
      <w:r w:rsidR="00D616E0">
        <w:rPr>
          <w:b/>
        </w:rPr>
        <w:t>N</w:t>
      </w:r>
      <w:r w:rsidRPr="003C7CB1">
        <w:rPr>
          <w:b/>
        </w:rPr>
        <w:t>orthern region until 2025</w:t>
      </w:r>
    </w:p>
    <w:p w14:paraId="6C898F90" w14:textId="77777777" w:rsidR="000F5A32" w:rsidRPr="003C7CB1" w:rsidRDefault="000F5A32" w:rsidP="00E372B9">
      <w:pPr>
        <w:spacing w:after="120" w:line="240" w:lineRule="auto"/>
      </w:pPr>
      <w:r w:rsidRPr="003C7CB1">
        <w:rPr>
          <w:noProof/>
        </w:rPr>
        <w:drawing>
          <wp:inline distT="0" distB="0" distL="0" distR="0" wp14:anchorId="5430E6B3" wp14:editId="5458A5D2">
            <wp:extent cx="5732145" cy="3268639"/>
            <wp:effectExtent l="0" t="0" r="1905" b="8255"/>
            <wp:docPr id="77" name="Chart 77">
              <a:extLst xmlns:a="http://schemas.openxmlformats.org/drawingml/2006/main">
                <a:ext uri="{FF2B5EF4-FFF2-40B4-BE49-F238E27FC236}">
                  <a16:creationId xmlns:a16="http://schemas.microsoft.com/office/drawing/2014/main" id="{33E7F690-4F70-6740-A21E-1D443D0F0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455753B" w14:textId="09968C0C" w:rsidR="008C5662" w:rsidRPr="003C7CB1" w:rsidRDefault="00225086" w:rsidP="002E260D">
      <w:pPr>
        <w:rPr>
          <w:i/>
          <w:sz w:val="20"/>
          <w:szCs w:val="20"/>
        </w:rPr>
      </w:pPr>
      <w:r w:rsidRPr="003C7CB1">
        <w:rPr>
          <w:i/>
          <w:sz w:val="20"/>
          <w:szCs w:val="20"/>
        </w:rPr>
        <w:t>Source: MONSTAT, processing by the Ministry of Economic Development</w:t>
      </w:r>
    </w:p>
    <w:p w14:paraId="0D7F4442" w14:textId="316D8B7D" w:rsidR="00DF6DEF" w:rsidRPr="003C7CB1" w:rsidRDefault="0036151A" w:rsidP="00E372B9">
      <w:pPr>
        <w:spacing w:after="120" w:line="240" w:lineRule="auto"/>
        <w:jc w:val="both"/>
        <w:rPr>
          <w:sz w:val="24"/>
          <w:szCs w:val="24"/>
        </w:rPr>
      </w:pPr>
      <w:r w:rsidRPr="003C7CB1">
        <w:rPr>
          <w:sz w:val="24"/>
          <w:szCs w:val="24"/>
        </w:rPr>
        <w:lastRenderedPageBreak/>
        <w:t xml:space="preserve">Having in mind the stated projection of the growth of accommodation capacities, it is necessary to provide the necessary </w:t>
      </w:r>
      <w:r w:rsidRPr="003C7CB1">
        <w:rPr>
          <w:b/>
          <w:sz w:val="24"/>
          <w:szCs w:val="24"/>
        </w:rPr>
        <w:t>workforce</w:t>
      </w:r>
      <w:r w:rsidRPr="003C7CB1">
        <w:rPr>
          <w:sz w:val="24"/>
          <w:szCs w:val="24"/>
        </w:rPr>
        <w:t xml:space="preserve"> that will provide quality services in the same. In this regard, according to projections by 2025, it is expected that 18,220 new jobs will be created at the level of Montenegro, of which 14,530 in the Coastal, 1,790 in the Central and 1,900 new jobs in the Northern region (Table No. 19</w:t>
      </w:r>
      <w:r w:rsidR="008C5662" w:rsidRPr="003C7CB1">
        <w:rPr>
          <w:sz w:val="24"/>
          <w:szCs w:val="24"/>
        </w:rPr>
        <w:t>).</w:t>
      </w:r>
    </w:p>
    <w:p w14:paraId="666A5A23" w14:textId="4F3B2DFE" w:rsidR="008C5662" w:rsidRPr="003C7CB1" w:rsidRDefault="0036151A" w:rsidP="008C5662">
      <w:pPr>
        <w:jc w:val="center"/>
        <w:rPr>
          <w:b/>
        </w:rPr>
      </w:pPr>
      <w:r w:rsidRPr="003C7CB1">
        <w:rPr>
          <w:b/>
        </w:rPr>
        <w:t>Table No. 19 - Projection of the number of new jobs until 2025</w:t>
      </w:r>
    </w:p>
    <w:tbl>
      <w:tblPr>
        <w:tblW w:w="9160" w:type="dxa"/>
        <w:jc w:val="center"/>
        <w:tblLook w:val="04A0" w:firstRow="1" w:lastRow="0" w:firstColumn="1" w:lastColumn="0" w:noHBand="0" w:noVBand="1"/>
      </w:tblPr>
      <w:tblGrid>
        <w:gridCol w:w="2020"/>
        <w:gridCol w:w="1876"/>
        <w:gridCol w:w="2666"/>
        <w:gridCol w:w="28"/>
        <w:gridCol w:w="2570"/>
      </w:tblGrid>
      <w:tr w:rsidR="00091FD6" w:rsidRPr="003C7CB1" w14:paraId="36738186" w14:textId="77777777" w:rsidTr="00986C40">
        <w:trPr>
          <w:trHeight w:val="232"/>
          <w:jc w:val="center"/>
        </w:trPr>
        <w:tc>
          <w:tcPr>
            <w:tcW w:w="916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1910D978" w14:textId="240D9620" w:rsidR="00091FD6" w:rsidRPr="003C7CB1" w:rsidRDefault="0036151A" w:rsidP="00091FD6">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Number of new jobs according to the model of accommodation capacity growth until 2025</w:t>
            </w:r>
          </w:p>
        </w:tc>
      </w:tr>
      <w:tr w:rsidR="00091FD6" w:rsidRPr="003C7CB1" w14:paraId="53F18ED9" w14:textId="77777777" w:rsidTr="00986C40">
        <w:trPr>
          <w:trHeight w:val="499"/>
          <w:jc w:val="center"/>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083CBC9D" w14:textId="3C8B0498" w:rsidR="00091FD6" w:rsidRPr="003C7CB1" w:rsidRDefault="0036151A" w:rsidP="006F559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Hotels and similar facilities</w:t>
            </w:r>
          </w:p>
        </w:tc>
        <w:tc>
          <w:tcPr>
            <w:tcW w:w="1876" w:type="dxa"/>
            <w:tcBorders>
              <w:top w:val="nil"/>
              <w:left w:val="nil"/>
              <w:bottom w:val="single" w:sz="4" w:space="0" w:color="auto"/>
              <w:right w:val="single" w:sz="4" w:space="0" w:color="auto"/>
            </w:tcBorders>
            <w:shd w:val="clear" w:color="auto" w:fill="auto"/>
            <w:vAlign w:val="center"/>
            <w:hideMark/>
          </w:tcPr>
          <w:p w14:paraId="1D1C78BA" w14:textId="51FD85AE" w:rsidR="00091FD6" w:rsidRPr="003C7CB1" w:rsidRDefault="0036151A" w:rsidP="006F559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The planned number of accommodation units until 2025</w:t>
            </w:r>
          </w:p>
        </w:tc>
        <w:tc>
          <w:tcPr>
            <w:tcW w:w="2694" w:type="dxa"/>
            <w:gridSpan w:val="2"/>
            <w:tcBorders>
              <w:top w:val="nil"/>
              <w:left w:val="nil"/>
              <w:bottom w:val="single" w:sz="4" w:space="0" w:color="auto"/>
              <w:right w:val="single" w:sz="4" w:space="0" w:color="auto"/>
            </w:tcBorders>
            <w:shd w:val="clear" w:color="auto" w:fill="auto"/>
            <w:vAlign w:val="center"/>
            <w:hideMark/>
          </w:tcPr>
          <w:p w14:paraId="4AD9F898" w14:textId="77777777" w:rsidR="0036151A" w:rsidRPr="003C7CB1" w:rsidRDefault="0036151A" w:rsidP="0036151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Employment rate</w:t>
            </w:r>
          </w:p>
          <w:p w14:paraId="6850390E" w14:textId="2722BBAF" w:rsidR="00091FD6" w:rsidRPr="003C7CB1" w:rsidRDefault="0036151A" w:rsidP="0036151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(number of employees in relation to one accommodation unit by categories)</w:t>
            </w:r>
          </w:p>
        </w:tc>
        <w:tc>
          <w:tcPr>
            <w:tcW w:w="2570" w:type="dxa"/>
            <w:tcBorders>
              <w:top w:val="nil"/>
              <w:left w:val="nil"/>
              <w:bottom w:val="single" w:sz="4" w:space="0" w:color="auto"/>
              <w:right w:val="single" w:sz="4" w:space="0" w:color="auto"/>
            </w:tcBorders>
            <w:shd w:val="clear" w:color="auto" w:fill="auto"/>
            <w:vAlign w:val="center"/>
            <w:hideMark/>
          </w:tcPr>
          <w:p w14:paraId="68A9C4D8" w14:textId="66B45A1F" w:rsidR="00091FD6" w:rsidRPr="003C7CB1" w:rsidRDefault="0036151A" w:rsidP="006F559A">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Number of new jobs until 2025</w:t>
            </w:r>
          </w:p>
        </w:tc>
      </w:tr>
      <w:tr w:rsidR="00091FD6" w:rsidRPr="003C7CB1" w14:paraId="6A16997F" w14:textId="77777777" w:rsidTr="00986C40">
        <w:trPr>
          <w:trHeight w:val="92"/>
          <w:jc w:val="center"/>
        </w:trPr>
        <w:tc>
          <w:tcPr>
            <w:tcW w:w="916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14:paraId="750208C0" w14:textId="153B4CFF" w:rsidR="00091FD6" w:rsidRPr="003C7CB1" w:rsidRDefault="00861D69" w:rsidP="00091FD6">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Coastal</w:t>
            </w:r>
            <w:r w:rsidR="00E33612" w:rsidRPr="003C7CB1">
              <w:rPr>
                <w:rFonts w:ascii="Calibri" w:eastAsia="Times New Roman" w:hAnsi="Calibri" w:cs="Times New Roman"/>
                <w:b/>
                <w:bCs/>
                <w:color w:val="000000"/>
                <w:sz w:val="20"/>
                <w:szCs w:val="20"/>
              </w:rPr>
              <w:t xml:space="preserve"> </w:t>
            </w:r>
            <w:r w:rsidR="00091FD6" w:rsidRPr="003C7CB1">
              <w:rPr>
                <w:rFonts w:ascii="Calibri" w:eastAsia="Times New Roman" w:hAnsi="Calibri" w:cs="Times New Roman"/>
                <w:b/>
                <w:bCs/>
                <w:color w:val="000000"/>
                <w:sz w:val="20"/>
                <w:szCs w:val="20"/>
              </w:rPr>
              <w:t>region</w:t>
            </w:r>
          </w:p>
        </w:tc>
      </w:tr>
      <w:tr w:rsidR="00091FD6" w:rsidRPr="003C7CB1" w14:paraId="4631ADA3" w14:textId="77777777" w:rsidTr="00986C40">
        <w:trPr>
          <w:trHeight w:val="96"/>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00B7EC6" w14:textId="77777777" w:rsidR="00091FD6" w:rsidRPr="003C7CB1" w:rsidRDefault="00091FD6" w:rsidP="00071032">
            <w:pPr>
              <w:spacing w:after="0" w:line="240" w:lineRule="auto"/>
              <w:jc w:val="center"/>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p>
        </w:tc>
        <w:tc>
          <w:tcPr>
            <w:tcW w:w="1876" w:type="dxa"/>
            <w:tcBorders>
              <w:top w:val="nil"/>
              <w:left w:val="nil"/>
              <w:bottom w:val="single" w:sz="4" w:space="0" w:color="auto"/>
              <w:right w:val="single" w:sz="4" w:space="0" w:color="auto"/>
            </w:tcBorders>
            <w:shd w:val="clear" w:color="auto" w:fill="auto"/>
            <w:noWrap/>
            <w:vAlign w:val="bottom"/>
            <w:hideMark/>
          </w:tcPr>
          <w:p w14:paraId="540B190B" w14:textId="3CFE8654"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r w:rsidR="00071032"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000</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CC8DCB" w14:textId="54150C6E"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688135" w14:textId="029D142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xml:space="preserve">                                2</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 xml:space="preserve">600 </w:t>
            </w:r>
          </w:p>
        </w:tc>
      </w:tr>
      <w:tr w:rsidR="00091FD6" w:rsidRPr="003C7CB1" w14:paraId="04EBF432" w14:textId="77777777" w:rsidTr="00986C40">
        <w:trPr>
          <w:trHeight w:val="102"/>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ADF28D1" w14:textId="77777777" w:rsidR="00091FD6" w:rsidRPr="003C7CB1" w:rsidRDefault="00091FD6" w:rsidP="00071032">
            <w:pPr>
              <w:spacing w:after="0" w:line="240" w:lineRule="auto"/>
              <w:jc w:val="center"/>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p>
        </w:tc>
        <w:tc>
          <w:tcPr>
            <w:tcW w:w="1876" w:type="dxa"/>
            <w:tcBorders>
              <w:top w:val="nil"/>
              <w:left w:val="nil"/>
              <w:bottom w:val="single" w:sz="4" w:space="0" w:color="auto"/>
              <w:right w:val="single" w:sz="4" w:space="0" w:color="auto"/>
            </w:tcBorders>
            <w:shd w:val="clear" w:color="auto" w:fill="auto"/>
            <w:noWrap/>
            <w:vAlign w:val="bottom"/>
            <w:hideMark/>
          </w:tcPr>
          <w:p w14:paraId="5E2DDBA0" w14:textId="029D6523"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14</w:t>
            </w:r>
            <w:r w:rsidR="00071032"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400</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04F7327" w14:textId="537A6422"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w:t>
            </w:r>
          </w:p>
        </w:tc>
        <w:tc>
          <w:tcPr>
            <w:tcW w:w="25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015378" w14:textId="227FFFE9"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xml:space="preserve">                              10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 xml:space="preserve">080 </w:t>
            </w:r>
          </w:p>
        </w:tc>
      </w:tr>
      <w:tr w:rsidR="00091FD6" w:rsidRPr="003C7CB1" w14:paraId="4DFDD5F3" w14:textId="77777777" w:rsidTr="00986C40">
        <w:trPr>
          <w:trHeight w:val="96"/>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B03CE38" w14:textId="77777777" w:rsidR="00091FD6" w:rsidRPr="003C7CB1" w:rsidRDefault="00091FD6" w:rsidP="00071032">
            <w:pPr>
              <w:spacing w:after="0" w:line="240" w:lineRule="auto"/>
              <w:jc w:val="center"/>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p>
        </w:tc>
        <w:tc>
          <w:tcPr>
            <w:tcW w:w="1876" w:type="dxa"/>
            <w:tcBorders>
              <w:top w:val="nil"/>
              <w:left w:val="nil"/>
              <w:bottom w:val="single" w:sz="4" w:space="0" w:color="auto"/>
              <w:right w:val="single" w:sz="4" w:space="0" w:color="auto"/>
            </w:tcBorders>
            <w:shd w:val="clear" w:color="auto" w:fill="auto"/>
            <w:noWrap/>
            <w:vAlign w:val="bottom"/>
            <w:hideMark/>
          </w:tcPr>
          <w:p w14:paraId="0C0B330F" w14:textId="36F23D3E"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r w:rsidR="00071032"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250</w:t>
            </w:r>
          </w:p>
        </w:tc>
        <w:tc>
          <w:tcPr>
            <w:tcW w:w="2694" w:type="dxa"/>
            <w:gridSpan w:val="2"/>
            <w:tcBorders>
              <w:top w:val="single" w:sz="4" w:space="0" w:color="auto"/>
              <w:left w:val="nil"/>
              <w:bottom w:val="single" w:sz="4" w:space="0" w:color="auto"/>
              <w:right w:val="single" w:sz="4" w:space="0" w:color="auto"/>
            </w:tcBorders>
            <w:shd w:val="clear" w:color="auto" w:fill="auto"/>
            <w:vAlign w:val="bottom"/>
            <w:hideMark/>
          </w:tcPr>
          <w:p w14:paraId="24B26B8A" w14:textId="1E93EA6A"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c>
          <w:tcPr>
            <w:tcW w:w="2570" w:type="dxa"/>
            <w:tcBorders>
              <w:top w:val="single" w:sz="4" w:space="0" w:color="auto"/>
              <w:left w:val="nil"/>
              <w:bottom w:val="single" w:sz="4" w:space="0" w:color="auto"/>
              <w:right w:val="single" w:sz="4" w:space="0" w:color="auto"/>
            </w:tcBorders>
            <w:shd w:val="clear" w:color="auto" w:fill="auto"/>
            <w:vAlign w:val="bottom"/>
            <w:hideMark/>
          </w:tcPr>
          <w:p w14:paraId="6BD46399" w14:textId="6762881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xml:space="preserve">                                1</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 xml:space="preserve">700 </w:t>
            </w:r>
          </w:p>
        </w:tc>
      </w:tr>
      <w:tr w:rsidR="00091FD6" w:rsidRPr="003C7CB1" w14:paraId="169376FC" w14:textId="77777777" w:rsidTr="00986C40">
        <w:trPr>
          <w:trHeight w:val="109"/>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E059E60" w14:textId="77777777" w:rsidR="00091FD6" w:rsidRPr="003C7CB1" w:rsidRDefault="00091FD6" w:rsidP="00071032">
            <w:pPr>
              <w:spacing w:after="0" w:line="240" w:lineRule="auto"/>
              <w:jc w:val="center"/>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p>
        </w:tc>
        <w:tc>
          <w:tcPr>
            <w:tcW w:w="1876" w:type="dxa"/>
            <w:tcBorders>
              <w:top w:val="nil"/>
              <w:left w:val="nil"/>
              <w:bottom w:val="single" w:sz="4" w:space="0" w:color="auto"/>
              <w:right w:val="single" w:sz="4" w:space="0" w:color="auto"/>
            </w:tcBorders>
            <w:shd w:val="clear" w:color="auto" w:fill="auto"/>
            <w:noWrap/>
            <w:vAlign w:val="bottom"/>
            <w:hideMark/>
          </w:tcPr>
          <w:p w14:paraId="58998D35"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500</w:t>
            </w:r>
          </w:p>
        </w:tc>
        <w:tc>
          <w:tcPr>
            <w:tcW w:w="2694" w:type="dxa"/>
            <w:gridSpan w:val="2"/>
            <w:tcBorders>
              <w:top w:val="nil"/>
              <w:left w:val="nil"/>
              <w:bottom w:val="single" w:sz="4" w:space="0" w:color="auto"/>
              <w:right w:val="single" w:sz="4" w:space="0" w:color="auto"/>
            </w:tcBorders>
            <w:shd w:val="clear" w:color="auto" w:fill="auto"/>
            <w:vAlign w:val="bottom"/>
            <w:hideMark/>
          </w:tcPr>
          <w:p w14:paraId="15CB1D46" w14:textId="7F638708"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2570" w:type="dxa"/>
            <w:tcBorders>
              <w:top w:val="nil"/>
              <w:left w:val="nil"/>
              <w:bottom w:val="single" w:sz="4" w:space="0" w:color="auto"/>
              <w:right w:val="single" w:sz="4" w:space="0" w:color="auto"/>
            </w:tcBorders>
            <w:shd w:val="clear" w:color="auto" w:fill="auto"/>
            <w:vAlign w:val="bottom"/>
            <w:hideMark/>
          </w:tcPr>
          <w:p w14:paraId="2C2EB2F0"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150</w:t>
            </w:r>
          </w:p>
        </w:tc>
      </w:tr>
      <w:tr w:rsidR="00091FD6" w:rsidRPr="003C7CB1" w14:paraId="07D82FCB" w14:textId="77777777" w:rsidTr="00986C40">
        <w:trPr>
          <w:trHeight w:val="265"/>
          <w:jc w:val="center"/>
        </w:trPr>
        <w:tc>
          <w:tcPr>
            <w:tcW w:w="659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485433" w14:textId="1F290B15" w:rsidR="00091FD6" w:rsidRPr="003C7CB1" w:rsidRDefault="00E33612" w:rsidP="00E33612">
            <w:pPr>
              <w:spacing w:after="0" w:line="240" w:lineRule="auto"/>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Total number of new jobs in the Coastal Region that will be created until 2025 according to the model of accommodation capacity growth</w:t>
            </w:r>
          </w:p>
        </w:tc>
        <w:tc>
          <w:tcPr>
            <w:tcW w:w="2570" w:type="dxa"/>
            <w:tcBorders>
              <w:top w:val="nil"/>
              <w:left w:val="nil"/>
              <w:bottom w:val="single" w:sz="4" w:space="0" w:color="auto"/>
              <w:right w:val="single" w:sz="4" w:space="0" w:color="auto"/>
            </w:tcBorders>
            <w:shd w:val="clear" w:color="auto" w:fill="auto"/>
            <w:vAlign w:val="bottom"/>
            <w:hideMark/>
          </w:tcPr>
          <w:p w14:paraId="1BD2FA47" w14:textId="4156EDF2" w:rsidR="00091FD6" w:rsidRPr="003C7CB1" w:rsidRDefault="00091FD6" w:rsidP="00091FD6">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 </w:t>
            </w:r>
            <w:r w:rsidR="008C5662" w:rsidRPr="003C7CB1">
              <w:rPr>
                <w:rFonts w:ascii="Calibri" w:eastAsia="Times New Roman" w:hAnsi="Calibri" w:cs="Times New Roman"/>
                <w:b/>
                <w:bCs/>
                <w:color w:val="000000"/>
                <w:sz w:val="20"/>
                <w:szCs w:val="20"/>
              </w:rPr>
              <w:t xml:space="preserve">                             14</w:t>
            </w:r>
            <w:r w:rsidR="002E779B"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 xml:space="preserve">530 </w:t>
            </w:r>
          </w:p>
        </w:tc>
      </w:tr>
      <w:tr w:rsidR="00091FD6" w:rsidRPr="003C7CB1" w14:paraId="326DE18A" w14:textId="77777777" w:rsidTr="00986C40">
        <w:trPr>
          <w:trHeight w:val="109"/>
          <w:jc w:val="center"/>
        </w:trPr>
        <w:tc>
          <w:tcPr>
            <w:tcW w:w="916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14:paraId="0BAE227E" w14:textId="643F8C05" w:rsidR="00091FD6" w:rsidRPr="003C7CB1" w:rsidRDefault="00E33612" w:rsidP="00091FD6">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Central</w:t>
            </w:r>
            <w:r w:rsidR="00091FD6" w:rsidRPr="003C7CB1">
              <w:rPr>
                <w:rFonts w:ascii="Calibri" w:eastAsia="Times New Roman" w:hAnsi="Calibri" w:cs="Times New Roman"/>
                <w:b/>
                <w:bCs/>
                <w:color w:val="000000"/>
                <w:sz w:val="20"/>
                <w:szCs w:val="20"/>
              </w:rPr>
              <w:t xml:space="preserve"> region</w:t>
            </w:r>
          </w:p>
        </w:tc>
      </w:tr>
      <w:tr w:rsidR="00091FD6" w:rsidRPr="003C7CB1" w14:paraId="653B9F60"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C723397"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p>
        </w:tc>
        <w:tc>
          <w:tcPr>
            <w:tcW w:w="1876" w:type="dxa"/>
            <w:tcBorders>
              <w:top w:val="nil"/>
              <w:left w:val="nil"/>
              <w:bottom w:val="single" w:sz="4" w:space="0" w:color="auto"/>
              <w:right w:val="single" w:sz="4" w:space="0" w:color="auto"/>
            </w:tcBorders>
            <w:shd w:val="clear" w:color="auto" w:fill="auto"/>
            <w:noWrap/>
            <w:vAlign w:val="bottom"/>
            <w:hideMark/>
          </w:tcPr>
          <w:p w14:paraId="0431F423"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500</w:t>
            </w:r>
          </w:p>
        </w:tc>
        <w:tc>
          <w:tcPr>
            <w:tcW w:w="2694" w:type="dxa"/>
            <w:gridSpan w:val="2"/>
            <w:tcBorders>
              <w:top w:val="nil"/>
              <w:left w:val="nil"/>
              <w:bottom w:val="single" w:sz="4" w:space="0" w:color="auto"/>
              <w:right w:val="single" w:sz="4" w:space="0" w:color="auto"/>
            </w:tcBorders>
            <w:shd w:val="clear" w:color="auto" w:fill="auto"/>
            <w:noWrap/>
            <w:vAlign w:val="bottom"/>
            <w:hideMark/>
          </w:tcPr>
          <w:p w14:paraId="0B6F92BF" w14:textId="45AF51EB"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2570" w:type="dxa"/>
            <w:tcBorders>
              <w:top w:val="nil"/>
              <w:left w:val="nil"/>
              <w:bottom w:val="single" w:sz="4" w:space="0" w:color="auto"/>
              <w:right w:val="single" w:sz="4" w:space="0" w:color="auto"/>
            </w:tcBorders>
            <w:shd w:val="clear" w:color="auto" w:fill="auto"/>
            <w:noWrap/>
            <w:vAlign w:val="bottom"/>
            <w:hideMark/>
          </w:tcPr>
          <w:p w14:paraId="525D6D6C"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xml:space="preserve">                                   650 </w:t>
            </w:r>
          </w:p>
        </w:tc>
      </w:tr>
      <w:tr w:rsidR="00091FD6" w:rsidRPr="003C7CB1" w14:paraId="2E1F8BF7"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B5E093B"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p>
        </w:tc>
        <w:tc>
          <w:tcPr>
            <w:tcW w:w="1876" w:type="dxa"/>
            <w:tcBorders>
              <w:top w:val="nil"/>
              <w:left w:val="nil"/>
              <w:bottom w:val="single" w:sz="4" w:space="0" w:color="auto"/>
              <w:right w:val="single" w:sz="4" w:space="0" w:color="auto"/>
            </w:tcBorders>
            <w:shd w:val="clear" w:color="auto" w:fill="auto"/>
            <w:noWrap/>
            <w:vAlign w:val="bottom"/>
            <w:hideMark/>
          </w:tcPr>
          <w:p w14:paraId="2194F0BB" w14:textId="392900ED"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071032"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200</w:t>
            </w:r>
          </w:p>
        </w:tc>
        <w:tc>
          <w:tcPr>
            <w:tcW w:w="2694" w:type="dxa"/>
            <w:gridSpan w:val="2"/>
            <w:tcBorders>
              <w:top w:val="nil"/>
              <w:left w:val="nil"/>
              <w:bottom w:val="single" w:sz="4" w:space="0" w:color="auto"/>
              <w:right w:val="single" w:sz="4" w:space="0" w:color="auto"/>
            </w:tcBorders>
            <w:shd w:val="clear" w:color="auto" w:fill="auto"/>
            <w:noWrap/>
            <w:vAlign w:val="bottom"/>
            <w:hideMark/>
          </w:tcPr>
          <w:p w14:paraId="69E3F6AB" w14:textId="332E47A9"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w:t>
            </w:r>
          </w:p>
        </w:tc>
        <w:tc>
          <w:tcPr>
            <w:tcW w:w="2570" w:type="dxa"/>
            <w:tcBorders>
              <w:top w:val="nil"/>
              <w:left w:val="nil"/>
              <w:bottom w:val="single" w:sz="4" w:space="0" w:color="auto"/>
              <w:right w:val="single" w:sz="4" w:space="0" w:color="auto"/>
            </w:tcBorders>
            <w:shd w:val="clear" w:color="auto" w:fill="auto"/>
            <w:noWrap/>
            <w:vAlign w:val="bottom"/>
            <w:hideMark/>
          </w:tcPr>
          <w:p w14:paraId="697AFBEC"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xml:space="preserve">                                   840 </w:t>
            </w:r>
          </w:p>
        </w:tc>
      </w:tr>
      <w:tr w:rsidR="00091FD6" w:rsidRPr="003C7CB1" w14:paraId="4A004968"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B49468B"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p>
        </w:tc>
        <w:tc>
          <w:tcPr>
            <w:tcW w:w="1876" w:type="dxa"/>
            <w:tcBorders>
              <w:top w:val="nil"/>
              <w:left w:val="nil"/>
              <w:bottom w:val="single" w:sz="4" w:space="0" w:color="auto"/>
              <w:right w:val="single" w:sz="4" w:space="0" w:color="auto"/>
            </w:tcBorders>
            <w:shd w:val="clear" w:color="auto" w:fill="auto"/>
            <w:noWrap/>
            <w:vAlign w:val="bottom"/>
            <w:hideMark/>
          </w:tcPr>
          <w:p w14:paraId="152404BC"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750</w:t>
            </w:r>
          </w:p>
        </w:tc>
        <w:tc>
          <w:tcPr>
            <w:tcW w:w="2694" w:type="dxa"/>
            <w:gridSpan w:val="2"/>
            <w:tcBorders>
              <w:top w:val="nil"/>
              <w:left w:val="nil"/>
              <w:bottom w:val="single" w:sz="4" w:space="0" w:color="auto"/>
              <w:right w:val="single" w:sz="4" w:space="0" w:color="auto"/>
            </w:tcBorders>
            <w:shd w:val="clear" w:color="auto" w:fill="auto"/>
            <w:noWrap/>
            <w:vAlign w:val="bottom"/>
            <w:hideMark/>
          </w:tcPr>
          <w:p w14:paraId="21D669A7" w14:textId="73633E7C"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c>
          <w:tcPr>
            <w:tcW w:w="2570" w:type="dxa"/>
            <w:tcBorders>
              <w:top w:val="nil"/>
              <w:left w:val="nil"/>
              <w:bottom w:val="single" w:sz="4" w:space="0" w:color="auto"/>
              <w:right w:val="single" w:sz="4" w:space="0" w:color="auto"/>
            </w:tcBorders>
            <w:shd w:val="clear" w:color="auto" w:fill="auto"/>
            <w:noWrap/>
            <w:vAlign w:val="bottom"/>
            <w:hideMark/>
          </w:tcPr>
          <w:p w14:paraId="399FFED7"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 xml:space="preserve">                                   300 </w:t>
            </w:r>
          </w:p>
        </w:tc>
      </w:tr>
      <w:tr w:rsidR="00091FD6" w:rsidRPr="003C7CB1" w14:paraId="7B4623EF"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80D09AE"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p>
        </w:tc>
        <w:tc>
          <w:tcPr>
            <w:tcW w:w="1876" w:type="dxa"/>
            <w:tcBorders>
              <w:top w:val="nil"/>
              <w:left w:val="nil"/>
              <w:bottom w:val="single" w:sz="4" w:space="0" w:color="auto"/>
              <w:right w:val="single" w:sz="4" w:space="0" w:color="auto"/>
            </w:tcBorders>
            <w:shd w:val="clear" w:color="auto" w:fill="auto"/>
            <w:noWrap/>
            <w:vAlign w:val="bottom"/>
            <w:hideMark/>
          </w:tcPr>
          <w:p w14:paraId="77390517"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2694" w:type="dxa"/>
            <w:gridSpan w:val="2"/>
            <w:tcBorders>
              <w:top w:val="nil"/>
              <w:left w:val="nil"/>
              <w:bottom w:val="single" w:sz="4" w:space="0" w:color="auto"/>
              <w:right w:val="single" w:sz="4" w:space="0" w:color="auto"/>
            </w:tcBorders>
            <w:shd w:val="clear" w:color="auto" w:fill="auto"/>
            <w:noWrap/>
            <w:vAlign w:val="bottom"/>
            <w:hideMark/>
          </w:tcPr>
          <w:p w14:paraId="61853BFD" w14:textId="460030C1"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2570" w:type="dxa"/>
            <w:tcBorders>
              <w:top w:val="nil"/>
              <w:left w:val="nil"/>
              <w:bottom w:val="single" w:sz="4" w:space="0" w:color="auto"/>
              <w:right w:val="single" w:sz="4" w:space="0" w:color="auto"/>
            </w:tcBorders>
            <w:shd w:val="clear" w:color="auto" w:fill="auto"/>
            <w:noWrap/>
            <w:vAlign w:val="bottom"/>
            <w:hideMark/>
          </w:tcPr>
          <w:p w14:paraId="4F5B43D5"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r>
      <w:tr w:rsidR="00091FD6" w:rsidRPr="003C7CB1" w14:paraId="3A76AD73" w14:textId="77777777" w:rsidTr="00986C40">
        <w:trPr>
          <w:trHeight w:val="209"/>
          <w:jc w:val="center"/>
        </w:trPr>
        <w:tc>
          <w:tcPr>
            <w:tcW w:w="659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CDD74B2" w14:textId="52399853" w:rsidR="00091FD6" w:rsidRPr="003C7CB1" w:rsidRDefault="00E33612" w:rsidP="00E33612">
            <w:pPr>
              <w:spacing w:after="0" w:line="240" w:lineRule="auto"/>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Total number of new jobs in the Central Region that will be created until 2025 according to the model of accommodation capacity growth</w:t>
            </w:r>
          </w:p>
        </w:tc>
        <w:tc>
          <w:tcPr>
            <w:tcW w:w="2570" w:type="dxa"/>
            <w:tcBorders>
              <w:top w:val="nil"/>
              <w:left w:val="nil"/>
              <w:bottom w:val="single" w:sz="4" w:space="0" w:color="auto"/>
              <w:right w:val="single" w:sz="4" w:space="0" w:color="auto"/>
            </w:tcBorders>
            <w:shd w:val="clear" w:color="auto" w:fill="auto"/>
            <w:noWrap/>
            <w:vAlign w:val="bottom"/>
            <w:hideMark/>
          </w:tcPr>
          <w:p w14:paraId="66D2A7A7" w14:textId="10BC9BFE" w:rsidR="00091FD6" w:rsidRPr="003C7CB1" w:rsidRDefault="00091FD6" w:rsidP="00091FD6">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                                1</w:t>
            </w:r>
            <w:r w:rsidR="002E779B"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 xml:space="preserve">790 </w:t>
            </w:r>
          </w:p>
        </w:tc>
      </w:tr>
      <w:tr w:rsidR="00091FD6" w:rsidRPr="003C7CB1" w14:paraId="047E706B" w14:textId="77777777" w:rsidTr="00986C40">
        <w:trPr>
          <w:trHeight w:val="107"/>
          <w:jc w:val="center"/>
        </w:trPr>
        <w:tc>
          <w:tcPr>
            <w:tcW w:w="916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14:paraId="75E8F150" w14:textId="4F8EEF9F" w:rsidR="00091FD6" w:rsidRPr="003C7CB1" w:rsidRDefault="00E33612" w:rsidP="00091FD6">
            <w:pPr>
              <w:spacing w:after="0" w:line="240" w:lineRule="auto"/>
              <w:jc w:val="center"/>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Northern</w:t>
            </w:r>
            <w:r w:rsidR="00091FD6" w:rsidRPr="003C7CB1">
              <w:rPr>
                <w:rFonts w:ascii="Calibri" w:eastAsia="Times New Roman" w:hAnsi="Calibri" w:cs="Times New Roman"/>
                <w:b/>
                <w:bCs/>
                <w:color w:val="000000"/>
                <w:sz w:val="20"/>
                <w:szCs w:val="20"/>
              </w:rPr>
              <w:t xml:space="preserve"> region </w:t>
            </w:r>
          </w:p>
        </w:tc>
      </w:tr>
      <w:tr w:rsidR="00091FD6" w:rsidRPr="003C7CB1" w14:paraId="3127E246"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1AB7125"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w:t>
            </w:r>
          </w:p>
        </w:tc>
        <w:tc>
          <w:tcPr>
            <w:tcW w:w="1876" w:type="dxa"/>
            <w:tcBorders>
              <w:top w:val="nil"/>
              <w:left w:val="nil"/>
              <w:bottom w:val="single" w:sz="4" w:space="0" w:color="auto"/>
              <w:right w:val="single" w:sz="4" w:space="0" w:color="auto"/>
            </w:tcBorders>
            <w:shd w:val="clear" w:color="auto" w:fill="auto"/>
            <w:noWrap/>
            <w:vAlign w:val="bottom"/>
            <w:hideMark/>
          </w:tcPr>
          <w:p w14:paraId="29205BBB"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500</w:t>
            </w:r>
          </w:p>
        </w:tc>
        <w:tc>
          <w:tcPr>
            <w:tcW w:w="2666" w:type="dxa"/>
            <w:tcBorders>
              <w:top w:val="nil"/>
              <w:left w:val="nil"/>
              <w:bottom w:val="single" w:sz="4" w:space="0" w:color="auto"/>
              <w:right w:val="single" w:sz="4" w:space="0" w:color="auto"/>
            </w:tcBorders>
            <w:shd w:val="clear" w:color="auto" w:fill="auto"/>
            <w:noWrap/>
            <w:vAlign w:val="bottom"/>
            <w:hideMark/>
          </w:tcPr>
          <w:p w14:paraId="596BCCC2" w14:textId="7631DA1F"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2598" w:type="dxa"/>
            <w:gridSpan w:val="2"/>
            <w:tcBorders>
              <w:top w:val="nil"/>
              <w:left w:val="nil"/>
              <w:bottom w:val="single" w:sz="4" w:space="0" w:color="auto"/>
              <w:right w:val="single" w:sz="4" w:space="0" w:color="auto"/>
            </w:tcBorders>
            <w:shd w:val="clear" w:color="auto" w:fill="auto"/>
            <w:noWrap/>
            <w:vAlign w:val="bottom"/>
            <w:hideMark/>
          </w:tcPr>
          <w:p w14:paraId="179B0552"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650</w:t>
            </w:r>
          </w:p>
        </w:tc>
      </w:tr>
      <w:tr w:rsidR="00091FD6" w:rsidRPr="003C7CB1" w14:paraId="138FA1FB"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22055D8"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4*</w:t>
            </w:r>
          </w:p>
        </w:tc>
        <w:tc>
          <w:tcPr>
            <w:tcW w:w="1876" w:type="dxa"/>
            <w:tcBorders>
              <w:top w:val="nil"/>
              <w:left w:val="nil"/>
              <w:bottom w:val="single" w:sz="4" w:space="0" w:color="auto"/>
              <w:right w:val="single" w:sz="4" w:space="0" w:color="auto"/>
            </w:tcBorders>
            <w:shd w:val="clear" w:color="auto" w:fill="auto"/>
            <w:noWrap/>
            <w:vAlign w:val="bottom"/>
            <w:hideMark/>
          </w:tcPr>
          <w:p w14:paraId="0D8A2513" w14:textId="4C12BC4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071032"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500</w:t>
            </w:r>
          </w:p>
        </w:tc>
        <w:tc>
          <w:tcPr>
            <w:tcW w:w="2666" w:type="dxa"/>
            <w:tcBorders>
              <w:top w:val="nil"/>
              <w:left w:val="nil"/>
              <w:bottom w:val="single" w:sz="4" w:space="0" w:color="auto"/>
              <w:right w:val="single" w:sz="4" w:space="0" w:color="auto"/>
            </w:tcBorders>
            <w:shd w:val="clear" w:color="auto" w:fill="auto"/>
            <w:noWrap/>
            <w:vAlign w:val="bottom"/>
            <w:hideMark/>
          </w:tcPr>
          <w:p w14:paraId="07BD0912" w14:textId="4DB49DA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7</w:t>
            </w:r>
          </w:p>
        </w:tc>
        <w:tc>
          <w:tcPr>
            <w:tcW w:w="2598" w:type="dxa"/>
            <w:gridSpan w:val="2"/>
            <w:tcBorders>
              <w:top w:val="nil"/>
              <w:left w:val="nil"/>
              <w:bottom w:val="single" w:sz="4" w:space="0" w:color="auto"/>
              <w:right w:val="single" w:sz="4" w:space="0" w:color="auto"/>
            </w:tcBorders>
            <w:shd w:val="clear" w:color="auto" w:fill="auto"/>
            <w:noWrap/>
            <w:vAlign w:val="bottom"/>
            <w:hideMark/>
          </w:tcPr>
          <w:p w14:paraId="7A11AFBB" w14:textId="2EB908A3"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1</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050</w:t>
            </w:r>
          </w:p>
        </w:tc>
      </w:tr>
      <w:tr w:rsidR="00091FD6" w:rsidRPr="003C7CB1" w14:paraId="4C52FC9B"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845D634"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3*</w:t>
            </w:r>
          </w:p>
        </w:tc>
        <w:tc>
          <w:tcPr>
            <w:tcW w:w="1876" w:type="dxa"/>
            <w:tcBorders>
              <w:top w:val="nil"/>
              <w:left w:val="nil"/>
              <w:bottom w:val="single" w:sz="4" w:space="0" w:color="auto"/>
              <w:right w:val="single" w:sz="4" w:space="0" w:color="auto"/>
            </w:tcBorders>
            <w:shd w:val="clear" w:color="auto" w:fill="auto"/>
            <w:noWrap/>
            <w:vAlign w:val="bottom"/>
            <w:hideMark/>
          </w:tcPr>
          <w:p w14:paraId="7A374F52"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500</w:t>
            </w:r>
          </w:p>
        </w:tc>
        <w:tc>
          <w:tcPr>
            <w:tcW w:w="2666" w:type="dxa"/>
            <w:tcBorders>
              <w:top w:val="nil"/>
              <w:left w:val="nil"/>
              <w:bottom w:val="single" w:sz="4" w:space="0" w:color="auto"/>
              <w:right w:val="single" w:sz="4" w:space="0" w:color="auto"/>
            </w:tcBorders>
            <w:shd w:val="clear" w:color="auto" w:fill="auto"/>
            <w:noWrap/>
            <w:vAlign w:val="bottom"/>
            <w:hideMark/>
          </w:tcPr>
          <w:p w14:paraId="36EAF31A" w14:textId="15C6A74C"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4</w:t>
            </w:r>
          </w:p>
        </w:tc>
        <w:tc>
          <w:tcPr>
            <w:tcW w:w="2598" w:type="dxa"/>
            <w:gridSpan w:val="2"/>
            <w:tcBorders>
              <w:top w:val="nil"/>
              <w:left w:val="nil"/>
              <w:bottom w:val="single" w:sz="4" w:space="0" w:color="auto"/>
              <w:right w:val="single" w:sz="4" w:space="0" w:color="auto"/>
            </w:tcBorders>
            <w:shd w:val="clear" w:color="auto" w:fill="auto"/>
            <w:noWrap/>
            <w:vAlign w:val="bottom"/>
            <w:hideMark/>
          </w:tcPr>
          <w:p w14:paraId="6E7CFF17"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200</w:t>
            </w:r>
          </w:p>
        </w:tc>
      </w:tr>
      <w:tr w:rsidR="00091FD6" w:rsidRPr="003C7CB1" w14:paraId="608A9548" w14:textId="77777777" w:rsidTr="00986C40">
        <w:trPr>
          <w:trHeight w:val="107"/>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6B1ABD7" w14:textId="77777777" w:rsidR="00091FD6" w:rsidRPr="003C7CB1" w:rsidRDefault="00091FD6" w:rsidP="00091FD6">
            <w:pPr>
              <w:spacing w:after="0" w:line="240" w:lineRule="auto"/>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2*</w:t>
            </w:r>
          </w:p>
        </w:tc>
        <w:tc>
          <w:tcPr>
            <w:tcW w:w="1876" w:type="dxa"/>
            <w:tcBorders>
              <w:top w:val="nil"/>
              <w:left w:val="nil"/>
              <w:bottom w:val="single" w:sz="4" w:space="0" w:color="auto"/>
              <w:right w:val="single" w:sz="4" w:space="0" w:color="auto"/>
            </w:tcBorders>
            <w:shd w:val="clear" w:color="auto" w:fill="auto"/>
            <w:noWrap/>
            <w:vAlign w:val="bottom"/>
            <w:hideMark/>
          </w:tcPr>
          <w:p w14:paraId="091A0F4E"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c>
          <w:tcPr>
            <w:tcW w:w="2666" w:type="dxa"/>
            <w:tcBorders>
              <w:top w:val="nil"/>
              <w:left w:val="nil"/>
              <w:bottom w:val="single" w:sz="4" w:space="0" w:color="auto"/>
              <w:right w:val="single" w:sz="4" w:space="0" w:color="auto"/>
            </w:tcBorders>
            <w:shd w:val="clear" w:color="auto" w:fill="auto"/>
            <w:noWrap/>
            <w:vAlign w:val="bottom"/>
            <w:hideMark/>
          </w:tcPr>
          <w:p w14:paraId="47C9DFA7" w14:textId="62870BC4"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r w:rsidR="002E779B" w:rsidRPr="003C7CB1">
              <w:rPr>
                <w:rFonts w:ascii="Calibri" w:eastAsia="Times New Roman" w:hAnsi="Calibri" w:cs="Times New Roman"/>
                <w:color w:val="000000"/>
                <w:sz w:val="20"/>
                <w:szCs w:val="20"/>
              </w:rPr>
              <w:t>,</w:t>
            </w:r>
            <w:r w:rsidRPr="003C7CB1">
              <w:rPr>
                <w:rFonts w:ascii="Calibri" w:eastAsia="Times New Roman" w:hAnsi="Calibri" w:cs="Times New Roman"/>
                <w:color w:val="000000"/>
                <w:sz w:val="20"/>
                <w:szCs w:val="20"/>
              </w:rPr>
              <w:t>3</w:t>
            </w:r>
          </w:p>
        </w:tc>
        <w:tc>
          <w:tcPr>
            <w:tcW w:w="2598" w:type="dxa"/>
            <w:gridSpan w:val="2"/>
            <w:tcBorders>
              <w:top w:val="nil"/>
              <w:left w:val="nil"/>
              <w:bottom w:val="single" w:sz="4" w:space="0" w:color="auto"/>
              <w:right w:val="single" w:sz="4" w:space="0" w:color="auto"/>
            </w:tcBorders>
            <w:shd w:val="clear" w:color="auto" w:fill="auto"/>
            <w:noWrap/>
            <w:vAlign w:val="bottom"/>
            <w:hideMark/>
          </w:tcPr>
          <w:p w14:paraId="2695EBFA" w14:textId="77777777" w:rsidR="00091FD6" w:rsidRPr="003C7CB1" w:rsidRDefault="00091FD6" w:rsidP="00091FD6">
            <w:pPr>
              <w:spacing w:after="0" w:line="240" w:lineRule="auto"/>
              <w:jc w:val="right"/>
              <w:rPr>
                <w:rFonts w:ascii="Calibri" w:eastAsia="Times New Roman" w:hAnsi="Calibri" w:cs="Times New Roman"/>
                <w:color w:val="000000"/>
                <w:sz w:val="20"/>
                <w:szCs w:val="20"/>
              </w:rPr>
            </w:pPr>
            <w:r w:rsidRPr="003C7CB1">
              <w:rPr>
                <w:rFonts w:ascii="Calibri" w:eastAsia="Times New Roman" w:hAnsi="Calibri" w:cs="Times New Roman"/>
                <w:color w:val="000000"/>
                <w:sz w:val="20"/>
                <w:szCs w:val="20"/>
              </w:rPr>
              <w:t>0</w:t>
            </w:r>
          </w:p>
        </w:tc>
      </w:tr>
      <w:tr w:rsidR="00091FD6" w:rsidRPr="003C7CB1" w14:paraId="3D7B6A87" w14:textId="77777777" w:rsidTr="00986C40">
        <w:trPr>
          <w:trHeight w:val="231"/>
          <w:jc w:val="center"/>
        </w:trPr>
        <w:tc>
          <w:tcPr>
            <w:tcW w:w="656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F8DE597" w14:textId="4DAB98C4" w:rsidR="00091FD6" w:rsidRPr="003C7CB1" w:rsidRDefault="00E33612" w:rsidP="00EB6A52">
            <w:pPr>
              <w:spacing w:after="0" w:line="240" w:lineRule="auto"/>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Total number of new jobs in the Northern region that will be created until 2025 according to the model of accommodation capacity growth</w:t>
            </w:r>
          </w:p>
        </w:tc>
        <w:tc>
          <w:tcPr>
            <w:tcW w:w="2598" w:type="dxa"/>
            <w:gridSpan w:val="2"/>
            <w:tcBorders>
              <w:top w:val="nil"/>
              <w:left w:val="nil"/>
              <w:bottom w:val="single" w:sz="4" w:space="0" w:color="auto"/>
              <w:right w:val="single" w:sz="4" w:space="0" w:color="auto"/>
            </w:tcBorders>
            <w:shd w:val="clear" w:color="auto" w:fill="auto"/>
            <w:noWrap/>
            <w:vAlign w:val="bottom"/>
            <w:hideMark/>
          </w:tcPr>
          <w:p w14:paraId="41ADA40D" w14:textId="77777777" w:rsidR="00091FD6" w:rsidRPr="003C7CB1" w:rsidRDefault="00091FD6" w:rsidP="00091FD6">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1</w:t>
            </w:r>
            <w:r w:rsidR="008C5662"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900</w:t>
            </w:r>
          </w:p>
        </w:tc>
      </w:tr>
      <w:tr w:rsidR="00091FD6" w:rsidRPr="003C7CB1" w14:paraId="7A5C4961" w14:textId="77777777" w:rsidTr="00986C40">
        <w:trPr>
          <w:trHeight w:val="302"/>
          <w:jc w:val="center"/>
        </w:trPr>
        <w:tc>
          <w:tcPr>
            <w:tcW w:w="6562" w:type="dxa"/>
            <w:gridSpan w:val="3"/>
            <w:tcBorders>
              <w:top w:val="single" w:sz="4" w:space="0" w:color="auto"/>
              <w:left w:val="single" w:sz="4" w:space="0" w:color="auto"/>
              <w:bottom w:val="single" w:sz="4" w:space="0" w:color="auto"/>
              <w:right w:val="single" w:sz="4" w:space="0" w:color="000000"/>
            </w:tcBorders>
            <w:shd w:val="clear" w:color="000000" w:fill="D9E1F2"/>
            <w:vAlign w:val="bottom"/>
            <w:hideMark/>
          </w:tcPr>
          <w:p w14:paraId="42B294C9" w14:textId="6297BA81" w:rsidR="00091FD6" w:rsidRPr="003C7CB1" w:rsidRDefault="00E33612" w:rsidP="00091FD6">
            <w:pPr>
              <w:spacing w:after="0" w:line="240" w:lineRule="auto"/>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Total number of new jobs that will be created in Montenegro until 2025 according to the model of accommodation capacity growth</w:t>
            </w:r>
          </w:p>
        </w:tc>
        <w:tc>
          <w:tcPr>
            <w:tcW w:w="2598" w:type="dxa"/>
            <w:gridSpan w:val="2"/>
            <w:tcBorders>
              <w:top w:val="nil"/>
              <w:left w:val="nil"/>
              <w:bottom w:val="single" w:sz="4" w:space="0" w:color="auto"/>
              <w:right w:val="single" w:sz="4" w:space="0" w:color="auto"/>
            </w:tcBorders>
            <w:shd w:val="clear" w:color="000000" w:fill="D9E1F2"/>
            <w:noWrap/>
            <w:vAlign w:val="bottom"/>
            <w:hideMark/>
          </w:tcPr>
          <w:p w14:paraId="5802B165" w14:textId="3E1A2E62" w:rsidR="00091FD6" w:rsidRPr="003C7CB1" w:rsidRDefault="00091FD6" w:rsidP="00091FD6">
            <w:pPr>
              <w:spacing w:after="0" w:line="240" w:lineRule="auto"/>
              <w:jc w:val="right"/>
              <w:rPr>
                <w:rFonts w:ascii="Calibri" w:eastAsia="Times New Roman" w:hAnsi="Calibri" w:cs="Times New Roman"/>
                <w:b/>
                <w:bCs/>
                <w:color w:val="000000"/>
                <w:sz w:val="20"/>
                <w:szCs w:val="20"/>
              </w:rPr>
            </w:pPr>
            <w:r w:rsidRPr="003C7CB1">
              <w:rPr>
                <w:rFonts w:ascii="Calibri" w:eastAsia="Times New Roman" w:hAnsi="Calibri" w:cs="Times New Roman"/>
                <w:b/>
                <w:bCs/>
                <w:color w:val="000000"/>
                <w:sz w:val="20"/>
                <w:szCs w:val="20"/>
              </w:rPr>
              <w:t xml:space="preserve">                              18</w:t>
            </w:r>
            <w:r w:rsidR="002E779B" w:rsidRPr="003C7CB1">
              <w:rPr>
                <w:rFonts w:ascii="Calibri" w:eastAsia="Times New Roman" w:hAnsi="Calibri" w:cs="Times New Roman"/>
                <w:b/>
                <w:bCs/>
                <w:color w:val="000000"/>
                <w:sz w:val="20"/>
                <w:szCs w:val="20"/>
              </w:rPr>
              <w:t>.</w:t>
            </w:r>
            <w:r w:rsidRPr="003C7CB1">
              <w:rPr>
                <w:rFonts w:ascii="Calibri" w:eastAsia="Times New Roman" w:hAnsi="Calibri" w:cs="Times New Roman"/>
                <w:b/>
                <w:bCs/>
                <w:color w:val="000000"/>
                <w:sz w:val="20"/>
                <w:szCs w:val="20"/>
              </w:rPr>
              <w:t xml:space="preserve">220 </w:t>
            </w:r>
          </w:p>
        </w:tc>
      </w:tr>
    </w:tbl>
    <w:p w14:paraId="4177F856" w14:textId="5F3F487A" w:rsidR="00E431EA" w:rsidRPr="003C7CB1" w:rsidRDefault="002E260D" w:rsidP="00E0203A">
      <w:pPr>
        <w:rPr>
          <w:i/>
          <w:sz w:val="20"/>
          <w:szCs w:val="20"/>
        </w:rPr>
      </w:pPr>
      <w:r w:rsidRPr="003C7CB1">
        <w:rPr>
          <w:i/>
          <w:sz w:val="20"/>
          <w:szCs w:val="20"/>
        </w:rPr>
        <w:t xml:space="preserve">  </w:t>
      </w:r>
      <w:r w:rsidR="00E33612" w:rsidRPr="003C7CB1">
        <w:rPr>
          <w:i/>
          <w:sz w:val="20"/>
          <w:szCs w:val="20"/>
        </w:rPr>
        <w:t>Source: MONSTAT, processing by the Ministry of Economic Development</w:t>
      </w:r>
    </w:p>
    <w:p w14:paraId="795331AA" w14:textId="77777777" w:rsidR="00E431EA" w:rsidRPr="003C7CB1" w:rsidRDefault="00E431EA">
      <w:pPr>
        <w:spacing w:after="0" w:line="240" w:lineRule="auto"/>
        <w:rPr>
          <w:i/>
          <w:color w:val="2F5496" w:themeColor="accent1" w:themeShade="BF"/>
          <w:sz w:val="20"/>
          <w:szCs w:val="20"/>
        </w:rPr>
      </w:pPr>
      <w:r w:rsidRPr="003C7CB1">
        <w:rPr>
          <w:i/>
          <w:color w:val="2F5496" w:themeColor="accent1" w:themeShade="BF"/>
          <w:sz w:val="20"/>
          <w:szCs w:val="20"/>
        </w:rPr>
        <w:br w:type="page"/>
      </w:r>
    </w:p>
    <w:p w14:paraId="2DAC9735" w14:textId="6D591A19" w:rsidR="00091FD6" w:rsidRPr="003C7CB1" w:rsidRDefault="00E431EA" w:rsidP="00E0203A">
      <w:pPr>
        <w:rPr>
          <w:i/>
          <w:color w:val="2F5496" w:themeColor="accent1" w:themeShade="BF"/>
          <w:sz w:val="20"/>
          <w:szCs w:val="20"/>
        </w:rPr>
      </w:pPr>
      <w:r w:rsidRPr="003C7CB1">
        <w:rPr>
          <w:i/>
          <w:noProof/>
          <w:color w:val="2F5496" w:themeColor="accent1" w:themeShade="BF"/>
          <w:sz w:val="20"/>
          <w:szCs w:val="20"/>
        </w:rPr>
        <w:lastRenderedPageBreak/>
        <w:drawing>
          <wp:inline distT="0" distB="0" distL="0" distR="0" wp14:anchorId="0E4B3509" wp14:editId="373B6EFB">
            <wp:extent cx="5732145" cy="8108211"/>
            <wp:effectExtent l="0" t="0" r="1905"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11.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41B66390" w14:textId="77777777" w:rsidR="00B2702B" w:rsidRPr="003C7CB1" w:rsidRDefault="00B2702B" w:rsidP="00CD6E35">
      <w:pPr>
        <w:pStyle w:val="Heading1"/>
        <w:spacing w:before="0" w:after="120" w:line="276" w:lineRule="auto"/>
        <w:rPr>
          <w:rFonts w:eastAsia="Calibri"/>
        </w:rPr>
      </w:pPr>
    </w:p>
    <w:p w14:paraId="2C285DE3" w14:textId="03011215" w:rsidR="00B2702B" w:rsidRPr="003C7CB1" w:rsidRDefault="008F6931" w:rsidP="00010967">
      <w:pPr>
        <w:pStyle w:val="Heading1"/>
        <w:spacing w:before="0" w:after="120" w:line="276" w:lineRule="auto"/>
        <w:rPr>
          <w:rFonts w:eastAsia="Calibri"/>
        </w:rPr>
      </w:pPr>
      <w:bookmarkStart w:id="193" w:name="_Toc95303040"/>
      <w:bookmarkStart w:id="194" w:name="_Toc104544204"/>
      <w:r w:rsidRPr="003C7CB1">
        <w:rPr>
          <w:rFonts w:eastAsia="Calibri"/>
        </w:rPr>
        <w:t>1</w:t>
      </w:r>
      <w:r w:rsidR="00BE3BC8" w:rsidRPr="003C7CB1">
        <w:rPr>
          <w:rFonts w:eastAsia="Calibri"/>
        </w:rPr>
        <w:t>3</w:t>
      </w:r>
      <w:r w:rsidRPr="003C7CB1">
        <w:rPr>
          <w:rFonts w:eastAsia="Calibri"/>
        </w:rPr>
        <w:t xml:space="preserve">. </w:t>
      </w:r>
      <w:bookmarkEnd w:id="193"/>
      <w:r w:rsidR="00C931D5" w:rsidRPr="003C7CB1">
        <w:rPr>
          <w:rFonts w:eastAsia="Calibri"/>
        </w:rPr>
        <w:t>SOLUTION TREE</w:t>
      </w:r>
      <w:bookmarkEnd w:id="194"/>
    </w:p>
    <w:p w14:paraId="32E57498" w14:textId="03DB4C6D" w:rsidR="00B2702B" w:rsidRPr="003C7CB1" w:rsidRDefault="00C931D5" w:rsidP="00E372B9">
      <w:pPr>
        <w:spacing w:after="120" w:line="240" w:lineRule="auto"/>
        <w:jc w:val="both"/>
        <w:rPr>
          <w:sz w:val="24"/>
          <w:szCs w:val="24"/>
        </w:rPr>
      </w:pPr>
      <w:r w:rsidRPr="003C7CB1">
        <w:rPr>
          <w:sz w:val="24"/>
          <w:szCs w:val="24"/>
        </w:rPr>
        <w:t xml:space="preserve">The analysis of the situation has determined the </w:t>
      </w:r>
      <w:r w:rsidRPr="003C7CB1">
        <w:rPr>
          <w:b/>
          <w:sz w:val="24"/>
          <w:szCs w:val="24"/>
        </w:rPr>
        <w:t>causes of problems</w:t>
      </w:r>
      <w:r w:rsidRPr="003C7CB1">
        <w:rPr>
          <w:sz w:val="24"/>
          <w:szCs w:val="24"/>
        </w:rPr>
        <w:t xml:space="preserve"> in tourism in Montenegro and their consequences</w:t>
      </w:r>
      <w:r w:rsidR="008D369B" w:rsidRPr="003C7CB1">
        <w:rPr>
          <w:sz w:val="24"/>
          <w:szCs w:val="24"/>
        </w:rPr>
        <w:t xml:space="preserve">. </w:t>
      </w:r>
    </w:p>
    <w:p w14:paraId="70A16A76" w14:textId="1AA3D080" w:rsidR="00B2702B" w:rsidRPr="003C7CB1" w:rsidRDefault="00C931D5" w:rsidP="00E372B9">
      <w:pPr>
        <w:spacing w:after="120" w:line="240" w:lineRule="auto"/>
        <w:jc w:val="both"/>
        <w:rPr>
          <w:sz w:val="24"/>
          <w:szCs w:val="24"/>
        </w:rPr>
      </w:pPr>
      <w:r w:rsidRPr="003C7CB1">
        <w:rPr>
          <w:sz w:val="24"/>
          <w:szCs w:val="24"/>
        </w:rPr>
        <w:t xml:space="preserve">Based on the cause-and-effect relationship, the </w:t>
      </w:r>
      <w:r w:rsidRPr="003C7CB1">
        <w:rPr>
          <w:b/>
          <w:sz w:val="24"/>
          <w:szCs w:val="24"/>
        </w:rPr>
        <w:t>key problems</w:t>
      </w:r>
      <w:r w:rsidRPr="003C7CB1">
        <w:rPr>
          <w:sz w:val="24"/>
          <w:szCs w:val="24"/>
        </w:rPr>
        <w:t xml:space="preserve"> in tourism in Montenegro have been defined, namely: seasonality, regional inequality, inadequate quality of service (staff, capacity) and the gray economy</w:t>
      </w:r>
      <w:r w:rsidR="007C7E9B" w:rsidRPr="003C7CB1">
        <w:rPr>
          <w:sz w:val="24"/>
          <w:szCs w:val="24"/>
        </w:rPr>
        <w:t>.</w:t>
      </w:r>
      <w:r w:rsidR="00765B94">
        <w:rPr>
          <w:rFonts w:cs="Arial"/>
          <w:sz w:val="24"/>
          <w:szCs w:val="24"/>
        </w:rPr>
        <w:t xml:space="preserve">                                                                                                   </w:t>
      </w:r>
    </w:p>
    <w:p w14:paraId="29EC1F89" w14:textId="4602F287" w:rsidR="00B2702B" w:rsidRPr="003C7CB1" w:rsidRDefault="00C931D5" w:rsidP="00E372B9">
      <w:pPr>
        <w:spacing w:after="120" w:line="240" w:lineRule="auto"/>
        <w:jc w:val="both"/>
        <w:rPr>
          <w:sz w:val="24"/>
          <w:szCs w:val="24"/>
        </w:rPr>
      </w:pPr>
      <w:r w:rsidRPr="003C7CB1">
        <w:rPr>
          <w:sz w:val="24"/>
          <w:szCs w:val="24"/>
        </w:rPr>
        <w:t>Recognized strategic goal provides an answer to the solution of key problems from the "problem tree", while the causes of the problems are transformed into operational goals that actually represent the answer to the question - through which measures and activities we can solve them (Action Plan). In other words, the operational goals define the direction of development to be monitored and the activities that need to be implemented in the period 2022-2025, in order to achieve the set strategic goal</w:t>
      </w:r>
      <w:r w:rsidR="0011682D" w:rsidRPr="003C7CB1">
        <w:rPr>
          <w:sz w:val="24"/>
          <w:szCs w:val="24"/>
        </w:rPr>
        <w:t>.</w:t>
      </w:r>
    </w:p>
    <w:p w14:paraId="5C6F6219" w14:textId="01F8FC7F" w:rsidR="004F43FF" w:rsidRPr="003C7CB1" w:rsidRDefault="00C931D5" w:rsidP="00E372B9">
      <w:pPr>
        <w:spacing w:after="120" w:line="240" w:lineRule="auto"/>
        <w:jc w:val="both"/>
        <w:rPr>
          <w:sz w:val="24"/>
          <w:szCs w:val="24"/>
        </w:rPr>
      </w:pPr>
      <w:r w:rsidRPr="003C7CB1">
        <w:rPr>
          <w:sz w:val="24"/>
          <w:szCs w:val="24"/>
        </w:rPr>
        <w:t xml:space="preserve">Consequences of the problem (Problem Tree), we interpret as effects (Solution Tree), the </w:t>
      </w:r>
      <w:r w:rsidR="00C65FFD">
        <w:rPr>
          <w:sz w:val="24"/>
          <w:szCs w:val="24"/>
        </w:rPr>
        <w:t>implementation</w:t>
      </w:r>
      <w:r w:rsidRPr="003C7CB1">
        <w:rPr>
          <w:sz w:val="24"/>
          <w:szCs w:val="24"/>
        </w:rPr>
        <w:t xml:space="preserve"> of which is sought in the period 2022-2025.</w:t>
      </w:r>
    </w:p>
    <w:p w14:paraId="38133638" w14:textId="77777777" w:rsidR="0026782E" w:rsidRPr="003C7CB1" w:rsidRDefault="0026782E" w:rsidP="00E372B9">
      <w:pPr>
        <w:spacing w:after="120" w:line="240" w:lineRule="auto"/>
        <w:jc w:val="both"/>
        <w:rPr>
          <w:sz w:val="24"/>
          <w:szCs w:val="24"/>
        </w:rPr>
        <w:sectPr w:rsidR="0026782E" w:rsidRPr="003C7CB1" w:rsidSect="00E0203A">
          <w:footerReference w:type="default" r:id="rId83"/>
          <w:pgSz w:w="11907" w:h="16840" w:code="9"/>
          <w:pgMar w:top="1440" w:right="1440" w:bottom="1440" w:left="1440" w:header="720" w:footer="720" w:gutter="0"/>
          <w:cols w:space="720"/>
          <w:docGrid w:linePitch="360"/>
        </w:sectPr>
      </w:pPr>
    </w:p>
    <w:p w14:paraId="5413D3B7" w14:textId="37EA8985" w:rsidR="005A681F" w:rsidRPr="003C7CB1" w:rsidRDefault="00383845" w:rsidP="005A681F">
      <w:pPr>
        <w:sectPr w:rsidR="005A681F" w:rsidRPr="003C7CB1" w:rsidSect="00E0203A">
          <w:pgSz w:w="16840" w:h="11907" w:orient="landscape" w:code="9"/>
          <w:pgMar w:top="1440" w:right="1440" w:bottom="1440" w:left="1440" w:header="720" w:footer="720" w:gutter="0"/>
          <w:cols w:space="720"/>
          <w:docGrid w:linePitch="360"/>
        </w:sectPr>
      </w:pPr>
      <w:r w:rsidRPr="003C7CB1">
        <w:rPr>
          <w:rFonts w:ascii="Calibri" w:eastAsia="Calibri" w:hAnsi="Calibri" w:cs="Times New Roman"/>
          <w:b/>
          <w:noProof/>
        </w:rPr>
        <w:lastRenderedPageBreak/>
        <mc:AlternateContent>
          <mc:Choice Requires="wps">
            <w:drawing>
              <wp:anchor distT="45720" distB="45720" distL="114300" distR="114300" simplePos="0" relativeHeight="251847168" behindDoc="0" locked="0" layoutInCell="1" allowOverlap="1" wp14:anchorId="3BAA7375" wp14:editId="749FA967">
                <wp:simplePos x="0" y="0"/>
                <wp:positionH relativeFrom="column">
                  <wp:posOffset>3571875</wp:posOffset>
                </wp:positionH>
                <wp:positionV relativeFrom="paragraph">
                  <wp:posOffset>4391025</wp:posOffset>
                </wp:positionV>
                <wp:extent cx="704850" cy="1404620"/>
                <wp:effectExtent l="0" t="0" r="19050" b="24765"/>
                <wp:wrapSquare wrapText="bothSides"/>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solidFill>
                          <a:schemeClr val="accent6">
                            <a:lumMod val="40000"/>
                            <a:lumOff val="60000"/>
                          </a:schemeClr>
                        </a:solidFill>
                        <a:ln w="9525">
                          <a:solidFill>
                            <a:srgbClr val="000000"/>
                          </a:solidFill>
                          <a:miter lim="800000"/>
                          <a:headEnd/>
                          <a:tailEnd/>
                        </a:ln>
                      </wps:spPr>
                      <wps:txbx>
                        <w:txbxContent>
                          <w:p w14:paraId="23F2A329" w14:textId="00E0F177" w:rsidR="00193646" w:rsidRPr="00383845" w:rsidRDefault="00193646">
                            <w:pPr>
                              <w:rPr>
                                <w:sz w:val="14"/>
                              </w:rPr>
                            </w:pPr>
                            <w:r w:rsidRPr="00383845">
                              <w:rPr>
                                <w:sz w:val="14"/>
                              </w:rPr>
                              <w:t>LACK OF STRATEGICALLY GUIDED DESTINATION MARKETING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A7375" id="_x0000_t202" coordsize="21600,21600" o:spt="202" path="m,l,21600r21600,l21600,xe">
                <v:stroke joinstyle="miter"/>
                <v:path gradientshapeok="t" o:connecttype="rect"/>
              </v:shapetype>
              <v:shape id="Text Box 2" o:spid="_x0000_s1048" type="#_x0000_t202" style="position:absolute;margin-left:281.25pt;margin-top:345.75pt;width:55.5pt;height:110.6pt;z-index:251847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" fillcolor="#c5e0b3 [1305]">
                <v:textbox style="mso-fit-shape-to-text:t">
                  <w:txbxContent>
                    <w:p w14:paraId="23F2A329" w14:textId="00E0F177" w:rsidR="00193646" w:rsidRPr="00383845" w:rsidRDefault="00193646">
                      <w:pPr>
                        <w:rPr>
                          <w:sz w:val="14"/>
                        </w:rPr>
                      </w:pPr>
                      <w:r w:rsidRPr="00383845">
                        <w:rPr>
                          <w:sz w:val="14"/>
                        </w:rPr>
                        <w:t>LACK OF STRATEGICALLY GUIDED DESTINATION MARKETING</w:t>
                      </w:r>
                    </w:p>
                  </w:txbxContent>
                </v:textbox>
                <w10:wrap type="square"/>
              </v:shape>
            </w:pict>
          </mc:Fallback>
        </mc:AlternateContent>
      </w:r>
      <w:r w:rsidRPr="003C7CB1">
        <w:rPr>
          <w:rFonts w:ascii="Calibri" w:eastAsia="Calibri" w:hAnsi="Calibri" w:cs="Times New Roman"/>
          <w:b/>
          <w:noProof/>
        </w:rPr>
        <mc:AlternateContent>
          <mc:Choice Requires="wps">
            <w:drawing>
              <wp:anchor distT="45720" distB="45720" distL="114300" distR="114300" simplePos="0" relativeHeight="251845120" behindDoc="0" locked="0" layoutInCell="1" allowOverlap="1" wp14:anchorId="09943334" wp14:editId="5B69099C">
                <wp:simplePos x="0" y="0"/>
                <wp:positionH relativeFrom="column">
                  <wp:posOffset>2724150</wp:posOffset>
                </wp:positionH>
                <wp:positionV relativeFrom="paragraph">
                  <wp:posOffset>5233670</wp:posOffset>
                </wp:positionV>
                <wp:extent cx="1038225" cy="476250"/>
                <wp:effectExtent l="0" t="0" r="28575" b="19050"/>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76250"/>
                        </a:xfrm>
                        <a:prstGeom prst="rect">
                          <a:avLst/>
                        </a:prstGeom>
                        <a:solidFill>
                          <a:schemeClr val="accent6">
                            <a:lumMod val="40000"/>
                            <a:lumOff val="60000"/>
                          </a:schemeClr>
                        </a:solidFill>
                        <a:ln w="9525">
                          <a:solidFill>
                            <a:srgbClr val="000000"/>
                          </a:solidFill>
                          <a:miter lim="800000"/>
                          <a:headEnd/>
                          <a:tailEnd/>
                        </a:ln>
                      </wps:spPr>
                      <wps:txbx>
                        <w:txbxContent>
                          <w:p w14:paraId="4F9AD18D" w14:textId="0F16793A" w:rsidR="00193646" w:rsidRPr="00383845" w:rsidRDefault="00193646">
                            <w:pPr>
                              <w:rPr>
                                <w:sz w:val="14"/>
                              </w:rPr>
                            </w:pPr>
                            <w:r w:rsidRPr="00383845">
                              <w:rPr>
                                <w:sz w:val="14"/>
                              </w:rPr>
                              <w:t>UNDEVELOPED INFRA AND SUPRA 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43334" id="_x0000_s1049" type="#_x0000_t202" style="position:absolute;margin-left:214.5pt;margin-top:412.1pt;width:81.75pt;height:37.5pt;z-index:25184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" fillcolor="#c5e0b3 [1305]">
                <v:textbox>
                  <w:txbxContent>
                    <w:p w14:paraId="4F9AD18D" w14:textId="0F16793A" w:rsidR="00193646" w:rsidRPr="00383845" w:rsidRDefault="00193646">
                      <w:pPr>
                        <w:rPr>
                          <w:sz w:val="14"/>
                        </w:rPr>
                      </w:pPr>
                      <w:r w:rsidRPr="00383845">
                        <w:rPr>
                          <w:sz w:val="14"/>
                        </w:rPr>
                        <w:t>UNDEVELOPED INFRA AND SUPRA STRUCTURE</w:t>
                      </w:r>
                    </w:p>
                  </w:txbxContent>
                </v:textbox>
                <w10:wrap type="square"/>
              </v:shape>
            </w:pict>
          </mc:Fallback>
        </mc:AlternateContent>
      </w:r>
      <w:r w:rsidRPr="003C7CB1">
        <w:rPr>
          <w:rFonts w:ascii="Calibri" w:eastAsia="Calibri" w:hAnsi="Calibri" w:cs="Times New Roman"/>
          <w:b/>
          <w:noProof/>
        </w:rPr>
        <mc:AlternateContent>
          <mc:Choice Requires="wps">
            <w:drawing>
              <wp:anchor distT="45720" distB="45720" distL="114300" distR="114300" simplePos="0" relativeHeight="251843072" behindDoc="0" locked="0" layoutInCell="1" allowOverlap="1" wp14:anchorId="1B549E13" wp14:editId="3BD9453A">
                <wp:simplePos x="0" y="0"/>
                <wp:positionH relativeFrom="column">
                  <wp:posOffset>2733675</wp:posOffset>
                </wp:positionH>
                <wp:positionV relativeFrom="paragraph">
                  <wp:posOffset>4394835</wp:posOffset>
                </wp:positionV>
                <wp:extent cx="790575" cy="1404620"/>
                <wp:effectExtent l="0" t="0" r="28575" b="19050"/>
                <wp:wrapSquare wrapText="bothSides"/>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4620"/>
                        </a:xfrm>
                        <a:prstGeom prst="rect">
                          <a:avLst/>
                        </a:prstGeom>
                        <a:solidFill>
                          <a:schemeClr val="accent6">
                            <a:lumMod val="40000"/>
                            <a:lumOff val="60000"/>
                          </a:schemeClr>
                        </a:solidFill>
                        <a:ln w="9525">
                          <a:solidFill>
                            <a:srgbClr val="000000"/>
                          </a:solidFill>
                          <a:miter lim="800000"/>
                          <a:headEnd/>
                          <a:tailEnd/>
                        </a:ln>
                      </wps:spPr>
                      <wps:txbx>
                        <w:txbxContent>
                          <w:p w14:paraId="30C6DEA9" w14:textId="3B61AA1F" w:rsidR="00193646" w:rsidRPr="00383845" w:rsidRDefault="00193646">
                            <w:pPr>
                              <w:rPr>
                                <w:sz w:val="12"/>
                              </w:rPr>
                            </w:pPr>
                            <w:r w:rsidRPr="00383845">
                              <w:rPr>
                                <w:sz w:val="12"/>
                              </w:rPr>
                              <w:t>INADEQUATE LEGISLATION, SYSTEM FAILURES, INSPECTION CAPACITIES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49E13" id="_x0000_s1050" type="#_x0000_t202" style="position:absolute;margin-left:215.25pt;margin-top:346.05pt;width:62.25pt;height:110.6pt;z-index:251843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" fillcolor="#c5e0b3 [1305]">
                <v:textbox style="mso-fit-shape-to-text:t">
                  <w:txbxContent>
                    <w:p w14:paraId="30C6DEA9" w14:textId="3B61AA1F" w:rsidR="00193646" w:rsidRPr="00383845" w:rsidRDefault="00193646">
                      <w:pPr>
                        <w:rPr>
                          <w:sz w:val="12"/>
                        </w:rPr>
                      </w:pPr>
                      <w:r w:rsidRPr="00383845">
                        <w:rPr>
                          <w:sz w:val="12"/>
                        </w:rPr>
                        <w:t>INADEQUATE LEGISLATION, SYSTEM FAILURES, INSPECTION CAPACITIES</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41024" behindDoc="0" locked="0" layoutInCell="1" allowOverlap="1" wp14:anchorId="1FC28331" wp14:editId="5AD092F7">
                <wp:simplePos x="0" y="0"/>
                <wp:positionH relativeFrom="column">
                  <wp:posOffset>1866900</wp:posOffset>
                </wp:positionH>
                <wp:positionV relativeFrom="paragraph">
                  <wp:posOffset>4354830</wp:posOffset>
                </wp:positionV>
                <wp:extent cx="762000" cy="1404620"/>
                <wp:effectExtent l="0" t="0" r="19050" b="1016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4620"/>
                        </a:xfrm>
                        <a:prstGeom prst="rect">
                          <a:avLst/>
                        </a:prstGeom>
                        <a:solidFill>
                          <a:schemeClr val="accent6">
                            <a:lumMod val="40000"/>
                            <a:lumOff val="60000"/>
                          </a:schemeClr>
                        </a:solidFill>
                        <a:ln w="9525">
                          <a:solidFill>
                            <a:srgbClr val="000000"/>
                          </a:solidFill>
                          <a:miter lim="800000"/>
                          <a:headEnd/>
                          <a:tailEnd/>
                        </a:ln>
                      </wps:spPr>
                      <wps:txbx>
                        <w:txbxContent>
                          <w:p w14:paraId="3036B1F1" w14:textId="1CA80AD0" w:rsidR="00193646" w:rsidRPr="006A417D" w:rsidRDefault="00193646" w:rsidP="006A417D">
                            <w:pPr>
                              <w:rPr>
                                <w:sz w:val="12"/>
                              </w:rPr>
                            </w:pPr>
                            <w:r w:rsidRPr="006A417D">
                              <w:rPr>
                                <w:sz w:val="12"/>
                              </w:rPr>
                              <w:t>INSUFFICIENT ECOLOGICAL AWARENESS (ENDANGERING NATURAL RESOURCES, INADEQUATE WASTE MANAGEMENT)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28331" id="_x0000_s1051" type="#_x0000_t202" style="position:absolute;margin-left:147pt;margin-top:342.9pt;width:60pt;height:110.6pt;z-index:251841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" fillcolor="#c5e0b3 [1305]">
                <v:textbox style="mso-fit-shape-to-text:t">
                  <w:txbxContent>
                    <w:p w14:paraId="3036B1F1" w14:textId="1CA80AD0" w:rsidR="00193646" w:rsidRPr="006A417D" w:rsidRDefault="00193646" w:rsidP="006A417D">
                      <w:pPr>
                        <w:rPr>
                          <w:sz w:val="12"/>
                        </w:rPr>
                      </w:pPr>
                      <w:r w:rsidRPr="006A417D">
                        <w:rPr>
                          <w:sz w:val="12"/>
                        </w:rPr>
                        <w:t>INSUFFICIENT ECOLOGICAL AWARENESS (ENDANGERING NATURAL RESOURCES, INADEQUATE WASTE MANAGEMENT)</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38976" behindDoc="0" locked="0" layoutInCell="1" allowOverlap="1" wp14:anchorId="2C5B3A94" wp14:editId="0304A3AF">
                <wp:simplePos x="0" y="0"/>
                <wp:positionH relativeFrom="column">
                  <wp:posOffset>1066800</wp:posOffset>
                </wp:positionH>
                <wp:positionV relativeFrom="paragraph">
                  <wp:posOffset>5077460</wp:posOffset>
                </wp:positionV>
                <wp:extent cx="762000" cy="561975"/>
                <wp:effectExtent l="0" t="0" r="19050" b="28575"/>
                <wp:wrapSquare wrapText="bothSides"/>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61975"/>
                        </a:xfrm>
                        <a:prstGeom prst="rect">
                          <a:avLst/>
                        </a:prstGeom>
                        <a:solidFill>
                          <a:schemeClr val="accent6">
                            <a:lumMod val="40000"/>
                            <a:lumOff val="60000"/>
                          </a:schemeClr>
                        </a:solidFill>
                        <a:ln w="9525">
                          <a:solidFill>
                            <a:srgbClr val="000000"/>
                          </a:solidFill>
                          <a:miter lim="800000"/>
                          <a:headEnd/>
                          <a:tailEnd/>
                        </a:ln>
                      </wps:spPr>
                      <wps:txbx>
                        <w:txbxContent>
                          <w:p w14:paraId="55682A5F" w14:textId="0DDC14D6" w:rsidR="00193646" w:rsidRPr="006A417D" w:rsidRDefault="00193646">
                            <w:pPr>
                              <w:rPr>
                                <w:sz w:val="12"/>
                              </w:rPr>
                            </w:pPr>
                            <w:r w:rsidRPr="006A417D">
                              <w:rPr>
                                <w:sz w:val="12"/>
                              </w:rPr>
                              <w:t>LOW LEVEL OF AWARENESS OF THE IMPORTANCE OF TOURISM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B3A94" id="_x0000_s1052" type="#_x0000_t202" style="position:absolute;margin-left:84pt;margin-top:399.8pt;width:60pt;height:44.25pt;z-index:25183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" fillcolor="#c5e0b3 [1305]">
                <v:textbox>
                  <w:txbxContent>
                    <w:p w14:paraId="55682A5F" w14:textId="0DDC14D6" w:rsidR="00193646" w:rsidRPr="006A417D" w:rsidRDefault="00193646">
                      <w:pPr>
                        <w:rPr>
                          <w:sz w:val="12"/>
                        </w:rPr>
                      </w:pPr>
                      <w:r w:rsidRPr="006A417D">
                        <w:rPr>
                          <w:sz w:val="12"/>
                        </w:rPr>
                        <w:t>LOW LEVEL OF AWARENESS OF THE IMPORTANCE OF TOURISM</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36928" behindDoc="0" locked="0" layoutInCell="1" allowOverlap="1" wp14:anchorId="1B02763B" wp14:editId="11DD555C">
                <wp:simplePos x="0" y="0"/>
                <wp:positionH relativeFrom="column">
                  <wp:posOffset>857250</wp:posOffset>
                </wp:positionH>
                <wp:positionV relativeFrom="paragraph">
                  <wp:posOffset>4345305</wp:posOffset>
                </wp:positionV>
                <wp:extent cx="923925" cy="657225"/>
                <wp:effectExtent l="0" t="0" r="28575" b="28575"/>
                <wp:wrapSquare wrapText="bothSides"/>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657225"/>
                        </a:xfrm>
                        <a:prstGeom prst="rect">
                          <a:avLst/>
                        </a:prstGeom>
                        <a:solidFill>
                          <a:schemeClr val="accent6">
                            <a:lumMod val="40000"/>
                            <a:lumOff val="60000"/>
                          </a:schemeClr>
                        </a:solidFill>
                        <a:ln w="9525">
                          <a:solidFill>
                            <a:srgbClr val="000000"/>
                          </a:solidFill>
                          <a:miter lim="800000"/>
                          <a:headEnd/>
                          <a:tailEnd/>
                        </a:ln>
                      </wps:spPr>
                      <wps:txbx>
                        <w:txbxContent>
                          <w:p w14:paraId="7B5A45FD" w14:textId="205D5383" w:rsidR="00193646" w:rsidRPr="006A417D" w:rsidRDefault="00193646">
                            <w:pPr>
                              <w:rPr>
                                <w:sz w:val="16"/>
                              </w:rPr>
                            </w:pPr>
                            <w:r w:rsidRPr="006A417D">
                              <w:rPr>
                                <w:sz w:val="16"/>
                              </w:rPr>
                              <w:t>LACK OF INNOVATIVE TECHNOLOGICAL SOLUTIONS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2763B" id="_x0000_s1053" type="#_x0000_t202" style="position:absolute;margin-left:67.5pt;margin-top:342.15pt;width:72.75pt;height:51.75pt;z-index:25183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" fillcolor="#c5e0b3 [1305]">
                <v:textbox>
                  <w:txbxContent>
                    <w:p w14:paraId="7B5A45FD" w14:textId="205D5383" w:rsidR="00193646" w:rsidRPr="006A417D" w:rsidRDefault="00193646">
                      <w:pPr>
                        <w:rPr>
                          <w:sz w:val="16"/>
                        </w:rPr>
                      </w:pPr>
                      <w:r w:rsidRPr="006A417D">
                        <w:rPr>
                          <w:sz w:val="16"/>
                        </w:rPr>
                        <w:t>LACK OF INNOVATIVE TECHNOLOGICAL SOLUTIONS</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34880" behindDoc="0" locked="0" layoutInCell="1" allowOverlap="1" wp14:anchorId="01AD269E" wp14:editId="30D74847">
                <wp:simplePos x="0" y="0"/>
                <wp:positionH relativeFrom="column">
                  <wp:posOffset>2657475</wp:posOffset>
                </wp:positionH>
                <wp:positionV relativeFrom="paragraph">
                  <wp:posOffset>3752850</wp:posOffset>
                </wp:positionV>
                <wp:extent cx="1104900" cy="1404620"/>
                <wp:effectExtent l="0" t="0" r="19050" b="2667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solidFill>
                          <a:schemeClr val="accent6">
                            <a:lumMod val="40000"/>
                            <a:lumOff val="60000"/>
                          </a:schemeClr>
                        </a:solidFill>
                        <a:ln w="9525">
                          <a:solidFill>
                            <a:srgbClr val="000000"/>
                          </a:solidFill>
                          <a:miter lim="800000"/>
                          <a:headEnd/>
                          <a:tailEnd/>
                        </a:ln>
                      </wps:spPr>
                      <wps:txbx>
                        <w:txbxContent>
                          <w:p w14:paraId="4F697C80" w14:textId="20C77870" w:rsidR="00193646" w:rsidRPr="006A417D" w:rsidRDefault="00193646">
                            <w:pPr>
                              <w:rPr>
                                <w:sz w:val="14"/>
                              </w:rPr>
                            </w:pPr>
                            <w:r w:rsidRPr="006A417D">
                              <w:rPr>
                                <w:sz w:val="14"/>
                              </w:rPr>
                              <w:t>LACK OF QUALITY STAFF, EDUCATION, TRAINING AND DUAL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AD269E" id="_x0000_s1054" type="#_x0000_t202" style="position:absolute;margin-left:209.25pt;margin-top:295.5pt;width:87pt;height:110.6pt;z-index:251834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" fillcolor="#c5e0b3 [1305]">
                <v:textbox style="mso-fit-shape-to-text:t">
                  <w:txbxContent>
                    <w:p w14:paraId="4F697C80" w14:textId="20C77870" w:rsidR="00193646" w:rsidRPr="006A417D" w:rsidRDefault="00193646">
                      <w:pPr>
                        <w:rPr>
                          <w:sz w:val="14"/>
                        </w:rPr>
                      </w:pPr>
                      <w:r w:rsidRPr="006A417D">
                        <w:rPr>
                          <w:sz w:val="14"/>
                        </w:rPr>
                        <w:t>LACK OF QUALITY STAFF, EDUCATION, TRAINING AND DUAL EDUCATION</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32832" behindDoc="0" locked="0" layoutInCell="1" allowOverlap="1" wp14:anchorId="19F57EBF" wp14:editId="0C5CF223">
                <wp:simplePos x="0" y="0"/>
                <wp:positionH relativeFrom="column">
                  <wp:posOffset>1743075</wp:posOffset>
                </wp:positionH>
                <wp:positionV relativeFrom="paragraph">
                  <wp:posOffset>3810000</wp:posOffset>
                </wp:positionV>
                <wp:extent cx="809625" cy="514350"/>
                <wp:effectExtent l="0" t="0" r="28575" b="19050"/>
                <wp:wrapSquare wrapText="bothSides"/>
                <wp:docPr id="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514350"/>
                        </a:xfrm>
                        <a:prstGeom prst="rect">
                          <a:avLst/>
                        </a:prstGeom>
                        <a:solidFill>
                          <a:schemeClr val="accent6">
                            <a:lumMod val="40000"/>
                            <a:lumOff val="60000"/>
                          </a:schemeClr>
                        </a:solidFill>
                        <a:ln w="9525">
                          <a:solidFill>
                            <a:srgbClr val="000000"/>
                          </a:solidFill>
                          <a:miter lim="800000"/>
                          <a:headEnd/>
                          <a:tailEnd/>
                        </a:ln>
                      </wps:spPr>
                      <wps:txbx>
                        <w:txbxContent>
                          <w:p w14:paraId="4A000B61" w14:textId="20C86200" w:rsidR="00193646" w:rsidRPr="006A417D" w:rsidRDefault="00193646">
                            <w:pPr>
                              <w:rPr>
                                <w:sz w:val="12"/>
                              </w:rPr>
                            </w:pPr>
                            <w:r w:rsidRPr="006A417D">
                              <w:rPr>
                                <w:sz w:val="12"/>
                              </w:rPr>
                              <w:t>INSUFFICIENTLY DIVERSIFIED TOURIST PRODUCT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57EBF" id="_x0000_s1055" type="#_x0000_t202" style="position:absolute;margin-left:137.25pt;margin-top:300pt;width:63.75pt;height:40.5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" fillcolor="#c5e0b3 [1305]">
                <v:textbox>
                  <w:txbxContent>
                    <w:p w14:paraId="4A000B61" w14:textId="20C86200" w:rsidR="00193646" w:rsidRPr="006A417D" w:rsidRDefault="00193646">
                      <w:pPr>
                        <w:rPr>
                          <w:sz w:val="12"/>
                        </w:rPr>
                      </w:pPr>
                      <w:r w:rsidRPr="006A417D">
                        <w:rPr>
                          <w:sz w:val="12"/>
                        </w:rPr>
                        <w:t>INSUFFICIENTLY DIVERSIFIED TOURIST PRODUCT</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30784" behindDoc="0" locked="0" layoutInCell="1" allowOverlap="1" wp14:anchorId="70BAF14F" wp14:editId="6E044CE0">
                <wp:simplePos x="0" y="0"/>
                <wp:positionH relativeFrom="column">
                  <wp:posOffset>895350</wp:posOffset>
                </wp:positionH>
                <wp:positionV relativeFrom="paragraph">
                  <wp:posOffset>3752850</wp:posOffset>
                </wp:positionV>
                <wp:extent cx="762000" cy="514350"/>
                <wp:effectExtent l="0" t="0" r="19050" b="19050"/>
                <wp:wrapSquare wrapText="bothSides"/>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14350"/>
                        </a:xfrm>
                        <a:prstGeom prst="rect">
                          <a:avLst/>
                        </a:prstGeom>
                        <a:solidFill>
                          <a:schemeClr val="accent6">
                            <a:lumMod val="40000"/>
                            <a:lumOff val="60000"/>
                          </a:schemeClr>
                        </a:solidFill>
                        <a:ln w="9525">
                          <a:solidFill>
                            <a:srgbClr val="000000"/>
                          </a:solidFill>
                          <a:miter lim="800000"/>
                          <a:headEnd/>
                          <a:tailEnd/>
                        </a:ln>
                      </wps:spPr>
                      <wps:txbx>
                        <w:txbxContent>
                          <w:p w14:paraId="622E88BA" w14:textId="65888CCC" w:rsidR="00193646" w:rsidRPr="006A417D" w:rsidRDefault="00193646">
                            <w:pPr>
                              <w:rPr>
                                <w:sz w:val="16"/>
                              </w:rPr>
                            </w:pPr>
                            <w:r w:rsidRPr="006A417D">
                              <w:rPr>
                                <w:sz w:val="16"/>
                              </w:rPr>
                              <w:t>ECONOMIC REGIONAL INEQUALITY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AF14F" id="_x0000_s1056" type="#_x0000_t202" style="position:absolute;margin-left:70.5pt;margin-top:295.5pt;width:60pt;height:40.5pt;z-index:2518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" fillcolor="#c5e0b3 [1305]">
                <v:textbox>
                  <w:txbxContent>
                    <w:p w14:paraId="622E88BA" w14:textId="65888CCC" w:rsidR="00193646" w:rsidRPr="006A417D" w:rsidRDefault="00193646">
                      <w:pPr>
                        <w:rPr>
                          <w:sz w:val="16"/>
                        </w:rPr>
                      </w:pPr>
                      <w:r w:rsidRPr="006A417D">
                        <w:rPr>
                          <w:sz w:val="16"/>
                        </w:rPr>
                        <w:t>ECONOMIC REGIONAL INEQUALITY</w:t>
                      </w:r>
                    </w:p>
                  </w:txbxContent>
                </v:textbox>
                <w10:wrap type="square"/>
              </v:shape>
            </w:pict>
          </mc:Fallback>
        </mc:AlternateContent>
      </w:r>
      <w:r w:rsidR="006A417D" w:rsidRPr="003C7CB1">
        <w:rPr>
          <w:rFonts w:ascii="Calibri" w:eastAsia="Calibri" w:hAnsi="Calibri" w:cs="Times New Roman"/>
          <w:b/>
          <w:noProof/>
        </w:rPr>
        <mc:AlternateContent>
          <mc:Choice Requires="wps">
            <w:drawing>
              <wp:anchor distT="45720" distB="45720" distL="114300" distR="114300" simplePos="0" relativeHeight="251826688" behindDoc="0" locked="0" layoutInCell="1" allowOverlap="1" wp14:anchorId="6A39506D" wp14:editId="477DADDB">
                <wp:simplePos x="0" y="0"/>
                <wp:positionH relativeFrom="column">
                  <wp:posOffset>1247775</wp:posOffset>
                </wp:positionH>
                <wp:positionV relativeFrom="paragraph">
                  <wp:posOffset>2783205</wp:posOffset>
                </wp:positionV>
                <wp:extent cx="2333625" cy="1404620"/>
                <wp:effectExtent l="0" t="0" r="28575" b="15240"/>
                <wp:wrapSquare wrapText="bothSides"/>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4620"/>
                        </a:xfrm>
                        <a:prstGeom prst="rect">
                          <a:avLst/>
                        </a:prstGeom>
                        <a:solidFill>
                          <a:schemeClr val="bg2"/>
                        </a:solidFill>
                        <a:ln w="9525">
                          <a:solidFill>
                            <a:srgbClr val="000000"/>
                          </a:solidFill>
                          <a:miter lim="800000"/>
                          <a:headEnd/>
                          <a:tailEnd/>
                        </a:ln>
                      </wps:spPr>
                      <wps:txbx>
                        <w:txbxContent>
                          <w:p w14:paraId="4199EF05" w14:textId="3D16C6A3" w:rsidR="00193646" w:rsidRPr="00435682" w:rsidRDefault="00193646">
                            <w:pPr>
                              <w:rPr>
                                <w:sz w:val="18"/>
                              </w:rPr>
                            </w:pPr>
                            <w:r w:rsidRPr="00435682">
                              <w:rPr>
                                <w:sz w:val="18"/>
                              </w:rPr>
                              <w:t>SEASONALITY, REGIONAL INEQUALITY, INADEQUATE QUALITY OF SERVICE (STAFF, CAPACITY) AND THE GRAY ECONOMY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39506D" id="_x0000_s1057" type="#_x0000_t202" style="position:absolute;margin-left:98.25pt;margin-top:219.15pt;width:183.75pt;height:110.6pt;z-index:251826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" fillcolor="#e7e6e6 [3214]">
                <v:textbox style="mso-fit-shape-to-text:t">
                  <w:txbxContent>
                    <w:p w14:paraId="4199EF05" w14:textId="3D16C6A3" w:rsidR="00193646" w:rsidRPr="00435682" w:rsidRDefault="00193646">
                      <w:pPr>
                        <w:rPr>
                          <w:sz w:val="18"/>
                        </w:rPr>
                      </w:pPr>
                      <w:r w:rsidRPr="00435682">
                        <w:rPr>
                          <w:sz w:val="18"/>
                        </w:rPr>
                        <w:t>SEASONALITY, REGIONAL INEQUALITY, INADEQUATE QUALITY OF SERVICE (STAFF, CAPACITY) AND THE GRAY ECONOMY</w:t>
                      </w:r>
                    </w:p>
                  </w:txbxContent>
                </v:textbox>
                <w10:wrap type="square"/>
              </v:shape>
            </w:pict>
          </mc:Fallback>
        </mc:AlternateContent>
      </w:r>
      <w:r w:rsidR="00435682" w:rsidRPr="003C7CB1">
        <w:rPr>
          <w:rFonts w:ascii="Calibri" w:eastAsia="Calibri" w:hAnsi="Calibri" w:cs="Times New Roman"/>
          <w:b/>
          <w:noProof/>
        </w:rPr>
        <mc:AlternateContent>
          <mc:Choice Requires="wps">
            <w:drawing>
              <wp:anchor distT="45720" distB="45720" distL="114300" distR="114300" simplePos="0" relativeHeight="251828736" behindDoc="0" locked="0" layoutInCell="1" allowOverlap="1" wp14:anchorId="745FBFCF" wp14:editId="3B1C0AAC">
                <wp:simplePos x="0" y="0"/>
                <wp:positionH relativeFrom="column">
                  <wp:posOffset>-76200</wp:posOffset>
                </wp:positionH>
                <wp:positionV relativeFrom="paragraph">
                  <wp:posOffset>4267200</wp:posOffset>
                </wp:positionV>
                <wp:extent cx="781050" cy="371475"/>
                <wp:effectExtent l="0" t="0" r="19050" b="28575"/>
                <wp:wrapSquare wrapText="bothSides"/>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71475"/>
                        </a:xfrm>
                        <a:prstGeom prst="rect">
                          <a:avLst/>
                        </a:prstGeom>
                        <a:solidFill>
                          <a:schemeClr val="accent4">
                            <a:lumMod val="40000"/>
                            <a:lumOff val="60000"/>
                          </a:schemeClr>
                        </a:solidFill>
                        <a:ln w="9525">
                          <a:solidFill>
                            <a:srgbClr val="000000"/>
                          </a:solidFill>
                          <a:miter lim="800000"/>
                          <a:headEnd/>
                          <a:tailEnd/>
                        </a:ln>
                      </wps:spPr>
                      <wps:txbx>
                        <w:txbxContent>
                          <w:p w14:paraId="1EEFB28E" w14:textId="3AFCBD66" w:rsidR="00193646" w:rsidRPr="00435682" w:rsidRDefault="00193646">
                            <w:pPr>
                              <w:rPr>
                                <w:sz w:val="18"/>
                              </w:rPr>
                            </w:pPr>
                            <w:r w:rsidRPr="00435682">
                              <w:rPr>
                                <w:sz w:val="18"/>
                              </w:rPr>
                              <w:t>CAUSES OF PROBLEMS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FBFCF" id="_x0000_s1058" type="#_x0000_t202" style="position:absolute;margin-left:-6pt;margin-top:336pt;width:61.5pt;height:29.25pt;z-index:25182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" fillcolor="#ffe599 [1303]">
                <v:textbox>
                  <w:txbxContent>
                    <w:p w14:paraId="1EEFB28E" w14:textId="3AFCBD66" w:rsidR="00193646" w:rsidRPr="00435682" w:rsidRDefault="00193646">
                      <w:pPr>
                        <w:rPr>
                          <w:sz w:val="18"/>
                        </w:rPr>
                      </w:pPr>
                      <w:r w:rsidRPr="00435682">
                        <w:rPr>
                          <w:sz w:val="18"/>
                        </w:rPr>
                        <w:t>CAUSES OF PROBLEMS</w:t>
                      </w:r>
                    </w:p>
                  </w:txbxContent>
                </v:textbox>
                <w10:wrap type="square"/>
              </v:shape>
            </w:pict>
          </mc:Fallback>
        </mc:AlternateContent>
      </w:r>
      <w:r w:rsidR="00435682" w:rsidRPr="003C7CB1">
        <w:rPr>
          <w:rFonts w:ascii="Calibri" w:eastAsia="Calibri" w:hAnsi="Calibri" w:cs="Times New Roman"/>
          <w:b/>
          <w:noProof/>
        </w:rPr>
        <mc:AlternateContent>
          <mc:Choice Requires="wps">
            <w:drawing>
              <wp:anchor distT="45720" distB="45720" distL="114300" distR="114300" simplePos="0" relativeHeight="251824640" behindDoc="0" locked="0" layoutInCell="1" allowOverlap="1" wp14:anchorId="03AD8A06" wp14:editId="15DE3B5B">
                <wp:simplePos x="0" y="0"/>
                <wp:positionH relativeFrom="column">
                  <wp:posOffset>-28575</wp:posOffset>
                </wp:positionH>
                <wp:positionV relativeFrom="paragraph">
                  <wp:posOffset>2828925</wp:posOffset>
                </wp:positionV>
                <wp:extent cx="923925" cy="1404620"/>
                <wp:effectExtent l="0" t="0" r="28575" b="12065"/>
                <wp:wrapSquare wrapText="bothSides"/>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chemeClr val="accent4">
                            <a:lumMod val="40000"/>
                            <a:lumOff val="60000"/>
                          </a:schemeClr>
                        </a:solidFill>
                        <a:ln w="9525">
                          <a:solidFill>
                            <a:srgbClr val="000000"/>
                          </a:solidFill>
                          <a:miter lim="800000"/>
                          <a:headEnd/>
                          <a:tailEnd/>
                        </a:ln>
                      </wps:spPr>
                      <wps:txbx>
                        <w:txbxContent>
                          <w:p w14:paraId="5CF336AC" w14:textId="275304F9" w:rsidR="00193646" w:rsidRPr="00435682" w:rsidRDefault="00193646">
                            <w:pPr>
                              <w:rPr>
                                <w:sz w:val="18"/>
                              </w:rPr>
                            </w:pPr>
                            <w:r w:rsidRPr="00435682">
                              <w:rPr>
                                <w:sz w:val="18"/>
                              </w:rPr>
                              <w:t>KEY PROBLEMS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AD8A06" id="_x0000_s1059" type="#_x0000_t202" style="position:absolute;margin-left:-2.25pt;margin-top:222.75pt;width:72.75pt;height:110.6pt;z-index:251824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" fillcolor="#ffe599 [1303]">
                <v:textbox style="mso-fit-shape-to-text:t">
                  <w:txbxContent>
                    <w:p w14:paraId="5CF336AC" w14:textId="275304F9" w:rsidR="00193646" w:rsidRPr="00435682" w:rsidRDefault="00193646">
                      <w:pPr>
                        <w:rPr>
                          <w:sz w:val="18"/>
                        </w:rPr>
                      </w:pPr>
                      <w:r w:rsidRPr="00435682">
                        <w:rPr>
                          <w:sz w:val="18"/>
                        </w:rPr>
                        <w:t>KEY PROBLEMS</w:t>
                      </w:r>
                    </w:p>
                  </w:txbxContent>
                </v:textbox>
                <w10:wrap type="square"/>
              </v:shape>
            </w:pict>
          </mc:Fallback>
        </mc:AlternateContent>
      </w:r>
      <w:r w:rsidR="00435682" w:rsidRPr="003C7CB1">
        <w:rPr>
          <w:rFonts w:ascii="Calibri" w:eastAsia="Calibri" w:hAnsi="Calibri" w:cs="Times New Roman"/>
          <w:b/>
          <w:noProof/>
        </w:rPr>
        <mc:AlternateContent>
          <mc:Choice Requires="wps">
            <w:drawing>
              <wp:anchor distT="45720" distB="45720" distL="114300" distR="114300" simplePos="0" relativeHeight="251822592" behindDoc="0" locked="0" layoutInCell="1" allowOverlap="1" wp14:anchorId="7FCE73AC" wp14:editId="7DF85840">
                <wp:simplePos x="0" y="0"/>
                <wp:positionH relativeFrom="column">
                  <wp:posOffset>1000125</wp:posOffset>
                </wp:positionH>
                <wp:positionV relativeFrom="paragraph">
                  <wp:posOffset>1866900</wp:posOffset>
                </wp:positionV>
                <wp:extent cx="962025" cy="561975"/>
                <wp:effectExtent l="0" t="0" r="28575" b="28575"/>
                <wp:wrapSquare wrapText="bothSides"/>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561975"/>
                        </a:xfrm>
                        <a:prstGeom prst="rect">
                          <a:avLst/>
                        </a:prstGeom>
                        <a:solidFill>
                          <a:schemeClr val="accent1">
                            <a:lumMod val="20000"/>
                            <a:lumOff val="80000"/>
                          </a:schemeClr>
                        </a:solidFill>
                        <a:ln w="9525">
                          <a:solidFill>
                            <a:srgbClr val="000000"/>
                          </a:solidFill>
                          <a:miter lim="800000"/>
                          <a:headEnd/>
                          <a:tailEnd/>
                        </a:ln>
                      </wps:spPr>
                      <wps:txbx>
                        <w:txbxContent>
                          <w:p w14:paraId="0117A9D4" w14:textId="6656014B" w:rsidR="00193646" w:rsidRPr="00435682" w:rsidRDefault="00193646">
                            <w:pPr>
                              <w:rPr>
                                <w:sz w:val="14"/>
                              </w:rPr>
                            </w:pPr>
                            <w:r w:rsidRPr="00435682">
                              <w:rPr>
                                <w:sz w:val="14"/>
                              </w:rPr>
                              <w:t>INSUFFICIENT PRIORITIZATION OF TOURIST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E73AC" id="_x0000_s1060" type="#_x0000_t202" style="position:absolute;margin-left:78.75pt;margin-top:147pt;width:75.75pt;height:44.25pt;z-index:251822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" fillcolor="#d9e2f3 [660]">
                <v:textbox>
                  <w:txbxContent>
                    <w:p w14:paraId="0117A9D4" w14:textId="6656014B" w:rsidR="00193646" w:rsidRPr="00435682" w:rsidRDefault="00193646">
                      <w:pPr>
                        <w:rPr>
                          <w:sz w:val="14"/>
                        </w:rPr>
                      </w:pPr>
                      <w:r w:rsidRPr="00435682">
                        <w:rPr>
                          <w:sz w:val="14"/>
                        </w:rPr>
                        <w:t>INSUFFICIENT PRIORITIZATION OF TOURIST DEVELOPMENT</w:t>
                      </w:r>
                    </w:p>
                  </w:txbxContent>
                </v:textbox>
                <w10:wrap type="square"/>
              </v:shape>
            </w:pict>
          </mc:Fallback>
        </mc:AlternateContent>
      </w:r>
      <w:r w:rsidR="00435682" w:rsidRPr="003C7CB1">
        <w:rPr>
          <w:rFonts w:ascii="Calibri" w:eastAsia="Calibri" w:hAnsi="Calibri" w:cs="Times New Roman"/>
          <w:b/>
          <w:noProof/>
        </w:rPr>
        <mc:AlternateContent>
          <mc:Choice Requires="wps">
            <w:drawing>
              <wp:anchor distT="45720" distB="45720" distL="114300" distR="114300" simplePos="0" relativeHeight="251820544" behindDoc="0" locked="0" layoutInCell="1" allowOverlap="1" wp14:anchorId="6C380219" wp14:editId="5DBA60B8">
                <wp:simplePos x="0" y="0"/>
                <wp:positionH relativeFrom="column">
                  <wp:posOffset>1000125</wp:posOffset>
                </wp:positionH>
                <wp:positionV relativeFrom="paragraph">
                  <wp:posOffset>942975</wp:posOffset>
                </wp:positionV>
                <wp:extent cx="895350" cy="857250"/>
                <wp:effectExtent l="0" t="0" r="19050" b="19050"/>
                <wp:wrapSquare wrapText="bothSides"/>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57250"/>
                        </a:xfrm>
                        <a:prstGeom prst="rect">
                          <a:avLst/>
                        </a:prstGeom>
                        <a:solidFill>
                          <a:schemeClr val="accent1">
                            <a:lumMod val="20000"/>
                            <a:lumOff val="80000"/>
                          </a:schemeClr>
                        </a:solidFill>
                        <a:ln w="9525">
                          <a:solidFill>
                            <a:srgbClr val="000000"/>
                          </a:solidFill>
                          <a:miter lim="800000"/>
                          <a:headEnd/>
                          <a:tailEnd/>
                        </a:ln>
                      </wps:spPr>
                      <wps:txbx>
                        <w:txbxContent>
                          <w:p w14:paraId="4DC306D6" w14:textId="711EFA8F" w:rsidR="00193646" w:rsidRPr="00435682" w:rsidRDefault="00193646">
                            <w:pPr>
                              <w:rPr>
                                <w:sz w:val="12"/>
                              </w:rPr>
                            </w:pPr>
                            <w:r w:rsidRPr="00435682">
                              <w:rPr>
                                <w:sz w:val="12"/>
                              </w:rPr>
                              <w:t>LIMITED PERFORMANCE OF THE DESTINATION MANAGEMENT MODEL AND LIMITED MARKETING PERFORMANCE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0219" id="_x0000_s1061" type="#_x0000_t202" style="position:absolute;margin-left:78.75pt;margin-top:74.25pt;width:70.5pt;height:67.5pt;z-index:25182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" fillcolor="#d9e2f3 [660]">
                <v:textbox>
                  <w:txbxContent>
                    <w:p w14:paraId="4DC306D6" w14:textId="711EFA8F" w:rsidR="00193646" w:rsidRPr="00435682" w:rsidRDefault="00193646">
                      <w:pPr>
                        <w:rPr>
                          <w:sz w:val="12"/>
                        </w:rPr>
                      </w:pPr>
                      <w:r w:rsidRPr="00435682">
                        <w:rPr>
                          <w:sz w:val="12"/>
                        </w:rPr>
                        <w:t>LIMITED PERFORMANCE OF THE DESTINATION MANAGEMENT MODEL AND LIMITED MARKETING PERFORMANCE</w:t>
                      </w:r>
                    </w:p>
                  </w:txbxContent>
                </v:textbox>
                <w10:wrap type="square"/>
              </v:shape>
            </w:pict>
          </mc:Fallback>
        </mc:AlternateContent>
      </w:r>
      <w:r w:rsidR="003C6C86" w:rsidRPr="003C7CB1">
        <w:rPr>
          <w:rFonts w:ascii="Calibri" w:eastAsia="Calibri" w:hAnsi="Calibri" w:cs="Times New Roman"/>
          <w:b/>
          <w:noProof/>
        </w:rPr>
        <mc:AlternateContent>
          <mc:Choice Requires="wps">
            <w:drawing>
              <wp:anchor distT="45720" distB="45720" distL="114300" distR="114300" simplePos="0" relativeHeight="251818496" behindDoc="0" locked="0" layoutInCell="1" allowOverlap="1" wp14:anchorId="5BB797C2" wp14:editId="1D22B852">
                <wp:simplePos x="0" y="0"/>
                <wp:positionH relativeFrom="column">
                  <wp:posOffset>2095500</wp:posOffset>
                </wp:positionH>
                <wp:positionV relativeFrom="paragraph">
                  <wp:posOffset>1457325</wp:posOffset>
                </wp:positionV>
                <wp:extent cx="876300" cy="1404620"/>
                <wp:effectExtent l="0" t="0" r="19050" b="25400"/>
                <wp:wrapSquare wrapText="bothSides"/>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solidFill>
                          <a:schemeClr val="accent1">
                            <a:lumMod val="40000"/>
                            <a:lumOff val="60000"/>
                          </a:schemeClr>
                        </a:solidFill>
                        <a:ln w="9525">
                          <a:solidFill>
                            <a:srgbClr val="000000"/>
                          </a:solidFill>
                          <a:miter lim="800000"/>
                          <a:headEnd/>
                          <a:tailEnd/>
                        </a:ln>
                      </wps:spPr>
                      <wps:txbx>
                        <w:txbxContent>
                          <w:sdt>
                            <w:sdtPr>
                              <w:rPr>
                                <w:sz w:val="20"/>
                              </w:rPr>
                              <w:id w:val="568603642"/>
                              <w:temporary/>
                              <w15:appearance w15:val="hidden"/>
                            </w:sdtPr>
                            <w:sdtContent>
                              <w:p w14:paraId="7718C79F" w14:textId="4B9B38B6" w:rsidR="00193646" w:rsidRPr="003C6C86" w:rsidRDefault="00193646">
                                <w:pPr>
                                  <w:rPr>
                                    <w:sz w:val="20"/>
                                  </w:rPr>
                                </w:pPr>
                                <w:r w:rsidRPr="003C6C86">
                                  <w:rPr>
                                    <w:sz w:val="20"/>
                                  </w:rPr>
                                  <w:t>GRAY ZONE OF BUSINESS</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B797C2" id="_x0000_s1062" type="#_x0000_t202" style="position:absolute;margin-left:165pt;margin-top:114.75pt;width:69pt;height:110.6pt;z-index:251818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" fillcolor="#b4c6e7 [1300]">
                <v:textbox style="mso-fit-shape-to-text:t">
                  <w:txbxContent>
                    <w:sdt>
                      <w:sdtPr>
                        <w:rPr>
                          <w:sz w:val="20"/>
                        </w:rPr>
                        <w:id w:val="568603642"/>
                        <w:temporary/>
                        <w15:appearance w15:val="hidden"/>
                      </w:sdtPr>
                      <w:sdtContent>
                        <w:p w14:paraId="7718C79F" w14:textId="4B9B38B6" w:rsidR="00193646" w:rsidRPr="003C6C86" w:rsidRDefault="00193646">
                          <w:pPr>
                            <w:rPr>
                              <w:sz w:val="20"/>
                            </w:rPr>
                          </w:pPr>
                          <w:r w:rsidRPr="003C6C86">
                            <w:rPr>
                              <w:sz w:val="20"/>
                            </w:rPr>
                            <w:t>GRAY ZONE OF BUSINESS</w:t>
                          </w:r>
                        </w:p>
                      </w:sdtContent>
                    </w:sdt>
                  </w:txbxContent>
                </v:textbox>
                <w10:wrap type="square"/>
              </v:shape>
            </w:pict>
          </mc:Fallback>
        </mc:AlternateContent>
      </w:r>
      <w:r w:rsidR="003C6C86" w:rsidRPr="003C7CB1">
        <w:rPr>
          <w:rFonts w:ascii="Calibri" w:eastAsia="Calibri" w:hAnsi="Calibri" w:cs="Times New Roman"/>
          <w:b/>
          <w:noProof/>
        </w:rPr>
        <mc:AlternateContent>
          <mc:Choice Requires="wps">
            <w:drawing>
              <wp:anchor distT="45720" distB="45720" distL="114300" distR="114300" simplePos="0" relativeHeight="251816448" behindDoc="0" locked="0" layoutInCell="1" allowOverlap="1" wp14:anchorId="311CDDD3" wp14:editId="4E81A8BD">
                <wp:simplePos x="0" y="0"/>
                <wp:positionH relativeFrom="column">
                  <wp:posOffset>2076450</wp:posOffset>
                </wp:positionH>
                <wp:positionV relativeFrom="paragraph">
                  <wp:posOffset>800100</wp:posOffset>
                </wp:positionV>
                <wp:extent cx="895350" cy="1404620"/>
                <wp:effectExtent l="0" t="0" r="19050" b="25400"/>
                <wp:wrapSquare wrapText="bothSides"/>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chemeClr val="accent1">
                            <a:lumMod val="40000"/>
                            <a:lumOff val="60000"/>
                          </a:schemeClr>
                        </a:solidFill>
                        <a:ln w="9525">
                          <a:solidFill>
                            <a:srgbClr val="000000"/>
                          </a:solidFill>
                          <a:miter lim="800000"/>
                          <a:headEnd/>
                          <a:tailEnd/>
                        </a:ln>
                      </wps:spPr>
                      <wps:txbx>
                        <w:txbxContent>
                          <w:p w14:paraId="0AF039A3" w14:textId="638C4518" w:rsidR="00193646" w:rsidRPr="003C6C86" w:rsidRDefault="00193646">
                            <w:pPr>
                              <w:rPr>
                                <w:sz w:val="20"/>
                              </w:rPr>
                            </w:pPr>
                            <w:r w:rsidRPr="003C6C86">
                              <w:rPr>
                                <w:sz w:val="20"/>
                              </w:rPr>
                              <w:t>POPULATION MIGRATION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CDDD3" id="_x0000_s1063" type="#_x0000_t202" style="position:absolute;margin-left:163.5pt;margin-top:63pt;width:70.5pt;height:110.6pt;z-index:251816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" fillcolor="#b4c6e7 [1300]">
                <v:textbox style="mso-fit-shape-to-text:t">
                  <w:txbxContent>
                    <w:p w14:paraId="0AF039A3" w14:textId="638C4518" w:rsidR="00193646" w:rsidRPr="003C6C86" w:rsidRDefault="00193646">
                      <w:pPr>
                        <w:rPr>
                          <w:sz w:val="20"/>
                        </w:rPr>
                      </w:pPr>
                      <w:r w:rsidRPr="003C6C86">
                        <w:rPr>
                          <w:sz w:val="20"/>
                        </w:rPr>
                        <w:t>POPULATION MIGRATION</w:t>
                      </w:r>
                    </w:p>
                  </w:txbxContent>
                </v:textbox>
                <w10:wrap type="square"/>
              </v:shape>
            </w:pict>
          </mc:Fallback>
        </mc:AlternateContent>
      </w:r>
      <w:r w:rsidR="003C6C86" w:rsidRPr="003C7CB1">
        <w:rPr>
          <w:rFonts w:ascii="Calibri" w:eastAsia="Calibri" w:hAnsi="Calibri" w:cs="Times New Roman"/>
          <w:b/>
          <w:noProof/>
        </w:rPr>
        <mc:AlternateContent>
          <mc:Choice Requires="wps">
            <w:drawing>
              <wp:anchor distT="45720" distB="45720" distL="114300" distR="114300" simplePos="0" relativeHeight="251814400" behindDoc="0" locked="0" layoutInCell="1" allowOverlap="1" wp14:anchorId="3F4DB3D2" wp14:editId="0F8D55C0">
                <wp:simplePos x="0" y="0"/>
                <wp:positionH relativeFrom="column">
                  <wp:posOffset>3181350</wp:posOffset>
                </wp:positionH>
                <wp:positionV relativeFrom="paragraph">
                  <wp:posOffset>1619250</wp:posOffset>
                </wp:positionV>
                <wp:extent cx="1038225" cy="371475"/>
                <wp:effectExtent l="0" t="0" r="28575" b="28575"/>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71475"/>
                        </a:xfrm>
                        <a:prstGeom prst="rect">
                          <a:avLst/>
                        </a:prstGeom>
                        <a:solidFill>
                          <a:schemeClr val="accent1">
                            <a:lumMod val="20000"/>
                            <a:lumOff val="80000"/>
                          </a:schemeClr>
                        </a:solidFill>
                        <a:ln w="9525">
                          <a:solidFill>
                            <a:srgbClr val="000000"/>
                          </a:solidFill>
                          <a:miter lim="800000"/>
                          <a:headEnd/>
                          <a:tailEnd/>
                        </a:ln>
                      </wps:spPr>
                      <wps:txbx>
                        <w:txbxContent>
                          <w:p w14:paraId="3C825046" w14:textId="2807C83D" w:rsidR="00193646" w:rsidRPr="003C6C86" w:rsidRDefault="00193646">
                            <w:pPr>
                              <w:rPr>
                                <w:sz w:val="16"/>
                              </w:rPr>
                            </w:pPr>
                            <w:r w:rsidRPr="003C6C86">
                              <w:rPr>
                                <w:sz w:val="16"/>
                              </w:rPr>
                              <w:t>ENVIRONMENTAL BLACK SPOTS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DB3D2" id="_x0000_s1064" type="#_x0000_t202" style="position:absolute;margin-left:250.5pt;margin-top:127.5pt;width:81.75pt;height:29.25pt;z-index:25181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" fillcolor="#d9e2f3 [660]">
                <v:textbox>
                  <w:txbxContent>
                    <w:p w14:paraId="3C825046" w14:textId="2807C83D" w:rsidR="00193646" w:rsidRPr="003C6C86" w:rsidRDefault="00193646">
                      <w:pPr>
                        <w:rPr>
                          <w:sz w:val="16"/>
                        </w:rPr>
                      </w:pPr>
                      <w:r w:rsidRPr="003C6C86">
                        <w:rPr>
                          <w:sz w:val="16"/>
                        </w:rPr>
                        <w:t>ENVIRONMENTAL BLACK SPOTS</w:t>
                      </w:r>
                    </w:p>
                  </w:txbxContent>
                </v:textbox>
                <w10:wrap type="square"/>
              </v:shape>
            </w:pict>
          </mc:Fallback>
        </mc:AlternateContent>
      </w:r>
      <w:r w:rsidR="003C6C86" w:rsidRPr="003C7CB1">
        <w:rPr>
          <w:rFonts w:ascii="Calibri" w:eastAsia="Calibri" w:hAnsi="Calibri" w:cs="Times New Roman"/>
          <w:b/>
          <w:noProof/>
        </w:rPr>
        <mc:AlternateContent>
          <mc:Choice Requires="wps">
            <w:drawing>
              <wp:anchor distT="45720" distB="45720" distL="114300" distR="114300" simplePos="0" relativeHeight="251812352" behindDoc="0" locked="0" layoutInCell="1" allowOverlap="1" wp14:anchorId="071DBE1D" wp14:editId="4CF252B8">
                <wp:simplePos x="0" y="0"/>
                <wp:positionH relativeFrom="column">
                  <wp:posOffset>3181350</wp:posOffset>
                </wp:positionH>
                <wp:positionV relativeFrom="paragraph">
                  <wp:posOffset>1038225</wp:posOffset>
                </wp:positionV>
                <wp:extent cx="1038225" cy="371475"/>
                <wp:effectExtent l="0" t="0" r="28575" b="2857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71475"/>
                        </a:xfrm>
                        <a:prstGeom prst="rect">
                          <a:avLst/>
                        </a:prstGeom>
                        <a:solidFill>
                          <a:schemeClr val="accent1">
                            <a:lumMod val="20000"/>
                            <a:lumOff val="80000"/>
                          </a:schemeClr>
                        </a:solidFill>
                        <a:ln w="9525">
                          <a:solidFill>
                            <a:srgbClr val="000000"/>
                          </a:solidFill>
                          <a:miter lim="800000"/>
                          <a:headEnd/>
                          <a:tailEnd/>
                        </a:ln>
                      </wps:spPr>
                      <wps:txbx>
                        <w:txbxContent>
                          <w:p w14:paraId="07365F67" w14:textId="681E0D80" w:rsidR="00193646" w:rsidRPr="003C6C86" w:rsidRDefault="00193646">
                            <w:pPr>
                              <w:rPr>
                                <w:sz w:val="18"/>
                              </w:rPr>
                            </w:pPr>
                            <w:r w:rsidRPr="003C6C86">
                              <w:rPr>
                                <w:sz w:val="18"/>
                              </w:rPr>
                              <w:t>INSUFFICIENT QUALITY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DBE1D" id="_x0000_s1065" type="#_x0000_t202" style="position:absolute;margin-left:250.5pt;margin-top:81.75pt;width:81.75pt;height:29.25pt;z-index:25181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" fillcolor="#d9e2f3 [660]">
                <v:textbox>
                  <w:txbxContent>
                    <w:p w14:paraId="07365F67" w14:textId="681E0D80" w:rsidR="00193646" w:rsidRPr="003C6C86" w:rsidRDefault="00193646">
                      <w:pPr>
                        <w:rPr>
                          <w:sz w:val="18"/>
                        </w:rPr>
                      </w:pPr>
                      <w:r w:rsidRPr="003C6C86">
                        <w:rPr>
                          <w:sz w:val="18"/>
                        </w:rPr>
                        <w:t>INSUFFICIENT QUALITY SERVICE</w:t>
                      </w:r>
                    </w:p>
                  </w:txbxContent>
                </v:textbox>
                <w10:wrap type="square"/>
              </v:shape>
            </w:pict>
          </mc:Fallback>
        </mc:AlternateContent>
      </w:r>
      <w:r w:rsidR="003C6C86" w:rsidRPr="003C7CB1">
        <w:rPr>
          <w:rFonts w:ascii="Calibri" w:eastAsia="Calibri" w:hAnsi="Calibri" w:cs="Times New Roman"/>
          <w:b/>
          <w:noProof/>
        </w:rPr>
        <mc:AlternateContent>
          <mc:Choice Requires="wps">
            <w:drawing>
              <wp:anchor distT="45720" distB="45720" distL="114300" distR="114300" simplePos="0" relativeHeight="251810304" behindDoc="0" locked="0" layoutInCell="1" allowOverlap="1" wp14:anchorId="4CF073C4" wp14:editId="1AEA3610">
                <wp:simplePos x="0" y="0"/>
                <wp:positionH relativeFrom="column">
                  <wp:posOffset>3229610</wp:posOffset>
                </wp:positionH>
                <wp:positionV relativeFrom="paragraph">
                  <wp:posOffset>285750</wp:posOffset>
                </wp:positionV>
                <wp:extent cx="990600" cy="619125"/>
                <wp:effectExtent l="0" t="0" r="19050" b="28575"/>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19125"/>
                        </a:xfrm>
                        <a:prstGeom prst="rect">
                          <a:avLst/>
                        </a:prstGeom>
                        <a:solidFill>
                          <a:schemeClr val="accent1">
                            <a:lumMod val="20000"/>
                            <a:lumOff val="80000"/>
                          </a:schemeClr>
                        </a:solidFill>
                        <a:ln w="9525">
                          <a:solidFill>
                            <a:srgbClr val="000000"/>
                          </a:solidFill>
                          <a:miter lim="800000"/>
                          <a:headEnd/>
                          <a:tailEnd/>
                        </a:ln>
                      </wps:spPr>
                      <wps:txbx>
                        <w:txbxContent>
                          <w:p w14:paraId="67325110" w14:textId="62CFBC3E" w:rsidR="00193646" w:rsidRPr="003C6C86" w:rsidRDefault="00193646">
                            <w:pPr>
                              <w:rPr>
                                <w:sz w:val="14"/>
                              </w:rPr>
                            </w:pPr>
                            <w:r w:rsidRPr="003C6C86">
                              <w:rPr>
                                <w:sz w:val="14"/>
                              </w:rPr>
                              <w:t>INADEQUATE AVAILABILITY OF PRODUCTS AND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073C4" id="_x0000_s1066" type="#_x0000_t202" style="position:absolute;margin-left:254.3pt;margin-top:22.5pt;width:78pt;height:48.75pt;z-index:25181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" fillcolor="#d9e2f3 [660]">
                <v:textbox>
                  <w:txbxContent>
                    <w:p w14:paraId="67325110" w14:textId="62CFBC3E" w:rsidR="00193646" w:rsidRPr="003C6C86" w:rsidRDefault="00193646">
                      <w:pPr>
                        <w:rPr>
                          <w:sz w:val="14"/>
                        </w:rPr>
                      </w:pPr>
                      <w:r w:rsidRPr="003C6C86">
                        <w:rPr>
                          <w:sz w:val="14"/>
                        </w:rPr>
                        <w:t>INADEQUATE AVAILABILITY OF PRODUCTS AND SERVICES</w:t>
                      </w:r>
                    </w:p>
                  </w:txbxContent>
                </v:textbox>
                <w10:wrap type="square"/>
              </v:shape>
            </w:pict>
          </mc:Fallback>
        </mc:AlternateContent>
      </w:r>
      <w:r w:rsidR="003C6C86" w:rsidRPr="003C7CB1">
        <w:rPr>
          <w:rFonts w:ascii="Calibri" w:eastAsia="Calibri" w:hAnsi="Calibri" w:cs="Times New Roman"/>
          <w:b/>
          <w:noProof/>
        </w:rPr>
        <mc:AlternateContent>
          <mc:Choice Requires="wps">
            <w:drawing>
              <wp:anchor distT="45720" distB="45720" distL="114300" distR="114300" simplePos="0" relativeHeight="251808256" behindDoc="0" locked="0" layoutInCell="1" allowOverlap="1" wp14:anchorId="62D3CB6A" wp14:editId="0E6A5C6E">
                <wp:simplePos x="0" y="0"/>
                <wp:positionH relativeFrom="column">
                  <wp:posOffset>2057400</wp:posOffset>
                </wp:positionH>
                <wp:positionV relativeFrom="paragraph">
                  <wp:posOffset>114300</wp:posOffset>
                </wp:positionV>
                <wp:extent cx="981075" cy="533400"/>
                <wp:effectExtent l="0" t="0" r="28575" b="19050"/>
                <wp:wrapSquare wrapText="bothSides"/>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533400"/>
                        </a:xfrm>
                        <a:prstGeom prst="rect">
                          <a:avLst/>
                        </a:prstGeom>
                        <a:solidFill>
                          <a:schemeClr val="accent1">
                            <a:lumMod val="20000"/>
                            <a:lumOff val="80000"/>
                          </a:schemeClr>
                        </a:solidFill>
                        <a:ln w="9525">
                          <a:solidFill>
                            <a:srgbClr val="000000"/>
                          </a:solidFill>
                          <a:miter lim="800000"/>
                          <a:headEnd/>
                          <a:tailEnd/>
                        </a:ln>
                      </wps:spPr>
                      <wps:txbx>
                        <w:txbxContent>
                          <w:p w14:paraId="076429C8" w14:textId="0948B9F6" w:rsidR="00193646" w:rsidRPr="003C6C86" w:rsidRDefault="00193646">
                            <w:pPr>
                              <w:rPr>
                                <w:sz w:val="18"/>
                              </w:rPr>
                            </w:pPr>
                            <w:r w:rsidRPr="003C6C86">
                              <w:rPr>
                                <w:sz w:val="18"/>
                              </w:rPr>
                              <w:t>REGIONAL IMBALANCE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3CB6A" id="_x0000_s1067" type="#_x0000_t202" style="position:absolute;margin-left:162pt;margin-top:9pt;width:77.25pt;height:42pt;z-index:25180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" fillcolor="#d9e2f3 [660]">
                <v:textbox>
                  <w:txbxContent>
                    <w:p w14:paraId="076429C8" w14:textId="0948B9F6" w:rsidR="00193646" w:rsidRPr="003C6C86" w:rsidRDefault="00193646">
                      <w:pPr>
                        <w:rPr>
                          <w:sz w:val="18"/>
                        </w:rPr>
                      </w:pPr>
                      <w:r w:rsidRPr="003C6C86">
                        <w:rPr>
                          <w:sz w:val="18"/>
                        </w:rPr>
                        <w:t>REGIONAL IMBALANCE</w:t>
                      </w:r>
                    </w:p>
                  </w:txbxContent>
                </v:textbox>
                <w10:wrap type="square"/>
              </v:shape>
            </w:pict>
          </mc:Fallback>
        </mc:AlternateContent>
      </w:r>
      <w:r w:rsidR="00135464" w:rsidRPr="003C7CB1">
        <w:rPr>
          <w:rFonts w:ascii="Calibri" w:eastAsia="Calibri" w:hAnsi="Calibri" w:cs="Times New Roman"/>
          <w:b/>
          <w:noProof/>
        </w:rPr>
        <mc:AlternateContent>
          <mc:Choice Requires="wps">
            <w:drawing>
              <wp:anchor distT="45720" distB="45720" distL="114300" distR="114300" simplePos="0" relativeHeight="251806208" behindDoc="0" locked="0" layoutInCell="1" allowOverlap="1" wp14:anchorId="17E5E22E" wp14:editId="63E62C10">
                <wp:simplePos x="0" y="0"/>
                <wp:positionH relativeFrom="column">
                  <wp:posOffset>1000125</wp:posOffset>
                </wp:positionH>
                <wp:positionV relativeFrom="paragraph">
                  <wp:posOffset>285750</wp:posOffset>
                </wp:positionV>
                <wp:extent cx="828675" cy="619125"/>
                <wp:effectExtent l="0" t="0" r="28575" b="28575"/>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19125"/>
                        </a:xfrm>
                        <a:prstGeom prst="rect">
                          <a:avLst/>
                        </a:prstGeom>
                        <a:solidFill>
                          <a:schemeClr val="accent1">
                            <a:lumMod val="20000"/>
                            <a:lumOff val="80000"/>
                          </a:schemeClr>
                        </a:solidFill>
                        <a:ln w="9525">
                          <a:solidFill>
                            <a:srgbClr val="000000"/>
                          </a:solidFill>
                          <a:miter lim="800000"/>
                          <a:headEnd/>
                          <a:tailEnd/>
                        </a:ln>
                      </wps:spPr>
                      <wps:txbx>
                        <w:txbxContent>
                          <w:p w14:paraId="46106368" w14:textId="5504FA31" w:rsidR="00193646" w:rsidRPr="00135464" w:rsidRDefault="00193646">
                            <w:pPr>
                              <w:rPr>
                                <w:sz w:val="16"/>
                              </w:rPr>
                            </w:pPr>
                            <w:r w:rsidRPr="00135464">
                              <w:rPr>
                                <w:sz w:val="16"/>
                              </w:rPr>
                              <w:t>SHORT PERIOD OF TOURIST ECONOMY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E22E" id="_x0000_s1068" type="#_x0000_t202" style="position:absolute;margin-left:78.75pt;margin-top:22.5pt;width:65.25pt;height:48.75pt;z-index:25180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" fillcolor="#d9e2f3 [660]">
                <v:textbox>
                  <w:txbxContent>
                    <w:p w14:paraId="46106368" w14:textId="5504FA31" w:rsidR="00193646" w:rsidRPr="00135464" w:rsidRDefault="00193646">
                      <w:pPr>
                        <w:rPr>
                          <w:sz w:val="16"/>
                        </w:rPr>
                      </w:pPr>
                      <w:r w:rsidRPr="00135464">
                        <w:rPr>
                          <w:sz w:val="16"/>
                        </w:rPr>
                        <w:t>SHORT PERIOD OF TOURIST ECONOMY BUSINESS</w:t>
                      </w:r>
                    </w:p>
                  </w:txbxContent>
                </v:textbox>
                <w10:wrap type="square"/>
              </v:shape>
            </w:pict>
          </mc:Fallback>
        </mc:AlternateContent>
      </w:r>
      <w:r w:rsidR="00135464" w:rsidRPr="003C7CB1">
        <w:rPr>
          <w:rFonts w:ascii="Calibri" w:eastAsia="Calibri" w:hAnsi="Calibri" w:cs="Times New Roman"/>
          <w:b/>
          <w:noProof/>
        </w:rPr>
        <mc:AlternateContent>
          <mc:Choice Requires="wps">
            <w:drawing>
              <wp:anchor distT="45720" distB="45720" distL="114300" distR="114300" simplePos="0" relativeHeight="251804160" behindDoc="0" locked="0" layoutInCell="1" allowOverlap="1" wp14:anchorId="72DBACD8" wp14:editId="3BA09EC7">
                <wp:simplePos x="0" y="0"/>
                <wp:positionH relativeFrom="column">
                  <wp:posOffset>-28575</wp:posOffset>
                </wp:positionH>
                <wp:positionV relativeFrom="paragraph">
                  <wp:posOffset>942975</wp:posOffset>
                </wp:positionV>
                <wp:extent cx="8286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514350"/>
                        </a:xfrm>
                        <a:prstGeom prst="rect">
                          <a:avLst/>
                        </a:prstGeom>
                        <a:solidFill>
                          <a:schemeClr val="accent2">
                            <a:lumMod val="20000"/>
                            <a:lumOff val="80000"/>
                          </a:schemeClr>
                        </a:solidFill>
                        <a:ln w="9525">
                          <a:solidFill>
                            <a:srgbClr val="000000"/>
                          </a:solidFill>
                          <a:miter lim="800000"/>
                          <a:headEnd/>
                          <a:tailEnd/>
                        </a:ln>
                      </wps:spPr>
                      <wps:txbx>
                        <w:txbxContent>
                          <w:p w14:paraId="1CB07518" w14:textId="256602E1" w:rsidR="00193646" w:rsidRPr="00135464" w:rsidRDefault="00193646">
                            <w:pPr>
                              <w:rPr>
                                <w:b/>
                                <w:sz w:val="14"/>
                              </w:rPr>
                            </w:pPr>
                            <w:r w:rsidRPr="00135464">
                              <w:rPr>
                                <w:b/>
                                <w:sz w:val="14"/>
                              </w:rPr>
                              <w:t>CONSEQUENCES OF THE PROBLEM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BACD8" id="_x0000_s1069" type="#_x0000_t202" style="position:absolute;margin-left:-2.25pt;margin-top:74.25pt;width:65.25pt;height:40.5pt;z-index:25180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" fillcolor="#fbe4d5 [661]">
                <v:textbox>
                  <w:txbxContent>
                    <w:p w14:paraId="1CB07518" w14:textId="256602E1" w:rsidR="00193646" w:rsidRPr="00135464" w:rsidRDefault="00193646">
                      <w:pPr>
                        <w:rPr>
                          <w:b/>
                          <w:sz w:val="14"/>
                        </w:rPr>
                      </w:pPr>
                      <w:r w:rsidRPr="00135464">
                        <w:rPr>
                          <w:b/>
                          <w:sz w:val="14"/>
                        </w:rPr>
                        <w:t>CONSEQUENCES OF THE PROBLEM</w:t>
                      </w:r>
                    </w:p>
                  </w:txbxContent>
                </v:textbox>
                <w10:wrap type="square"/>
              </v:shape>
            </w:pict>
          </mc:Fallback>
        </mc:AlternateContent>
      </w:r>
      <w:r w:rsidR="00135464" w:rsidRPr="003C7CB1">
        <w:rPr>
          <w:rFonts w:ascii="Calibri" w:eastAsia="Calibri" w:hAnsi="Calibri" w:cs="Times New Roman"/>
          <w:b/>
          <w:noProof/>
        </w:rPr>
        <mc:AlternateContent>
          <mc:Choice Requires="wps">
            <w:drawing>
              <wp:anchor distT="0" distB="0" distL="114300" distR="114300" simplePos="0" relativeHeight="251580928" behindDoc="0" locked="0" layoutInCell="1" allowOverlap="1" wp14:anchorId="5D5EB5C3" wp14:editId="51AEDB6B">
                <wp:simplePos x="0" y="0"/>
                <wp:positionH relativeFrom="column">
                  <wp:posOffset>5972175</wp:posOffset>
                </wp:positionH>
                <wp:positionV relativeFrom="paragraph">
                  <wp:posOffset>1152525</wp:posOffset>
                </wp:positionV>
                <wp:extent cx="952500" cy="514350"/>
                <wp:effectExtent l="57150" t="38100" r="76200" b="95250"/>
                <wp:wrapNone/>
                <wp:docPr id="8" name="Rectangle 8"/>
                <wp:cNvGraphicFramePr/>
                <a:graphic xmlns:a="http://schemas.openxmlformats.org/drawingml/2006/main">
                  <a:graphicData uri="http://schemas.microsoft.com/office/word/2010/wordprocessingShape">
                    <wps:wsp>
                      <wps:cNvSpPr/>
                      <wps:spPr>
                        <a:xfrm>
                          <a:off x="0" y="0"/>
                          <a:ext cx="952500" cy="5143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6E50785" w14:textId="0E79E6C2" w:rsidR="00193646" w:rsidRPr="009F5BEE" w:rsidRDefault="00193646" w:rsidP="005A681F">
                            <w:pPr>
                              <w:jc w:val="center"/>
                              <w:rPr>
                                <w:sz w:val="16"/>
                                <w:szCs w:val="16"/>
                                <w:lang w:val="sr-Latn-ME"/>
                              </w:rPr>
                            </w:pPr>
                            <w:r w:rsidRPr="00C931D5">
                              <w:rPr>
                                <w:sz w:val="16"/>
                                <w:szCs w:val="16"/>
                                <w:lang w:val="sr-Latn-ME"/>
                              </w:rPr>
                              <w:t>MINIMIZED GRAY ZONE OF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EB5C3" id="Rectangle 8" o:spid="_x0000_s1070" style="position:absolute;margin-left:470.25pt;margin-top:90.75pt;width:75pt;height:40.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" fillcolor="#9eeaff" strokecolor="#46aac5">
                <v:fill color2="#e4f9ff" rotate="t" angle="180" colors="0 #9eeaff;22938f #bbefff;1 #e4f9ff" focus="100%" type="gradient"/>
                <v:shadow on="t" color="black" opacity="24903f" origin=",.5" offset="0,.55556mm"/>
                <v:textbox>
                  <w:txbxContent>
                    <w:p w14:paraId="56E50785" w14:textId="0E79E6C2" w:rsidR="00193646" w:rsidRPr="009F5BEE" w:rsidRDefault="00193646" w:rsidP="005A681F">
                      <w:pPr>
                        <w:jc w:val="center"/>
                        <w:rPr>
                          <w:sz w:val="16"/>
                          <w:szCs w:val="16"/>
                          <w:lang w:val="sr-Latn-ME"/>
                        </w:rPr>
                      </w:pPr>
                      <w:r w:rsidRPr="00C931D5">
                        <w:rPr>
                          <w:sz w:val="16"/>
                          <w:szCs w:val="16"/>
                          <w:lang w:val="sr-Latn-ME"/>
                        </w:rPr>
                        <w:t>MINIMIZED GRAY ZONE OF BUSINESS</w:t>
                      </w:r>
                    </w:p>
                  </w:txbxContent>
                </v:textbox>
              </v:rect>
            </w:pict>
          </mc:Fallback>
        </mc:AlternateContent>
      </w:r>
      <w:r w:rsidR="00B04396" w:rsidRPr="003C7CB1">
        <w:rPr>
          <w:rFonts w:ascii="Calibri" w:eastAsia="Calibri" w:hAnsi="Calibri" w:cs="Times New Roman"/>
          <w:b/>
          <w:noProof/>
        </w:rPr>
        <mc:AlternateContent>
          <mc:Choice Requires="wps">
            <w:drawing>
              <wp:anchor distT="0" distB="0" distL="114300" distR="114300" simplePos="0" relativeHeight="251706880" behindDoc="0" locked="0" layoutInCell="1" allowOverlap="1" wp14:anchorId="76E471A3" wp14:editId="30170929">
                <wp:simplePos x="0" y="0"/>
                <wp:positionH relativeFrom="column">
                  <wp:posOffset>4838700</wp:posOffset>
                </wp:positionH>
                <wp:positionV relativeFrom="paragraph">
                  <wp:posOffset>2524125</wp:posOffset>
                </wp:positionV>
                <wp:extent cx="3340735" cy="885825"/>
                <wp:effectExtent l="0" t="0" r="12065" b="28575"/>
                <wp:wrapNone/>
                <wp:docPr id="38" name="Rectangle 38"/>
                <wp:cNvGraphicFramePr/>
                <a:graphic xmlns:a="http://schemas.openxmlformats.org/drawingml/2006/main">
                  <a:graphicData uri="http://schemas.microsoft.com/office/word/2010/wordprocessingShape">
                    <wps:wsp>
                      <wps:cNvSpPr/>
                      <wps:spPr>
                        <a:xfrm>
                          <a:off x="0" y="0"/>
                          <a:ext cx="3340735" cy="885825"/>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14:paraId="6B5A007C" w14:textId="3D3602F7" w:rsidR="00193646" w:rsidRPr="00135464" w:rsidRDefault="00193646" w:rsidP="00135464">
                            <w:pPr>
                              <w:shd w:val="clear" w:color="auto" w:fill="D9E2F3" w:themeFill="accent1" w:themeFillTint="33"/>
                              <w:jc w:val="center"/>
                              <w:rPr>
                                <w:sz w:val="16"/>
                                <w:szCs w:val="16"/>
                              </w:rPr>
                            </w:pPr>
                            <w:r w:rsidRPr="00135464">
                              <w:rPr>
                                <w:sz w:val="16"/>
                                <w:szCs w:val="16"/>
                              </w:rPr>
                              <w:t>BY INVESTMENT AND FORMALIZATION OF TOURIS</w:t>
                            </w:r>
                            <w:r>
                              <w:rPr>
                                <w:sz w:val="16"/>
                                <w:szCs w:val="16"/>
                              </w:rPr>
                              <w:t>M TURNOVER</w:t>
                            </w:r>
                            <w:r w:rsidRPr="00135464">
                              <w:rPr>
                                <w:sz w:val="16"/>
                                <w:szCs w:val="16"/>
                              </w:rPr>
                              <w:t>, MONTENEGRO IS AFFIRMED AS A GLOBALLY RECOGNIZED TOURIST DESTINATION, WITH R</w:t>
                            </w:r>
                            <w:r>
                              <w:rPr>
                                <w:sz w:val="16"/>
                                <w:szCs w:val="16"/>
                              </w:rPr>
                              <w:t xml:space="preserve">EDUCED SEASONALITY OF BUSINESS, </w:t>
                            </w:r>
                            <w:r w:rsidRPr="00135464">
                              <w:rPr>
                                <w:sz w:val="16"/>
                                <w:szCs w:val="16"/>
                              </w:rPr>
                              <w:t>MO</w:t>
                            </w:r>
                            <w:r>
                              <w:rPr>
                                <w:sz w:val="16"/>
                                <w:szCs w:val="16"/>
                              </w:rPr>
                              <w:t xml:space="preserve">DERATE REGIONAL IMBALANCE, </w:t>
                            </w:r>
                            <w:r w:rsidRPr="00135464">
                              <w:rPr>
                                <w:sz w:val="16"/>
                                <w:szCs w:val="16"/>
                              </w:rPr>
                              <w:t>AND PRIORITIZATION OF TOURISM IN DEVELOPMENT POLICIES.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471A3" id="Rectangle 38" o:spid="_x0000_s1071" style="position:absolute;margin-left:381pt;margin-top:198.75pt;width:263.05pt;height:6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" fillcolor="#d9e2f3 [660]" strokecolor="#385d8a" strokeweight="2pt">
                <v:textbox>
                  <w:txbxContent>
                    <w:p w14:paraId="6B5A007C" w14:textId="3D3602F7" w:rsidR="00193646" w:rsidRPr="00135464" w:rsidRDefault="00193646" w:rsidP="00135464">
                      <w:pPr>
                        <w:shd w:val="clear" w:color="auto" w:fill="D9E2F3" w:themeFill="accent1" w:themeFillTint="33"/>
                        <w:jc w:val="center"/>
                        <w:rPr>
                          <w:sz w:val="16"/>
                          <w:szCs w:val="16"/>
                        </w:rPr>
                      </w:pPr>
                      <w:r w:rsidRPr="00135464">
                        <w:rPr>
                          <w:sz w:val="16"/>
                          <w:szCs w:val="16"/>
                        </w:rPr>
                        <w:t>BY INVESTMENT AND FORMALIZATION OF TOURIS</w:t>
                      </w:r>
                      <w:r>
                        <w:rPr>
                          <w:sz w:val="16"/>
                          <w:szCs w:val="16"/>
                        </w:rPr>
                        <w:t>M TURNOVER</w:t>
                      </w:r>
                      <w:r w:rsidRPr="00135464">
                        <w:rPr>
                          <w:sz w:val="16"/>
                          <w:szCs w:val="16"/>
                        </w:rPr>
                        <w:t>, MONTENEGRO IS AFFIRMED AS A GLOBALLY RECOGNIZED TOURIST DESTINATION, WITH R</w:t>
                      </w:r>
                      <w:r>
                        <w:rPr>
                          <w:sz w:val="16"/>
                          <w:szCs w:val="16"/>
                        </w:rPr>
                        <w:t xml:space="preserve">EDUCED SEASONALITY OF BUSINESS, </w:t>
                      </w:r>
                      <w:r w:rsidRPr="00135464">
                        <w:rPr>
                          <w:sz w:val="16"/>
                          <w:szCs w:val="16"/>
                        </w:rPr>
                        <w:t>MO</w:t>
                      </w:r>
                      <w:r>
                        <w:rPr>
                          <w:sz w:val="16"/>
                          <w:szCs w:val="16"/>
                        </w:rPr>
                        <w:t xml:space="preserve">DERATE REGIONAL IMBALANCE, </w:t>
                      </w:r>
                      <w:r w:rsidRPr="00135464">
                        <w:rPr>
                          <w:sz w:val="16"/>
                          <w:szCs w:val="16"/>
                        </w:rPr>
                        <w:t>AND PRIORITIZATION OF TOURISM IN DEVELOPMENT POLICIES.</w:t>
                      </w:r>
                    </w:p>
                  </w:txbxContent>
                </v:textbox>
              </v:rect>
            </w:pict>
          </mc:Fallback>
        </mc:AlternateContent>
      </w:r>
      <w:r w:rsidR="004E271D" w:rsidRPr="003C7CB1">
        <w:rPr>
          <w:rFonts w:ascii="Calibri" w:eastAsia="Calibri" w:hAnsi="Calibri" w:cs="Times New Roman"/>
          <w:b/>
          <w:noProof/>
        </w:rPr>
        <mc:AlternateContent>
          <mc:Choice Requires="wps">
            <w:drawing>
              <wp:anchor distT="0" distB="0" distL="114300" distR="114300" simplePos="0" relativeHeight="251800064" behindDoc="0" locked="0" layoutInCell="1" allowOverlap="1" wp14:anchorId="2E2C1BF7" wp14:editId="6D398BC0">
                <wp:simplePos x="0" y="0"/>
                <wp:positionH relativeFrom="column">
                  <wp:posOffset>1250899</wp:posOffset>
                </wp:positionH>
                <wp:positionV relativeFrom="paragraph">
                  <wp:posOffset>-234086</wp:posOffset>
                </wp:positionV>
                <wp:extent cx="1982419" cy="270662"/>
                <wp:effectExtent l="0" t="0" r="18415" b="15240"/>
                <wp:wrapNone/>
                <wp:docPr id="15" name="Rectangle 15"/>
                <wp:cNvGraphicFramePr/>
                <a:graphic xmlns:a="http://schemas.openxmlformats.org/drawingml/2006/main">
                  <a:graphicData uri="http://schemas.microsoft.com/office/word/2010/wordprocessingShape">
                    <wps:wsp>
                      <wps:cNvSpPr/>
                      <wps:spPr>
                        <a:xfrm>
                          <a:off x="0" y="0"/>
                          <a:ext cx="1982419" cy="270662"/>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035F938D" w14:textId="039F1581" w:rsidR="00193646" w:rsidRPr="00790741" w:rsidRDefault="00193646" w:rsidP="004E271D">
                            <w:pPr>
                              <w:jc w:val="center"/>
                              <w:rPr>
                                <w:lang w:val="sr-Latn-ME"/>
                              </w:rPr>
                            </w:pPr>
                            <w:r>
                              <w:rPr>
                                <w:b/>
                                <w:lang w:val="sr-Latn-ME"/>
                              </w:rPr>
                              <w:t>PROBLEM TREE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C1BF7" id="Rectangle 15" o:spid="_x0000_s1072" style="position:absolute;margin-left:98.5pt;margin-top:-18.45pt;width:156.1pt;height:21.3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" fillcolor="#b5d5a7" strokecolor="#70ad47" strokeweight=".5pt">
                <v:fill color2="#9cca86" rotate="t" colors="0 #b5d5a7;.5 #aace99;1 #9cca86" focus="100%" type="gradient">
                  <o:fill v:ext="view" type="gradientUnscaled"/>
                </v:fill>
                <v:textbox>
                  <w:txbxContent>
                    <w:p w14:paraId="035F938D" w14:textId="039F1581" w:rsidR="00193646" w:rsidRPr="00790741" w:rsidRDefault="00193646" w:rsidP="004E271D">
                      <w:pPr>
                        <w:jc w:val="center"/>
                        <w:rPr>
                          <w:lang w:val="sr-Latn-ME"/>
                        </w:rPr>
                      </w:pPr>
                      <w:r>
                        <w:rPr>
                          <w:b/>
                          <w:lang w:val="sr-Latn-ME"/>
                        </w:rPr>
                        <w:t>PROBLEM TREE</w:t>
                      </w:r>
                    </w:p>
                  </w:txbxContent>
                </v:textbox>
              </v:rect>
            </w:pict>
          </mc:Fallback>
        </mc:AlternateContent>
      </w:r>
      <w:r w:rsidR="0037084A" w:rsidRPr="003C7CB1">
        <w:rPr>
          <w:rFonts w:ascii="Calibri" w:eastAsia="Calibri" w:hAnsi="Calibri" w:cs="Times New Roman"/>
          <w:b/>
          <w:noProof/>
        </w:rPr>
        <mc:AlternateContent>
          <mc:Choice Requires="wps">
            <w:drawing>
              <wp:anchor distT="0" distB="0" distL="114300" distR="114300" simplePos="0" relativeHeight="251787776" behindDoc="0" locked="0" layoutInCell="1" allowOverlap="1" wp14:anchorId="53B3275B" wp14:editId="568AC3F5">
                <wp:simplePos x="0" y="0"/>
                <wp:positionH relativeFrom="column">
                  <wp:posOffset>5438775</wp:posOffset>
                </wp:positionH>
                <wp:positionV relativeFrom="paragraph">
                  <wp:posOffset>-238125</wp:posOffset>
                </wp:positionV>
                <wp:extent cx="2053590" cy="262890"/>
                <wp:effectExtent l="0" t="0" r="22860" b="22860"/>
                <wp:wrapNone/>
                <wp:docPr id="41" name="Rectangle 41"/>
                <wp:cNvGraphicFramePr/>
                <a:graphic xmlns:a="http://schemas.openxmlformats.org/drawingml/2006/main">
                  <a:graphicData uri="http://schemas.microsoft.com/office/word/2010/wordprocessingShape">
                    <wps:wsp>
                      <wps:cNvSpPr/>
                      <wps:spPr>
                        <a:xfrm>
                          <a:off x="0" y="0"/>
                          <a:ext cx="2053590" cy="26289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D9249AB" w14:textId="481C1B82" w:rsidR="00193646" w:rsidRPr="00790741" w:rsidRDefault="00193646" w:rsidP="00C4161D">
                            <w:pPr>
                              <w:jc w:val="center"/>
                              <w:rPr>
                                <w:lang w:val="sr-Latn-ME"/>
                              </w:rPr>
                            </w:pPr>
                            <w:r>
                              <w:rPr>
                                <w:b/>
                                <w:lang w:val="sr-Latn-ME"/>
                              </w:rPr>
                              <w:t>SOLUTION TREE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3275B" id="Rectangle 41" o:spid="_x0000_s1073" style="position:absolute;margin-left:428.25pt;margin-top:-18.75pt;width:161.7pt;height:20.7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" fillcolor="#9ecb81 [2169]" strokecolor="#70ad47 [3209]" strokeweight=".5pt">
                <v:fill color2="#8ac066 [2617]" rotate="t" colors="0 #b5d5a7;.5 #aace99;1 #9cca86" focus="100%" type="gradient">
                  <o:fill v:ext="view" type="gradientUnscaled"/>
                </v:fill>
                <v:textbox>
                  <w:txbxContent>
                    <w:p w14:paraId="5D9249AB" w14:textId="481C1B82" w:rsidR="00193646" w:rsidRPr="00790741" w:rsidRDefault="00193646" w:rsidP="00C4161D">
                      <w:pPr>
                        <w:jc w:val="center"/>
                        <w:rPr>
                          <w:lang w:val="sr-Latn-ME"/>
                        </w:rPr>
                      </w:pPr>
                      <w:r>
                        <w:rPr>
                          <w:b/>
                          <w:lang w:val="sr-Latn-ME"/>
                        </w:rPr>
                        <w:t>SOLUTION TREE</w:t>
                      </w:r>
                    </w:p>
                  </w:txbxContent>
                </v:textbox>
              </v:rect>
            </w:pict>
          </mc:Fallback>
        </mc:AlternateContent>
      </w:r>
      <w:r w:rsidR="0057739B" w:rsidRPr="003C7CB1">
        <w:rPr>
          <w:rFonts w:ascii="Calibri" w:eastAsia="Calibri" w:hAnsi="Calibri" w:cs="Times New Roman"/>
          <w:b/>
          <w:noProof/>
        </w:rPr>
        <mc:AlternateContent>
          <mc:Choice Requires="wps">
            <w:drawing>
              <wp:anchor distT="0" distB="0" distL="114300" distR="114300" simplePos="0" relativeHeight="251649536" behindDoc="0" locked="0" layoutInCell="1" allowOverlap="1" wp14:anchorId="54C17739" wp14:editId="1D079EB9">
                <wp:simplePos x="0" y="0"/>
                <wp:positionH relativeFrom="column">
                  <wp:posOffset>5969000</wp:posOffset>
                </wp:positionH>
                <wp:positionV relativeFrom="paragraph">
                  <wp:posOffset>4735830</wp:posOffset>
                </wp:positionV>
                <wp:extent cx="1343025" cy="905510"/>
                <wp:effectExtent l="57150" t="38100" r="85725" b="104140"/>
                <wp:wrapNone/>
                <wp:docPr id="12" name="Rectangle 12"/>
                <wp:cNvGraphicFramePr/>
                <a:graphic xmlns:a="http://schemas.openxmlformats.org/drawingml/2006/main">
                  <a:graphicData uri="http://schemas.microsoft.com/office/word/2010/wordprocessingShape">
                    <wps:wsp>
                      <wps:cNvSpPr/>
                      <wps:spPr>
                        <a:xfrm>
                          <a:off x="0" y="0"/>
                          <a:ext cx="1343025" cy="90551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AE0FE99" w14:textId="3D369D3C" w:rsidR="00193646" w:rsidRDefault="00193646" w:rsidP="005A681F">
                            <w:pPr>
                              <w:jc w:val="center"/>
                            </w:pPr>
                            <w:r w:rsidRPr="00135464">
                              <w:rPr>
                                <w:sz w:val="16"/>
                                <w:szCs w:val="16"/>
                              </w:rPr>
                              <w:t>IMPROVED REGULATORY FRAMEWORK IN TOURISM WITH FORMALIZATION OF TOURIS</w:t>
                            </w:r>
                            <w:r>
                              <w:rPr>
                                <w:sz w:val="16"/>
                                <w:szCs w:val="16"/>
                              </w:rPr>
                              <w:t>M TURNOVER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17739" id="Rectangle 12" o:spid="_x0000_s1074" style="position:absolute;margin-left:470pt;margin-top:372.9pt;width:105.75pt;height:7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" fillcolor="#9eeaff" strokecolor="#46aac5">
                <v:fill color2="#e4f9ff" rotate="t" angle="180" colors="0 #9eeaff;22938f #bbefff;1 #e4f9ff" focus="100%" type="gradient"/>
                <v:shadow on="t" color="black" opacity="24903f" origin=",.5" offset="0,.55556mm"/>
                <v:textbox>
                  <w:txbxContent>
                    <w:p w14:paraId="1AE0FE99" w14:textId="3D369D3C" w:rsidR="00193646" w:rsidRDefault="00193646" w:rsidP="005A681F">
                      <w:pPr>
                        <w:jc w:val="center"/>
                      </w:pPr>
                      <w:r w:rsidRPr="00135464">
                        <w:rPr>
                          <w:sz w:val="16"/>
                          <w:szCs w:val="16"/>
                        </w:rPr>
                        <w:t>IMPROVED REGULATORY FRAMEWORK IN TOURISM WITH FORMALIZATION OF TOURIS</w:t>
                      </w:r>
                      <w:r>
                        <w:rPr>
                          <w:sz w:val="16"/>
                          <w:szCs w:val="16"/>
                        </w:rPr>
                        <w:t>M TURNOVER</w:t>
                      </w:r>
                    </w:p>
                  </w:txbxContent>
                </v:textbox>
              </v:rect>
            </w:pict>
          </mc:Fallback>
        </mc:AlternateContent>
      </w:r>
      <w:r w:rsidR="0057739B" w:rsidRPr="003C7CB1">
        <w:rPr>
          <w:rFonts w:ascii="Calibri" w:eastAsia="Calibri" w:hAnsi="Calibri" w:cs="Times New Roman"/>
          <w:b/>
          <w:noProof/>
        </w:rPr>
        <mc:AlternateContent>
          <mc:Choice Requires="wps">
            <w:drawing>
              <wp:anchor distT="0" distB="0" distL="114300" distR="114300" simplePos="0" relativeHeight="251717120" behindDoc="0" locked="0" layoutInCell="1" allowOverlap="1" wp14:anchorId="4860F0F4" wp14:editId="4A08A100">
                <wp:simplePos x="0" y="0"/>
                <wp:positionH relativeFrom="column">
                  <wp:posOffset>6176010</wp:posOffset>
                </wp:positionH>
                <wp:positionV relativeFrom="paragraph">
                  <wp:posOffset>3968115</wp:posOffset>
                </wp:positionV>
                <wp:extent cx="1247775" cy="767715"/>
                <wp:effectExtent l="57150" t="38100" r="85725" b="89535"/>
                <wp:wrapNone/>
                <wp:docPr id="33" name="Rectangle 33"/>
                <wp:cNvGraphicFramePr/>
                <a:graphic xmlns:a="http://schemas.openxmlformats.org/drawingml/2006/main">
                  <a:graphicData uri="http://schemas.microsoft.com/office/word/2010/wordprocessingShape">
                    <wps:wsp>
                      <wps:cNvSpPr/>
                      <wps:spPr>
                        <a:xfrm>
                          <a:off x="0" y="0"/>
                          <a:ext cx="1247775" cy="76771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34D3B72" w14:textId="6A027846" w:rsidR="00193646" w:rsidRDefault="00193646" w:rsidP="005A681F">
                            <w:pPr>
                              <w:jc w:val="center"/>
                            </w:pPr>
                            <w:r w:rsidRPr="00135464">
                              <w:rPr>
                                <w:sz w:val="16"/>
                                <w:szCs w:val="16"/>
                              </w:rPr>
                              <w:t>IMPROVED QUALITY AND QUANTITY OF ACCOMMODATION CAPACITIES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0F0F4" id="Rectangle 33" o:spid="_x0000_s1075" style="position:absolute;margin-left:486.3pt;margin-top:312.45pt;width:98.25pt;height:60.4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" fillcolor="#9eeaff" strokecolor="#46aac5">
                <v:fill color2="#e4f9ff" rotate="t" angle="180" colors="0 #9eeaff;22938f #bbefff;1 #e4f9ff" focus="100%" type="gradient"/>
                <v:shadow on="t" color="black" opacity="24903f" origin=",.5" offset="0,.55556mm"/>
                <v:textbox>
                  <w:txbxContent>
                    <w:p w14:paraId="434D3B72" w14:textId="6A027846" w:rsidR="00193646" w:rsidRDefault="00193646" w:rsidP="005A681F">
                      <w:pPr>
                        <w:jc w:val="center"/>
                      </w:pPr>
                      <w:r w:rsidRPr="00135464">
                        <w:rPr>
                          <w:sz w:val="16"/>
                          <w:szCs w:val="16"/>
                        </w:rPr>
                        <w:t>IMPROVED QUALITY AND QUANTITY OF ACCOMMODATION CAPACITIES</w:t>
                      </w:r>
                    </w:p>
                  </w:txbxContent>
                </v:textbox>
              </v:rect>
            </w:pict>
          </mc:Fallback>
        </mc:AlternateContent>
      </w:r>
      <w:r w:rsidR="0057739B" w:rsidRPr="003C7CB1">
        <w:rPr>
          <w:rFonts w:ascii="Calibri" w:eastAsia="Calibri" w:hAnsi="Calibri" w:cs="Times New Roman"/>
          <w:b/>
          <w:noProof/>
        </w:rPr>
        <mc:AlternateContent>
          <mc:Choice Requires="wps">
            <w:drawing>
              <wp:anchor distT="0" distB="0" distL="114300" distR="114300" simplePos="0" relativeHeight="251793920" behindDoc="0" locked="0" layoutInCell="1" allowOverlap="1" wp14:anchorId="4815471B" wp14:editId="7355A2EF">
                <wp:simplePos x="0" y="0"/>
                <wp:positionH relativeFrom="column">
                  <wp:posOffset>4718649</wp:posOffset>
                </wp:positionH>
                <wp:positionV relativeFrom="paragraph">
                  <wp:posOffset>4735902</wp:posOffset>
                </wp:positionV>
                <wp:extent cx="1047750" cy="776377"/>
                <wp:effectExtent l="57150" t="38100" r="76200" b="100330"/>
                <wp:wrapNone/>
                <wp:docPr id="25" name="Rectangle 25"/>
                <wp:cNvGraphicFramePr/>
                <a:graphic xmlns:a="http://schemas.openxmlformats.org/drawingml/2006/main">
                  <a:graphicData uri="http://schemas.microsoft.com/office/word/2010/wordprocessingShape">
                    <wps:wsp>
                      <wps:cNvSpPr/>
                      <wps:spPr>
                        <a:xfrm>
                          <a:off x="0" y="0"/>
                          <a:ext cx="1047750" cy="776377"/>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6BCBFA2" w14:textId="7CB0B511" w:rsidR="00193646" w:rsidRPr="00135464" w:rsidRDefault="00193646" w:rsidP="005A681F">
                            <w:pPr>
                              <w:jc w:val="center"/>
                              <w:rPr>
                                <w:sz w:val="20"/>
                              </w:rPr>
                            </w:pPr>
                            <w:r w:rsidRPr="00135464">
                              <w:rPr>
                                <w:sz w:val="14"/>
                                <w:szCs w:val="16"/>
                              </w:rPr>
                              <w:t>IMPROVED TOURIST INFRASTRUCTURE AND ACCOMPANYING INFRA AND SUPRASTRUCTURE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5471B" id="Rectangle 25" o:spid="_x0000_s1076" style="position:absolute;margin-left:371.55pt;margin-top:372.9pt;width:82.5pt;height:61.1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" fillcolor="#9eeaff" strokecolor="#46aac5">
                <v:fill color2="#e4f9ff" rotate="t" angle="180" colors="0 #9eeaff;22938f #bbefff;1 #e4f9ff" focus="100%" type="gradient"/>
                <v:shadow on="t" color="black" opacity="24903f" origin=",.5" offset="0,.55556mm"/>
                <v:textbox>
                  <w:txbxContent>
                    <w:p w14:paraId="46BCBFA2" w14:textId="7CB0B511" w:rsidR="00193646" w:rsidRPr="00135464" w:rsidRDefault="00193646" w:rsidP="005A681F">
                      <w:pPr>
                        <w:jc w:val="center"/>
                        <w:rPr>
                          <w:sz w:val="20"/>
                        </w:rPr>
                      </w:pPr>
                      <w:r w:rsidRPr="00135464">
                        <w:rPr>
                          <w:sz w:val="14"/>
                          <w:szCs w:val="16"/>
                        </w:rPr>
                        <w:t>IMPROVED TOURIST INFRASTRUCTURE AND ACCOMPANYING INFRA AND SUPRASTRUCTURE</w:t>
                      </w:r>
                    </w:p>
                  </w:txbxContent>
                </v:textbox>
              </v:rect>
            </w:pict>
          </mc:Fallback>
        </mc:AlternateContent>
      </w:r>
      <w:r w:rsidR="0057739B" w:rsidRPr="003C7CB1">
        <w:rPr>
          <w:rFonts w:ascii="Calibri" w:eastAsia="Calibri" w:hAnsi="Calibri" w:cs="Times New Roman"/>
          <w:b/>
          <w:noProof/>
        </w:rPr>
        <mc:AlternateContent>
          <mc:Choice Requires="wps">
            <w:drawing>
              <wp:anchor distT="0" distB="0" distL="114300" distR="114300" simplePos="0" relativeHeight="251796992" behindDoc="0" locked="0" layoutInCell="1" allowOverlap="1" wp14:anchorId="375899A5" wp14:editId="5D0B1B4B">
                <wp:simplePos x="0" y="0"/>
                <wp:positionH relativeFrom="column">
                  <wp:posOffset>7496175</wp:posOffset>
                </wp:positionH>
                <wp:positionV relativeFrom="paragraph">
                  <wp:posOffset>4735830</wp:posOffset>
                </wp:positionV>
                <wp:extent cx="1428750" cy="695325"/>
                <wp:effectExtent l="57150" t="38100" r="76200" b="104775"/>
                <wp:wrapNone/>
                <wp:docPr id="23" name="Rectangle 23"/>
                <wp:cNvGraphicFramePr/>
                <a:graphic xmlns:a="http://schemas.openxmlformats.org/drawingml/2006/main">
                  <a:graphicData uri="http://schemas.microsoft.com/office/word/2010/wordprocessingShape">
                    <wps:wsp>
                      <wps:cNvSpPr/>
                      <wps:spPr>
                        <a:xfrm>
                          <a:off x="0" y="0"/>
                          <a:ext cx="1428750" cy="69532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C31CAA6" w14:textId="3A695F95" w:rsidR="00193646" w:rsidRDefault="00193646" w:rsidP="005A681F">
                            <w:pPr>
                              <w:jc w:val="center"/>
                            </w:pPr>
                            <w:r w:rsidRPr="00135464">
                              <w:rPr>
                                <w:sz w:val="16"/>
                                <w:szCs w:val="16"/>
                              </w:rPr>
                              <w:t>DEVELOPMENT OF DIGITAL, INNOVATIVE SOLUTIONS AND NEW TECHNOLOGIES IN 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899A5" id="Rectangle 23" o:spid="_x0000_s1077" style="position:absolute;margin-left:590.25pt;margin-top:372.9pt;width:112.5pt;height:54.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" fillcolor="#9eeaff" strokecolor="#46aac5">
                <v:fill color2="#e4f9ff" rotate="t" angle="180" colors="0 #9eeaff;22938f #bbefff;1 #e4f9ff" focus="100%" type="gradient"/>
                <v:shadow on="t" color="black" opacity="24903f" origin=",.5" offset="0,.55556mm"/>
                <v:textbox>
                  <w:txbxContent>
                    <w:p w14:paraId="5C31CAA6" w14:textId="3A695F95" w:rsidR="00193646" w:rsidRDefault="00193646" w:rsidP="005A681F">
                      <w:pPr>
                        <w:jc w:val="center"/>
                      </w:pPr>
                      <w:r w:rsidRPr="00135464">
                        <w:rPr>
                          <w:sz w:val="16"/>
                          <w:szCs w:val="16"/>
                        </w:rPr>
                        <w:t>DEVELOPMENT OF DIGITAL, INNOVATIVE SOLUTIONS AND NEW TECHNOLOGIES IN TOURISM</w:t>
                      </w:r>
                    </w:p>
                  </w:txbxContent>
                </v:textbox>
              </v:rect>
            </w:pict>
          </mc:Fallback>
        </mc:AlternateContent>
      </w:r>
      <w:r w:rsidR="00BD3DBB" w:rsidRPr="003C7CB1">
        <w:rPr>
          <w:rFonts w:ascii="Calibri" w:eastAsia="Calibri" w:hAnsi="Calibri" w:cs="Times New Roman"/>
          <w:b/>
          <w:noProof/>
        </w:rPr>
        <mc:AlternateContent>
          <mc:Choice Requires="wps">
            <w:drawing>
              <wp:anchor distT="0" distB="0" distL="114300" distR="114300" simplePos="0" relativeHeight="251790848" behindDoc="0" locked="0" layoutInCell="1" allowOverlap="1" wp14:anchorId="0E22E99C" wp14:editId="6C68C595">
                <wp:simplePos x="0" y="0"/>
                <wp:positionH relativeFrom="column">
                  <wp:posOffset>7574507</wp:posOffset>
                </wp:positionH>
                <wp:positionV relativeFrom="paragraph">
                  <wp:posOffset>3971499</wp:posOffset>
                </wp:positionV>
                <wp:extent cx="1669577" cy="509516"/>
                <wp:effectExtent l="57150" t="38100" r="83185" b="100330"/>
                <wp:wrapNone/>
                <wp:docPr id="31" name="Rectangle 31"/>
                <wp:cNvGraphicFramePr/>
                <a:graphic xmlns:a="http://schemas.openxmlformats.org/drawingml/2006/main">
                  <a:graphicData uri="http://schemas.microsoft.com/office/word/2010/wordprocessingShape">
                    <wps:wsp>
                      <wps:cNvSpPr/>
                      <wps:spPr>
                        <a:xfrm>
                          <a:off x="0" y="0"/>
                          <a:ext cx="1669577" cy="509516"/>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C7A0AAA" w14:textId="26FA0763" w:rsidR="00193646" w:rsidRDefault="00193646" w:rsidP="005A681F">
                            <w:pPr>
                              <w:jc w:val="center"/>
                            </w:pPr>
                            <w:r w:rsidRPr="00135464">
                              <w:rPr>
                                <w:sz w:val="16"/>
                                <w:szCs w:val="16"/>
                              </w:rPr>
                              <w:t>IMPROVED HUMAN RESOURCES, KNOWLEDGE AND SKILLS IN 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2E99C" id="Rectangle 31" o:spid="_x0000_s1078" style="position:absolute;margin-left:596.4pt;margin-top:312.7pt;width:131.45pt;height:40.1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" fillcolor="#9eeaff" strokecolor="#46aac5">
                <v:fill color2="#e4f9ff" rotate="t" angle="180" colors="0 #9eeaff;22938f #bbefff;1 #e4f9ff" focus="100%" type="gradient"/>
                <v:shadow on="t" color="black" opacity="24903f" origin=",.5" offset="0,.55556mm"/>
                <v:textbox>
                  <w:txbxContent>
                    <w:p w14:paraId="6C7A0AAA" w14:textId="26FA0763" w:rsidR="00193646" w:rsidRDefault="00193646" w:rsidP="005A681F">
                      <w:pPr>
                        <w:jc w:val="center"/>
                      </w:pPr>
                      <w:r w:rsidRPr="00135464">
                        <w:rPr>
                          <w:sz w:val="16"/>
                          <w:szCs w:val="16"/>
                        </w:rPr>
                        <w:t>IMPROVED HUMAN RESOURCES, KNOWLEDGE AND SKILLS IN TOURISM</w:t>
                      </w:r>
                    </w:p>
                  </w:txbxContent>
                </v:textbox>
              </v:rect>
            </w:pict>
          </mc:Fallback>
        </mc:AlternateContent>
      </w:r>
      <w:r w:rsidR="00AB6959" w:rsidRPr="003C7CB1">
        <w:rPr>
          <w:rFonts w:ascii="Calibri" w:eastAsia="Calibri" w:hAnsi="Calibri" w:cs="Times New Roman"/>
          <w:b/>
          <w:noProof/>
        </w:rPr>
        <mc:AlternateContent>
          <mc:Choice Requires="wps">
            <w:drawing>
              <wp:anchor distT="0" distB="0" distL="114300" distR="114300" simplePos="0" relativeHeight="251699712" behindDoc="0" locked="0" layoutInCell="1" allowOverlap="1" wp14:anchorId="0A70E303" wp14:editId="27C1A390">
                <wp:simplePos x="0" y="0"/>
                <wp:positionH relativeFrom="column">
                  <wp:posOffset>5918560</wp:posOffset>
                </wp:positionH>
                <wp:positionV relativeFrom="paragraph">
                  <wp:posOffset>5709124</wp:posOffset>
                </wp:positionV>
                <wp:extent cx="1304925" cy="509516"/>
                <wp:effectExtent l="57150" t="38100" r="85725" b="100330"/>
                <wp:wrapNone/>
                <wp:docPr id="21" name="Rectangle 21"/>
                <wp:cNvGraphicFramePr/>
                <a:graphic xmlns:a="http://schemas.openxmlformats.org/drawingml/2006/main">
                  <a:graphicData uri="http://schemas.microsoft.com/office/word/2010/wordprocessingShape">
                    <wps:wsp>
                      <wps:cNvSpPr/>
                      <wps:spPr>
                        <a:xfrm>
                          <a:off x="0" y="0"/>
                          <a:ext cx="1304925" cy="509516"/>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A9BC722" w14:textId="75B34737" w:rsidR="00193646" w:rsidRDefault="00193646" w:rsidP="005A681F">
                            <w:pPr>
                              <w:jc w:val="center"/>
                            </w:pPr>
                            <w:r w:rsidRPr="00135464">
                              <w:rPr>
                                <w:sz w:val="16"/>
                                <w:szCs w:val="16"/>
                              </w:rPr>
                              <w:t>GLOBALLY RECOGNIZABLE DESTINATION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0E303" id="Rectangle 21" o:spid="_x0000_s1079" style="position:absolute;margin-left:466.05pt;margin-top:449.55pt;width:102.75pt;height:40.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" fillcolor="#9eeaff" strokecolor="#46aac5">
                <v:fill color2="#e4f9ff" rotate="t" angle="180" colors="0 #9eeaff;22938f #bbefff;1 #e4f9ff" focus="100%" type="gradient"/>
                <v:shadow on="t" color="black" opacity="24903f" origin=",.5" offset="0,.55556mm"/>
                <v:textbox>
                  <w:txbxContent>
                    <w:p w14:paraId="0A9BC722" w14:textId="75B34737" w:rsidR="00193646" w:rsidRDefault="00193646" w:rsidP="005A681F">
                      <w:pPr>
                        <w:jc w:val="center"/>
                      </w:pPr>
                      <w:r w:rsidRPr="00135464">
                        <w:rPr>
                          <w:sz w:val="16"/>
                          <w:szCs w:val="16"/>
                        </w:rPr>
                        <w:t>GLOBALLY RECOGNIZABLE DESTINATION</w:t>
                      </w:r>
                    </w:p>
                  </w:txbxContent>
                </v:textbox>
              </v:rect>
            </w:pict>
          </mc:Fallback>
        </mc:AlternateContent>
      </w:r>
      <w:r w:rsidR="00FB5938" w:rsidRPr="003C7CB1">
        <w:rPr>
          <w:rFonts w:ascii="Calibri" w:eastAsia="Calibri" w:hAnsi="Calibri" w:cs="Times New Roman"/>
          <w:b/>
          <w:noProof/>
        </w:rPr>
        <w:drawing>
          <wp:anchor distT="0" distB="0" distL="114300" distR="114300" simplePos="0" relativeHeight="251726336" behindDoc="1" locked="0" layoutInCell="1" allowOverlap="1" wp14:anchorId="4AAC8B00" wp14:editId="585D67F9">
            <wp:simplePos x="0" y="0"/>
            <wp:positionH relativeFrom="margin">
              <wp:align>right</wp:align>
            </wp:positionH>
            <wp:positionV relativeFrom="paragraph">
              <wp:posOffset>-152400</wp:posOffset>
            </wp:positionV>
            <wp:extent cx="4543425" cy="6229350"/>
            <wp:effectExtent l="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43425" cy="6229350"/>
                    </a:xfrm>
                    <a:prstGeom prst="rect">
                      <a:avLst/>
                    </a:prstGeom>
                    <a:noFill/>
                  </pic:spPr>
                </pic:pic>
              </a:graphicData>
            </a:graphic>
            <wp14:sizeRelH relativeFrom="margin">
              <wp14:pctWidth>0</wp14:pctWidth>
            </wp14:sizeRelH>
            <wp14:sizeRelV relativeFrom="margin">
              <wp14:pctHeight>0</wp14:pctHeight>
            </wp14:sizeRelV>
          </wp:anchor>
        </w:drawing>
      </w:r>
      <w:r w:rsidR="005A681F" w:rsidRPr="003C7CB1">
        <w:rPr>
          <w:rFonts w:ascii="Calibri" w:eastAsia="Calibri" w:hAnsi="Calibri" w:cs="Times New Roman"/>
          <w:b/>
          <w:noProof/>
        </w:rPr>
        <mc:AlternateContent>
          <mc:Choice Requires="wps">
            <w:drawing>
              <wp:anchor distT="0" distB="0" distL="114300" distR="114300" simplePos="0" relativeHeight="251522560" behindDoc="0" locked="0" layoutInCell="1" allowOverlap="1" wp14:anchorId="126AA7A8" wp14:editId="20AE9699">
                <wp:simplePos x="0" y="0"/>
                <wp:positionH relativeFrom="column">
                  <wp:posOffset>5968512</wp:posOffset>
                </wp:positionH>
                <wp:positionV relativeFrom="paragraph">
                  <wp:posOffset>553475</wp:posOffset>
                </wp:positionV>
                <wp:extent cx="971550" cy="371475"/>
                <wp:effectExtent l="57150" t="38100" r="76200" b="104775"/>
                <wp:wrapNone/>
                <wp:docPr id="3" name="Rectangle 3"/>
                <wp:cNvGraphicFramePr/>
                <a:graphic xmlns:a="http://schemas.openxmlformats.org/drawingml/2006/main">
                  <a:graphicData uri="http://schemas.microsoft.com/office/word/2010/wordprocessingShape">
                    <wps:wsp>
                      <wps:cNvSpPr/>
                      <wps:spPr>
                        <a:xfrm>
                          <a:off x="0" y="0"/>
                          <a:ext cx="971550" cy="37147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3F9D4F2" w14:textId="064FEE6B" w:rsidR="00193646" w:rsidRPr="00741B30" w:rsidRDefault="00193646" w:rsidP="005A681F">
                            <w:pPr>
                              <w:jc w:val="center"/>
                              <w:rPr>
                                <w:sz w:val="16"/>
                                <w:szCs w:val="16"/>
                                <w:lang w:val="sr-Latn-ME"/>
                              </w:rPr>
                            </w:pPr>
                            <w:r w:rsidRPr="00C931D5">
                              <w:rPr>
                                <w:sz w:val="16"/>
                                <w:szCs w:val="16"/>
                                <w:lang w:val="sr-Latn-ME"/>
                              </w:rPr>
                              <w:t>EQUAL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AA7A8" id="Rectangle 3" o:spid="_x0000_s1080" style="position:absolute;margin-left:469.95pt;margin-top:43.6pt;width:76.5pt;height:29.2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" fillcolor="#9eeaff" strokecolor="#46aac5">
                <v:fill color2="#e4f9ff" rotate="t" angle="180" colors="0 #9eeaff;22938f #bbefff;1 #e4f9ff" focus="100%" type="gradient"/>
                <v:shadow on="t" color="black" opacity="24903f" origin=",.5" offset="0,.55556mm"/>
                <v:textbox>
                  <w:txbxContent>
                    <w:p w14:paraId="63F9D4F2" w14:textId="064FEE6B" w:rsidR="00193646" w:rsidRPr="00741B30" w:rsidRDefault="00193646" w:rsidP="005A681F">
                      <w:pPr>
                        <w:jc w:val="center"/>
                        <w:rPr>
                          <w:sz w:val="16"/>
                          <w:szCs w:val="16"/>
                          <w:lang w:val="sr-Latn-ME"/>
                        </w:rPr>
                      </w:pPr>
                      <w:r w:rsidRPr="00C931D5">
                        <w:rPr>
                          <w:sz w:val="16"/>
                          <w:szCs w:val="16"/>
                          <w:lang w:val="sr-Latn-ME"/>
                        </w:rPr>
                        <w:t>EQUAL DEVELOPMENT</w:t>
                      </w:r>
                    </w:p>
                  </w:txbxContent>
                </v:textbox>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737600" behindDoc="0" locked="0" layoutInCell="1" allowOverlap="1" wp14:anchorId="64D438C2" wp14:editId="3C9247C3">
                <wp:simplePos x="0" y="0"/>
                <wp:positionH relativeFrom="margin">
                  <wp:posOffset>7326239</wp:posOffset>
                </wp:positionH>
                <wp:positionV relativeFrom="paragraph">
                  <wp:posOffset>1066361</wp:posOffset>
                </wp:positionV>
                <wp:extent cx="847725" cy="352425"/>
                <wp:effectExtent l="57150" t="38100" r="85725" b="104775"/>
                <wp:wrapNone/>
                <wp:docPr id="10" name="Rectangle 10"/>
                <wp:cNvGraphicFramePr/>
                <a:graphic xmlns:a="http://schemas.openxmlformats.org/drawingml/2006/main">
                  <a:graphicData uri="http://schemas.microsoft.com/office/word/2010/wordprocessingShape">
                    <wps:wsp>
                      <wps:cNvSpPr/>
                      <wps:spPr>
                        <a:xfrm>
                          <a:off x="0" y="0"/>
                          <a:ext cx="847725" cy="35242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425AD55" w14:textId="6F900CFF" w:rsidR="00193646" w:rsidRPr="00851359" w:rsidRDefault="00193646" w:rsidP="005A681F">
                            <w:pPr>
                              <w:jc w:val="center"/>
                              <w:rPr>
                                <w:sz w:val="16"/>
                                <w:szCs w:val="16"/>
                                <w:lang w:val="sr-Latn-ME"/>
                              </w:rPr>
                            </w:pPr>
                            <w:r w:rsidRPr="00C931D5">
                              <w:rPr>
                                <w:sz w:val="16"/>
                                <w:szCs w:val="16"/>
                                <w:lang w:val="sr-Latn-ME"/>
                              </w:rPr>
                              <w:t>QUALITY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438C2" id="Rectangle 10" o:spid="_x0000_s1081" style="position:absolute;margin-left:576.85pt;margin-top:83.95pt;width:66.75pt;height:27.75pt;z-index:2517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" fillcolor="#9eeaff" strokecolor="#46aac5">
                <v:fill color2="#e4f9ff" rotate="t" angle="180" colors="0 #9eeaff;22938f #bbefff;1 #e4f9ff" focus="100%" type="gradient"/>
                <v:shadow on="t" color="black" opacity="24903f" origin=",.5" offset="0,.55556mm"/>
                <v:textbox>
                  <w:txbxContent>
                    <w:p w14:paraId="6425AD55" w14:textId="6F900CFF" w:rsidR="00193646" w:rsidRPr="00851359" w:rsidRDefault="00193646" w:rsidP="005A681F">
                      <w:pPr>
                        <w:jc w:val="center"/>
                        <w:rPr>
                          <w:sz w:val="16"/>
                          <w:szCs w:val="16"/>
                          <w:lang w:val="sr-Latn-ME"/>
                        </w:rPr>
                      </w:pPr>
                      <w:r w:rsidRPr="00C931D5">
                        <w:rPr>
                          <w:sz w:val="16"/>
                          <w:szCs w:val="16"/>
                          <w:lang w:val="sr-Latn-ME"/>
                        </w:rPr>
                        <w:t>QUALITY SERVICE</w:t>
                      </w:r>
                    </w:p>
                  </w:txbxContent>
                </v:textbox>
                <w10:wrap anchorx="margin"/>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542016" behindDoc="0" locked="0" layoutInCell="1" allowOverlap="1" wp14:anchorId="52D7E326" wp14:editId="3F320471">
                <wp:simplePos x="0" y="0"/>
                <wp:positionH relativeFrom="margin">
                  <wp:posOffset>7339427</wp:posOffset>
                </wp:positionH>
                <wp:positionV relativeFrom="paragraph">
                  <wp:posOffset>461743</wp:posOffset>
                </wp:positionV>
                <wp:extent cx="904875" cy="381000"/>
                <wp:effectExtent l="57150" t="38100" r="85725" b="95250"/>
                <wp:wrapNone/>
                <wp:docPr id="16" name="Rectangle 16"/>
                <wp:cNvGraphicFramePr/>
                <a:graphic xmlns:a="http://schemas.openxmlformats.org/drawingml/2006/main">
                  <a:graphicData uri="http://schemas.microsoft.com/office/word/2010/wordprocessingShape">
                    <wps:wsp>
                      <wps:cNvSpPr/>
                      <wps:spPr>
                        <a:xfrm>
                          <a:off x="0" y="0"/>
                          <a:ext cx="904875" cy="3810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9B75876" w14:textId="3901E287" w:rsidR="00193646" w:rsidRPr="00741B30" w:rsidRDefault="00193646" w:rsidP="005A681F">
                            <w:pPr>
                              <w:jc w:val="center"/>
                              <w:rPr>
                                <w:sz w:val="16"/>
                                <w:szCs w:val="16"/>
                                <w:lang w:val="sr-Latn-ME"/>
                              </w:rPr>
                            </w:pPr>
                            <w:r w:rsidRPr="00C931D5">
                              <w:rPr>
                                <w:sz w:val="16"/>
                                <w:szCs w:val="16"/>
                                <w:lang w:val="sr-Latn-ME"/>
                              </w:rPr>
                              <w:t xml:space="preserve">IMPROVED ACCESSIBILITY </w:t>
                            </w:r>
                            <w:r>
                              <w:rPr>
                                <w:sz w:val="16"/>
                                <w:szCs w:val="16"/>
                                <w:lang w:val="sr-Latn-ME"/>
                              </w:rPr>
                              <w:t>CG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7E326" id="Rectangle 16" o:spid="_x0000_s1082" style="position:absolute;margin-left:577.9pt;margin-top:36.35pt;width:71.25pt;height:30pt;z-index:2515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" fillcolor="#9eeaff" strokecolor="#46aac5">
                <v:fill color2="#e4f9ff" rotate="t" angle="180" colors="0 #9eeaff;22938f #bbefff;1 #e4f9ff" focus="100%" type="gradient"/>
                <v:shadow on="t" color="black" opacity="24903f" origin=",.5" offset="0,.55556mm"/>
                <v:textbox>
                  <w:txbxContent>
                    <w:p w14:paraId="49B75876" w14:textId="3901E287" w:rsidR="00193646" w:rsidRPr="00741B30" w:rsidRDefault="00193646" w:rsidP="005A681F">
                      <w:pPr>
                        <w:jc w:val="center"/>
                        <w:rPr>
                          <w:sz w:val="16"/>
                          <w:szCs w:val="16"/>
                          <w:lang w:val="sr-Latn-ME"/>
                        </w:rPr>
                      </w:pPr>
                      <w:r w:rsidRPr="00C931D5">
                        <w:rPr>
                          <w:sz w:val="16"/>
                          <w:szCs w:val="16"/>
                          <w:lang w:val="sr-Latn-ME"/>
                        </w:rPr>
                        <w:t xml:space="preserve">IMPROVED ACCESSIBILITY </w:t>
                      </w:r>
                      <w:r>
                        <w:rPr>
                          <w:sz w:val="16"/>
                          <w:szCs w:val="16"/>
                          <w:lang w:val="sr-Latn-ME"/>
                        </w:rPr>
                        <w:t>CG</w:t>
                      </w:r>
                    </w:p>
                  </w:txbxContent>
                </v:textbox>
                <w10:wrap anchorx="margin"/>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776512" behindDoc="0" locked="0" layoutInCell="1" allowOverlap="1" wp14:anchorId="7CE14282" wp14:editId="36509507">
                <wp:simplePos x="0" y="0"/>
                <wp:positionH relativeFrom="column">
                  <wp:posOffset>7277100</wp:posOffset>
                </wp:positionH>
                <wp:positionV relativeFrom="paragraph">
                  <wp:posOffset>1619250</wp:posOffset>
                </wp:positionV>
                <wp:extent cx="1181100" cy="476250"/>
                <wp:effectExtent l="57150" t="38100" r="76200" b="95250"/>
                <wp:wrapNone/>
                <wp:docPr id="29" name="Rectangle 29"/>
                <wp:cNvGraphicFramePr/>
                <a:graphic xmlns:a="http://schemas.openxmlformats.org/drawingml/2006/main">
                  <a:graphicData uri="http://schemas.microsoft.com/office/word/2010/wordprocessingShape">
                    <wps:wsp>
                      <wps:cNvSpPr/>
                      <wps:spPr>
                        <a:xfrm>
                          <a:off x="0" y="0"/>
                          <a:ext cx="1181100" cy="4762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17E1B62" w14:textId="02D29DD1" w:rsidR="00193646" w:rsidRPr="00851359" w:rsidRDefault="00193646" w:rsidP="005A681F">
                            <w:pPr>
                              <w:jc w:val="center"/>
                              <w:rPr>
                                <w:sz w:val="16"/>
                                <w:szCs w:val="16"/>
                                <w:lang w:val="sr-Latn-ME"/>
                              </w:rPr>
                            </w:pPr>
                            <w:r w:rsidRPr="00C931D5">
                              <w:rPr>
                                <w:sz w:val="16"/>
                                <w:szCs w:val="16"/>
                                <w:lang w:val="sr-Latn-ME"/>
                              </w:rPr>
                              <w:t>MINIMIZED ENVIRONMENTAL PROBLEMS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4282" id="Rectangle 29" o:spid="_x0000_s1083" style="position:absolute;margin-left:573pt;margin-top:127.5pt;width:93pt;height:37.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" fillcolor="#9eeaff" strokecolor="#46aac5">
                <v:fill color2="#e4f9ff" rotate="t" angle="180" colors="0 #9eeaff;22938f #bbefff;1 #e4f9ff" focus="100%" type="gradient"/>
                <v:shadow on="t" color="black" opacity="24903f" origin=",.5" offset="0,.55556mm"/>
                <v:textbox>
                  <w:txbxContent>
                    <w:p w14:paraId="617E1B62" w14:textId="02D29DD1" w:rsidR="00193646" w:rsidRPr="00851359" w:rsidRDefault="00193646" w:rsidP="005A681F">
                      <w:pPr>
                        <w:jc w:val="center"/>
                        <w:rPr>
                          <w:sz w:val="16"/>
                          <w:szCs w:val="16"/>
                          <w:lang w:val="sr-Latn-ME"/>
                        </w:rPr>
                      </w:pPr>
                      <w:r w:rsidRPr="00C931D5">
                        <w:rPr>
                          <w:sz w:val="16"/>
                          <w:szCs w:val="16"/>
                          <w:lang w:val="sr-Latn-ME"/>
                        </w:rPr>
                        <w:t>MINIMIZED ENVIRONMENTAL PROBLEMS</w:t>
                      </w:r>
                    </w:p>
                  </w:txbxContent>
                </v:textbox>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515392" behindDoc="0" locked="0" layoutInCell="1" allowOverlap="1" wp14:anchorId="019C4368" wp14:editId="62D2AE44">
                <wp:simplePos x="0" y="0"/>
                <wp:positionH relativeFrom="column">
                  <wp:posOffset>4629150</wp:posOffset>
                </wp:positionH>
                <wp:positionV relativeFrom="paragraph">
                  <wp:posOffset>409575</wp:posOffset>
                </wp:positionV>
                <wp:extent cx="990600" cy="390525"/>
                <wp:effectExtent l="57150" t="38100" r="76200" b="104775"/>
                <wp:wrapNone/>
                <wp:docPr id="9" name="Rectangle 9"/>
                <wp:cNvGraphicFramePr/>
                <a:graphic xmlns:a="http://schemas.openxmlformats.org/drawingml/2006/main">
                  <a:graphicData uri="http://schemas.microsoft.com/office/word/2010/wordprocessingShape">
                    <wps:wsp>
                      <wps:cNvSpPr/>
                      <wps:spPr>
                        <a:xfrm>
                          <a:off x="0" y="0"/>
                          <a:ext cx="990600" cy="39052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0B0E8C6" w14:textId="797CAEAC" w:rsidR="00193646" w:rsidRPr="00741B30" w:rsidRDefault="00193646" w:rsidP="005A681F">
                            <w:pPr>
                              <w:jc w:val="center"/>
                              <w:rPr>
                                <w:sz w:val="16"/>
                                <w:szCs w:val="16"/>
                                <w:lang w:val="sr-Latn-ME"/>
                              </w:rPr>
                            </w:pPr>
                            <w:r>
                              <w:rPr>
                                <w:sz w:val="16"/>
                                <w:szCs w:val="16"/>
                                <w:lang w:val="sr-Latn-ME"/>
                              </w:rPr>
                              <w:t xml:space="preserve">A </w:t>
                            </w:r>
                            <w:r w:rsidRPr="00C931D5">
                              <w:rPr>
                                <w:sz w:val="16"/>
                                <w:szCs w:val="16"/>
                                <w:lang w:val="sr-Latn-ME"/>
                              </w:rPr>
                              <w:t>YEAR ROUND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C4368" id="Rectangle 9" o:spid="_x0000_s1084" style="position:absolute;margin-left:364.5pt;margin-top:32.25pt;width:78pt;height:30.7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" fillcolor="#9eeaff" strokecolor="#46aac5">
                <v:fill color2="#e4f9ff" rotate="t" angle="180" colors="0 #9eeaff;22938f #bbefff;1 #e4f9ff" focus="100%" type="gradient"/>
                <v:shadow on="t" color="black" opacity="24903f" origin=",.5" offset="0,.55556mm"/>
                <v:textbox>
                  <w:txbxContent>
                    <w:p w14:paraId="60B0E8C6" w14:textId="797CAEAC" w:rsidR="00193646" w:rsidRPr="00741B30" w:rsidRDefault="00193646" w:rsidP="005A681F">
                      <w:pPr>
                        <w:jc w:val="center"/>
                        <w:rPr>
                          <w:sz w:val="16"/>
                          <w:szCs w:val="16"/>
                          <w:lang w:val="sr-Latn-ME"/>
                        </w:rPr>
                      </w:pPr>
                      <w:r>
                        <w:rPr>
                          <w:sz w:val="16"/>
                          <w:szCs w:val="16"/>
                          <w:lang w:val="sr-Latn-ME"/>
                        </w:rPr>
                        <w:t xml:space="preserve">A </w:t>
                      </w:r>
                      <w:r w:rsidRPr="00C931D5">
                        <w:rPr>
                          <w:sz w:val="16"/>
                          <w:szCs w:val="16"/>
                          <w:lang w:val="sr-Latn-ME"/>
                        </w:rPr>
                        <w:t>YEAR ROUND PRODUCT</w:t>
                      </w:r>
                    </w:p>
                  </w:txbxContent>
                </v:textbox>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556352" behindDoc="0" locked="0" layoutInCell="1" allowOverlap="1" wp14:anchorId="47745D77" wp14:editId="56327FB6">
                <wp:simplePos x="0" y="0"/>
                <wp:positionH relativeFrom="column">
                  <wp:posOffset>4619625</wp:posOffset>
                </wp:positionH>
                <wp:positionV relativeFrom="paragraph">
                  <wp:posOffset>1028700</wp:posOffset>
                </wp:positionV>
                <wp:extent cx="962025" cy="485775"/>
                <wp:effectExtent l="57150" t="38100" r="85725" b="104775"/>
                <wp:wrapNone/>
                <wp:docPr id="18" name="Rectangle 18"/>
                <wp:cNvGraphicFramePr/>
                <a:graphic xmlns:a="http://schemas.openxmlformats.org/drawingml/2006/main">
                  <a:graphicData uri="http://schemas.microsoft.com/office/word/2010/wordprocessingShape">
                    <wps:wsp>
                      <wps:cNvSpPr/>
                      <wps:spPr>
                        <a:xfrm>
                          <a:off x="0" y="0"/>
                          <a:ext cx="962025" cy="48577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9F8942C" w14:textId="6FDF96AC" w:rsidR="00193646" w:rsidRPr="00741B30" w:rsidRDefault="00193646" w:rsidP="005A681F">
                            <w:pPr>
                              <w:jc w:val="center"/>
                              <w:rPr>
                                <w:sz w:val="16"/>
                                <w:szCs w:val="16"/>
                                <w:lang w:val="sr-Latn-ME"/>
                              </w:rPr>
                            </w:pPr>
                            <w:r w:rsidRPr="00C931D5">
                              <w:rPr>
                                <w:sz w:val="16"/>
                                <w:szCs w:val="16"/>
                                <w:lang w:val="sr-Latn-ME"/>
                              </w:rPr>
                              <w:t>SUSTAINABLE DESTINATION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45D77" id="Rectangle 18" o:spid="_x0000_s1085" style="position:absolute;margin-left:363.75pt;margin-top:81pt;width:75.75pt;height:38.2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" fillcolor="#9eeaff" strokecolor="#46aac5">
                <v:fill color2="#e4f9ff" rotate="t" angle="180" colors="0 #9eeaff;22938f #bbefff;1 #e4f9ff" focus="100%" type="gradient"/>
                <v:shadow on="t" color="black" opacity="24903f" origin=",.5" offset="0,.55556mm"/>
                <v:textbox>
                  <w:txbxContent>
                    <w:p w14:paraId="69F8942C" w14:textId="6FDF96AC" w:rsidR="00193646" w:rsidRPr="00741B30" w:rsidRDefault="00193646" w:rsidP="005A681F">
                      <w:pPr>
                        <w:jc w:val="center"/>
                        <w:rPr>
                          <w:sz w:val="16"/>
                          <w:szCs w:val="16"/>
                          <w:lang w:val="sr-Latn-ME"/>
                        </w:rPr>
                      </w:pPr>
                      <w:r w:rsidRPr="00C931D5">
                        <w:rPr>
                          <w:sz w:val="16"/>
                          <w:szCs w:val="16"/>
                          <w:lang w:val="sr-Latn-ME"/>
                        </w:rPr>
                        <w:t>SUSTAINABLE DESTINATION MANAGEMENT</w:t>
                      </w:r>
                    </w:p>
                  </w:txbxContent>
                </v:textbox>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748864" behindDoc="0" locked="0" layoutInCell="1" allowOverlap="1" wp14:anchorId="6A5A4F04" wp14:editId="25964DDB">
                <wp:simplePos x="0" y="0"/>
                <wp:positionH relativeFrom="column">
                  <wp:posOffset>4591050</wp:posOffset>
                </wp:positionH>
                <wp:positionV relativeFrom="paragraph">
                  <wp:posOffset>1714500</wp:posOffset>
                </wp:positionV>
                <wp:extent cx="1114425" cy="647700"/>
                <wp:effectExtent l="57150" t="38100" r="85725" b="95250"/>
                <wp:wrapNone/>
                <wp:docPr id="11" name="Rectangle 11"/>
                <wp:cNvGraphicFramePr/>
                <a:graphic xmlns:a="http://schemas.openxmlformats.org/drawingml/2006/main">
                  <a:graphicData uri="http://schemas.microsoft.com/office/word/2010/wordprocessingShape">
                    <wps:wsp>
                      <wps:cNvSpPr/>
                      <wps:spPr>
                        <a:xfrm>
                          <a:off x="0" y="0"/>
                          <a:ext cx="1114425" cy="6477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D5B0451" w14:textId="6D7297C5" w:rsidR="00193646" w:rsidRPr="00851359" w:rsidRDefault="00193646" w:rsidP="005A681F">
                            <w:pPr>
                              <w:jc w:val="center"/>
                              <w:rPr>
                                <w:lang w:val="sr-Latn-ME"/>
                              </w:rPr>
                            </w:pPr>
                            <w:r w:rsidRPr="00C931D5">
                              <w:rPr>
                                <w:sz w:val="16"/>
                                <w:szCs w:val="16"/>
                                <w:lang w:val="sr-Latn-ME"/>
                              </w:rPr>
                              <w:t>PRIORITIZATION OF TOURISM IN DEVELOPMENT POLICIES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A4F04" id="Rectangle 11" o:spid="_x0000_s1086" style="position:absolute;margin-left:361.5pt;margin-top:135pt;width:87.75pt;height:51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" fillcolor="#9eeaff" strokecolor="#46aac5">
                <v:fill color2="#e4f9ff" rotate="t" angle="180" colors="0 #9eeaff;22938f #bbefff;1 #e4f9ff" focus="100%" type="gradient"/>
                <v:shadow on="t" color="black" opacity="24903f" origin=",.5" offset="0,.55556mm"/>
                <v:textbox>
                  <w:txbxContent>
                    <w:p w14:paraId="7D5B0451" w14:textId="6D7297C5" w:rsidR="00193646" w:rsidRPr="00851359" w:rsidRDefault="00193646" w:rsidP="005A681F">
                      <w:pPr>
                        <w:jc w:val="center"/>
                        <w:rPr>
                          <w:lang w:val="sr-Latn-ME"/>
                        </w:rPr>
                      </w:pPr>
                      <w:r w:rsidRPr="00C931D5">
                        <w:rPr>
                          <w:sz w:val="16"/>
                          <w:szCs w:val="16"/>
                          <w:lang w:val="sr-Latn-ME"/>
                        </w:rPr>
                        <w:t>PRIORITIZATION OF TOURISM IN DEVELOPMENT POLICIES</w:t>
                      </w:r>
                    </w:p>
                  </w:txbxContent>
                </v:textbox>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549184" behindDoc="0" locked="0" layoutInCell="1" allowOverlap="1" wp14:anchorId="123598A3" wp14:editId="2D2D6308">
                <wp:simplePos x="0" y="0"/>
                <wp:positionH relativeFrom="column">
                  <wp:posOffset>3762375</wp:posOffset>
                </wp:positionH>
                <wp:positionV relativeFrom="paragraph">
                  <wp:posOffset>3000375</wp:posOffset>
                </wp:positionV>
                <wp:extent cx="885825" cy="504825"/>
                <wp:effectExtent l="0" t="19050" r="47625" b="47625"/>
                <wp:wrapNone/>
                <wp:docPr id="17" name="Right Arrow 2"/>
                <wp:cNvGraphicFramePr/>
                <a:graphic xmlns:a="http://schemas.openxmlformats.org/drawingml/2006/main">
                  <a:graphicData uri="http://schemas.microsoft.com/office/word/2010/wordprocessingShape">
                    <wps:wsp>
                      <wps:cNvSpPr/>
                      <wps:spPr>
                        <a:xfrm>
                          <a:off x="0" y="0"/>
                          <a:ext cx="885825" cy="5048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94AC4F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96.25pt;margin-top:236.25pt;width:69.75pt;height:39.75pt;z-index:25154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" adj="15445" fillcolor="#4f81bd" strokecolor="#385d8a" strokeweight="2p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714048" behindDoc="0" locked="0" layoutInCell="1" allowOverlap="1" wp14:anchorId="413CFE20" wp14:editId="5BEDF1C2">
                <wp:simplePos x="0" y="0"/>
                <wp:positionH relativeFrom="column">
                  <wp:posOffset>4714875</wp:posOffset>
                </wp:positionH>
                <wp:positionV relativeFrom="paragraph">
                  <wp:posOffset>3971926</wp:posOffset>
                </wp:positionV>
                <wp:extent cx="1343025" cy="571500"/>
                <wp:effectExtent l="57150" t="38100" r="85725" b="95250"/>
                <wp:wrapNone/>
                <wp:docPr id="34" name="Rectangle 34"/>
                <wp:cNvGraphicFramePr/>
                <a:graphic xmlns:a="http://schemas.openxmlformats.org/drawingml/2006/main">
                  <a:graphicData uri="http://schemas.microsoft.com/office/word/2010/wordprocessingShape">
                    <wps:wsp>
                      <wps:cNvSpPr/>
                      <wps:spPr>
                        <a:xfrm>
                          <a:off x="0" y="0"/>
                          <a:ext cx="1343025" cy="5715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3E80B069" w14:textId="07C505C6" w:rsidR="00193646" w:rsidRDefault="00193646" w:rsidP="005A681F">
                            <w:pPr>
                              <w:jc w:val="center"/>
                            </w:pPr>
                            <w:r w:rsidRPr="00135464">
                              <w:rPr>
                                <w:sz w:val="16"/>
                                <w:szCs w:val="16"/>
                              </w:rPr>
                              <w:t>IMPROVED QUALITY AND DIVERSIFIED TOURIST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CFE20" id="Rectangle 34" o:spid="_x0000_s1087" style="position:absolute;margin-left:371.25pt;margin-top:312.75pt;width:105.75pt;height:4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" fillcolor="#9eeaff" strokecolor="#46aac5">
                <v:fill color2="#e4f9ff" rotate="t" angle="180" colors="0 #9eeaff;22938f #bbefff;1 #e4f9ff" focus="100%" type="gradient"/>
                <v:shadow on="t" color="black" opacity="24903f" origin=",.5" offset="0,.55556mm"/>
                <v:textbox>
                  <w:txbxContent>
                    <w:p w14:paraId="3E80B069" w14:textId="07C505C6" w:rsidR="00193646" w:rsidRDefault="00193646" w:rsidP="005A681F">
                      <w:pPr>
                        <w:jc w:val="center"/>
                      </w:pPr>
                      <w:r w:rsidRPr="00135464">
                        <w:rPr>
                          <w:sz w:val="16"/>
                          <w:szCs w:val="16"/>
                        </w:rPr>
                        <w:t>IMPROVED QUALITY AND DIVERSIFIED TOURIST PRODUCT</w:t>
                      </w:r>
                    </w:p>
                  </w:txbxContent>
                </v:textbox>
              </v: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723264" behindDoc="0" locked="0" layoutInCell="1" allowOverlap="1" wp14:anchorId="52607B0A" wp14:editId="5A5D071F">
                <wp:simplePos x="0" y="0"/>
                <wp:positionH relativeFrom="column">
                  <wp:posOffset>5857875</wp:posOffset>
                </wp:positionH>
                <wp:positionV relativeFrom="paragraph">
                  <wp:posOffset>2114549</wp:posOffset>
                </wp:positionV>
                <wp:extent cx="1276350" cy="314325"/>
                <wp:effectExtent l="0" t="0" r="19050" b="28575"/>
                <wp:wrapNone/>
                <wp:docPr id="36" name="Rounded Rectangle 14"/>
                <wp:cNvGraphicFramePr/>
                <a:graphic xmlns:a="http://schemas.openxmlformats.org/drawingml/2006/main">
                  <a:graphicData uri="http://schemas.microsoft.com/office/word/2010/wordprocessingShape">
                    <wps:wsp>
                      <wps:cNvSpPr/>
                      <wps:spPr>
                        <a:xfrm>
                          <a:off x="0" y="0"/>
                          <a:ext cx="1276350" cy="31432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7A166BD" w14:textId="06A2C257" w:rsidR="00193646" w:rsidRPr="00F11590" w:rsidRDefault="00193646" w:rsidP="005A681F">
                            <w:pPr>
                              <w:jc w:val="center"/>
                              <w:rPr>
                                <w:lang w:val="sr-Latn-ME"/>
                              </w:rPr>
                            </w:pPr>
                            <w:r w:rsidRPr="00C931D5">
                              <w:rPr>
                                <w:lang w:val="sr-Latn-ME"/>
                              </w:rPr>
                              <w:t>STRATEGIC GOAL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607B0A" id="Rounded Rectangle 14" o:spid="_x0000_s1088" style="position:absolute;margin-left:461.25pt;margin-top:166.5pt;width:100.5pt;height:24.7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" fillcolor="#c6d9f1" strokecolor="#385d8a" strokeweight="2pt">
                <v:textbox>
                  <w:txbxContent>
                    <w:p w14:paraId="17A166BD" w14:textId="06A2C257" w:rsidR="00193646" w:rsidRPr="00F11590" w:rsidRDefault="00193646" w:rsidP="005A681F">
                      <w:pPr>
                        <w:jc w:val="center"/>
                        <w:rPr>
                          <w:lang w:val="sr-Latn-ME"/>
                        </w:rPr>
                      </w:pPr>
                      <w:r w:rsidRPr="00C931D5">
                        <w:rPr>
                          <w:lang w:val="sr-Latn-ME"/>
                        </w:rPr>
                        <w:t>STRATEGIC GOAL</w:t>
                      </w:r>
                    </w:p>
                  </w:txbxContent>
                </v:textbox>
              </v:roundrect>
            </w:pict>
          </mc:Fallback>
        </mc:AlternateContent>
      </w:r>
      <w:r w:rsidR="005A681F" w:rsidRPr="003C7CB1">
        <w:rPr>
          <w:rFonts w:ascii="Calibri" w:eastAsia="Calibri" w:hAnsi="Calibri" w:cs="Times New Roman"/>
          <w:b/>
          <w:noProof/>
        </w:rPr>
        <mc:AlternateContent>
          <mc:Choice Requires="wps">
            <w:drawing>
              <wp:anchor distT="0" distB="0" distL="114300" distR="114300" simplePos="0" relativeHeight="251720192" behindDoc="0" locked="0" layoutInCell="1" allowOverlap="1" wp14:anchorId="3DE71DF5" wp14:editId="667516D8">
                <wp:simplePos x="0" y="0"/>
                <wp:positionH relativeFrom="column">
                  <wp:posOffset>5857875</wp:posOffset>
                </wp:positionH>
                <wp:positionV relativeFrom="paragraph">
                  <wp:posOffset>3590925</wp:posOffset>
                </wp:positionV>
                <wp:extent cx="1438275" cy="285750"/>
                <wp:effectExtent l="0" t="0" r="28575" b="19050"/>
                <wp:wrapNone/>
                <wp:docPr id="37" name="Rounded Rectangle 12"/>
                <wp:cNvGraphicFramePr/>
                <a:graphic xmlns:a="http://schemas.openxmlformats.org/drawingml/2006/main">
                  <a:graphicData uri="http://schemas.microsoft.com/office/word/2010/wordprocessingShape">
                    <wps:wsp>
                      <wps:cNvSpPr/>
                      <wps:spPr>
                        <a:xfrm>
                          <a:off x="0" y="0"/>
                          <a:ext cx="1438275" cy="28575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624B78B6" w14:textId="74674D21" w:rsidR="00193646" w:rsidRPr="00DF363A" w:rsidRDefault="00193646" w:rsidP="005A681F">
                            <w:pPr>
                              <w:jc w:val="center"/>
                              <w:rPr>
                                <w:color w:val="1F3864" w:themeColor="accent1" w:themeShade="80"/>
                                <w:lang w:val="sr-Latn-ME"/>
                              </w:rPr>
                            </w:pPr>
                            <w:r w:rsidRPr="00135464">
                              <w:rPr>
                                <w:color w:val="1F3864" w:themeColor="accent1" w:themeShade="80"/>
                                <w:sz w:val="20"/>
                                <w:lang w:val="sr-Latn-ME"/>
                              </w:rPr>
                              <w:t xml:space="preserve">OPERATIONAL </w:t>
                            </w:r>
                            <w:r>
                              <w:rPr>
                                <w:color w:val="1F3864" w:themeColor="accent1" w:themeShade="80"/>
                                <w:lang w:val="sr-Latn-ME"/>
                              </w:rPr>
                              <w:t>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71DF5" id="Rounded Rectangle 12" o:spid="_x0000_s1089" style="position:absolute;margin-left:461.25pt;margin-top:282.75pt;width:113.25pt;height:2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" fillcolor="#c6d9f1" strokecolor="#385d8a" strokeweight="2pt">
                <v:textbox>
                  <w:txbxContent>
                    <w:p w14:paraId="624B78B6" w14:textId="74674D21" w:rsidR="00193646" w:rsidRPr="00DF363A" w:rsidRDefault="00193646" w:rsidP="005A681F">
                      <w:pPr>
                        <w:jc w:val="center"/>
                        <w:rPr>
                          <w:color w:val="1F3864" w:themeColor="accent1" w:themeShade="80"/>
                          <w:lang w:val="sr-Latn-ME"/>
                        </w:rPr>
                      </w:pPr>
                      <w:r w:rsidRPr="00135464">
                        <w:rPr>
                          <w:color w:val="1F3864" w:themeColor="accent1" w:themeShade="80"/>
                          <w:sz w:val="20"/>
                          <w:lang w:val="sr-Latn-ME"/>
                        </w:rPr>
                        <w:t xml:space="preserve">OPERATIONAL </w:t>
                      </w:r>
                      <w:r>
                        <w:rPr>
                          <w:color w:val="1F3864" w:themeColor="accent1" w:themeShade="80"/>
                          <w:lang w:val="sr-Latn-ME"/>
                        </w:rPr>
                        <w:t>GOALS</w:t>
                      </w:r>
                    </w:p>
                  </w:txbxContent>
                </v:textbox>
              </v:roundrect>
            </w:pict>
          </mc:Fallback>
        </mc:AlternateContent>
      </w:r>
      <w:r w:rsidR="005A681F" w:rsidRPr="003C7CB1">
        <w:rPr>
          <w:rFonts w:ascii="Calibri" w:eastAsia="Calibri" w:hAnsi="Calibri" w:cs="Times New Roman"/>
          <w:b/>
        </w:rPr>
        <w:t xml:space="preserve">  </w:t>
      </w:r>
      <w:r w:rsidR="00B819A6" w:rsidRPr="003C7CB1">
        <w:rPr>
          <w:rFonts w:ascii="Calibri" w:eastAsia="Calibri" w:hAnsi="Calibri" w:cs="Times New Roman"/>
          <w:b/>
          <w:noProof/>
        </w:rPr>
        <w:drawing>
          <wp:inline distT="0" distB="0" distL="0" distR="0" wp14:anchorId="34FA4A51" wp14:editId="0101C3D8">
            <wp:extent cx="4468483" cy="5891842"/>
            <wp:effectExtent l="0" t="0" r="889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74923" cy="5900333"/>
                    </a:xfrm>
                    <a:prstGeom prst="rect">
                      <a:avLst/>
                    </a:prstGeom>
                    <a:noFill/>
                    <a:ln>
                      <a:noFill/>
                    </a:ln>
                  </pic:spPr>
                </pic:pic>
              </a:graphicData>
            </a:graphic>
          </wp:inline>
        </w:drawing>
      </w:r>
      <w:r w:rsidR="005A681F" w:rsidRPr="003C7CB1">
        <w:rPr>
          <w:rFonts w:ascii="Calibri" w:eastAsia="Calibri" w:hAnsi="Calibri" w:cs="Times New Roman"/>
          <w:b/>
        </w:rPr>
        <w:t xml:space="preserve"> </w:t>
      </w:r>
    </w:p>
    <w:p w14:paraId="702479EC" w14:textId="5E6D71A2" w:rsidR="00E431EA" w:rsidRPr="003C7CB1" w:rsidRDefault="00E431EA">
      <w:pPr>
        <w:spacing w:after="0" w:line="240" w:lineRule="auto"/>
        <w:rPr>
          <w:rFonts w:eastAsiaTheme="majorEastAsia" w:cstheme="majorBidi"/>
          <w:b/>
          <w:color w:val="2F5496" w:themeColor="accent1" w:themeShade="BF"/>
          <w:sz w:val="28"/>
          <w:szCs w:val="32"/>
        </w:rPr>
      </w:pPr>
      <w:r w:rsidRPr="003C7CB1">
        <w:rPr>
          <w:rFonts w:eastAsiaTheme="majorEastAsia" w:cstheme="majorBidi"/>
          <w:b/>
          <w:noProof/>
          <w:color w:val="2F5496" w:themeColor="accent1" w:themeShade="BF"/>
          <w:sz w:val="28"/>
          <w:szCs w:val="32"/>
        </w:rPr>
        <w:lastRenderedPageBreak/>
        <w:drawing>
          <wp:inline distT="0" distB="0" distL="0" distR="0" wp14:anchorId="6926BB82" wp14:editId="77E7CE10">
            <wp:extent cx="5732145" cy="8108211"/>
            <wp:effectExtent l="0" t="0" r="1905"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12.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p w14:paraId="740A7ABA" w14:textId="77777777" w:rsidR="00E431EA" w:rsidRPr="003C7CB1" w:rsidRDefault="00E431EA">
      <w:pPr>
        <w:spacing w:after="0" w:line="240" w:lineRule="auto"/>
        <w:rPr>
          <w:rFonts w:eastAsiaTheme="majorEastAsia" w:cstheme="majorBidi"/>
          <w:b/>
          <w:color w:val="2F5496" w:themeColor="accent1" w:themeShade="BF"/>
          <w:sz w:val="28"/>
          <w:szCs w:val="32"/>
        </w:rPr>
      </w:pPr>
      <w:r w:rsidRPr="003C7CB1">
        <w:br w:type="page"/>
      </w:r>
    </w:p>
    <w:p w14:paraId="07F76323" w14:textId="51CDC85F" w:rsidR="00B8419E" w:rsidRPr="003C7CB1" w:rsidRDefault="00872B7C" w:rsidP="002834EF">
      <w:pPr>
        <w:pStyle w:val="Heading1"/>
      </w:pPr>
      <w:bookmarkStart w:id="195" w:name="_Toc95303041"/>
      <w:bookmarkStart w:id="196" w:name="_Toc104544205"/>
      <w:r w:rsidRPr="003C7CB1">
        <w:lastRenderedPageBreak/>
        <w:t>1</w:t>
      </w:r>
      <w:r w:rsidR="00BE3BC8" w:rsidRPr="003C7CB1">
        <w:t>4</w:t>
      </w:r>
      <w:r w:rsidR="00790741" w:rsidRPr="003C7CB1">
        <w:t>.</w:t>
      </w:r>
      <w:r w:rsidR="00790741" w:rsidRPr="003C7CB1">
        <w:tab/>
      </w:r>
      <w:bookmarkEnd w:id="195"/>
      <w:r w:rsidR="00383845" w:rsidRPr="003C7CB1">
        <w:t>STRATEGIC AND OPERATIONAL GOALS IN TOURISM</w:t>
      </w:r>
      <w:bookmarkEnd w:id="196"/>
    </w:p>
    <w:p w14:paraId="0BA91E79" w14:textId="77777777" w:rsidR="00FB0892" w:rsidRPr="003C7CB1" w:rsidRDefault="00FB0892" w:rsidP="00FB0892"/>
    <w:p w14:paraId="5A82E95F" w14:textId="04439C1D" w:rsidR="00B8419E" w:rsidRPr="003C7CB1" w:rsidRDefault="00383845" w:rsidP="002834EF">
      <w:pPr>
        <w:pBdr>
          <w:top w:val="single" w:sz="4" w:space="1" w:color="auto"/>
          <w:left w:val="single" w:sz="4" w:space="4" w:color="auto"/>
          <w:bottom w:val="single" w:sz="4" w:space="0" w:color="auto"/>
          <w:right w:val="single" w:sz="4" w:space="4" w:color="auto"/>
        </w:pBdr>
        <w:shd w:val="clear" w:color="auto" w:fill="A8D08D" w:themeFill="accent6" w:themeFillTint="99"/>
        <w:spacing w:after="0"/>
        <w:jc w:val="center"/>
        <w:rPr>
          <w:b/>
          <w:sz w:val="24"/>
          <w:szCs w:val="24"/>
        </w:rPr>
      </w:pPr>
      <w:r w:rsidRPr="003C7CB1">
        <w:rPr>
          <w:b/>
          <w:sz w:val="24"/>
          <w:szCs w:val="24"/>
        </w:rPr>
        <w:t>STRATEGIC GOAL</w:t>
      </w:r>
    </w:p>
    <w:p w14:paraId="6B3FC816" w14:textId="148496B4" w:rsidR="007337D5" w:rsidRPr="003C7CB1" w:rsidRDefault="00580C0D" w:rsidP="00580C0D">
      <w:pPr>
        <w:pBdr>
          <w:top w:val="single" w:sz="4" w:space="1" w:color="auto"/>
          <w:left w:val="single" w:sz="4" w:space="4" w:color="auto"/>
          <w:bottom w:val="single" w:sz="4" w:space="0" w:color="auto"/>
          <w:right w:val="single" w:sz="4" w:space="4" w:color="auto"/>
        </w:pBdr>
        <w:shd w:val="clear" w:color="auto" w:fill="E2EFD9" w:themeFill="accent6" w:themeFillTint="33"/>
        <w:jc w:val="both"/>
        <w:rPr>
          <w:rFonts w:ascii="Calibri" w:eastAsia="Calibri" w:hAnsi="Calibri" w:cs="Calibri"/>
          <w:b/>
          <w:sz w:val="24"/>
          <w:szCs w:val="24"/>
          <w:shd w:val="clear" w:color="auto" w:fill="E2EFD9" w:themeFill="accent6" w:themeFillTint="33"/>
        </w:rPr>
      </w:pPr>
      <w:r w:rsidRPr="003C7CB1">
        <w:rPr>
          <w:rFonts w:ascii="Calibri" w:eastAsia="Calibri" w:hAnsi="Calibri" w:cs="Calibri"/>
          <w:b/>
          <w:sz w:val="24"/>
          <w:szCs w:val="24"/>
          <w:shd w:val="clear" w:color="auto" w:fill="E2EFD9" w:themeFill="accent6" w:themeFillTint="33"/>
        </w:rPr>
        <w:t>BY INVESTMENT AND FORMALIZATION O</w:t>
      </w:r>
      <w:r w:rsidR="00F0564D">
        <w:rPr>
          <w:rFonts w:ascii="Calibri" w:eastAsia="Calibri" w:hAnsi="Calibri" w:cs="Calibri"/>
          <w:b/>
          <w:sz w:val="24"/>
          <w:szCs w:val="24"/>
          <w:shd w:val="clear" w:color="auto" w:fill="E2EFD9" w:themeFill="accent6" w:themeFillTint="33"/>
        </w:rPr>
        <w:t>F</w:t>
      </w:r>
      <w:r w:rsidR="005A395C">
        <w:rPr>
          <w:rFonts w:ascii="Calibri" w:eastAsia="Calibri" w:hAnsi="Calibri" w:cs="Calibri"/>
          <w:b/>
          <w:sz w:val="24"/>
          <w:szCs w:val="24"/>
          <w:shd w:val="clear" w:color="auto" w:fill="E2EFD9" w:themeFill="accent6" w:themeFillTint="33"/>
        </w:rPr>
        <w:t xml:space="preserve"> TOURISM TURNOVER</w:t>
      </w:r>
      <w:r w:rsidRPr="003C7CB1">
        <w:rPr>
          <w:rFonts w:ascii="Calibri" w:eastAsia="Calibri" w:hAnsi="Calibri" w:cs="Calibri"/>
          <w:b/>
          <w:sz w:val="24"/>
          <w:szCs w:val="24"/>
          <w:shd w:val="clear" w:color="auto" w:fill="E2EFD9" w:themeFill="accent6" w:themeFillTint="33"/>
        </w:rPr>
        <w:t>, MONTENEGRO IS AFFIRMED AS A GLOBALLY RECOGNIZED TOURIST DESTINATION, WITH REDUCED SEASONALITY OF BUSINESS, MORE MODERATE REGIONAL IMBALANCE AND PRIORITIZATION OF TOURISM IN DEVELOPMENT POLICIES</w:t>
      </w:r>
      <w:r w:rsidR="00613024" w:rsidRPr="003C7CB1">
        <w:rPr>
          <w:rFonts w:ascii="Calibri" w:eastAsia="Calibri" w:hAnsi="Calibri" w:cs="Calibri"/>
          <w:b/>
          <w:sz w:val="24"/>
          <w:szCs w:val="24"/>
          <w:shd w:val="clear" w:color="auto" w:fill="E2EFD9" w:themeFill="accent6" w:themeFillTint="33"/>
        </w:rPr>
        <w:t>.</w:t>
      </w:r>
      <w:r w:rsidR="007337D5" w:rsidRPr="003C7CB1">
        <w:rPr>
          <w:rFonts w:ascii="Calibri" w:eastAsia="Calibri" w:hAnsi="Calibri" w:cs="Calibri"/>
          <w:b/>
          <w:sz w:val="24"/>
          <w:szCs w:val="24"/>
          <w:shd w:val="clear" w:color="auto" w:fill="E2EFD9" w:themeFill="accent6" w:themeFillTint="33"/>
        </w:rPr>
        <w:t xml:space="preserve"> </w:t>
      </w:r>
    </w:p>
    <w:p w14:paraId="08EBE763" w14:textId="7D89F7B0" w:rsidR="00B8419E" w:rsidRPr="003C7CB1" w:rsidRDefault="00F5327B" w:rsidP="00E372B9">
      <w:pPr>
        <w:spacing w:after="120" w:line="240" w:lineRule="auto"/>
        <w:jc w:val="both"/>
        <w:rPr>
          <w:sz w:val="24"/>
          <w:szCs w:val="24"/>
        </w:rPr>
      </w:pPr>
      <w:r w:rsidRPr="003C7CB1">
        <w:rPr>
          <w:sz w:val="24"/>
          <w:szCs w:val="24"/>
        </w:rPr>
        <w:t xml:space="preserve">The implementation of this strategic goal, based on the analysis from the problem tree and the given development guidelines, includes seven (7) key operational goals in tourism, as </w:t>
      </w:r>
      <w:r w:rsidR="00861D69" w:rsidRPr="003C7CB1">
        <w:rPr>
          <w:sz w:val="24"/>
          <w:szCs w:val="24"/>
        </w:rPr>
        <w:t>follows:</w:t>
      </w:r>
    </w:p>
    <w:p w14:paraId="5D9F8364" w14:textId="77777777" w:rsidR="002834EF" w:rsidRPr="003C7CB1" w:rsidRDefault="002834EF" w:rsidP="00E372B9">
      <w:pPr>
        <w:spacing w:after="120" w:line="240" w:lineRule="auto"/>
        <w:jc w:val="both"/>
        <w:rPr>
          <w:sz w:val="24"/>
          <w:szCs w:val="24"/>
        </w:rPr>
      </w:pPr>
    </w:p>
    <w:p w14:paraId="29FC189C" w14:textId="0E1D3760" w:rsidR="002834EF" w:rsidRPr="003C7CB1" w:rsidRDefault="00F5327B" w:rsidP="00F5327B">
      <w:pPr>
        <w:pStyle w:val="ListParagraph"/>
        <w:numPr>
          <w:ilvl w:val="0"/>
          <w:numId w:val="41"/>
        </w:numPr>
        <w:spacing w:after="120" w:line="240" w:lineRule="auto"/>
        <w:jc w:val="both"/>
        <w:rPr>
          <w:sz w:val="24"/>
          <w:szCs w:val="24"/>
        </w:rPr>
      </w:pPr>
      <w:r w:rsidRPr="003C7CB1">
        <w:rPr>
          <w:sz w:val="24"/>
          <w:szCs w:val="24"/>
        </w:rPr>
        <w:t xml:space="preserve">Operational goal 1 - Improved regulatory framework in tourism with formalization of </w:t>
      </w:r>
      <w:r w:rsidR="00D37486">
        <w:rPr>
          <w:sz w:val="24"/>
          <w:szCs w:val="24"/>
        </w:rPr>
        <w:t xml:space="preserve"> tourism turnover</w:t>
      </w:r>
      <w:r w:rsidRPr="003C7CB1">
        <w:rPr>
          <w:sz w:val="24"/>
          <w:szCs w:val="24"/>
        </w:rPr>
        <w:t>;</w:t>
      </w:r>
    </w:p>
    <w:p w14:paraId="527B750F" w14:textId="3622F4B9" w:rsidR="002834EF" w:rsidRPr="003C7CB1" w:rsidRDefault="00F5327B" w:rsidP="00F5327B">
      <w:pPr>
        <w:pStyle w:val="ListParagraph"/>
        <w:numPr>
          <w:ilvl w:val="0"/>
          <w:numId w:val="41"/>
        </w:numPr>
        <w:spacing w:after="120" w:line="240" w:lineRule="auto"/>
        <w:jc w:val="both"/>
        <w:rPr>
          <w:rFonts w:cs="Times New Roman"/>
          <w:sz w:val="24"/>
          <w:szCs w:val="24"/>
        </w:rPr>
      </w:pPr>
      <w:r w:rsidRPr="003C7CB1">
        <w:rPr>
          <w:rFonts w:cs="Times New Roman"/>
          <w:sz w:val="24"/>
          <w:szCs w:val="24"/>
        </w:rPr>
        <w:t>Operational goal 2 - Improved tourism infrastructure and supporting infra and supra structure;</w:t>
      </w:r>
    </w:p>
    <w:p w14:paraId="20DBF787" w14:textId="5AA7B021" w:rsidR="002834EF" w:rsidRPr="003C7CB1" w:rsidRDefault="00F5327B" w:rsidP="00F5327B">
      <w:pPr>
        <w:pStyle w:val="ListParagraph"/>
        <w:numPr>
          <w:ilvl w:val="0"/>
          <w:numId w:val="41"/>
        </w:numPr>
        <w:spacing w:after="120" w:line="240" w:lineRule="auto"/>
        <w:jc w:val="both"/>
        <w:rPr>
          <w:rFonts w:cs="Times New Roman"/>
          <w:sz w:val="24"/>
          <w:szCs w:val="24"/>
        </w:rPr>
      </w:pPr>
      <w:r w:rsidRPr="003C7CB1">
        <w:rPr>
          <w:rFonts w:cs="Times New Roman"/>
          <w:sz w:val="24"/>
          <w:szCs w:val="24"/>
        </w:rPr>
        <w:t>Operational goal 3 - Improved quality and quantity of accommodation capacities</w:t>
      </w:r>
      <w:r w:rsidR="0037084A" w:rsidRPr="003C7CB1">
        <w:rPr>
          <w:rFonts w:cs="Times New Roman"/>
          <w:sz w:val="24"/>
          <w:szCs w:val="24"/>
        </w:rPr>
        <w:t>;</w:t>
      </w:r>
    </w:p>
    <w:p w14:paraId="0B663E10" w14:textId="18561C4E" w:rsidR="002834EF" w:rsidRPr="003C7CB1" w:rsidRDefault="00F5327B" w:rsidP="00F5327B">
      <w:pPr>
        <w:pStyle w:val="ListParagraph"/>
        <w:numPr>
          <w:ilvl w:val="0"/>
          <w:numId w:val="41"/>
        </w:numPr>
        <w:spacing w:after="120" w:line="240" w:lineRule="auto"/>
        <w:jc w:val="both"/>
        <w:rPr>
          <w:sz w:val="24"/>
          <w:szCs w:val="24"/>
        </w:rPr>
      </w:pPr>
      <w:r w:rsidRPr="003C7CB1">
        <w:rPr>
          <w:rFonts w:cs="Times New Roman"/>
          <w:sz w:val="24"/>
          <w:szCs w:val="24"/>
        </w:rPr>
        <w:t>Operational goal 4 - Improved quality of diversified tourism product</w:t>
      </w:r>
      <w:r w:rsidR="0037084A" w:rsidRPr="003C7CB1">
        <w:rPr>
          <w:sz w:val="24"/>
          <w:szCs w:val="24"/>
        </w:rPr>
        <w:t>;</w:t>
      </w:r>
    </w:p>
    <w:p w14:paraId="6E4ACA06" w14:textId="61AB31B1" w:rsidR="002834EF" w:rsidRPr="003C7CB1" w:rsidRDefault="00F5327B" w:rsidP="00F5327B">
      <w:pPr>
        <w:pStyle w:val="ListParagraph"/>
        <w:numPr>
          <w:ilvl w:val="0"/>
          <w:numId w:val="17"/>
        </w:numPr>
        <w:spacing w:after="120" w:line="240" w:lineRule="auto"/>
        <w:jc w:val="both"/>
        <w:rPr>
          <w:rFonts w:cs="Times New Roman"/>
          <w:sz w:val="24"/>
          <w:szCs w:val="24"/>
        </w:rPr>
      </w:pPr>
      <w:r w:rsidRPr="003C7CB1">
        <w:rPr>
          <w:rFonts w:cs="Times New Roman"/>
          <w:sz w:val="24"/>
          <w:szCs w:val="24"/>
        </w:rPr>
        <w:t>Operational goal 5 - Improved human resources, knowledge and skills in tourism</w:t>
      </w:r>
      <w:r w:rsidR="0037084A" w:rsidRPr="003C7CB1">
        <w:rPr>
          <w:rFonts w:cs="Times New Roman"/>
          <w:sz w:val="24"/>
          <w:szCs w:val="24"/>
        </w:rPr>
        <w:t>;</w:t>
      </w:r>
      <w:r w:rsidR="00AE1F24" w:rsidRPr="003C7CB1">
        <w:rPr>
          <w:rFonts w:cs="Times New Roman"/>
          <w:sz w:val="24"/>
          <w:szCs w:val="24"/>
        </w:rPr>
        <w:t xml:space="preserve"> </w:t>
      </w:r>
    </w:p>
    <w:p w14:paraId="01CB7BAF" w14:textId="349115C1" w:rsidR="00AC5393" w:rsidRPr="003C7CB1" w:rsidRDefault="00F5327B" w:rsidP="00F5327B">
      <w:pPr>
        <w:pStyle w:val="ListParagraph"/>
        <w:numPr>
          <w:ilvl w:val="0"/>
          <w:numId w:val="17"/>
        </w:numPr>
        <w:spacing w:after="120" w:line="240" w:lineRule="auto"/>
        <w:jc w:val="both"/>
        <w:rPr>
          <w:rFonts w:cs="Times New Roman"/>
          <w:sz w:val="24"/>
          <w:szCs w:val="24"/>
        </w:rPr>
      </w:pPr>
      <w:r w:rsidRPr="003C7CB1">
        <w:rPr>
          <w:rFonts w:cs="Times New Roman"/>
          <w:sz w:val="24"/>
          <w:szCs w:val="24"/>
        </w:rPr>
        <w:t>Operational goal 6 - Development of digital, innovative solutions and new technologies in tourism</w:t>
      </w:r>
      <w:r w:rsidR="00855DAF" w:rsidRPr="003C7CB1">
        <w:rPr>
          <w:rFonts w:cstheme="minorHAnsi"/>
          <w:sz w:val="24"/>
          <w:szCs w:val="24"/>
        </w:rPr>
        <w:t>;</w:t>
      </w:r>
    </w:p>
    <w:p w14:paraId="5D2E21A8" w14:textId="4E16114E" w:rsidR="002B09EE" w:rsidRPr="003C7CB1" w:rsidRDefault="004C30E6" w:rsidP="004C30E6">
      <w:pPr>
        <w:pStyle w:val="ListParagraph"/>
        <w:numPr>
          <w:ilvl w:val="0"/>
          <w:numId w:val="17"/>
        </w:numPr>
        <w:spacing w:after="120" w:line="240" w:lineRule="auto"/>
        <w:jc w:val="both"/>
        <w:rPr>
          <w:rFonts w:cs="Times New Roman"/>
          <w:sz w:val="24"/>
          <w:szCs w:val="24"/>
        </w:rPr>
      </w:pPr>
      <w:r w:rsidRPr="003C7CB1">
        <w:rPr>
          <w:rFonts w:cs="Times New Roman"/>
          <w:sz w:val="24"/>
          <w:szCs w:val="24"/>
        </w:rPr>
        <w:t>Operational goal 7 - Montenegro - a globally recognized tourist destination</w:t>
      </w:r>
      <w:r w:rsidR="002B6702" w:rsidRPr="003C7CB1">
        <w:rPr>
          <w:rFonts w:cs="Times New Roman"/>
          <w:sz w:val="24"/>
          <w:szCs w:val="24"/>
        </w:rPr>
        <w:t>.</w:t>
      </w:r>
    </w:p>
    <w:p w14:paraId="4DCE0871" w14:textId="77777777" w:rsidR="0037084A" w:rsidRPr="003C7CB1" w:rsidRDefault="0037084A" w:rsidP="00E372B9">
      <w:pPr>
        <w:pStyle w:val="ListParagraph"/>
        <w:spacing w:after="120" w:line="240" w:lineRule="auto"/>
        <w:ind w:left="714"/>
        <w:jc w:val="both"/>
        <w:rPr>
          <w:rFonts w:cs="Times New Roman"/>
          <w:sz w:val="24"/>
          <w:szCs w:val="24"/>
        </w:rPr>
      </w:pPr>
    </w:p>
    <w:p w14:paraId="7426ABCB" w14:textId="601189E0" w:rsidR="002B09EE" w:rsidRPr="003C7CB1" w:rsidRDefault="004C30E6" w:rsidP="00E372B9">
      <w:pPr>
        <w:spacing w:after="120" w:line="240" w:lineRule="auto"/>
        <w:jc w:val="both"/>
        <w:rPr>
          <w:sz w:val="24"/>
          <w:szCs w:val="24"/>
        </w:rPr>
      </w:pPr>
      <w:r w:rsidRPr="003C7CB1">
        <w:rPr>
          <w:sz w:val="24"/>
          <w:szCs w:val="24"/>
        </w:rPr>
        <w:t>Research shows that successful destinations provide visitors with experiences that meet both the needs and expectations of visitors, all in line with the experiences that the destination brand guarantees. Destinations must continuously maintain and improve their existing products, with constant investment in new products, but also in supra and infrastructure, as well as other components that contribute to strengthening the attractiveness and competitiveness of the destination</w:t>
      </w:r>
      <w:r w:rsidR="002B09EE" w:rsidRPr="003C7CB1">
        <w:rPr>
          <w:sz w:val="24"/>
          <w:szCs w:val="24"/>
        </w:rPr>
        <w:t>.</w:t>
      </w:r>
    </w:p>
    <w:p w14:paraId="0A99754C" w14:textId="12175305" w:rsidR="002B09EE" w:rsidRPr="003C7CB1" w:rsidRDefault="001E0116" w:rsidP="001E0116">
      <w:pPr>
        <w:spacing w:after="120" w:line="240" w:lineRule="auto"/>
        <w:jc w:val="both"/>
        <w:rPr>
          <w:sz w:val="24"/>
          <w:szCs w:val="24"/>
        </w:rPr>
      </w:pPr>
      <w:r w:rsidRPr="003C7CB1">
        <w:rPr>
          <w:sz w:val="24"/>
          <w:szCs w:val="24"/>
        </w:rPr>
        <w:t xml:space="preserve">Modern tourists are increasingly looking for interesting and unique experiences </w:t>
      </w:r>
      <w:r w:rsidR="002E759D" w:rsidRPr="003C7CB1">
        <w:rPr>
          <w:sz w:val="24"/>
          <w:szCs w:val="24"/>
        </w:rPr>
        <w:t xml:space="preserve">that are accompanied by </w:t>
      </w:r>
      <w:r w:rsidRPr="003C7CB1">
        <w:rPr>
          <w:sz w:val="24"/>
          <w:szCs w:val="24"/>
        </w:rPr>
        <w:t xml:space="preserve">"picturesque stories", to make the atmosphere complete. In this way, the destination achieves the loyalty of tourists, </w:t>
      </w:r>
      <w:r w:rsidR="002E759D" w:rsidRPr="003C7CB1">
        <w:rPr>
          <w:sz w:val="24"/>
          <w:szCs w:val="24"/>
        </w:rPr>
        <w:t>while "turning" tourists into the best marketing instrument because</w:t>
      </w:r>
      <w:r w:rsidRPr="003C7CB1">
        <w:rPr>
          <w:sz w:val="24"/>
          <w:szCs w:val="24"/>
        </w:rPr>
        <w:t>, as analyzes have shown, the recommendations are one of the most effective channels of promotion and sales. Designing experiential tourism requires good planning and understanding of target markets, in order to create unforgettable experiences, a high level of satisfaction, while exceeding expectations</w:t>
      </w:r>
      <w:r w:rsidR="002B09EE" w:rsidRPr="003C7CB1">
        <w:rPr>
          <w:sz w:val="24"/>
          <w:szCs w:val="24"/>
        </w:rPr>
        <w:t>.</w:t>
      </w:r>
    </w:p>
    <w:p w14:paraId="0D6A1388" w14:textId="19828E4D" w:rsidR="007B3399" w:rsidRPr="003C7CB1" w:rsidRDefault="00735DD9" w:rsidP="00E372B9">
      <w:pPr>
        <w:spacing w:after="120" w:line="240" w:lineRule="auto"/>
        <w:jc w:val="both"/>
        <w:rPr>
          <w:sz w:val="24"/>
          <w:szCs w:val="24"/>
        </w:rPr>
      </w:pPr>
      <w:r w:rsidRPr="003C7CB1">
        <w:rPr>
          <w:sz w:val="24"/>
          <w:szCs w:val="24"/>
        </w:rPr>
        <w:t>In order to provide these conditions, it is necessary to encourage entrepreneurial thinking, connecting with other sectors where there are complementary advantages and mutual benefits</w:t>
      </w:r>
      <w:r w:rsidR="00E6637A" w:rsidRPr="003C7CB1">
        <w:rPr>
          <w:sz w:val="24"/>
          <w:szCs w:val="24"/>
        </w:rPr>
        <w:t>.</w:t>
      </w:r>
      <w:r w:rsidR="00765B94">
        <w:rPr>
          <w:rFonts w:cs="Arial"/>
          <w:sz w:val="24"/>
          <w:szCs w:val="24"/>
        </w:rPr>
        <w:t xml:space="preserve">                                                                                                   </w:t>
      </w:r>
    </w:p>
    <w:p w14:paraId="6D1FAB87" w14:textId="77777777" w:rsidR="00FB0892" w:rsidRPr="003C7CB1" w:rsidRDefault="00FB0892" w:rsidP="00E372B9">
      <w:pPr>
        <w:spacing w:after="120" w:line="240" w:lineRule="auto"/>
        <w:jc w:val="both"/>
        <w:rPr>
          <w:sz w:val="24"/>
          <w:szCs w:val="24"/>
        </w:rPr>
      </w:pPr>
    </w:p>
    <w:p w14:paraId="397C02ED" w14:textId="50BC509E" w:rsidR="00AE1F24" w:rsidRPr="003C7CB1" w:rsidRDefault="008F0DCD" w:rsidP="00E372B9">
      <w:pPr>
        <w:pStyle w:val="Heading2"/>
        <w:spacing w:before="0" w:after="120" w:line="240" w:lineRule="auto"/>
        <w:jc w:val="both"/>
        <w:rPr>
          <w:sz w:val="26"/>
          <w:lang w:eastAsia="hr-HR"/>
        </w:rPr>
      </w:pPr>
      <w:bookmarkStart w:id="197" w:name="_Toc91518808"/>
      <w:bookmarkStart w:id="198" w:name="_Toc95303042"/>
      <w:bookmarkStart w:id="199" w:name="_Toc104544206"/>
      <w:r w:rsidRPr="003C7CB1">
        <w:rPr>
          <w:sz w:val="26"/>
          <w:lang w:eastAsia="hr-HR"/>
        </w:rPr>
        <w:lastRenderedPageBreak/>
        <w:t>1</w:t>
      </w:r>
      <w:r w:rsidR="00024959" w:rsidRPr="003C7CB1">
        <w:rPr>
          <w:sz w:val="26"/>
          <w:lang w:eastAsia="hr-HR"/>
        </w:rPr>
        <w:t>4</w:t>
      </w:r>
      <w:r w:rsidRPr="00CD2F20">
        <w:rPr>
          <w:sz w:val="26"/>
          <w:lang w:eastAsia="hr-HR"/>
        </w:rPr>
        <w:t xml:space="preserve">.1. </w:t>
      </w:r>
      <w:bookmarkStart w:id="200" w:name="_Hlk87523437"/>
      <w:bookmarkStart w:id="201" w:name="_GoBack"/>
      <w:bookmarkEnd w:id="197"/>
      <w:bookmarkEnd w:id="198"/>
      <w:r w:rsidR="00C12554" w:rsidRPr="00CD2F20">
        <w:rPr>
          <w:sz w:val="26"/>
          <w:lang w:eastAsia="hr-HR"/>
        </w:rPr>
        <w:t>Operational goal 1 - Improved regulatory framework in tourism with formalization of touris</w:t>
      </w:r>
      <w:r w:rsidR="00D37486" w:rsidRPr="00CD2F20">
        <w:rPr>
          <w:sz w:val="26"/>
          <w:lang w:eastAsia="hr-HR"/>
        </w:rPr>
        <w:t>m turnover</w:t>
      </w:r>
      <w:bookmarkEnd w:id="199"/>
      <w:bookmarkEnd w:id="201"/>
    </w:p>
    <w:p w14:paraId="6589129D" w14:textId="06AD0049" w:rsidR="004C75BA" w:rsidRPr="003C7CB1" w:rsidRDefault="00091BFF" w:rsidP="00C12554">
      <w:pPr>
        <w:jc w:val="both"/>
        <w:rPr>
          <w:sz w:val="24"/>
        </w:rPr>
      </w:pPr>
      <w:bookmarkStart w:id="202" w:name="_Toc91284364"/>
      <w:bookmarkStart w:id="203" w:name="_Toc91285554"/>
      <w:bookmarkStart w:id="204" w:name="_Toc91286198"/>
      <w:bookmarkStart w:id="205" w:name="_Toc91286346"/>
      <w:bookmarkStart w:id="206" w:name="_Toc91286725"/>
      <w:bookmarkStart w:id="207" w:name="_Toc91461507"/>
      <w:bookmarkStart w:id="208" w:name="_Toc91500037"/>
      <w:bookmarkStart w:id="209" w:name="_Toc91500528"/>
      <w:bookmarkStart w:id="210" w:name="_Toc91518809"/>
      <w:bookmarkStart w:id="211" w:name="_Toc91518945"/>
      <w:bookmarkStart w:id="212" w:name="_Toc91521932"/>
      <w:bookmarkStart w:id="213" w:name="_Toc95299963"/>
      <w:bookmarkStart w:id="214" w:name="_Toc95303043"/>
      <w:bookmarkStart w:id="215" w:name="_Toc97902507"/>
      <w:r w:rsidRPr="003C7CB1">
        <w:rPr>
          <w:sz w:val="24"/>
          <w:lang w:eastAsia="hr-HR"/>
        </w:rPr>
        <w:t>Improved institutional framework, which primarily improves legislation and harmonizes with EU legislation, will be the basis for secure business, good business environment and reduction of the informal economy. The gray economy, from the point of view of economic flows, improving public finances, as well as the overall well-being of the local population, is one of the biggest challenges in tourism, and is present in almost all segments of tourism</w:t>
      </w:r>
      <w:r w:rsidR="002B5AB4" w:rsidRPr="003C7CB1">
        <w:rPr>
          <w:sz w:val="24"/>
        </w:rPr>
        <w: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569C0D0A" w14:textId="423088ED" w:rsidR="002B5AB4" w:rsidRPr="003C7CB1" w:rsidRDefault="00091BFF" w:rsidP="00E372B9">
      <w:pPr>
        <w:spacing w:after="120" w:line="240" w:lineRule="auto"/>
        <w:jc w:val="both"/>
        <w:rPr>
          <w:rFonts w:cstheme="minorHAnsi"/>
          <w:sz w:val="24"/>
          <w:szCs w:val="24"/>
          <w:lang w:eastAsia="hr-HR"/>
        </w:rPr>
      </w:pPr>
      <w:r w:rsidRPr="003C7CB1">
        <w:rPr>
          <w:rFonts w:cstheme="minorHAnsi"/>
          <w:sz w:val="24"/>
          <w:szCs w:val="24"/>
          <w:lang w:eastAsia="hr-HR"/>
        </w:rPr>
        <w:t>According to various analyzes, about 30% of business in tourism is in the so-called "gray zone", and the percentage grows with the expansion of business into virtual space. Some of the specific problems are the performance of the spectrum of tourism and hospitality activities by unregistered natural and legal entities, the sale of programs illegally (unlicensed tourist guides, adventure and excursion programs), especially through online platforms, etc</w:t>
      </w:r>
      <w:r w:rsidR="002B5AB4" w:rsidRPr="003C7CB1">
        <w:rPr>
          <w:rFonts w:cstheme="minorHAnsi"/>
          <w:sz w:val="24"/>
          <w:szCs w:val="24"/>
          <w:lang w:eastAsia="hr-HR"/>
        </w:rPr>
        <w:t xml:space="preserve">. </w:t>
      </w:r>
    </w:p>
    <w:p w14:paraId="3BAD2A13" w14:textId="1EDE235A" w:rsidR="002B5AB4" w:rsidRPr="003C7CB1" w:rsidRDefault="00190ABC" w:rsidP="00E372B9">
      <w:pPr>
        <w:spacing w:after="120" w:line="240" w:lineRule="auto"/>
        <w:jc w:val="both"/>
        <w:rPr>
          <w:rFonts w:cstheme="minorHAnsi"/>
          <w:sz w:val="24"/>
          <w:szCs w:val="24"/>
          <w:lang w:eastAsia="hr-HR"/>
        </w:rPr>
      </w:pPr>
      <w:r w:rsidRPr="003C7CB1">
        <w:rPr>
          <w:rFonts w:cstheme="minorHAnsi"/>
          <w:sz w:val="24"/>
          <w:szCs w:val="24"/>
          <w:lang w:eastAsia="hr-HR"/>
        </w:rPr>
        <w:t xml:space="preserve">All of the above affects the creation of unfair competition, non-payment of taxes and fees, and above all the creation of a bad image of local, </w:t>
      </w:r>
      <w:r w:rsidR="00861D69" w:rsidRPr="003C7CB1">
        <w:rPr>
          <w:rFonts w:cstheme="minorHAnsi"/>
          <w:sz w:val="24"/>
          <w:szCs w:val="24"/>
          <w:lang w:eastAsia="hr-HR"/>
        </w:rPr>
        <w:t>i.e.</w:t>
      </w:r>
      <w:r w:rsidRPr="003C7CB1">
        <w:rPr>
          <w:rFonts w:cstheme="minorHAnsi"/>
          <w:sz w:val="24"/>
          <w:szCs w:val="24"/>
          <w:lang w:eastAsia="hr-HR"/>
        </w:rPr>
        <w:t xml:space="preserve"> micro destinations, as well as the destination of Montenegro as a whole. Therefore, it is necessary to strengthen the legal and institutional framework, as well as to strengthen the institution of inspections, to introduce penalties for accommodation providers through "sharing" platforms, frequent controls and generally high-penal policy</w:t>
      </w:r>
      <w:r w:rsidR="002B5AB4" w:rsidRPr="003C7CB1">
        <w:rPr>
          <w:rFonts w:cstheme="minorHAnsi"/>
          <w:sz w:val="24"/>
          <w:szCs w:val="24"/>
          <w:lang w:eastAsia="hr-HR"/>
        </w:rPr>
        <w:t>.</w:t>
      </w:r>
    </w:p>
    <w:p w14:paraId="3E021A29" w14:textId="77777777" w:rsidR="00190ABC" w:rsidRPr="003C7CB1" w:rsidRDefault="00190ABC" w:rsidP="00190ABC">
      <w:pPr>
        <w:spacing w:after="120" w:line="240" w:lineRule="auto"/>
        <w:jc w:val="both"/>
        <w:rPr>
          <w:rFonts w:cstheme="minorHAnsi"/>
          <w:sz w:val="24"/>
          <w:szCs w:val="24"/>
          <w:lang w:eastAsia="hr-HR"/>
        </w:rPr>
      </w:pPr>
      <w:r w:rsidRPr="003C7CB1">
        <w:rPr>
          <w:rFonts w:cstheme="minorHAnsi"/>
          <w:sz w:val="24"/>
          <w:szCs w:val="24"/>
          <w:lang w:eastAsia="hr-HR"/>
        </w:rPr>
        <w:t xml:space="preserve">The introduction of </w:t>
      </w:r>
      <w:proofErr w:type="spellStart"/>
      <w:r w:rsidRPr="003C7CB1">
        <w:rPr>
          <w:rFonts w:cstheme="minorHAnsi"/>
          <w:sz w:val="24"/>
          <w:szCs w:val="24"/>
          <w:lang w:eastAsia="hr-HR"/>
        </w:rPr>
        <w:t>fiscalization</w:t>
      </w:r>
      <w:proofErr w:type="spellEnd"/>
      <w:r w:rsidRPr="003C7CB1">
        <w:rPr>
          <w:rFonts w:cstheme="minorHAnsi"/>
          <w:sz w:val="24"/>
          <w:szCs w:val="24"/>
          <w:lang w:eastAsia="hr-HR"/>
        </w:rPr>
        <w:t xml:space="preserve"> will improve the market situation, but the assessment of the value of flows hidden from the public and the law will continue to be a challenge in the coming period.</w:t>
      </w:r>
    </w:p>
    <w:p w14:paraId="4D46AE70" w14:textId="589B5CB8" w:rsidR="002B5AB4" w:rsidRPr="003C7CB1" w:rsidRDefault="00190ABC" w:rsidP="00190ABC">
      <w:pPr>
        <w:spacing w:after="120" w:line="240" w:lineRule="auto"/>
        <w:jc w:val="both"/>
        <w:rPr>
          <w:rFonts w:cstheme="minorHAnsi"/>
          <w:sz w:val="24"/>
          <w:szCs w:val="24"/>
          <w:lang w:eastAsia="hr-HR"/>
        </w:rPr>
      </w:pPr>
      <w:r w:rsidRPr="003C7CB1">
        <w:rPr>
          <w:rFonts w:cstheme="minorHAnsi"/>
          <w:sz w:val="24"/>
          <w:szCs w:val="24"/>
          <w:lang w:eastAsia="hr-HR"/>
        </w:rPr>
        <w:t>Therefore, only the establishment of healthy competition can contribute to reducing the level of this problem, which should be minimized through joint efforts</w:t>
      </w:r>
      <w:r w:rsidR="002B5AB4" w:rsidRPr="003C7CB1">
        <w:rPr>
          <w:rFonts w:cstheme="minorHAnsi"/>
          <w:sz w:val="24"/>
          <w:szCs w:val="24"/>
          <w:lang w:eastAsia="hr-HR"/>
        </w:rPr>
        <w:t>.   </w:t>
      </w:r>
    </w:p>
    <w:p w14:paraId="2B9ECFD6" w14:textId="41C96F49" w:rsidR="002B5AB4" w:rsidRPr="003C7CB1" w:rsidRDefault="00190ABC" w:rsidP="00190ABC">
      <w:pPr>
        <w:spacing w:after="120" w:line="240" w:lineRule="auto"/>
        <w:jc w:val="both"/>
        <w:rPr>
          <w:rFonts w:cs="Arial"/>
          <w:sz w:val="24"/>
          <w:szCs w:val="24"/>
        </w:rPr>
      </w:pPr>
      <w:r w:rsidRPr="003C7CB1">
        <w:rPr>
          <w:rFonts w:cs="Arial"/>
          <w:sz w:val="24"/>
          <w:szCs w:val="24"/>
        </w:rPr>
        <w:t>It is necessary to ensure the rationalization of the entire process, including, inter alia, the registration of companies, collection of taxes and assigned revenues, etc., then the removal of administrative barriers, as well as the unification of existing ones, with the definition of new incentives for the transition from the informal to the formal economy</w:t>
      </w:r>
      <w:r w:rsidR="002B5AB4" w:rsidRPr="003C7CB1">
        <w:rPr>
          <w:rFonts w:cs="Arial"/>
          <w:sz w:val="24"/>
          <w:szCs w:val="24"/>
        </w:rPr>
        <w:t xml:space="preserve">. </w:t>
      </w:r>
    </w:p>
    <w:bookmarkEnd w:id="200"/>
    <w:p w14:paraId="13393E8E" w14:textId="77777777" w:rsidR="002B5AB4" w:rsidRPr="003C7CB1" w:rsidRDefault="002B5AB4" w:rsidP="00E372B9">
      <w:pPr>
        <w:pStyle w:val="Heading2"/>
        <w:spacing w:before="0" w:after="120" w:line="240" w:lineRule="auto"/>
        <w:rPr>
          <w:sz w:val="26"/>
          <w:lang w:eastAsia="hr-HR"/>
        </w:rPr>
      </w:pPr>
    </w:p>
    <w:p w14:paraId="162196B8" w14:textId="43215D33" w:rsidR="00BA22F1" w:rsidRPr="003C7CB1" w:rsidRDefault="00BA22F1" w:rsidP="00E372B9">
      <w:pPr>
        <w:pStyle w:val="Heading2"/>
        <w:spacing w:before="0" w:after="120" w:line="240" w:lineRule="auto"/>
        <w:rPr>
          <w:sz w:val="26"/>
        </w:rPr>
      </w:pPr>
      <w:bookmarkStart w:id="216" w:name="_Toc95303044"/>
      <w:bookmarkStart w:id="217" w:name="_Toc104544207"/>
      <w:r w:rsidRPr="003C7CB1">
        <w:rPr>
          <w:sz w:val="26"/>
        </w:rPr>
        <w:t>1</w:t>
      </w:r>
      <w:r w:rsidR="00024959" w:rsidRPr="003C7CB1">
        <w:rPr>
          <w:sz w:val="26"/>
        </w:rPr>
        <w:t>4</w:t>
      </w:r>
      <w:r w:rsidRPr="003C7CB1">
        <w:rPr>
          <w:sz w:val="26"/>
        </w:rPr>
        <w:t xml:space="preserve">.2. </w:t>
      </w:r>
      <w:bookmarkEnd w:id="216"/>
      <w:r w:rsidR="00190ABC" w:rsidRPr="003C7CB1">
        <w:rPr>
          <w:sz w:val="26"/>
        </w:rPr>
        <w:t>Operational goal 2 - Improved tourism infrastructure and supporting infra and supra structure</w:t>
      </w:r>
      <w:bookmarkEnd w:id="217"/>
    </w:p>
    <w:p w14:paraId="219FCF1D" w14:textId="1AEE33F8" w:rsidR="00BA22F1" w:rsidRPr="003C7CB1" w:rsidRDefault="00971801" w:rsidP="00E372B9">
      <w:pPr>
        <w:spacing w:after="120" w:line="240" w:lineRule="auto"/>
        <w:jc w:val="both"/>
        <w:rPr>
          <w:rFonts w:cstheme="minorHAnsi"/>
          <w:sz w:val="24"/>
          <w:szCs w:val="24"/>
        </w:rPr>
      </w:pPr>
      <w:r w:rsidRPr="003C7CB1">
        <w:rPr>
          <w:rFonts w:cstheme="minorHAnsi"/>
          <w:sz w:val="24"/>
          <w:szCs w:val="24"/>
        </w:rPr>
        <w:t>Infrastructure is crucial for tourism growth and the competitiveness of Montenegrin destination. We can understand the tourism infrastructure as a system of facilities and organizations that serve tourists, and it includes passenger transport, roads, water supply, electricity, purification systems, heating, air conditioning, energy sources and more. Infrastructure development is of fundamental importance for tourism. The general goal is to help the development of infrastructure with state incentives, for the private sector to recognize this need and start investing primarily in the construction of accommodation facilities, and then the accompanying commercial and complementary facilities. In this way, public-private partnerships are strengthened, which should result in mutual benefits, as well as benefits for the local population. The development of additional facilities improves the offer, prolongs the stay of guests at the destination</w:t>
      </w:r>
      <w:r w:rsidR="006511B7" w:rsidRPr="003C7CB1">
        <w:rPr>
          <w:rFonts w:cstheme="minorHAnsi"/>
          <w:sz w:val="24"/>
          <w:szCs w:val="24"/>
        </w:rPr>
        <w:t xml:space="preserve">. </w:t>
      </w:r>
    </w:p>
    <w:p w14:paraId="0AD93CD7" w14:textId="1D15B425" w:rsidR="00BA22F1" w:rsidRPr="003C7CB1" w:rsidRDefault="00971801" w:rsidP="00E372B9">
      <w:pPr>
        <w:tabs>
          <w:tab w:val="left" w:pos="2268"/>
        </w:tabs>
        <w:spacing w:after="120" w:line="240" w:lineRule="auto"/>
        <w:jc w:val="both"/>
        <w:rPr>
          <w:bCs/>
          <w:sz w:val="24"/>
          <w:szCs w:val="24"/>
        </w:rPr>
      </w:pPr>
      <w:r w:rsidRPr="003C7CB1">
        <w:rPr>
          <w:rFonts w:cstheme="minorHAnsi"/>
          <w:bCs/>
          <w:sz w:val="24"/>
          <w:szCs w:val="24"/>
        </w:rPr>
        <w:lastRenderedPageBreak/>
        <w:t xml:space="preserve">The analysis of the state of infrastructure and </w:t>
      </w:r>
      <w:proofErr w:type="spellStart"/>
      <w:r w:rsidRPr="003C7CB1">
        <w:rPr>
          <w:rFonts w:cstheme="minorHAnsi"/>
          <w:bCs/>
          <w:sz w:val="24"/>
          <w:szCs w:val="24"/>
        </w:rPr>
        <w:t>suprastructure</w:t>
      </w:r>
      <w:proofErr w:type="spellEnd"/>
      <w:r w:rsidRPr="003C7CB1">
        <w:rPr>
          <w:rFonts w:cstheme="minorHAnsi"/>
          <w:bCs/>
          <w:sz w:val="24"/>
          <w:szCs w:val="24"/>
        </w:rPr>
        <w:t>, as an inseparable part of the tourist offer, shows that it is necessary to direct further activities towards improving the availability of Montenegro, communal infrastructure, electricity and water supply. Therefore, given the limited space and potential, Montenegro must commit to sustainable tourism development. This means that every link in the chain of complex tourism product must meet all quality standards because sustainable tourism means taking responsibility</w:t>
      </w:r>
      <w:r w:rsidR="006511B7" w:rsidRPr="003C7CB1">
        <w:rPr>
          <w:bCs/>
          <w:sz w:val="24"/>
          <w:szCs w:val="24"/>
        </w:rPr>
        <w:t>.</w:t>
      </w:r>
    </w:p>
    <w:p w14:paraId="4AFFCB83" w14:textId="3E3401BE" w:rsidR="00BA22F1" w:rsidRPr="003C7CB1" w:rsidRDefault="00B904EC" w:rsidP="00E372B9">
      <w:pPr>
        <w:tabs>
          <w:tab w:val="left" w:pos="2268"/>
        </w:tabs>
        <w:spacing w:after="120" w:line="240" w:lineRule="auto"/>
        <w:jc w:val="both"/>
        <w:rPr>
          <w:sz w:val="24"/>
          <w:szCs w:val="24"/>
        </w:rPr>
      </w:pPr>
      <w:r w:rsidRPr="003C7CB1">
        <w:rPr>
          <w:sz w:val="24"/>
          <w:szCs w:val="24"/>
        </w:rPr>
        <w:t xml:space="preserve">Improving the existing infra and supra structure is one of the development priorities of every tourist destination. Due to its geographical position, Montenegro is primarily an air travel destination, although it is accessible from some markets by land and sea. Having in mind the readiness of tourists from important emitting markets to visit Montenegro in the periods before and after the season, special emphasis should be placed on the highest quality network of air accessibility of Montenegro. Also, the issue of quality water supply, as well as adequate treatment of wastewater and solid waste is set as an imperative for further development. This also applies to the supply of electricity, and if it is not adequately developed, the quality of all other activities undertaken in terms of improving the </w:t>
      </w:r>
      <w:r w:rsidR="00C65FFD">
        <w:rPr>
          <w:sz w:val="24"/>
          <w:szCs w:val="24"/>
        </w:rPr>
        <w:t>tourism product</w:t>
      </w:r>
      <w:r w:rsidRPr="003C7CB1">
        <w:rPr>
          <w:sz w:val="24"/>
          <w:szCs w:val="24"/>
        </w:rPr>
        <w:t xml:space="preserve"> is also in question</w:t>
      </w:r>
      <w:r w:rsidR="00BA22F1" w:rsidRPr="003C7CB1">
        <w:rPr>
          <w:sz w:val="24"/>
          <w:szCs w:val="24"/>
        </w:rPr>
        <w:t xml:space="preserve">. </w:t>
      </w:r>
    </w:p>
    <w:p w14:paraId="522F3E66" w14:textId="2AA1352A" w:rsidR="00BA22F1" w:rsidRPr="003C7CB1" w:rsidRDefault="007A0C9E" w:rsidP="007A0C9E">
      <w:pPr>
        <w:spacing w:after="120" w:line="240" w:lineRule="auto"/>
        <w:jc w:val="both"/>
        <w:rPr>
          <w:rFonts w:cstheme="minorHAnsi"/>
          <w:sz w:val="24"/>
          <w:szCs w:val="24"/>
        </w:rPr>
      </w:pPr>
      <w:r w:rsidRPr="003C7CB1">
        <w:rPr>
          <w:rFonts w:cstheme="minorHAnsi"/>
          <w:sz w:val="24"/>
          <w:szCs w:val="24"/>
        </w:rPr>
        <w:t xml:space="preserve">The level of construction of the tourist supra structure must be significantly increased, especially in terms of catering facilities, galleries, congress facilities, sports halls of open and closed type, etc. The development of infrastructure and </w:t>
      </w:r>
      <w:proofErr w:type="spellStart"/>
      <w:r w:rsidRPr="003C7CB1">
        <w:rPr>
          <w:rFonts w:cstheme="minorHAnsi"/>
          <w:sz w:val="24"/>
          <w:szCs w:val="24"/>
        </w:rPr>
        <w:t>suprastructure</w:t>
      </w:r>
      <w:proofErr w:type="spellEnd"/>
      <w:r w:rsidRPr="003C7CB1">
        <w:rPr>
          <w:rFonts w:cstheme="minorHAnsi"/>
          <w:sz w:val="24"/>
          <w:szCs w:val="24"/>
        </w:rPr>
        <w:t xml:space="preserve"> raises the attractiveness and competitiveness of the destination. Tourists usually expect that the facilities in the chosen destination will be comparable to what they enjoy at home. Thus, good infrastructure at the destination stimulates the demand for its products, and at the same time reduces the "pressure" on the destination itself. The pressure on the destination is reduced by "expanding" the possibility of locating tourists from major tourist sites, redirecting activities to the pre and post season with adequate pricing and promotional policies, creating attractive programs of visits that connect activities, provide discounts on excursions, etc., then by improving public transport, etc.</w:t>
      </w:r>
    </w:p>
    <w:p w14:paraId="7979B8C6" w14:textId="4099E49B" w:rsidR="00750684" w:rsidRPr="003C7CB1" w:rsidRDefault="0016418C" w:rsidP="00E372B9">
      <w:pPr>
        <w:spacing w:after="120" w:line="240" w:lineRule="auto"/>
        <w:jc w:val="both"/>
        <w:rPr>
          <w:rFonts w:cstheme="minorHAnsi"/>
          <w:sz w:val="24"/>
          <w:szCs w:val="24"/>
        </w:rPr>
      </w:pPr>
      <w:r w:rsidRPr="003C7CB1">
        <w:rPr>
          <w:rFonts w:cstheme="minorHAnsi"/>
          <w:sz w:val="24"/>
          <w:szCs w:val="24"/>
        </w:rPr>
        <w:t xml:space="preserve">The </w:t>
      </w:r>
      <w:r w:rsidRPr="003C7CB1">
        <w:rPr>
          <w:rFonts w:cstheme="minorHAnsi"/>
          <w:b/>
          <w:sz w:val="24"/>
          <w:szCs w:val="24"/>
        </w:rPr>
        <w:t>Single List of Priority Infrastructure Projects of Montenegro</w:t>
      </w:r>
      <w:r w:rsidRPr="003C7CB1">
        <w:rPr>
          <w:rFonts w:cstheme="minorHAnsi"/>
          <w:sz w:val="24"/>
          <w:szCs w:val="24"/>
        </w:rPr>
        <w:t>, whose implementation is planned through the Capital Budget, includes 16 projects related to the improvement of tourist infrastructure in the North of Montenegro. The total estimated value of the given projects is € 222.7 million</w:t>
      </w:r>
      <w:r w:rsidR="00077A77" w:rsidRPr="003C7CB1">
        <w:rPr>
          <w:rFonts w:cstheme="minorHAnsi"/>
          <w:sz w:val="24"/>
          <w:szCs w:val="24"/>
        </w:rPr>
        <w:t>.</w:t>
      </w:r>
      <w:r w:rsidR="00765B94">
        <w:rPr>
          <w:rFonts w:cs="Arial"/>
          <w:sz w:val="24"/>
          <w:szCs w:val="24"/>
        </w:rPr>
        <w:t xml:space="preserve">                                                                                                   </w:t>
      </w:r>
    </w:p>
    <w:p w14:paraId="4DB28F72" w14:textId="77777777" w:rsidR="00783D83" w:rsidRPr="003C7CB1" w:rsidRDefault="00783D83" w:rsidP="00E372B9">
      <w:pPr>
        <w:pStyle w:val="Heading2"/>
        <w:spacing w:before="0" w:after="120" w:line="240" w:lineRule="auto"/>
        <w:rPr>
          <w:rFonts w:eastAsiaTheme="minorHAnsi" w:cstheme="minorBidi"/>
          <w:sz w:val="26"/>
        </w:rPr>
      </w:pPr>
    </w:p>
    <w:p w14:paraId="5635EAA5" w14:textId="2E585149" w:rsidR="00783D83" w:rsidRPr="003C7CB1" w:rsidRDefault="00783D83" w:rsidP="00E372B9">
      <w:pPr>
        <w:pStyle w:val="Heading2"/>
        <w:spacing w:before="0" w:after="120" w:line="240" w:lineRule="auto"/>
        <w:rPr>
          <w:sz w:val="26"/>
        </w:rPr>
      </w:pPr>
      <w:bookmarkStart w:id="218" w:name="_Toc95303045"/>
      <w:bookmarkStart w:id="219" w:name="_Toc104544208"/>
      <w:r w:rsidRPr="003C7CB1">
        <w:rPr>
          <w:sz w:val="26"/>
        </w:rPr>
        <w:t>1</w:t>
      </w:r>
      <w:r w:rsidR="00024959" w:rsidRPr="003C7CB1">
        <w:rPr>
          <w:sz w:val="26"/>
        </w:rPr>
        <w:t>4</w:t>
      </w:r>
      <w:r w:rsidRPr="003C7CB1">
        <w:rPr>
          <w:sz w:val="26"/>
        </w:rPr>
        <w:t xml:space="preserve">.3. </w:t>
      </w:r>
      <w:bookmarkEnd w:id="218"/>
      <w:r w:rsidR="0016418C" w:rsidRPr="003C7CB1">
        <w:rPr>
          <w:sz w:val="26"/>
        </w:rPr>
        <w:t>Operational goal 3 - Improved quality and quantity of accommodation capacities</w:t>
      </w:r>
      <w:bookmarkEnd w:id="219"/>
    </w:p>
    <w:p w14:paraId="6D779ACC" w14:textId="180EE692" w:rsidR="00783D83" w:rsidRPr="003C7CB1" w:rsidRDefault="00AA66B0" w:rsidP="00E372B9">
      <w:pPr>
        <w:pStyle w:val="HTMLPreformatted"/>
        <w:shd w:val="clear" w:color="auto" w:fill="FFFFFF" w:themeFill="background1"/>
        <w:spacing w:after="120"/>
        <w:jc w:val="both"/>
        <w:rPr>
          <w:rFonts w:asciiTheme="minorHAnsi" w:hAnsiTheme="minorHAnsi" w:cstheme="minorHAnsi"/>
          <w:sz w:val="24"/>
          <w:szCs w:val="24"/>
          <w:lang w:eastAsia="hr-HR"/>
        </w:rPr>
      </w:pPr>
      <w:r w:rsidRPr="003C7CB1">
        <w:rPr>
          <w:rFonts w:asciiTheme="minorHAnsi" w:hAnsiTheme="minorHAnsi" w:cstheme="minorHAnsi"/>
          <w:sz w:val="24"/>
          <w:szCs w:val="24"/>
          <w:lang w:eastAsia="hr-HR"/>
        </w:rPr>
        <w:t>Montenegro should carefully manage the development of tourist accommodation offer, through the construction of new and improving the quality of existing accommodation facilities, in a way that gives priority to sustainable development of accommodation facilities that create the greatest benefits for the economy, both in terms of income and employment. The main emphasis is placed on the construction and improvement of accommodation tourist capacities that will meet the criteria of middle and higher categories, because they achieve the best occupancy throughout the year, and thus higher revenues. As a precondition for its achievement, it is necessary to create a safe and motivating investment environment, in order to position Montenegro as a safe destination for investment in tourism.</w:t>
      </w:r>
    </w:p>
    <w:p w14:paraId="207A82AA" w14:textId="672CCE3A" w:rsidR="00783D83" w:rsidRPr="003C7CB1" w:rsidRDefault="00547C7E" w:rsidP="00547C7E">
      <w:pPr>
        <w:spacing w:after="120" w:line="240" w:lineRule="auto"/>
        <w:jc w:val="both"/>
        <w:rPr>
          <w:rFonts w:eastAsia="Times New Roman" w:cstheme="minorHAnsi"/>
          <w:sz w:val="24"/>
          <w:szCs w:val="24"/>
          <w:lang w:eastAsia="hr-HR"/>
        </w:rPr>
      </w:pPr>
      <w:r w:rsidRPr="003C7CB1">
        <w:rPr>
          <w:rFonts w:eastAsia="Times New Roman" w:cstheme="minorHAnsi"/>
          <w:sz w:val="24"/>
          <w:szCs w:val="24"/>
          <w:lang w:eastAsia="hr-HR"/>
        </w:rPr>
        <w:t xml:space="preserve">In this regard, it is necessary in the future to work on cost optimization in order to shorten the payback period in high-end hotels, and by providing a stimulating investment </w:t>
      </w:r>
      <w:r w:rsidRPr="003C7CB1">
        <w:rPr>
          <w:rFonts w:eastAsia="Times New Roman" w:cstheme="minorHAnsi"/>
          <w:sz w:val="24"/>
          <w:szCs w:val="24"/>
          <w:lang w:eastAsia="hr-HR"/>
        </w:rPr>
        <w:lastRenderedPageBreak/>
        <w:t>environment. It is necessary to work on rationalization of administration, then harmonizing cadastral records with the actual situation on the ground, reducing long deadlines for issuing building permits, harmonizing legal regulations, as well as introducing international models of tourist real estate management. It is necessary to have a systematic overview of all relevant documents through one platform, in order to create a clear procedure - investment path of investment implementation. It is necessary to make a situational cross-section of the situation, where all disputable points of functioning of the investment implementation would be targeted and work on their elimination</w:t>
      </w:r>
      <w:r w:rsidR="00A5275E" w:rsidRPr="003C7CB1">
        <w:rPr>
          <w:rFonts w:eastAsia="Times New Roman" w:cstheme="minorHAnsi"/>
          <w:sz w:val="24"/>
          <w:szCs w:val="24"/>
          <w:lang w:eastAsia="hr-HR"/>
        </w:rPr>
        <w:t>.</w:t>
      </w:r>
    </w:p>
    <w:p w14:paraId="16F385A8" w14:textId="4440670A" w:rsidR="00783D83" w:rsidRPr="003C7CB1" w:rsidRDefault="002013F0" w:rsidP="00E372B9">
      <w:pPr>
        <w:spacing w:after="120" w:line="240" w:lineRule="auto"/>
        <w:jc w:val="both"/>
        <w:rPr>
          <w:rFonts w:eastAsia="Times New Roman" w:cstheme="minorHAnsi"/>
          <w:b/>
          <w:sz w:val="24"/>
          <w:szCs w:val="24"/>
          <w:lang w:eastAsia="hr-HR"/>
        </w:rPr>
      </w:pPr>
      <w:r w:rsidRPr="003C7CB1">
        <w:rPr>
          <w:rFonts w:eastAsia="Times New Roman" w:cstheme="minorHAnsi"/>
          <w:sz w:val="24"/>
          <w:szCs w:val="24"/>
          <w:lang w:eastAsia="hr-HR"/>
        </w:rPr>
        <w:t xml:space="preserve">The possibility of improving the accommodation units is directly conditioned by the income generated by tourist real estate, and the income is conditioned by the occupancy and reduction of the seasonality of the destination. In order to enable the tourism industry to generate higher revenues, and thus improve the quality of accommodation, strong institutional support is needed for hotels, small hotels and family hotels, through local tourism organizations, which should define individual sales of accommodation as a single tourism product. which would be further marketed in foreign markets and offered to global tour operators. Also, it is necessary to work on shortening the seasonality and tie the </w:t>
      </w:r>
      <w:r w:rsidR="00C65FFD">
        <w:rPr>
          <w:rFonts w:eastAsia="Times New Roman" w:cstheme="minorHAnsi"/>
          <w:sz w:val="24"/>
          <w:szCs w:val="24"/>
          <w:lang w:eastAsia="hr-HR"/>
        </w:rPr>
        <w:t>tourism product</w:t>
      </w:r>
      <w:r w:rsidRPr="003C7CB1">
        <w:rPr>
          <w:rFonts w:eastAsia="Times New Roman" w:cstheme="minorHAnsi"/>
          <w:sz w:val="24"/>
          <w:szCs w:val="24"/>
          <w:lang w:eastAsia="hr-HR"/>
        </w:rPr>
        <w:t xml:space="preserve"> not only to coastal tourism, but also to improve the tourist offer in the rest of the country, by organizing various events, manifestations, excursion tours, </w:t>
      </w:r>
      <w:proofErr w:type="spellStart"/>
      <w:r w:rsidRPr="003C7CB1">
        <w:rPr>
          <w:rFonts w:eastAsia="Times New Roman" w:cstheme="minorHAnsi"/>
          <w:sz w:val="24"/>
          <w:szCs w:val="24"/>
          <w:lang w:eastAsia="hr-HR"/>
        </w:rPr>
        <w:t>eno</w:t>
      </w:r>
      <w:proofErr w:type="spellEnd"/>
      <w:r w:rsidRPr="003C7CB1">
        <w:rPr>
          <w:rFonts w:eastAsia="Times New Roman" w:cstheme="minorHAnsi"/>
          <w:sz w:val="24"/>
          <w:szCs w:val="24"/>
          <w:lang w:eastAsia="hr-HR"/>
        </w:rPr>
        <w:t>-gastronomic offer, etc</w:t>
      </w:r>
      <w:r w:rsidR="00783D83" w:rsidRPr="003C7CB1">
        <w:rPr>
          <w:rFonts w:eastAsia="Times New Roman" w:cstheme="minorHAnsi"/>
          <w:sz w:val="24"/>
          <w:szCs w:val="24"/>
          <w:lang w:eastAsia="hr-HR"/>
        </w:rPr>
        <w:t>.</w:t>
      </w:r>
    </w:p>
    <w:p w14:paraId="175B45F7" w14:textId="7B5BC8C3" w:rsidR="00783D83" w:rsidRPr="003C7CB1" w:rsidRDefault="002C148C" w:rsidP="00E372B9">
      <w:pPr>
        <w:spacing w:after="120" w:line="240" w:lineRule="auto"/>
        <w:jc w:val="both"/>
        <w:rPr>
          <w:sz w:val="24"/>
          <w:szCs w:val="24"/>
        </w:rPr>
      </w:pPr>
      <w:r w:rsidRPr="003C7CB1">
        <w:rPr>
          <w:rFonts w:eastAsia="Times New Roman" w:cstheme="minorHAnsi"/>
          <w:sz w:val="24"/>
          <w:szCs w:val="24"/>
          <w:lang w:eastAsia="hr-HR"/>
        </w:rPr>
        <w:t>Also, in order to improve accommodation capacities in the North of Montenegro, it is necessary to implement infrastructure projects that will be the basis for individual investments, both for new accommodation capacities and for existing ones, which will justify future investments. In this regard, it is necessary for the Government of Montenegro to intensify continuous sustainable investment in infrastructure projects in the North in the direction of creating further preconditions for the development of mountain tourism. The capital budget for 2022 has allocated significant funds for the implementation of these projects and it is expected that this trend of investment in the North of Montenegro will continue in the future</w:t>
      </w:r>
      <w:r w:rsidR="00783D83" w:rsidRPr="003C7CB1">
        <w:rPr>
          <w:sz w:val="24"/>
          <w:szCs w:val="24"/>
        </w:rPr>
        <w:t xml:space="preserve">.  </w:t>
      </w:r>
    </w:p>
    <w:p w14:paraId="2397D698" w14:textId="12870D7D" w:rsidR="00783D83" w:rsidRPr="003C7CB1" w:rsidRDefault="00523308" w:rsidP="00E372B9">
      <w:pPr>
        <w:spacing w:after="120" w:line="240" w:lineRule="auto"/>
        <w:jc w:val="both"/>
        <w:rPr>
          <w:sz w:val="24"/>
          <w:szCs w:val="24"/>
        </w:rPr>
      </w:pPr>
      <w:r w:rsidRPr="003C7CB1">
        <w:rPr>
          <w:sz w:val="24"/>
          <w:szCs w:val="24"/>
        </w:rPr>
        <w:t>Investing in infrastructure projects in the North of Montenegro ensures more balanced regional development, creates new jobs and increases the attractiveness of the entire space for domestic and foreign investors. In this way, the state actively participates in creating the basis for the development of new tourist capacities by private investors</w:t>
      </w:r>
      <w:r w:rsidR="00783D83" w:rsidRPr="003C7CB1">
        <w:rPr>
          <w:sz w:val="24"/>
          <w:szCs w:val="24"/>
        </w:rPr>
        <w:t>.  </w:t>
      </w:r>
    </w:p>
    <w:p w14:paraId="13105219" w14:textId="7F84B0F2" w:rsidR="00783D83" w:rsidRPr="003C7CB1" w:rsidRDefault="00313568" w:rsidP="00E372B9">
      <w:pPr>
        <w:spacing w:after="120" w:line="240" w:lineRule="auto"/>
        <w:jc w:val="both"/>
        <w:rPr>
          <w:sz w:val="24"/>
          <w:szCs w:val="24"/>
        </w:rPr>
      </w:pPr>
      <w:r w:rsidRPr="003C7CB1">
        <w:rPr>
          <w:sz w:val="24"/>
          <w:szCs w:val="24"/>
        </w:rPr>
        <w:t>Investment activities in hotel capacities that were the subject of privatizations in the previous period, which have not been completed or whose implementation has not started at all, will continue in the following period. In this regard, due to non-fulfillment of the contracted investment by the investor, proceedings have been initiated to terminate the contracts, which gives the opportunity to give them to a potentially new investor, who is ready to implement the investment project</w:t>
      </w:r>
      <w:r w:rsidR="00783D83" w:rsidRPr="003C7CB1">
        <w:rPr>
          <w:sz w:val="24"/>
          <w:szCs w:val="24"/>
        </w:rPr>
        <w:t>.</w:t>
      </w:r>
    </w:p>
    <w:p w14:paraId="742A4A7E" w14:textId="6BE336A3" w:rsidR="00783D83" w:rsidRPr="003C7CB1" w:rsidRDefault="00313568" w:rsidP="00E372B9">
      <w:pPr>
        <w:spacing w:after="120" w:line="240" w:lineRule="auto"/>
        <w:jc w:val="both"/>
        <w:rPr>
          <w:sz w:val="24"/>
          <w:szCs w:val="24"/>
        </w:rPr>
      </w:pPr>
      <w:r w:rsidRPr="003C7CB1">
        <w:rPr>
          <w:sz w:val="24"/>
          <w:szCs w:val="24"/>
        </w:rPr>
        <w:t>Goals</w:t>
      </w:r>
      <w:r w:rsidR="00783D83" w:rsidRPr="003C7CB1">
        <w:rPr>
          <w:sz w:val="24"/>
          <w:szCs w:val="24"/>
        </w:rPr>
        <w:t xml:space="preserve">: </w:t>
      </w:r>
    </w:p>
    <w:p w14:paraId="1578B392" w14:textId="0E2FA0C7" w:rsidR="00783D83" w:rsidRPr="003C7CB1" w:rsidRDefault="00313568" w:rsidP="00313568">
      <w:pPr>
        <w:pStyle w:val="ListParagraph"/>
        <w:numPr>
          <w:ilvl w:val="0"/>
          <w:numId w:val="6"/>
        </w:numPr>
        <w:spacing w:after="120" w:line="240" w:lineRule="auto"/>
        <w:jc w:val="both"/>
        <w:rPr>
          <w:sz w:val="24"/>
          <w:szCs w:val="24"/>
        </w:rPr>
      </w:pPr>
      <w:r w:rsidRPr="003C7CB1">
        <w:rPr>
          <w:sz w:val="24"/>
          <w:szCs w:val="24"/>
        </w:rPr>
        <w:t>increase of the share of hotel accommodation in the total capacities at the level of Montenegro by at least 3</w:t>
      </w:r>
      <w:r w:rsidR="00205C88" w:rsidRPr="003C7CB1">
        <w:rPr>
          <w:sz w:val="24"/>
          <w:szCs w:val="24"/>
        </w:rPr>
        <w:t xml:space="preserve">%; </w:t>
      </w:r>
    </w:p>
    <w:p w14:paraId="528D9BD0" w14:textId="7BE93099" w:rsidR="00205C88" w:rsidRPr="003C7CB1" w:rsidRDefault="00313568" w:rsidP="00313568">
      <w:pPr>
        <w:pStyle w:val="ListParagraph"/>
        <w:numPr>
          <w:ilvl w:val="0"/>
          <w:numId w:val="6"/>
        </w:numPr>
        <w:spacing w:after="120" w:line="240" w:lineRule="auto"/>
        <w:jc w:val="both"/>
        <w:rPr>
          <w:sz w:val="24"/>
          <w:szCs w:val="24"/>
        </w:rPr>
      </w:pPr>
      <w:r w:rsidRPr="003C7CB1">
        <w:rPr>
          <w:sz w:val="24"/>
          <w:szCs w:val="24"/>
        </w:rPr>
        <w:t>increase of hotel capacities in the North of Montenegro by at least 15% in relation to the current total hotel offer of Montenegro</w:t>
      </w:r>
      <w:r w:rsidR="00205C88" w:rsidRPr="003C7CB1">
        <w:rPr>
          <w:sz w:val="24"/>
          <w:szCs w:val="24"/>
        </w:rPr>
        <w:t>;</w:t>
      </w:r>
    </w:p>
    <w:p w14:paraId="1D9F681C" w14:textId="186BC8F8" w:rsidR="00783D83" w:rsidRPr="003C7CB1" w:rsidRDefault="00313568" w:rsidP="00313568">
      <w:pPr>
        <w:pStyle w:val="ListParagraph"/>
        <w:numPr>
          <w:ilvl w:val="0"/>
          <w:numId w:val="6"/>
        </w:numPr>
        <w:spacing w:after="120" w:line="240" w:lineRule="auto"/>
        <w:jc w:val="both"/>
        <w:rPr>
          <w:sz w:val="24"/>
          <w:szCs w:val="24"/>
        </w:rPr>
      </w:pPr>
      <w:r w:rsidRPr="003C7CB1">
        <w:rPr>
          <w:sz w:val="24"/>
          <w:szCs w:val="24"/>
        </w:rPr>
        <w:t>raising the standard of existing accommodation capacities from 1 and 2 stars to 3, 4 and 5 stars</w:t>
      </w:r>
      <w:r w:rsidR="00205C88" w:rsidRPr="003C7CB1">
        <w:rPr>
          <w:sz w:val="24"/>
          <w:szCs w:val="24"/>
        </w:rPr>
        <w:t>;</w:t>
      </w:r>
    </w:p>
    <w:p w14:paraId="0769C315" w14:textId="21C05036" w:rsidR="00783D83" w:rsidRPr="003C7CB1" w:rsidRDefault="003E5467" w:rsidP="003E5467">
      <w:pPr>
        <w:pStyle w:val="ListParagraph"/>
        <w:numPr>
          <w:ilvl w:val="0"/>
          <w:numId w:val="6"/>
        </w:numPr>
        <w:spacing w:after="120" w:line="240" w:lineRule="auto"/>
        <w:jc w:val="both"/>
        <w:rPr>
          <w:sz w:val="24"/>
          <w:szCs w:val="24"/>
        </w:rPr>
      </w:pPr>
      <w:r w:rsidRPr="003C7CB1">
        <w:rPr>
          <w:sz w:val="24"/>
          <w:szCs w:val="24"/>
        </w:rPr>
        <w:lastRenderedPageBreak/>
        <w:t>construction of new capacities with 4 and 5 stars, as well as accommodation capacities such as wild beauty resort and eco lodge</w:t>
      </w:r>
      <w:r w:rsidR="00205C88" w:rsidRPr="003C7CB1">
        <w:rPr>
          <w:sz w:val="24"/>
          <w:szCs w:val="24"/>
        </w:rPr>
        <w:t>;</w:t>
      </w:r>
    </w:p>
    <w:p w14:paraId="7F6DA5FC" w14:textId="467424BD" w:rsidR="00400982" w:rsidRPr="003C7CB1" w:rsidRDefault="003E5467" w:rsidP="003E5467">
      <w:pPr>
        <w:pStyle w:val="ListParagraph"/>
        <w:numPr>
          <w:ilvl w:val="0"/>
          <w:numId w:val="6"/>
        </w:numPr>
        <w:spacing w:after="120" w:line="240" w:lineRule="auto"/>
        <w:jc w:val="both"/>
        <w:rPr>
          <w:sz w:val="24"/>
          <w:szCs w:val="24"/>
        </w:rPr>
      </w:pPr>
      <w:r w:rsidRPr="003C7CB1">
        <w:rPr>
          <w:sz w:val="24"/>
          <w:szCs w:val="24"/>
        </w:rPr>
        <w:t>Encouraging the development of rural households in all regions, especially in that area</w:t>
      </w:r>
      <w:r w:rsidR="00783D83" w:rsidRPr="003C7CB1">
        <w:rPr>
          <w:sz w:val="24"/>
          <w:szCs w:val="24"/>
        </w:rPr>
        <w:t>.</w:t>
      </w:r>
    </w:p>
    <w:p w14:paraId="2C85BEF1" w14:textId="14506C28" w:rsidR="00400982" w:rsidRPr="003C7CB1" w:rsidRDefault="000A6133" w:rsidP="00E372B9">
      <w:pPr>
        <w:spacing w:after="120" w:line="240" w:lineRule="auto"/>
        <w:jc w:val="both"/>
        <w:rPr>
          <w:sz w:val="24"/>
          <w:szCs w:val="24"/>
        </w:rPr>
      </w:pPr>
      <w:r w:rsidRPr="003C7CB1">
        <w:rPr>
          <w:sz w:val="24"/>
          <w:szCs w:val="24"/>
        </w:rPr>
        <w:t>That Montenegro is attractive as a tourist destination and has something to offer is confirmed by the presence of some of the world's leading hotel brands, such as "Chedi", "Hilton", "Aman", "Regent Four Points by Sheraton", "Melia",</w:t>
      </w:r>
      <w:r w:rsidR="00861D69">
        <w:rPr>
          <w:sz w:val="24"/>
          <w:szCs w:val="24"/>
        </w:rPr>
        <w:t xml:space="preserve"> </w:t>
      </w:r>
      <w:r w:rsidRPr="003C7CB1">
        <w:rPr>
          <w:sz w:val="24"/>
          <w:szCs w:val="24"/>
        </w:rPr>
        <w:t>"Iberostar", "</w:t>
      </w:r>
      <w:proofErr w:type="spellStart"/>
      <w:r w:rsidRPr="003C7CB1">
        <w:rPr>
          <w:sz w:val="24"/>
          <w:szCs w:val="24"/>
        </w:rPr>
        <w:t>Falkensteiner</w:t>
      </w:r>
      <w:proofErr w:type="spellEnd"/>
      <w:r w:rsidRPr="003C7CB1">
        <w:rPr>
          <w:sz w:val="24"/>
          <w:szCs w:val="24"/>
        </w:rPr>
        <w:t>", Ramada, as well as the first "One &amp; Only" resort in Europe, while the hotel of the brand" Accor "is under construction, and "Ritz Carlton" is also announced. In addition to the above, together with domestic investors and entrepreneurs, Montenegro is slowly getting more serious and quality hotel offer</w:t>
      </w:r>
      <w:r w:rsidR="00400982" w:rsidRPr="003C7CB1">
        <w:rPr>
          <w:sz w:val="24"/>
          <w:szCs w:val="24"/>
        </w:rPr>
        <w:t>.</w:t>
      </w:r>
    </w:p>
    <w:p w14:paraId="21FAE9E9" w14:textId="1E0663EC" w:rsidR="00783D83" w:rsidRPr="003C7CB1" w:rsidRDefault="000A6133" w:rsidP="00E372B9">
      <w:pPr>
        <w:pBdr>
          <w:top w:val="single" w:sz="4" w:space="1" w:color="auto"/>
          <w:left w:val="single" w:sz="4" w:space="4" w:color="auto"/>
          <w:bottom w:val="single" w:sz="4" w:space="1" w:color="auto"/>
          <w:right w:val="single" w:sz="4" w:space="4" w:color="auto"/>
        </w:pBdr>
        <w:spacing w:after="120" w:line="240" w:lineRule="auto"/>
        <w:jc w:val="both"/>
        <w:rPr>
          <w:rFonts w:cstheme="minorHAnsi"/>
          <w:sz w:val="24"/>
          <w:szCs w:val="24"/>
          <w:lang w:eastAsia="hr-HR"/>
        </w:rPr>
      </w:pPr>
      <w:r w:rsidRPr="003C7CB1">
        <w:rPr>
          <w:rFonts w:cstheme="minorHAnsi"/>
          <w:sz w:val="24"/>
          <w:szCs w:val="24"/>
          <w:lang w:eastAsia="hr-HR"/>
        </w:rPr>
        <w:t>Annex II: Investment activities in the tourism sector</w:t>
      </w:r>
    </w:p>
    <w:p w14:paraId="31EC58A0" w14:textId="77777777" w:rsidR="00BA22F1" w:rsidRPr="003C7CB1" w:rsidRDefault="00BA22F1" w:rsidP="00E372B9">
      <w:pPr>
        <w:spacing w:after="120" w:line="240" w:lineRule="auto"/>
        <w:jc w:val="both"/>
        <w:rPr>
          <w:rFonts w:cstheme="minorHAnsi"/>
          <w:sz w:val="24"/>
          <w:szCs w:val="24"/>
        </w:rPr>
      </w:pPr>
    </w:p>
    <w:p w14:paraId="5310C8D1" w14:textId="21E3AE4E" w:rsidR="00866262" w:rsidRPr="003C7CB1" w:rsidRDefault="005E4D0C" w:rsidP="00E372B9">
      <w:pPr>
        <w:pStyle w:val="Heading2"/>
        <w:spacing w:before="0" w:after="120" w:line="240" w:lineRule="auto"/>
        <w:jc w:val="both"/>
        <w:rPr>
          <w:sz w:val="26"/>
        </w:rPr>
      </w:pPr>
      <w:bookmarkStart w:id="220" w:name="_Toc95303046"/>
      <w:bookmarkStart w:id="221" w:name="_Toc104544209"/>
      <w:r w:rsidRPr="003C7CB1">
        <w:rPr>
          <w:sz w:val="26"/>
        </w:rPr>
        <w:t>1</w:t>
      </w:r>
      <w:r w:rsidR="00024959" w:rsidRPr="003C7CB1">
        <w:rPr>
          <w:sz w:val="26"/>
        </w:rPr>
        <w:t>4</w:t>
      </w:r>
      <w:r w:rsidRPr="003C7CB1">
        <w:rPr>
          <w:sz w:val="26"/>
        </w:rPr>
        <w:t xml:space="preserve">.4. </w:t>
      </w:r>
      <w:bookmarkEnd w:id="220"/>
      <w:r w:rsidR="000A6133" w:rsidRPr="003C7CB1">
        <w:rPr>
          <w:sz w:val="26"/>
        </w:rPr>
        <w:t>Operational goal 4 - Improved quality of diversified tourism product</w:t>
      </w:r>
      <w:bookmarkEnd w:id="221"/>
    </w:p>
    <w:p w14:paraId="45F4D9D5" w14:textId="1A51D829" w:rsidR="00F73D2D" w:rsidRPr="003C7CB1" w:rsidRDefault="006379E5" w:rsidP="000A6133">
      <w:pPr>
        <w:jc w:val="both"/>
        <w:rPr>
          <w:sz w:val="24"/>
          <w:lang w:eastAsia="hr-HR"/>
        </w:rPr>
      </w:pPr>
      <w:bookmarkStart w:id="222" w:name="_Toc91500041"/>
      <w:bookmarkStart w:id="223" w:name="_Toc91500532"/>
      <w:bookmarkStart w:id="224" w:name="_Toc91518813"/>
      <w:bookmarkStart w:id="225" w:name="_Toc91518949"/>
      <w:bookmarkStart w:id="226" w:name="_Toc91521936"/>
      <w:bookmarkStart w:id="227" w:name="_Toc95299967"/>
      <w:bookmarkStart w:id="228" w:name="_Toc95303047"/>
      <w:bookmarkStart w:id="229" w:name="_Toc97902511"/>
      <w:r w:rsidRPr="003C7CB1">
        <w:rPr>
          <w:sz w:val="24"/>
          <w:lang w:eastAsia="hr-HR"/>
        </w:rPr>
        <w:t>Sustainability of destinations is a feature of modern tourism development, while seasonality is a feature of unsustainable tourism. The tendency of development of year-round tourism as well as finding solutions that contribute to better development of society, in the form of using natural resources and putting them in the function of developing specific types of tourism, should be the strategic goal of the destinations</w:t>
      </w:r>
      <w:r w:rsidR="00F73D2D" w:rsidRPr="003C7CB1">
        <w:rPr>
          <w:sz w:val="24"/>
          <w:lang w:eastAsia="hr-HR"/>
        </w:rPr>
        <w:t>.</w:t>
      </w:r>
      <w:bookmarkEnd w:id="222"/>
      <w:bookmarkEnd w:id="223"/>
      <w:bookmarkEnd w:id="224"/>
      <w:bookmarkEnd w:id="225"/>
      <w:bookmarkEnd w:id="226"/>
      <w:bookmarkEnd w:id="227"/>
      <w:bookmarkEnd w:id="228"/>
      <w:bookmarkEnd w:id="229"/>
      <w:r w:rsidR="00F73D2D" w:rsidRPr="003C7CB1">
        <w:rPr>
          <w:sz w:val="24"/>
          <w:lang w:eastAsia="hr-HR"/>
        </w:rPr>
        <w:t xml:space="preserve">  </w:t>
      </w:r>
    </w:p>
    <w:p w14:paraId="5D55AD66" w14:textId="690B9969" w:rsidR="002C082C" w:rsidRPr="003C7CB1" w:rsidRDefault="006379E5" w:rsidP="006379E5">
      <w:pPr>
        <w:spacing w:after="120" w:line="240" w:lineRule="auto"/>
        <w:jc w:val="both"/>
        <w:rPr>
          <w:rFonts w:cstheme="minorHAnsi"/>
          <w:sz w:val="24"/>
          <w:szCs w:val="24"/>
          <w:lang w:eastAsia="hr-HR"/>
        </w:rPr>
      </w:pPr>
      <w:r w:rsidRPr="003C7CB1">
        <w:rPr>
          <w:rFonts w:cstheme="minorHAnsi"/>
          <w:sz w:val="24"/>
          <w:szCs w:val="24"/>
          <w:lang w:eastAsia="hr-HR"/>
        </w:rPr>
        <w:t xml:space="preserve">Extension of the tourist season is possible only in the case of a diversified tourist offer, </w:t>
      </w:r>
      <w:r w:rsidR="00861D69" w:rsidRPr="003C7CB1">
        <w:rPr>
          <w:rFonts w:cstheme="minorHAnsi"/>
          <w:sz w:val="24"/>
          <w:szCs w:val="24"/>
          <w:lang w:eastAsia="hr-HR"/>
        </w:rPr>
        <w:t>i.e.</w:t>
      </w:r>
      <w:r w:rsidRPr="003C7CB1">
        <w:rPr>
          <w:rFonts w:cstheme="minorHAnsi"/>
          <w:sz w:val="24"/>
          <w:szCs w:val="24"/>
          <w:lang w:eastAsia="hr-HR"/>
        </w:rPr>
        <w:t xml:space="preserve"> if the destination as a target product has a range of tourist segments, which include several types of tourist demand, and which meet a larger number of travel requirements over a wider period of time</w:t>
      </w:r>
      <w:r w:rsidR="002C082C" w:rsidRPr="003C7CB1">
        <w:rPr>
          <w:rFonts w:cstheme="minorHAnsi"/>
          <w:sz w:val="24"/>
          <w:szCs w:val="24"/>
          <w:lang w:eastAsia="hr-HR"/>
        </w:rPr>
        <w:t xml:space="preserve">. </w:t>
      </w:r>
    </w:p>
    <w:p w14:paraId="3AEA06E9" w14:textId="419EC1C8" w:rsidR="000B6923" w:rsidRPr="003C7CB1" w:rsidRDefault="006379E5" w:rsidP="00E372B9">
      <w:pPr>
        <w:spacing w:after="120" w:line="240" w:lineRule="auto"/>
        <w:jc w:val="both"/>
        <w:rPr>
          <w:rFonts w:cstheme="minorHAnsi"/>
          <w:sz w:val="24"/>
          <w:szCs w:val="24"/>
          <w:lang w:eastAsia="hr-HR"/>
        </w:rPr>
      </w:pPr>
      <w:r w:rsidRPr="003C7CB1">
        <w:rPr>
          <w:rFonts w:cstheme="minorHAnsi"/>
          <w:sz w:val="24"/>
          <w:szCs w:val="24"/>
          <w:lang w:eastAsia="hr-HR"/>
        </w:rPr>
        <w:t>The diversity of Montenegro, both in terms of natural, socio-cultural, historical and ethnic characteristics, as well as in terms of commitment to further development of tourism, is a strong basis for developing specific and unique types of tourist offer</w:t>
      </w:r>
      <w:r w:rsidR="002B690C" w:rsidRPr="003C7CB1">
        <w:rPr>
          <w:rFonts w:cstheme="minorHAnsi"/>
          <w:sz w:val="24"/>
          <w:szCs w:val="24"/>
          <w:lang w:eastAsia="hr-HR"/>
        </w:rPr>
        <w:t>.</w:t>
      </w:r>
      <w:r w:rsidR="006B18DA" w:rsidRPr="003C7CB1">
        <w:rPr>
          <w:rFonts w:cstheme="minorHAnsi"/>
          <w:sz w:val="24"/>
          <w:szCs w:val="24"/>
          <w:lang w:eastAsia="hr-HR"/>
        </w:rPr>
        <w:t xml:space="preserve"> </w:t>
      </w:r>
    </w:p>
    <w:p w14:paraId="02F53760" w14:textId="329A2F90" w:rsidR="00D554DE" w:rsidRPr="003C7CB1" w:rsidRDefault="00A61064" w:rsidP="00E372B9">
      <w:pPr>
        <w:spacing w:after="120" w:line="240" w:lineRule="auto"/>
        <w:jc w:val="both"/>
        <w:rPr>
          <w:rFonts w:cstheme="minorHAnsi"/>
          <w:sz w:val="24"/>
          <w:szCs w:val="24"/>
          <w:lang w:eastAsia="hr-HR"/>
        </w:rPr>
      </w:pPr>
      <w:r w:rsidRPr="003C7CB1">
        <w:rPr>
          <w:rFonts w:cstheme="minorHAnsi"/>
          <w:sz w:val="24"/>
          <w:szCs w:val="24"/>
          <w:lang w:eastAsia="hr-HR"/>
        </w:rPr>
        <w:t>Accordingly, the potentials of tourism development in Montenegro are in the development and improvement of specific forms of tourism, among others: rural, cultural and religious, health, sports and recreation, ski, adventure, MICE, nature-based tourism (hiking, biking, mountaineering), camping, glamping, golf tourism, casino tourism, etc.</w:t>
      </w:r>
    </w:p>
    <w:p w14:paraId="11CD329B" w14:textId="407791F1" w:rsidR="00433C38" w:rsidRPr="003C7CB1" w:rsidRDefault="00A61064" w:rsidP="00A61064">
      <w:pPr>
        <w:pStyle w:val="ListParagraph"/>
        <w:numPr>
          <w:ilvl w:val="0"/>
          <w:numId w:val="51"/>
        </w:numPr>
        <w:spacing w:after="120" w:line="240" w:lineRule="auto"/>
        <w:jc w:val="both"/>
        <w:rPr>
          <w:b/>
          <w:color w:val="2F5496" w:themeColor="accent1" w:themeShade="BF"/>
          <w:sz w:val="24"/>
          <w:szCs w:val="24"/>
        </w:rPr>
      </w:pPr>
      <w:r w:rsidRPr="003C7CB1">
        <w:rPr>
          <w:b/>
          <w:color w:val="2F5496" w:themeColor="accent1" w:themeShade="BF"/>
          <w:sz w:val="24"/>
          <w:szCs w:val="24"/>
        </w:rPr>
        <w:t>Rural tourism</w:t>
      </w:r>
    </w:p>
    <w:p w14:paraId="081B1CE2" w14:textId="6AE3F6D5" w:rsidR="00433C38" w:rsidRPr="003C7CB1" w:rsidRDefault="00121BBA" w:rsidP="00E372B9">
      <w:pPr>
        <w:spacing w:after="120" w:line="240" w:lineRule="auto"/>
        <w:jc w:val="both"/>
        <w:rPr>
          <w:sz w:val="24"/>
          <w:szCs w:val="24"/>
        </w:rPr>
      </w:pPr>
      <w:r w:rsidRPr="003C7CB1">
        <w:rPr>
          <w:sz w:val="24"/>
          <w:szCs w:val="24"/>
        </w:rPr>
        <w:t xml:space="preserve">Especially due to the conditions imposed by COVID-19, rural tourism has differentiated itself as the fastest growing segment of tourism. As such, it creates the conditions to meet the needs of a growing number of tourists who strive for a healthy lifestyle and seek experiences that include a sense of satisfaction in nature, traditional cuisine, hospitality of </w:t>
      </w:r>
      <w:r w:rsidR="00CC70E4" w:rsidRPr="003C7CB1">
        <w:rPr>
          <w:sz w:val="24"/>
          <w:szCs w:val="24"/>
        </w:rPr>
        <w:t>farms/</w:t>
      </w:r>
      <w:r w:rsidRPr="003C7CB1">
        <w:rPr>
          <w:sz w:val="24"/>
          <w:szCs w:val="24"/>
        </w:rPr>
        <w:t>households in rural areas, enjoying tradition and preserved customs and other authentic experiences</w:t>
      </w:r>
      <w:r w:rsidR="00433C38" w:rsidRPr="003C7CB1">
        <w:rPr>
          <w:sz w:val="24"/>
          <w:szCs w:val="24"/>
        </w:rPr>
        <w:t>.</w:t>
      </w:r>
      <w:r w:rsidR="00765B94">
        <w:rPr>
          <w:rFonts w:cs="Arial"/>
          <w:sz w:val="24"/>
          <w:szCs w:val="24"/>
        </w:rPr>
        <w:t xml:space="preserve">                                                                                                   </w:t>
      </w:r>
    </w:p>
    <w:p w14:paraId="132FC2E6" w14:textId="667B8AA7" w:rsidR="009E4683" w:rsidRPr="003C7CB1" w:rsidRDefault="008005AA" w:rsidP="008005AA">
      <w:pPr>
        <w:spacing w:after="120" w:line="240" w:lineRule="auto"/>
        <w:jc w:val="both"/>
        <w:rPr>
          <w:sz w:val="24"/>
          <w:szCs w:val="24"/>
        </w:rPr>
      </w:pPr>
      <w:r w:rsidRPr="003C7CB1">
        <w:rPr>
          <w:sz w:val="24"/>
          <w:szCs w:val="24"/>
        </w:rPr>
        <w:t xml:space="preserve">Recognizing the potentials of rural areas of Montenegro, </w:t>
      </w:r>
      <w:r w:rsidR="00861D69" w:rsidRPr="003C7CB1">
        <w:rPr>
          <w:sz w:val="24"/>
          <w:szCs w:val="24"/>
        </w:rPr>
        <w:t>i.e.</w:t>
      </w:r>
      <w:r w:rsidRPr="003C7CB1">
        <w:rPr>
          <w:sz w:val="24"/>
          <w:szCs w:val="24"/>
        </w:rPr>
        <w:t xml:space="preserve"> wanting to enable their tourist valorization, primarily the legal and by-law regulations for this segment of the tourist offer have been improved. In this way, service providers in rural tourism, </w:t>
      </w:r>
      <w:r w:rsidR="00861D69" w:rsidRPr="003C7CB1">
        <w:rPr>
          <w:sz w:val="24"/>
          <w:szCs w:val="24"/>
        </w:rPr>
        <w:t>i.e.</w:t>
      </w:r>
      <w:r w:rsidRPr="003C7CB1">
        <w:rPr>
          <w:sz w:val="24"/>
          <w:szCs w:val="24"/>
        </w:rPr>
        <w:t xml:space="preserve"> rural households, were offered a legal basis in order to simplify the procedure of their registration</w:t>
      </w:r>
      <w:r w:rsidR="009E4683" w:rsidRPr="003C7CB1">
        <w:rPr>
          <w:sz w:val="24"/>
          <w:szCs w:val="24"/>
        </w:rPr>
        <w:t xml:space="preserve">. </w:t>
      </w:r>
      <w:r w:rsidR="00F26C2B" w:rsidRPr="003C7CB1">
        <w:rPr>
          <w:sz w:val="24"/>
          <w:szCs w:val="24"/>
        </w:rPr>
        <w:t xml:space="preserve">The Ministry in charge of tourism has developed a Program of Rural Tourism Development with an </w:t>
      </w:r>
      <w:r w:rsidR="00B02367">
        <w:rPr>
          <w:sz w:val="24"/>
          <w:szCs w:val="24"/>
        </w:rPr>
        <w:t>A</w:t>
      </w:r>
      <w:r w:rsidR="00F26C2B" w:rsidRPr="003C7CB1">
        <w:rPr>
          <w:sz w:val="24"/>
          <w:szCs w:val="24"/>
        </w:rPr>
        <w:t xml:space="preserve">ction </w:t>
      </w:r>
      <w:r w:rsidR="00B02367">
        <w:rPr>
          <w:sz w:val="24"/>
          <w:szCs w:val="24"/>
        </w:rPr>
        <w:lastRenderedPageBreak/>
        <w:t>P</w:t>
      </w:r>
      <w:r w:rsidR="00F26C2B" w:rsidRPr="003C7CB1">
        <w:rPr>
          <w:sz w:val="24"/>
          <w:szCs w:val="24"/>
        </w:rPr>
        <w:t>lan until 2021. Also, brochures have been published by the relevant Ministry: Small guide for rural households, Brochure with all registered households and Dictionary intended for easier communication of households with guests (in seven language variants). Due to the consequences of the COVID-19 pandemic, the Program has not been fully implemented, so this Strategy envisages the continuation of its implementation</w:t>
      </w:r>
      <w:r w:rsidR="00E372AE" w:rsidRPr="003C7CB1">
        <w:rPr>
          <w:sz w:val="24"/>
          <w:szCs w:val="24"/>
        </w:rPr>
        <w:t>.</w:t>
      </w:r>
    </w:p>
    <w:p w14:paraId="2A54BF42" w14:textId="26C3A289" w:rsidR="00F732E9" w:rsidRPr="003C7CB1" w:rsidRDefault="00DF7308" w:rsidP="00DF7308">
      <w:pPr>
        <w:spacing w:after="120" w:line="240" w:lineRule="auto"/>
        <w:jc w:val="both"/>
        <w:rPr>
          <w:sz w:val="24"/>
          <w:szCs w:val="24"/>
        </w:rPr>
      </w:pPr>
      <w:r w:rsidRPr="003C7CB1">
        <w:rPr>
          <w:sz w:val="24"/>
          <w:szCs w:val="24"/>
        </w:rPr>
        <w:t>In the previous period, strong support for the development of rural tourism was provided through the provision of financial resources by The Ministry in charge of tourism and the Ministry in charge of agriculture, forestry and water management, aimed not only at increasing the number of rural households, but also at diversifying and specializing the offer which is an important component for further development of this form of tourism</w:t>
      </w:r>
      <w:r w:rsidR="009E4683" w:rsidRPr="003C7CB1">
        <w:rPr>
          <w:sz w:val="24"/>
          <w:szCs w:val="24"/>
        </w:rPr>
        <w:t>.</w:t>
      </w:r>
      <w:r w:rsidR="002B4150" w:rsidRPr="003C7CB1">
        <w:rPr>
          <w:sz w:val="24"/>
          <w:szCs w:val="24"/>
        </w:rPr>
        <w:t xml:space="preserve"> </w:t>
      </w:r>
      <w:r w:rsidRPr="003C7CB1">
        <w:rPr>
          <w:sz w:val="24"/>
          <w:szCs w:val="24"/>
        </w:rPr>
        <w:t>Through IPARD II</w:t>
      </w:r>
      <w:r w:rsidR="00A06466" w:rsidRPr="003C7CB1">
        <w:rPr>
          <w:rStyle w:val="FootnoteReference"/>
          <w:sz w:val="24"/>
          <w:szCs w:val="24"/>
        </w:rPr>
        <w:footnoteReference w:id="39"/>
      </w:r>
      <w:r w:rsidR="00A06466" w:rsidRPr="003C7CB1">
        <w:rPr>
          <w:sz w:val="24"/>
          <w:szCs w:val="24"/>
        </w:rPr>
        <w:t xml:space="preserve"> </w:t>
      </w:r>
      <w:r w:rsidR="008716CC" w:rsidRPr="003C7CB1">
        <w:rPr>
          <w:sz w:val="24"/>
          <w:szCs w:val="24"/>
        </w:rPr>
        <w:t>program implemented by the Ministry in charge of agriculture, forestry and water management, through measure 7, Farm diversification and business development, sub-measure/Public call: Support investments for the development of rural tourism- support is provided to stakeholders who want to invest in rural areas in the direction of developing the tourist offer. In addition, the goal is to encourage employment, create new and preserve existing jobs through the development of business activities and valorization of natural and agricultural assets, promotion of healthy and organic food, as well as encouraging economic activity and mitigating the trend of migration from rural areas. Cross-sectoral cooperation among complementary stakeholders will contribute to improving the environment in both tourism and agriculture</w:t>
      </w:r>
      <w:r w:rsidR="00F732E9" w:rsidRPr="003C7CB1">
        <w:rPr>
          <w:sz w:val="24"/>
          <w:szCs w:val="24"/>
        </w:rPr>
        <w:t>.</w:t>
      </w:r>
      <w:r w:rsidR="00693663" w:rsidRPr="003C7CB1">
        <w:rPr>
          <w:sz w:val="24"/>
          <w:szCs w:val="24"/>
        </w:rPr>
        <w:t xml:space="preserve"> </w:t>
      </w:r>
    </w:p>
    <w:p w14:paraId="103A0851" w14:textId="459CD0A5" w:rsidR="00A06466" w:rsidRPr="003C7CB1" w:rsidRDefault="00693663" w:rsidP="00E372B9">
      <w:pPr>
        <w:spacing w:after="120" w:line="240" w:lineRule="auto"/>
        <w:jc w:val="both"/>
        <w:rPr>
          <w:sz w:val="24"/>
          <w:szCs w:val="24"/>
        </w:rPr>
      </w:pPr>
      <w:r w:rsidRPr="003C7CB1">
        <w:rPr>
          <w:sz w:val="24"/>
          <w:szCs w:val="24"/>
        </w:rPr>
        <w:t>In addition to the above, the Program for the Development of Agriculture and Rural Areas of Montenegro within IPARD III 2021-2027 (IPARD III program</w:t>
      </w:r>
      <w:r w:rsidR="00A06466" w:rsidRPr="003C7CB1">
        <w:rPr>
          <w:sz w:val="24"/>
          <w:szCs w:val="24"/>
        </w:rPr>
        <w:t>)</w:t>
      </w:r>
      <w:r w:rsidR="00A06466" w:rsidRPr="003C7CB1">
        <w:rPr>
          <w:rStyle w:val="FootnoteReference"/>
          <w:sz w:val="24"/>
          <w:szCs w:val="24"/>
        </w:rPr>
        <w:footnoteReference w:id="40"/>
      </w:r>
      <w:r w:rsidR="00A06466" w:rsidRPr="003C7CB1">
        <w:rPr>
          <w:sz w:val="24"/>
          <w:szCs w:val="24"/>
        </w:rPr>
        <w:t xml:space="preserve"> </w:t>
      </w:r>
      <w:r w:rsidRPr="003C7CB1">
        <w:rPr>
          <w:sz w:val="24"/>
          <w:szCs w:val="24"/>
        </w:rPr>
        <w:t>will enable the use of European pre-accession funds through IPA III - the field of agricultural and rural development policy</w:t>
      </w:r>
      <w:r w:rsidR="00A06466" w:rsidRPr="003C7CB1">
        <w:rPr>
          <w:sz w:val="24"/>
          <w:szCs w:val="24"/>
        </w:rPr>
        <w:t>.</w:t>
      </w:r>
    </w:p>
    <w:p w14:paraId="17DF5115" w14:textId="77777777" w:rsidR="00D9211F" w:rsidRPr="003C7CB1" w:rsidRDefault="00D9211F" w:rsidP="00D9211F">
      <w:pPr>
        <w:spacing w:after="120" w:line="240" w:lineRule="auto"/>
        <w:jc w:val="both"/>
        <w:rPr>
          <w:sz w:val="24"/>
          <w:szCs w:val="24"/>
        </w:rPr>
      </w:pPr>
      <w:r w:rsidRPr="003C7CB1">
        <w:rPr>
          <w:sz w:val="24"/>
          <w:szCs w:val="24"/>
        </w:rPr>
        <w:t>More than € 80 million in grants will be available to farmers for the implementation of the IPARD III program, of which EU funds amount to € 63 million, while national co-financing amounts to around € 19 million. With the contribution of IPARD III beneficiaries of over € 50 million, over € 130 million will be invested in Montenegrin agriculture in the programming period 2021-2027.</w:t>
      </w:r>
    </w:p>
    <w:p w14:paraId="32B05BBA" w14:textId="6D364667" w:rsidR="00505291" w:rsidRPr="003C7CB1" w:rsidRDefault="00D9211F" w:rsidP="00D9211F">
      <w:pPr>
        <w:spacing w:after="120" w:line="240" w:lineRule="auto"/>
        <w:jc w:val="both"/>
        <w:rPr>
          <w:sz w:val="24"/>
          <w:szCs w:val="24"/>
        </w:rPr>
      </w:pPr>
      <w:r w:rsidRPr="003C7CB1">
        <w:rPr>
          <w:sz w:val="24"/>
          <w:szCs w:val="24"/>
        </w:rPr>
        <w:t>In 2019, there were only 60 registered rural households in Montenegro, while in 2021 there were 189, which confirms the already established trend of development of this type of tourism and the directions of future development policies in tourism</w:t>
      </w:r>
      <w:r w:rsidR="00425A72" w:rsidRPr="003C7CB1">
        <w:rPr>
          <w:sz w:val="24"/>
          <w:szCs w:val="24"/>
        </w:rPr>
        <w:t>.</w:t>
      </w:r>
      <w:r w:rsidR="002B4150" w:rsidRPr="003C7CB1">
        <w:rPr>
          <w:sz w:val="24"/>
          <w:szCs w:val="24"/>
        </w:rPr>
        <w:t xml:space="preserve"> </w:t>
      </w:r>
    </w:p>
    <w:p w14:paraId="45CDB6C8" w14:textId="23517E76" w:rsidR="00BE430B" w:rsidRPr="003C7CB1" w:rsidRDefault="00BE430B" w:rsidP="00BE430B">
      <w:pPr>
        <w:spacing w:after="120" w:line="240" w:lineRule="auto"/>
        <w:jc w:val="both"/>
        <w:rPr>
          <w:sz w:val="24"/>
          <w:szCs w:val="24"/>
        </w:rPr>
      </w:pPr>
      <w:r w:rsidRPr="003C7CB1">
        <w:rPr>
          <w:sz w:val="24"/>
          <w:szCs w:val="24"/>
        </w:rPr>
        <w:t>According to the research of the organization "United Rural Households – Tourism in Villages" and the Regional Development Agency "</w:t>
      </w:r>
      <w:proofErr w:type="spellStart"/>
      <w:r w:rsidRPr="003C7CB1">
        <w:rPr>
          <w:sz w:val="24"/>
          <w:szCs w:val="24"/>
        </w:rPr>
        <w:t>Bjelasica</w:t>
      </w:r>
      <w:proofErr w:type="spellEnd"/>
      <w:r w:rsidRPr="003C7CB1">
        <w:rPr>
          <w:sz w:val="24"/>
          <w:szCs w:val="24"/>
        </w:rPr>
        <w:t xml:space="preserve">, </w:t>
      </w:r>
      <w:proofErr w:type="spellStart"/>
      <w:r w:rsidRPr="003C7CB1">
        <w:rPr>
          <w:sz w:val="24"/>
          <w:szCs w:val="24"/>
        </w:rPr>
        <w:t>Komovi</w:t>
      </w:r>
      <w:proofErr w:type="spellEnd"/>
      <w:r w:rsidRPr="003C7CB1">
        <w:rPr>
          <w:sz w:val="24"/>
          <w:szCs w:val="24"/>
        </w:rPr>
        <w:t xml:space="preserve"> and Prokletije" from 2021, the greatest interest in this type of offer was expressed by tourists from France, Belgium, Germany, Russia, USA, etc.</w:t>
      </w:r>
    </w:p>
    <w:p w14:paraId="662A16AA" w14:textId="3C453F5B" w:rsidR="00B6482B" w:rsidRPr="003C7CB1" w:rsidRDefault="00BE430B" w:rsidP="00BE430B">
      <w:pPr>
        <w:spacing w:after="120" w:line="240" w:lineRule="auto"/>
        <w:jc w:val="both"/>
        <w:rPr>
          <w:sz w:val="24"/>
          <w:szCs w:val="24"/>
        </w:rPr>
      </w:pPr>
      <w:r w:rsidRPr="003C7CB1">
        <w:rPr>
          <w:sz w:val="24"/>
          <w:szCs w:val="24"/>
        </w:rPr>
        <w:t>During 2022, The Program of Rural Tourism Development with the Action Plan 2023-2025 will be prepared, as a continuation of the previous one, in order to ensure continuity in the development projects of this type of tourism.</w:t>
      </w:r>
    </w:p>
    <w:p w14:paraId="235FDAA1" w14:textId="698C631E" w:rsidR="00955065" w:rsidRPr="003C7CB1" w:rsidRDefault="00BE430B" w:rsidP="00BE430B">
      <w:pPr>
        <w:spacing w:after="120" w:line="240" w:lineRule="auto"/>
        <w:jc w:val="both"/>
        <w:rPr>
          <w:sz w:val="24"/>
          <w:szCs w:val="24"/>
        </w:rPr>
      </w:pPr>
      <w:r w:rsidRPr="003C7CB1">
        <w:rPr>
          <w:sz w:val="24"/>
          <w:szCs w:val="24"/>
        </w:rPr>
        <w:t xml:space="preserve">The potential of rural tourism in Montenegro was recognized by the UNWTO, which in November 2021, at the General Assembly held in Madrid, awarded two (2) Montenegrin villages, </w:t>
      </w:r>
      <w:proofErr w:type="spellStart"/>
      <w:r w:rsidRPr="003C7CB1">
        <w:rPr>
          <w:sz w:val="24"/>
          <w:szCs w:val="24"/>
        </w:rPr>
        <w:t>Gornja</w:t>
      </w:r>
      <w:proofErr w:type="spellEnd"/>
      <w:r w:rsidRPr="003C7CB1">
        <w:rPr>
          <w:sz w:val="24"/>
          <w:szCs w:val="24"/>
        </w:rPr>
        <w:t xml:space="preserve"> </w:t>
      </w:r>
      <w:proofErr w:type="spellStart"/>
      <w:r w:rsidRPr="003C7CB1">
        <w:rPr>
          <w:sz w:val="24"/>
          <w:szCs w:val="24"/>
        </w:rPr>
        <w:t>Lastva</w:t>
      </w:r>
      <w:proofErr w:type="spellEnd"/>
      <w:r w:rsidRPr="003C7CB1">
        <w:rPr>
          <w:sz w:val="24"/>
          <w:szCs w:val="24"/>
        </w:rPr>
        <w:t xml:space="preserve"> </w:t>
      </w:r>
      <w:proofErr w:type="spellStart"/>
      <w:r w:rsidRPr="003C7CB1">
        <w:rPr>
          <w:sz w:val="24"/>
          <w:szCs w:val="24"/>
        </w:rPr>
        <w:t>Grbaljska</w:t>
      </w:r>
      <w:proofErr w:type="spellEnd"/>
      <w:r w:rsidRPr="003C7CB1">
        <w:rPr>
          <w:sz w:val="24"/>
          <w:szCs w:val="24"/>
        </w:rPr>
        <w:t xml:space="preserve"> and </w:t>
      </w:r>
      <w:proofErr w:type="spellStart"/>
      <w:r w:rsidRPr="003C7CB1">
        <w:rPr>
          <w:sz w:val="24"/>
          <w:szCs w:val="24"/>
        </w:rPr>
        <w:t>Godinje</w:t>
      </w:r>
      <w:proofErr w:type="spellEnd"/>
      <w:r w:rsidRPr="003C7CB1">
        <w:rPr>
          <w:sz w:val="24"/>
          <w:szCs w:val="24"/>
        </w:rPr>
        <w:t xml:space="preserve">, with the prestigious </w:t>
      </w:r>
      <w:r w:rsidRPr="003C7CB1">
        <w:rPr>
          <w:b/>
          <w:sz w:val="24"/>
          <w:szCs w:val="24"/>
        </w:rPr>
        <w:t xml:space="preserve">Best Tourism Villages - </w:t>
      </w:r>
      <w:r w:rsidRPr="003C7CB1">
        <w:rPr>
          <w:b/>
          <w:sz w:val="24"/>
          <w:szCs w:val="24"/>
        </w:rPr>
        <w:lastRenderedPageBreak/>
        <w:t>upgraded program</w:t>
      </w:r>
      <w:r w:rsidR="00E83F6B" w:rsidRPr="003C7CB1">
        <w:rPr>
          <w:sz w:val="24"/>
          <w:szCs w:val="24"/>
        </w:rPr>
        <w:t xml:space="preserve">. </w:t>
      </w:r>
      <w:r w:rsidRPr="003C7CB1">
        <w:rPr>
          <w:sz w:val="24"/>
          <w:szCs w:val="24"/>
        </w:rPr>
        <w:t>The award implies further UNWTO support to these villages, providing continuous promotion of rural tourism in Montenegro, providing technical support, hiring experts and finding partners, which could significantly affect the further perspective of the development of villages and their surroundings</w:t>
      </w:r>
      <w:r w:rsidR="00E83F6B" w:rsidRPr="003C7CB1">
        <w:rPr>
          <w:sz w:val="24"/>
          <w:szCs w:val="24"/>
        </w:rPr>
        <w:t xml:space="preserve">. </w:t>
      </w:r>
    </w:p>
    <w:p w14:paraId="5D3D9A26" w14:textId="2B1F0DF6" w:rsidR="00433C38" w:rsidRPr="003C7CB1" w:rsidRDefault="00BE430B" w:rsidP="00BE430B">
      <w:pPr>
        <w:pStyle w:val="ListParagraph"/>
        <w:numPr>
          <w:ilvl w:val="0"/>
          <w:numId w:val="51"/>
        </w:numPr>
        <w:spacing w:after="120" w:line="240" w:lineRule="auto"/>
        <w:jc w:val="both"/>
        <w:rPr>
          <w:b/>
          <w:color w:val="2F5496" w:themeColor="accent1" w:themeShade="BF"/>
          <w:sz w:val="24"/>
          <w:szCs w:val="24"/>
        </w:rPr>
      </w:pPr>
      <w:r w:rsidRPr="003C7CB1">
        <w:rPr>
          <w:b/>
          <w:color w:val="2F5496" w:themeColor="accent1" w:themeShade="BF"/>
          <w:sz w:val="24"/>
          <w:szCs w:val="24"/>
        </w:rPr>
        <w:t>Cultural tourism</w:t>
      </w:r>
    </w:p>
    <w:p w14:paraId="739DF589" w14:textId="08E3AC75" w:rsidR="00BE430B" w:rsidRPr="003C7CB1" w:rsidRDefault="00BE430B" w:rsidP="00BE430B">
      <w:pPr>
        <w:shd w:val="clear" w:color="auto" w:fill="FFFFFF" w:themeFill="background1"/>
        <w:spacing w:after="120" w:line="240" w:lineRule="auto"/>
        <w:jc w:val="both"/>
        <w:rPr>
          <w:sz w:val="24"/>
          <w:szCs w:val="24"/>
        </w:rPr>
      </w:pPr>
      <w:r w:rsidRPr="003C7CB1">
        <w:rPr>
          <w:sz w:val="24"/>
          <w:szCs w:val="24"/>
        </w:rPr>
        <w:t xml:space="preserve">The potential for the formation and development of a tourism product based on culture is a rich tangible and intangible cultural heritage, created as a result of </w:t>
      </w:r>
      <w:r w:rsidR="00E70B79" w:rsidRPr="003C7CB1">
        <w:rPr>
          <w:sz w:val="24"/>
          <w:szCs w:val="24"/>
        </w:rPr>
        <w:t>tumultuous</w:t>
      </w:r>
      <w:r w:rsidRPr="003C7CB1">
        <w:rPr>
          <w:sz w:val="24"/>
          <w:szCs w:val="24"/>
        </w:rPr>
        <w:t xml:space="preserve"> Montenegrin history.</w:t>
      </w:r>
    </w:p>
    <w:p w14:paraId="474EF7B8" w14:textId="1AA05901" w:rsidR="00E305A2" w:rsidRPr="003C7CB1" w:rsidRDefault="00BE430B" w:rsidP="00C75CDE">
      <w:pPr>
        <w:shd w:val="clear" w:color="auto" w:fill="FFFFFF" w:themeFill="background1"/>
        <w:spacing w:after="120" w:line="240" w:lineRule="auto"/>
        <w:jc w:val="both"/>
        <w:rPr>
          <w:sz w:val="24"/>
          <w:szCs w:val="24"/>
        </w:rPr>
      </w:pPr>
      <w:r w:rsidRPr="003C7CB1">
        <w:rPr>
          <w:sz w:val="24"/>
          <w:szCs w:val="24"/>
        </w:rPr>
        <w:t>According to numerous analyzes, cultural tourism is one of the main drivers of development of cities, regions and countries. The social impact of cultural tourism is not only material, but also has intangible effects, such as the development of awareness of the importance and care for the preservation of cultural heritage, as well as the creation of cultural identity of the destination</w:t>
      </w:r>
      <w:r w:rsidR="00433C38" w:rsidRPr="003C7CB1">
        <w:rPr>
          <w:sz w:val="24"/>
          <w:szCs w:val="24"/>
        </w:rPr>
        <w:t xml:space="preserve">. </w:t>
      </w:r>
      <w:r w:rsidR="00C75CDE" w:rsidRPr="003C7CB1">
        <w:rPr>
          <w:sz w:val="24"/>
          <w:szCs w:val="24"/>
        </w:rPr>
        <w:t>The theme of the fourth UNWTO/UNESCO World Conference on Tourism and Culture, held in 2019, was "Investing in Future Generations"</w:t>
      </w:r>
      <w:r w:rsidR="00082DF1" w:rsidRPr="003C7CB1">
        <w:rPr>
          <w:rStyle w:val="FootnoteReference"/>
          <w:sz w:val="24"/>
          <w:szCs w:val="24"/>
        </w:rPr>
        <w:footnoteReference w:id="41"/>
      </w:r>
      <w:r w:rsidR="00E305A2" w:rsidRPr="003C7CB1">
        <w:rPr>
          <w:sz w:val="24"/>
          <w:szCs w:val="24"/>
        </w:rPr>
        <w:t xml:space="preserve"> </w:t>
      </w:r>
      <w:r w:rsidR="00C75CDE" w:rsidRPr="003C7CB1">
        <w:rPr>
          <w:sz w:val="24"/>
          <w:szCs w:val="24"/>
        </w:rPr>
        <w:t>and related to cultural transmission, community and capacity building. The UNWTO report on synergies between tourism and culture</w:t>
      </w:r>
      <w:r w:rsidR="00E305A2" w:rsidRPr="003C7CB1">
        <w:rPr>
          <w:rStyle w:val="FootnoteReference"/>
          <w:sz w:val="24"/>
          <w:szCs w:val="24"/>
        </w:rPr>
        <w:footnoteReference w:id="42"/>
      </w:r>
      <w:r w:rsidR="00B70C17" w:rsidRPr="003C7CB1">
        <w:rPr>
          <w:sz w:val="24"/>
          <w:szCs w:val="24"/>
        </w:rPr>
        <w:t xml:space="preserve">, </w:t>
      </w:r>
      <w:r w:rsidR="00C75CDE" w:rsidRPr="003C7CB1">
        <w:rPr>
          <w:sz w:val="24"/>
          <w:szCs w:val="24"/>
        </w:rPr>
        <w:t>from 2018, emphasizes the close relationship between tourism and culture and the interdependence of these two sectors. The report, which was made through a survey of UNWTO member countries, confirms that today cultural tourism plays a major role in global tourism, and that, in line with changes in tourism as a whole, it has also been transformed by changing lifestyles, new forms of culture and creativity, evolution and innovation in technology</w:t>
      </w:r>
      <w:r w:rsidR="00E305A2" w:rsidRPr="003C7CB1">
        <w:rPr>
          <w:sz w:val="24"/>
          <w:szCs w:val="24"/>
        </w:rPr>
        <w:t xml:space="preserve">. </w:t>
      </w:r>
      <w:r w:rsidR="00765B94">
        <w:rPr>
          <w:rFonts w:cs="Arial"/>
          <w:sz w:val="24"/>
          <w:szCs w:val="24"/>
        </w:rPr>
        <w:t xml:space="preserve">                                                                                                   </w:t>
      </w:r>
    </w:p>
    <w:p w14:paraId="3B82170D" w14:textId="2A1024FA" w:rsidR="008B60FF" w:rsidRPr="003C7CB1" w:rsidRDefault="00312091" w:rsidP="00E372B9">
      <w:pPr>
        <w:spacing w:after="120" w:line="240" w:lineRule="auto"/>
        <w:jc w:val="both"/>
        <w:rPr>
          <w:sz w:val="24"/>
          <w:szCs w:val="24"/>
        </w:rPr>
      </w:pPr>
      <w:r w:rsidRPr="003C7CB1">
        <w:rPr>
          <w:sz w:val="24"/>
          <w:szCs w:val="24"/>
        </w:rPr>
        <w:t>Cultural tourism in Montenegro should be developed because it contributes to strengthening the destination brand, extending the tourist season, maintaining and protecting cultural heritage, provided that they have sustainable development. In fact, sustainable cultural tourism, which takes into account the culture consumed, is a symbol of quality tourism. Local culture is an important feature of every destination, including Montenegro, and thanks to tourism it can become the driving force of its social and economic development</w:t>
      </w:r>
      <w:r w:rsidR="008B60FF" w:rsidRPr="003C7CB1">
        <w:rPr>
          <w:sz w:val="24"/>
          <w:szCs w:val="24"/>
        </w:rPr>
        <w:t xml:space="preserve">. </w:t>
      </w:r>
    </w:p>
    <w:p w14:paraId="08BB12F6" w14:textId="24D3FE8E" w:rsidR="00E305A2" w:rsidRPr="003C7CB1" w:rsidRDefault="00312091" w:rsidP="00312091">
      <w:pPr>
        <w:shd w:val="clear" w:color="auto" w:fill="FFFFFF" w:themeFill="background1"/>
        <w:spacing w:after="120" w:line="240" w:lineRule="auto"/>
        <w:jc w:val="both"/>
        <w:rPr>
          <w:sz w:val="24"/>
          <w:szCs w:val="24"/>
        </w:rPr>
      </w:pPr>
      <w:r w:rsidRPr="003C7CB1">
        <w:rPr>
          <w:sz w:val="24"/>
          <w:szCs w:val="24"/>
        </w:rPr>
        <w:t>Following modern trends and the increasingly diverse needs and requirements of tourists, as well as with the aim of reducing the seasonal nature of the tourism industry, the Program of Development of Cultural Tourism of Montenegro with the Action Plan 2019-2021 has been prepared, with the aim of developing this type of tourist offer in the best possible way, rounding off the experience or stay of tourists from the aspect of cultural uplift and getting to know the cultural heritage of Montenegro. During 2022, the Program of Development of Cultural Tourism will be prepared with the Action Plan 2023-2025, in order to ensure continuity in the development of this extremely important segment of the tourist offer</w:t>
      </w:r>
      <w:r w:rsidR="00E305A2" w:rsidRPr="003C7CB1">
        <w:rPr>
          <w:sz w:val="24"/>
          <w:szCs w:val="24"/>
        </w:rPr>
        <w:t xml:space="preserve">. </w:t>
      </w:r>
    </w:p>
    <w:p w14:paraId="0BD3148D" w14:textId="0029BBBD" w:rsidR="00E372AE" w:rsidRPr="003C7CB1" w:rsidRDefault="00770704" w:rsidP="00770704">
      <w:pPr>
        <w:pStyle w:val="ListParagraph"/>
        <w:numPr>
          <w:ilvl w:val="0"/>
          <w:numId w:val="51"/>
        </w:numPr>
        <w:spacing w:after="120" w:line="240" w:lineRule="auto"/>
        <w:jc w:val="both"/>
        <w:rPr>
          <w:b/>
          <w:color w:val="2F5496" w:themeColor="accent1" w:themeShade="BF"/>
          <w:sz w:val="24"/>
          <w:szCs w:val="24"/>
        </w:rPr>
      </w:pPr>
      <w:r w:rsidRPr="003C7CB1">
        <w:rPr>
          <w:b/>
          <w:color w:val="2F5496" w:themeColor="accent1" w:themeShade="BF"/>
          <w:sz w:val="24"/>
          <w:szCs w:val="24"/>
        </w:rPr>
        <w:t>Religious tourism</w:t>
      </w:r>
    </w:p>
    <w:p w14:paraId="3BC82D01" w14:textId="3F33CFA3" w:rsidR="004E6EE7" w:rsidRPr="003C7CB1" w:rsidRDefault="00770704" w:rsidP="00E372B9">
      <w:pPr>
        <w:spacing w:after="120" w:line="240" w:lineRule="auto"/>
        <w:jc w:val="both"/>
        <w:rPr>
          <w:sz w:val="24"/>
          <w:szCs w:val="24"/>
        </w:rPr>
      </w:pPr>
      <w:r w:rsidRPr="003C7CB1">
        <w:rPr>
          <w:sz w:val="24"/>
          <w:szCs w:val="24"/>
        </w:rPr>
        <w:t xml:space="preserve">This is one of the oldest forms of tourist movement, and is an important element of cultural tourism in Montenegro. It includes visits to religious centers of all three religions, cultural goods, buildings, various localities, as well as participation in important religious events, and paying attention to church, monastery and mosque architecture, iconography, authentic </w:t>
      </w:r>
      <w:r w:rsidRPr="003C7CB1">
        <w:rPr>
          <w:sz w:val="24"/>
          <w:szCs w:val="24"/>
        </w:rPr>
        <w:lastRenderedPageBreak/>
        <w:t xml:space="preserve">souvenirs, etc. When it comes to the development of this form of cultural tourism in Montenegro, it can be said that the potential is huge. Regular visits to sanctuaries are also frequent, such as: </w:t>
      </w:r>
      <w:proofErr w:type="spellStart"/>
      <w:r w:rsidRPr="003C7CB1">
        <w:rPr>
          <w:sz w:val="24"/>
          <w:szCs w:val="24"/>
        </w:rPr>
        <w:t>Ostrog</w:t>
      </w:r>
      <w:proofErr w:type="spellEnd"/>
      <w:r w:rsidRPr="003C7CB1">
        <w:rPr>
          <w:sz w:val="24"/>
          <w:szCs w:val="24"/>
        </w:rPr>
        <w:t xml:space="preserve"> Monastery, Kotor Cathedral, Hussein Pasha's Mosque, etc. which are attracting more and more attention of foreign tourists and pilgrims from year to year, and are especially connected with the festivities related to the dates that mark these holy places</w:t>
      </w:r>
      <w:r w:rsidR="004E6EE7" w:rsidRPr="003C7CB1">
        <w:rPr>
          <w:sz w:val="24"/>
          <w:szCs w:val="24"/>
        </w:rPr>
        <w:t>.</w:t>
      </w:r>
    </w:p>
    <w:p w14:paraId="097359A8" w14:textId="14834E63" w:rsidR="007B5005" w:rsidRPr="003C7CB1" w:rsidRDefault="002A6674" w:rsidP="00E372B9">
      <w:pPr>
        <w:shd w:val="clear" w:color="auto" w:fill="FFFFFF" w:themeFill="background1"/>
        <w:spacing w:after="120" w:line="240" w:lineRule="auto"/>
        <w:jc w:val="both"/>
        <w:rPr>
          <w:sz w:val="24"/>
          <w:szCs w:val="24"/>
        </w:rPr>
      </w:pPr>
      <w:r w:rsidRPr="003C7CB1">
        <w:rPr>
          <w:rFonts w:cstheme="minorHAnsi"/>
          <w:sz w:val="24"/>
          <w:szCs w:val="24"/>
        </w:rPr>
        <w:t>According to the Guest Survey from 2017, for 7.8% of tourists, getting to know cultural landmarks, events and happenings is the leading motive for coming to Montenegro. According to age, it looks like this: up to 29 years - 6.3%, between 30 and 49 years - 8.1%, 50 and older - 9.9%.</w:t>
      </w:r>
      <w:r w:rsidR="00765B94">
        <w:rPr>
          <w:rFonts w:cs="Arial"/>
          <w:sz w:val="24"/>
          <w:szCs w:val="24"/>
        </w:rPr>
        <w:t xml:space="preserve">                                                                                                   </w:t>
      </w:r>
    </w:p>
    <w:p w14:paraId="11B3760D" w14:textId="5F6409B5" w:rsidR="00750A99" w:rsidRPr="003C7CB1" w:rsidRDefault="00C4387C" w:rsidP="00C4387C">
      <w:pPr>
        <w:shd w:val="clear" w:color="auto" w:fill="FFFFFF" w:themeFill="background1"/>
        <w:spacing w:after="120" w:line="240" w:lineRule="auto"/>
        <w:jc w:val="both"/>
        <w:rPr>
          <w:sz w:val="24"/>
          <w:szCs w:val="24"/>
        </w:rPr>
      </w:pPr>
      <w:r w:rsidRPr="003C7CB1">
        <w:rPr>
          <w:sz w:val="24"/>
          <w:szCs w:val="24"/>
        </w:rPr>
        <w:t>These data indicate that there is interest, but that for a quality tourist offer it is necessary to valorize existing resources, make cultural heritage more visible and accessible, and take advantage of technology (</w:t>
      </w:r>
      <w:r w:rsidR="00861D69" w:rsidRPr="003C7CB1">
        <w:rPr>
          <w:sz w:val="24"/>
          <w:szCs w:val="24"/>
        </w:rPr>
        <w:t>e.g.</w:t>
      </w:r>
      <w:r w:rsidRPr="003C7CB1">
        <w:rPr>
          <w:sz w:val="24"/>
          <w:szCs w:val="24"/>
        </w:rPr>
        <w:t xml:space="preserve"> virtual reality and audio guides). In addition to the above, it is of special importance that visits to cultural heritage sites are conducted in a quality and sustainable manner, taking into account the extreme limits of their carrying capacity. Also, an indispensable part and an important component for the development of cultural tourism are human resources, and the potential is in the local population, which is mostly best acquainted with the knowledge of their own culture. In this regard, local communities should recognize the direct interest in the development and valorization of local cultural heritage, </w:t>
      </w:r>
      <w:r w:rsidR="00861D69" w:rsidRPr="003C7CB1">
        <w:rPr>
          <w:sz w:val="24"/>
          <w:szCs w:val="24"/>
        </w:rPr>
        <w:t>i.e.</w:t>
      </w:r>
      <w:r w:rsidRPr="003C7CB1">
        <w:rPr>
          <w:sz w:val="24"/>
          <w:szCs w:val="24"/>
        </w:rPr>
        <w:t xml:space="preserve"> recognize the potential and create lines of support, with the use of EU funds</w:t>
      </w:r>
      <w:r w:rsidR="008F1B2A" w:rsidRPr="003C7CB1">
        <w:rPr>
          <w:sz w:val="24"/>
          <w:szCs w:val="24"/>
        </w:rPr>
        <w:t>.</w:t>
      </w:r>
    </w:p>
    <w:p w14:paraId="2CC47AD5" w14:textId="18F8C0B4" w:rsidR="00433C38" w:rsidRPr="003C7CB1" w:rsidRDefault="00D811D5" w:rsidP="00D811D5">
      <w:pPr>
        <w:pStyle w:val="ListParagraph"/>
        <w:numPr>
          <w:ilvl w:val="0"/>
          <w:numId w:val="51"/>
        </w:numPr>
        <w:spacing w:after="120" w:line="240" w:lineRule="auto"/>
        <w:jc w:val="both"/>
        <w:rPr>
          <w:b/>
          <w:color w:val="2F5496" w:themeColor="accent1" w:themeShade="BF"/>
          <w:sz w:val="24"/>
          <w:szCs w:val="24"/>
        </w:rPr>
      </w:pPr>
      <w:r w:rsidRPr="003C7CB1">
        <w:rPr>
          <w:b/>
          <w:color w:val="2F5496" w:themeColor="accent1" w:themeShade="BF"/>
          <w:sz w:val="24"/>
          <w:szCs w:val="24"/>
        </w:rPr>
        <w:t>Sports tourism</w:t>
      </w:r>
    </w:p>
    <w:p w14:paraId="08A91A5E" w14:textId="15B000C4" w:rsidR="00433C38" w:rsidRPr="003C7CB1" w:rsidRDefault="0040078A" w:rsidP="0040078A">
      <w:pPr>
        <w:spacing w:after="120" w:line="240" w:lineRule="auto"/>
        <w:jc w:val="both"/>
        <w:rPr>
          <w:sz w:val="24"/>
          <w:szCs w:val="24"/>
        </w:rPr>
      </w:pPr>
      <w:r w:rsidRPr="003C7CB1">
        <w:rPr>
          <w:sz w:val="24"/>
          <w:szCs w:val="24"/>
        </w:rPr>
        <w:t>There is a unified definition for tourism, while there is no unified one for sports tourism. This is because sports tourism as such can be active or passive, it can refer to individual travel, group, professional, amateur, participation in competitions, following the competition from the aspect of the audience, camp preparation, etc. What unequivocally connects tourism and sports is travel, so that sports tourism is rightly assessed as a significant perspective for tourism development</w:t>
      </w:r>
      <w:r w:rsidR="00645E9D" w:rsidRPr="003C7CB1">
        <w:rPr>
          <w:sz w:val="24"/>
          <w:szCs w:val="24"/>
        </w:rPr>
        <w:t xml:space="preserve">. </w:t>
      </w:r>
    </w:p>
    <w:p w14:paraId="5A654B95" w14:textId="0C62E956" w:rsidR="00433C38" w:rsidRPr="003C7CB1" w:rsidRDefault="003F1B50" w:rsidP="00E372B9">
      <w:pPr>
        <w:spacing w:after="120" w:line="240" w:lineRule="auto"/>
        <w:jc w:val="both"/>
        <w:rPr>
          <w:sz w:val="24"/>
          <w:szCs w:val="24"/>
        </w:rPr>
      </w:pPr>
      <w:r w:rsidRPr="003C7CB1">
        <w:rPr>
          <w:sz w:val="24"/>
          <w:szCs w:val="24"/>
        </w:rPr>
        <w:t>Dominantly, the development of sports tourism implies adequate infrastructure, including sports facilities, as well as human resources. These segments are missing in the offer of Montenegro and are limiting factors that limit the development of this segment of the tourist offer, especially when it comes to training camps for professional athletes and the organization of elite competitions. However, with the influence of foreign direct investments, the development of road, accommodation and sports-commercial infrastructure, and an adequate marketing and promotion strategy, Montenegro can attract a significantly larger number of tourists whose reasons for travel are related to professional sports activities</w:t>
      </w:r>
      <w:r w:rsidR="00433C38" w:rsidRPr="003C7CB1">
        <w:rPr>
          <w:sz w:val="24"/>
          <w:szCs w:val="24"/>
        </w:rPr>
        <w:t>.</w:t>
      </w:r>
      <w:r w:rsidR="0071674D" w:rsidRPr="003C7CB1">
        <w:rPr>
          <w:sz w:val="24"/>
          <w:szCs w:val="24"/>
        </w:rPr>
        <w:t xml:space="preserve"> </w:t>
      </w:r>
      <w:r w:rsidRPr="003C7CB1">
        <w:rPr>
          <w:sz w:val="24"/>
          <w:szCs w:val="24"/>
        </w:rPr>
        <w:t xml:space="preserve">This presupposes the definition of a strategic investment plan that would give clear guidelines to potential investors. Also, a detailed situation analysis is a prerequisite for defining the goals of sports tourism development, because the potentials must be identified, and the existing, although limited capacities must also be presented. It is necessary to make a detailed market research, in order to determine the target group and development direction, because when it comes to sports tourism, we must not deviate from what is offered, </w:t>
      </w:r>
      <w:r w:rsidR="00861D69" w:rsidRPr="003C7CB1">
        <w:rPr>
          <w:sz w:val="24"/>
          <w:szCs w:val="24"/>
        </w:rPr>
        <w:t>i.e.</w:t>
      </w:r>
      <w:r w:rsidRPr="003C7CB1">
        <w:rPr>
          <w:sz w:val="24"/>
          <w:szCs w:val="24"/>
        </w:rPr>
        <w:t xml:space="preserve"> the quality of service must correspond to the price and the previously defined offer. In addition to the above, it should be noted that the favorable climate stimulates the development of sports tourism, which stimulates the shortening of seasonality, reducing regional imbalances, increasing tourist spending, extending the stay of guests at the destination, etc. These are all reasons why special attention must be paid to sports tourism</w:t>
      </w:r>
      <w:r w:rsidR="008461FC" w:rsidRPr="003C7CB1">
        <w:rPr>
          <w:sz w:val="24"/>
          <w:szCs w:val="24"/>
        </w:rPr>
        <w:t xml:space="preserve">. </w:t>
      </w:r>
      <w:r w:rsidRPr="003C7CB1">
        <w:rPr>
          <w:sz w:val="24"/>
          <w:szCs w:val="24"/>
        </w:rPr>
        <w:t xml:space="preserve">If we take into account that before the </w:t>
      </w:r>
      <w:r w:rsidRPr="003C7CB1">
        <w:rPr>
          <w:sz w:val="24"/>
          <w:szCs w:val="24"/>
        </w:rPr>
        <w:lastRenderedPageBreak/>
        <w:t>COVID-19 pandemic, at the global level, sports tourism generated 10% of total tourist revenues, this is a figure that should not be underestimated and which confirms the importance of this tourism segment</w:t>
      </w:r>
      <w:r w:rsidR="008461FC" w:rsidRPr="003C7CB1">
        <w:rPr>
          <w:sz w:val="24"/>
          <w:szCs w:val="24"/>
        </w:rPr>
        <w:t xml:space="preserve">. </w:t>
      </w:r>
      <w:r w:rsidR="00765B94">
        <w:rPr>
          <w:rFonts w:cs="Arial"/>
          <w:sz w:val="24"/>
          <w:szCs w:val="24"/>
        </w:rPr>
        <w:t xml:space="preserve">                                                                                                   </w:t>
      </w:r>
    </w:p>
    <w:p w14:paraId="551CF692" w14:textId="77777777" w:rsidR="00372C8A" w:rsidRPr="003C7CB1" w:rsidRDefault="00372C8A" w:rsidP="00372C8A">
      <w:pPr>
        <w:spacing w:after="120" w:line="240" w:lineRule="auto"/>
        <w:jc w:val="both"/>
        <w:rPr>
          <w:sz w:val="24"/>
          <w:szCs w:val="24"/>
        </w:rPr>
      </w:pPr>
      <w:r w:rsidRPr="003C7CB1">
        <w:rPr>
          <w:sz w:val="24"/>
          <w:szCs w:val="24"/>
        </w:rPr>
        <w:t>Having in mind the multiple importance of sport, as well as its impact on tourism, it is necessary to strengthen interdepartmental cooperation and define strategic partnerships among stakeholders, while strengthening the public-private model of functioning.</w:t>
      </w:r>
    </w:p>
    <w:p w14:paraId="694B9835" w14:textId="532C2B62" w:rsidR="00400982" w:rsidRPr="003C7CB1" w:rsidRDefault="00372C8A" w:rsidP="00372C8A">
      <w:pPr>
        <w:spacing w:after="120" w:line="240" w:lineRule="auto"/>
        <w:jc w:val="both"/>
        <w:rPr>
          <w:sz w:val="24"/>
          <w:szCs w:val="24"/>
        </w:rPr>
      </w:pPr>
      <w:r w:rsidRPr="003C7CB1">
        <w:rPr>
          <w:sz w:val="24"/>
          <w:szCs w:val="24"/>
        </w:rPr>
        <w:t xml:space="preserve">Among the priorities of sports tourism, whose Development Program has been identified through this Strategy, will be infrastructure for the development of cycling tourism (Euro </w:t>
      </w:r>
      <w:proofErr w:type="spellStart"/>
      <w:r w:rsidRPr="003C7CB1">
        <w:rPr>
          <w:sz w:val="24"/>
          <w:szCs w:val="24"/>
        </w:rPr>
        <w:t>Velo</w:t>
      </w:r>
      <w:proofErr w:type="spellEnd"/>
      <w:r w:rsidRPr="003C7CB1">
        <w:rPr>
          <w:sz w:val="24"/>
          <w:szCs w:val="24"/>
        </w:rPr>
        <w:t xml:space="preserve"> 8 and other trails), diving as a recreational activity, and many others, and Montenegro has the potential to be a dominant destination for sports camping preparations, which also have the greatest commercial effect</w:t>
      </w:r>
      <w:r w:rsidR="00996961" w:rsidRPr="003C7CB1">
        <w:rPr>
          <w:sz w:val="24"/>
          <w:szCs w:val="24"/>
        </w:rPr>
        <w:t>.</w:t>
      </w:r>
    </w:p>
    <w:p w14:paraId="51640D5B" w14:textId="77777777" w:rsidR="002B4A7F" w:rsidRPr="003C7CB1" w:rsidRDefault="002B4A7F" w:rsidP="002B4A7F">
      <w:pPr>
        <w:shd w:val="clear" w:color="auto" w:fill="FFFFFF" w:themeFill="background1"/>
        <w:spacing w:after="120" w:line="240" w:lineRule="auto"/>
        <w:jc w:val="both"/>
        <w:rPr>
          <w:rFonts w:cstheme="minorHAnsi"/>
          <w:sz w:val="24"/>
          <w:szCs w:val="24"/>
        </w:rPr>
      </w:pPr>
      <w:r w:rsidRPr="003C7CB1">
        <w:rPr>
          <w:rFonts w:cstheme="minorHAnsi"/>
          <w:sz w:val="24"/>
          <w:szCs w:val="24"/>
        </w:rPr>
        <w:t>According to the Guest Survey from 2017, for 7.7% of tourists, sports and recreation are the leading motive for coming to Montenegro. According to age, it looks like this: up to 29 years - 10.1%, between 30 and 49 years - 7.5%, 50 and over - 4.9%.</w:t>
      </w:r>
    </w:p>
    <w:p w14:paraId="6FD04DA8" w14:textId="06614988" w:rsidR="00DC68F0" w:rsidRPr="003C7CB1" w:rsidRDefault="002B4A7F" w:rsidP="002B4A7F">
      <w:pPr>
        <w:shd w:val="clear" w:color="auto" w:fill="FFFFFF" w:themeFill="background1"/>
        <w:spacing w:after="120" w:line="240" w:lineRule="auto"/>
        <w:jc w:val="both"/>
        <w:rPr>
          <w:sz w:val="24"/>
          <w:szCs w:val="24"/>
        </w:rPr>
      </w:pPr>
      <w:r w:rsidRPr="003C7CB1">
        <w:rPr>
          <w:rFonts w:cstheme="minorHAnsi"/>
          <w:sz w:val="24"/>
          <w:szCs w:val="24"/>
        </w:rPr>
        <w:t>Therefore, having in mind the comparative advantages of Montenegro as a destination, it is necessary to make a situational analysis and analysis of global trends and demands in the context of sports tourism and define future development perspectives. In accordance with the Work Program of the Government of Montenegro in 2022, it is planned to adopt the Program for the Development of Sports Tourism in Montenegro 2023-2025 with the Action Plan</w:t>
      </w:r>
      <w:r w:rsidR="00DC68F0" w:rsidRPr="003C7CB1">
        <w:rPr>
          <w:sz w:val="24"/>
          <w:szCs w:val="24"/>
        </w:rPr>
        <w:t>.</w:t>
      </w:r>
    </w:p>
    <w:p w14:paraId="7EA112FE" w14:textId="77777777" w:rsidR="00160BCB" w:rsidRPr="003C7CB1" w:rsidRDefault="00160BCB" w:rsidP="00E372B9">
      <w:pPr>
        <w:shd w:val="clear" w:color="auto" w:fill="FFFFFF" w:themeFill="background1"/>
        <w:spacing w:after="120" w:line="240" w:lineRule="auto"/>
        <w:jc w:val="both"/>
        <w:rPr>
          <w:sz w:val="24"/>
          <w:szCs w:val="24"/>
        </w:rPr>
      </w:pPr>
    </w:p>
    <w:p w14:paraId="254026FC" w14:textId="0682CD38" w:rsidR="00433C38" w:rsidRPr="003C7CB1" w:rsidRDefault="003B5299" w:rsidP="003B5299">
      <w:pPr>
        <w:pStyle w:val="ListParagraph"/>
        <w:numPr>
          <w:ilvl w:val="0"/>
          <w:numId w:val="51"/>
        </w:numPr>
        <w:spacing w:after="120" w:line="240" w:lineRule="auto"/>
        <w:jc w:val="both"/>
        <w:rPr>
          <w:b/>
          <w:color w:val="2F5496" w:themeColor="accent1" w:themeShade="BF"/>
          <w:sz w:val="24"/>
          <w:szCs w:val="24"/>
        </w:rPr>
      </w:pPr>
      <w:r w:rsidRPr="003C7CB1">
        <w:rPr>
          <w:b/>
          <w:color w:val="2F5496" w:themeColor="accent1" w:themeShade="BF"/>
          <w:sz w:val="24"/>
          <w:szCs w:val="24"/>
        </w:rPr>
        <w:t>Health tourism</w:t>
      </w:r>
    </w:p>
    <w:p w14:paraId="29245C41" w14:textId="0BD4EDD2" w:rsidR="006A6727" w:rsidRPr="003C7CB1" w:rsidRDefault="00DC1EC8" w:rsidP="00E372B9">
      <w:pPr>
        <w:spacing w:after="120" w:line="240" w:lineRule="auto"/>
        <w:jc w:val="both"/>
        <w:rPr>
          <w:sz w:val="24"/>
          <w:szCs w:val="24"/>
        </w:rPr>
      </w:pPr>
      <w:r w:rsidRPr="003C7CB1">
        <w:rPr>
          <w:rFonts w:cstheme="minorHAnsi"/>
          <w:color w:val="292929"/>
          <w:sz w:val="24"/>
          <w:szCs w:val="24"/>
        </w:rPr>
        <w:t>The tourism and travel sector is becoming an increasingly important factor in economic prosperity, while health tourism as a form of tourism of special importance is experiencing great expansion and is one of the growing segments of the world tourist offer. The importance of this segment of tourism has been increased by the situation of the COVID-19 pandemic. According to the 2017 Guest Survey, for 6.5% of tourists, health and wellness reasons are the motive for coming to Montenegro. According to age, it looks like this: up to 29 years - 3.5%, between 30 and 49 years - 8.2%, 50 and older - 3.6%</w:t>
      </w:r>
      <w:r w:rsidR="006A6727" w:rsidRPr="003C7CB1">
        <w:rPr>
          <w:sz w:val="24"/>
          <w:szCs w:val="24"/>
        </w:rPr>
        <w:t xml:space="preserve">. </w:t>
      </w:r>
    </w:p>
    <w:p w14:paraId="72F3E0C2" w14:textId="522AE58A" w:rsidR="00433C38" w:rsidRPr="003C7CB1" w:rsidRDefault="00DC1EC8" w:rsidP="00E372B9">
      <w:pPr>
        <w:spacing w:after="120" w:line="240" w:lineRule="auto"/>
        <w:jc w:val="both"/>
        <w:rPr>
          <w:rFonts w:cstheme="minorHAnsi"/>
          <w:color w:val="292929"/>
          <w:sz w:val="24"/>
          <w:szCs w:val="24"/>
        </w:rPr>
      </w:pPr>
      <w:r w:rsidRPr="003C7CB1">
        <w:rPr>
          <w:rFonts w:cstheme="minorHAnsi"/>
          <w:color w:val="292929"/>
          <w:sz w:val="24"/>
          <w:szCs w:val="24"/>
        </w:rPr>
        <w:t>If we analyze the current situation in Montenegro, we can conclude that our country has very good preconditions, which are not sufficiently used or promoted, for the development of profitable health and tourism activities: natural resources, rich historical, cultural and industrial heritage, favorable geographical position , traditional hospitality of people, existing tourist infrastructure, multiethnic character of Montenegro and multicultural traditions, as well as the growing awareness of tourism employees about the benefits that the development of the health tourism sector can bring to overall economic development</w:t>
      </w:r>
      <w:r w:rsidR="00433C38" w:rsidRPr="003C7CB1">
        <w:rPr>
          <w:rFonts w:cstheme="minorHAnsi"/>
          <w:color w:val="292929"/>
          <w:sz w:val="24"/>
          <w:szCs w:val="24"/>
        </w:rPr>
        <w:t xml:space="preserve">. </w:t>
      </w:r>
      <w:r w:rsidR="000C5BE7" w:rsidRPr="003C7CB1">
        <w:rPr>
          <w:rFonts w:cstheme="minorHAnsi"/>
          <w:color w:val="292929"/>
          <w:sz w:val="24"/>
          <w:szCs w:val="24"/>
        </w:rPr>
        <w:t>Also, strengthening public-private partnerships can significantly contribute to the expansion of potential in this field. Due to the lack of free time, stress, unhealthy lifestyle, technology, pollution and other influences, health tourism is taking an increasingly important role in revitalizing the psycho-physical abilities of people, so the expansion of the health industry includes health tourism</w:t>
      </w:r>
      <w:r w:rsidR="006A6727" w:rsidRPr="003C7CB1">
        <w:rPr>
          <w:rFonts w:cstheme="minorHAnsi"/>
          <w:color w:val="292929"/>
          <w:sz w:val="24"/>
          <w:szCs w:val="24"/>
        </w:rPr>
        <w:t>.</w:t>
      </w:r>
    </w:p>
    <w:p w14:paraId="4191CC97" w14:textId="29A86A82" w:rsidR="000C5BE7" w:rsidRPr="003C7CB1" w:rsidRDefault="000C5BE7" w:rsidP="000C5BE7">
      <w:pPr>
        <w:shd w:val="clear" w:color="auto" w:fill="FFFFFF" w:themeFill="background1"/>
        <w:spacing w:after="120" w:line="240" w:lineRule="auto"/>
        <w:jc w:val="both"/>
        <w:rPr>
          <w:rFonts w:cstheme="minorHAnsi"/>
          <w:color w:val="292929"/>
          <w:sz w:val="24"/>
          <w:szCs w:val="24"/>
        </w:rPr>
      </w:pPr>
      <w:r w:rsidRPr="003C7CB1">
        <w:rPr>
          <w:rFonts w:cstheme="minorHAnsi"/>
          <w:color w:val="292929"/>
          <w:sz w:val="24"/>
          <w:szCs w:val="24"/>
        </w:rPr>
        <w:t xml:space="preserve">Tourism and health are the main pillars of commitment to sustainable development, and cooperation between the tourism and health sectors in Montenegro enables the achievement </w:t>
      </w:r>
      <w:r w:rsidRPr="003C7CB1">
        <w:rPr>
          <w:rFonts w:cstheme="minorHAnsi"/>
          <w:color w:val="292929"/>
          <w:sz w:val="24"/>
          <w:szCs w:val="24"/>
        </w:rPr>
        <w:lastRenderedPageBreak/>
        <w:t>of a synergy effect in order to improve health tourism, year-round tourist season and reduction of regional imbalance.</w:t>
      </w:r>
    </w:p>
    <w:p w14:paraId="242A63A7" w14:textId="11629B1E" w:rsidR="006A6727" w:rsidRPr="003C7CB1" w:rsidRDefault="000C5BE7" w:rsidP="000C5BE7">
      <w:pPr>
        <w:shd w:val="clear" w:color="auto" w:fill="FFFFFF" w:themeFill="background1"/>
        <w:spacing w:after="120" w:line="240" w:lineRule="auto"/>
        <w:jc w:val="both"/>
        <w:rPr>
          <w:rStyle w:val="Strong"/>
          <w:rFonts w:cstheme="minorHAnsi"/>
          <w:b w:val="0"/>
          <w:color w:val="292929"/>
          <w:sz w:val="24"/>
          <w:szCs w:val="24"/>
          <w:shd w:val="clear" w:color="auto" w:fill="FFFFFF" w:themeFill="background1"/>
        </w:rPr>
      </w:pPr>
      <w:r w:rsidRPr="003C7CB1">
        <w:rPr>
          <w:rFonts w:cstheme="minorHAnsi"/>
          <w:color w:val="292929"/>
          <w:sz w:val="24"/>
          <w:szCs w:val="24"/>
        </w:rPr>
        <w:t>Having in mind the significant natural and infrastructural potentials for the development of this form of tourism, the Government of Montenegro has adopted the Health Tourism Development Program of Montenegro 2021-2023 with the Action Plan until 2023</w:t>
      </w:r>
      <w:r w:rsidR="00536C82" w:rsidRPr="003C7CB1">
        <w:rPr>
          <w:rStyle w:val="Strong"/>
          <w:rFonts w:cstheme="minorHAnsi"/>
          <w:b w:val="0"/>
          <w:color w:val="292929"/>
          <w:sz w:val="24"/>
          <w:szCs w:val="24"/>
          <w:shd w:val="clear" w:color="auto" w:fill="FFFFFF" w:themeFill="background1"/>
        </w:rPr>
        <w:t xml:space="preserve">. </w:t>
      </w:r>
      <w:r w:rsidR="00433C38" w:rsidRPr="003C7CB1">
        <w:rPr>
          <w:rStyle w:val="Strong"/>
          <w:rFonts w:cstheme="minorHAnsi"/>
          <w:b w:val="0"/>
          <w:color w:val="292929"/>
          <w:sz w:val="24"/>
          <w:szCs w:val="24"/>
          <w:shd w:val="clear" w:color="auto" w:fill="FFFFFF" w:themeFill="background1"/>
        </w:rPr>
        <w:t> </w:t>
      </w:r>
    </w:p>
    <w:p w14:paraId="0D2BC824" w14:textId="77777777" w:rsidR="00855DAF" w:rsidRPr="003C7CB1" w:rsidRDefault="00855DAF" w:rsidP="00E372B9">
      <w:pPr>
        <w:shd w:val="clear" w:color="auto" w:fill="FFFFFF" w:themeFill="background1"/>
        <w:spacing w:after="120" w:line="240" w:lineRule="auto"/>
        <w:jc w:val="both"/>
        <w:rPr>
          <w:rStyle w:val="Strong"/>
          <w:rFonts w:cstheme="minorHAnsi"/>
          <w:b w:val="0"/>
          <w:color w:val="292929"/>
          <w:sz w:val="24"/>
          <w:szCs w:val="24"/>
          <w:shd w:val="clear" w:color="auto" w:fill="FFFFFF" w:themeFill="background1"/>
        </w:rPr>
      </w:pPr>
    </w:p>
    <w:p w14:paraId="093DBEDC" w14:textId="635156F0" w:rsidR="00433C38" w:rsidRPr="003C7CB1" w:rsidRDefault="009F67FF" w:rsidP="009F67FF">
      <w:pPr>
        <w:pStyle w:val="ListParagraph"/>
        <w:numPr>
          <w:ilvl w:val="0"/>
          <w:numId w:val="51"/>
        </w:numPr>
        <w:shd w:val="clear" w:color="auto" w:fill="FFFFFF" w:themeFill="background1"/>
        <w:spacing w:after="120" w:line="240" w:lineRule="auto"/>
        <w:jc w:val="both"/>
        <w:rPr>
          <w:b/>
          <w:color w:val="2F5496" w:themeColor="accent1" w:themeShade="BF"/>
          <w:sz w:val="24"/>
          <w:szCs w:val="24"/>
        </w:rPr>
      </w:pPr>
      <w:r w:rsidRPr="003C7CB1">
        <w:rPr>
          <w:b/>
          <w:color w:val="2F5496" w:themeColor="accent1" w:themeShade="BF"/>
          <w:sz w:val="24"/>
          <w:szCs w:val="24"/>
        </w:rPr>
        <w:t>Nautical tourism</w:t>
      </w:r>
    </w:p>
    <w:p w14:paraId="20CFB273" w14:textId="3EDF5EC5" w:rsidR="00433C38" w:rsidRPr="003C7CB1" w:rsidRDefault="009F67FF" w:rsidP="009F67FF">
      <w:pPr>
        <w:spacing w:after="120" w:line="240" w:lineRule="auto"/>
        <w:jc w:val="both"/>
        <w:rPr>
          <w:rFonts w:cstheme="minorHAnsi"/>
          <w:sz w:val="24"/>
          <w:szCs w:val="24"/>
        </w:rPr>
      </w:pPr>
      <w:r w:rsidRPr="003C7CB1">
        <w:rPr>
          <w:rFonts w:cstheme="minorHAnsi"/>
          <w:sz w:val="24"/>
          <w:szCs w:val="24"/>
        </w:rPr>
        <w:t>Nautical tourism in Montenegro is becoming increasingly important as a new value of the tourist offer. Montenegro has positioned itself as a destination that, with great natural wealth and significant cultural and historical heritage, has the potential to become a recognizable center of nautical tourism. In the past period of accelerated tourism development, Montenegro has recognized the importance of investing in high-quality tourist offer and the development of this type of tourism, which represents a new development opportunity for more complete valorization of the evident potentials of Montenegro, with a significant improvement in the level of quality of offer and services in all existing marinas</w:t>
      </w:r>
      <w:r w:rsidR="00433C38" w:rsidRPr="003C7CB1">
        <w:rPr>
          <w:rFonts w:cstheme="minorHAnsi"/>
          <w:sz w:val="24"/>
          <w:szCs w:val="24"/>
        </w:rPr>
        <w:t xml:space="preserve">. </w:t>
      </w:r>
      <w:r w:rsidR="005C7E3A" w:rsidRPr="003C7CB1">
        <w:rPr>
          <w:rFonts w:cstheme="minorHAnsi"/>
          <w:sz w:val="24"/>
          <w:szCs w:val="24"/>
        </w:rPr>
        <w:t xml:space="preserve">In the previous period, through various development documents, strategic planning and construction of a significant number of modern marinas was defined, in which way Montenegro can be positioned as a recognizable center of nautical tourism. More and more tourists arrive by sea, so cruising tourism becomes the basis for the development of year-round tourism product, </w:t>
      </w:r>
      <w:r w:rsidR="00861D69" w:rsidRPr="003C7CB1">
        <w:rPr>
          <w:rFonts w:cstheme="minorHAnsi"/>
          <w:sz w:val="24"/>
          <w:szCs w:val="24"/>
        </w:rPr>
        <w:t>i.e.</w:t>
      </w:r>
      <w:r w:rsidR="005C7E3A" w:rsidRPr="003C7CB1">
        <w:rPr>
          <w:rFonts w:cstheme="minorHAnsi"/>
          <w:sz w:val="24"/>
          <w:szCs w:val="24"/>
        </w:rPr>
        <w:t xml:space="preserve"> for a significant reduction in seasonality and an increase in tourist revenue</w:t>
      </w:r>
      <w:r w:rsidR="00E563EC" w:rsidRPr="003C7CB1">
        <w:rPr>
          <w:rFonts w:cstheme="minorHAnsi"/>
          <w:sz w:val="24"/>
          <w:szCs w:val="24"/>
        </w:rPr>
        <w:t>.</w:t>
      </w:r>
    </w:p>
    <w:p w14:paraId="5AFDA5EA" w14:textId="499E32A7" w:rsidR="00433C38" w:rsidRPr="003C7CB1" w:rsidRDefault="005C7E3A" w:rsidP="00E372B9">
      <w:pPr>
        <w:spacing w:after="120" w:line="240" w:lineRule="auto"/>
        <w:jc w:val="both"/>
        <w:rPr>
          <w:rFonts w:cstheme="minorHAnsi"/>
          <w:sz w:val="24"/>
          <w:szCs w:val="24"/>
        </w:rPr>
      </w:pPr>
      <w:r w:rsidRPr="003C7CB1">
        <w:rPr>
          <w:rFonts w:cstheme="minorHAnsi"/>
          <w:sz w:val="24"/>
          <w:szCs w:val="24"/>
        </w:rPr>
        <w:t>Not taking into account the COVID-19 implications, the number of yachts in Montenegro, both stationed and in transit, has increased from year to year, which is a relevant indicator of the true development path of our country towards achieving the set goals in the field of nautical tourism</w:t>
      </w:r>
      <w:r w:rsidR="00433C38" w:rsidRPr="003C7CB1">
        <w:rPr>
          <w:rFonts w:cstheme="minorHAnsi"/>
          <w:sz w:val="24"/>
          <w:szCs w:val="24"/>
        </w:rPr>
        <w:t xml:space="preserve">. </w:t>
      </w:r>
      <w:r w:rsidR="00765B94">
        <w:rPr>
          <w:rFonts w:cs="Arial"/>
          <w:sz w:val="24"/>
          <w:szCs w:val="24"/>
        </w:rPr>
        <w:t xml:space="preserve">                                                                                                   </w:t>
      </w:r>
    </w:p>
    <w:p w14:paraId="4FD2EE6E" w14:textId="4347D15C" w:rsidR="00433C38" w:rsidRPr="003C7CB1" w:rsidRDefault="00990355" w:rsidP="00E372B9">
      <w:pPr>
        <w:spacing w:after="120" w:line="240" w:lineRule="auto"/>
        <w:jc w:val="both"/>
        <w:rPr>
          <w:sz w:val="24"/>
          <w:szCs w:val="24"/>
        </w:rPr>
      </w:pPr>
      <w:r w:rsidRPr="003C7CB1">
        <w:rPr>
          <w:rFonts w:cstheme="minorHAnsi"/>
          <w:sz w:val="24"/>
          <w:szCs w:val="24"/>
        </w:rPr>
        <w:t>In the new context of sustainable development, funding for infrastructure development must be provided, in a way that eliminates bottlenecks in transport and achieves a balance of use between maritime and rail transport in relation to road transport. In 2019, 4,775 foreign vessels for leisure, sports and recreation (MONSTAT) entered the territorial sea of Montenegro, which is 1.4% more than in 2018. Of these, 4,211 vessels sailed by sea and 564 were brought in by land. The number of passengers who arrived on these vessels in 2019 was 28,562, which is 3.2% more than in 2018</w:t>
      </w:r>
      <w:r w:rsidR="00433C38" w:rsidRPr="003C7CB1">
        <w:rPr>
          <w:sz w:val="24"/>
          <w:szCs w:val="24"/>
        </w:rPr>
        <w:t>.</w:t>
      </w:r>
    </w:p>
    <w:p w14:paraId="0BC9A615" w14:textId="77777777" w:rsidR="00990355" w:rsidRPr="003C7CB1" w:rsidRDefault="00990355" w:rsidP="00990355">
      <w:pPr>
        <w:spacing w:after="120" w:line="240" w:lineRule="auto"/>
        <w:jc w:val="both"/>
        <w:rPr>
          <w:rFonts w:cstheme="minorHAnsi"/>
          <w:sz w:val="24"/>
          <w:szCs w:val="24"/>
        </w:rPr>
      </w:pPr>
      <w:r w:rsidRPr="003C7CB1">
        <w:rPr>
          <w:rFonts w:cstheme="minorHAnsi"/>
          <w:sz w:val="24"/>
          <w:szCs w:val="24"/>
        </w:rPr>
        <w:t>The main challenges that nautical tourism faces in the Adriatic are:</w:t>
      </w:r>
    </w:p>
    <w:p w14:paraId="51F51AD1" w14:textId="3D53E6A8" w:rsidR="00990355" w:rsidRPr="003C7CB1" w:rsidRDefault="00990355" w:rsidP="00990355">
      <w:pPr>
        <w:pStyle w:val="ListParagraph"/>
        <w:numPr>
          <w:ilvl w:val="0"/>
          <w:numId w:val="14"/>
        </w:numPr>
        <w:spacing w:after="120" w:line="240" w:lineRule="auto"/>
        <w:jc w:val="both"/>
        <w:rPr>
          <w:rFonts w:cstheme="minorHAnsi"/>
          <w:sz w:val="24"/>
          <w:szCs w:val="24"/>
        </w:rPr>
      </w:pPr>
      <w:r w:rsidRPr="003C7CB1">
        <w:rPr>
          <w:rFonts w:cstheme="minorHAnsi"/>
          <w:sz w:val="24"/>
          <w:szCs w:val="24"/>
        </w:rPr>
        <w:t xml:space="preserve">lack of resources in existing ports - small number of </w:t>
      </w:r>
      <w:proofErr w:type="spellStart"/>
      <w:r w:rsidRPr="003C7CB1">
        <w:rPr>
          <w:rFonts w:cstheme="minorHAnsi"/>
          <w:sz w:val="24"/>
          <w:szCs w:val="24"/>
        </w:rPr>
        <w:t>berths</w:t>
      </w:r>
      <w:proofErr w:type="spellEnd"/>
      <w:r w:rsidRPr="003C7CB1">
        <w:rPr>
          <w:rFonts w:cstheme="minorHAnsi"/>
          <w:sz w:val="24"/>
          <w:szCs w:val="24"/>
        </w:rPr>
        <w:t>,</w:t>
      </w:r>
    </w:p>
    <w:p w14:paraId="43129DB1" w14:textId="1019750A" w:rsidR="00990355" w:rsidRPr="003C7CB1" w:rsidRDefault="00990355" w:rsidP="00990355">
      <w:pPr>
        <w:pStyle w:val="ListParagraph"/>
        <w:numPr>
          <w:ilvl w:val="0"/>
          <w:numId w:val="14"/>
        </w:numPr>
        <w:spacing w:after="120" w:line="240" w:lineRule="auto"/>
        <w:jc w:val="both"/>
        <w:rPr>
          <w:rFonts w:cstheme="minorHAnsi"/>
          <w:sz w:val="24"/>
          <w:szCs w:val="24"/>
        </w:rPr>
      </w:pPr>
      <w:r w:rsidRPr="003C7CB1">
        <w:rPr>
          <w:rFonts w:cstheme="minorHAnsi"/>
          <w:sz w:val="24"/>
          <w:szCs w:val="24"/>
        </w:rPr>
        <w:t>lack of adequate infrastructure for passenger reception,</w:t>
      </w:r>
    </w:p>
    <w:p w14:paraId="3C385A01" w14:textId="6FE5544D" w:rsidR="00990355" w:rsidRPr="003C7CB1" w:rsidRDefault="00990355" w:rsidP="00990355">
      <w:pPr>
        <w:pStyle w:val="ListParagraph"/>
        <w:numPr>
          <w:ilvl w:val="0"/>
          <w:numId w:val="14"/>
        </w:numPr>
        <w:spacing w:after="120" w:line="240" w:lineRule="auto"/>
        <w:jc w:val="both"/>
        <w:rPr>
          <w:rFonts w:cstheme="minorHAnsi"/>
          <w:sz w:val="24"/>
          <w:szCs w:val="24"/>
        </w:rPr>
      </w:pPr>
      <w:r w:rsidRPr="003C7CB1">
        <w:rPr>
          <w:rFonts w:cstheme="minorHAnsi"/>
          <w:sz w:val="24"/>
          <w:szCs w:val="24"/>
        </w:rPr>
        <w:t>lack of infrastructure for waste and wastewater collection,</w:t>
      </w:r>
    </w:p>
    <w:p w14:paraId="4693A9B2" w14:textId="40413E28" w:rsidR="00433C38" w:rsidRPr="003C7CB1" w:rsidRDefault="00990355" w:rsidP="00990355">
      <w:pPr>
        <w:pStyle w:val="ListParagraph"/>
        <w:numPr>
          <w:ilvl w:val="0"/>
          <w:numId w:val="14"/>
        </w:numPr>
        <w:spacing w:after="120" w:line="240" w:lineRule="auto"/>
        <w:jc w:val="both"/>
        <w:rPr>
          <w:rFonts w:cstheme="minorHAnsi"/>
          <w:sz w:val="24"/>
          <w:szCs w:val="24"/>
        </w:rPr>
      </w:pPr>
      <w:r w:rsidRPr="003C7CB1">
        <w:rPr>
          <w:rFonts w:cstheme="minorHAnsi"/>
          <w:sz w:val="24"/>
          <w:szCs w:val="24"/>
        </w:rPr>
        <w:t>lack of quality local small and medium enterprises that would support the organization of excursion programs and transfers, etc.</w:t>
      </w:r>
    </w:p>
    <w:p w14:paraId="29E1F6BE" w14:textId="460E2EEF" w:rsidR="00CA0961" w:rsidRPr="003C7CB1" w:rsidRDefault="003B21FD" w:rsidP="00E372B9">
      <w:pPr>
        <w:spacing w:after="120" w:line="240" w:lineRule="auto"/>
        <w:jc w:val="both"/>
        <w:rPr>
          <w:rFonts w:cstheme="minorHAnsi"/>
          <w:sz w:val="24"/>
          <w:szCs w:val="24"/>
        </w:rPr>
      </w:pPr>
      <w:r w:rsidRPr="003C7CB1">
        <w:rPr>
          <w:rFonts w:cstheme="minorHAnsi"/>
          <w:sz w:val="24"/>
          <w:szCs w:val="24"/>
        </w:rPr>
        <w:t xml:space="preserve">With large investments in the tourism and hospitality sector in Montenegro in recent years, there has been a dynamic development of nautical tourism. As part of the largest investments in this part of the Adriatic, such as Porto Montenegro, Porto Novi and </w:t>
      </w:r>
      <w:proofErr w:type="spellStart"/>
      <w:r w:rsidRPr="003C7CB1">
        <w:rPr>
          <w:rFonts w:cstheme="minorHAnsi"/>
          <w:sz w:val="24"/>
          <w:szCs w:val="24"/>
        </w:rPr>
        <w:t>Luštica</w:t>
      </w:r>
      <w:proofErr w:type="spellEnd"/>
      <w:r w:rsidRPr="003C7CB1">
        <w:rPr>
          <w:rFonts w:cstheme="minorHAnsi"/>
          <w:sz w:val="24"/>
          <w:szCs w:val="24"/>
        </w:rPr>
        <w:t xml:space="preserve"> Bay, the offer of nautical tourism has been developed as one of the central products. An inseparable segment of the development of nautical tourism are updated nautical charts, new services </w:t>
      </w:r>
      <w:r w:rsidRPr="003C7CB1">
        <w:rPr>
          <w:rFonts w:cstheme="minorHAnsi"/>
          <w:sz w:val="24"/>
          <w:szCs w:val="24"/>
        </w:rPr>
        <w:lastRenderedPageBreak/>
        <w:t>for vessels, sailing schools, and work has been done to improve the business environment for the development of nautical tourism, because this type of tourism attracts well-paying clients</w:t>
      </w:r>
      <w:r w:rsidR="005079A4" w:rsidRPr="003C7CB1">
        <w:rPr>
          <w:rFonts w:cstheme="minorHAnsi"/>
          <w:sz w:val="24"/>
          <w:szCs w:val="24"/>
        </w:rPr>
        <w:t>.</w:t>
      </w:r>
    </w:p>
    <w:p w14:paraId="018F21CC" w14:textId="038D0407" w:rsidR="00855DAF" w:rsidRPr="003C7CB1" w:rsidRDefault="003B21FD" w:rsidP="00E372B9">
      <w:pPr>
        <w:spacing w:after="120" w:line="240" w:lineRule="auto"/>
        <w:jc w:val="both"/>
        <w:rPr>
          <w:rFonts w:cstheme="minorHAnsi"/>
          <w:sz w:val="24"/>
          <w:szCs w:val="24"/>
        </w:rPr>
      </w:pPr>
      <w:bookmarkStart w:id="230" w:name="_Hlk88235974"/>
      <w:bookmarkStart w:id="231" w:name="_Hlk87622042"/>
      <w:r w:rsidRPr="003C7CB1">
        <w:rPr>
          <w:rFonts w:cstheme="minorHAnsi"/>
          <w:sz w:val="24"/>
          <w:szCs w:val="24"/>
        </w:rPr>
        <w:t>In accordance with the Work Program of the Government of Montenegro in 2022, the adoption of the Nautical Tourism Development Program in Montenegro 2023-2025 with the Action Plan is planned</w:t>
      </w:r>
      <w:r w:rsidR="0061692F" w:rsidRPr="003C7CB1">
        <w:rPr>
          <w:rFonts w:cstheme="minorHAnsi"/>
          <w:sz w:val="24"/>
          <w:szCs w:val="24"/>
        </w:rPr>
        <w:t>.</w:t>
      </w:r>
      <w:bookmarkEnd w:id="230"/>
    </w:p>
    <w:p w14:paraId="5A95BDC2" w14:textId="71556B41" w:rsidR="001F34CF" w:rsidRPr="003C7CB1" w:rsidRDefault="00BE7A83" w:rsidP="00BE7A83">
      <w:pPr>
        <w:pStyle w:val="ListParagraph"/>
        <w:numPr>
          <w:ilvl w:val="0"/>
          <w:numId w:val="53"/>
        </w:numPr>
        <w:spacing w:after="120" w:line="240" w:lineRule="auto"/>
        <w:jc w:val="both"/>
        <w:rPr>
          <w:b/>
          <w:color w:val="2F5496" w:themeColor="accent1" w:themeShade="BF"/>
          <w:sz w:val="24"/>
          <w:szCs w:val="24"/>
        </w:rPr>
      </w:pPr>
      <w:bookmarkStart w:id="232" w:name="_Hlk88225665"/>
      <w:r w:rsidRPr="003C7CB1">
        <w:rPr>
          <w:b/>
          <w:color w:val="2F5496" w:themeColor="accent1" w:themeShade="BF"/>
          <w:sz w:val="24"/>
          <w:szCs w:val="24"/>
        </w:rPr>
        <w:t>Tourism of protected areas of Montenegro</w:t>
      </w:r>
      <w:r w:rsidR="001F34CF" w:rsidRPr="003C7CB1">
        <w:rPr>
          <w:b/>
          <w:color w:val="2F5496" w:themeColor="accent1" w:themeShade="BF"/>
          <w:sz w:val="24"/>
          <w:szCs w:val="24"/>
        </w:rPr>
        <w:t xml:space="preserve"> </w:t>
      </w:r>
    </w:p>
    <w:bookmarkEnd w:id="232"/>
    <w:p w14:paraId="3D9D9B89" w14:textId="02BD3D36" w:rsidR="00C91FA4" w:rsidRPr="003C7CB1" w:rsidRDefault="007B7763" w:rsidP="007B7763">
      <w:pPr>
        <w:spacing w:after="120" w:line="240" w:lineRule="auto"/>
        <w:jc w:val="both"/>
        <w:rPr>
          <w:sz w:val="24"/>
          <w:szCs w:val="24"/>
        </w:rPr>
      </w:pPr>
      <w:r w:rsidRPr="003C7CB1">
        <w:rPr>
          <w:sz w:val="24"/>
          <w:szCs w:val="24"/>
        </w:rPr>
        <w:t>In world practice, protected areas represent exceptional tourist potentials and directly affect the creation of the destination's image. The importance of protected areas is closely related to tourism, which is confirmed by the role of the International Union for Conservation of Nature (IUCN</w:t>
      </w:r>
      <w:r w:rsidR="00C91FA4" w:rsidRPr="003C7CB1">
        <w:rPr>
          <w:sz w:val="24"/>
          <w:szCs w:val="24"/>
        </w:rPr>
        <w:t>)</w:t>
      </w:r>
      <w:r w:rsidR="0055089D" w:rsidRPr="003C7CB1">
        <w:rPr>
          <w:rStyle w:val="FootnoteReference"/>
          <w:sz w:val="24"/>
          <w:szCs w:val="24"/>
        </w:rPr>
        <w:footnoteReference w:id="43"/>
      </w:r>
      <w:r w:rsidR="00C91FA4" w:rsidRPr="003C7CB1">
        <w:rPr>
          <w:sz w:val="24"/>
          <w:szCs w:val="24"/>
        </w:rPr>
        <w:t xml:space="preserve"> </w:t>
      </w:r>
      <w:r w:rsidRPr="003C7CB1">
        <w:rPr>
          <w:sz w:val="24"/>
          <w:szCs w:val="24"/>
        </w:rPr>
        <w:t>and the World Commission on Protected Areas (WCPA</w:t>
      </w:r>
      <w:r w:rsidR="00C91FA4" w:rsidRPr="003C7CB1">
        <w:rPr>
          <w:sz w:val="24"/>
          <w:szCs w:val="24"/>
        </w:rPr>
        <w:t>)</w:t>
      </w:r>
      <w:r w:rsidR="0055089D" w:rsidRPr="003C7CB1">
        <w:rPr>
          <w:rStyle w:val="FootnoteReference"/>
          <w:sz w:val="24"/>
          <w:szCs w:val="24"/>
        </w:rPr>
        <w:footnoteReference w:id="44"/>
      </w:r>
      <w:r w:rsidR="00C91FA4" w:rsidRPr="003C7CB1">
        <w:rPr>
          <w:sz w:val="24"/>
          <w:szCs w:val="24"/>
        </w:rPr>
        <w:t xml:space="preserve">, </w:t>
      </w:r>
      <w:r w:rsidRPr="003C7CB1">
        <w:rPr>
          <w:sz w:val="24"/>
          <w:szCs w:val="24"/>
        </w:rPr>
        <w:t>in defining international standards in the field of categories and principles of protected area management, inter alia for tourism purposes. It follows from the above that protected areas, in addition to systems, levels and measures of protection, represent a significant niche in the world tourist offer</w:t>
      </w:r>
      <w:r w:rsidR="00C91FA4" w:rsidRPr="003C7CB1">
        <w:rPr>
          <w:sz w:val="24"/>
          <w:szCs w:val="24"/>
        </w:rPr>
        <w:t xml:space="preserve">.  </w:t>
      </w:r>
    </w:p>
    <w:p w14:paraId="6264AB5D" w14:textId="550A032A" w:rsidR="007E3FFE" w:rsidRPr="003C7CB1" w:rsidRDefault="007B7763" w:rsidP="00E372B9">
      <w:pPr>
        <w:spacing w:after="120" w:line="240" w:lineRule="auto"/>
        <w:jc w:val="both"/>
        <w:rPr>
          <w:sz w:val="24"/>
          <w:szCs w:val="24"/>
        </w:rPr>
      </w:pPr>
      <w:r w:rsidRPr="003C7CB1">
        <w:rPr>
          <w:sz w:val="24"/>
          <w:szCs w:val="24"/>
        </w:rPr>
        <w:t>Adopting the status of protection over a certain area directly creates the scope and structure of tourist visits. Defined as such, the destination brings direct and indirect benefits to all entities</w:t>
      </w:r>
      <w:r w:rsidR="00A11C36" w:rsidRPr="003C7CB1">
        <w:rPr>
          <w:sz w:val="24"/>
          <w:szCs w:val="24"/>
        </w:rPr>
        <w:t>.</w:t>
      </w:r>
      <w:r w:rsidR="00765B94">
        <w:rPr>
          <w:rFonts w:cs="Arial"/>
          <w:sz w:val="24"/>
          <w:szCs w:val="24"/>
        </w:rPr>
        <w:t xml:space="preserve">                                                                                                   </w:t>
      </w:r>
    </w:p>
    <w:p w14:paraId="4B0EEB65" w14:textId="4F54EE71" w:rsidR="007E488A" w:rsidRPr="003C7CB1" w:rsidRDefault="007B7763" w:rsidP="00E372B9">
      <w:pPr>
        <w:spacing w:after="120" w:line="240" w:lineRule="auto"/>
        <w:jc w:val="both"/>
        <w:rPr>
          <w:sz w:val="24"/>
          <w:szCs w:val="24"/>
        </w:rPr>
      </w:pPr>
      <w:r w:rsidRPr="003C7CB1">
        <w:rPr>
          <w:sz w:val="24"/>
          <w:szCs w:val="24"/>
        </w:rPr>
        <w:t xml:space="preserve">The interdependence of tourism as a social phenomenon and the environment is unbreakable. Protected areas are directly responsible for the development of the destination, influencing the forms and structure of visits, bringing on the one hand economic benefits to the local community, and on the other hand contributing to the improvement of natural and cultural values of the destination. In addition to the above, tourism directly affects the natural environment, </w:t>
      </w:r>
      <w:r w:rsidR="00861D69" w:rsidRPr="003C7CB1">
        <w:rPr>
          <w:sz w:val="24"/>
          <w:szCs w:val="24"/>
        </w:rPr>
        <w:t>i.e.</w:t>
      </w:r>
      <w:r w:rsidRPr="003C7CB1">
        <w:rPr>
          <w:sz w:val="24"/>
          <w:szCs w:val="24"/>
        </w:rPr>
        <w:t xml:space="preserve"> resources that are exploited and used as key elements of tourism products or services. All this together can create a conflict, when protection is the only way to preserve and sustain a tourist destination. However, at the same time, it strengthens the awareness of the population that destinations with rare and sensitive elements should be protected as much as possible and that tourism is actually the initiator of a given conservation that brings income to the local community. Given that resources are also needed to manage the protected area, the development of ecotourism is an ideal solution</w:t>
      </w:r>
      <w:r w:rsidR="005079A4" w:rsidRPr="003C7CB1">
        <w:rPr>
          <w:sz w:val="24"/>
          <w:szCs w:val="24"/>
        </w:rPr>
        <w:t xml:space="preserve">. </w:t>
      </w:r>
    </w:p>
    <w:p w14:paraId="16696F04" w14:textId="14FA1446" w:rsidR="00550003" w:rsidRPr="003C7CB1" w:rsidRDefault="00956A07" w:rsidP="00956A07">
      <w:pPr>
        <w:spacing w:after="120" w:line="240" w:lineRule="auto"/>
        <w:jc w:val="both"/>
        <w:rPr>
          <w:sz w:val="24"/>
          <w:szCs w:val="24"/>
        </w:rPr>
      </w:pPr>
      <w:r w:rsidRPr="003C7CB1">
        <w:rPr>
          <w:sz w:val="24"/>
          <w:szCs w:val="24"/>
        </w:rPr>
        <w:t xml:space="preserve">With five national parks, six nature parks, two declared marine and coastal protected areas, five UNESCO protected areas, namely: Natural and </w:t>
      </w:r>
      <w:proofErr w:type="spellStart"/>
      <w:r w:rsidRPr="003C7CB1">
        <w:rPr>
          <w:sz w:val="24"/>
          <w:szCs w:val="24"/>
        </w:rPr>
        <w:t>Culturo</w:t>
      </w:r>
      <w:proofErr w:type="spellEnd"/>
      <w:r w:rsidRPr="003C7CB1">
        <w:rPr>
          <w:sz w:val="24"/>
          <w:szCs w:val="24"/>
        </w:rPr>
        <w:t xml:space="preserve">-Historical Region of Kotor, </w:t>
      </w:r>
      <w:proofErr w:type="spellStart"/>
      <w:r w:rsidRPr="003C7CB1">
        <w:rPr>
          <w:sz w:val="24"/>
          <w:szCs w:val="24"/>
        </w:rPr>
        <w:t>Durmitor</w:t>
      </w:r>
      <w:proofErr w:type="spellEnd"/>
      <w:r w:rsidRPr="003C7CB1">
        <w:rPr>
          <w:sz w:val="24"/>
          <w:szCs w:val="24"/>
        </w:rPr>
        <w:t xml:space="preserve"> National Pa</w:t>
      </w:r>
      <w:r w:rsidR="00C65FFD">
        <w:rPr>
          <w:sz w:val="24"/>
          <w:szCs w:val="24"/>
        </w:rPr>
        <w:t>rk with the canyon of the Tara r</w:t>
      </w:r>
      <w:r w:rsidRPr="003C7CB1">
        <w:rPr>
          <w:sz w:val="24"/>
          <w:szCs w:val="24"/>
        </w:rPr>
        <w:t xml:space="preserve">iver, </w:t>
      </w:r>
      <w:proofErr w:type="spellStart"/>
      <w:r w:rsidRPr="003C7CB1">
        <w:rPr>
          <w:sz w:val="24"/>
          <w:szCs w:val="24"/>
        </w:rPr>
        <w:t>Stećci</w:t>
      </w:r>
      <w:proofErr w:type="spellEnd"/>
      <w:r w:rsidRPr="003C7CB1">
        <w:rPr>
          <w:sz w:val="24"/>
          <w:szCs w:val="24"/>
        </w:rPr>
        <w:t xml:space="preserve"> - medieval cemeteries (3 sites within the multinational nomination: Greek Cemetery and Bare </w:t>
      </w:r>
      <w:proofErr w:type="spellStart"/>
      <w:r w:rsidRPr="003C7CB1">
        <w:rPr>
          <w:sz w:val="24"/>
          <w:szCs w:val="24"/>
        </w:rPr>
        <w:t>Žugića</w:t>
      </w:r>
      <w:proofErr w:type="spellEnd"/>
      <w:r w:rsidRPr="003C7CB1">
        <w:rPr>
          <w:sz w:val="24"/>
          <w:szCs w:val="24"/>
        </w:rPr>
        <w:t xml:space="preserve"> in </w:t>
      </w:r>
      <w:proofErr w:type="spellStart"/>
      <w:r w:rsidRPr="003C7CB1">
        <w:rPr>
          <w:sz w:val="24"/>
          <w:szCs w:val="24"/>
        </w:rPr>
        <w:t>Žabljak</w:t>
      </w:r>
      <w:proofErr w:type="spellEnd"/>
      <w:r w:rsidRPr="003C7CB1">
        <w:rPr>
          <w:sz w:val="24"/>
          <w:szCs w:val="24"/>
        </w:rPr>
        <w:t xml:space="preserve">, as well as the Greek Cemetery in </w:t>
      </w:r>
      <w:proofErr w:type="spellStart"/>
      <w:r w:rsidRPr="003C7CB1">
        <w:rPr>
          <w:sz w:val="24"/>
          <w:szCs w:val="24"/>
        </w:rPr>
        <w:t>Plužine</w:t>
      </w:r>
      <w:proofErr w:type="spellEnd"/>
      <w:r w:rsidRPr="003C7CB1">
        <w:rPr>
          <w:sz w:val="24"/>
          <w:szCs w:val="24"/>
        </w:rPr>
        <w:t xml:space="preserve">) and Venetian fortifications from the 16th to the 17th century (Kotor Fortress within the multinational nomination and the </w:t>
      </w:r>
      <w:proofErr w:type="spellStart"/>
      <w:r w:rsidRPr="003C7CB1">
        <w:rPr>
          <w:sz w:val="24"/>
          <w:szCs w:val="24"/>
        </w:rPr>
        <w:t>Boka</w:t>
      </w:r>
      <w:proofErr w:type="spellEnd"/>
      <w:r w:rsidRPr="003C7CB1">
        <w:rPr>
          <w:sz w:val="24"/>
          <w:szCs w:val="24"/>
        </w:rPr>
        <w:t xml:space="preserve"> Navy), and numerous other natural potentials, Montenegro is an ideal destination for the development of this type of tourism</w:t>
      </w:r>
      <w:r w:rsidR="004A09FC" w:rsidRPr="003C7CB1">
        <w:rPr>
          <w:sz w:val="24"/>
          <w:szCs w:val="24"/>
        </w:rPr>
        <w:t xml:space="preserve">. </w:t>
      </w:r>
      <w:r w:rsidRPr="003C7CB1">
        <w:rPr>
          <w:sz w:val="24"/>
          <w:szCs w:val="24"/>
        </w:rPr>
        <w:t>Attached to the above are the results of the "Guest Survey" from 2017, according to which for 21.1% of tourists the motive for coming to Montenegro is to get to know the natural beauty. According to age, it looks like this: up to 29 years - 20%, between 30 and 49 years - 20.7%, 50 and over - 28.2%.</w:t>
      </w:r>
    </w:p>
    <w:p w14:paraId="65D4A074" w14:textId="6D6BD1E1" w:rsidR="00E80D69" w:rsidRPr="003C7CB1" w:rsidRDefault="00C65FFD" w:rsidP="00E372B9">
      <w:pPr>
        <w:spacing w:after="120" w:line="240" w:lineRule="auto"/>
        <w:jc w:val="both"/>
        <w:rPr>
          <w:rFonts w:eastAsia="Times New Roman" w:cs="Calibri"/>
          <w:sz w:val="24"/>
          <w:szCs w:val="24"/>
        </w:rPr>
      </w:pPr>
      <w:proofErr w:type="spellStart"/>
      <w:r>
        <w:rPr>
          <w:rFonts w:eastAsia="Times New Roman" w:cs="Calibri"/>
          <w:sz w:val="24"/>
          <w:szCs w:val="24"/>
        </w:rPr>
        <w:lastRenderedPageBreak/>
        <w:t>Skadar</w:t>
      </w:r>
      <w:proofErr w:type="spellEnd"/>
      <w:r>
        <w:rPr>
          <w:rFonts w:eastAsia="Times New Roman" w:cs="Calibri"/>
          <w:sz w:val="24"/>
          <w:szCs w:val="24"/>
        </w:rPr>
        <w:t xml:space="preserve"> Lake</w:t>
      </w:r>
      <w:r w:rsidR="00956A07" w:rsidRPr="003C7CB1">
        <w:rPr>
          <w:rFonts w:eastAsia="Times New Roman" w:cs="Calibri"/>
          <w:sz w:val="24"/>
          <w:szCs w:val="24"/>
        </w:rPr>
        <w:t xml:space="preserve"> National Park, </w:t>
      </w:r>
      <w:proofErr w:type="spellStart"/>
      <w:r w:rsidR="00956A07" w:rsidRPr="003C7CB1">
        <w:rPr>
          <w:rFonts w:eastAsia="Times New Roman" w:cs="Calibri"/>
          <w:sz w:val="24"/>
          <w:szCs w:val="24"/>
        </w:rPr>
        <w:t>Lovćen</w:t>
      </w:r>
      <w:proofErr w:type="spellEnd"/>
      <w:r w:rsidR="00956A07" w:rsidRPr="003C7CB1">
        <w:rPr>
          <w:rFonts w:eastAsia="Times New Roman" w:cs="Calibri"/>
          <w:sz w:val="24"/>
          <w:szCs w:val="24"/>
        </w:rPr>
        <w:t xml:space="preserve"> National Park, </w:t>
      </w:r>
      <w:proofErr w:type="spellStart"/>
      <w:r w:rsidR="00956A07" w:rsidRPr="003C7CB1">
        <w:rPr>
          <w:rFonts w:eastAsia="Times New Roman" w:cs="Calibri"/>
          <w:sz w:val="24"/>
          <w:szCs w:val="24"/>
        </w:rPr>
        <w:t>Durmitor</w:t>
      </w:r>
      <w:proofErr w:type="spellEnd"/>
      <w:r w:rsidR="00956A07" w:rsidRPr="003C7CB1">
        <w:rPr>
          <w:rFonts w:eastAsia="Times New Roman" w:cs="Calibri"/>
          <w:sz w:val="24"/>
          <w:szCs w:val="24"/>
        </w:rPr>
        <w:t xml:space="preserve"> National Park and Prokletije National Park, with the exception of </w:t>
      </w:r>
      <w:proofErr w:type="spellStart"/>
      <w:r w:rsidR="00956A07" w:rsidRPr="003C7CB1">
        <w:rPr>
          <w:rFonts w:eastAsia="Times New Roman" w:cs="Calibri"/>
          <w:sz w:val="24"/>
          <w:szCs w:val="24"/>
        </w:rPr>
        <w:t>Biogradska</w:t>
      </w:r>
      <w:proofErr w:type="spellEnd"/>
      <w:r w:rsidR="00956A07" w:rsidRPr="003C7CB1">
        <w:rPr>
          <w:rFonts w:eastAsia="Times New Roman" w:cs="Calibri"/>
          <w:sz w:val="24"/>
          <w:szCs w:val="24"/>
        </w:rPr>
        <w:t xml:space="preserve"> Gora National Park, are open for visits throughout the year, but due to the pronounced seasonality, there is insufficient attendance at parks. Visitors to the national parks of Montenegro are most often individual tourists who come in their own arrangement, and then organized groups of visitors who come through travel agencies</w:t>
      </w:r>
      <w:r w:rsidR="00E80D69" w:rsidRPr="003C7CB1">
        <w:rPr>
          <w:rFonts w:eastAsia="Times New Roman" w:cs="Calibri"/>
          <w:sz w:val="24"/>
          <w:szCs w:val="24"/>
        </w:rPr>
        <w:t>.</w:t>
      </w:r>
      <w:r w:rsidR="00E80D69" w:rsidRPr="003C7CB1">
        <w:rPr>
          <w:rFonts w:eastAsia="Times New Roman" w:cs="Calibri"/>
          <w:sz w:val="24"/>
          <w:szCs w:val="24"/>
          <w:vertAlign w:val="superscript"/>
        </w:rPr>
        <w:footnoteReference w:id="45"/>
      </w:r>
    </w:p>
    <w:p w14:paraId="3A88123F" w14:textId="66DD04C3" w:rsidR="008F7D0F" w:rsidRPr="003C7CB1" w:rsidRDefault="00956A07" w:rsidP="00956A07">
      <w:pPr>
        <w:spacing w:after="120" w:line="240" w:lineRule="auto"/>
        <w:jc w:val="both"/>
        <w:rPr>
          <w:rFonts w:eastAsia="Times New Roman" w:cs="Calibri"/>
          <w:sz w:val="24"/>
          <w:szCs w:val="24"/>
        </w:rPr>
      </w:pPr>
      <w:r w:rsidRPr="003C7CB1">
        <w:rPr>
          <w:rFonts w:eastAsia="Times New Roman" w:cs="Calibri"/>
          <w:sz w:val="24"/>
          <w:szCs w:val="24"/>
        </w:rPr>
        <w:t xml:space="preserve">If we compare the data from 2019 with 2018, there was an overall growth of visitors by 30.0%. The largest number of visitors is recorded in the </w:t>
      </w:r>
      <w:proofErr w:type="spellStart"/>
      <w:r w:rsidRPr="003C7CB1">
        <w:rPr>
          <w:rFonts w:eastAsia="Times New Roman" w:cs="Calibri"/>
          <w:sz w:val="24"/>
          <w:szCs w:val="24"/>
        </w:rPr>
        <w:t>Durmitor</w:t>
      </w:r>
      <w:proofErr w:type="spellEnd"/>
      <w:r w:rsidRPr="003C7CB1">
        <w:rPr>
          <w:rFonts w:eastAsia="Times New Roman" w:cs="Calibri"/>
          <w:sz w:val="24"/>
          <w:szCs w:val="24"/>
        </w:rPr>
        <w:t xml:space="preserve"> National Park, which accounts for 46.1% of the total number of visitors in 2019, however, based on the data, it can be concluded that </w:t>
      </w:r>
      <w:proofErr w:type="spellStart"/>
      <w:r w:rsidRPr="003C7CB1">
        <w:rPr>
          <w:rFonts w:eastAsia="Times New Roman" w:cs="Calibri"/>
          <w:sz w:val="24"/>
          <w:szCs w:val="24"/>
        </w:rPr>
        <w:t>Durmitor</w:t>
      </w:r>
      <w:proofErr w:type="spellEnd"/>
      <w:r w:rsidRPr="003C7CB1">
        <w:rPr>
          <w:rFonts w:eastAsia="Times New Roman" w:cs="Calibri"/>
          <w:sz w:val="24"/>
          <w:szCs w:val="24"/>
        </w:rPr>
        <w:t xml:space="preserve"> National Park records the lowest growth in the number of tourists if we compare the data from 2019 and 2018 (growth of 22.8%), while the highest growth is recorded by the </w:t>
      </w:r>
      <w:proofErr w:type="spellStart"/>
      <w:r w:rsidR="00C65FFD">
        <w:rPr>
          <w:rFonts w:eastAsia="Times New Roman" w:cs="Calibri"/>
          <w:sz w:val="24"/>
          <w:szCs w:val="24"/>
        </w:rPr>
        <w:t>Skadar</w:t>
      </w:r>
      <w:proofErr w:type="spellEnd"/>
      <w:r w:rsidR="00C65FFD">
        <w:rPr>
          <w:rFonts w:eastAsia="Times New Roman" w:cs="Calibri"/>
          <w:sz w:val="24"/>
          <w:szCs w:val="24"/>
        </w:rPr>
        <w:t xml:space="preserve"> Lake</w:t>
      </w:r>
      <w:r w:rsidRPr="003C7CB1">
        <w:rPr>
          <w:rFonts w:eastAsia="Times New Roman" w:cs="Calibri"/>
          <w:sz w:val="24"/>
          <w:szCs w:val="24"/>
        </w:rPr>
        <w:t xml:space="preserve"> National Park of 52.3% (Table no. 20</w:t>
      </w:r>
      <w:r w:rsidR="00E80D69" w:rsidRPr="003C7CB1">
        <w:rPr>
          <w:rFonts w:eastAsia="Times New Roman" w:cs="Calibri"/>
          <w:sz w:val="24"/>
          <w:szCs w:val="24"/>
        </w:rPr>
        <w:t>)</w:t>
      </w:r>
      <w:r w:rsidR="00205FBC" w:rsidRPr="003C7CB1">
        <w:rPr>
          <w:rFonts w:eastAsia="Times New Roman" w:cs="Calibri"/>
          <w:sz w:val="24"/>
          <w:szCs w:val="24"/>
        </w:rPr>
        <w:t>.</w:t>
      </w:r>
    </w:p>
    <w:p w14:paraId="62D29D9B" w14:textId="711EAA5A" w:rsidR="00BE5175" w:rsidRPr="003C7CB1" w:rsidRDefault="00956A07" w:rsidP="00607ADB">
      <w:pPr>
        <w:spacing w:after="0" w:line="240" w:lineRule="auto"/>
        <w:jc w:val="center"/>
        <w:rPr>
          <w:rFonts w:eastAsia="Calibri" w:cs="Calibri"/>
          <w:b/>
        </w:rPr>
      </w:pPr>
      <w:r w:rsidRPr="003C7CB1">
        <w:rPr>
          <w:rFonts w:eastAsia="Calibri" w:cs="Calibri"/>
          <w:b/>
          <w:bCs/>
        </w:rPr>
        <w:t>Table No. 20: Number of visitors, National Parks of Montenegro, 2009-2019</w:t>
      </w:r>
    </w:p>
    <w:tbl>
      <w:tblPr>
        <w:tblStyle w:val="GridTable5Dark-Accent51"/>
        <w:tblW w:w="9125" w:type="dxa"/>
        <w:tblLook w:val="04A0" w:firstRow="1" w:lastRow="0" w:firstColumn="1" w:lastColumn="0" w:noHBand="0" w:noVBand="1"/>
      </w:tblPr>
      <w:tblGrid>
        <w:gridCol w:w="954"/>
        <w:gridCol w:w="1719"/>
        <w:gridCol w:w="1831"/>
        <w:gridCol w:w="1691"/>
        <w:gridCol w:w="141"/>
        <w:gridCol w:w="1410"/>
        <w:gridCol w:w="1379"/>
      </w:tblGrid>
      <w:tr w:rsidR="00C03303" w:rsidRPr="003C7CB1" w14:paraId="2592C524" w14:textId="77777777" w:rsidTr="003F277E">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42698596" w14:textId="77777777" w:rsidR="00E80D69" w:rsidRPr="003C7CB1" w:rsidRDefault="00E80D69" w:rsidP="00E80D69">
            <w:pPr>
              <w:spacing w:after="0" w:line="240" w:lineRule="auto"/>
              <w:rPr>
                <w:rFonts w:ascii="Times New Roman" w:eastAsia="Times New Roman" w:hAnsi="Times New Roman" w:cs="Times New Roman"/>
                <w:sz w:val="24"/>
                <w:szCs w:val="24"/>
                <w:lang w:eastAsia="en-GB"/>
              </w:rPr>
            </w:pPr>
          </w:p>
        </w:tc>
        <w:tc>
          <w:tcPr>
            <w:tcW w:w="1719" w:type="dxa"/>
            <w:noWrap/>
            <w:hideMark/>
          </w:tcPr>
          <w:p w14:paraId="6536A0AF" w14:textId="77777777"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p w14:paraId="7BBF5308" w14:textId="24C57778"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roofErr w:type="spellStart"/>
            <w:r w:rsidRPr="003C7CB1">
              <w:rPr>
                <w:rFonts w:ascii="Calibri" w:eastAsia="Times New Roman" w:hAnsi="Calibri" w:cs="Times New Roman"/>
                <w:lang w:eastAsia="en-GB"/>
              </w:rPr>
              <w:t>Durmitor</w:t>
            </w:r>
            <w:proofErr w:type="spellEnd"/>
            <w:r w:rsidR="00956A07" w:rsidRPr="003C7CB1">
              <w:rPr>
                <w:rFonts w:ascii="Calibri" w:eastAsia="Times New Roman" w:hAnsi="Calibri" w:cs="Times New Roman"/>
                <w:lang w:eastAsia="en-GB"/>
              </w:rPr>
              <w:t xml:space="preserve"> National Park</w:t>
            </w:r>
          </w:p>
          <w:p w14:paraId="75E1449A" w14:textId="77777777"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c>
          <w:tcPr>
            <w:tcW w:w="1831" w:type="dxa"/>
            <w:noWrap/>
            <w:hideMark/>
          </w:tcPr>
          <w:p w14:paraId="5E11BAF5" w14:textId="77777777"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p w14:paraId="693E4250" w14:textId="5273ACE6" w:rsidR="00E80D69" w:rsidRPr="003C7CB1" w:rsidRDefault="00C65FFD"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roofErr w:type="spellStart"/>
            <w:r>
              <w:rPr>
                <w:rFonts w:ascii="Calibri" w:eastAsia="Times New Roman" w:hAnsi="Calibri" w:cs="Times New Roman"/>
                <w:lang w:eastAsia="en-GB"/>
              </w:rPr>
              <w:t>Skadar</w:t>
            </w:r>
            <w:proofErr w:type="spellEnd"/>
            <w:r>
              <w:rPr>
                <w:rFonts w:ascii="Calibri" w:eastAsia="Times New Roman" w:hAnsi="Calibri" w:cs="Times New Roman"/>
                <w:lang w:eastAsia="en-GB"/>
              </w:rPr>
              <w:t xml:space="preserve"> Lake</w:t>
            </w:r>
            <w:r w:rsidR="00956A07" w:rsidRPr="003C7CB1">
              <w:rPr>
                <w:rFonts w:ascii="Calibri" w:eastAsia="Times New Roman" w:hAnsi="Calibri" w:cs="Times New Roman"/>
                <w:lang w:eastAsia="en-GB"/>
              </w:rPr>
              <w:t xml:space="preserve"> National Park</w:t>
            </w:r>
          </w:p>
        </w:tc>
        <w:tc>
          <w:tcPr>
            <w:tcW w:w="1691" w:type="dxa"/>
            <w:noWrap/>
            <w:hideMark/>
          </w:tcPr>
          <w:p w14:paraId="1482D3D4" w14:textId="77777777"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p w14:paraId="7A051A8B" w14:textId="3671C27B"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roofErr w:type="spellStart"/>
            <w:r w:rsidRPr="003C7CB1">
              <w:rPr>
                <w:rFonts w:ascii="Calibri" w:eastAsia="Times New Roman" w:hAnsi="Calibri" w:cs="Times New Roman"/>
                <w:lang w:eastAsia="en-GB"/>
              </w:rPr>
              <w:t>Biogradska</w:t>
            </w:r>
            <w:proofErr w:type="spellEnd"/>
            <w:r w:rsidRPr="003C7CB1">
              <w:rPr>
                <w:rFonts w:ascii="Calibri" w:eastAsia="Times New Roman" w:hAnsi="Calibri" w:cs="Times New Roman"/>
                <w:lang w:eastAsia="en-GB"/>
              </w:rPr>
              <w:t xml:space="preserve"> </w:t>
            </w:r>
            <w:proofErr w:type="spellStart"/>
            <w:r w:rsidRPr="003C7CB1">
              <w:rPr>
                <w:rFonts w:ascii="Calibri" w:eastAsia="Times New Roman" w:hAnsi="Calibri" w:cs="Times New Roman"/>
                <w:lang w:eastAsia="en-GB"/>
              </w:rPr>
              <w:t>gora</w:t>
            </w:r>
            <w:proofErr w:type="spellEnd"/>
            <w:r w:rsidR="00956A07" w:rsidRPr="003C7CB1">
              <w:rPr>
                <w:rFonts w:ascii="Calibri" w:eastAsia="Times New Roman" w:hAnsi="Calibri" w:cs="Times New Roman"/>
                <w:lang w:eastAsia="en-GB"/>
              </w:rPr>
              <w:t xml:space="preserve"> National Park</w:t>
            </w:r>
          </w:p>
        </w:tc>
        <w:tc>
          <w:tcPr>
            <w:tcW w:w="1551" w:type="dxa"/>
            <w:gridSpan w:val="2"/>
            <w:noWrap/>
            <w:hideMark/>
          </w:tcPr>
          <w:p w14:paraId="30D83EFB" w14:textId="77777777"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p w14:paraId="72F50004" w14:textId="7069A20B"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roofErr w:type="spellStart"/>
            <w:r w:rsidRPr="003C7CB1">
              <w:rPr>
                <w:rFonts w:ascii="Calibri" w:eastAsia="Times New Roman" w:hAnsi="Calibri" w:cs="Times New Roman"/>
                <w:lang w:eastAsia="en-GB"/>
              </w:rPr>
              <w:t>Lovćen</w:t>
            </w:r>
            <w:proofErr w:type="spellEnd"/>
            <w:r w:rsidR="00956A07" w:rsidRPr="003C7CB1">
              <w:rPr>
                <w:rFonts w:ascii="Calibri" w:eastAsia="Times New Roman" w:hAnsi="Calibri" w:cs="Times New Roman"/>
                <w:lang w:eastAsia="en-GB"/>
              </w:rPr>
              <w:t xml:space="preserve"> National Park</w:t>
            </w:r>
          </w:p>
        </w:tc>
        <w:tc>
          <w:tcPr>
            <w:tcW w:w="1379" w:type="dxa"/>
            <w:noWrap/>
            <w:hideMark/>
          </w:tcPr>
          <w:p w14:paraId="24568C16" w14:textId="77777777" w:rsidR="006C1F3D" w:rsidRPr="003C7CB1" w:rsidRDefault="006C1F3D" w:rsidP="00956A07">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p w14:paraId="1777305D" w14:textId="5C93920B" w:rsidR="00E80D69" w:rsidRPr="003C7CB1" w:rsidRDefault="00E80D69" w:rsidP="00956A07">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Prokletije</w:t>
            </w:r>
            <w:r w:rsidR="00956A07" w:rsidRPr="003C7CB1">
              <w:rPr>
                <w:rFonts w:ascii="Calibri" w:eastAsia="Times New Roman" w:hAnsi="Calibri" w:cs="Times New Roman"/>
                <w:lang w:eastAsia="en-GB"/>
              </w:rPr>
              <w:t xml:space="preserve"> National Park</w:t>
            </w:r>
          </w:p>
          <w:p w14:paraId="52872492" w14:textId="77777777" w:rsidR="00E80D69" w:rsidRPr="003C7CB1" w:rsidRDefault="00E80D69" w:rsidP="00E80D6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r>
      <w:tr w:rsidR="00C03303" w:rsidRPr="003C7CB1" w14:paraId="1EF56558" w14:textId="77777777" w:rsidTr="00956A0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0AA1B03A"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2009</w:t>
            </w:r>
          </w:p>
        </w:tc>
        <w:tc>
          <w:tcPr>
            <w:tcW w:w="1719" w:type="dxa"/>
            <w:noWrap/>
            <w:hideMark/>
          </w:tcPr>
          <w:p w14:paraId="77F252BF"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35.946</w:t>
            </w:r>
          </w:p>
        </w:tc>
        <w:tc>
          <w:tcPr>
            <w:tcW w:w="1831" w:type="dxa"/>
            <w:noWrap/>
            <w:hideMark/>
          </w:tcPr>
          <w:p w14:paraId="265D53A3"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32.070</w:t>
            </w:r>
          </w:p>
        </w:tc>
        <w:tc>
          <w:tcPr>
            <w:tcW w:w="1832" w:type="dxa"/>
            <w:gridSpan w:val="2"/>
            <w:noWrap/>
            <w:hideMark/>
          </w:tcPr>
          <w:p w14:paraId="655E5D91"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30.855</w:t>
            </w:r>
          </w:p>
        </w:tc>
        <w:tc>
          <w:tcPr>
            <w:tcW w:w="1410" w:type="dxa"/>
            <w:noWrap/>
            <w:hideMark/>
          </w:tcPr>
          <w:p w14:paraId="70387D35"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26.444</w:t>
            </w:r>
          </w:p>
        </w:tc>
        <w:tc>
          <w:tcPr>
            <w:tcW w:w="1379" w:type="dxa"/>
            <w:noWrap/>
            <w:hideMark/>
          </w:tcPr>
          <w:p w14:paraId="42284BEC"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0</w:t>
            </w:r>
          </w:p>
        </w:tc>
      </w:tr>
      <w:tr w:rsidR="00C03303" w:rsidRPr="003C7CB1" w14:paraId="0814E828" w14:textId="77777777" w:rsidTr="00956A07">
        <w:trPr>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473D94D2"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2010</w:t>
            </w:r>
          </w:p>
        </w:tc>
        <w:tc>
          <w:tcPr>
            <w:tcW w:w="1719" w:type="dxa"/>
            <w:noWrap/>
            <w:hideMark/>
          </w:tcPr>
          <w:p w14:paraId="20830A71"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41.099</w:t>
            </w:r>
          </w:p>
        </w:tc>
        <w:tc>
          <w:tcPr>
            <w:tcW w:w="1831" w:type="dxa"/>
            <w:noWrap/>
            <w:hideMark/>
          </w:tcPr>
          <w:p w14:paraId="5E3455D5"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40.242</w:t>
            </w:r>
          </w:p>
        </w:tc>
        <w:tc>
          <w:tcPr>
            <w:tcW w:w="1832" w:type="dxa"/>
            <w:gridSpan w:val="2"/>
            <w:noWrap/>
            <w:hideMark/>
          </w:tcPr>
          <w:p w14:paraId="18CDC2D8"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30.900</w:t>
            </w:r>
          </w:p>
        </w:tc>
        <w:tc>
          <w:tcPr>
            <w:tcW w:w="1410" w:type="dxa"/>
            <w:noWrap/>
            <w:hideMark/>
          </w:tcPr>
          <w:p w14:paraId="28B8929D"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36.463</w:t>
            </w:r>
          </w:p>
        </w:tc>
        <w:tc>
          <w:tcPr>
            <w:tcW w:w="1379" w:type="dxa"/>
            <w:noWrap/>
            <w:hideMark/>
          </w:tcPr>
          <w:p w14:paraId="4BDD6913"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0</w:t>
            </w:r>
          </w:p>
        </w:tc>
      </w:tr>
      <w:tr w:rsidR="00C03303" w:rsidRPr="003C7CB1" w14:paraId="75A55018" w14:textId="77777777" w:rsidTr="00956A0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251AE960"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2011</w:t>
            </w:r>
          </w:p>
        </w:tc>
        <w:tc>
          <w:tcPr>
            <w:tcW w:w="1719" w:type="dxa"/>
            <w:noWrap/>
            <w:hideMark/>
          </w:tcPr>
          <w:p w14:paraId="1477CD1D"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67.245</w:t>
            </w:r>
          </w:p>
        </w:tc>
        <w:tc>
          <w:tcPr>
            <w:tcW w:w="1831" w:type="dxa"/>
            <w:noWrap/>
            <w:hideMark/>
          </w:tcPr>
          <w:p w14:paraId="53047EB7"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45.362</w:t>
            </w:r>
          </w:p>
        </w:tc>
        <w:tc>
          <w:tcPr>
            <w:tcW w:w="1832" w:type="dxa"/>
            <w:gridSpan w:val="2"/>
            <w:noWrap/>
            <w:hideMark/>
          </w:tcPr>
          <w:p w14:paraId="6E7E209F"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27.828</w:t>
            </w:r>
          </w:p>
        </w:tc>
        <w:tc>
          <w:tcPr>
            <w:tcW w:w="1410" w:type="dxa"/>
            <w:noWrap/>
            <w:hideMark/>
          </w:tcPr>
          <w:p w14:paraId="77B67469"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33.429</w:t>
            </w:r>
          </w:p>
        </w:tc>
        <w:tc>
          <w:tcPr>
            <w:tcW w:w="1379" w:type="dxa"/>
            <w:noWrap/>
            <w:hideMark/>
          </w:tcPr>
          <w:p w14:paraId="2D9CDBB4"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0</w:t>
            </w:r>
          </w:p>
        </w:tc>
      </w:tr>
      <w:tr w:rsidR="00C03303" w:rsidRPr="003C7CB1" w14:paraId="6A2216E8" w14:textId="77777777" w:rsidTr="00956A07">
        <w:trPr>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61FEA267"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2012</w:t>
            </w:r>
          </w:p>
        </w:tc>
        <w:tc>
          <w:tcPr>
            <w:tcW w:w="1719" w:type="dxa"/>
            <w:noWrap/>
            <w:hideMark/>
          </w:tcPr>
          <w:p w14:paraId="00A922A9"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82.307</w:t>
            </w:r>
          </w:p>
        </w:tc>
        <w:tc>
          <w:tcPr>
            <w:tcW w:w="1831" w:type="dxa"/>
            <w:noWrap/>
            <w:hideMark/>
          </w:tcPr>
          <w:p w14:paraId="73A36DAE"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60.304</w:t>
            </w:r>
          </w:p>
        </w:tc>
        <w:tc>
          <w:tcPr>
            <w:tcW w:w="1832" w:type="dxa"/>
            <w:gridSpan w:val="2"/>
            <w:noWrap/>
            <w:hideMark/>
          </w:tcPr>
          <w:p w14:paraId="5FB3A692"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25.280</w:t>
            </w:r>
          </w:p>
        </w:tc>
        <w:tc>
          <w:tcPr>
            <w:tcW w:w="1410" w:type="dxa"/>
            <w:noWrap/>
            <w:hideMark/>
          </w:tcPr>
          <w:p w14:paraId="0A0A05E2"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1.735</w:t>
            </w:r>
          </w:p>
        </w:tc>
        <w:tc>
          <w:tcPr>
            <w:tcW w:w="1379" w:type="dxa"/>
            <w:noWrap/>
            <w:hideMark/>
          </w:tcPr>
          <w:p w14:paraId="3D907695"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0</w:t>
            </w:r>
          </w:p>
        </w:tc>
      </w:tr>
      <w:tr w:rsidR="00C03303" w:rsidRPr="003C7CB1" w14:paraId="19FBAFAC" w14:textId="77777777" w:rsidTr="00956A0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38D5A7E3"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2013</w:t>
            </w:r>
          </w:p>
        </w:tc>
        <w:tc>
          <w:tcPr>
            <w:tcW w:w="1719" w:type="dxa"/>
            <w:noWrap/>
            <w:hideMark/>
          </w:tcPr>
          <w:p w14:paraId="77966EA0"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101.609</w:t>
            </w:r>
          </w:p>
        </w:tc>
        <w:tc>
          <w:tcPr>
            <w:tcW w:w="1831" w:type="dxa"/>
            <w:noWrap/>
            <w:hideMark/>
          </w:tcPr>
          <w:p w14:paraId="611EF50C"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74.242</w:t>
            </w:r>
          </w:p>
        </w:tc>
        <w:tc>
          <w:tcPr>
            <w:tcW w:w="1832" w:type="dxa"/>
            <w:gridSpan w:val="2"/>
            <w:noWrap/>
            <w:hideMark/>
          </w:tcPr>
          <w:p w14:paraId="7BABB030"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25.405</w:t>
            </w:r>
          </w:p>
        </w:tc>
        <w:tc>
          <w:tcPr>
            <w:tcW w:w="1410" w:type="dxa"/>
            <w:noWrap/>
            <w:hideMark/>
          </w:tcPr>
          <w:p w14:paraId="049311AF"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946</w:t>
            </w:r>
          </w:p>
        </w:tc>
        <w:tc>
          <w:tcPr>
            <w:tcW w:w="1379" w:type="dxa"/>
            <w:noWrap/>
            <w:hideMark/>
          </w:tcPr>
          <w:p w14:paraId="191A1DF3"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0</w:t>
            </w:r>
          </w:p>
        </w:tc>
      </w:tr>
      <w:tr w:rsidR="00C03303" w:rsidRPr="003C7CB1" w14:paraId="4369660D" w14:textId="77777777" w:rsidTr="00956A07">
        <w:trPr>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678F1C65"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2014</w:t>
            </w:r>
          </w:p>
        </w:tc>
        <w:tc>
          <w:tcPr>
            <w:tcW w:w="1719" w:type="dxa"/>
            <w:noWrap/>
            <w:hideMark/>
          </w:tcPr>
          <w:p w14:paraId="78413065"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109.462</w:t>
            </w:r>
          </w:p>
        </w:tc>
        <w:tc>
          <w:tcPr>
            <w:tcW w:w="1831" w:type="dxa"/>
            <w:noWrap/>
            <w:hideMark/>
          </w:tcPr>
          <w:p w14:paraId="77EA8D7F"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64.916</w:t>
            </w:r>
          </w:p>
        </w:tc>
        <w:tc>
          <w:tcPr>
            <w:tcW w:w="1832" w:type="dxa"/>
            <w:gridSpan w:val="2"/>
            <w:noWrap/>
            <w:hideMark/>
          </w:tcPr>
          <w:p w14:paraId="7C43363F"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26.417</w:t>
            </w:r>
          </w:p>
        </w:tc>
        <w:tc>
          <w:tcPr>
            <w:tcW w:w="1410" w:type="dxa"/>
            <w:noWrap/>
            <w:hideMark/>
          </w:tcPr>
          <w:p w14:paraId="39850B7E"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32.406</w:t>
            </w:r>
          </w:p>
        </w:tc>
        <w:tc>
          <w:tcPr>
            <w:tcW w:w="1379" w:type="dxa"/>
            <w:noWrap/>
            <w:hideMark/>
          </w:tcPr>
          <w:p w14:paraId="4016BD4F"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0</w:t>
            </w:r>
          </w:p>
        </w:tc>
      </w:tr>
      <w:tr w:rsidR="00C03303" w:rsidRPr="003C7CB1" w14:paraId="3DBC3A16" w14:textId="77777777" w:rsidTr="00956A0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3D7CDF35"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2015</w:t>
            </w:r>
          </w:p>
        </w:tc>
        <w:tc>
          <w:tcPr>
            <w:tcW w:w="1719" w:type="dxa"/>
            <w:noWrap/>
            <w:hideMark/>
          </w:tcPr>
          <w:p w14:paraId="7A8BCFF6"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130.755</w:t>
            </w:r>
          </w:p>
        </w:tc>
        <w:tc>
          <w:tcPr>
            <w:tcW w:w="1831" w:type="dxa"/>
            <w:noWrap/>
            <w:hideMark/>
          </w:tcPr>
          <w:p w14:paraId="60B61D28"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71.488</w:t>
            </w:r>
          </w:p>
        </w:tc>
        <w:tc>
          <w:tcPr>
            <w:tcW w:w="1832" w:type="dxa"/>
            <w:gridSpan w:val="2"/>
            <w:noWrap/>
            <w:hideMark/>
          </w:tcPr>
          <w:p w14:paraId="45896D0F"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30.213</w:t>
            </w:r>
          </w:p>
        </w:tc>
        <w:tc>
          <w:tcPr>
            <w:tcW w:w="1410" w:type="dxa"/>
            <w:noWrap/>
            <w:hideMark/>
          </w:tcPr>
          <w:p w14:paraId="4429B702"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74.614</w:t>
            </w:r>
          </w:p>
        </w:tc>
        <w:tc>
          <w:tcPr>
            <w:tcW w:w="1379" w:type="dxa"/>
            <w:noWrap/>
            <w:hideMark/>
          </w:tcPr>
          <w:p w14:paraId="0F5EAA69"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2.524</w:t>
            </w:r>
          </w:p>
        </w:tc>
      </w:tr>
      <w:tr w:rsidR="00C03303" w:rsidRPr="003C7CB1" w14:paraId="735D537F" w14:textId="77777777" w:rsidTr="00956A07">
        <w:trPr>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790D43D1"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2016</w:t>
            </w:r>
          </w:p>
        </w:tc>
        <w:tc>
          <w:tcPr>
            <w:tcW w:w="1719" w:type="dxa"/>
            <w:noWrap/>
            <w:hideMark/>
          </w:tcPr>
          <w:p w14:paraId="0CEFA35D"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131.717</w:t>
            </w:r>
          </w:p>
        </w:tc>
        <w:tc>
          <w:tcPr>
            <w:tcW w:w="1831" w:type="dxa"/>
            <w:noWrap/>
            <w:hideMark/>
          </w:tcPr>
          <w:p w14:paraId="605AD2C4"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66.682</w:t>
            </w:r>
          </w:p>
        </w:tc>
        <w:tc>
          <w:tcPr>
            <w:tcW w:w="1832" w:type="dxa"/>
            <w:gridSpan w:val="2"/>
            <w:noWrap/>
            <w:hideMark/>
          </w:tcPr>
          <w:p w14:paraId="17549AF2"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28.313</w:t>
            </w:r>
          </w:p>
        </w:tc>
        <w:tc>
          <w:tcPr>
            <w:tcW w:w="1410" w:type="dxa"/>
            <w:noWrap/>
            <w:hideMark/>
          </w:tcPr>
          <w:p w14:paraId="23C9056A"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90.496</w:t>
            </w:r>
          </w:p>
        </w:tc>
        <w:tc>
          <w:tcPr>
            <w:tcW w:w="1379" w:type="dxa"/>
            <w:noWrap/>
            <w:hideMark/>
          </w:tcPr>
          <w:p w14:paraId="71E182A1"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3.178</w:t>
            </w:r>
          </w:p>
        </w:tc>
      </w:tr>
      <w:tr w:rsidR="00C03303" w:rsidRPr="003C7CB1" w14:paraId="6EAF675E" w14:textId="77777777" w:rsidTr="00956A0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5E591676"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2017</w:t>
            </w:r>
          </w:p>
        </w:tc>
        <w:tc>
          <w:tcPr>
            <w:tcW w:w="1719" w:type="dxa"/>
            <w:noWrap/>
            <w:hideMark/>
          </w:tcPr>
          <w:p w14:paraId="1ABF994B"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184.654</w:t>
            </w:r>
          </w:p>
        </w:tc>
        <w:tc>
          <w:tcPr>
            <w:tcW w:w="1831" w:type="dxa"/>
            <w:noWrap/>
            <w:hideMark/>
          </w:tcPr>
          <w:p w14:paraId="43687F5A"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65.935</w:t>
            </w:r>
          </w:p>
        </w:tc>
        <w:tc>
          <w:tcPr>
            <w:tcW w:w="1832" w:type="dxa"/>
            <w:gridSpan w:val="2"/>
            <w:noWrap/>
            <w:hideMark/>
          </w:tcPr>
          <w:p w14:paraId="1AEA86E0"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45.637</w:t>
            </w:r>
          </w:p>
        </w:tc>
        <w:tc>
          <w:tcPr>
            <w:tcW w:w="1410" w:type="dxa"/>
            <w:noWrap/>
            <w:hideMark/>
          </w:tcPr>
          <w:p w14:paraId="3244F76C"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19.551</w:t>
            </w:r>
          </w:p>
        </w:tc>
        <w:tc>
          <w:tcPr>
            <w:tcW w:w="1379" w:type="dxa"/>
            <w:noWrap/>
            <w:hideMark/>
          </w:tcPr>
          <w:p w14:paraId="1AD4BEFB"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10.168</w:t>
            </w:r>
          </w:p>
        </w:tc>
      </w:tr>
      <w:tr w:rsidR="00C03303" w:rsidRPr="003C7CB1" w14:paraId="1A9E551B" w14:textId="77777777" w:rsidTr="00956A07">
        <w:trPr>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5A1D663A"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2018</w:t>
            </w:r>
          </w:p>
        </w:tc>
        <w:tc>
          <w:tcPr>
            <w:tcW w:w="1719" w:type="dxa"/>
            <w:noWrap/>
            <w:hideMark/>
          </w:tcPr>
          <w:p w14:paraId="34E79A42"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220.207</w:t>
            </w:r>
          </w:p>
        </w:tc>
        <w:tc>
          <w:tcPr>
            <w:tcW w:w="1831" w:type="dxa"/>
            <w:noWrap/>
            <w:hideMark/>
          </w:tcPr>
          <w:p w14:paraId="3415B1FD"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95.363</w:t>
            </w:r>
          </w:p>
        </w:tc>
        <w:tc>
          <w:tcPr>
            <w:tcW w:w="1832" w:type="dxa"/>
            <w:gridSpan w:val="2"/>
            <w:noWrap/>
            <w:hideMark/>
          </w:tcPr>
          <w:p w14:paraId="3F5A12D9"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58.506</w:t>
            </w:r>
          </w:p>
        </w:tc>
        <w:tc>
          <w:tcPr>
            <w:tcW w:w="1410" w:type="dxa"/>
            <w:noWrap/>
            <w:hideMark/>
          </w:tcPr>
          <w:p w14:paraId="7D91E3CC"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62.868</w:t>
            </w:r>
          </w:p>
        </w:tc>
        <w:tc>
          <w:tcPr>
            <w:tcW w:w="1379" w:type="dxa"/>
            <w:noWrap/>
            <w:hideMark/>
          </w:tcPr>
          <w:p w14:paraId="60DD0890" w14:textId="77777777" w:rsidR="00E80D69" w:rsidRPr="003C7CB1" w:rsidRDefault="00E80D69" w:rsidP="00E80D6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14.488</w:t>
            </w:r>
          </w:p>
        </w:tc>
      </w:tr>
      <w:tr w:rsidR="00C03303" w:rsidRPr="003C7CB1" w14:paraId="1D27D2AF" w14:textId="77777777" w:rsidTr="00956A0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54" w:type="dxa"/>
            <w:noWrap/>
            <w:hideMark/>
          </w:tcPr>
          <w:p w14:paraId="4733A9A6" w14:textId="77777777" w:rsidR="00E80D69" w:rsidRPr="003C7CB1" w:rsidRDefault="00E80D69" w:rsidP="00E80D69">
            <w:pPr>
              <w:spacing w:after="0" w:line="240" w:lineRule="auto"/>
              <w:jc w:val="center"/>
              <w:rPr>
                <w:rFonts w:ascii="Calibri" w:eastAsia="Times New Roman" w:hAnsi="Calibri" w:cs="Times New Roman"/>
                <w:lang w:eastAsia="en-GB"/>
              </w:rPr>
            </w:pPr>
            <w:r w:rsidRPr="003C7CB1">
              <w:rPr>
                <w:rFonts w:ascii="Calibri" w:eastAsia="Times New Roman" w:hAnsi="Calibri" w:cs="Times New Roman"/>
                <w:lang w:eastAsia="en-GB"/>
              </w:rPr>
              <w:t>2019</w:t>
            </w:r>
          </w:p>
        </w:tc>
        <w:tc>
          <w:tcPr>
            <w:tcW w:w="1719" w:type="dxa"/>
            <w:noWrap/>
            <w:hideMark/>
          </w:tcPr>
          <w:p w14:paraId="24003207"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270.315</w:t>
            </w:r>
          </w:p>
        </w:tc>
        <w:tc>
          <w:tcPr>
            <w:tcW w:w="1831" w:type="dxa"/>
            <w:noWrap/>
            <w:hideMark/>
          </w:tcPr>
          <w:p w14:paraId="368BFF86"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145.237</w:t>
            </w:r>
          </w:p>
        </w:tc>
        <w:tc>
          <w:tcPr>
            <w:tcW w:w="1832" w:type="dxa"/>
            <w:gridSpan w:val="2"/>
            <w:noWrap/>
            <w:hideMark/>
          </w:tcPr>
          <w:p w14:paraId="33D68E5F"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72.209</w:t>
            </w:r>
          </w:p>
        </w:tc>
        <w:tc>
          <w:tcPr>
            <w:tcW w:w="1410" w:type="dxa"/>
            <w:noWrap/>
            <w:hideMark/>
          </w:tcPr>
          <w:p w14:paraId="4920B26B"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80.560</w:t>
            </w:r>
          </w:p>
        </w:tc>
        <w:tc>
          <w:tcPr>
            <w:tcW w:w="1379" w:type="dxa"/>
            <w:noWrap/>
            <w:hideMark/>
          </w:tcPr>
          <w:p w14:paraId="06699FE5" w14:textId="77777777" w:rsidR="00E80D69" w:rsidRPr="003C7CB1" w:rsidRDefault="00E80D69" w:rsidP="00E80D6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3C7CB1">
              <w:rPr>
                <w:rFonts w:ascii="Calibri" w:eastAsia="Times New Roman" w:hAnsi="Calibri" w:cs="Times New Roman"/>
                <w:lang w:eastAsia="en-GB"/>
              </w:rPr>
              <w:t>18.644</w:t>
            </w:r>
          </w:p>
        </w:tc>
      </w:tr>
    </w:tbl>
    <w:p w14:paraId="1BCA49C9" w14:textId="6937F146" w:rsidR="00E80D69" w:rsidRPr="003C7CB1" w:rsidRDefault="00956A07" w:rsidP="00E80D69">
      <w:pPr>
        <w:tabs>
          <w:tab w:val="left" w:pos="3084"/>
        </w:tabs>
        <w:spacing w:after="160" w:line="259" w:lineRule="auto"/>
        <w:rPr>
          <w:rFonts w:eastAsia="Calibri" w:cs="Calibri"/>
          <w:i/>
          <w:iCs/>
          <w:sz w:val="20"/>
          <w:szCs w:val="20"/>
        </w:rPr>
      </w:pPr>
      <w:r w:rsidRPr="003C7CB1">
        <w:rPr>
          <w:rFonts w:eastAsia="Calibri" w:cs="Calibri"/>
          <w:b/>
          <w:i/>
          <w:iCs/>
          <w:sz w:val="20"/>
          <w:szCs w:val="20"/>
        </w:rPr>
        <w:t xml:space="preserve">Source: </w:t>
      </w:r>
      <w:r w:rsidRPr="003C7CB1">
        <w:rPr>
          <w:rFonts w:eastAsia="Calibri" w:cs="Calibri"/>
          <w:i/>
          <w:iCs/>
          <w:sz w:val="20"/>
          <w:szCs w:val="20"/>
        </w:rPr>
        <w:t>National Parks of Montenegro</w:t>
      </w:r>
    </w:p>
    <w:p w14:paraId="3A7D5F10" w14:textId="7C283B92" w:rsidR="00E80D69" w:rsidRPr="003C7CB1" w:rsidRDefault="006C1F3D" w:rsidP="006C1F3D">
      <w:pPr>
        <w:tabs>
          <w:tab w:val="left" w:pos="3084"/>
        </w:tabs>
        <w:spacing w:after="120" w:line="240" w:lineRule="auto"/>
        <w:jc w:val="both"/>
        <w:rPr>
          <w:rFonts w:ascii="Calibri" w:eastAsia="Calibri" w:hAnsi="Calibri" w:cs="Calibri"/>
          <w:iCs/>
          <w:sz w:val="24"/>
          <w:szCs w:val="24"/>
        </w:rPr>
      </w:pPr>
      <w:r w:rsidRPr="003C7CB1">
        <w:rPr>
          <w:rFonts w:ascii="Calibri" w:eastAsia="Calibri" w:hAnsi="Calibri" w:cs="Calibri"/>
          <w:iCs/>
          <w:sz w:val="24"/>
          <w:szCs w:val="24"/>
        </w:rPr>
        <w:t>Data for 2020 are not presented, because they do not show the real situation, given that the year was marked by the COVID-19 pandemic and the absence of regular guests, as well as the decision of the Government that Montenegrin citizens do not pay the entrance fee for national parks</w:t>
      </w:r>
      <w:r w:rsidR="00E80D69" w:rsidRPr="003C7CB1">
        <w:rPr>
          <w:rFonts w:ascii="Calibri" w:eastAsia="Calibri" w:hAnsi="Calibri" w:cs="Calibri"/>
          <w:iCs/>
          <w:sz w:val="24"/>
          <w:szCs w:val="24"/>
        </w:rPr>
        <w:t>.</w:t>
      </w:r>
      <w:r w:rsidR="00765B94">
        <w:rPr>
          <w:rFonts w:cs="Arial"/>
          <w:sz w:val="24"/>
          <w:szCs w:val="24"/>
        </w:rPr>
        <w:t xml:space="preserve">                                                                                                   </w:t>
      </w:r>
    </w:p>
    <w:p w14:paraId="76B4C7BE" w14:textId="55EA1214" w:rsidR="00550003" w:rsidRPr="003C7CB1" w:rsidRDefault="00FE3280" w:rsidP="007178DE">
      <w:pPr>
        <w:spacing w:after="120" w:line="240" w:lineRule="auto"/>
        <w:jc w:val="both"/>
        <w:rPr>
          <w:sz w:val="24"/>
          <w:szCs w:val="24"/>
        </w:rPr>
      </w:pPr>
      <w:r w:rsidRPr="003C7CB1">
        <w:rPr>
          <w:sz w:val="24"/>
          <w:szCs w:val="24"/>
        </w:rPr>
        <w:t xml:space="preserve">The proclamation of the </w:t>
      </w:r>
      <w:proofErr w:type="spellStart"/>
      <w:r w:rsidRPr="003C7CB1">
        <w:rPr>
          <w:sz w:val="24"/>
          <w:szCs w:val="24"/>
        </w:rPr>
        <w:t>Tivat</w:t>
      </w:r>
      <w:proofErr w:type="spellEnd"/>
      <w:r w:rsidRPr="003C7CB1">
        <w:rPr>
          <w:sz w:val="24"/>
          <w:szCs w:val="24"/>
        </w:rPr>
        <w:t xml:space="preserve"> Salina (</w:t>
      </w:r>
      <w:proofErr w:type="spellStart"/>
      <w:r w:rsidRPr="003C7CB1">
        <w:rPr>
          <w:sz w:val="24"/>
          <w:szCs w:val="24"/>
        </w:rPr>
        <w:t>Tivatska</w:t>
      </w:r>
      <w:proofErr w:type="spellEnd"/>
      <w:r w:rsidRPr="003C7CB1">
        <w:rPr>
          <w:sz w:val="24"/>
          <w:szCs w:val="24"/>
        </w:rPr>
        <w:t xml:space="preserve"> </w:t>
      </w:r>
      <w:proofErr w:type="spellStart"/>
      <w:r w:rsidRPr="003C7CB1">
        <w:rPr>
          <w:sz w:val="24"/>
          <w:szCs w:val="24"/>
        </w:rPr>
        <w:t>Solila</w:t>
      </w:r>
      <w:proofErr w:type="spellEnd"/>
      <w:r w:rsidRPr="003C7CB1">
        <w:rPr>
          <w:sz w:val="24"/>
          <w:szCs w:val="24"/>
        </w:rPr>
        <w:t xml:space="preserve">) as a special nature reserve </w:t>
      </w:r>
      <w:r w:rsidR="00C82AAF" w:rsidRPr="003C7CB1">
        <w:rPr>
          <w:sz w:val="24"/>
          <w:szCs w:val="24"/>
        </w:rPr>
        <w:t>in 2008 and the Ulcinj Salina</w:t>
      </w:r>
      <w:r w:rsidRPr="003C7CB1">
        <w:rPr>
          <w:sz w:val="24"/>
          <w:szCs w:val="24"/>
        </w:rPr>
        <w:t xml:space="preserve"> as a protected area in 2019, and the establishment of two nature parks "</w:t>
      </w:r>
      <w:proofErr w:type="spellStart"/>
      <w:r w:rsidRPr="003C7CB1">
        <w:rPr>
          <w:sz w:val="24"/>
          <w:szCs w:val="24"/>
        </w:rPr>
        <w:t>Platamuni</w:t>
      </w:r>
      <w:proofErr w:type="spellEnd"/>
      <w:r w:rsidRPr="003C7CB1">
        <w:rPr>
          <w:sz w:val="24"/>
          <w:szCs w:val="24"/>
        </w:rPr>
        <w:t>" and "</w:t>
      </w:r>
      <w:proofErr w:type="spellStart"/>
      <w:r w:rsidRPr="003C7CB1">
        <w:rPr>
          <w:sz w:val="24"/>
          <w:szCs w:val="24"/>
        </w:rPr>
        <w:t>Katič</w:t>
      </w:r>
      <w:proofErr w:type="spellEnd"/>
      <w:r w:rsidRPr="003C7CB1">
        <w:rPr>
          <w:sz w:val="24"/>
          <w:szCs w:val="24"/>
        </w:rPr>
        <w:t>", as the first marine and coastal protected areas in Montenegro, created p</w:t>
      </w:r>
      <w:r w:rsidR="00C82AAF" w:rsidRPr="003C7CB1">
        <w:rPr>
          <w:sz w:val="24"/>
          <w:szCs w:val="24"/>
        </w:rPr>
        <w:t>reconditions for best practices</w:t>
      </w:r>
      <w:r w:rsidRPr="003C7CB1">
        <w:rPr>
          <w:sz w:val="24"/>
          <w:szCs w:val="24"/>
        </w:rPr>
        <w:t xml:space="preserve"> for effective management and control of activities, training and capacity building of these p</w:t>
      </w:r>
      <w:r w:rsidR="00C82AAF" w:rsidRPr="003C7CB1">
        <w:rPr>
          <w:sz w:val="24"/>
          <w:szCs w:val="24"/>
        </w:rPr>
        <w:t>rotected areas. Ulcinj Salina</w:t>
      </w:r>
      <w:r w:rsidRPr="003C7CB1">
        <w:rPr>
          <w:sz w:val="24"/>
          <w:szCs w:val="24"/>
        </w:rPr>
        <w:t>, a wetland of global importance for feeding, nesting and wintering birds of almost half of all European bird species and an area of exceptional biodive</w:t>
      </w:r>
      <w:r w:rsidR="00C82AAF" w:rsidRPr="003C7CB1">
        <w:rPr>
          <w:sz w:val="24"/>
          <w:szCs w:val="24"/>
        </w:rPr>
        <w:t xml:space="preserve">rsity as well as </w:t>
      </w:r>
      <w:proofErr w:type="spellStart"/>
      <w:r w:rsidR="00C82AAF" w:rsidRPr="003C7CB1">
        <w:rPr>
          <w:sz w:val="24"/>
          <w:szCs w:val="24"/>
        </w:rPr>
        <w:t>Tivat</w:t>
      </w:r>
      <w:proofErr w:type="spellEnd"/>
      <w:r w:rsidR="00C82AAF" w:rsidRPr="003C7CB1">
        <w:rPr>
          <w:sz w:val="24"/>
          <w:szCs w:val="24"/>
        </w:rPr>
        <w:t xml:space="preserve"> Salina</w:t>
      </w:r>
      <w:r w:rsidRPr="003C7CB1">
        <w:rPr>
          <w:sz w:val="24"/>
          <w:szCs w:val="24"/>
        </w:rPr>
        <w:t>, are exceptional tourist sites for bird watching in Montenegro, as well as a good base for the development of eco-tourism based on the valorization of salt for tourism purposes</w:t>
      </w:r>
      <w:r w:rsidR="00CA0961" w:rsidRPr="003C7CB1">
        <w:rPr>
          <w:sz w:val="24"/>
          <w:szCs w:val="24"/>
        </w:rPr>
        <w:t xml:space="preserve">. </w:t>
      </w:r>
      <w:r w:rsidR="007178DE" w:rsidRPr="003C7CB1">
        <w:rPr>
          <w:sz w:val="24"/>
          <w:szCs w:val="24"/>
        </w:rPr>
        <w:t xml:space="preserve">In addition, the diversification of the </w:t>
      </w:r>
      <w:r w:rsidR="007178DE" w:rsidRPr="003C7CB1">
        <w:rPr>
          <w:sz w:val="24"/>
          <w:szCs w:val="24"/>
        </w:rPr>
        <w:lastRenderedPageBreak/>
        <w:t>offer through wildlife observation should be encouraged, which includes the construction of observatories and feeding grounds for wild animals, which can offer a unique experience in protected areas, but also in other areas of Montenegro where there is richness of fauna. There is a worldwide trend of increasing the number of amateur animal observers, and protected natural areas are the best areas for such activity</w:t>
      </w:r>
      <w:r w:rsidR="00CA0961" w:rsidRPr="003C7CB1">
        <w:rPr>
          <w:sz w:val="24"/>
          <w:szCs w:val="24"/>
        </w:rPr>
        <w:t xml:space="preserve">. </w:t>
      </w:r>
      <w:r w:rsidR="007178DE" w:rsidRPr="003C7CB1">
        <w:rPr>
          <w:sz w:val="24"/>
          <w:szCs w:val="24"/>
        </w:rPr>
        <w:t>Unlike the usual forms of tourism, wildlife watching allows unlimited use of resources and at the same time, the development of this type of tourism in the local population raises awareness of the values that surround them. In accordance with all the above, it is evident that the natural potentials attract great attention of tourists who visit our destination, and it is of great importance to improve the offer in this segment and provide tourists wi</w:t>
      </w:r>
      <w:r w:rsidR="00C00021" w:rsidRPr="003C7CB1">
        <w:rPr>
          <w:sz w:val="24"/>
          <w:szCs w:val="24"/>
        </w:rPr>
        <w:t>th an unforgettable experience, and generate</w:t>
      </w:r>
      <w:r w:rsidR="007178DE" w:rsidRPr="003C7CB1">
        <w:rPr>
          <w:sz w:val="24"/>
          <w:szCs w:val="24"/>
        </w:rPr>
        <w:t xml:space="preserve"> new jobs and income for the local community and the state</w:t>
      </w:r>
      <w:r w:rsidR="00A82959" w:rsidRPr="003C7CB1">
        <w:rPr>
          <w:sz w:val="24"/>
          <w:szCs w:val="24"/>
        </w:rPr>
        <w:t>.</w:t>
      </w:r>
      <w:r w:rsidR="00CA0961" w:rsidRPr="003C7CB1">
        <w:rPr>
          <w:rStyle w:val="FootnoteReference"/>
          <w:sz w:val="24"/>
          <w:szCs w:val="24"/>
        </w:rPr>
        <w:footnoteReference w:id="46"/>
      </w:r>
    </w:p>
    <w:p w14:paraId="26CFBBCB" w14:textId="5C46E442" w:rsidR="00595A74" w:rsidRPr="003C7CB1" w:rsidRDefault="00595A74" w:rsidP="00595A74">
      <w:pPr>
        <w:spacing w:after="120" w:line="240" w:lineRule="auto"/>
        <w:jc w:val="both"/>
        <w:rPr>
          <w:sz w:val="24"/>
          <w:szCs w:val="24"/>
        </w:rPr>
      </w:pPr>
      <w:r w:rsidRPr="003C7CB1">
        <w:rPr>
          <w:sz w:val="24"/>
          <w:szCs w:val="24"/>
        </w:rPr>
        <w:t>In the forthcoming period, the development of the Tourism Development Program in Protected Areas 2025-2027 with the Action Plan is planned, in order to strategically plan the development of a sustainable tourism product in protected areas.</w:t>
      </w:r>
    </w:p>
    <w:p w14:paraId="45C3CDB6" w14:textId="7505028A" w:rsidR="00F80B80" w:rsidRPr="003C7CB1" w:rsidRDefault="00595A74" w:rsidP="00595A74">
      <w:pPr>
        <w:spacing w:after="120" w:line="240" w:lineRule="auto"/>
        <w:jc w:val="both"/>
        <w:rPr>
          <w:sz w:val="24"/>
          <w:szCs w:val="24"/>
        </w:rPr>
      </w:pPr>
      <w:r w:rsidRPr="003C7CB1">
        <w:rPr>
          <w:sz w:val="24"/>
          <w:szCs w:val="24"/>
        </w:rPr>
        <w:t>In addition to the mentioned types of tourism whose development is already taking place or planned through special programs, the following is an overview of other types of tourism for which Montenegro has development potentials.</w:t>
      </w:r>
    </w:p>
    <w:p w14:paraId="03B78E65" w14:textId="050161D0" w:rsidR="00563419" w:rsidRPr="003C7CB1" w:rsidRDefault="00595A74" w:rsidP="00595A74">
      <w:pPr>
        <w:pStyle w:val="ListParagraph"/>
        <w:numPr>
          <w:ilvl w:val="0"/>
          <w:numId w:val="53"/>
        </w:numPr>
        <w:spacing w:after="120" w:line="240" w:lineRule="auto"/>
        <w:jc w:val="both"/>
        <w:rPr>
          <w:b/>
          <w:color w:val="2F5496" w:themeColor="accent1" w:themeShade="BF"/>
          <w:sz w:val="24"/>
          <w:szCs w:val="24"/>
        </w:rPr>
      </w:pPr>
      <w:r w:rsidRPr="003C7CB1">
        <w:rPr>
          <w:b/>
          <w:color w:val="2F5496" w:themeColor="accent1" w:themeShade="BF"/>
          <w:sz w:val="24"/>
          <w:szCs w:val="24"/>
        </w:rPr>
        <w:t>Adventure tourism</w:t>
      </w:r>
    </w:p>
    <w:p w14:paraId="33DE72E9" w14:textId="56BB6070" w:rsidR="00B07EBB" w:rsidRPr="003C7CB1" w:rsidRDefault="0078705A" w:rsidP="00E372B9">
      <w:pPr>
        <w:spacing w:after="120" w:line="240" w:lineRule="auto"/>
        <w:jc w:val="both"/>
        <w:rPr>
          <w:sz w:val="24"/>
          <w:szCs w:val="24"/>
        </w:rPr>
      </w:pPr>
      <w:r w:rsidRPr="003C7CB1">
        <w:rPr>
          <w:sz w:val="24"/>
          <w:szCs w:val="24"/>
        </w:rPr>
        <w:t>Adventure tourism is a form of recreational tourism based on recreation, but with the presence of risk and excitement, and requires physical and mental preparation from the participants. In fact, this form of tourism is a combination of sports, recreation and entertainment, and is intended for tourists who want to have a special experience on their trip, but also to enjoy the natural beauty of the chosen destination</w:t>
      </w:r>
      <w:r w:rsidR="00B07EBB" w:rsidRPr="003C7CB1">
        <w:rPr>
          <w:sz w:val="24"/>
          <w:szCs w:val="24"/>
        </w:rPr>
        <w:t>.</w:t>
      </w:r>
      <w:r w:rsidR="00E05A19" w:rsidRPr="003C7CB1">
        <w:rPr>
          <w:sz w:val="24"/>
          <w:szCs w:val="24"/>
        </w:rPr>
        <w:t xml:space="preserve"> </w:t>
      </w:r>
    </w:p>
    <w:p w14:paraId="77EB33A7" w14:textId="38672B31" w:rsidR="00563419" w:rsidRPr="003C7CB1" w:rsidRDefault="0078705A" w:rsidP="00E372B9">
      <w:pPr>
        <w:spacing w:after="120" w:line="240" w:lineRule="auto"/>
        <w:jc w:val="both"/>
        <w:rPr>
          <w:sz w:val="24"/>
          <w:szCs w:val="24"/>
        </w:rPr>
      </w:pPr>
      <w:r w:rsidRPr="003C7CB1">
        <w:rPr>
          <w:sz w:val="24"/>
          <w:szCs w:val="24"/>
        </w:rPr>
        <w:t xml:space="preserve">The Adventure Travel Trade Association </w:t>
      </w:r>
      <w:r w:rsidR="00563419" w:rsidRPr="003C7CB1">
        <w:rPr>
          <w:sz w:val="24"/>
          <w:szCs w:val="24"/>
        </w:rPr>
        <w:t>(ATTA)</w:t>
      </w:r>
      <w:r w:rsidR="00B07EBB" w:rsidRPr="003C7CB1">
        <w:rPr>
          <w:rStyle w:val="FootnoteReference"/>
          <w:sz w:val="24"/>
          <w:szCs w:val="24"/>
        </w:rPr>
        <w:footnoteReference w:id="47"/>
      </w:r>
      <w:r w:rsidR="00563419" w:rsidRPr="003C7CB1">
        <w:rPr>
          <w:sz w:val="24"/>
          <w:szCs w:val="24"/>
        </w:rPr>
        <w:t xml:space="preserve"> ​​</w:t>
      </w:r>
      <w:r w:rsidRPr="003C7CB1">
        <w:rPr>
          <w:sz w:val="24"/>
          <w:szCs w:val="24"/>
        </w:rPr>
        <w:t>defines adventure tourism as a journey that includes at least two of the following three elements: physical activity, natural environment, and cultural experience.</w:t>
      </w:r>
    </w:p>
    <w:p w14:paraId="152973CC" w14:textId="5B4DF2C7" w:rsidR="00176DC1" w:rsidRPr="003C7CB1" w:rsidRDefault="00EB36B7" w:rsidP="00E372B9">
      <w:pPr>
        <w:spacing w:after="120" w:line="240" w:lineRule="auto"/>
        <w:jc w:val="both"/>
        <w:rPr>
          <w:sz w:val="24"/>
          <w:szCs w:val="24"/>
        </w:rPr>
      </w:pPr>
      <w:r w:rsidRPr="003C7CB1">
        <w:rPr>
          <w:sz w:val="24"/>
          <w:szCs w:val="24"/>
        </w:rPr>
        <w:t>According to the 2014 UNWTO Global Report on Adventure Tourism, adventure tourism is resilient, attracts high purchasing power tourists, benefits the local economy / community and encourages sustainable practices</w:t>
      </w:r>
      <w:r w:rsidR="00176DC1" w:rsidRPr="003C7CB1">
        <w:rPr>
          <w:sz w:val="24"/>
          <w:szCs w:val="24"/>
        </w:rPr>
        <w:t>.</w:t>
      </w:r>
      <w:r w:rsidR="00176DC1" w:rsidRPr="003C7CB1">
        <w:rPr>
          <w:rStyle w:val="FootnoteReference"/>
          <w:sz w:val="24"/>
          <w:szCs w:val="24"/>
        </w:rPr>
        <w:footnoteReference w:id="48"/>
      </w:r>
      <w:r w:rsidR="00535DB4" w:rsidRPr="003C7CB1">
        <w:rPr>
          <w:sz w:val="24"/>
          <w:szCs w:val="24"/>
        </w:rPr>
        <w:t xml:space="preserve"> </w:t>
      </w:r>
    </w:p>
    <w:p w14:paraId="68F4FCD1" w14:textId="77777777" w:rsidR="00A04944" w:rsidRPr="003C7CB1" w:rsidRDefault="00A04944" w:rsidP="00A04944">
      <w:pPr>
        <w:spacing w:after="120" w:line="240" w:lineRule="auto"/>
        <w:jc w:val="both"/>
        <w:rPr>
          <w:sz w:val="24"/>
          <w:szCs w:val="24"/>
        </w:rPr>
      </w:pPr>
      <w:r w:rsidRPr="003C7CB1">
        <w:rPr>
          <w:sz w:val="24"/>
          <w:szCs w:val="24"/>
        </w:rPr>
        <w:t>Adventure tourism is becoming increasingly popular in the world due to its positive impact on people, the environment and the economic growth of the destination. The development of this type of tourism is most influenced by trends, but also by the fast pace of life of people. People increasingly want to fill their free time with activities in which they would spend excess energy and to experience an unusual adventure.</w:t>
      </w:r>
    </w:p>
    <w:p w14:paraId="6DDE81E2" w14:textId="6E722C50" w:rsidR="00563419" w:rsidRPr="003C7CB1" w:rsidRDefault="00A04944" w:rsidP="00A04944">
      <w:pPr>
        <w:spacing w:after="120" w:line="240" w:lineRule="auto"/>
        <w:jc w:val="both"/>
        <w:rPr>
          <w:sz w:val="24"/>
          <w:szCs w:val="24"/>
        </w:rPr>
      </w:pPr>
      <w:r w:rsidRPr="003C7CB1">
        <w:rPr>
          <w:sz w:val="24"/>
          <w:szCs w:val="24"/>
        </w:rPr>
        <w:t xml:space="preserve">The development of adventure tourism in Montenegro is mostly based on preserved natural resources. In 2019, the Government of Montenegro passed the Regulation on minimum </w:t>
      </w:r>
      <w:r w:rsidRPr="003C7CB1">
        <w:rPr>
          <w:sz w:val="24"/>
          <w:szCs w:val="24"/>
        </w:rPr>
        <w:lastRenderedPageBreak/>
        <w:t>technical conditions and the manner of providing certain tourist services that include sports-recreational and adventure activities, which created the basis for providing services in various forms of adventure tourism</w:t>
      </w:r>
      <w:r w:rsidR="00563419" w:rsidRPr="003C7CB1">
        <w:rPr>
          <w:sz w:val="24"/>
          <w:szCs w:val="24"/>
        </w:rPr>
        <w:t xml:space="preserve">. </w:t>
      </w:r>
    </w:p>
    <w:p w14:paraId="0C299C70" w14:textId="4CD69EAB" w:rsidR="00E00BAE" w:rsidRPr="003C7CB1" w:rsidRDefault="00A04944" w:rsidP="00A04944">
      <w:pPr>
        <w:spacing w:after="120" w:line="240" w:lineRule="auto"/>
        <w:jc w:val="both"/>
        <w:rPr>
          <w:sz w:val="24"/>
          <w:szCs w:val="24"/>
        </w:rPr>
      </w:pPr>
      <w:r w:rsidRPr="003C7CB1">
        <w:rPr>
          <w:sz w:val="24"/>
          <w:szCs w:val="24"/>
        </w:rPr>
        <w:t xml:space="preserve">Numerous adventurous activities have been practiced in Montenegro for many years, such as the </w:t>
      </w:r>
      <w:r w:rsidR="00C65FFD">
        <w:rPr>
          <w:sz w:val="24"/>
          <w:szCs w:val="24"/>
        </w:rPr>
        <w:t>inevitable rafting on the Tara r</w:t>
      </w:r>
      <w:r w:rsidRPr="003C7CB1">
        <w:rPr>
          <w:sz w:val="24"/>
          <w:szCs w:val="24"/>
        </w:rPr>
        <w:t xml:space="preserve">iver, canyoning in the </w:t>
      </w:r>
      <w:proofErr w:type="spellStart"/>
      <w:r w:rsidRPr="003C7CB1">
        <w:rPr>
          <w:sz w:val="24"/>
          <w:szCs w:val="24"/>
        </w:rPr>
        <w:t>N</w:t>
      </w:r>
      <w:r w:rsidR="00C65FFD">
        <w:rPr>
          <w:sz w:val="24"/>
          <w:szCs w:val="24"/>
        </w:rPr>
        <w:t>evidio</w:t>
      </w:r>
      <w:proofErr w:type="spellEnd"/>
      <w:r w:rsidR="00C65FFD">
        <w:rPr>
          <w:sz w:val="24"/>
          <w:szCs w:val="24"/>
        </w:rPr>
        <w:t xml:space="preserve"> canyon of the </w:t>
      </w:r>
      <w:proofErr w:type="spellStart"/>
      <w:r w:rsidR="00C65FFD">
        <w:rPr>
          <w:sz w:val="24"/>
          <w:szCs w:val="24"/>
        </w:rPr>
        <w:t>Komarnica</w:t>
      </w:r>
      <w:proofErr w:type="spellEnd"/>
      <w:r w:rsidR="00C65FFD">
        <w:rPr>
          <w:sz w:val="24"/>
          <w:szCs w:val="24"/>
        </w:rPr>
        <w:t xml:space="preserve"> r</w:t>
      </w:r>
      <w:r w:rsidRPr="003C7CB1">
        <w:rPr>
          <w:sz w:val="24"/>
          <w:szCs w:val="24"/>
        </w:rPr>
        <w:t xml:space="preserve">iver, as well as the </w:t>
      </w:r>
      <w:proofErr w:type="spellStart"/>
      <w:r w:rsidRPr="003C7CB1">
        <w:rPr>
          <w:sz w:val="24"/>
          <w:szCs w:val="24"/>
        </w:rPr>
        <w:t>Mrtvica</w:t>
      </w:r>
      <w:proofErr w:type="spellEnd"/>
      <w:r w:rsidRPr="003C7CB1">
        <w:rPr>
          <w:sz w:val="24"/>
          <w:szCs w:val="24"/>
        </w:rPr>
        <w:t xml:space="preserve"> and </w:t>
      </w:r>
      <w:proofErr w:type="spellStart"/>
      <w:r w:rsidRPr="003C7CB1">
        <w:rPr>
          <w:sz w:val="24"/>
          <w:szCs w:val="24"/>
        </w:rPr>
        <w:t>Medjureč</w:t>
      </w:r>
      <w:proofErr w:type="spellEnd"/>
      <w:r w:rsidRPr="003C7CB1">
        <w:rPr>
          <w:sz w:val="24"/>
          <w:szCs w:val="24"/>
        </w:rPr>
        <w:t xml:space="preserve"> rivers, speleo</w:t>
      </w:r>
      <w:r w:rsidR="00907E64" w:rsidRPr="003C7CB1">
        <w:rPr>
          <w:sz w:val="24"/>
          <w:szCs w:val="24"/>
        </w:rPr>
        <w:t xml:space="preserve">logical tours in the </w:t>
      </w:r>
      <w:proofErr w:type="spellStart"/>
      <w:r w:rsidR="00907E64" w:rsidRPr="003C7CB1">
        <w:rPr>
          <w:sz w:val="24"/>
          <w:szCs w:val="24"/>
        </w:rPr>
        <w:t>Lipa</w:t>
      </w:r>
      <w:proofErr w:type="spellEnd"/>
      <w:r w:rsidR="00907E64" w:rsidRPr="003C7CB1">
        <w:rPr>
          <w:sz w:val="24"/>
          <w:szCs w:val="24"/>
        </w:rPr>
        <w:t xml:space="preserve"> c</w:t>
      </w:r>
      <w:r w:rsidRPr="003C7CB1">
        <w:rPr>
          <w:sz w:val="24"/>
          <w:szCs w:val="24"/>
        </w:rPr>
        <w:t xml:space="preserve">ave, a zip line ride on the </w:t>
      </w:r>
      <w:proofErr w:type="spellStart"/>
      <w:r w:rsidRPr="003C7CB1">
        <w:rPr>
          <w:sz w:val="24"/>
          <w:szCs w:val="24"/>
        </w:rPr>
        <w:t>Đurđevića</w:t>
      </w:r>
      <w:proofErr w:type="spellEnd"/>
      <w:r w:rsidRPr="003C7CB1">
        <w:rPr>
          <w:sz w:val="24"/>
          <w:szCs w:val="24"/>
        </w:rPr>
        <w:t xml:space="preserve"> Tara bridge, </w:t>
      </w:r>
      <w:proofErr w:type="spellStart"/>
      <w:r w:rsidRPr="003C7CB1">
        <w:rPr>
          <w:sz w:val="24"/>
          <w:szCs w:val="24"/>
        </w:rPr>
        <w:t>Brajići</w:t>
      </w:r>
      <w:proofErr w:type="spellEnd"/>
      <w:r w:rsidRPr="003C7CB1">
        <w:rPr>
          <w:sz w:val="24"/>
          <w:szCs w:val="24"/>
        </w:rPr>
        <w:t xml:space="preserve"> and other, still less well-known, activities that need to be better promoted in terms of marketing. Tourists have at their disposal many other adventurous activities such as hiking on the mountain peaks of </w:t>
      </w:r>
      <w:proofErr w:type="spellStart"/>
      <w:r w:rsidRPr="003C7CB1">
        <w:rPr>
          <w:sz w:val="24"/>
          <w:szCs w:val="24"/>
        </w:rPr>
        <w:t>Durmitor</w:t>
      </w:r>
      <w:proofErr w:type="spellEnd"/>
      <w:r w:rsidRPr="003C7CB1">
        <w:rPr>
          <w:sz w:val="24"/>
          <w:szCs w:val="24"/>
        </w:rPr>
        <w:t>, Prokletije, cycling on mountain trails, bungee jumping, safari tours, paragliding, paintball, etc</w:t>
      </w:r>
      <w:r w:rsidR="00563419" w:rsidRPr="003C7CB1">
        <w:rPr>
          <w:sz w:val="24"/>
          <w:szCs w:val="24"/>
        </w:rPr>
        <w:t>.</w:t>
      </w:r>
      <w:r w:rsidR="00BA6320" w:rsidRPr="003C7CB1">
        <w:rPr>
          <w:sz w:val="24"/>
          <w:szCs w:val="24"/>
        </w:rPr>
        <w:t xml:space="preserve"> </w:t>
      </w:r>
    </w:p>
    <w:p w14:paraId="3363265E" w14:textId="7A98D265" w:rsidR="00563419" w:rsidRPr="003C7CB1" w:rsidRDefault="00B06DCA" w:rsidP="00E372B9">
      <w:pPr>
        <w:spacing w:after="120" w:line="240" w:lineRule="auto"/>
        <w:jc w:val="both"/>
        <w:rPr>
          <w:sz w:val="24"/>
          <w:szCs w:val="24"/>
        </w:rPr>
      </w:pPr>
      <w:r w:rsidRPr="003C7CB1">
        <w:rPr>
          <w:sz w:val="24"/>
          <w:szCs w:val="24"/>
        </w:rPr>
        <w:t xml:space="preserve">Windsurfing and kitesurfing are extremely popular on </w:t>
      </w:r>
      <w:r w:rsidR="00A07B74" w:rsidRPr="003C7CB1">
        <w:rPr>
          <w:sz w:val="24"/>
          <w:szCs w:val="24"/>
        </w:rPr>
        <w:t>Ada Bojana, as well as the Long</w:t>
      </w:r>
      <w:r w:rsidRPr="003C7CB1">
        <w:rPr>
          <w:sz w:val="24"/>
          <w:szCs w:val="24"/>
        </w:rPr>
        <w:t xml:space="preserve"> Beach in Ulcinj. A</w:t>
      </w:r>
      <w:r w:rsidR="00C65FFD">
        <w:rPr>
          <w:sz w:val="24"/>
          <w:szCs w:val="24"/>
        </w:rPr>
        <w:t>lso,</w:t>
      </w:r>
      <w:r w:rsidRPr="003C7CB1">
        <w:rPr>
          <w:sz w:val="24"/>
          <w:szCs w:val="24"/>
        </w:rPr>
        <w:t xml:space="preserve"> </w:t>
      </w:r>
      <w:proofErr w:type="spellStart"/>
      <w:r w:rsidR="00C65FFD">
        <w:rPr>
          <w:sz w:val="24"/>
          <w:szCs w:val="24"/>
        </w:rPr>
        <w:t>Skadar</w:t>
      </w:r>
      <w:proofErr w:type="spellEnd"/>
      <w:r w:rsidR="00C65FFD">
        <w:rPr>
          <w:sz w:val="24"/>
          <w:szCs w:val="24"/>
        </w:rPr>
        <w:t xml:space="preserve"> Lake</w:t>
      </w:r>
      <w:r w:rsidRPr="003C7CB1">
        <w:rPr>
          <w:sz w:val="24"/>
          <w:szCs w:val="24"/>
        </w:rPr>
        <w:t xml:space="preserve"> has the potential to develop the offer of this type of adventure tourism. In addition, diving is today one of the adventurous sports that is becoming increasingly popular worldwide. It belongs to extreme sports not only because of the conditions in which it takes place, but also because of the necessary psycho-physical complexity, equipment and risk that this type of tourist service has. Diving in the waters of Montenegro, provides exceptional experiences of the underwater landscape, caves and sunken both warships and ships that are purposely sunk. Diving as a special type of tourist offer in Montenegro will be further improved in the coming period, both through legal regulations and program documents</w:t>
      </w:r>
      <w:r w:rsidR="00176DC1" w:rsidRPr="003C7CB1">
        <w:rPr>
          <w:sz w:val="24"/>
          <w:szCs w:val="24"/>
        </w:rPr>
        <w:t>.</w:t>
      </w:r>
    </w:p>
    <w:p w14:paraId="7DC3A808" w14:textId="4651AAE1" w:rsidR="002D12BA" w:rsidRPr="003C7CB1" w:rsidRDefault="001A2722" w:rsidP="00E372B9">
      <w:pPr>
        <w:spacing w:after="120" w:line="240" w:lineRule="auto"/>
        <w:jc w:val="both"/>
        <w:rPr>
          <w:sz w:val="24"/>
          <w:szCs w:val="24"/>
        </w:rPr>
      </w:pPr>
      <w:r w:rsidRPr="003C7CB1">
        <w:rPr>
          <w:sz w:val="24"/>
          <w:szCs w:val="24"/>
        </w:rPr>
        <w:t>This type of tourism does not require significant investments, but mainly depends on a well-designed development strategy. Improvement and further development of the content of adventure tourism should serve as a means of building the image and recognition of Montenegro, which will have positive environmental and socio-economic effects and be a means to ensure the conservation and sustainable use of natural resources</w:t>
      </w:r>
      <w:r w:rsidR="00916096" w:rsidRPr="003C7CB1">
        <w:rPr>
          <w:sz w:val="24"/>
          <w:szCs w:val="24"/>
        </w:rPr>
        <w:t>.</w:t>
      </w:r>
    </w:p>
    <w:p w14:paraId="56122A79" w14:textId="717441C4" w:rsidR="001F34CF" w:rsidRPr="003C7CB1" w:rsidRDefault="001A2722" w:rsidP="001A2722">
      <w:pPr>
        <w:pStyle w:val="ListParagraph"/>
        <w:numPr>
          <w:ilvl w:val="0"/>
          <w:numId w:val="53"/>
        </w:numPr>
        <w:spacing w:after="120" w:line="240" w:lineRule="auto"/>
        <w:jc w:val="both"/>
        <w:rPr>
          <w:b/>
          <w:color w:val="2F5496" w:themeColor="accent1" w:themeShade="BF"/>
          <w:sz w:val="24"/>
          <w:szCs w:val="24"/>
        </w:rPr>
      </w:pPr>
      <w:r w:rsidRPr="003C7CB1">
        <w:rPr>
          <w:b/>
          <w:color w:val="2F5496" w:themeColor="accent1" w:themeShade="BF"/>
          <w:sz w:val="24"/>
          <w:szCs w:val="24"/>
        </w:rPr>
        <w:t>MICE tourism</w:t>
      </w:r>
    </w:p>
    <w:p w14:paraId="06ED2D3A" w14:textId="77777777" w:rsidR="00602DA2" w:rsidRPr="003C7CB1" w:rsidRDefault="00602DA2" w:rsidP="00602DA2">
      <w:pPr>
        <w:spacing w:after="120" w:line="240" w:lineRule="auto"/>
        <w:jc w:val="both"/>
        <w:rPr>
          <w:sz w:val="24"/>
          <w:szCs w:val="24"/>
        </w:rPr>
      </w:pPr>
      <w:r w:rsidRPr="003C7CB1">
        <w:rPr>
          <w:sz w:val="24"/>
          <w:szCs w:val="24"/>
        </w:rPr>
        <w:t>MICE is an acronym used to group four types of tourism - Meetings, Incentives, Conferences &amp; Exhibitions. MICE tourism is very popular among business people, because it leads to live interaction, which is still ahead of virtual communication, regardless of the great technological advances and circumstances imposed by the pandemic. It usually takes place in attractive tourist destinations, and in the post-COVID era, further potential for its development lies ahead.</w:t>
      </w:r>
    </w:p>
    <w:p w14:paraId="649FAE00" w14:textId="53ECB0A8" w:rsidR="00384AE5" w:rsidRPr="003C7CB1" w:rsidRDefault="00602DA2" w:rsidP="00602DA2">
      <w:pPr>
        <w:spacing w:after="120" w:line="240" w:lineRule="auto"/>
        <w:jc w:val="both"/>
        <w:rPr>
          <w:sz w:val="24"/>
          <w:szCs w:val="24"/>
        </w:rPr>
      </w:pPr>
      <w:r w:rsidRPr="003C7CB1">
        <w:rPr>
          <w:sz w:val="24"/>
          <w:szCs w:val="24"/>
        </w:rPr>
        <w:t>The size of the global MICE industry is estimated at $ 805 billion in 2017 and is estimated to reach $ 1.377.4 billion by 2028</w:t>
      </w:r>
      <w:r w:rsidR="00384AE5" w:rsidRPr="003C7CB1">
        <w:rPr>
          <w:sz w:val="24"/>
          <w:szCs w:val="24"/>
        </w:rPr>
        <w:t>.</w:t>
      </w:r>
      <w:r w:rsidR="00384AE5" w:rsidRPr="003C7CB1">
        <w:rPr>
          <w:rStyle w:val="FootnoteReference"/>
          <w:sz w:val="24"/>
          <w:szCs w:val="24"/>
        </w:rPr>
        <w:footnoteReference w:id="49"/>
      </w:r>
    </w:p>
    <w:p w14:paraId="5CE32006" w14:textId="4F03BFDC" w:rsidR="00933696" w:rsidRPr="003C7CB1" w:rsidRDefault="00602DA2" w:rsidP="00E372B9">
      <w:pPr>
        <w:spacing w:after="120" w:line="240" w:lineRule="auto"/>
        <w:jc w:val="both"/>
        <w:rPr>
          <w:sz w:val="24"/>
          <w:szCs w:val="24"/>
        </w:rPr>
      </w:pPr>
      <w:r w:rsidRPr="003C7CB1">
        <w:rPr>
          <w:sz w:val="24"/>
          <w:szCs w:val="24"/>
        </w:rPr>
        <w:t>In order to be a desirable destination for MICE, the country needs to develop according to international standards, especially when it comes to accommodation, but also to have quality and adequate access to infrastructure facilities and venues. This travel segment has been significantly affected by the COVID-19 pandemic, so business trips, meetings, conferences and forums have largely shifted from the concept of face-to-face to a number of online platforms</w:t>
      </w:r>
      <w:r w:rsidR="00FE7071" w:rsidRPr="003C7CB1">
        <w:rPr>
          <w:sz w:val="24"/>
          <w:szCs w:val="24"/>
        </w:rPr>
        <w:t xml:space="preserve">. </w:t>
      </w:r>
      <w:r w:rsidR="00824F28" w:rsidRPr="003C7CB1">
        <w:rPr>
          <w:sz w:val="24"/>
          <w:szCs w:val="24"/>
        </w:rPr>
        <w:t xml:space="preserve">Much could be said about the effectiveness of their </w:t>
      </w:r>
      <w:r w:rsidR="00594385" w:rsidRPr="003C7CB1">
        <w:rPr>
          <w:sz w:val="24"/>
          <w:szCs w:val="24"/>
        </w:rPr>
        <w:t>implementation</w:t>
      </w:r>
      <w:r w:rsidR="00824F28" w:rsidRPr="003C7CB1">
        <w:rPr>
          <w:sz w:val="24"/>
          <w:szCs w:val="24"/>
        </w:rPr>
        <w:t xml:space="preserve"> in this way, but the tendency to return to the old MICE forms is unquestionable</w:t>
      </w:r>
      <w:r w:rsidR="00FE7071" w:rsidRPr="003C7CB1">
        <w:rPr>
          <w:sz w:val="24"/>
          <w:szCs w:val="24"/>
        </w:rPr>
        <w:t>.</w:t>
      </w:r>
      <w:r w:rsidR="00500BD0" w:rsidRPr="003C7CB1">
        <w:rPr>
          <w:sz w:val="24"/>
          <w:szCs w:val="24"/>
        </w:rPr>
        <w:t xml:space="preserve"> </w:t>
      </w:r>
    </w:p>
    <w:p w14:paraId="105060D9" w14:textId="23B95EAF" w:rsidR="00500BD0" w:rsidRPr="003C7CB1" w:rsidRDefault="00594385" w:rsidP="002474C1">
      <w:pPr>
        <w:spacing w:after="120" w:line="240" w:lineRule="auto"/>
        <w:jc w:val="both"/>
        <w:rPr>
          <w:sz w:val="24"/>
          <w:szCs w:val="24"/>
        </w:rPr>
      </w:pPr>
      <w:r w:rsidRPr="003C7CB1">
        <w:rPr>
          <w:sz w:val="24"/>
          <w:szCs w:val="24"/>
        </w:rPr>
        <w:lastRenderedPageBreak/>
        <w:t>In Montenegro, there is potential for the development of this offer in all regions of the country. All hotel facilities that contain congress halls, smaller meeting rooms with the necessary technical support, have a predisposition for MICE tourism. With significant investments in this area, Montenegro could better position itself on the list of MICE destinations. In that sense, it is necessary to pay more attention to the improvement, reconstruction and construction of new facilities and spaces in the coming period, which would best suit the target clientele</w:t>
      </w:r>
      <w:r w:rsidR="00500BD0" w:rsidRPr="003C7CB1">
        <w:rPr>
          <w:sz w:val="24"/>
          <w:szCs w:val="24"/>
        </w:rPr>
        <w:t>.</w:t>
      </w:r>
      <w:r w:rsidR="00A871D9" w:rsidRPr="003C7CB1">
        <w:rPr>
          <w:sz w:val="24"/>
          <w:szCs w:val="24"/>
        </w:rPr>
        <w:t xml:space="preserve"> </w:t>
      </w:r>
    </w:p>
    <w:p w14:paraId="76A01010" w14:textId="0C48A76A" w:rsidR="00964692" w:rsidRPr="003C7CB1" w:rsidRDefault="00594385" w:rsidP="002474C1">
      <w:pPr>
        <w:spacing w:after="120" w:line="240" w:lineRule="auto"/>
        <w:jc w:val="both"/>
        <w:rPr>
          <w:sz w:val="24"/>
          <w:szCs w:val="24"/>
        </w:rPr>
      </w:pPr>
      <w:r w:rsidRPr="003C7CB1">
        <w:rPr>
          <w:sz w:val="24"/>
          <w:szCs w:val="24"/>
        </w:rPr>
        <w:t>The importance of this segment of tourism is evidenced by the fact that the world's leading MICE destinations (Barcelona, Berlin, Copenhagen, Paris, Vienna, etc.) treat it not only as a subfield of tourism, but recognize it as one of the most important drivers of economic development strategy</w:t>
      </w:r>
      <w:r w:rsidR="006B0D77">
        <w:rPr>
          <w:rStyle w:val="FootnoteReference"/>
          <w:sz w:val="24"/>
          <w:szCs w:val="24"/>
        </w:rPr>
        <w:footnoteReference w:id="50"/>
      </w:r>
      <w:r w:rsidRPr="003C7CB1">
        <w:rPr>
          <w:sz w:val="24"/>
          <w:szCs w:val="24"/>
        </w:rPr>
        <w:t xml:space="preserve">. What is characteristic of all MICE destinations is a good geographical position, </w:t>
      </w:r>
      <w:r w:rsidR="005E3F22" w:rsidRPr="003C7CB1">
        <w:rPr>
          <w:sz w:val="24"/>
          <w:szCs w:val="24"/>
        </w:rPr>
        <w:t>good traffic connections both internationally and nationally</w:t>
      </w:r>
      <w:r w:rsidRPr="003C7CB1">
        <w:rPr>
          <w:sz w:val="24"/>
          <w:szCs w:val="24"/>
        </w:rPr>
        <w:t>, a diverse offer of high quality hotels and restaurants and a variety of cultural facilities</w:t>
      </w:r>
      <w:r w:rsidR="005325B4" w:rsidRPr="003C7CB1">
        <w:rPr>
          <w:sz w:val="24"/>
          <w:szCs w:val="24"/>
        </w:rPr>
        <w:t xml:space="preserve">.  </w:t>
      </w:r>
    </w:p>
    <w:p w14:paraId="71430485" w14:textId="02A7C7C9" w:rsidR="005733CA" w:rsidRPr="003C7CB1" w:rsidRDefault="005E3F22" w:rsidP="005E3F22">
      <w:pPr>
        <w:pStyle w:val="ListParagraph"/>
        <w:numPr>
          <w:ilvl w:val="0"/>
          <w:numId w:val="67"/>
        </w:numPr>
        <w:spacing w:after="120" w:line="240" w:lineRule="auto"/>
        <w:jc w:val="both"/>
        <w:rPr>
          <w:b/>
          <w:color w:val="2F5496" w:themeColor="accent1" w:themeShade="BF"/>
          <w:sz w:val="24"/>
          <w:szCs w:val="24"/>
        </w:rPr>
      </w:pPr>
      <w:r w:rsidRPr="003C7CB1">
        <w:rPr>
          <w:b/>
          <w:color w:val="2F5496" w:themeColor="accent1" w:themeShade="BF"/>
          <w:sz w:val="24"/>
          <w:szCs w:val="24"/>
        </w:rPr>
        <w:t>Event tourism</w:t>
      </w:r>
    </w:p>
    <w:p w14:paraId="03A55DFF" w14:textId="7DC6D94D" w:rsidR="00630069" w:rsidRPr="003C7CB1" w:rsidRDefault="00630069" w:rsidP="00630069">
      <w:pPr>
        <w:spacing w:after="120" w:line="240" w:lineRule="auto"/>
        <w:jc w:val="both"/>
        <w:rPr>
          <w:rFonts w:cstheme="minorHAnsi"/>
          <w:sz w:val="24"/>
          <w:szCs w:val="24"/>
        </w:rPr>
      </w:pPr>
      <w:r w:rsidRPr="003C7CB1">
        <w:rPr>
          <w:rFonts w:cstheme="minorHAnsi"/>
          <w:sz w:val="24"/>
          <w:szCs w:val="24"/>
        </w:rPr>
        <w:t>Event tourism is one of the aspects of tourist movements. There are different forms of events, depending on whether they are based on culture, sports and recreational activities, ethnographic and historical or religious content, and the promotion of local gastronomy or tradition.</w:t>
      </w:r>
    </w:p>
    <w:p w14:paraId="7A13C518" w14:textId="727565D1" w:rsidR="00630069" w:rsidRPr="003C7CB1" w:rsidRDefault="00DD57E2" w:rsidP="00630069">
      <w:pPr>
        <w:spacing w:after="120" w:line="240" w:lineRule="auto"/>
        <w:jc w:val="both"/>
        <w:rPr>
          <w:rFonts w:cstheme="minorHAnsi"/>
          <w:sz w:val="24"/>
          <w:szCs w:val="24"/>
        </w:rPr>
      </w:pPr>
      <w:r w:rsidRPr="003C7CB1">
        <w:rPr>
          <w:rFonts w:cstheme="minorHAnsi"/>
          <w:sz w:val="24"/>
          <w:szCs w:val="24"/>
        </w:rPr>
        <w:t>Events</w:t>
      </w:r>
      <w:r w:rsidR="00630069" w:rsidRPr="003C7CB1">
        <w:rPr>
          <w:rFonts w:cstheme="minorHAnsi"/>
          <w:sz w:val="24"/>
          <w:szCs w:val="24"/>
        </w:rPr>
        <w:t xml:space="preserve"> are used in an effort to attract more tourists to the local </w:t>
      </w:r>
      <w:r w:rsidRPr="003C7CB1">
        <w:rPr>
          <w:rFonts w:cstheme="minorHAnsi"/>
          <w:sz w:val="24"/>
          <w:szCs w:val="24"/>
        </w:rPr>
        <w:t>area</w:t>
      </w:r>
      <w:r w:rsidR="00630069" w:rsidRPr="003C7CB1">
        <w:rPr>
          <w:rFonts w:cstheme="minorHAnsi"/>
          <w:sz w:val="24"/>
          <w:szCs w:val="24"/>
        </w:rPr>
        <w:t>, thus generating more revenue, so if organized in the right way, they can be a driver of the entire tourism industry and a stimulus to the local community.</w:t>
      </w:r>
    </w:p>
    <w:p w14:paraId="4F890EF6" w14:textId="640F7C96" w:rsidR="006E258C" w:rsidRPr="003C7CB1" w:rsidRDefault="00630069" w:rsidP="00630069">
      <w:pPr>
        <w:spacing w:after="120" w:line="240" w:lineRule="auto"/>
        <w:jc w:val="both"/>
        <w:rPr>
          <w:rFonts w:cstheme="minorHAnsi"/>
          <w:sz w:val="24"/>
          <w:szCs w:val="24"/>
        </w:rPr>
      </w:pPr>
      <w:r w:rsidRPr="003C7CB1">
        <w:rPr>
          <w:rFonts w:cstheme="minorHAnsi"/>
          <w:sz w:val="24"/>
          <w:szCs w:val="24"/>
        </w:rPr>
        <w:t>An important role in their organization and implementation have local tourism organizations, but also cultural, educational, sports, scientific and other institutions and organizations in an effort to organize quality, massively attended events of various conten</w:t>
      </w:r>
      <w:r w:rsidR="00DD57E2" w:rsidRPr="003C7CB1">
        <w:rPr>
          <w:rFonts w:cstheme="minorHAnsi"/>
          <w:sz w:val="24"/>
          <w:szCs w:val="24"/>
        </w:rPr>
        <w:t>ts, improving the image of the area</w:t>
      </w:r>
      <w:r w:rsidR="006E258C" w:rsidRPr="003C7CB1">
        <w:rPr>
          <w:rFonts w:eastAsia="Times New Roman" w:cstheme="minorHAnsi"/>
          <w:sz w:val="24"/>
          <w:szCs w:val="24"/>
        </w:rPr>
        <w:t xml:space="preserve">.  </w:t>
      </w:r>
    </w:p>
    <w:p w14:paraId="5F72C6CE" w14:textId="397FF1DD" w:rsidR="00DD57E2" w:rsidRPr="003C7CB1" w:rsidRDefault="00DD57E2" w:rsidP="00DD57E2">
      <w:pPr>
        <w:tabs>
          <w:tab w:val="left" w:pos="1476"/>
        </w:tabs>
        <w:spacing w:after="120" w:line="240" w:lineRule="auto"/>
        <w:jc w:val="both"/>
        <w:rPr>
          <w:rFonts w:cstheme="minorHAnsi"/>
          <w:sz w:val="24"/>
          <w:szCs w:val="24"/>
        </w:rPr>
      </w:pPr>
      <w:r w:rsidRPr="003C7CB1">
        <w:rPr>
          <w:rFonts w:cstheme="minorHAnsi"/>
          <w:sz w:val="24"/>
          <w:szCs w:val="24"/>
        </w:rPr>
        <w:t>A positive feature of event tourism is that it is not tied exclusively to a season like some other types of tourism, and is therefore a great mechanism for encouraging touris</w:t>
      </w:r>
      <w:r w:rsidR="00F0564D">
        <w:rPr>
          <w:rFonts w:cstheme="minorHAnsi"/>
          <w:sz w:val="24"/>
          <w:szCs w:val="24"/>
        </w:rPr>
        <w:t>m turnover</w:t>
      </w:r>
      <w:r w:rsidRPr="003C7CB1">
        <w:rPr>
          <w:rFonts w:cstheme="minorHAnsi"/>
          <w:sz w:val="24"/>
          <w:szCs w:val="24"/>
        </w:rPr>
        <w:t xml:space="preserve"> outside the so-called peak season.</w:t>
      </w:r>
      <w:r w:rsidR="00765B94">
        <w:rPr>
          <w:rFonts w:cs="Arial"/>
          <w:sz w:val="24"/>
          <w:szCs w:val="24"/>
        </w:rPr>
        <w:t xml:space="preserve">                                                                                                   </w:t>
      </w:r>
    </w:p>
    <w:p w14:paraId="2E4FB7AA" w14:textId="5141ABFE" w:rsidR="006E258C" w:rsidRPr="003C7CB1" w:rsidRDefault="00DD57E2" w:rsidP="00DD57E2">
      <w:pPr>
        <w:tabs>
          <w:tab w:val="left" w:pos="1476"/>
        </w:tabs>
        <w:spacing w:after="120" w:line="240" w:lineRule="auto"/>
        <w:jc w:val="both"/>
        <w:rPr>
          <w:rFonts w:cstheme="minorHAnsi"/>
          <w:sz w:val="24"/>
          <w:szCs w:val="24"/>
        </w:rPr>
      </w:pPr>
      <w:r w:rsidRPr="003C7CB1">
        <w:rPr>
          <w:rFonts w:cstheme="minorHAnsi"/>
          <w:sz w:val="24"/>
          <w:szCs w:val="24"/>
        </w:rPr>
        <w:t>The events also serve as a great opportunity for small local producers of food, drinks, souvenirs, etc. to present their products to a larger number of people. For tourists and locals on the other hand, the events are an opportunity to participate in some kind of local festival, to taste food and drink and buy local products</w:t>
      </w:r>
      <w:r w:rsidR="006E258C" w:rsidRPr="003C7CB1">
        <w:rPr>
          <w:rFonts w:cstheme="minorHAnsi"/>
          <w:sz w:val="24"/>
          <w:szCs w:val="24"/>
        </w:rPr>
        <w:t>.</w:t>
      </w:r>
    </w:p>
    <w:p w14:paraId="75952E98" w14:textId="71CA23BA" w:rsidR="001F34CF" w:rsidRPr="003C7CB1" w:rsidRDefault="00DD57E2" w:rsidP="00DD57E2">
      <w:pPr>
        <w:pStyle w:val="ListParagraph"/>
        <w:numPr>
          <w:ilvl w:val="0"/>
          <w:numId w:val="53"/>
        </w:numPr>
        <w:spacing w:after="120" w:line="240" w:lineRule="auto"/>
        <w:jc w:val="both"/>
        <w:rPr>
          <w:b/>
          <w:color w:val="2F5496" w:themeColor="accent1" w:themeShade="BF"/>
          <w:sz w:val="24"/>
          <w:szCs w:val="24"/>
        </w:rPr>
      </w:pPr>
      <w:r w:rsidRPr="003C7CB1">
        <w:rPr>
          <w:b/>
          <w:color w:val="2F5496" w:themeColor="accent1" w:themeShade="BF"/>
          <w:sz w:val="24"/>
          <w:szCs w:val="24"/>
        </w:rPr>
        <w:t>Camping and glamping tourism</w:t>
      </w:r>
    </w:p>
    <w:p w14:paraId="772975ED" w14:textId="3A212E91" w:rsidR="004A44F8" w:rsidRPr="003C7CB1" w:rsidRDefault="00DD57E2" w:rsidP="00E372B9">
      <w:pPr>
        <w:spacing w:after="120" w:line="240" w:lineRule="auto"/>
        <w:jc w:val="both"/>
        <w:rPr>
          <w:sz w:val="24"/>
          <w:szCs w:val="24"/>
        </w:rPr>
      </w:pPr>
      <w:r w:rsidRPr="003C7CB1">
        <w:rPr>
          <w:sz w:val="24"/>
          <w:szCs w:val="24"/>
        </w:rPr>
        <w:t xml:space="preserve">Camping, and especially camping with a "mobile-home" vehicle, is one of the most favored types of vacation in almost all European markets. Every year, tens of millions of Germans, French, British, Dutch and Scandinavians go on this increasingly popular type of vacation. Contrary to prejudices, this type of vacation close to nature is not reserved for low-paying tourists, given the market prices of mobile-home vehicles, caravans, tents and other necessary equipment. On the other hand, tourists who love camping, as a form of sustainable tourism, are not demanding and the construction of camps does not require large </w:t>
      </w:r>
      <w:r w:rsidRPr="003C7CB1">
        <w:rPr>
          <w:sz w:val="24"/>
          <w:szCs w:val="24"/>
        </w:rPr>
        <w:lastRenderedPageBreak/>
        <w:t>investments and gives fast results, in terms of achieving economic benefits. They are demanding only in terms of the hygienic-sanitary and infrastructural standards that are implied</w:t>
      </w:r>
      <w:r w:rsidR="00A477BE" w:rsidRPr="003C7CB1">
        <w:rPr>
          <w:sz w:val="24"/>
          <w:szCs w:val="24"/>
        </w:rPr>
        <w:t>.</w:t>
      </w:r>
    </w:p>
    <w:p w14:paraId="0C9DF6EB" w14:textId="02F4705F" w:rsidR="004F7DA1" w:rsidRPr="003C7CB1" w:rsidRDefault="00D05B1E" w:rsidP="00E372B9">
      <w:pPr>
        <w:spacing w:after="120" w:line="240" w:lineRule="auto"/>
        <w:jc w:val="both"/>
        <w:rPr>
          <w:sz w:val="24"/>
          <w:szCs w:val="24"/>
        </w:rPr>
      </w:pPr>
      <w:r w:rsidRPr="003C7CB1">
        <w:rPr>
          <w:sz w:val="24"/>
          <w:szCs w:val="24"/>
        </w:rPr>
        <w:t>According to EUROSTAT</w:t>
      </w:r>
      <w:r w:rsidR="004F7DA1" w:rsidRPr="003C7CB1">
        <w:rPr>
          <w:rStyle w:val="FootnoteReference"/>
          <w:sz w:val="24"/>
          <w:szCs w:val="24"/>
        </w:rPr>
        <w:footnoteReference w:id="51"/>
      </w:r>
      <w:r w:rsidR="004F7DA1" w:rsidRPr="003C7CB1">
        <w:rPr>
          <w:sz w:val="24"/>
          <w:szCs w:val="24"/>
        </w:rPr>
        <w:t xml:space="preserve"> (</w:t>
      </w:r>
      <w:r w:rsidRPr="003C7CB1">
        <w:rPr>
          <w:sz w:val="24"/>
          <w:szCs w:val="24"/>
        </w:rPr>
        <w:t>Statistical Office of the European Union), in 2018, there were 23,200 registered campsites in Europe. Most of them were located in rural areas (68%) or cities and suburbs (26%), while 6% of campsites were located in cities. Visitors made a total of 352 million overnight stays in EU campsites in the same year, accounting for 13% of all overnight stays in tourist accommodation within the EU. These data clearly indicate the stability and development potential of this tourist offer</w:t>
      </w:r>
      <w:r w:rsidR="004F7DA1" w:rsidRPr="003C7CB1">
        <w:rPr>
          <w:sz w:val="24"/>
          <w:szCs w:val="24"/>
        </w:rPr>
        <w:t>.</w:t>
      </w:r>
    </w:p>
    <w:p w14:paraId="2316458D" w14:textId="10DA35C6" w:rsidR="00A40AF5" w:rsidRPr="003C7CB1" w:rsidRDefault="00D05B1E" w:rsidP="00E372B9">
      <w:pPr>
        <w:spacing w:after="120" w:line="240" w:lineRule="auto"/>
        <w:jc w:val="both"/>
        <w:rPr>
          <w:sz w:val="24"/>
          <w:szCs w:val="24"/>
        </w:rPr>
      </w:pPr>
      <w:r w:rsidRPr="003C7CB1">
        <w:rPr>
          <w:sz w:val="24"/>
          <w:szCs w:val="24"/>
        </w:rPr>
        <w:t xml:space="preserve">The main motives of campers to choose Montenegro as a destination for rest and entertainment are undoubtedly the specific experience of untouched nature, picturesque landscapes, protected natural resources, natural sandy beaches, numerous glacial lakes and mountain peaks, rich biodiversity, etc. In this regard, Montenegro has all the predispositions for the development of this tourist offer and the conditions to be a famous camping destination. In the coming period, it is necessary to undertake all necessary activities for the affirmation and development of campsites in Montenegro, </w:t>
      </w:r>
      <w:r w:rsidR="00861D69" w:rsidRPr="003C7CB1">
        <w:rPr>
          <w:sz w:val="24"/>
          <w:szCs w:val="24"/>
        </w:rPr>
        <w:t>i.e.</w:t>
      </w:r>
      <w:r w:rsidRPr="003C7CB1">
        <w:rPr>
          <w:sz w:val="24"/>
          <w:szCs w:val="24"/>
        </w:rPr>
        <w:t xml:space="preserve"> to enable a more serious positioning of our country as a destination with a positive trend of developing high quality campsites, which will meet all requirements of modern campers</w:t>
      </w:r>
      <w:r w:rsidR="005F6909" w:rsidRPr="003C7CB1">
        <w:rPr>
          <w:sz w:val="24"/>
          <w:szCs w:val="24"/>
        </w:rPr>
        <w:t xml:space="preserve">.  </w:t>
      </w:r>
    </w:p>
    <w:p w14:paraId="28770432" w14:textId="22327F68" w:rsidR="004A44F8" w:rsidRPr="003C7CB1" w:rsidRDefault="00D05B1E" w:rsidP="00D05B1E">
      <w:pPr>
        <w:spacing w:after="120" w:line="240" w:lineRule="auto"/>
        <w:jc w:val="both"/>
        <w:rPr>
          <w:sz w:val="24"/>
          <w:szCs w:val="24"/>
        </w:rPr>
      </w:pPr>
      <w:r w:rsidRPr="003C7CB1">
        <w:rPr>
          <w:sz w:val="24"/>
          <w:szCs w:val="24"/>
        </w:rPr>
        <w:t xml:space="preserve">The legal basis for the development of campsites is defined by the Law on Tourism and Hospitality, as well as </w:t>
      </w:r>
      <w:r w:rsidR="00861D69" w:rsidRPr="003C7CB1">
        <w:rPr>
          <w:sz w:val="24"/>
          <w:szCs w:val="24"/>
        </w:rPr>
        <w:t>the Rulebook</w:t>
      </w:r>
      <w:r w:rsidRPr="003C7CB1">
        <w:rPr>
          <w:sz w:val="24"/>
          <w:szCs w:val="24"/>
        </w:rPr>
        <w:t xml:space="preserve"> on Classification, Minimal Technical Conditions and Categorization of Camps. Currently, there are 19 camps</w:t>
      </w:r>
      <w:r w:rsidR="007A4E33" w:rsidRPr="003C7CB1">
        <w:rPr>
          <w:sz w:val="24"/>
          <w:szCs w:val="24"/>
        </w:rPr>
        <w:t>ites</w:t>
      </w:r>
      <w:r w:rsidRPr="003C7CB1">
        <w:rPr>
          <w:sz w:val="24"/>
          <w:szCs w:val="24"/>
        </w:rPr>
        <w:t xml:space="preserve"> in Montenegro that have an approval for performing activities issued by the competent Ministry</w:t>
      </w:r>
      <w:r w:rsidR="00A40AF5" w:rsidRPr="003C7CB1">
        <w:rPr>
          <w:sz w:val="24"/>
          <w:szCs w:val="24"/>
        </w:rPr>
        <w:t>.</w:t>
      </w:r>
    </w:p>
    <w:p w14:paraId="78E8C10F" w14:textId="4A4201CC" w:rsidR="004A44F8" w:rsidRPr="003C7CB1" w:rsidRDefault="007A4E33" w:rsidP="00E372B9">
      <w:pPr>
        <w:spacing w:after="120" w:line="240" w:lineRule="auto"/>
        <w:jc w:val="both"/>
        <w:rPr>
          <w:sz w:val="24"/>
          <w:szCs w:val="24"/>
        </w:rPr>
      </w:pPr>
      <w:r w:rsidRPr="003C7CB1">
        <w:rPr>
          <w:b/>
          <w:sz w:val="24"/>
          <w:szCs w:val="24"/>
        </w:rPr>
        <w:t>Glamping</w:t>
      </w:r>
      <w:r w:rsidRPr="003C7CB1">
        <w:rPr>
          <w:sz w:val="24"/>
          <w:szCs w:val="24"/>
        </w:rPr>
        <w:t>, also known as luxury or glamorous camping, unlike traditional camping is an active vacation that allows tourists to enjoy nature and accommodation that provides high quality service. In fact, glamping has become especially popular in recent years among tourists looking for the luxury of five-star hotel accommodation, but in conditions that could be described as camping in nature. At a time of mass tourism, which is causing multiple damage to many tourist destinations and historic sites around the world, more and more people are embracing this ecological concept of travel. The COVID-19 pandemic has increased the development aspects of this segment of tourism</w:t>
      </w:r>
      <w:r w:rsidR="000A6067" w:rsidRPr="003C7CB1">
        <w:rPr>
          <w:sz w:val="24"/>
          <w:szCs w:val="24"/>
        </w:rPr>
        <w:t>.</w:t>
      </w:r>
    </w:p>
    <w:p w14:paraId="32B87667" w14:textId="77777777" w:rsidR="00B65803" w:rsidRPr="003C7CB1" w:rsidRDefault="00B65803" w:rsidP="00B65803">
      <w:pPr>
        <w:spacing w:after="120" w:line="240" w:lineRule="auto"/>
        <w:jc w:val="both"/>
        <w:rPr>
          <w:sz w:val="24"/>
          <w:szCs w:val="24"/>
        </w:rPr>
      </w:pPr>
      <w:r w:rsidRPr="003C7CB1">
        <w:rPr>
          <w:sz w:val="24"/>
          <w:szCs w:val="24"/>
        </w:rPr>
        <w:t>Recently, a more glamorous type of camping has appeared, which is called "glamping" and means accommodation more luxurious than those of traditional camping.</w:t>
      </w:r>
    </w:p>
    <w:p w14:paraId="78D0129E" w14:textId="730C9742" w:rsidR="00663756" w:rsidRDefault="00B65803" w:rsidP="00B65803">
      <w:pPr>
        <w:spacing w:after="120" w:line="240" w:lineRule="auto"/>
        <w:jc w:val="both"/>
        <w:rPr>
          <w:sz w:val="24"/>
          <w:szCs w:val="24"/>
        </w:rPr>
      </w:pPr>
      <w:r w:rsidRPr="003C7CB1">
        <w:rPr>
          <w:sz w:val="24"/>
          <w:szCs w:val="24"/>
        </w:rPr>
        <w:t xml:space="preserve">The three main differences between camping and luxury camping are in terms of: electrical connection, private toilet, kitchen and separate room, availability of </w:t>
      </w:r>
      <w:r w:rsidR="00861D69" w:rsidRPr="003C7CB1">
        <w:rPr>
          <w:sz w:val="24"/>
          <w:szCs w:val="24"/>
        </w:rPr>
        <w:t>Wi-Fi</w:t>
      </w:r>
      <w:r w:rsidRPr="003C7CB1">
        <w:rPr>
          <w:sz w:val="24"/>
          <w:szCs w:val="24"/>
        </w:rPr>
        <w:t>, accompanying technical equipment that makes the stay more comfortable, but also the fact that in the first case the costs of the stay are much lower, but also the comfort itself</w:t>
      </w:r>
      <w:r w:rsidR="00663756" w:rsidRPr="003C7CB1">
        <w:rPr>
          <w:sz w:val="24"/>
          <w:szCs w:val="24"/>
        </w:rPr>
        <w:t>.</w:t>
      </w:r>
      <w:r w:rsidR="00663756" w:rsidRPr="003C7CB1">
        <w:rPr>
          <w:rStyle w:val="FootnoteReference"/>
          <w:sz w:val="24"/>
          <w:szCs w:val="24"/>
        </w:rPr>
        <w:footnoteReference w:id="52"/>
      </w:r>
    </w:p>
    <w:p w14:paraId="4513B523" w14:textId="0A1CFD76" w:rsidR="00E46BEF" w:rsidRDefault="00E46BEF" w:rsidP="00B65803">
      <w:pPr>
        <w:spacing w:after="120" w:line="240" w:lineRule="auto"/>
        <w:jc w:val="both"/>
        <w:rPr>
          <w:sz w:val="24"/>
          <w:szCs w:val="24"/>
        </w:rPr>
      </w:pPr>
    </w:p>
    <w:p w14:paraId="1534455A" w14:textId="77777777" w:rsidR="00E46BEF" w:rsidRPr="003C7CB1" w:rsidRDefault="00E46BEF" w:rsidP="00B65803">
      <w:pPr>
        <w:spacing w:after="120" w:line="240" w:lineRule="auto"/>
        <w:jc w:val="both"/>
        <w:rPr>
          <w:sz w:val="24"/>
          <w:szCs w:val="24"/>
        </w:rPr>
      </w:pPr>
    </w:p>
    <w:p w14:paraId="61674204" w14:textId="5084E4C4" w:rsidR="002E3377" w:rsidRPr="003C7CB1" w:rsidRDefault="00B65803" w:rsidP="00B65803">
      <w:pPr>
        <w:pStyle w:val="ListParagraph"/>
        <w:numPr>
          <w:ilvl w:val="0"/>
          <w:numId w:val="53"/>
        </w:numPr>
        <w:spacing w:after="120" w:line="240" w:lineRule="auto"/>
        <w:jc w:val="both"/>
        <w:rPr>
          <w:b/>
          <w:color w:val="2F5496" w:themeColor="accent1" w:themeShade="BF"/>
          <w:sz w:val="24"/>
          <w:szCs w:val="24"/>
        </w:rPr>
      </w:pPr>
      <w:r w:rsidRPr="003C7CB1">
        <w:rPr>
          <w:b/>
          <w:color w:val="2F5496" w:themeColor="accent1" w:themeShade="BF"/>
          <w:sz w:val="24"/>
          <w:szCs w:val="24"/>
        </w:rPr>
        <w:t>Eno-gastro tourism</w:t>
      </w:r>
    </w:p>
    <w:bookmarkEnd w:id="231"/>
    <w:p w14:paraId="515C6ECA" w14:textId="6FE27EB5" w:rsidR="000D1B98" w:rsidRPr="003C7CB1" w:rsidRDefault="00B65803" w:rsidP="00E372B9">
      <w:pPr>
        <w:spacing w:after="120" w:line="240" w:lineRule="auto"/>
        <w:jc w:val="both"/>
        <w:rPr>
          <w:rFonts w:cstheme="minorHAnsi"/>
          <w:sz w:val="24"/>
          <w:szCs w:val="24"/>
        </w:rPr>
      </w:pPr>
      <w:r w:rsidRPr="003C7CB1">
        <w:rPr>
          <w:rFonts w:cstheme="minorHAnsi"/>
          <w:sz w:val="24"/>
          <w:szCs w:val="24"/>
        </w:rPr>
        <w:lastRenderedPageBreak/>
        <w:t>The modern tourist is constantly looking for authentic and unique experiences when visiting a particular tourist destination. Getting to know and consuming local food and wine creates a special experience for tourists that connects them and introduces them to the culture of the local population. Eno-gastro tourism represents the travel and stay of tourists in a destination with a dominant motive of enjoying gastronomic specialties and wines of a particular area</w:t>
      </w:r>
      <w:r w:rsidR="000D1B98" w:rsidRPr="003C7CB1">
        <w:rPr>
          <w:rFonts w:cstheme="minorHAnsi"/>
          <w:sz w:val="24"/>
          <w:szCs w:val="24"/>
        </w:rPr>
        <w:t>.</w:t>
      </w:r>
    </w:p>
    <w:p w14:paraId="50688662" w14:textId="55844C58" w:rsidR="00B65803" w:rsidRPr="003C7CB1" w:rsidRDefault="00B65803" w:rsidP="00B65803">
      <w:pPr>
        <w:spacing w:after="120" w:line="240" w:lineRule="auto"/>
        <w:jc w:val="both"/>
        <w:rPr>
          <w:sz w:val="24"/>
          <w:szCs w:val="24"/>
        </w:rPr>
      </w:pPr>
      <w:r w:rsidRPr="003C7CB1">
        <w:rPr>
          <w:sz w:val="24"/>
          <w:szCs w:val="24"/>
        </w:rPr>
        <w:t>Thanks to the interest in gastronomy and food and beverage culture of various countries and regions, cul</w:t>
      </w:r>
      <w:r w:rsidR="00797C69" w:rsidRPr="003C7CB1">
        <w:rPr>
          <w:sz w:val="24"/>
          <w:szCs w:val="24"/>
        </w:rPr>
        <w:t xml:space="preserve">inary and </w:t>
      </w:r>
      <w:r w:rsidRPr="003C7CB1">
        <w:rPr>
          <w:sz w:val="24"/>
          <w:szCs w:val="24"/>
        </w:rPr>
        <w:t xml:space="preserve">enological trips are becoming more and more popular all over </w:t>
      </w:r>
      <w:r w:rsidR="00797C69" w:rsidRPr="003C7CB1">
        <w:rPr>
          <w:sz w:val="24"/>
          <w:szCs w:val="24"/>
        </w:rPr>
        <w:t xml:space="preserve">the world, and gastronomic and </w:t>
      </w:r>
      <w:r w:rsidRPr="003C7CB1">
        <w:rPr>
          <w:sz w:val="24"/>
          <w:szCs w:val="24"/>
        </w:rPr>
        <w:t>enological tourism is slowly becoming a separate product within tourism. However, due to the fact that many destinations have this type of offer, so tourists have become more demanding, the challenge is greater in terms of creating authentic products.</w:t>
      </w:r>
      <w:r w:rsidR="00765B94">
        <w:rPr>
          <w:rFonts w:cs="Arial"/>
          <w:sz w:val="24"/>
          <w:szCs w:val="24"/>
        </w:rPr>
        <w:t xml:space="preserve">                                                                                                   </w:t>
      </w:r>
    </w:p>
    <w:p w14:paraId="138C0194" w14:textId="7634A3F5" w:rsidR="009F0B24" w:rsidRPr="003C7CB1" w:rsidRDefault="00B65803" w:rsidP="00B65803">
      <w:pPr>
        <w:spacing w:after="120" w:line="240" w:lineRule="auto"/>
        <w:jc w:val="both"/>
        <w:rPr>
          <w:rFonts w:cstheme="minorHAnsi"/>
          <w:sz w:val="24"/>
          <w:szCs w:val="24"/>
        </w:rPr>
      </w:pPr>
      <w:r w:rsidRPr="003C7CB1">
        <w:rPr>
          <w:sz w:val="24"/>
          <w:szCs w:val="24"/>
        </w:rPr>
        <w:t xml:space="preserve">UNWTO perceives </w:t>
      </w:r>
      <w:proofErr w:type="spellStart"/>
      <w:r w:rsidRPr="003C7CB1">
        <w:rPr>
          <w:sz w:val="24"/>
          <w:szCs w:val="24"/>
        </w:rPr>
        <w:t>eno</w:t>
      </w:r>
      <w:proofErr w:type="spellEnd"/>
      <w:r w:rsidRPr="003C7CB1">
        <w:rPr>
          <w:sz w:val="24"/>
          <w:szCs w:val="24"/>
        </w:rPr>
        <w:t>-gastro tourism as very important for tourism as</w:t>
      </w:r>
      <w:r w:rsidR="00797C69" w:rsidRPr="003C7CB1">
        <w:rPr>
          <w:sz w:val="24"/>
          <w:szCs w:val="24"/>
        </w:rPr>
        <w:t xml:space="preserve"> a whole, so in 2015 the UNWTO Gastronomy N</w:t>
      </w:r>
      <w:r w:rsidRPr="003C7CB1">
        <w:rPr>
          <w:sz w:val="24"/>
          <w:szCs w:val="24"/>
        </w:rPr>
        <w:t>etwork was created, and at the same time this organization is the co-organizer of six global conferences on wine tourism held so far</w:t>
      </w:r>
      <w:r w:rsidR="009F0B24" w:rsidRPr="003C7CB1">
        <w:rPr>
          <w:rFonts w:cstheme="minorHAnsi"/>
          <w:sz w:val="24"/>
          <w:szCs w:val="24"/>
        </w:rPr>
        <w:t xml:space="preserve">. </w:t>
      </w:r>
    </w:p>
    <w:p w14:paraId="7D253A1E" w14:textId="43844ADB" w:rsidR="005870F5" w:rsidRPr="003C7CB1" w:rsidRDefault="00797C69" w:rsidP="00E372B9">
      <w:pPr>
        <w:spacing w:after="120" w:line="240" w:lineRule="auto"/>
        <w:jc w:val="both"/>
        <w:rPr>
          <w:rFonts w:cstheme="minorHAnsi"/>
          <w:sz w:val="24"/>
          <w:szCs w:val="24"/>
        </w:rPr>
      </w:pPr>
      <w:r w:rsidRPr="003C7CB1">
        <w:rPr>
          <w:sz w:val="24"/>
          <w:szCs w:val="24"/>
        </w:rPr>
        <w:t>The Sixth UNWTO World Forum on Gastronomy Tourism</w:t>
      </w:r>
      <w:r w:rsidR="007A091A" w:rsidRPr="003C7CB1">
        <w:rPr>
          <w:rStyle w:val="FootnoteReference"/>
          <w:sz w:val="24"/>
          <w:szCs w:val="24"/>
        </w:rPr>
        <w:footnoteReference w:id="53"/>
      </w:r>
      <w:r w:rsidR="005870F5" w:rsidRPr="003C7CB1">
        <w:rPr>
          <w:sz w:val="24"/>
          <w:szCs w:val="24"/>
        </w:rPr>
        <w:t xml:space="preserve"> </w:t>
      </w:r>
      <w:r w:rsidRPr="003C7CB1">
        <w:rPr>
          <w:sz w:val="24"/>
          <w:szCs w:val="24"/>
        </w:rPr>
        <w:t>said that gastronomic tourism gives vitality to rural communities, supports small, local food producers and strengthens their market position. According to the 2016 UNWTO Survey on Gastronomy Tourism</w:t>
      </w:r>
      <w:r w:rsidR="005870F5" w:rsidRPr="003C7CB1">
        <w:rPr>
          <w:rStyle w:val="FootnoteReference"/>
          <w:rFonts w:cstheme="minorHAnsi"/>
          <w:sz w:val="24"/>
          <w:szCs w:val="24"/>
        </w:rPr>
        <w:footnoteReference w:id="54"/>
      </w:r>
      <w:r w:rsidR="005870F5" w:rsidRPr="003C7CB1">
        <w:rPr>
          <w:rFonts w:cstheme="minorHAnsi"/>
          <w:sz w:val="24"/>
          <w:szCs w:val="24"/>
        </w:rPr>
        <w:t>,</w:t>
      </w:r>
      <w:r w:rsidR="007A091A" w:rsidRPr="003C7CB1">
        <w:rPr>
          <w:rFonts w:cstheme="minorHAnsi"/>
          <w:sz w:val="24"/>
          <w:szCs w:val="24"/>
        </w:rPr>
        <w:t xml:space="preserve"> </w:t>
      </w:r>
      <w:r w:rsidRPr="003C7CB1">
        <w:rPr>
          <w:rFonts w:cstheme="minorHAnsi"/>
          <w:sz w:val="24"/>
          <w:szCs w:val="24"/>
        </w:rPr>
        <w:t>the majority (87%) of surveyed organizations (tourism organizations, academia, research centers, etc.) believe that gastronomy is a characteristic and strategic element in defining the image and brand of each destination. At the fifth UNWTO Global Conference on Wine Tourism</w:t>
      </w:r>
      <w:r w:rsidR="00B3458A" w:rsidRPr="003C7CB1">
        <w:rPr>
          <w:rStyle w:val="FootnoteReference"/>
          <w:rFonts w:cstheme="minorHAnsi"/>
          <w:sz w:val="24"/>
          <w:szCs w:val="24"/>
        </w:rPr>
        <w:footnoteReference w:id="55"/>
      </w:r>
      <w:r w:rsidR="008A62E5" w:rsidRPr="003C7CB1">
        <w:rPr>
          <w:rFonts w:cstheme="minorHAnsi"/>
          <w:sz w:val="24"/>
          <w:szCs w:val="24"/>
        </w:rPr>
        <w:t xml:space="preserve">, </w:t>
      </w:r>
      <w:r w:rsidRPr="003C7CB1">
        <w:rPr>
          <w:rFonts w:cstheme="minorHAnsi"/>
          <w:sz w:val="24"/>
          <w:szCs w:val="24"/>
        </w:rPr>
        <w:t>it was concluded that wine tourism and its connection with the territory, local products and traditions opens up new opportunities for job improvement and inclusion in rural areas</w:t>
      </w:r>
      <w:r w:rsidR="008A62E5" w:rsidRPr="003C7CB1">
        <w:rPr>
          <w:rFonts w:cstheme="minorHAnsi"/>
          <w:sz w:val="24"/>
          <w:szCs w:val="24"/>
        </w:rPr>
        <w:t xml:space="preserve">. </w:t>
      </w:r>
    </w:p>
    <w:p w14:paraId="18338950" w14:textId="01586AF8" w:rsidR="00825E7C" w:rsidRPr="003C7CB1" w:rsidRDefault="00797C69" w:rsidP="00E372B9">
      <w:pPr>
        <w:spacing w:after="120" w:line="240" w:lineRule="auto"/>
        <w:jc w:val="both"/>
        <w:rPr>
          <w:rFonts w:cstheme="minorHAnsi"/>
          <w:sz w:val="24"/>
          <w:szCs w:val="24"/>
        </w:rPr>
      </w:pPr>
      <w:r w:rsidRPr="003C7CB1">
        <w:rPr>
          <w:rFonts w:cstheme="minorHAnsi"/>
          <w:sz w:val="24"/>
          <w:szCs w:val="24"/>
        </w:rPr>
        <w:t>The main characteristic of the rich Montenegrin gastronomic offer is its tradition. The skills of growing fruits and vegetables, indigenous grape varieties and food preparation have been passed down for generations, and Montenegro can boast of a number of products for which it is recognizable. The richness of n</w:t>
      </w:r>
      <w:r w:rsidR="00046ED1" w:rsidRPr="003C7CB1">
        <w:rPr>
          <w:rFonts w:cstheme="minorHAnsi"/>
          <w:sz w:val="24"/>
          <w:szCs w:val="24"/>
        </w:rPr>
        <w:t>ature, relief shape and climate</w:t>
      </w:r>
      <w:r w:rsidRPr="003C7CB1">
        <w:rPr>
          <w:rFonts w:cstheme="minorHAnsi"/>
          <w:sz w:val="24"/>
          <w:szCs w:val="24"/>
        </w:rPr>
        <w:t xml:space="preserve"> zones have shaped the diverse cuisine and marked it into three so-called "zones": coastal, central region cuisine and mountain cuisine. Namely, geographical diversity and natural conditions dictated the type of agricultural production, available food and diet</w:t>
      </w:r>
      <w:r w:rsidR="00EC43DE" w:rsidRPr="003C7CB1">
        <w:rPr>
          <w:rFonts w:cstheme="minorHAnsi"/>
          <w:sz w:val="24"/>
          <w:szCs w:val="24"/>
        </w:rPr>
        <w:t xml:space="preserve">. </w:t>
      </w:r>
    </w:p>
    <w:p w14:paraId="7621B476" w14:textId="1580554D" w:rsidR="009B2A26" w:rsidRPr="003C7CB1" w:rsidRDefault="009B2A26" w:rsidP="009B2A26">
      <w:pPr>
        <w:spacing w:after="120" w:line="240" w:lineRule="auto"/>
        <w:jc w:val="both"/>
        <w:rPr>
          <w:rFonts w:cstheme="minorHAnsi"/>
          <w:sz w:val="24"/>
          <w:szCs w:val="24"/>
        </w:rPr>
      </w:pPr>
      <w:r w:rsidRPr="003C7CB1">
        <w:rPr>
          <w:rFonts w:cstheme="minorHAnsi"/>
          <w:sz w:val="24"/>
          <w:szCs w:val="24"/>
        </w:rPr>
        <w:t>NTO Montenegro has prepared a Guide to Montenegrin gastronomic culture</w:t>
      </w:r>
      <w:r w:rsidR="00CB2C95" w:rsidRPr="003C7CB1">
        <w:rPr>
          <w:rStyle w:val="FootnoteReference"/>
          <w:rFonts w:cstheme="minorHAnsi"/>
          <w:sz w:val="24"/>
          <w:szCs w:val="24"/>
        </w:rPr>
        <w:footnoteReference w:id="56"/>
      </w:r>
      <w:r w:rsidR="00EC43DE" w:rsidRPr="003C7CB1">
        <w:rPr>
          <w:rFonts w:cstheme="minorHAnsi"/>
          <w:sz w:val="24"/>
          <w:szCs w:val="24"/>
        </w:rPr>
        <w:t xml:space="preserve">, </w:t>
      </w:r>
      <w:r w:rsidRPr="003C7CB1">
        <w:rPr>
          <w:rFonts w:cstheme="minorHAnsi"/>
          <w:sz w:val="24"/>
          <w:szCs w:val="24"/>
        </w:rPr>
        <w:t xml:space="preserve">which shows dishes and products primarily from the continental part of Montenegro, </w:t>
      </w:r>
      <w:r w:rsidR="00861D69">
        <w:rPr>
          <w:rFonts w:cstheme="minorHAnsi"/>
          <w:sz w:val="24"/>
          <w:szCs w:val="24"/>
        </w:rPr>
        <w:t xml:space="preserve">starting with prosciutto, </w:t>
      </w:r>
      <w:proofErr w:type="spellStart"/>
      <w:r w:rsidR="00861D69">
        <w:rPr>
          <w:rFonts w:cstheme="minorHAnsi"/>
          <w:sz w:val="24"/>
          <w:szCs w:val="24"/>
        </w:rPr>
        <w:t>Njeguši</w:t>
      </w:r>
      <w:proofErr w:type="spellEnd"/>
      <w:r w:rsidR="00861D69">
        <w:rPr>
          <w:rFonts w:cstheme="minorHAnsi"/>
          <w:sz w:val="24"/>
          <w:szCs w:val="24"/>
        </w:rPr>
        <w:t xml:space="preserve"> sausage, </w:t>
      </w:r>
      <w:proofErr w:type="spellStart"/>
      <w:r w:rsidR="00861D69">
        <w:rPr>
          <w:rFonts w:cstheme="minorHAnsi"/>
          <w:sz w:val="24"/>
          <w:szCs w:val="24"/>
        </w:rPr>
        <w:t>koš</w:t>
      </w:r>
      <w:r w:rsidRPr="003C7CB1">
        <w:rPr>
          <w:rFonts w:cstheme="minorHAnsi"/>
          <w:sz w:val="24"/>
          <w:szCs w:val="24"/>
        </w:rPr>
        <w:t>et</w:t>
      </w:r>
      <w:proofErr w:type="spellEnd"/>
      <w:r w:rsidRPr="003C7CB1">
        <w:rPr>
          <w:rFonts w:cstheme="minorHAnsi"/>
          <w:sz w:val="24"/>
          <w:szCs w:val="24"/>
        </w:rPr>
        <w:t xml:space="preserve"> (dried and cured leg of lamb), </w:t>
      </w:r>
      <w:proofErr w:type="spellStart"/>
      <w:r w:rsidRPr="003C7CB1">
        <w:rPr>
          <w:rFonts w:cstheme="minorHAnsi"/>
          <w:sz w:val="24"/>
          <w:szCs w:val="24"/>
        </w:rPr>
        <w:t>castradine</w:t>
      </w:r>
      <w:proofErr w:type="spellEnd"/>
      <w:r w:rsidRPr="003C7CB1">
        <w:rPr>
          <w:rFonts w:cstheme="minorHAnsi"/>
          <w:sz w:val="24"/>
          <w:szCs w:val="24"/>
        </w:rPr>
        <w:t>, olive oil, various types of</w:t>
      </w:r>
      <w:r w:rsidR="00861D69">
        <w:rPr>
          <w:rFonts w:cstheme="minorHAnsi"/>
          <w:sz w:val="24"/>
          <w:szCs w:val="24"/>
        </w:rPr>
        <w:t xml:space="preserve"> cheese, </w:t>
      </w:r>
      <w:proofErr w:type="spellStart"/>
      <w:r w:rsidR="00861D69">
        <w:rPr>
          <w:rFonts w:cstheme="minorHAnsi"/>
          <w:sz w:val="24"/>
          <w:szCs w:val="24"/>
        </w:rPr>
        <w:t>kajmak</w:t>
      </w:r>
      <w:proofErr w:type="spellEnd"/>
      <w:r w:rsidR="00861D69">
        <w:rPr>
          <w:rFonts w:cstheme="minorHAnsi"/>
          <w:sz w:val="24"/>
          <w:szCs w:val="24"/>
        </w:rPr>
        <w:t xml:space="preserve">, </w:t>
      </w:r>
      <w:proofErr w:type="spellStart"/>
      <w:r w:rsidR="00861D69">
        <w:rPr>
          <w:rFonts w:cstheme="minorHAnsi"/>
          <w:sz w:val="24"/>
          <w:szCs w:val="24"/>
        </w:rPr>
        <w:t>cicvara</w:t>
      </w:r>
      <w:proofErr w:type="spellEnd"/>
      <w:r w:rsidR="00861D69">
        <w:rPr>
          <w:rFonts w:cstheme="minorHAnsi"/>
          <w:sz w:val="24"/>
          <w:szCs w:val="24"/>
        </w:rPr>
        <w:t xml:space="preserve"> and </w:t>
      </w:r>
      <w:proofErr w:type="spellStart"/>
      <w:r w:rsidR="00861D69">
        <w:rPr>
          <w:rFonts w:cstheme="minorHAnsi"/>
          <w:sz w:val="24"/>
          <w:szCs w:val="24"/>
        </w:rPr>
        <w:t>kač</w:t>
      </w:r>
      <w:r w:rsidRPr="003C7CB1">
        <w:rPr>
          <w:rFonts w:cstheme="minorHAnsi"/>
          <w:sz w:val="24"/>
          <w:szCs w:val="24"/>
        </w:rPr>
        <w:t>amak</w:t>
      </w:r>
      <w:proofErr w:type="spellEnd"/>
      <w:r w:rsidRPr="003C7CB1">
        <w:rPr>
          <w:rFonts w:cstheme="minorHAnsi"/>
          <w:sz w:val="24"/>
          <w:szCs w:val="24"/>
        </w:rPr>
        <w:t xml:space="preserve"> (porridge), sour milk, different types of fish (baked or smoked), roasted lamb and goat under the sac, etc. During the year, a significant number of events are held in Montenegro, which is an exceptional opportunity for guests to get acquainted with local customs, traditional food and wines from the Montenegrin region.</w:t>
      </w:r>
    </w:p>
    <w:p w14:paraId="1F6DB283" w14:textId="77777777" w:rsidR="009B2A26" w:rsidRPr="003C7CB1" w:rsidRDefault="009B2A26" w:rsidP="009B2A26">
      <w:pPr>
        <w:spacing w:after="120" w:line="240" w:lineRule="auto"/>
        <w:jc w:val="both"/>
        <w:rPr>
          <w:rFonts w:cstheme="minorHAnsi"/>
          <w:sz w:val="24"/>
          <w:szCs w:val="24"/>
        </w:rPr>
      </w:pPr>
      <w:r w:rsidRPr="003C7CB1">
        <w:rPr>
          <w:rFonts w:cstheme="minorHAnsi"/>
          <w:sz w:val="24"/>
          <w:szCs w:val="24"/>
        </w:rPr>
        <w:lastRenderedPageBreak/>
        <w:t>According to the Guest Survey from 2017, for 33.6% of tourists, the pleasure of eating and drinking (gastronomy) is the motive for coming to Montenegro. According to age, it looks like this: up to 29 years - 33.7%, between 30 and 49 years - 34.8%, 50 and older - 27.4%.</w:t>
      </w:r>
    </w:p>
    <w:p w14:paraId="4D785722" w14:textId="4F719E8A" w:rsidR="002834EF" w:rsidRPr="003C7CB1" w:rsidRDefault="00DA7660" w:rsidP="009B2A26">
      <w:pPr>
        <w:spacing w:after="120" w:line="240" w:lineRule="auto"/>
        <w:jc w:val="both"/>
        <w:rPr>
          <w:rFonts w:cstheme="minorHAnsi"/>
          <w:sz w:val="24"/>
          <w:szCs w:val="24"/>
        </w:rPr>
      </w:pPr>
      <w:r w:rsidRPr="003C7CB1">
        <w:rPr>
          <w:rFonts w:cstheme="minorHAnsi"/>
          <w:sz w:val="24"/>
          <w:szCs w:val="24"/>
        </w:rPr>
        <w:t>As a destination that aims to be highly developed and attract high paying tourists, it is important to pay attention to improving the offer and services related to national cuisine, organizing events presenting local gastronomy and wine, with the aim of enriching the offer and extending the tourist season</w:t>
      </w:r>
      <w:r w:rsidR="008F4E51" w:rsidRPr="003C7CB1">
        <w:rPr>
          <w:rFonts w:cstheme="minorHAnsi"/>
          <w:sz w:val="24"/>
          <w:szCs w:val="24"/>
        </w:rPr>
        <w:t>.</w:t>
      </w:r>
      <w:r w:rsidR="00765B94">
        <w:rPr>
          <w:rFonts w:cs="Arial"/>
          <w:sz w:val="24"/>
          <w:szCs w:val="24"/>
        </w:rPr>
        <w:t xml:space="preserve">                                                                                                   </w:t>
      </w:r>
    </w:p>
    <w:p w14:paraId="14040CC1" w14:textId="1434A85D" w:rsidR="00F80B80" w:rsidRPr="003C7CB1" w:rsidRDefault="002071F4" w:rsidP="002071F4">
      <w:pPr>
        <w:pStyle w:val="ListParagraph"/>
        <w:numPr>
          <w:ilvl w:val="0"/>
          <w:numId w:val="53"/>
        </w:numPr>
        <w:spacing w:after="120" w:line="240" w:lineRule="auto"/>
        <w:jc w:val="both"/>
        <w:rPr>
          <w:rFonts w:ascii="Calibri" w:eastAsia="Calibri" w:hAnsi="Calibri" w:cs="Calibri"/>
          <w:color w:val="2F5496" w:themeColor="accent1" w:themeShade="BF"/>
          <w:sz w:val="24"/>
          <w:szCs w:val="24"/>
        </w:rPr>
      </w:pPr>
      <w:r w:rsidRPr="003C7CB1">
        <w:rPr>
          <w:rFonts w:ascii="Calibri" w:eastAsia="Calibri" w:hAnsi="Calibri" w:cs="Calibri"/>
          <w:b/>
          <w:color w:val="2F5496" w:themeColor="accent1" w:themeShade="BF"/>
          <w:sz w:val="24"/>
          <w:szCs w:val="24"/>
        </w:rPr>
        <w:t>Casino tourism</w:t>
      </w:r>
    </w:p>
    <w:p w14:paraId="50CB04CC" w14:textId="1CA872F1" w:rsidR="00917E51" w:rsidRPr="003C7CB1" w:rsidRDefault="00917E51" w:rsidP="00917E51">
      <w:pPr>
        <w:spacing w:after="120" w:line="240" w:lineRule="auto"/>
        <w:jc w:val="both"/>
        <w:rPr>
          <w:rFonts w:ascii="Calibri" w:eastAsia="Calibri" w:hAnsi="Calibri" w:cs="Calibri"/>
          <w:color w:val="000000"/>
          <w:sz w:val="24"/>
          <w:szCs w:val="24"/>
          <w:shd w:val="clear" w:color="auto" w:fill="FFFFFF"/>
        </w:rPr>
      </w:pPr>
      <w:r w:rsidRPr="003C7CB1">
        <w:rPr>
          <w:rFonts w:ascii="Calibri" w:eastAsia="Calibri" w:hAnsi="Calibri" w:cs="Calibri"/>
          <w:color w:val="000000"/>
          <w:sz w:val="24"/>
          <w:szCs w:val="24"/>
          <w:shd w:val="clear" w:color="auto" w:fill="FFFFFF"/>
        </w:rPr>
        <w:t xml:space="preserve">This is a segment of tourism that more and more destinations are using as an opportunity to revive their economy. Tourists who are attracted to this type of tourism, </w:t>
      </w:r>
      <w:r w:rsidR="00861D69" w:rsidRPr="003C7CB1">
        <w:rPr>
          <w:rFonts w:ascii="Calibri" w:eastAsia="Calibri" w:hAnsi="Calibri" w:cs="Calibri"/>
          <w:color w:val="000000"/>
          <w:sz w:val="24"/>
          <w:szCs w:val="24"/>
          <w:shd w:val="clear" w:color="auto" w:fill="FFFFFF"/>
        </w:rPr>
        <w:t>i.e.</w:t>
      </w:r>
      <w:r w:rsidRPr="003C7CB1">
        <w:rPr>
          <w:rFonts w:ascii="Calibri" w:eastAsia="Calibri" w:hAnsi="Calibri" w:cs="Calibri"/>
          <w:color w:val="000000"/>
          <w:sz w:val="24"/>
          <w:szCs w:val="24"/>
          <w:shd w:val="clear" w:color="auto" w:fill="FFFFFF"/>
        </w:rPr>
        <w:t xml:space="preserve"> destinations with a developed casino offer, use their visits to gain unique and new experiences. In order to increase revenue, most countries with developed casino offerings improve and diversify their tourist offer and offer various facilities near casinos, so that tourists who come in principle for games and entertainment can enjoy the offer of other content.</w:t>
      </w:r>
    </w:p>
    <w:p w14:paraId="684DA3B4" w14:textId="50FC4D13" w:rsidR="00917E51" w:rsidRPr="003C7CB1" w:rsidRDefault="00917E51" w:rsidP="00917E51">
      <w:pPr>
        <w:spacing w:after="120" w:line="240" w:lineRule="auto"/>
        <w:jc w:val="both"/>
        <w:rPr>
          <w:rFonts w:ascii="Calibri" w:eastAsia="Calibri" w:hAnsi="Calibri" w:cs="Calibri"/>
          <w:color w:val="000000"/>
          <w:sz w:val="24"/>
          <w:szCs w:val="24"/>
          <w:shd w:val="clear" w:color="auto" w:fill="FFFFFF"/>
        </w:rPr>
      </w:pPr>
      <w:r w:rsidRPr="003C7CB1">
        <w:rPr>
          <w:rFonts w:ascii="Calibri" w:eastAsia="Calibri" w:hAnsi="Calibri" w:cs="Calibri"/>
          <w:color w:val="000000"/>
          <w:sz w:val="24"/>
          <w:szCs w:val="24"/>
          <w:shd w:val="clear" w:color="auto" w:fill="FFFFFF"/>
        </w:rPr>
        <w:t>According to the Report on the work of the Administration for Games of Chance of Montenegro, for 2019 and 2020, the total revenues from the operation of casinos in 2019 amounted to € 4.6 million, while in 2020 this amount was € 1.4 million.</w:t>
      </w:r>
    </w:p>
    <w:p w14:paraId="75CFC9FC" w14:textId="0010B788" w:rsidR="0002429E" w:rsidRPr="003C7CB1" w:rsidRDefault="00917E51" w:rsidP="00917E51">
      <w:pPr>
        <w:spacing w:after="120" w:line="240" w:lineRule="auto"/>
        <w:jc w:val="both"/>
        <w:rPr>
          <w:rFonts w:ascii="Calibri" w:eastAsia="Calibri" w:hAnsi="Calibri" w:cs="Calibri"/>
          <w:color w:val="000000"/>
          <w:sz w:val="24"/>
          <w:szCs w:val="24"/>
        </w:rPr>
      </w:pPr>
      <w:r w:rsidRPr="003C7CB1">
        <w:rPr>
          <w:rFonts w:ascii="Calibri" w:eastAsia="Calibri" w:hAnsi="Calibri" w:cs="Calibri"/>
          <w:color w:val="000000"/>
          <w:sz w:val="24"/>
          <w:szCs w:val="24"/>
        </w:rPr>
        <w:t xml:space="preserve">Apart from the economy of the state, through tax obligations, this type of tourism has a great impact on the local population in many segments of work and life. Quality provision of services in casinos requires improving the knowledge and skills of staff, </w:t>
      </w:r>
      <w:r w:rsidR="00861D69" w:rsidRPr="003C7CB1">
        <w:rPr>
          <w:rFonts w:ascii="Calibri" w:eastAsia="Calibri" w:hAnsi="Calibri" w:cs="Calibri"/>
          <w:color w:val="000000"/>
          <w:sz w:val="24"/>
          <w:szCs w:val="24"/>
        </w:rPr>
        <w:t>i.e.</w:t>
      </w:r>
      <w:r w:rsidRPr="003C7CB1">
        <w:rPr>
          <w:rFonts w:ascii="Calibri" w:eastAsia="Calibri" w:hAnsi="Calibri" w:cs="Calibri"/>
          <w:color w:val="000000"/>
          <w:sz w:val="24"/>
          <w:szCs w:val="24"/>
        </w:rPr>
        <w:t xml:space="preserve"> various types of training are needed, which would open space for retraining and additional training of staff. Casino tourism, as an additional offer, certainly makes the destination more interesting and popular for a wider target group, but also attractive for the period in the pre- and post-season. Good air connectivity of the destination is the basis for the development of a quality tourist destination, but also for the development and improvement of casino tourism</w:t>
      </w:r>
      <w:r w:rsidR="00F80B80" w:rsidRPr="003C7CB1">
        <w:rPr>
          <w:rFonts w:ascii="Calibri" w:eastAsia="Calibri" w:hAnsi="Calibri" w:cs="Calibri"/>
          <w:color w:val="000000"/>
          <w:sz w:val="24"/>
          <w:szCs w:val="24"/>
        </w:rPr>
        <w:t xml:space="preserve">.   </w:t>
      </w:r>
    </w:p>
    <w:p w14:paraId="3F84B019" w14:textId="2B5A7C78" w:rsidR="00F80B80" w:rsidRPr="003C7CB1" w:rsidRDefault="00917E51" w:rsidP="00917E51">
      <w:pPr>
        <w:pStyle w:val="ListParagraph"/>
        <w:numPr>
          <w:ilvl w:val="0"/>
          <w:numId w:val="53"/>
        </w:numPr>
        <w:shd w:val="clear" w:color="auto" w:fill="FFFFFF"/>
        <w:spacing w:after="120" w:line="240" w:lineRule="auto"/>
        <w:jc w:val="both"/>
        <w:rPr>
          <w:rFonts w:ascii="Calibri" w:eastAsia="Calibri" w:hAnsi="Calibri" w:cs="Calibri"/>
          <w:color w:val="2F5496" w:themeColor="accent1" w:themeShade="BF"/>
          <w:sz w:val="24"/>
          <w:szCs w:val="24"/>
        </w:rPr>
      </w:pPr>
      <w:r w:rsidRPr="003C7CB1">
        <w:rPr>
          <w:rFonts w:ascii="Calibri" w:eastAsia="Calibri" w:hAnsi="Calibri" w:cs="Calibri"/>
          <w:b/>
          <w:color w:val="2F5496" w:themeColor="accent1" w:themeShade="BF"/>
          <w:sz w:val="24"/>
          <w:szCs w:val="24"/>
        </w:rPr>
        <w:t>Golf tourism</w:t>
      </w:r>
      <w:r w:rsidR="00F80B80" w:rsidRPr="003C7CB1">
        <w:rPr>
          <w:rFonts w:ascii="Calibri" w:eastAsia="Calibri" w:hAnsi="Calibri" w:cs="Calibri"/>
          <w:color w:val="2F5496" w:themeColor="accent1" w:themeShade="BF"/>
          <w:sz w:val="24"/>
          <w:szCs w:val="24"/>
        </w:rPr>
        <w:t xml:space="preserve"> </w:t>
      </w:r>
    </w:p>
    <w:p w14:paraId="60648A1E" w14:textId="583CEDC9" w:rsidR="00F80B80" w:rsidRPr="003C7CB1" w:rsidRDefault="003B04FF" w:rsidP="00E372B9">
      <w:pPr>
        <w:shd w:val="clear" w:color="auto" w:fill="FFFFFF"/>
        <w:spacing w:after="120" w:line="240" w:lineRule="auto"/>
        <w:jc w:val="both"/>
        <w:rPr>
          <w:rFonts w:ascii="Calibri" w:eastAsia="Calibri" w:hAnsi="Calibri" w:cs="Calibri"/>
          <w:color w:val="000000"/>
          <w:sz w:val="24"/>
          <w:szCs w:val="24"/>
          <w:shd w:val="clear" w:color="auto" w:fill="FFFFFF"/>
        </w:rPr>
      </w:pPr>
      <w:r w:rsidRPr="003C7CB1">
        <w:rPr>
          <w:rFonts w:ascii="Calibri" w:eastAsia="Calibri" w:hAnsi="Calibri" w:cs="Calibri"/>
          <w:color w:val="000000"/>
          <w:sz w:val="24"/>
          <w:szCs w:val="24"/>
        </w:rPr>
        <w:t>Golf tourism is one of the most competitive and profitable forms of tourism in the world. Tourist trips motivated by playing golf are in great expansion in the world's leading emitting tourist markets. Golf is very popular and has 4.11 million registered players in Europe</w:t>
      </w:r>
      <w:r w:rsidR="00F80B80" w:rsidRPr="003C7CB1">
        <w:rPr>
          <w:rFonts w:ascii="Calibri" w:eastAsia="Calibri" w:hAnsi="Calibri" w:cs="Calibri"/>
          <w:color w:val="000000"/>
          <w:sz w:val="24"/>
          <w:szCs w:val="24"/>
          <w:vertAlign w:val="superscript"/>
        </w:rPr>
        <w:footnoteReference w:id="57"/>
      </w:r>
      <w:r w:rsidR="00F80B80" w:rsidRPr="003C7CB1">
        <w:rPr>
          <w:rFonts w:ascii="Calibri" w:eastAsia="Calibri" w:hAnsi="Calibri" w:cs="Calibri"/>
          <w:color w:val="000000"/>
          <w:sz w:val="24"/>
          <w:szCs w:val="24"/>
        </w:rPr>
        <w:t xml:space="preserve">. </w:t>
      </w:r>
      <w:r w:rsidRPr="003C7CB1">
        <w:rPr>
          <w:rFonts w:ascii="Calibri" w:eastAsia="Calibri" w:hAnsi="Calibri" w:cs="Calibri"/>
          <w:color w:val="000000"/>
          <w:sz w:val="24"/>
          <w:szCs w:val="24"/>
          <w:shd w:val="clear" w:color="auto" w:fill="FFFFFF"/>
        </w:rPr>
        <w:t>The rich sports history of Montenegro also consists of the first golf club in Montenegro, for</w:t>
      </w:r>
      <w:r w:rsidR="00861D69">
        <w:rPr>
          <w:rFonts w:ascii="Calibri" w:eastAsia="Calibri" w:hAnsi="Calibri" w:cs="Calibri"/>
          <w:color w:val="000000"/>
          <w:sz w:val="24"/>
          <w:szCs w:val="24"/>
          <w:shd w:val="clear" w:color="auto" w:fill="FFFFFF"/>
        </w:rPr>
        <w:t xml:space="preserve">med by the royal family </w:t>
      </w:r>
      <w:proofErr w:type="spellStart"/>
      <w:r w:rsidR="00861D69">
        <w:rPr>
          <w:rFonts w:ascii="Calibri" w:eastAsia="Calibri" w:hAnsi="Calibri" w:cs="Calibri"/>
          <w:color w:val="000000"/>
          <w:sz w:val="24"/>
          <w:szCs w:val="24"/>
          <w:shd w:val="clear" w:color="auto" w:fill="FFFFFF"/>
        </w:rPr>
        <w:t>Petrović</w:t>
      </w:r>
      <w:proofErr w:type="spellEnd"/>
      <w:r w:rsidRPr="003C7CB1">
        <w:rPr>
          <w:rFonts w:ascii="Calibri" w:eastAsia="Calibri" w:hAnsi="Calibri" w:cs="Calibri"/>
          <w:color w:val="000000"/>
          <w:sz w:val="24"/>
          <w:szCs w:val="24"/>
          <w:shd w:val="clear" w:color="auto" w:fill="FFFFFF"/>
        </w:rPr>
        <w:t>, in Cetinje in 1906, but unfortunately this, as it is often characterized as a "noble sport" has not expanded in Montenegro</w:t>
      </w:r>
      <w:r w:rsidR="00F80B80" w:rsidRPr="003C7CB1">
        <w:rPr>
          <w:rFonts w:ascii="Calibri" w:eastAsia="Calibri" w:hAnsi="Calibri" w:cs="Calibri"/>
          <w:color w:val="000000"/>
          <w:sz w:val="24"/>
          <w:szCs w:val="24"/>
          <w:shd w:val="clear" w:color="auto" w:fill="FFFFFF"/>
        </w:rPr>
        <w:t xml:space="preserve">.   </w:t>
      </w:r>
    </w:p>
    <w:p w14:paraId="75145228" w14:textId="77777777" w:rsidR="000F520B" w:rsidRPr="003C7CB1" w:rsidRDefault="000F520B" w:rsidP="000F520B">
      <w:pPr>
        <w:shd w:val="clear" w:color="auto" w:fill="FFFFFF"/>
        <w:spacing w:after="120" w:line="240" w:lineRule="auto"/>
        <w:jc w:val="both"/>
        <w:rPr>
          <w:rFonts w:ascii="Calibri" w:eastAsia="Calibri" w:hAnsi="Calibri" w:cs="Calibri"/>
          <w:color w:val="000000"/>
          <w:sz w:val="24"/>
          <w:szCs w:val="24"/>
        </w:rPr>
      </w:pPr>
      <w:r w:rsidRPr="003C7CB1">
        <w:rPr>
          <w:rFonts w:ascii="Calibri" w:eastAsia="Calibri" w:hAnsi="Calibri" w:cs="Calibri"/>
          <w:color w:val="000000"/>
          <w:sz w:val="24"/>
          <w:szCs w:val="24"/>
        </w:rPr>
        <w:t>Golf courses are an integral part of the tourist offer and create added value and attractiveness to the destinations of all developed countries. According to certain strategies for the development of tourism in the world, countries that do not have golf courses in their tourist offer cannot seriously compete on the world tourism market in the segment of consumers with high purchasing power. Bearing in mind that this type of tourism is considered relatively expensive, so golfers have more purchasing power than other tourists, even boaters, golf resorts in the world earn high incomes on various bases.</w:t>
      </w:r>
    </w:p>
    <w:p w14:paraId="6654E86B" w14:textId="0D23B4DC" w:rsidR="008F0DCD" w:rsidRPr="003C7CB1" w:rsidRDefault="000F520B" w:rsidP="000F520B">
      <w:pPr>
        <w:shd w:val="clear" w:color="auto" w:fill="FFFFFF"/>
        <w:spacing w:after="120" w:line="240" w:lineRule="auto"/>
        <w:jc w:val="both"/>
        <w:rPr>
          <w:rFonts w:ascii="Calibri" w:eastAsia="Calibri" w:hAnsi="Calibri" w:cs="Calibri"/>
          <w:color w:val="000000"/>
          <w:sz w:val="24"/>
          <w:szCs w:val="24"/>
          <w:shd w:val="clear" w:color="auto" w:fill="FFFFFF"/>
        </w:rPr>
      </w:pPr>
      <w:r w:rsidRPr="003C7CB1">
        <w:rPr>
          <w:rFonts w:ascii="Calibri" w:eastAsia="Calibri" w:hAnsi="Calibri" w:cs="Calibri"/>
          <w:color w:val="000000"/>
          <w:sz w:val="24"/>
          <w:szCs w:val="24"/>
        </w:rPr>
        <w:t xml:space="preserve">Since golf courses are built in the most beautiful natural environments, they should be turned into "friends of nature". That is why the development of golf tourism in Montenegro implies </w:t>
      </w:r>
      <w:r w:rsidRPr="003C7CB1">
        <w:rPr>
          <w:rFonts w:ascii="Calibri" w:eastAsia="Calibri" w:hAnsi="Calibri" w:cs="Calibri"/>
          <w:color w:val="000000"/>
          <w:sz w:val="24"/>
          <w:szCs w:val="24"/>
        </w:rPr>
        <w:lastRenderedPageBreak/>
        <w:t>the preservation of the natural environment and its valorization, in a way that the natural beauty and resources are put in the function of golf development, but without disturbing them</w:t>
      </w:r>
      <w:r w:rsidR="00F80B80" w:rsidRPr="003C7CB1">
        <w:rPr>
          <w:rFonts w:ascii="Calibri" w:eastAsia="Calibri" w:hAnsi="Calibri" w:cs="Calibri"/>
          <w:color w:val="000000"/>
          <w:sz w:val="24"/>
          <w:szCs w:val="24"/>
          <w:shd w:val="clear" w:color="auto" w:fill="FFFFFF"/>
        </w:rPr>
        <w:t xml:space="preserve">.  </w:t>
      </w:r>
    </w:p>
    <w:p w14:paraId="62654B74" w14:textId="3F98E344" w:rsidR="00781740" w:rsidRPr="003C7CB1" w:rsidRDefault="00781740" w:rsidP="000F5104">
      <w:pPr>
        <w:pStyle w:val="ListParagraph"/>
        <w:numPr>
          <w:ilvl w:val="0"/>
          <w:numId w:val="52"/>
        </w:numPr>
        <w:spacing w:after="120" w:line="240" w:lineRule="auto"/>
        <w:jc w:val="both"/>
        <w:rPr>
          <w:rFonts w:cstheme="minorHAnsi"/>
          <w:b/>
          <w:color w:val="2F5496" w:themeColor="accent1" w:themeShade="BF"/>
          <w:sz w:val="24"/>
          <w:szCs w:val="24"/>
        </w:rPr>
      </w:pPr>
      <w:r w:rsidRPr="003C7CB1">
        <w:rPr>
          <w:rFonts w:cstheme="minorHAnsi"/>
          <w:b/>
          <w:color w:val="2F5496" w:themeColor="accent1" w:themeShade="BF"/>
          <w:sz w:val="24"/>
          <w:szCs w:val="24"/>
        </w:rPr>
        <w:t>Fi</w:t>
      </w:r>
      <w:r w:rsidR="00861D69">
        <w:rPr>
          <w:rFonts w:cstheme="minorHAnsi"/>
          <w:b/>
          <w:color w:val="2F5496" w:themeColor="accent1" w:themeShade="BF"/>
          <w:sz w:val="24"/>
          <w:szCs w:val="24"/>
        </w:rPr>
        <w:t>lm</w:t>
      </w:r>
      <w:r w:rsidR="000F520B" w:rsidRPr="003C7CB1">
        <w:rPr>
          <w:rFonts w:cstheme="minorHAnsi"/>
          <w:b/>
          <w:color w:val="2F5496" w:themeColor="accent1" w:themeShade="BF"/>
          <w:sz w:val="24"/>
          <w:szCs w:val="24"/>
        </w:rPr>
        <w:t xml:space="preserve"> tourism</w:t>
      </w:r>
      <w:r w:rsidRPr="003C7CB1">
        <w:rPr>
          <w:rFonts w:cstheme="minorHAnsi"/>
          <w:b/>
          <w:color w:val="2F5496" w:themeColor="accent1" w:themeShade="BF"/>
          <w:sz w:val="24"/>
          <w:szCs w:val="24"/>
        </w:rPr>
        <w:t xml:space="preserve"> </w:t>
      </w:r>
    </w:p>
    <w:p w14:paraId="32368308" w14:textId="54DBF46A" w:rsidR="000F520B" w:rsidRPr="003C7CB1" w:rsidRDefault="000F520B" w:rsidP="000F520B">
      <w:pPr>
        <w:spacing w:after="120" w:line="240" w:lineRule="auto"/>
        <w:jc w:val="both"/>
        <w:rPr>
          <w:rFonts w:cstheme="minorHAnsi"/>
          <w:sz w:val="24"/>
          <w:szCs w:val="24"/>
        </w:rPr>
      </w:pPr>
      <w:r w:rsidRPr="003C7CB1">
        <w:rPr>
          <w:rFonts w:cstheme="minorHAnsi"/>
          <w:sz w:val="24"/>
          <w:szCs w:val="24"/>
        </w:rPr>
        <w:t>Due to the accelerated development of the entertainment industry, film tourism shows a continuous growth trend on a global scale. The film industry influences the promotion and marketing of the destination, contributes to the creation of the attractiveness of the destination, which in total affects the greater competitiveness of the destination in the tourism market.</w:t>
      </w:r>
      <w:r w:rsidR="00765B94">
        <w:rPr>
          <w:rFonts w:cs="Arial"/>
          <w:sz w:val="24"/>
          <w:szCs w:val="24"/>
        </w:rPr>
        <w:t xml:space="preserve">                                                                                                   </w:t>
      </w:r>
    </w:p>
    <w:p w14:paraId="71C835FD" w14:textId="704D90DC" w:rsidR="00781740" w:rsidRPr="003C7CB1" w:rsidRDefault="000F520B" w:rsidP="000F520B">
      <w:pPr>
        <w:spacing w:after="120" w:line="240" w:lineRule="auto"/>
        <w:jc w:val="both"/>
        <w:rPr>
          <w:rFonts w:cstheme="minorHAnsi"/>
          <w:sz w:val="24"/>
          <w:szCs w:val="24"/>
        </w:rPr>
      </w:pPr>
      <w:r w:rsidRPr="003C7CB1">
        <w:rPr>
          <w:rFonts w:cstheme="minorHAnsi"/>
          <w:sz w:val="24"/>
          <w:szCs w:val="24"/>
        </w:rPr>
        <w:t>There are more and more destinations that try to attract the attention of film production companies, because in that way revenues are generated on the basis of filming (payment for the use of location, use of hotels, restaurants and other content of the destination offer by the film crew) but also on creating a positive image after the broadcast of a film or series, as the site becomes recognized and thus a choice in future tourist trips</w:t>
      </w:r>
      <w:r w:rsidR="00781740" w:rsidRPr="003C7CB1">
        <w:rPr>
          <w:rFonts w:cstheme="minorHAnsi"/>
          <w:sz w:val="24"/>
          <w:szCs w:val="24"/>
        </w:rPr>
        <w:t xml:space="preserve">. </w:t>
      </w:r>
    </w:p>
    <w:p w14:paraId="28CC29C4" w14:textId="5DD4E069" w:rsidR="00781740" w:rsidRPr="003C7CB1" w:rsidRDefault="00D24EE6" w:rsidP="00D24EE6">
      <w:pPr>
        <w:spacing w:after="120" w:line="240" w:lineRule="auto"/>
        <w:jc w:val="both"/>
        <w:rPr>
          <w:rFonts w:cstheme="minorHAnsi"/>
          <w:sz w:val="24"/>
          <w:szCs w:val="24"/>
        </w:rPr>
      </w:pPr>
      <w:r w:rsidRPr="003C7CB1">
        <w:rPr>
          <w:rFonts w:cstheme="minorHAnsi"/>
          <w:sz w:val="24"/>
          <w:szCs w:val="24"/>
        </w:rPr>
        <w:t>Whether the destination will become a filming location depends on the decision of the film production, but based on the destination's marketing strategy. Regardless of the way in which a certain destination becomes the location for the shooting of a future film, it is almost certain that it will become even more attractive after being shown in the film, which we have witnessed after the screening of a series of films shot in Montenegro or mentioned in the context of the place of the action.</w:t>
      </w:r>
    </w:p>
    <w:p w14:paraId="3B6B0B9C" w14:textId="1E894FD7" w:rsidR="00781740" w:rsidRPr="003C7CB1" w:rsidRDefault="00D24EE6" w:rsidP="00E372B9">
      <w:pPr>
        <w:spacing w:after="120" w:line="240" w:lineRule="auto"/>
        <w:jc w:val="both"/>
        <w:rPr>
          <w:rFonts w:cstheme="minorHAnsi"/>
          <w:sz w:val="24"/>
          <w:szCs w:val="24"/>
        </w:rPr>
      </w:pPr>
      <w:r w:rsidRPr="003C7CB1">
        <w:rPr>
          <w:rFonts w:cstheme="minorHAnsi"/>
          <w:sz w:val="24"/>
          <w:szCs w:val="24"/>
        </w:rPr>
        <w:t xml:space="preserve">The possibility of connecting Montenegrin tourism and the world film industry represents the potential for the development and branding of Montenegro as a "film" destination. The diversity of Montenegrin landscapes can be an inspiration for choosing the location of the shooting, </w:t>
      </w:r>
      <w:r w:rsidR="00861D69" w:rsidRPr="003C7CB1">
        <w:rPr>
          <w:rFonts w:cstheme="minorHAnsi"/>
          <w:sz w:val="24"/>
          <w:szCs w:val="24"/>
        </w:rPr>
        <w:t>i.e.</w:t>
      </w:r>
      <w:r w:rsidRPr="003C7CB1">
        <w:rPr>
          <w:rFonts w:cstheme="minorHAnsi"/>
          <w:sz w:val="24"/>
          <w:szCs w:val="24"/>
        </w:rPr>
        <w:t xml:space="preserve"> frames for the film industry. In addition, Montenegro as a destination has already shown potential for non-film products (advertisements), some of which have become recognizable to the world public. Non-film products are a particularly interesting source of tourism revenue that is not particularly demanding in the implementation process, unlike film products, and can be a source of frequent income</w:t>
      </w:r>
      <w:r w:rsidR="00FC31CB" w:rsidRPr="003C7CB1">
        <w:rPr>
          <w:rFonts w:cstheme="minorHAnsi"/>
          <w:sz w:val="24"/>
          <w:szCs w:val="24"/>
        </w:rPr>
        <w:t xml:space="preserve">.  </w:t>
      </w:r>
    </w:p>
    <w:p w14:paraId="14A93D7C" w14:textId="1EE9BA5A" w:rsidR="00781740" w:rsidRPr="003C7CB1" w:rsidRDefault="00D24EE6" w:rsidP="00AD2CCB">
      <w:pPr>
        <w:spacing w:after="120" w:line="240" w:lineRule="auto"/>
        <w:jc w:val="both"/>
        <w:rPr>
          <w:rFonts w:cstheme="minorHAnsi"/>
          <w:sz w:val="24"/>
          <w:szCs w:val="24"/>
        </w:rPr>
      </w:pPr>
      <w:r w:rsidRPr="003C7CB1">
        <w:rPr>
          <w:rFonts w:cstheme="minorHAnsi"/>
          <w:sz w:val="24"/>
          <w:szCs w:val="24"/>
        </w:rPr>
        <w:t xml:space="preserve">The Decree </w:t>
      </w:r>
      <w:r w:rsidR="00AD2CCB" w:rsidRPr="003C7CB1">
        <w:rPr>
          <w:rFonts w:cstheme="minorHAnsi"/>
          <w:sz w:val="24"/>
          <w:szCs w:val="24"/>
        </w:rPr>
        <w:t>on more detailed criteria, manner and procedure for exercising the right to a refund of part of the funds spent on the production of a cinematographic work</w:t>
      </w:r>
      <w:r w:rsidRPr="003C7CB1">
        <w:rPr>
          <w:rFonts w:cstheme="minorHAnsi"/>
          <w:sz w:val="24"/>
          <w:szCs w:val="24"/>
        </w:rPr>
        <w:t xml:space="preserve"> (“Official Gazette of Montenegro” No. 54/17) defines the conditions under which foreign producers have the right to reimbursement of pa</w:t>
      </w:r>
      <w:r w:rsidR="00AD2CCB" w:rsidRPr="003C7CB1">
        <w:rPr>
          <w:rFonts w:cstheme="minorHAnsi"/>
          <w:sz w:val="24"/>
          <w:szCs w:val="24"/>
        </w:rPr>
        <w:t>rt of funds spent in Montenegro</w:t>
      </w:r>
      <w:r w:rsidRPr="003C7CB1">
        <w:rPr>
          <w:rFonts w:cstheme="minorHAnsi"/>
          <w:sz w:val="24"/>
          <w:szCs w:val="24"/>
        </w:rPr>
        <w:t xml:space="preserve"> for the production of a cinematographic work, as an incentive measure, in the amount of 25% of the total production costs, which is a good incentive measure in the selection of Montenegro as a location for filming. The Film Center of Montenegro</w:t>
      </w:r>
      <w:r w:rsidR="00781740" w:rsidRPr="003C7CB1">
        <w:rPr>
          <w:rStyle w:val="FootnoteReference"/>
          <w:rFonts w:cstheme="minorHAnsi"/>
          <w:sz w:val="24"/>
          <w:szCs w:val="24"/>
        </w:rPr>
        <w:footnoteReference w:id="58"/>
      </w:r>
      <w:r w:rsidR="00781740" w:rsidRPr="003C7CB1">
        <w:rPr>
          <w:rFonts w:cstheme="minorHAnsi"/>
          <w:sz w:val="24"/>
          <w:szCs w:val="24"/>
        </w:rPr>
        <w:t xml:space="preserve"> </w:t>
      </w:r>
      <w:r w:rsidRPr="003C7CB1">
        <w:rPr>
          <w:rFonts w:cstheme="minorHAnsi"/>
          <w:sz w:val="24"/>
          <w:szCs w:val="24"/>
        </w:rPr>
        <w:t>as a public institution founded in 2017, in order to improve and develop Montenegrin cinematography, is dedicated to providing the necessary conditions for film production and co-production cooperation. In 2020, the Film Center launched a special program Film in Montenegro, which promotes Montenegro as a film destination</w:t>
      </w:r>
      <w:r w:rsidR="00781740" w:rsidRPr="003C7CB1">
        <w:rPr>
          <w:rFonts w:cstheme="minorHAnsi"/>
          <w:sz w:val="24"/>
          <w:szCs w:val="24"/>
        </w:rPr>
        <w:t>.</w:t>
      </w:r>
    </w:p>
    <w:p w14:paraId="3BA88168" w14:textId="4B5F814D" w:rsidR="00781740" w:rsidRPr="003C7CB1" w:rsidRDefault="00CF65A3" w:rsidP="002474C1">
      <w:pPr>
        <w:spacing w:after="120" w:line="240" w:lineRule="auto"/>
        <w:jc w:val="both"/>
        <w:rPr>
          <w:rFonts w:cstheme="minorHAnsi"/>
          <w:sz w:val="24"/>
          <w:szCs w:val="24"/>
        </w:rPr>
      </w:pPr>
      <w:r w:rsidRPr="003C7CB1">
        <w:rPr>
          <w:rFonts w:cstheme="minorHAnsi"/>
          <w:sz w:val="24"/>
          <w:szCs w:val="24"/>
        </w:rPr>
        <w:t xml:space="preserve">The DMO (Destination marketing organization) strategic activities promote locations for film producers and highlight incentive packages that make filming at their locations cost-effective. Incentives include tax breaks, additional travel and accommodation costs, and security. Thus, </w:t>
      </w:r>
      <w:r w:rsidRPr="003C7CB1">
        <w:rPr>
          <w:rFonts w:cstheme="minorHAnsi"/>
          <w:sz w:val="24"/>
          <w:szCs w:val="24"/>
        </w:rPr>
        <w:lastRenderedPageBreak/>
        <w:t>the potential to increase touris</w:t>
      </w:r>
      <w:r w:rsidR="0051477C">
        <w:rPr>
          <w:rFonts w:cstheme="minorHAnsi"/>
          <w:sz w:val="24"/>
          <w:szCs w:val="24"/>
        </w:rPr>
        <w:t>m turnover</w:t>
      </w:r>
      <w:r w:rsidRPr="003C7CB1">
        <w:rPr>
          <w:rFonts w:cstheme="minorHAnsi"/>
          <w:sz w:val="24"/>
          <w:szCs w:val="24"/>
        </w:rPr>
        <w:t xml:space="preserve"> from "film money" is one of the many development opportunities for Montenegro</w:t>
      </w:r>
      <w:r w:rsidR="00781740" w:rsidRPr="003C7CB1">
        <w:rPr>
          <w:rFonts w:cstheme="minorHAnsi"/>
          <w:sz w:val="24"/>
          <w:szCs w:val="24"/>
        </w:rPr>
        <w:t>.</w:t>
      </w:r>
    </w:p>
    <w:p w14:paraId="4A7957EF" w14:textId="77777777" w:rsidR="007B3399" w:rsidRPr="003C7CB1" w:rsidRDefault="007B3399" w:rsidP="00E372B9">
      <w:pPr>
        <w:spacing w:after="120" w:line="240" w:lineRule="auto"/>
        <w:jc w:val="both"/>
        <w:rPr>
          <w:rFonts w:cstheme="minorHAnsi"/>
          <w:sz w:val="24"/>
          <w:szCs w:val="24"/>
        </w:rPr>
      </w:pPr>
    </w:p>
    <w:p w14:paraId="2C2F4DE8" w14:textId="1B17AED0" w:rsidR="00AD6E37" w:rsidRPr="003C7CB1" w:rsidRDefault="00A37F23" w:rsidP="00E372B9">
      <w:pPr>
        <w:pStyle w:val="Heading2"/>
        <w:spacing w:before="0" w:after="120" w:line="240" w:lineRule="auto"/>
        <w:rPr>
          <w:sz w:val="26"/>
        </w:rPr>
      </w:pPr>
      <w:bookmarkStart w:id="233" w:name="_Toc95303048"/>
      <w:bookmarkStart w:id="234" w:name="_Toc104544210"/>
      <w:r w:rsidRPr="003C7CB1">
        <w:rPr>
          <w:sz w:val="26"/>
        </w:rPr>
        <w:t>1</w:t>
      </w:r>
      <w:r w:rsidR="00297E7E" w:rsidRPr="003C7CB1">
        <w:rPr>
          <w:sz w:val="26"/>
        </w:rPr>
        <w:t>4</w:t>
      </w:r>
      <w:r w:rsidR="000919A2" w:rsidRPr="003C7CB1">
        <w:rPr>
          <w:sz w:val="26"/>
        </w:rPr>
        <w:t>.</w:t>
      </w:r>
      <w:r w:rsidR="00750A99" w:rsidRPr="003C7CB1">
        <w:rPr>
          <w:sz w:val="26"/>
        </w:rPr>
        <w:t>5</w:t>
      </w:r>
      <w:r w:rsidR="000919A2" w:rsidRPr="003C7CB1">
        <w:rPr>
          <w:sz w:val="26"/>
        </w:rPr>
        <w:t xml:space="preserve">. </w:t>
      </w:r>
      <w:bookmarkEnd w:id="233"/>
      <w:r w:rsidR="00CF65A3" w:rsidRPr="003C7CB1">
        <w:rPr>
          <w:sz w:val="26"/>
        </w:rPr>
        <w:t>Operational goal 5 - Improved human resources, knowledge and skills in tourism</w:t>
      </w:r>
      <w:bookmarkEnd w:id="234"/>
    </w:p>
    <w:p w14:paraId="2DCC8E35" w14:textId="61813042" w:rsidR="00E42982" w:rsidRPr="003C7CB1" w:rsidRDefault="00CF65A3" w:rsidP="00E372B9">
      <w:pPr>
        <w:spacing w:after="120" w:line="240" w:lineRule="auto"/>
        <w:jc w:val="both"/>
        <w:rPr>
          <w:rFonts w:cstheme="minorHAnsi"/>
          <w:sz w:val="24"/>
          <w:szCs w:val="24"/>
        </w:rPr>
      </w:pPr>
      <w:r w:rsidRPr="003C7CB1">
        <w:rPr>
          <w:rFonts w:cstheme="minorHAnsi"/>
          <w:sz w:val="24"/>
          <w:szCs w:val="24"/>
        </w:rPr>
        <w:t>Human resources are a key strength of the sector. As the tourism and hospitality sector is one of the most important sectors of the Montenegrin economy, and generates a significant number of jobs, this sector is therefore of great economic importance for our country</w:t>
      </w:r>
      <w:r w:rsidR="00E42982" w:rsidRPr="003C7CB1">
        <w:rPr>
          <w:rFonts w:cstheme="minorHAnsi"/>
          <w:sz w:val="24"/>
          <w:szCs w:val="24"/>
        </w:rPr>
        <w:t>.</w:t>
      </w:r>
    </w:p>
    <w:p w14:paraId="1B784153" w14:textId="4E760696" w:rsidR="009B6B40" w:rsidRPr="003C7CB1" w:rsidRDefault="006D3DA2" w:rsidP="00E372B9">
      <w:pPr>
        <w:spacing w:after="120" w:line="240" w:lineRule="auto"/>
        <w:jc w:val="both"/>
        <w:rPr>
          <w:rFonts w:cstheme="minorHAnsi"/>
          <w:sz w:val="24"/>
          <w:szCs w:val="24"/>
        </w:rPr>
      </w:pPr>
      <w:r w:rsidRPr="003C7CB1">
        <w:rPr>
          <w:sz w:val="24"/>
          <w:szCs w:val="24"/>
        </w:rPr>
        <w:t>According to the National Strategy for Sustainable Development of Montenegro until 2030,</w:t>
      </w:r>
      <w:r w:rsidR="008176CA" w:rsidRPr="003C7CB1">
        <w:rPr>
          <w:rStyle w:val="FootnoteReference"/>
          <w:sz w:val="24"/>
          <w:szCs w:val="24"/>
        </w:rPr>
        <w:footnoteReference w:id="59"/>
      </w:r>
      <w:r w:rsidR="009B6B40" w:rsidRPr="003C7CB1">
        <w:rPr>
          <w:sz w:val="24"/>
          <w:szCs w:val="24"/>
        </w:rPr>
        <w:t xml:space="preserve">, </w:t>
      </w:r>
      <w:r w:rsidRPr="003C7CB1">
        <w:rPr>
          <w:sz w:val="24"/>
          <w:szCs w:val="24"/>
        </w:rPr>
        <w:t>knowledge is the main resource for sustainable development, education is a priority strategic interest of Montenegro, which requires the greatest possible responsibility in accessing all levels of education. In the structure of wealth of developed countries, as much as 81% belongs to the so-called intangible capital, while in high-middle-income countries this share is 69%. This fact speaks in favor of the view that the acquisition of new knowledge, skills and values through education is a guarantee that a society can keep up with intense social and technological changes and challenges</w:t>
      </w:r>
      <w:r w:rsidR="00E35B43" w:rsidRPr="003C7CB1">
        <w:rPr>
          <w:sz w:val="24"/>
          <w:szCs w:val="24"/>
        </w:rPr>
        <w:t>.</w:t>
      </w:r>
    </w:p>
    <w:p w14:paraId="71C1CD41" w14:textId="77777777" w:rsidR="006D3DA2" w:rsidRPr="003C7CB1" w:rsidRDefault="006D3DA2" w:rsidP="006D3DA2">
      <w:pPr>
        <w:spacing w:after="120" w:line="240" w:lineRule="auto"/>
        <w:jc w:val="both"/>
        <w:rPr>
          <w:rFonts w:cstheme="minorHAnsi"/>
          <w:sz w:val="24"/>
          <w:szCs w:val="24"/>
        </w:rPr>
      </w:pPr>
      <w:r w:rsidRPr="003C7CB1">
        <w:rPr>
          <w:rFonts w:cstheme="minorHAnsi"/>
          <w:sz w:val="24"/>
          <w:szCs w:val="24"/>
        </w:rPr>
        <w:t>Tourism is a highly labor-intensive activity, so its results largely depend on the quality of human resources. In order to achieve a high degree of efficiency in the sector, adequate human resource management is very important, because it results in increased economic performance and competitiveness in the tourism market.</w:t>
      </w:r>
    </w:p>
    <w:p w14:paraId="0B501F14" w14:textId="3973BDB8" w:rsidR="00E42982" w:rsidRPr="003C7CB1" w:rsidRDefault="006D3DA2" w:rsidP="006D3DA2">
      <w:pPr>
        <w:spacing w:after="120" w:line="240" w:lineRule="auto"/>
        <w:jc w:val="both"/>
        <w:rPr>
          <w:rFonts w:cstheme="minorHAnsi"/>
          <w:sz w:val="24"/>
          <w:szCs w:val="24"/>
        </w:rPr>
      </w:pPr>
      <w:r w:rsidRPr="003C7CB1">
        <w:rPr>
          <w:rFonts w:cstheme="minorHAnsi"/>
          <w:sz w:val="24"/>
          <w:szCs w:val="24"/>
        </w:rPr>
        <w:t>In the tourism and hospitality sector in Montenegro, it has been recognized for years that there is a shortage of skilled labor, and the situation was further aggravated by the outflow of labor due to the crisis caused by the COVID-19 pandemic, when a number of employees lost their jobs, which is why they sought employment in other sectors or outside Montenegro</w:t>
      </w:r>
      <w:r w:rsidR="00E42982" w:rsidRPr="003C7CB1">
        <w:rPr>
          <w:rFonts w:cstheme="minorHAnsi"/>
          <w:sz w:val="24"/>
          <w:szCs w:val="24"/>
        </w:rPr>
        <w:t>.</w:t>
      </w:r>
    </w:p>
    <w:p w14:paraId="1BC50B2C" w14:textId="2EE5B9D0" w:rsidR="00146AD0" w:rsidRPr="003C7CB1" w:rsidRDefault="006D3DA2" w:rsidP="00E372B9">
      <w:pPr>
        <w:spacing w:after="120" w:line="240" w:lineRule="auto"/>
        <w:jc w:val="both"/>
      </w:pPr>
      <w:r w:rsidRPr="003C7CB1">
        <w:rPr>
          <w:rFonts w:cstheme="minorHAnsi"/>
          <w:sz w:val="24"/>
          <w:szCs w:val="24"/>
        </w:rPr>
        <w:t xml:space="preserve">In order to improve the quality of the workforce in the sector, the need for the development of dual education was recognized, and the inevitable improvement of cooperation between educational institutions in the field of tourism and the economy, in order to implement programs and training of practical skills necessary for service providers. All of the above will be implemented by secondary vocational schools for tourism and hospitality, as well as higher education institutions (University of Montenegro - Faculty of Tourism and Hotel Management in Kotor, Mediterranean University - Faculty of Tourism, Faculty of Business and Tourism - </w:t>
      </w:r>
      <w:proofErr w:type="spellStart"/>
      <w:r w:rsidRPr="003C7CB1">
        <w:rPr>
          <w:rFonts w:cstheme="minorHAnsi"/>
          <w:sz w:val="24"/>
          <w:szCs w:val="24"/>
        </w:rPr>
        <w:t>Budva</w:t>
      </w:r>
      <w:proofErr w:type="spellEnd"/>
      <w:r w:rsidRPr="003C7CB1">
        <w:rPr>
          <w:rFonts w:cstheme="minorHAnsi"/>
          <w:sz w:val="24"/>
          <w:szCs w:val="24"/>
        </w:rPr>
        <w:t xml:space="preserve">, Faculty of Management - Herceg Novi , University of </w:t>
      </w:r>
      <w:proofErr w:type="spellStart"/>
      <w:r w:rsidRPr="003C7CB1">
        <w:rPr>
          <w:rFonts w:cstheme="minorHAnsi"/>
          <w:sz w:val="24"/>
          <w:szCs w:val="24"/>
        </w:rPr>
        <w:t>Donja</w:t>
      </w:r>
      <w:proofErr w:type="spellEnd"/>
      <w:r w:rsidRPr="003C7CB1">
        <w:rPr>
          <w:rFonts w:cstheme="minorHAnsi"/>
          <w:sz w:val="24"/>
          <w:szCs w:val="24"/>
        </w:rPr>
        <w:t xml:space="preserve"> </w:t>
      </w:r>
      <w:proofErr w:type="spellStart"/>
      <w:r w:rsidRPr="003C7CB1">
        <w:rPr>
          <w:rFonts w:cstheme="minorHAnsi"/>
          <w:sz w:val="24"/>
          <w:szCs w:val="24"/>
        </w:rPr>
        <w:t>Gorica</w:t>
      </w:r>
      <w:proofErr w:type="spellEnd"/>
      <w:r w:rsidRPr="003C7CB1">
        <w:rPr>
          <w:rFonts w:cstheme="minorHAnsi"/>
          <w:sz w:val="24"/>
          <w:szCs w:val="24"/>
        </w:rPr>
        <w:t xml:space="preserve"> - Faculty for Culture and Tourism and others) that represent the potential for quality development of secondary and higher education in the field of tourism in Montenegro</w:t>
      </w:r>
      <w:r w:rsidR="001600CD" w:rsidRPr="003C7CB1">
        <w:rPr>
          <w:sz w:val="24"/>
          <w:szCs w:val="24"/>
        </w:rPr>
        <w:t>.</w:t>
      </w:r>
    </w:p>
    <w:p w14:paraId="714A66B5" w14:textId="153C7003" w:rsidR="008D5A3A" w:rsidRPr="003C7CB1" w:rsidRDefault="006D3DA2" w:rsidP="006D3DA2">
      <w:pPr>
        <w:spacing w:after="120" w:line="240" w:lineRule="auto"/>
        <w:jc w:val="both"/>
        <w:rPr>
          <w:rFonts w:cstheme="minorHAnsi"/>
          <w:color w:val="281E1E"/>
          <w:sz w:val="24"/>
          <w:szCs w:val="24"/>
          <w:shd w:val="clear" w:color="auto" w:fill="FFFFFF"/>
        </w:rPr>
      </w:pPr>
      <w:r w:rsidRPr="003C7CB1">
        <w:rPr>
          <w:rFonts w:cstheme="minorHAnsi"/>
          <w:color w:val="281E1E"/>
          <w:sz w:val="24"/>
          <w:szCs w:val="24"/>
          <w:shd w:val="clear" w:color="auto" w:fill="FFFFFF"/>
        </w:rPr>
        <w:t xml:space="preserve">As it is most important to provide tourists with a memorable experience, it is necessary to improve many skills of service providers, such as communication skills, knowledge of foreign languages, IT skills, but also practical knowledge and competencies of operational staff in tourism and hospitality facilities (receptionists, waiters, </w:t>
      </w:r>
      <w:r w:rsidR="00861D69" w:rsidRPr="003C7CB1">
        <w:rPr>
          <w:rFonts w:cstheme="minorHAnsi"/>
          <w:color w:val="281E1E"/>
          <w:sz w:val="24"/>
          <w:szCs w:val="24"/>
          <w:shd w:val="clear" w:color="auto" w:fill="FFFFFF"/>
        </w:rPr>
        <w:t>maids,</w:t>
      </w:r>
      <w:r w:rsidRPr="003C7CB1">
        <w:rPr>
          <w:rFonts w:cstheme="minorHAnsi"/>
          <w:color w:val="281E1E"/>
          <w:sz w:val="24"/>
          <w:szCs w:val="24"/>
          <w:shd w:val="clear" w:color="auto" w:fill="FFFFFF"/>
        </w:rPr>
        <w:t xml:space="preserve"> chefs, tourist guides, etc.), staff involved in the transport segment, but also quality managerial staff which is lacking. Following the modern trends, the necessity of continuous implementation of trainings for employees in tourism and raising the level of expertise and competencies of the workforce is </w:t>
      </w:r>
      <w:r w:rsidR="00861D69" w:rsidRPr="003C7CB1">
        <w:rPr>
          <w:rFonts w:cstheme="minorHAnsi"/>
          <w:color w:val="281E1E"/>
          <w:sz w:val="24"/>
          <w:szCs w:val="24"/>
          <w:shd w:val="clear" w:color="auto" w:fill="FFFFFF"/>
        </w:rPr>
        <w:t>emphasized.</w:t>
      </w:r>
      <w:r w:rsidR="00765B94">
        <w:rPr>
          <w:rFonts w:cs="Arial"/>
          <w:sz w:val="24"/>
          <w:szCs w:val="24"/>
        </w:rPr>
        <w:t xml:space="preserve">                                                                                                   </w:t>
      </w:r>
    </w:p>
    <w:p w14:paraId="4E5311C8" w14:textId="77777777" w:rsidR="002D12BA" w:rsidRPr="003C7CB1" w:rsidRDefault="002D12BA" w:rsidP="00E372B9">
      <w:pPr>
        <w:spacing w:after="120" w:line="240" w:lineRule="auto"/>
        <w:jc w:val="both"/>
        <w:rPr>
          <w:rFonts w:cstheme="minorHAnsi"/>
          <w:color w:val="281E1E"/>
          <w:sz w:val="24"/>
          <w:szCs w:val="24"/>
          <w:shd w:val="clear" w:color="auto" w:fill="FFFFFF"/>
        </w:rPr>
      </w:pPr>
    </w:p>
    <w:p w14:paraId="63DE1260" w14:textId="4246EA24" w:rsidR="00AD6E37" w:rsidRPr="003C7CB1" w:rsidRDefault="00750A99" w:rsidP="008F7D0F">
      <w:pPr>
        <w:pStyle w:val="Heading2"/>
        <w:spacing w:before="0" w:after="120" w:line="240" w:lineRule="auto"/>
        <w:jc w:val="both"/>
        <w:rPr>
          <w:sz w:val="26"/>
        </w:rPr>
      </w:pPr>
      <w:bookmarkStart w:id="235" w:name="_Toc95303049"/>
      <w:bookmarkStart w:id="236" w:name="_Toc104544211"/>
      <w:r w:rsidRPr="003C7CB1">
        <w:rPr>
          <w:sz w:val="26"/>
        </w:rPr>
        <w:t>1</w:t>
      </w:r>
      <w:r w:rsidR="00297E7E" w:rsidRPr="003C7CB1">
        <w:rPr>
          <w:sz w:val="26"/>
        </w:rPr>
        <w:t>4</w:t>
      </w:r>
      <w:r w:rsidRPr="003C7CB1">
        <w:rPr>
          <w:sz w:val="26"/>
        </w:rPr>
        <w:t xml:space="preserve">.6. </w:t>
      </w:r>
      <w:bookmarkEnd w:id="235"/>
      <w:r w:rsidR="006D3DA2" w:rsidRPr="003C7CB1">
        <w:rPr>
          <w:sz w:val="26"/>
        </w:rPr>
        <w:t>Operational goal 6 - Development of digital, innovative solutions and new technologies in tourism</w:t>
      </w:r>
      <w:bookmarkEnd w:id="236"/>
    </w:p>
    <w:p w14:paraId="5973DC38" w14:textId="47225770" w:rsidR="00D13146" w:rsidRPr="003C7CB1" w:rsidRDefault="006D3DA2" w:rsidP="00E372B9">
      <w:pPr>
        <w:spacing w:after="120" w:line="240" w:lineRule="auto"/>
        <w:jc w:val="both"/>
        <w:rPr>
          <w:rFonts w:cstheme="minorHAnsi"/>
          <w:sz w:val="24"/>
          <w:szCs w:val="24"/>
          <w:lang w:eastAsia="hr-HR"/>
        </w:rPr>
      </w:pPr>
      <w:r w:rsidRPr="003C7CB1">
        <w:rPr>
          <w:rFonts w:cstheme="minorHAnsi"/>
          <w:sz w:val="24"/>
          <w:szCs w:val="24"/>
          <w:lang w:eastAsia="hr-HR"/>
        </w:rPr>
        <w:t>The COVID-19 pandemic has conditioned the tourism sector to accelerate its digitalization and implement innovative technological solutions, in order for tourism to recover as soon as possible, while respecting the principle of sustainability. New travel trends and tourists that have become more demanding, new processes in service industries, IT platforms and mobile applications, "contact-less" alternatives, are just some of the digital starting points and solutions that today's tourists expect. Although all of the above is in the function of simplifying and accelerating tourist movements, tourists have in fact become more careful and demanding by applying these trends, and they insist on them. This is especially true for the high-paying clientele, which takes great care of the mentioned, newly created norms when choosing a destination. Tourist demand has become more specific, and thus the offer that adapts to it</w:t>
      </w:r>
      <w:r w:rsidR="00D13146" w:rsidRPr="003C7CB1">
        <w:rPr>
          <w:rFonts w:cstheme="minorHAnsi"/>
          <w:sz w:val="24"/>
          <w:szCs w:val="24"/>
          <w:lang w:eastAsia="hr-HR"/>
        </w:rPr>
        <w:t xml:space="preserve">. </w:t>
      </w:r>
    </w:p>
    <w:p w14:paraId="6B800A17" w14:textId="30931565" w:rsidR="006D3DA2" w:rsidRPr="003C7CB1" w:rsidRDefault="006D3DA2" w:rsidP="006D3DA2">
      <w:pPr>
        <w:spacing w:after="120" w:line="240" w:lineRule="auto"/>
        <w:jc w:val="both"/>
        <w:rPr>
          <w:rFonts w:cstheme="minorHAnsi"/>
          <w:sz w:val="24"/>
          <w:szCs w:val="24"/>
          <w:lang w:eastAsia="hr-HR"/>
        </w:rPr>
      </w:pPr>
      <w:r w:rsidRPr="003C7CB1">
        <w:rPr>
          <w:rFonts w:cstheme="minorHAnsi"/>
          <w:sz w:val="24"/>
          <w:szCs w:val="24"/>
          <w:lang w:eastAsia="hr-HR"/>
        </w:rPr>
        <w:t>Digitalization and innovation are primarily related to the safety and security of tourists and locals. Better visibility through technological tools is a new opportunity for everyone, from those who are positioning themselves on the market for the first time, through those who want to improve their position, to destinations with a high level of developed infrastructure. Thus, digitalization and innovative technological solutions improve productivity, as well as the resilience of destinations, which is a guarantee of better adaptation to crises.</w:t>
      </w:r>
    </w:p>
    <w:p w14:paraId="1811FF5F" w14:textId="2A100E91" w:rsidR="00750A99" w:rsidRPr="003C7CB1" w:rsidRDefault="006D3DA2" w:rsidP="006D3DA2">
      <w:pPr>
        <w:spacing w:after="120" w:line="240" w:lineRule="auto"/>
        <w:jc w:val="both"/>
        <w:rPr>
          <w:rFonts w:cstheme="minorHAnsi"/>
          <w:sz w:val="24"/>
          <w:szCs w:val="24"/>
          <w:lang w:eastAsia="hr-HR"/>
        </w:rPr>
      </w:pPr>
      <w:r w:rsidRPr="003C7CB1">
        <w:rPr>
          <w:rFonts w:cstheme="minorHAnsi"/>
          <w:sz w:val="24"/>
          <w:szCs w:val="24"/>
          <w:lang w:eastAsia="hr-HR"/>
        </w:rPr>
        <w:t>Therefore, digitalization and innovations in tourism will be focused on supporting tourism service providers, encouraging the development and promotion of tourism in a sustainable and inclusive way, encouraging tourism experiences, quality content with a focus on cultural heritage and above all the authenticity of the destination</w:t>
      </w:r>
      <w:r w:rsidR="00D13146" w:rsidRPr="003C7CB1">
        <w:rPr>
          <w:rFonts w:cstheme="minorHAnsi"/>
          <w:sz w:val="24"/>
          <w:szCs w:val="24"/>
          <w:lang w:eastAsia="hr-HR"/>
        </w:rPr>
        <w:t>.</w:t>
      </w:r>
    </w:p>
    <w:p w14:paraId="5B545879" w14:textId="77777777" w:rsidR="00CD5021" w:rsidRPr="003C7CB1" w:rsidRDefault="00CD5021" w:rsidP="00E372B9">
      <w:pPr>
        <w:pStyle w:val="Heading3"/>
        <w:spacing w:before="0" w:after="120" w:line="240" w:lineRule="auto"/>
        <w:rPr>
          <w:b/>
          <w:color w:val="2F5496" w:themeColor="accent1" w:themeShade="BF"/>
        </w:rPr>
      </w:pPr>
    </w:p>
    <w:p w14:paraId="057E9E02" w14:textId="0241A26D" w:rsidR="00892B89" w:rsidRPr="003C7CB1" w:rsidRDefault="00892B89" w:rsidP="00CD5021">
      <w:pPr>
        <w:pStyle w:val="Heading3"/>
        <w:spacing w:before="0" w:after="120" w:line="240" w:lineRule="auto"/>
        <w:rPr>
          <w:b/>
          <w:color w:val="2F5496" w:themeColor="accent1" w:themeShade="BF"/>
        </w:rPr>
      </w:pPr>
      <w:bookmarkStart w:id="237" w:name="_Toc95303050"/>
      <w:bookmarkStart w:id="238" w:name="_Toc104544212"/>
      <w:r w:rsidRPr="003C7CB1">
        <w:rPr>
          <w:b/>
          <w:color w:val="2F5496" w:themeColor="accent1" w:themeShade="BF"/>
        </w:rPr>
        <w:t>1</w:t>
      </w:r>
      <w:r w:rsidR="00297E7E" w:rsidRPr="003C7CB1">
        <w:rPr>
          <w:b/>
          <w:color w:val="2F5496" w:themeColor="accent1" w:themeShade="BF"/>
        </w:rPr>
        <w:t>4</w:t>
      </w:r>
      <w:r w:rsidRPr="003C7CB1">
        <w:rPr>
          <w:b/>
          <w:color w:val="2F5496" w:themeColor="accent1" w:themeShade="BF"/>
        </w:rPr>
        <w:t xml:space="preserve">.6.1. </w:t>
      </w:r>
      <w:bookmarkEnd w:id="237"/>
      <w:r w:rsidR="006D3DA2" w:rsidRPr="003C7CB1">
        <w:rPr>
          <w:b/>
          <w:color w:val="2F5496" w:themeColor="accent1" w:themeShade="BF"/>
        </w:rPr>
        <w:t>Strengthening and optimization of the national statistical system</w:t>
      </w:r>
      <w:bookmarkEnd w:id="238"/>
    </w:p>
    <w:p w14:paraId="65806992" w14:textId="3A936209" w:rsidR="00892B89" w:rsidRPr="003C7CB1" w:rsidRDefault="00A72785" w:rsidP="00A72785">
      <w:pPr>
        <w:spacing w:after="120" w:line="240" w:lineRule="auto"/>
        <w:jc w:val="both"/>
        <w:rPr>
          <w:sz w:val="24"/>
          <w:szCs w:val="24"/>
        </w:rPr>
      </w:pPr>
      <w:r w:rsidRPr="003C7CB1">
        <w:rPr>
          <w:sz w:val="24"/>
          <w:szCs w:val="24"/>
        </w:rPr>
        <w:t>Monitoring of touris</w:t>
      </w:r>
      <w:r w:rsidR="0051477C">
        <w:rPr>
          <w:sz w:val="24"/>
          <w:szCs w:val="24"/>
        </w:rPr>
        <w:t>m turnover</w:t>
      </w:r>
      <w:r w:rsidRPr="003C7CB1">
        <w:rPr>
          <w:sz w:val="24"/>
          <w:szCs w:val="24"/>
        </w:rPr>
        <w:t xml:space="preserve"> and quantification of results essentially condition strategic planning in tourism. One of the indicators of success and progress in the development of a tourist destination is the achieved touris</w:t>
      </w:r>
      <w:r w:rsidR="0051477C">
        <w:rPr>
          <w:sz w:val="24"/>
          <w:szCs w:val="24"/>
        </w:rPr>
        <w:t>m turnover</w:t>
      </w:r>
      <w:r w:rsidRPr="003C7CB1">
        <w:rPr>
          <w:sz w:val="24"/>
          <w:szCs w:val="24"/>
        </w:rPr>
        <w:t xml:space="preserve"> expressed thro</w:t>
      </w:r>
      <w:r w:rsidR="00C65FFD">
        <w:rPr>
          <w:sz w:val="24"/>
          <w:szCs w:val="24"/>
        </w:rPr>
        <w:t>ugh the number of tourists and achieved</w:t>
      </w:r>
      <w:r w:rsidRPr="003C7CB1">
        <w:rPr>
          <w:sz w:val="24"/>
          <w:szCs w:val="24"/>
        </w:rPr>
        <w:t xml:space="preserve"> overnight stays, as a precondition for realistic determination and projecting of economic policy goals, objective review of achieved results, as well as for the proper determination of Montenegro's position in the international framework</w:t>
      </w:r>
      <w:r w:rsidR="00892B89" w:rsidRPr="003C7CB1">
        <w:rPr>
          <w:sz w:val="24"/>
          <w:szCs w:val="24"/>
        </w:rPr>
        <w:t>.</w:t>
      </w:r>
    </w:p>
    <w:p w14:paraId="0A5F04BF" w14:textId="5BF69A52" w:rsidR="00892B89" w:rsidRPr="003C7CB1" w:rsidRDefault="00A72785" w:rsidP="00A72785">
      <w:pPr>
        <w:spacing w:after="120" w:line="240" w:lineRule="auto"/>
        <w:jc w:val="both"/>
        <w:rPr>
          <w:sz w:val="24"/>
          <w:szCs w:val="24"/>
        </w:rPr>
      </w:pPr>
      <w:r w:rsidRPr="003C7CB1">
        <w:rPr>
          <w:sz w:val="24"/>
          <w:szCs w:val="24"/>
        </w:rPr>
        <w:t>Considering that we do not have reliable official statistical data, which refer to individual, so-called “private accommodation”, nor approximate data on the participation of the gray economy, as well as the fact that the official statistical processing body, the Statistical Office–MONSTAT, at the end of the current month publishes data for the previous month and only for collective accommodation, and in the first quarter of the year data on registered individual accommodation for the previous year, it is concluded that the current parameters in tourism cannot be monitored. It is necessary to improve the methodology of data collection and the accuracy of the methodology, in order to present data in real time, in all types of accommodation in a way that improves the existing administrative data sources</w:t>
      </w:r>
      <w:r w:rsidR="001B5D9E" w:rsidRPr="003C7CB1">
        <w:rPr>
          <w:sz w:val="24"/>
          <w:szCs w:val="24"/>
        </w:rPr>
        <w:t>.</w:t>
      </w:r>
      <w:r w:rsidR="0097644E" w:rsidRPr="003C7CB1">
        <w:rPr>
          <w:sz w:val="24"/>
          <w:szCs w:val="24"/>
        </w:rPr>
        <w:t xml:space="preserve"> </w:t>
      </w:r>
      <w:r w:rsidRPr="003C7CB1">
        <w:rPr>
          <w:sz w:val="24"/>
          <w:szCs w:val="24"/>
        </w:rPr>
        <w:t xml:space="preserve">They would thus provide accurate information on the basis of which data would be processed according to the European methodology prescribed by EUROSTAT, which also meets national data needs. Of crucial importance is the possibility that during the tourist seasons (winter and </w:t>
      </w:r>
      <w:r w:rsidRPr="003C7CB1">
        <w:rPr>
          <w:sz w:val="24"/>
          <w:szCs w:val="24"/>
        </w:rPr>
        <w:lastRenderedPageBreak/>
        <w:t>summer) we can monitor the development of</w:t>
      </w:r>
      <w:r w:rsidR="00820ABA">
        <w:rPr>
          <w:sz w:val="24"/>
          <w:szCs w:val="24"/>
        </w:rPr>
        <w:t xml:space="preserve"> turnover </w:t>
      </w:r>
      <w:r w:rsidRPr="003C7CB1">
        <w:rPr>
          <w:sz w:val="24"/>
          <w:szCs w:val="24"/>
        </w:rPr>
        <w:t xml:space="preserve"> in the tourism sector, with the aim of making good and timely decisions in the future</w:t>
      </w:r>
      <w:r w:rsidR="00892B89" w:rsidRPr="003C7CB1">
        <w:rPr>
          <w:sz w:val="24"/>
          <w:szCs w:val="24"/>
        </w:rPr>
        <w:t>.</w:t>
      </w:r>
    </w:p>
    <w:p w14:paraId="7A45CCC7" w14:textId="2BF1AAFD" w:rsidR="00892B89" w:rsidRPr="003C7CB1" w:rsidRDefault="00EE2E7D" w:rsidP="00CD5021">
      <w:pPr>
        <w:spacing w:after="120" w:line="240" w:lineRule="auto"/>
        <w:jc w:val="both"/>
        <w:rPr>
          <w:sz w:val="24"/>
          <w:szCs w:val="24"/>
        </w:rPr>
      </w:pPr>
      <w:r w:rsidRPr="003C7CB1">
        <w:rPr>
          <w:sz w:val="24"/>
          <w:szCs w:val="24"/>
        </w:rPr>
        <w:t>In order to overcome the shortcomings related to the coverage of touris</w:t>
      </w:r>
      <w:r w:rsidR="00820ABA">
        <w:rPr>
          <w:sz w:val="24"/>
          <w:szCs w:val="24"/>
        </w:rPr>
        <w:t>m turnover</w:t>
      </w:r>
      <w:r w:rsidRPr="003C7CB1">
        <w:rPr>
          <w:sz w:val="24"/>
          <w:szCs w:val="24"/>
        </w:rPr>
        <w:t xml:space="preserve"> and its monitoring in real time, as well as unification and faster availability of data, the Ministry in charge of tourism will implement a project of creating an information system with accompanying mobile application for monitoring tourist parameters. The system will ensure the consolidation of data on touris</w:t>
      </w:r>
      <w:r w:rsidR="00820ABA">
        <w:rPr>
          <w:sz w:val="24"/>
          <w:szCs w:val="24"/>
        </w:rPr>
        <w:t>m turnover</w:t>
      </w:r>
      <w:r w:rsidRPr="003C7CB1">
        <w:rPr>
          <w:sz w:val="24"/>
          <w:szCs w:val="24"/>
        </w:rPr>
        <w:t xml:space="preserve"> through the reform of all institutions and organizations that participate in its creation. It is envisaged that the process system through the application will enable the creation of different types of reports and automatically consolidate information in real time</w:t>
      </w:r>
      <w:r w:rsidR="00892B89" w:rsidRPr="003C7CB1">
        <w:rPr>
          <w:sz w:val="24"/>
          <w:szCs w:val="24"/>
        </w:rPr>
        <w:t>.</w:t>
      </w:r>
    </w:p>
    <w:p w14:paraId="62CDF3BD" w14:textId="286BBDDB" w:rsidR="00975A57" w:rsidRPr="003C7CB1" w:rsidRDefault="00EE2E7D" w:rsidP="00CD5021">
      <w:pPr>
        <w:spacing w:after="120" w:line="240" w:lineRule="auto"/>
        <w:jc w:val="both"/>
        <w:rPr>
          <w:sz w:val="24"/>
          <w:szCs w:val="24"/>
        </w:rPr>
      </w:pPr>
      <w:r w:rsidRPr="003C7CB1">
        <w:rPr>
          <w:sz w:val="24"/>
          <w:szCs w:val="24"/>
        </w:rPr>
        <w:t>The application will be an integrated information system that will connect all necessary institutions and organizations whose data will contribute to quality and accurate calculation of touris</w:t>
      </w:r>
      <w:r w:rsidR="00F0564D">
        <w:rPr>
          <w:sz w:val="24"/>
          <w:szCs w:val="24"/>
        </w:rPr>
        <w:t>m turnover</w:t>
      </w:r>
      <w:r w:rsidRPr="003C7CB1">
        <w:rPr>
          <w:sz w:val="24"/>
          <w:szCs w:val="24"/>
        </w:rPr>
        <w:t>, provide daily insight into the situation and represent a single database with data on accommodation facilities and accommodation providers,</w:t>
      </w:r>
      <w:r w:rsidR="00214ED3" w:rsidRPr="003C7CB1">
        <w:rPr>
          <w:sz w:val="24"/>
          <w:szCs w:val="24"/>
        </w:rPr>
        <w:t xml:space="preserve"> number and structure of guests,</w:t>
      </w:r>
      <w:r w:rsidRPr="003C7CB1">
        <w:rPr>
          <w:sz w:val="24"/>
          <w:szCs w:val="24"/>
        </w:rPr>
        <w:t xml:space="preserve"> destinations from which tourists come, check-in and check-out of tourists in order to better collect tourist tax and other taxes and duties, and will generate different types of reports, all with the aim of more realistic view of revenue generation in the tourism sector, thanks to better strategic planning</w:t>
      </w:r>
      <w:r w:rsidR="00892B89" w:rsidRPr="003C7CB1">
        <w:rPr>
          <w:sz w:val="24"/>
          <w:szCs w:val="24"/>
        </w:rPr>
        <w:t xml:space="preserve">. </w:t>
      </w:r>
      <w:r w:rsidR="00214ED3" w:rsidRPr="003C7CB1">
        <w:rPr>
          <w:sz w:val="24"/>
          <w:szCs w:val="24"/>
        </w:rPr>
        <w:t xml:space="preserve">Also, the application will enable all interested state bodies: the Ministry in charge of tourism, the Ministry in charge of finance, the National Tourism Organization of Montenegro, the </w:t>
      </w:r>
      <w:r w:rsidR="008F3924" w:rsidRPr="003C7CB1">
        <w:rPr>
          <w:sz w:val="24"/>
          <w:szCs w:val="24"/>
        </w:rPr>
        <w:t>Statistical Office of Montenegro</w:t>
      </w:r>
      <w:r w:rsidR="00214ED3" w:rsidRPr="003C7CB1">
        <w:rPr>
          <w:sz w:val="24"/>
          <w:szCs w:val="24"/>
        </w:rPr>
        <w:t xml:space="preserve">- MONSTAT, the Ministry of Interior, the </w:t>
      </w:r>
      <w:r w:rsidR="008F3924" w:rsidRPr="003C7CB1">
        <w:rPr>
          <w:sz w:val="24"/>
          <w:szCs w:val="24"/>
        </w:rPr>
        <w:t>Administration</w:t>
      </w:r>
      <w:r w:rsidR="00214ED3" w:rsidRPr="003C7CB1">
        <w:rPr>
          <w:sz w:val="24"/>
          <w:szCs w:val="24"/>
        </w:rPr>
        <w:t xml:space="preserve"> for Inspection Affairs, the Revenue and Customs Administration, the Central Bank of Montenegro, etc., to use the data from the system to exercise their statutory competencies, without additional administrative requirements or barriers, in a very simple way, which will have numerous administrative and financial benefits for these state institutions.</w:t>
      </w:r>
    </w:p>
    <w:p w14:paraId="120C86D5" w14:textId="77777777" w:rsidR="00C03303" w:rsidRPr="003C7CB1" w:rsidRDefault="00C03303" w:rsidP="00CD5021">
      <w:pPr>
        <w:spacing w:after="120" w:line="240" w:lineRule="auto"/>
        <w:jc w:val="both"/>
        <w:rPr>
          <w:sz w:val="24"/>
          <w:szCs w:val="24"/>
        </w:rPr>
      </w:pPr>
    </w:p>
    <w:p w14:paraId="059D65CF" w14:textId="411F82E5" w:rsidR="00BA49C8" w:rsidRPr="003C7CB1" w:rsidRDefault="00A37F23" w:rsidP="00CD5021">
      <w:pPr>
        <w:pStyle w:val="Heading2"/>
        <w:spacing w:after="120" w:line="240" w:lineRule="auto"/>
        <w:rPr>
          <w:sz w:val="26"/>
        </w:rPr>
      </w:pPr>
      <w:bookmarkStart w:id="239" w:name="_Toc95303051"/>
      <w:bookmarkStart w:id="240" w:name="_Toc104544213"/>
      <w:r w:rsidRPr="003C7CB1">
        <w:rPr>
          <w:sz w:val="26"/>
        </w:rPr>
        <w:t>1</w:t>
      </w:r>
      <w:r w:rsidR="00E729DA" w:rsidRPr="003C7CB1">
        <w:rPr>
          <w:sz w:val="26"/>
        </w:rPr>
        <w:t>4</w:t>
      </w:r>
      <w:r w:rsidR="000919A2" w:rsidRPr="003C7CB1">
        <w:rPr>
          <w:sz w:val="26"/>
        </w:rPr>
        <w:t xml:space="preserve">.7. </w:t>
      </w:r>
      <w:bookmarkEnd w:id="239"/>
      <w:r w:rsidR="008F3924" w:rsidRPr="003C7CB1">
        <w:rPr>
          <w:sz w:val="26"/>
        </w:rPr>
        <w:t>Operational goal 7 - Montenegro - a globally recognized tourist destination</w:t>
      </w:r>
      <w:bookmarkEnd w:id="240"/>
    </w:p>
    <w:p w14:paraId="0257742B" w14:textId="0849A34B" w:rsidR="00F47B9C" w:rsidRPr="003C7CB1" w:rsidRDefault="008F3924" w:rsidP="008F3924">
      <w:pPr>
        <w:spacing w:after="120" w:line="240" w:lineRule="auto"/>
        <w:jc w:val="both"/>
        <w:rPr>
          <w:rFonts w:cstheme="minorHAnsi"/>
          <w:sz w:val="24"/>
          <w:szCs w:val="24"/>
          <w:lang w:eastAsia="hr-HR"/>
        </w:rPr>
      </w:pPr>
      <w:r w:rsidRPr="003C7CB1">
        <w:rPr>
          <w:rFonts w:cstheme="minorHAnsi"/>
          <w:sz w:val="24"/>
          <w:szCs w:val="24"/>
          <w:lang w:eastAsia="hr-HR"/>
        </w:rPr>
        <w:t xml:space="preserve">Destination Management Organization (DMO) means the process of managing all the elements that make up the destination, </w:t>
      </w:r>
      <w:r w:rsidR="00861D69" w:rsidRPr="003C7CB1">
        <w:rPr>
          <w:rFonts w:cstheme="minorHAnsi"/>
          <w:sz w:val="24"/>
          <w:szCs w:val="24"/>
          <w:lang w:eastAsia="hr-HR"/>
        </w:rPr>
        <w:t>i.e.</w:t>
      </w:r>
      <w:r w:rsidRPr="003C7CB1">
        <w:rPr>
          <w:rFonts w:cstheme="minorHAnsi"/>
          <w:sz w:val="24"/>
          <w:szCs w:val="24"/>
          <w:lang w:eastAsia="hr-HR"/>
        </w:rPr>
        <w:t xml:space="preserve"> coordinated actions aimed at improving the economic, socio-cultural and environmental dimensions of the tourist destination. This new concept implies overall management, not just destination marketing. Thus, destination management has a strategic approach to connecting all entities, which often act out of sync, in order to better manage the destination. As such, DMO includes the process of market research, planning, organization and coordination of management of all aspects of the destination, to improve the tourist experience and increase the benefits of local people, with the integration of micro tourism products into diversified and comprehensive destination tourism offer</w:t>
      </w:r>
      <w:r w:rsidR="00A209CD" w:rsidRPr="003C7CB1">
        <w:rPr>
          <w:rFonts w:cstheme="minorHAnsi"/>
          <w:sz w:val="24"/>
          <w:szCs w:val="24"/>
          <w:lang w:eastAsia="hr-HR"/>
        </w:rPr>
        <w:t xml:space="preserve">. </w:t>
      </w:r>
      <w:r w:rsidRPr="003C7CB1">
        <w:rPr>
          <w:rFonts w:cstheme="minorHAnsi"/>
          <w:sz w:val="24"/>
          <w:szCs w:val="24"/>
          <w:lang w:eastAsia="hr-HR"/>
        </w:rPr>
        <w:t xml:space="preserve">DMO involves strategic, organizational and operational decisions aimed at commercializing a tourist destination, and includes public and private stakeholders operating within the partnership model, from the aspect of participation but also financing. DMO can be recognized in the form of (national) tourism councils or other accredited bodies and organizations, it should be a strategic leader in destination development. Thus, from the traditional marketing and promotional focus, the trend is to form a leading DMO organization with a broader mandate, which includes strategic planning, coordination and management of activities within the state structure, </w:t>
      </w:r>
      <w:r w:rsidR="00BD21B0" w:rsidRPr="003C7CB1">
        <w:rPr>
          <w:rFonts w:cstheme="minorHAnsi"/>
          <w:sz w:val="24"/>
          <w:szCs w:val="24"/>
          <w:lang w:eastAsia="hr-HR"/>
        </w:rPr>
        <w:t>integrating the private sector and all interested stakeholders into its work</w:t>
      </w:r>
      <w:r w:rsidR="00F47B9C" w:rsidRPr="003C7CB1">
        <w:rPr>
          <w:rFonts w:cstheme="minorHAnsi"/>
          <w:sz w:val="24"/>
          <w:szCs w:val="24"/>
          <w:lang w:eastAsia="hr-HR"/>
        </w:rPr>
        <w:t>.</w:t>
      </w:r>
      <w:r w:rsidR="00F47B9C" w:rsidRPr="003C7CB1">
        <w:rPr>
          <w:rFonts w:cstheme="minorHAnsi"/>
          <w:b/>
          <w:sz w:val="24"/>
          <w:szCs w:val="24"/>
          <w:lang w:eastAsia="hr-HR"/>
        </w:rPr>
        <w:t xml:space="preserve"> </w:t>
      </w:r>
    </w:p>
    <w:p w14:paraId="70105169" w14:textId="77777777" w:rsidR="00F47B9C" w:rsidRPr="003C7CB1" w:rsidRDefault="00F47B9C" w:rsidP="00CD5021">
      <w:pPr>
        <w:spacing w:after="120" w:line="240" w:lineRule="auto"/>
        <w:jc w:val="both"/>
        <w:rPr>
          <w:rFonts w:cstheme="minorHAnsi"/>
          <w:sz w:val="24"/>
          <w:szCs w:val="24"/>
          <w:lang w:eastAsia="hr-HR"/>
        </w:rPr>
      </w:pPr>
    </w:p>
    <w:p w14:paraId="3D102767" w14:textId="77777777" w:rsidR="00781740" w:rsidRPr="003C7CB1" w:rsidRDefault="00781740" w:rsidP="00781740">
      <w:pPr>
        <w:spacing w:after="120"/>
        <w:jc w:val="center"/>
        <w:rPr>
          <w:rFonts w:cstheme="minorHAnsi"/>
          <w:sz w:val="24"/>
          <w:szCs w:val="24"/>
          <w:lang w:eastAsia="hr-HR"/>
        </w:rPr>
      </w:pPr>
      <w:r w:rsidRPr="003C7CB1">
        <w:rPr>
          <w:noProof/>
        </w:rPr>
        <w:drawing>
          <wp:inline distT="0" distB="0" distL="0" distR="0" wp14:anchorId="4F95192E" wp14:editId="25F3D460">
            <wp:extent cx="4352925" cy="2458122"/>
            <wp:effectExtent l="0" t="0" r="0" b="0"/>
            <wp:docPr id="4" name="Picture 4" descr="Destination management context (UNWTO, 2007, p.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tination management context (UNWTO, 2007, p.4)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52991" cy="2458159"/>
                    </a:xfrm>
                    <a:prstGeom prst="rect">
                      <a:avLst/>
                    </a:prstGeom>
                    <a:noFill/>
                    <a:ln>
                      <a:noFill/>
                    </a:ln>
                  </pic:spPr>
                </pic:pic>
              </a:graphicData>
            </a:graphic>
          </wp:inline>
        </w:drawing>
      </w:r>
    </w:p>
    <w:p w14:paraId="2FC4675F" w14:textId="63A04F25" w:rsidR="00781740" w:rsidRPr="003C7CB1" w:rsidRDefault="00BD21B0" w:rsidP="00CD5021">
      <w:pPr>
        <w:spacing w:after="120" w:line="240" w:lineRule="auto"/>
        <w:rPr>
          <w:rFonts w:cstheme="minorHAnsi"/>
          <w:lang w:eastAsia="hr-HR"/>
        </w:rPr>
      </w:pPr>
      <w:r w:rsidRPr="003C7CB1">
        <w:rPr>
          <w:rFonts w:cstheme="minorHAnsi"/>
          <w:lang w:eastAsia="hr-HR"/>
        </w:rPr>
        <w:t>Source</w:t>
      </w:r>
      <w:r w:rsidR="00781740" w:rsidRPr="003C7CB1">
        <w:rPr>
          <w:rFonts w:cstheme="minorHAnsi"/>
          <w:lang w:eastAsia="hr-HR"/>
        </w:rPr>
        <w:t xml:space="preserve">: </w:t>
      </w:r>
      <w:hyperlink r:id="rId88" w:history="1">
        <w:r w:rsidR="000C2A4B" w:rsidRPr="003C7CB1">
          <w:rPr>
            <w:rStyle w:val="Hyperlink"/>
            <w:rFonts w:cstheme="minorHAnsi"/>
            <w:lang w:eastAsia="hr-HR"/>
          </w:rPr>
          <w:t>https://www.unwto.org/policy-destination-management</w:t>
        </w:r>
      </w:hyperlink>
      <w:r w:rsidR="000C2A4B" w:rsidRPr="003C7CB1">
        <w:rPr>
          <w:rFonts w:cstheme="minorHAnsi"/>
          <w:lang w:eastAsia="hr-HR"/>
        </w:rPr>
        <w:t xml:space="preserve"> </w:t>
      </w:r>
    </w:p>
    <w:p w14:paraId="1CBE6FE5" w14:textId="7FAF4C64" w:rsidR="00975A57" w:rsidRPr="003C7CB1" w:rsidRDefault="00BD21B0" w:rsidP="00BD21B0">
      <w:pPr>
        <w:spacing w:after="120" w:line="240" w:lineRule="auto"/>
        <w:jc w:val="both"/>
        <w:rPr>
          <w:rFonts w:cstheme="minorHAnsi"/>
          <w:sz w:val="24"/>
          <w:szCs w:val="24"/>
          <w:lang w:eastAsia="hr-HR"/>
        </w:rPr>
      </w:pPr>
      <w:r w:rsidRPr="003C7CB1">
        <w:rPr>
          <w:rFonts w:cstheme="minorHAnsi"/>
          <w:sz w:val="24"/>
          <w:szCs w:val="24"/>
          <w:lang w:eastAsia="hr-HR"/>
        </w:rPr>
        <w:t>The concept of destination marketing includes the process of research, promotion, branding, destination image management, and creating its superior position in relation to the competition, as well as communications aimed at attracting tourists and investors through various communication channels, emphasizing its potentials that make it unique. So, destination marketing helps to position the destination as an attractive brand, superior to alternatives, emphasizing the things that make it desirable and unique, while destination management represents a strategic destination management approach</w:t>
      </w:r>
      <w:r w:rsidR="0098785D" w:rsidRPr="003C7CB1">
        <w:rPr>
          <w:rFonts w:cstheme="minorHAnsi"/>
          <w:sz w:val="24"/>
          <w:szCs w:val="24"/>
          <w:lang w:eastAsia="hr-HR"/>
        </w:rPr>
        <w:t xml:space="preserve">.  </w:t>
      </w:r>
    </w:p>
    <w:p w14:paraId="50D76980" w14:textId="77777777" w:rsidR="00C03303" w:rsidRPr="003C7CB1" w:rsidRDefault="00C03303" w:rsidP="00CD5021">
      <w:pPr>
        <w:spacing w:after="120" w:line="240" w:lineRule="auto"/>
        <w:jc w:val="both"/>
        <w:rPr>
          <w:rFonts w:cstheme="minorHAnsi"/>
          <w:sz w:val="24"/>
          <w:szCs w:val="24"/>
          <w:lang w:eastAsia="hr-HR"/>
        </w:rPr>
      </w:pPr>
    </w:p>
    <w:p w14:paraId="72F72E03" w14:textId="39C99219" w:rsidR="002305AF" w:rsidRPr="003C7CB1" w:rsidRDefault="00BD21B0" w:rsidP="00BD21B0">
      <w:pPr>
        <w:pStyle w:val="ListParagraph"/>
        <w:numPr>
          <w:ilvl w:val="0"/>
          <w:numId w:val="52"/>
        </w:numPr>
        <w:spacing w:after="120" w:line="240" w:lineRule="auto"/>
        <w:jc w:val="both"/>
        <w:rPr>
          <w:rFonts w:cstheme="minorHAnsi"/>
          <w:b/>
          <w:color w:val="2F5496" w:themeColor="accent1" w:themeShade="BF"/>
          <w:sz w:val="24"/>
          <w:szCs w:val="24"/>
          <w:lang w:eastAsia="hr-HR"/>
        </w:rPr>
      </w:pPr>
      <w:bookmarkStart w:id="241" w:name="_Hlk86604408"/>
      <w:r w:rsidRPr="003C7CB1">
        <w:rPr>
          <w:rFonts w:cstheme="minorHAnsi"/>
          <w:b/>
          <w:color w:val="2F5496" w:themeColor="accent1" w:themeShade="BF"/>
          <w:sz w:val="24"/>
          <w:szCs w:val="24"/>
          <w:lang w:eastAsia="hr-HR"/>
        </w:rPr>
        <w:t>Destination marketing and branding</w:t>
      </w:r>
      <w:r w:rsidR="002305AF" w:rsidRPr="003C7CB1">
        <w:rPr>
          <w:rFonts w:cstheme="minorHAnsi"/>
          <w:b/>
          <w:color w:val="2F5496" w:themeColor="accent1" w:themeShade="BF"/>
          <w:sz w:val="24"/>
          <w:szCs w:val="24"/>
          <w:lang w:eastAsia="hr-HR"/>
        </w:rPr>
        <w:t xml:space="preserve"> </w:t>
      </w:r>
    </w:p>
    <w:p w14:paraId="14CC97B0" w14:textId="233C2BE4" w:rsidR="005D1CE8" w:rsidRDefault="00BD21B0" w:rsidP="00CD5021">
      <w:pPr>
        <w:spacing w:after="120" w:line="240" w:lineRule="auto"/>
        <w:jc w:val="both"/>
        <w:rPr>
          <w:rFonts w:cstheme="minorHAnsi"/>
          <w:sz w:val="24"/>
          <w:szCs w:val="24"/>
        </w:rPr>
      </w:pPr>
      <w:r w:rsidRPr="003C7CB1">
        <w:rPr>
          <w:rFonts w:cstheme="minorHAnsi"/>
          <w:sz w:val="24"/>
          <w:szCs w:val="24"/>
        </w:rPr>
        <w:t>Destination branding is a strategy, while destination marketing is a set of tactical goals and tools used during the marketing and promotion process. Defining a destination brand is crucial for the successful implementation of marketing goals</w:t>
      </w:r>
      <w:r w:rsidR="002E08DC" w:rsidRPr="003C7CB1">
        <w:rPr>
          <w:rFonts w:cstheme="minorHAnsi"/>
          <w:sz w:val="24"/>
          <w:szCs w:val="24"/>
        </w:rPr>
        <w:t xml:space="preserve">. </w:t>
      </w:r>
    </w:p>
    <w:p w14:paraId="64D03989" w14:textId="77777777" w:rsidR="005D1CE8" w:rsidRDefault="005D1CE8" w:rsidP="005D1CE8">
      <w:pPr>
        <w:spacing w:after="120" w:line="240" w:lineRule="auto"/>
        <w:jc w:val="center"/>
        <w:rPr>
          <w:rFonts w:cstheme="minorHAnsi"/>
          <w:sz w:val="24"/>
          <w:szCs w:val="24"/>
        </w:rPr>
      </w:pPr>
      <w:r>
        <w:rPr>
          <w:noProof/>
        </w:rPr>
        <w:drawing>
          <wp:inline distT="0" distB="0" distL="0" distR="0" wp14:anchorId="78B3F0D2" wp14:editId="1EB5F81E">
            <wp:extent cx="4512945" cy="232623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51284" cy="2345996"/>
                    </a:xfrm>
                    <a:prstGeom prst="rect">
                      <a:avLst/>
                    </a:prstGeom>
                    <a:noFill/>
                    <a:ln>
                      <a:noFill/>
                    </a:ln>
                  </pic:spPr>
                </pic:pic>
              </a:graphicData>
            </a:graphic>
          </wp:inline>
        </w:drawing>
      </w:r>
      <w:bookmarkStart w:id="242" w:name="_Hlk86605700"/>
    </w:p>
    <w:p w14:paraId="40D3C7FF" w14:textId="6B422D49" w:rsidR="00892B89" w:rsidRPr="005D1CE8" w:rsidRDefault="00BD21B0" w:rsidP="005D1CE8">
      <w:pPr>
        <w:spacing w:after="120" w:line="240" w:lineRule="auto"/>
        <w:jc w:val="center"/>
        <w:rPr>
          <w:rFonts w:cstheme="minorHAnsi"/>
          <w:sz w:val="24"/>
          <w:szCs w:val="24"/>
        </w:rPr>
      </w:pPr>
      <w:r w:rsidRPr="003C7CB1">
        <w:rPr>
          <w:rFonts w:cstheme="minorHAnsi"/>
        </w:rPr>
        <w:t>Source</w:t>
      </w:r>
      <w:r w:rsidR="00017583" w:rsidRPr="003C7CB1">
        <w:rPr>
          <w:rFonts w:cstheme="minorHAnsi"/>
        </w:rPr>
        <w:t xml:space="preserve">: </w:t>
      </w:r>
      <w:hyperlink r:id="rId90" w:history="1">
        <w:r w:rsidR="00017583" w:rsidRPr="003C7CB1">
          <w:rPr>
            <w:rStyle w:val="Hyperlink"/>
            <w:rFonts w:cstheme="minorHAnsi"/>
          </w:rPr>
          <w:t>https://brandingcompass.com/</w:t>
        </w:r>
      </w:hyperlink>
    </w:p>
    <w:p w14:paraId="17AC5017" w14:textId="11F20F4D" w:rsidR="0082770C" w:rsidRPr="003C7CB1" w:rsidRDefault="00BD21B0" w:rsidP="00CD5021">
      <w:pPr>
        <w:spacing w:after="120" w:line="240" w:lineRule="auto"/>
        <w:jc w:val="both"/>
        <w:rPr>
          <w:rFonts w:ascii="inherit" w:eastAsia="Times New Roman" w:hAnsi="inherit" w:cs="Courier New"/>
          <w:color w:val="70757A"/>
          <w:sz w:val="24"/>
          <w:szCs w:val="24"/>
        </w:rPr>
      </w:pPr>
      <w:r w:rsidRPr="003C7CB1">
        <w:rPr>
          <w:rFonts w:cstheme="minorHAnsi"/>
          <w:sz w:val="24"/>
          <w:szCs w:val="24"/>
        </w:rPr>
        <w:t xml:space="preserve">The power of the destination brand lies in its ability to attract tourists. Unlike the previous image of the Montenegrin destination, "re-branding" means changing the same and presenting the destination in accordance with new trends. Once established, the new </w:t>
      </w:r>
      <w:r w:rsidRPr="003C7CB1">
        <w:rPr>
          <w:rFonts w:cstheme="minorHAnsi"/>
          <w:sz w:val="24"/>
          <w:szCs w:val="24"/>
        </w:rPr>
        <w:lastRenderedPageBreak/>
        <w:t xml:space="preserve">destination brand will be the basis of all marketing activities designed to promote the destination and attract tourists. </w:t>
      </w:r>
      <w:r w:rsidR="00520468" w:rsidRPr="003C7CB1">
        <w:rPr>
          <w:rFonts w:cstheme="minorHAnsi"/>
          <w:sz w:val="24"/>
          <w:szCs w:val="24"/>
        </w:rPr>
        <w:t>Therefore, re-branding of the destination is absolutely necessary for Montenegrin tourism, and the new brand of the destination is crucial for the new messages we want to convey to the world through destination marketing</w:t>
      </w:r>
      <w:r w:rsidR="00521401" w:rsidRPr="003C7CB1">
        <w:rPr>
          <w:rFonts w:cstheme="minorHAnsi"/>
          <w:sz w:val="24"/>
          <w:szCs w:val="24"/>
        </w:rPr>
        <w:t xml:space="preserve">.  </w:t>
      </w:r>
    </w:p>
    <w:bookmarkEnd w:id="242"/>
    <w:p w14:paraId="48893CA6" w14:textId="31B7A52D" w:rsidR="0082770C" w:rsidRPr="003C7CB1" w:rsidRDefault="00520468" w:rsidP="00CD5021">
      <w:pPr>
        <w:spacing w:after="120" w:line="240" w:lineRule="auto"/>
        <w:jc w:val="both"/>
        <w:rPr>
          <w:rFonts w:cstheme="minorHAnsi"/>
          <w:sz w:val="24"/>
          <w:szCs w:val="24"/>
        </w:rPr>
      </w:pPr>
      <w:r w:rsidRPr="003C7CB1">
        <w:rPr>
          <w:rFonts w:cstheme="minorHAnsi"/>
          <w:sz w:val="24"/>
          <w:szCs w:val="24"/>
        </w:rPr>
        <w:t>The rebranded destination implies a new tourist portfolio and an innovative way of planning, marketing, promotion and facing challenges. However, from a practical point of view, using examples of good practice, if there is a unique formula for successful destination marketing, then it is the application of the IMC strategy - Integrated Marketing Communication</w:t>
      </w:r>
      <w:r w:rsidR="002305AF" w:rsidRPr="003C7CB1">
        <w:rPr>
          <w:rFonts w:cstheme="minorHAnsi"/>
          <w:sz w:val="24"/>
          <w:szCs w:val="24"/>
        </w:rPr>
        <w:t xml:space="preserve">. </w:t>
      </w:r>
    </w:p>
    <w:p w14:paraId="441F270F" w14:textId="77777777" w:rsidR="00110D3A" w:rsidRPr="003C7CB1" w:rsidRDefault="00110D3A" w:rsidP="00CD5021">
      <w:pPr>
        <w:spacing w:after="120" w:line="240" w:lineRule="auto"/>
        <w:jc w:val="both"/>
        <w:rPr>
          <w:rFonts w:cstheme="minorHAnsi"/>
          <w:sz w:val="24"/>
          <w:szCs w:val="24"/>
        </w:rPr>
      </w:pPr>
    </w:p>
    <w:p w14:paraId="53E89248" w14:textId="3160A63A" w:rsidR="009120A0" w:rsidRPr="003C7CB1" w:rsidRDefault="00A82386" w:rsidP="00A82386">
      <w:pPr>
        <w:spacing w:after="120"/>
        <w:jc w:val="center"/>
        <w:rPr>
          <w:rFonts w:cstheme="minorHAnsi"/>
          <w:sz w:val="24"/>
          <w:szCs w:val="24"/>
        </w:rPr>
      </w:pPr>
      <w:r w:rsidRPr="003C7CB1">
        <w:rPr>
          <w:rFonts w:cstheme="minorHAnsi"/>
          <w:noProof/>
          <w:sz w:val="24"/>
          <w:szCs w:val="24"/>
        </w:rPr>
        <w:drawing>
          <wp:inline distT="0" distB="0" distL="0" distR="0" wp14:anchorId="2EB4F796" wp14:editId="7E4ED57A">
            <wp:extent cx="4706620" cy="36019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48808" cy="3634227"/>
                    </a:xfrm>
                    <a:prstGeom prst="rect">
                      <a:avLst/>
                    </a:prstGeom>
                    <a:noFill/>
                  </pic:spPr>
                </pic:pic>
              </a:graphicData>
            </a:graphic>
          </wp:inline>
        </w:drawing>
      </w:r>
    </w:p>
    <w:p w14:paraId="63D5D11D" w14:textId="77777777" w:rsidR="00D554DE" w:rsidRPr="003C7CB1" w:rsidRDefault="00D554DE" w:rsidP="00A82386">
      <w:pPr>
        <w:spacing w:after="120"/>
        <w:jc w:val="center"/>
        <w:rPr>
          <w:rFonts w:cstheme="minorHAnsi"/>
          <w:sz w:val="24"/>
          <w:szCs w:val="24"/>
        </w:rPr>
      </w:pPr>
    </w:p>
    <w:p w14:paraId="3A63615E" w14:textId="61400F51" w:rsidR="001D0A92" w:rsidRPr="003C7CB1" w:rsidRDefault="00520468" w:rsidP="00D554DE">
      <w:pPr>
        <w:spacing w:after="120" w:line="240" w:lineRule="auto"/>
        <w:jc w:val="both"/>
        <w:rPr>
          <w:rFonts w:cstheme="minorHAnsi"/>
          <w:sz w:val="24"/>
          <w:szCs w:val="24"/>
        </w:rPr>
      </w:pPr>
      <w:r w:rsidRPr="003C7CB1">
        <w:rPr>
          <w:rFonts w:cstheme="minorHAnsi"/>
          <w:sz w:val="24"/>
          <w:szCs w:val="24"/>
        </w:rPr>
        <w:t>IMC is a coordinated strategy that provides an intensive online presence, by activating all relevant communication channels and all models of marketing activities, all with the aim of better positioning the destination brand. IMC allows us to reach the target group in multiple ways and through the use of multiple platforms</w:t>
      </w:r>
      <w:r w:rsidR="00D554DE" w:rsidRPr="003C7CB1">
        <w:rPr>
          <w:rFonts w:cstheme="minorHAnsi"/>
          <w:sz w:val="24"/>
          <w:szCs w:val="24"/>
        </w:rPr>
        <w:t xml:space="preserve">. </w:t>
      </w:r>
    </w:p>
    <w:p w14:paraId="79993335" w14:textId="4AA1CCF9" w:rsidR="00503BCD" w:rsidRPr="003C7CB1" w:rsidRDefault="00520468" w:rsidP="00D554DE">
      <w:pPr>
        <w:spacing w:after="120" w:line="240" w:lineRule="auto"/>
        <w:jc w:val="both"/>
        <w:rPr>
          <w:rFonts w:cstheme="minorHAnsi"/>
          <w:sz w:val="24"/>
          <w:szCs w:val="24"/>
        </w:rPr>
      </w:pPr>
      <w:r w:rsidRPr="003C7CB1">
        <w:rPr>
          <w:rFonts w:cstheme="minorHAnsi"/>
          <w:sz w:val="24"/>
          <w:szCs w:val="24"/>
        </w:rPr>
        <w:t>Through multiple and different channels that act in sync, we transmit the same message and thus empower it</w:t>
      </w:r>
      <w:r w:rsidR="00D554DE" w:rsidRPr="003C7CB1">
        <w:rPr>
          <w:rFonts w:cstheme="minorHAnsi"/>
          <w:sz w:val="24"/>
          <w:szCs w:val="24"/>
        </w:rPr>
        <w:t xml:space="preserve">.  </w:t>
      </w:r>
      <w:r w:rsidR="00765B94">
        <w:rPr>
          <w:rFonts w:cs="Arial"/>
          <w:sz w:val="24"/>
          <w:szCs w:val="24"/>
        </w:rPr>
        <w:t xml:space="preserve">                                                                                                   </w:t>
      </w:r>
    </w:p>
    <w:p w14:paraId="054E832D" w14:textId="7CDF6FE2" w:rsidR="00447086" w:rsidRPr="003C7CB1" w:rsidRDefault="00447086">
      <w:pPr>
        <w:spacing w:after="0" w:line="240" w:lineRule="auto"/>
        <w:rPr>
          <w:rFonts w:cstheme="minorHAnsi"/>
          <w:sz w:val="24"/>
          <w:szCs w:val="24"/>
        </w:rPr>
      </w:pPr>
      <w:r w:rsidRPr="003C7CB1">
        <w:rPr>
          <w:rFonts w:cstheme="minorHAnsi"/>
          <w:sz w:val="24"/>
          <w:szCs w:val="24"/>
        </w:rPr>
        <w:br w:type="page"/>
      </w:r>
    </w:p>
    <w:p w14:paraId="22D4373A" w14:textId="572D8695" w:rsidR="004C75BA" w:rsidRPr="003C7CB1" w:rsidRDefault="00447086" w:rsidP="00955065">
      <w:pPr>
        <w:spacing w:after="0" w:line="240" w:lineRule="auto"/>
        <w:rPr>
          <w:rFonts w:cstheme="minorHAnsi"/>
          <w:sz w:val="24"/>
          <w:szCs w:val="24"/>
        </w:rPr>
      </w:pPr>
      <w:r w:rsidRPr="003C7CB1">
        <w:rPr>
          <w:rFonts w:cstheme="minorHAnsi"/>
          <w:noProof/>
          <w:sz w:val="24"/>
          <w:szCs w:val="24"/>
        </w:rPr>
        <w:lastRenderedPageBreak/>
        <w:drawing>
          <wp:inline distT="0" distB="0" distL="0" distR="0" wp14:anchorId="0890E856" wp14:editId="42768C62">
            <wp:extent cx="5732145" cy="8108211"/>
            <wp:effectExtent l="0" t="0" r="1905"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15 turisticki klasteri.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32145" cy="8108211"/>
                    </a:xfrm>
                    <a:prstGeom prst="rect">
                      <a:avLst/>
                    </a:prstGeom>
                  </pic:spPr>
                </pic:pic>
              </a:graphicData>
            </a:graphic>
          </wp:inline>
        </w:drawing>
      </w:r>
    </w:p>
    <w:bookmarkEnd w:id="241"/>
    <w:p w14:paraId="427B0E89" w14:textId="77777777" w:rsidR="00447086" w:rsidRPr="003C7CB1" w:rsidRDefault="00447086">
      <w:pPr>
        <w:spacing w:after="0" w:line="240" w:lineRule="auto"/>
        <w:rPr>
          <w:rFonts w:cstheme="minorHAnsi"/>
          <w:b/>
          <w:color w:val="2F5496" w:themeColor="accent1" w:themeShade="BF"/>
          <w:sz w:val="28"/>
          <w:szCs w:val="28"/>
        </w:rPr>
      </w:pPr>
      <w:r w:rsidRPr="003C7CB1">
        <w:rPr>
          <w:rFonts w:cstheme="minorHAnsi"/>
          <w:szCs w:val="28"/>
        </w:rPr>
        <w:br w:type="page"/>
      </w:r>
    </w:p>
    <w:p w14:paraId="300AFFD5" w14:textId="5EB2DAA8" w:rsidR="00447086" w:rsidRPr="003C7CB1" w:rsidRDefault="00FC5540" w:rsidP="00955065">
      <w:pPr>
        <w:pStyle w:val="Heading1"/>
        <w:spacing w:before="0" w:after="120" w:line="240" w:lineRule="auto"/>
      </w:pPr>
      <w:bookmarkStart w:id="243" w:name="_Toc95303052"/>
      <w:bookmarkStart w:id="244" w:name="_Toc104544214"/>
      <w:r w:rsidRPr="003C7CB1">
        <w:rPr>
          <w:rFonts w:eastAsiaTheme="minorHAnsi" w:cstheme="minorHAnsi"/>
          <w:szCs w:val="28"/>
        </w:rPr>
        <w:lastRenderedPageBreak/>
        <w:t>1</w:t>
      </w:r>
      <w:r w:rsidR="00E729DA" w:rsidRPr="003C7CB1">
        <w:rPr>
          <w:rFonts w:eastAsiaTheme="minorHAnsi" w:cstheme="minorHAnsi"/>
          <w:szCs w:val="28"/>
        </w:rPr>
        <w:t>5</w:t>
      </w:r>
      <w:r w:rsidR="00FD7613" w:rsidRPr="003C7CB1">
        <w:rPr>
          <w:szCs w:val="28"/>
        </w:rPr>
        <w:t>.</w:t>
      </w:r>
      <w:r w:rsidRPr="003C7CB1">
        <w:t xml:space="preserve"> </w:t>
      </w:r>
      <w:bookmarkEnd w:id="243"/>
      <w:r w:rsidR="00520468" w:rsidRPr="003C7CB1">
        <w:t>TOURISM CLUSTERS</w:t>
      </w:r>
      <w:bookmarkEnd w:id="244"/>
    </w:p>
    <w:p w14:paraId="310567D8" w14:textId="04DF5AA0" w:rsidR="000E57C0" w:rsidRPr="003C7CB1" w:rsidRDefault="00520468" w:rsidP="00CC7340">
      <w:pPr>
        <w:spacing w:after="0" w:line="240" w:lineRule="auto"/>
        <w:jc w:val="both"/>
        <w:rPr>
          <w:rFonts w:eastAsia="Calibri" w:cstheme="minorHAnsi"/>
          <w:bCs/>
          <w:sz w:val="24"/>
          <w:szCs w:val="24"/>
        </w:rPr>
      </w:pPr>
      <w:r w:rsidRPr="003C7CB1">
        <w:rPr>
          <w:rFonts w:eastAsia="Calibri" w:cstheme="minorHAnsi"/>
          <w:bCs/>
          <w:sz w:val="24"/>
          <w:szCs w:val="24"/>
        </w:rPr>
        <w:t xml:space="preserve">Montenegro as a tourist destination is divided into </w:t>
      </w:r>
      <w:r w:rsidRPr="003C7CB1">
        <w:rPr>
          <w:rFonts w:eastAsia="Calibri" w:cstheme="minorHAnsi"/>
          <w:b/>
          <w:bCs/>
          <w:sz w:val="24"/>
          <w:szCs w:val="24"/>
        </w:rPr>
        <w:t>eight tourism clusters</w:t>
      </w:r>
      <w:r w:rsidRPr="003C7CB1">
        <w:rPr>
          <w:rFonts w:eastAsia="Calibri" w:cstheme="minorHAnsi"/>
          <w:bCs/>
          <w:sz w:val="24"/>
          <w:szCs w:val="24"/>
        </w:rPr>
        <w:t>, which differ in socio-cultural, historical, traditional, natural and economic characteristics, and also represent the basis for a unique and specific tourism product of Montenegro</w:t>
      </w:r>
      <w:r w:rsidR="000E57C0" w:rsidRPr="003C7CB1">
        <w:rPr>
          <w:rFonts w:eastAsia="Calibri" w:cstheme="minorHAnsi"/>
          <w:bCs/>
          <w:sz w:val="24"/>
          <w:szCs w:val="24"/>
        </w:rPr>
        <w:t xml:space="preserve">: </w:t>
      </w:r>
    </w:p>
    <w:p w14:paraId="268D1631" w14:textId="77777777" w:rsidR="001D0A92" w:rsidRPr="003C7CB1" w:rsidRDefault="001D0A92" w:rsidP="00447086">
      <w:pPr>
        <w:spacing w:after="0" w:line="240" w:lineRule="auto"/>
        <w:rPr>
          <w:rFonts w:eastAsia="Calibri" w:cstheme="minorHAnsi"/>
          <w:bCs/>
          <w:sz w:val="24"/>
          <w:szCs w:val="24"/>
        </w:rPr>
      </w:pPr>
    </w:p>
    <w:p w14:paraId="58490AC9" w14:textId="77777777" w:rsidR="00520468"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1. Ulcinj with Ada Bojana</w:t>
      </w:r>
    </w:p>
    <w:p w14:paraId="052FB8D5"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12D287DE" w14:textId="5ED1E6D2" w:rsidR="00520468"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 xml:space="preserve">2. Bar Riviera with </w:t>
      </w:r>
      <w:proofErr w:type="spellStart"/>
      <w:r w:rsidR="00C65FFD">
        <w:rPr>
          <w:rFonts w:eastAsia="Calibri" w:cstheme="minorHAnsi"/>
          <w:bCs/>
          <w:sz w:val="24"/>
          <w:szCs w:val="24"/>
        </w:rPr>
        <w:t>Skadar</w:t>
      </w:r>
      <w:proofErr w:type="spellEnd"/>
      <w:r w:rsidR="00C65FFD">
        <w:rPr>
          <w:rFonts w:eastAsia="Calibri" w:cstheme="minorHAnsi"/>
          <w:bCs/>
          <w:sz w:val="24"/>
          <w:szCs w:val="24"/>
        </w:rPr>
        <w:t xml:space="preserve"> Lake</w:t>
      </w:r>
    </w:p>
    <w:p w14:paraId="31B303E0"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3BA87301" w14:textId="77777777" w:rsidR="00520468"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 xml:space="preserve">3. </w:t>
      </w:r>
      <w:proofErr w:type="spellStart"/>
      <w:r w:rsidRPr="003C7CB1">
        <w:rPr>
          <w:rFonts w:eastAsia="Calibri" w:cstheme="minorHAnsi"/>
          <w:bCs/>
          <w:sz w:val="24"/>
          <w:szCs w:val="24"/>
        </w:rPr>
        <w:t>Budva</w:t>
      </w:r>
      <w:proofErr w:type="spellEnd"/>
      <w:r w:rsidRPr="003C7CB1">
        <w:rPr>
          <w:rFonts w:eastAsia="Calibri" w:cstheme="minorHAnsi"/>
          <w:bCs/>
          <w:sz w:val="24"/>
          <w:szCs w:val="24"/>
        </w:rPr>
        <w:t xml:space="preserve"> Riviera</w:t>
      </w:r>
    </w:p>
    <w:p w14:paraId="4850C3E8"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5D786D40" w14:textId="77777777" w:rsidR="00520468"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4. Bay of Kotor</w:t>
      </w:r>
    </w:p>
    <w:p w14:paraId="70042583"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6A1FF6B1" w14:textId="7359A47C" w:rsidR="00520468"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 xml:space="preserve">5. The </w:t>
      </w:r>
      <w:r w:rsidR="00704166" w:rsidRPr="003C7CB1">
        <w:rPr>
          <w:rFonts w:eastAsia="Calibri" w:cstheme="minorHAnsi"/>
          <w:bCs/>
          <w:sz w:val="24"/>
          <w:szCs w:val="24"/>
        </w:rPr>
        <w:t>Old Royal Capital Cetinje</w:t>
      </w:r>
    </w:p>
    <w:p w14:paraId="6747D7EA"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4A331043" w14:textId="76219F4A" w:rsidR="00520468" w:rsidRPr="003C7CB1" w:rsidRDefault="00704166"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6. The C</w:t>
      </w:r>
      <w:r w:rsidR="00520468" w:rsidRPr="003C7CB1">
        <w:rPr>
          <w:rFonts w:eastAsia="Calibri" w:cstheme="minorHAnsi"/>
          <w:bCs/>
          <w:sz w:val="24"/>
          <w:szCs w:val="24"/>
        </w:rPr>
        <w:t>apital</w:t>
      </w:r>
      <w:r w:rsidRPr="003C7CB1">
        <w:rPr>
          <w:rFonts w:eastAsia="Calibri" w:cstheme="minorHAnsi"/>
          <w:bCs/>
          <w:sz w:val="24"/>
          <w:szCs w:val="24"/>
        </w:rPr>
        <w:t xml:space="preserve"> City</w:t>
      </w:r>
      <w:r w:rsidR="00520468" w:rsidRPr="003C7CB1">
        <w:rPr>
          <w:rFonts w:eastAsia="Calibri" w:cstheme="minorHAnsi"/>
          <w:bCs/>
          <w:sz w:val="24"/>
          <w:szCs w:val="24"/>
        </w:rPr>
        <w:t xml:space="preserve"> with the Central region</w:t>
      </w:r>
    </w:p>
    <w:p w14:paraId="2403B588"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3D57D80E" w14:textId="77777777" w:rsidR="00520468"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 xml:space="preserve">7. </w:t>
      </w:r>
      <w:proofErr w:type="spellStart"/>
      <w:r w:rsidRPr="003C7CB1">
        <w:rPr>
          <w:rFonts w:eastAsia="Calibri" w:cstheme="minorHAnsi"/>
          <w:bCs/>
          <w:sz w:val="24"/>
          <w:szCs w:val="24"/>
        </w:rPr>
        <w:t>Bjelasica</w:t>
      </w:r>
      <w:proofErr w:type="spellEnd"/>
      <w:r w:rsidRPr="003C7CB1">
        <w:rPr>
          <w:rFonts w:eastAsia="Calibri" w:cstheme="minorHAnsi"/>
          <w:bCs/>
          <w:sz w:val="24"/>
          <w:szCs w:val="24"/>
        </w:rPr>
        <w:t xml:space="preserve">, </w:t>
      </w:r>
      <w:proofErr w:type="spellStart"/>
      <w:r w:rsidRPr="003C7CB1">
        <w:rPr>
          <w:rFonts w:eastAsia="Calibri" w:cstheme="minorHAnsi"/>
          <w:bCs/>
          <w:sz w:val="24"/>
          <w:szCs w:val="24"/>
        </w:rPr>
        <w:t>Komovi</w:t>
      </w:r>
      <w:proofErr w:type="spellEnd"/>
      <w:r w:rsidRPr="003C7CB1">
        <w:rPr>
          <w:rFonts w:eastAsia="Calibri" w:cstheme="minorHAnsi"/>
          <w:bCs/>
          <w:sz w:val="24"/>
          <w:szCs w:val="24"/>
        </w:rPr>
        <w:t xml:space="preserve"> and Prokletije</w:t>
      </w:r>
    </w:p>
    <w:p w14:paraId="6E086D05" w14:textId="77777777" w:rsidR="00520468" w:rsidRPr="003C7CB1" w:rsidRDefault="00520468" w:rsidP="00704166">
      <w:pPr>
        <w:pStyle w:val="ListParagraph"/>
        <w:spacing w:after="0" w:line="240" w:lineRule="auto"/>
        <w:ind w:right="74"/>
        <w:jc w:val="both"/>
        <w:rPr>
          <w:rFonts w:eastAsia="Calibri" w:cstheme="minorHAnsi"/>
          <w:bCs/>
          <w:sz w:val="24"/>
          <w:szCs w:val="24"/>
        </w:rPr>
      </w:pPr>
    </w:p>
    <w:p w14:paraId="62A0B30F" w14:textId="5BD96C2D" w:rsidR="00286675" w:rsidRPr="003C7CB1" w:rsidRDefault="00520468" w:rsidP="00704166">
      <w:pPr>
        <w:pStyle w:val="ListParagraph"/>
        <w:spacing w:after="0" w:line="240" w:lineRule="auto"/>
        <w:ind w:right="74"/>
        <w:jc w:val="both"/>
        <w:rPr>
          <w:rFonts w:eastAsia="Calibri" w:cstheme="minorHAnsi"/>
          <w:bCs/>
          <w:sz w:val="24"/>
          <w:szCs w:val="24"/>
        </w:rPr>
      </w:pPr>
      <w:r w:rsidRPr="003C7CB1">
        <w:rPr>
          <w:rFonts w:eastAsia="Calibri" w:cstheme="minorHAnsi"/>
          <w:bCs/>
          <w:sz w:val="24"/>
          <w:szCs w:val="24"/>
        </w:rPr>
        <w:t xml:space="preserve">8. </w:t>
      </w:r>
      <w:proofErr w:type="spellStart"/>
      <w:r w:rsidRPr="003C7CB1">
        <w:rPr>
          <w:rFonts w:eastAsia="Calibri" w:cstheme="minorHAnsi"/>
          <w:bCs/>
          <w:sz w:val="24"/>
          <w:szCs w:val="24"/>
        </w:rPr>
        <w:t>Durmitor</w:t>
      </w:r>
      <w:proofErr w:type="spellEnd"/>
      <w:r w:rsidRPr="003C7CB1">
        <w:rPr>
          <w:rFonts w:eastAsia="Calibri" w:cstheme="minorHAnsi"/>
          <w:bCs/>
          <w:sz w:val="24"/>
          <w:szCs w:val="24"/>
        </w:rPr>
        <w:t xml:space="preserve"> and </w:t>
      </w:r>
      <w:proofErr w:type="spellStart"/>
      <w:r w:rsidRPr="003C7CB1">
        <w:rPr>
          <w:rFonts w:eastAsia="Calibri" w:cstheme="minorHAnsi"/>
          <w:bCs/>
          <w:sz w:val="24"/>
          <w:szCs w:val="24"/>
        </w:rPr>
        <w:t>Sinjajevina</w:t>
      </w:r>
      <w:proofErr w:type="spellEnd"/>
      <w:r w:rsidRPr="003C7CB1">
        <w:rPr>
          <w:rFonts w:eastAsia="Calibri" w:cstheme="minorHAnsi"/>
          <w:bCs/>
          <w:sz w:val="24"/>
          <w:szCs w:val="24"/>
        </w:rPr>
        <w:t xml:space="preserve"> with Tara and Piva</w:t>
      </w:r>
      <w:r w:rsidR="00E70F74" w:rsidRPr="003C7CB1">
        <w:rPr>
          <w:rFonts w:eastAsia="Calibri" w:cstheme="minorHAnsi"/>
          <w:bCs/>
          <w:sz w:val="24"/>
          <w:szCs w:val="24"/>
        </w:rPr>
        <w:t xml:space="preserve"> rivers</w:t>
      </w:r>
    </w:p>
    <w:p w14:paraId="4A022861" w14:textId="77777777" w:rsidR="00C03303" w:rsidRPr="003C7CB1" w:rsidRDefault="00C03303" w:rsidP="00A736C7">
      <w:pPr>
        <w:jc w:val="center"/>
        <w:rPr>
          <w:rFonts w:cstheme="minorHAnsi"/>
          <w:bCs/>
          <w:color w:val="000000"/>
          <w:lang w:eastAsia="hr-HR"/>
        </w:rPr>
      </w:pPr>
    </w:p>
    <w:p w14:paraId="4FD3FA96" w14:textId="7D2089BC" w:rsidR="00645E4B" w:rsidRPr="003C7CB1" w:rsidRDefault="00645E4B" w:rsidP="00A736C7">
      <w:pPr>
        <w:jc w:val="center"/>
        <w:rPr>
          <w:rFonts w:cstheme="minorHAnsi"/>
          <w:bCs/>
          <w:color w:val="000000"/>
        </w:rPr>
      </w:pPr>
    </w:p>
    <w:p w14:paraId="6450DBB1" w14:textId="77777777" w:rsidR="0074157A" w:rsidRPr="003C7CB1" w:rsidRDefault="0074157A" w:rsidP="00A736C7">
      <w:pPr>
        <w:jc w:val="center"/>
        <w:rPr>
          <w:rFonts w:cstheme="minorHAnsi"/>
          <w:bCs/>
          <w:color w:val="000000"/>
        </w:rPr>
      </w:pPr>
    </w:p>
    <w:p w14:paraId="0D0912CF" w14:textId="77777777" w:rsidR="0074157A" w:rsidRPr="003C7CB1" w:rsidRDefault="0074157A" w:rsidP="00A736C7">
      <w:pPr>
        <w:jc w:val="center"/>
        <w:rPr>
          <w:rFonts w:cstheme="minorHAnsi"/>
          <w:bCs/>
          <w:color w:val="000000"/>
        </w:rPr>
      </w:pPr>
    </w:p>
    <w:p w14:paraId="30234C31" w14:textId="77777777" w:rsidR="0074157A" w:rsidRPr="003C7CB1" w:rsidRDefault="0074157A" w:rsidP="00A736C7">
      <w:pPr>
        <w:jc w:val="center"/>
        <w:rPr>
          <w:rFonts w:cstheme="minorHAnsi"/>
          <w:bCs/>
          <w:color w:val="000000"/>
        </w:rPr>
      </w:pPr>
    </w:p>
    <w:p w14:paraId="552EC818" w14:textId="77777777" w:rsidR="0074157A" w:rsidRPr="003C7CB1" w:rsidRDefault="0074157A" w:rsidP="00A736C7">
      <w:pPr>
        <w:jc w:val="center"/>
        <w:rPr>
          <w:rFonts w:cstheme="minorHAnsi"/>
          <w:bCs/>
          <w:color w:val="000000"/>
        </w:rPr>
      </w:pPr>
    </w:p>
    <w:p w14:paraId="7EBF27D1" w14:textId="77777777" w:rsidR="0074157A" w:rsidRPr="003C7CB1" w:rsidRDefault="0074157A" w:rsidP="00A736C7">
      <w:pPr>
        <w:jc w:val="center"/>
        <w:rPr>
          <w:rFonts w:cstheme="minorHAnsi"/>
          <w:bCs/>
          <w:color w:val="000000"/>
        </w:rPr>
      </w:pPr>
    </w:p>
    <w:p w14:paraId="06677ABC" w14:textId="7817ABB3" w:rsidR="0074157A" w:rsidRPr="003C7CB1" w:rsidRDefault="0074157A" w:rsidP="00A736C7">
      <w:pPr>
        <w:jc w:val="center"/>
        <w:rPr>
          <w:rFonts w:cstheme="minorHAnsi"/>
          <w:bCs/>
          <w:color w:val="000000"/>
        </w:rPr>
      </w:pPr>
    </w:p>
    <w:p w14:paraId="3F22E63E" w14:textId="38E7A7E0" w:rsidR="00E22784" w:rsidRPr="003C7CB1" w:rsidRDefault="00E22784" w:rsidP="00A736C7">
      <w:pPr>
        <w:jc w:val="center"/>
        <w:rPr>
          <w:rFonts w:cstheme="minorHAnsi"/>
          <w:bCs/>
          <w:color w:val="000000"/>
        </w:rPr>
      </w:pPr>
    </w:p>
    <w:p w14:paraId="2A1FFD90" w14:textId="284F5834" w:rsidR="00E22784" w:rsidRPr="003C7CB1" w:rsidRDefault="00E22784" w:rsidP="00A736C7">
      <w:pPr>
        <w:jc w:val="center"/>
        <w:rPr>
          <w:rFonts w:cstheme="minorHAnsi"/>
          <w:bCs/>
          <w:color w:val="000000"/>
        </w:rPr>
      </w:pPr>
    </w:p>
    <w:p w14:paraId="1992597E" w14:textId="77777777" w:rsidR="00E22784" w:rsidRPr="003C7CB1" w:rsidRDefault="00E22784" w:rsidP="003D5F68">
      <w:pPr>
        <w:spacing w:after="160" w:line="259" w:lineRule="auto"/>
      </w:pPr>
    </w:p>
    <w:p w14:paraId="1E800693" w14:textId="5BE73CB1" w:rsidR="00E22784" w:rsidRPr="003C7CB1" w:rsidRDefault="006E168A" w:rsidP="00E22784">
      <w:pPr>
        <w:spacing w:after="160" w:line="259" w:lineRule="auto"/>
        <w:jc w:val="center"/>
      </w:pPr>
      <w:r>
        <w:rPr>
          <w:noProof/>
        </w:rPr>
        <w:lastRenderedPageBreak/>
        <w:drawing>
          <wp:inline distT="0" distB="0" distL="0" distR="0" wp14:anchorId="3B5E93D9" wp14:editId="7EF4DD01">
            <wp:extent cx="5732145" cy="808118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32145" cy="8081188"/>
                    </a:xfrm>
                    <a:prstGeom prst="rect">
                      <a:avLst/>
                    </a:prstGeom>
                    <a:noFill/>
                    <a:ln>
                      <a:noFill/>
                    </a:ln>
                  </pic:spPr>
                </pic:pic>
              </a:graphicData>
            </a:graphic>
          </wp:inline>
        </w:drawing>
      </w:r>
    </w:p>
    <w:p w14:paraId="437A6105" w14:textId="48E8E711" w:rsidR="00E22784" w:rsidRPr="003C7CB1" w:rsidRDefault="00E22784" w:rsidP="00A736C7">
      <w:pPr>
        <w:jc w:val="center"/>
        <w:rPr>
          <w:rFonts w:cstheme="minorHAnsi"/>
          <w:bCs/>
          <w:color w:val="000000"/>
        </w:rPr>
      </w:pPr>
    </w:p>
    <w:p w14:paraId="29F54062" w14:textId="40B3B4D6" w:rsidR="00E22784" w:rsidRPr="003C7CB1" w:rsidRDefault="00E22784" w:rsidP="00A736C7">
      <w:pPr>
        <w:jc w:val="center"/>
        <w:rPr>
          <w:rFonts w:cstheme="minorHAnsi"/>
          <w:bCs/>
          <w:color w:val="000000"/>
        </w:rPr>
      </w:pPr>
    </w:p>
    <w:p w14:paraId="1241352C" w14:textId="77777777" w:rsidR="00645E4B" w:rsidRPr="003C7CB1" w:rsidRDefault="00645E4B" w:rsidP="00CD5021">
      <w:pPr>
        <w:spacing w:after="120" w:line="240" w:lineRule="auto"/>
        <w:rPr>
          <w:rFonts w:cstheme="minorHAnsi"/>
          <w:bCs/>
          <w:color w:val="000000"/>
          <w:lang w:eastAsia="hr-HR"/>
        </w:rPr>
        <w:sectPr w:rsidR="00645E4B" w:rsidRPr="003C7CB1" w:rsidSect="00103785">
          <w:pgSz w:w="11907" w:h="16840" w:code="9"/>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629"/>
      </w:tblGrid>
      <w:tr w:rsidR="00B16AD6" w:rsidRPr="003C7CB1" w14:paraId="387A6B69" w14:textId="77777777" w:rsidTr="00B16AD6">
        <w:tc>
          <w:tcPr>
            <w:tcW w:w="9855" w:type="dxa"/>
            <w:shd w:val="clear" w:color="auto" w:fill="D9E2F3" w:themeFill="accent1" w:themeFillTint="33"/>
          </w:tcPr>
          <w:p w14:paraId="6AA182F1" w14:textId="6C45E969" w:rsidR="00B16AD6" w:rsidRPr="003C7CB1" w:rsidRDefault="00A25432" w:rsidP="00861CB1">
            <w:pPr>
              <w:jc w:val="center"/>
              <w:rPr>
                <w:b/>
                <w:lang w:eastAsia="hr-HR"/>
              </w:rPr>
            </w:pPr>
            <w:bookmarkStart w:id="245" w:name="_Toc88082170"/>
            <w:bookmarkStart w:id="246" w:name="_Toc88772667"/>
            <w:bookmarkStart w:id="247" w:name="_Hlk85626368"/>
            <w:r w:rsidRPr="003C7CB1">
              <w:rPr>
                <w:b/>
                <w:lang w:eastAsia="hr-HR"/>
              </w:rPr>
              <w:lastRenderedPageBreak/>
              <w:t>VISION OF DEVELOPMENT OF THE COASTAL REGION</w:t>
            </w:r>
          </w:p>
          <w:p w14:paraId="51294CF6" w14:textId="768B7BFE" w:rsidR="00B16AD6" w:rsidRPr="003C7CB1" w:rsidRDefault="00A25432" w:rsidP="00861CB1">
            <w:pPr>
              <w:rPr>
                <w:color w:val="2F5496"/>
                <w:sz w:val="26"/>
                <w:szCs w:val="26"/>
                <w:lang w:eastAsia="hr-HR"/>
              </w:rPr>
            </w:pPr>
            <w:r w:rsidRPr="003C7CB1">
              <w:rPr>
                <w:b/>
                <w:lang w:eastAsia="hr-HR"/>
              </w:rPr>
              <w:t>"Destinations in the coastal region are recognized globally as destinations of high quality service and sophistication of space, which in an innovative and advanced way deliver the tourist experience of the Mediterranean and the Mediterranean hinterland to the most demanding market segments."</w:t>
            </w:r>
            <w:r w:rsidRPr="003C7CB1">
              <w:rPr>
                <w:lang w:eastAsia="hr-HR"/>
              </w:rPr>
              <w:t xml:space="preserve"> - Concept of the Spatial Plan of Montenegro until 2040</w:t>
            </w:r>
          </w:p>
        </w:tc>
      </w:tr>
    </w:tbl>
    <w:p w14:paraId="4B776027" w14:textId="77777777" w:rsidR="00B16AD6" w:rsidRPr="003C7CB1" w:rsidRDefault="00B16AD6" w:rsidP="00CD5021">
      <w:pPr>
        <w:keepNext/>
        <w:keepLines/>
        <w:spacing w:after="120" w:line="240" w:lineRule="auto"/>
        <w:outlineLvl w:val="1"/>
        <w:rPr>
          <w:rFonts w:ascii="Calibri" w:eastAsia="Times New Roman" w:hAnsi="Calibri" w:cs="Times New Roman"/>
          <w:b/>
          <w:color w:val="2F5496"/>
          <w:sz w:val="26"/>
          <w:szCs w:val="26"/>
          <w:lang w:eastAsia="hr-HR"/>
        </w:rPr>
      </w:pPr>
    </w:p>
    <w:p w14:paraId="3DB09D2C" w14:textId="0EA81DCB" w:rsidR="00B16AD6" w:rsidRPr="003C7CB1" w:rsidRDefault="00B16AD6" w:rsidP="00CD5021">
      <w:pPr>
        <w:pStyle w:val="Heading2"/>
        <w:spacing w:before="0" w:after="120" w:line="240" w:lineRule="auto"/>
        <w:rPr>
          <w:rFonts w:eastAsia="Times New Roman"/>
          <w:sz w:val="26"/>
          <w:lang w:eastAsia="hr-HR"/>
        </w:rPr>
      </w:pPr>
      <w:bookmarkStart w:id="248" w:name="_Toc95303055"/>
      <w:bookmarkStart w:id="249" w:name="_Toc91286736"/>
      <w:bookmarkStart w:id="250" w:name="_Toc104544215"/>
      <w:r w:rsidRPr="003C7CB1">
        <w:rPr>
          <w:rFonts w:eastAsia="Times New Roman"/>
          <w:sz w:val="26"/>
          <w:lang w:eastAsia="hr-HR"/>
        </w:rPr>
        <w:t>1</w:t>
      </w:r>
      <w:r w:rsidR="00E729DA" w:rsidRPr="003C7CB1">
        <w:rPr>
          <w:rFonts w:eastAsia="Times New Roman"/>
          <w:sz w:val="26"/>
          <w:lang w:eastAsia="hr-HR"/>
        </w:rPr>
        <w:t>5</w:t>
      </w:r>
      <w:r w:rsidRPr="003C7CB1">
        <w:rPr>
          <w:rFonts w:eastAsia="Times New Roman"/>
          <w:sz w:val="26"/>
          <w:lang w:eastAsia="hr-HR"/>
        </w:rPr>
        <w:t xml:space="preserve">.1. </w:t>
      </w:r>
      <w:bookmarkEnd w:id="245"/>
      <w:bookmarkEnd w:id="248"/>
      <w:bookmarkEnd w:id="249"/>
      <w:r w:rsidR="00A07B74" w:rsidRPr="003C7CB1">
        <w:rPr>
          <w:rFonts w:eastAsia="Times New Roman"/>
          <w:sz w:val="26"/>
          <w:lang w:eastAsia="hr-HR"/>
        </w:rPr>
        <w:t>TOURISM CLUSTER 1 - Ulcinj with Ada Bojana</w:t>
      </w:r>
      <w:bookmarkEnd w:id="250"/>
    </w:p>
    <w:tbl>
      <w:tblPr>
        <w:tblStyle w:val="TableGrid4"/>
        <w:tblW w:w="0" w:type="auto"/>
        <w:tblLook w:val="04A0" w:firstRow="1" w:lastRow="0" w:firstColumn="1" w:lastColumn="0" w:noHBand="0" w:noVBand="1"/>
      </w:tblPr>
      <w:tblGrid>
        <w:gridCol w:w="9606"/>
      </w:tblGrid>
      <w:tr w:rsidR="00B16AD6" w:rsidRPr="003C7CB1" w14:paraId="49BC4C27" w14:textId="77777777" w:rsidTr="00CD5021">
        <w:tc>
          <w:tcPr>
            <w:tcW w:w="9606" w:type="dxa"/>
            <w:shd w:val="clear" w:color="auto" w:fill="D9E2F3" w:themeFill="accent1" w:themeFillTint="33"/>
          </w:tcPr>
          <w:p w14:paraId="3B8A7521" w14:textId="11FEC2F7" w:rsidR="00B16AD6" w:rsidRPr="003C7CB1" w:rsidRDefault="00A07B74" w:rsidP="00CD5021">
            <w:pPr>
              <w:tabs>
                <w:tab w:val="left" w:pos="968"/>
              </w:tabs>
              <w:spacing w:after="120" w:line="240" w:lineRule="auto"/>
              <w:jc w:val="center"/>
              <w:rPr>
                <w:rFonts w:ascii="Calibri" w:eastAsia="Calibri" w:hAnsi="Calibri" w:cs="Calibri"/>
                <w:b/>
                <w:bCs/>
                <w:color w:val="000000"/>
                <w:lang w:eastAsia="hr-HR"/>
              </w:rPr>
            </w:pPr>
            <w:r w:rsidRPr="003C7CB1">
              <w:rPr>
                <w:rFonts w:ascii="Calibri" w:eastAsia="Calibri" w:hAnsi="Calibri" w:cs="Calibri"/>
                <w:b/>
                <w:bCs/>
                <w:color w:val="1F3864"/>
                <w:lang w:eastAsia="hr-HR"/>
              </w:rPr>
              <w:t>CHARACTERISTICS</w:t>
            </w:r>
          </w:p>
        </w:tc>
      </w:tr>
      <w:tr w:rsidR="00B16AD6" w:rsidRPr="003C7CB1" w14:paraId="5517AA4F" w14:textId="77777777" w:rsidTr="00CD5021">
        <w:trPr>
          <w:trHeight w:val="2087"/>
        </w:trPr>
        <w:tc>
          <w:tcPr>
            <w:tcW w:w="9606" w:type="dxa"/>
          </w:tcPr>
          <w:p w14:paraId="57C253DA" w14:textId="4E1331F7" w:rsidR="00B16AD6" w:rsidRPr="003C7CB1" w:rsidRDefault="00A07B74" w:rsidP="00C65FFD">
            <w:pPr>
              <w:tabs>
                <w:tab w:val="left" w:pos="968"/>
              </w:tabs>
              <w:spacing w:after="120" w:line="240" w:lineRule="auto"/>
              <w:jc w:val="both"/>
              <w:rPr>
                <w:rFonts w:ascii="Calibri" w:eastAsia="Calibri" w:hAnsi="Calibri" w:cs="Calibri"/>
                <w:lang w:eastAsia="hr-HR"/>
              </w:rPr>
            </w:pPr>
            <w:r w:rsidRPr="003C7CB1">
              <w:rPr>
                <w:rFonts w:ascii="Calibri" w:eastAsia="Calibri" w:hAnsi="Calibri" w:cs="Calibri"/>
                <w:bCs/>
                <w:color w:val="000000"/>
                <w:lang w:eastAsia="hr-HR"/>
              </w:rPr>
              <w:t>Ulcinj with its beaches, Bojana</w:t>
            </w:r>
            <w:r w:rsidR="00C65FFD">
              <w:rPr>
                <w:rFonts w:ascii="Calibri" w:eastAsia="Calibri" w:hAnsi="Calibri" w:cs="Calibri"/>
                <w:bCs/>
                <w:color w:val="000000"/>
                <w:lang w:eastAsia="hr-HR"/>
              </w:rPr>
              <w:t xml:space="preserve"> river</w:t>
            </w:r>
            <w:r w:rsidRPr="003C7CB1">
              <w:rPr>
                <w:rFonts w:ascii="Calibri" w:eastAsia="Calibri" w:hAnsi="Calibri" w:cs="Calibri"/>
                <w:bCs/>
                <w:color w:val="000000"/>
                <w:lang w:eastAsia="hr-HR"/>
              </w:rPr>
              <w:t xml:space="preserve">, Ulcinj Salina, </w:t>
            </w:r>
            <w:proofErr w:type="spellStart"/>
            <w:r w:rsidRPr="003C7CB1">
              <w:rPr>
                <w:rFonts w:ascii="Calibri" w:eastAsia="Calibri" w:hAnsi="Calibri" w:cs="Calibri"/>
                <w:bCs/>
                <w:color w:val="000000"/>
                <w:lang w:eastAsia="hr-HR"/>
              </w:rPr>
              <w:t>Šasko</w:t>
            </w:r>
            <w:proofErr w:type="spellEnd"/>
            <w:r w:rsidRPr="003C7CB1">
              <w:rPr>
                <w:rFonts w:ascii="Calibri" w:eastAsia="Calibri" w:hAnsi="Calibri" w:cs="Calibri"/>
                <w:bCs/>
                <w:color w:val="000000"/>
                <w:lang w:eastAsia="hr-HR"/>
              </w:rPr>
              <w:t xml:space="preserve"> Lake, Ulcinj Old Town, etc. has great potential for the development of high quality tourism. </w:t>
            </w:r>
            <w:proofErr w:type="spellStart"/>
            <w:r w:rsidRPr="003C7CB1">
              <w:rPr>
                <w:rFonts w:ascii="Calibri" w:eastAsia="Calibri" w:hAnsi="Calibri" w:cs="Calibri"/>
                <w:bCs/>
                <w:color w:val="000000"/>
                <w:lang w:eastAsia="hr-HR"/>
              </w:rPr>
              <w:t>Velika</w:t>
            </w:r>
            <w:proofErr w:type="spellEnd"/>
            <w:r w:rsidRPr="003C7CB1">
              <w:rPr>
                <w:rFonts w:ascii="Calibri" w:eastAsia="Calibri" w:hAnsi="Calibri" w:cs="Calibri"/>
                <w:bCs/>
                <w:color w:val="000000"/>
                <w:lang w:eastAsia="hr-HR"/>
              </w:rPr>
              <w:t xml:space="preserve"> </w:t>
            </w:r>
            <w:proofErr w:type="spellStart"/>
            <w:r w:rsidR="00861D69">
              <w:rPr>
                <w:rFonts w:ascii="Calibri" w:eastAsia="Calibri" w:hAnsi="Calibri" w:cs="Calibri"/>
                <w:bCs/>
                <w:color w:val="000000"/>
                <w:lang w:eastAsia="hr-HR"/>
              </w:rPr>
              <w:t>plaž</w:t>
            </w:r>
            <w:r w:rsidRPr="003C7CB1">
              <w:rPr>
                <w:rFonts w:ascii="Calibri" w:eastAsia="Calibri" w:hAnsi="Calibri" w:cs="Calibri"/>
                <w:bCs/>
                <w:color w:val="000000"/>
                <w:lang w:eastAsia="hr-HR"/>
              </w:rPr>
              <w:t>a</w:t>
            </w:r>
            <w:proofErr w:type="spellEnd"/>
            <w:r w:rsidRPr="003C7CB1">
              <w:rPr>
                <w:rFonts w:ascii="Calibri" w:eastAsia="Calibri" w:hAnsi="Calibri" w:cs="Calibri"/>
                <w:bCs/>
                <w:color w:val="000000"/>
                <w:lang w:eastAsia="hr-HR"/>
              </w:rPr>
              <w:t xml:space="preserve"> (the Long Beach) is one of the most attractive surf destinations in the Mediterranean, and Ulcinj Salina, as a protected area, and its 14.5 km2 of salt basins, is a habitat for over 241 bird species, which is 50% of the total number of registered birds in Europe. </w:t>
            </w:r>
            <w:proofErr w:type="spellStart"/>
            <w:r w:rsidRPr="003C7CB1">
              <w:rPr>
                <w:rFonts w:ascii="Calibri" w:eastAsia="Calibri" w:hAnsi="Calibri" w:cs="Calibri"/>
                <w:bCs/>
                <w:color w:val="000000"/>
                <w:lang w:eastAsia="hr-HR"/>
              </w:rPr>
              <w:t>Valdanos</w:t>
            </w:r>
            <w:proofErr w:type="spellEnd"/>
            <w:r w:rsidRPr="003C7CB1">
              <w:rPr>
                <w:rFonts w:ascii="Calibri" w:eastAsia="Calibri" w:hAnsi="Calibri" w:cs="Calibri"/>
                <w:bCs/>
                <w:color w:val="000000"/>
                <w:lang w:eastAsia="hr-HR"/>
              </w:rPr>
              <w:t xml:space="preserve"> Bay and its olive groves are the largest living monument of olive growing in Montenegro, of outstanding economic and environmental value. In addition to natural potentials, Ulcinj with its history of 25 centuries, three religions and rich cultural heritage, is a jewel of the Montenegrin coast</w:t>
            </w:r>
            <w:r w:rsidR="00B16AD6" w:rsidRPr="003C7CB1">
              <w:rPr>
                <w:rFonts w:ascii="Calibri" w:eastAsia="Calibri" w:hAnsi="Calibri" w:cs="Calibri"/>
                <w:bCs/>
                <w:color w:val="000000"/>
                <w:lang w:eastAsia="hr-HR"/>
              </w:rPr>
              <w:t>.</w:t>
            </w:r>
          </w:p>
        </w:tc>
      </w:tr>
      <w:tr w:rsidR="00B16AD6" w:rsidRPr="003C7CB1" w14:paraId="3ED0C175" w14:textId="77777777" w:rsidTr="00CD5021">
        <w:tc>
          <w:tcPr>
            <w:tcW w:w="9606" w:type="dxa"/>
            <w:shd w:val="clear" w:color="auto" w:fill="D9E2F3" w:themeFill="accent1" w:themeFillTint="33"/>
          </w:tcPr>
          <w:p w14:paraId="07ED89EB" w14:textId="298499A7" w:rsidR="00B16AD6" w:rsidRPr="003C7CB1" w:rsidRDefault="00A07B74" w:rsidP="00CD5021">
            <w:pPr>
              <w:tabs>
                <w:tab w:val="left" w:pos="968"/>
              </w:tabs>
              <w:spacing w:after="120" w:line="240" w:lineRule="auto"/>
              <w:jc w:val="center"/>
              <w:rPr>
                <w:rFonts w:ascii="Calibri" w:eastAsia="Calibri" w:hAnsi="Calibri" w:cs="Calibri"/>
                <w:b/>
                <w:bCs/>
                <w:color w:val="000000"/>
                <w:lang w:eastAsia="hr-HR"/>
              </w:rPr>
            </w:pPr>
            <w:r w:rsidRPr="003C7CB1">
              <w:rPr>
                <w:rFonts w:ascii="Calibri" w:eastAsia="Calibri" w:hAnsi="Calibri" w:cs="Calibri"/>
                <w:b/>
                <w:bCs/>
                <w:color w:val="1F3864"/>
                <w:lang w:eastAsia="hr-HR"/>
              </w:rPr>
              <w:t>VISION OF CLUSTER DEVELOPMENT</w:t>
            </w:r>
          </w:p>
        </w:tc>
      </w:tr>
      <w:tr w:rsidR="00B16AD6" w:rsidRPr="003C7CB1" w14:paraId="640C078F" w14:textId="77777777" w:rsidTr="00CD5021">
        <w:trPr>
          <w:trHeight w:val="1413"/>
        </w:trPr>
        <w:tc>
          <w:tcPr>
            <w:tcW w:w="9606" w:type="dxa"/>
          </w:tcPr>
          <w:p w14:paraId="699A6B1C" w14:textId="382B6474" w:rsidR="00B16AD6" w:rsidRPr="003C7CB1" w:rsidRDefault="006C3DE8" w:rsidP="006C3DE8">
            <w:pPr>
              <w:tabs>
                <w:tab w:val="left" w:pos="968"/>
              </w:tabs>
              <w:spacing w:after="120" w:line="240" w:lineRule="auto"/>
              <w:jc w:val="both"/>
              <w:rPr>
                <w:rFonts w:ascii="Calibri" w:eastAsia="Calibri" w:hAnsi="Calibri" w:cs="Calibri"/>
                <w:bCs/>
                <w:color w:val="000000"/>
                <w:lang w:eastAsia="hr-HR"/>
              </w:rPr>
            </w:pPr>
            <w:r w:rsidRPr="003C7CB1">
              <w:rPr>
                <w:rFonts w:ascii="Calibri" w:eastAsia="Calibri" w:hAnsi="Calibri" w:cs="Calibri"/>
                <w:b/>
                <w:bCs/>
                <w:color w:val="000000"/>
                <w:lang w:eastAsia="hr-HR"/>
              </w:rPr>
              <w:t xml:space="preserve">Ulcinj with Ada Bojana </w:t>
            </w:r>
            <w:r w:rsidRPr="003C7CB1">
              <w:rPr>
                <w:rFonts w:ascii="Calibri" w:eastAsia="Calibri" w:hAnsi="Calibri" w:cs="Calibri"/>
                <w:bCs/>
                <w:color w:val="000000"/>
                <w:lang w:eastAsia="hr-HR"/>
              </w:rPr>
              <w:t>is becoming a quality year-round destination, with accommodation facilities of high level of service and diversified tourist offer oriented to nature (beach tourism, birdwatching, hiking, hiking tours within the S</w:t>
            </w:r>
            <w:r w:rsidR="00120AFF" w:rsidRPr="003C7CB1">
              <w:rPr>
                <w:rFonts w:ascii="Calibri" w:eastAsia="Calibri" w:hAnsi="Calibri" w:cs="Calibri"/>
                <w:bCs/>
                <w:color w:val="000000"/>
                <w:lang w:eastAsia="hr-HR"/>
              </w:rPr>
              <w:t>alina</w:t>
            </w:r>
            <w:r w:rsidRPr="003C7CB1">
              <w:rPr>
                <w:rFonts w:ascii="Calibri" w:eastAsia="Calibri" w:hAnsi="Calibri" w:cs="Calibri"/>
                <w:bCs/>
                <w:color w:val="000000"/>
                <w:lang w:eastAsia="hr-HR"/>
              </w:rPr>
              <w:t xml:space="preserve"> with</w:t>
            </w:r>
            <w:r w:rsidR="00120AFF" w:rsidRPr="003C7CB1">
              <w:rPr>
                <w:rFonts w:ascii="Calibri" w:eastAsia="Calibri" w:hAnsi="Calibri" w:cs="Calibri"/>
                <w:bCs/>
                <w:color w:val="000000"/>
                <w:lang w:eastAsia="hr-HR"/>
              </w:rPr>
              <w:t xml:space="preserve"> tourist valorization of "salt", as well as </w:t>
            </w:r>
            <w:r w:rsidRPr="003C7CB1">
              <w:rPr>
                <w:rFonts w:ascii="Calibri" w:eastAsia="Calibri" w:hAnsi="Calibri" w:cs="Calibri"/>
                <w:bCs/>
                <w:color w:val="000000"/>
                <w:lang w:eastAsia="hr-HR"/>
              </w:rPr>
              <w:t>horseback riding etc.), sports and recreational activities (kitesurfing, paragliding, windsurfing, etc.), culture and tourist valorization of numerous legends, historical events (</w:t>
            </w:r>
            <w:r w:rsidR="00120AFF" w:rsidRPr="003C7CB1">
              <w:rPr>
                <w:rFonts w:ascii="Calibri" w:eastAsia="Calibri" w:hAnsi="Calibri" w:cs="Calibri"/>
                <w:bCs/>
                <w:color w:val="000000"/>
                <w:lang w:eastAsia="hr-HR"/>
              </w:rPr>
              <w:t>Ulcinj as a slave market and a</w:t>
            </w:r>
            <w:r w:rsidRPr="003C7CB1">
              <w:rPr>
                <w:rFonts w:ascii="Calibri" w:eastAsia="Calibri" w:hAnsi="Calibri" w:cs="Calibri"/>
                <w:bCs/>
                <w:color w:val="000000"/>
                <w:lang w:eastAsia="hr-HR"/>
              </w:rPr>
              <w:t xml:space="preserve"> famous pirate cen</w:t>
            </w:r>
            <w:r w:rsidR="00120AFF" w:rsidRPr="003C7CB1">
              <w:rPr>
                <w:rFonts w:ascii="Calibri" w:eastAsia="Calibri" w:hAnsi="Calibri" w:cs="Calibri"/>
                <w:bCs/>
                <w:color w:val="000000"/>
                <w:lang w:eastAsia="hr-HR"/>
              </w:rPr>
              <w:t xml:space="preserve">ter in the 17th century, etc.), </w:t>
            </w:r>
            <w:r w:rsidRPr="003C7CB1">
              <w:rPr>
                <w:rFonts w:ascii="Calibri" w:eastAsia="Calibri" w:hAnsi="Calibri" w:cs="Calibri"/>
                <w:bCs/>
                <w:color w:val="000000"/>
                <w:lang w:eastAsia="hr-HR"/>
              </w:rPr>
              <w:t>several sunken ships and galleys from various eras, as well as other rich cultural heritage</w:t>
            </w:r>
            <w:r w:rsidR="00B16AD6" w:rsidRPr="003C7CB1">
              <w:rPr>
                <w:rFonts w:ascii="Calibri" w:eastAsia="Calibri" w:hAnsi="Calibri" w:cs="Calibri"/>
                <w:bCs/>
                <w:color w:val="000000"/>
                <w:lang w:eastAsia="hr-HR"/>
              </w:rPr>
              <w:t>.</w:t>
            </w:r>
          </w:p>
        </w:tc>
      </w:tr>
      <w:tr w:rsidR="00B16AD6" w:rsidRPr="003C7CB1" w14:paraId="34B9E193" w14:textId="77777777" w:rsidTr="00CD5021">
        <w:tc>
          <w:tcPr>
            <w:tcW w:w="9606" w:type="dxa"/>
            <w:shd w:val="clear" w:color="auto" w:fill="D9E2F3" w:themeFill="accent1" w:themeFillTint="33"/>
          </w:tcPr>
          <w:p w14:paraId="3C8AD27D" w14:textId="2315E48A" w:rsidR="00B16AD6" w:rsidRPr="003C7CB1" w:rsidRDefault="00120AFF" w:rsidP="00CD5021">
            <w:pPr>
              <w:tabs>
                <w:tab w:val="left" w:pos="968"/>
              </w:tabs>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t>INVESTMENTS, SPACE, HOTEL STANDARDS AND INFRASTRUCTURE</w:t>
            </w:r>
          </w:p>
        </w:tc>
      </w:tr>
      <w:tr w:rsidR="00B16AD6" w:rsidRPr="003C7CB1" w14:paraId="3081E326" w14:textId="77777777" w:rsidTr="00CD5021">
        <w:tc>
          <w:tcPr>
            <w:tcW w:w="9606" w:type="dxa"/>
          </w:tcPr>
          <w:p w14:paraId="5A0F87E9" w14:textId="29C0ABFD" w:rsidR="00B16AD6" w:rsidRPr="003C7CB1" w:rsidRDefault="00120AFF"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Space and investments</w:t>
            </w:r>
          </w:p>
          <w:p w14:paraId="2A9C3476" w14:textId="07D016DD" w:rsidR="00120AFF" w:rsidRPr="003C7CB1" w:rsidRDefault="00120AFF" w:rsidP="00120AFF">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Interdisciplinary develop strategies/models and possible scenarios and incorporate the most acceptable (sustainable) ones into planning documents, in order to provide a basis for sustainable tourism development;</w:t>
            </w:r>
          </w:p>
          <w:p w14:paraId="45954E96" w14:textId="1D00D57F" w:rsidR="00120AFF" w:rsidRPr="003C7CB1" w:rsidRDefault="00120AFF" w:rsidP="00120AFF">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Make the most of brownfield sites and analyze the justification of possible greenfield investments;</w:t>
            </w:r>
          </w:p>
          <w:p w14:paraId="0BF4A16B" w14:textId="1E797BF4" w:rsidR="00120AFF" w:rsidRPr="003C7CB1" w:rsidRDefault="00120AFF" w:rsidP="00120AFF">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Stop the informal expansion of settlements and take remedial action for already existing informal settlements;</w:t>
            </w:r>
          </w:p>
          <w:p w14:paraId="42E13FF1" w14:textId="4ACB5641" w:rsidR="00120AFF" w:rsidRPr="003C7CB1" w:rsidRDefault="00120AFF" w:rsidP="00120AFF">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Harmonize new and reconstructed buildings with the conditions of their wider context (harmonization with the natural, urban, cultural environment), while respecting the standards defined by the plan, which refer to well-thought-out architecture of urban structures that skillfully combines local tradition with elements of modern architecture;</w:t>
            </w:r>
          </w:p>
          <w:p w14:paraId="3B26DA07" w14:textId="68A8758E" w:rsidR="00B16AD6" w:rsidRPr="003C7CB1" w:rsidRDefault="00120AFF" w:rsidP="00120AFF">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When rehabilitating and planning new zones, it is necessary to work on the standardization of buildings in terms of </w:t>
            </w:r>
            <w:r w:rsidR="00861D69">
              <w:rPr>
                <w:rFonts w:ascii="Calibri" w:eastAsia="Calibri" w:hAnsi="Calibri" w:cs="Times New Roman"/>
              </w:rPr>
              <w:t>levels</w:t>
            </w:r>
            <w:r w:rsidRPr="003C7CB1">
              <w:rPr>
                <w:rFonts w:ascii="Calibri" w:eastAsia="Calibri" w:hAnsi="Calibri" w:cs="Times New Roman"/>
              </w:rPr>
              <w:t xml:space="preserve"> and shapes of buildings, their materialization and application of colors and appropriate ground floor arrangement</w:t>
            </w:r>
            <w:r w:rsidR="00B16AD6" w:rsidRPr="003C7CB1">
              <w:rPr>
                <w:rFonts w:ascii="Calibri" w:eastAsia="Calibri" w:hAnsi="Calibri" w:cs="Times New Roman"/>
              </w:rPr>
              <w:t>;</w:t>
            </w:r>
          </w:p>
          <w:p w14:paraId="6F54E5E9" w14:textId="2434483F" w:rsidR="008263DC" w:rsidRPr="003C7CB1" w:rsidRDefault="008263DC" w:rsidP="008263DC">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Protect the area along the Bojana river, stop further construction of temporary facilities along the Bojana river and stop the erosion of the beach on Ada Bojana, through a permanent solution. Also, protect the area around </w:t>
            </w:r>
            <w:proofErr w:type="spellStart"/>
            <w:r w:rsidRPr="003C7CB1">
              <w:rPr>
                <w:rFonts w:ascii="Calibri" w:eastAsia="Calibri" w:hAnsi="Calibri" w:cs="Times New Roman"/>
              </w:rPr>
              <w:t>Šasko</w:t>
            </w:r>
            <w:proofErr w:type="spellEnd"/>
            <w:r w:rsidRPr="003C7CB1">
              <w:rPr>
                <w:rFonts w:ascii="Calibri" w:eastAsia="Calibri" w:hAnsi="Calibri" w:cs="Times New Roman"/>
              </w:rPr>
              <w:t xml:space="preserve"> Lake (where the remains of the town of </w:t>
            </w:r>
            <w:proofErr w:type="spellStart"/>
            <w:r w:rsidRPr="003C7CB1">
              <w:rPr>
                <w:rFonts w:ascii="Calibri" w:eastAsia="Calibri" w:hAnsi="Calibri" w:cs="Times New Roman"/>
              </w:rPr>
              <w:t>Svača</w:t>
            </w:r>
            <w:proofErr w:type="spellEnd"/>
            <w:r w:rsidRPr="003C7CB1">
              <w:rPr>
                <w:rFonts w:ascii="Calibri" w:eastAsia="Calibri" w:hAnsi="Calibri" w:cs="Times New Roman"/>
              </w:rPr>
              <w:t xml:space="preserve"> are located) and the lake itself as a habitat for 240 different birds. Through special tourist offer programs, valorize </w:t>
            </w:r>
            <w:proofErr w:type="spellStart"/>
            <w:r w:rsidRPr="003C7CB1">
              <w:rPr>
                <w:rFonts w:ascii="Calibri" w:eastAsia="Calibri" w:hAnsi="Calibri" w:cs="Times New Roman"/>
              </w:rPr>
              <w:t>Šasko</w:t>
            </w:r>
            <w:proofErr w:type="spellEnd"/>
            <w:r w:rsidRPr="003C7CB1">
              <w:rPr>
                <w:rFonts w:ascii="Calibri" w:eastAsia="Calibri" w:hAnsi="Calibri" w:cs="Times New Roman"/>
              </w:rPr>
              <w:t xml:space="preserve"> Lake </w:t>
            </w:r>
            <w:r w:rsidRPr="003C7CB1">
              <w:rPr>
                <w:rFonts w:ascii="Calibri" w:eastAsia="Calibri" w:hAnsi="Calibri" w:cs="Times New Roman"/>
              </w:rPr>
              <w:lastRenderedPageBreak/>
              <w:t>and its surroundings in a better way, because it also represents an excellent potential for the development of excursion tourism;</w:t>
            </w:r>
          </w:p>
          <w:p w14:paraId="27051AF3" w14:textId="4EFCE617" w:rsidR="008263DC" w:rsidRPr="003C7CB1" w:rsidRDefault="008263DC" w:rsidP="008263DC">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Continue activities on valorization of the sites of the former Hotel </w:t>
            </w:r>
            <w:proofErr w:type="spellStart"/>
            <w:r w:rsidRPr="003C7CB1">
              <w:rPr>
                <w:rFonts w:ascii="Calibri" w:eastAsia="Calibri" w:hAnsi="Calibri" w:cs="Times New Roman"/>
              </w:rPr>
              <w:t>Galeb</w:t>
            </w:r>
            <w:proofErr w:type="spellEnd"/>
            <w:r w:rsidRPr="003C7CB1">
              <w:rPr>
                <w:rFonts w:ascii="Calibri" w:eastAsia="Calibri" w:hAnsi="Calibri" w:cs="Times New Roman"/>
              </w:rPr>
              <w:t xml:space="preserve">, the former Hotel </w:t>
            </w:r>
            <w:proofErr w:type="spellStart"/>
            <w:r w:rsidRPr="003C7CB1">
              <w:rPr>
                <w:rFonts w:ascii="Calibri" w:eastAsia="Calibri" w:hAnsi="Calibri" w:cs="Times New Roman"/>
              </w:rPr>
              <w:t>Jadran</w:t>
            </w:r>
            <w:proofErr w:type="spellEnd"/>
            <w:r w:rsidRPr="003C7CB1">
              <w:rPr>
                <w:rFonts w:ascii="Calibri" w:eastAsia="Calibri" w:hAnsi="Calibri" w:cs="Times New Roman"/>
              </w:rPr>
              <w:t xml:space="preserve"> and the former Hotel Grand Lido and the Lido Apartments, monitor activities to improve the standard of accommodation capacity of the Hotel </w:t>
            </w:r>
            <w:proofErr w:type="spellStart"/>
            <w:r w:rsidRPr="003C7CB1">
              <w:rPr>
                <w:rFonts w:ascii="Calibri" w:eastAsia="Calibri" w:hAnsi="Calibri" w:cs="Times New Roman"/>
              </w:rPr>
              <w:t>Mediteran</w:t>
            </w:r>
            <w:proofErr w:type="spellEnd"/>
            <w:r w:rsidRPr="003C7CB1">
              <w:rPr>
                <w:rFonts w:ascii="Calibri" w:eastAsia="Calibri" w:hAnsi="Calibri" w:cs="Times New Roman"/>
              </w:rPr>
              <w:t>;</w:t>
            </w:r>
          </w:p>
          <w:p w14:paraId="10668980" w14:textId="0F4203D8" w:rsidR="00B16AD6" w:rsidRPr="003C7CB1" w:rsidRDefault="008263DC" w:rsidP="008263DC">
            <w:pPr>
              <w:numPr>
                <w:ilvl w:val="0"/>
                <w:numId w:val="30"/>
              </w:numPr>
              <w:spacing w:after="120" w:line="240" w:lineRule="auto"/>
              <w:contextualSpacing/>
              <w:jc w:val="both"/>
              <w:rPr>
                <w:rFonts w:ascii="Calibri" w:eastAsia="Calibri" w:hAnsi="Calibri" w:cs="Times New Roman"/>
              </w:rPr>
            </w:pPr>
            <w:r w:rsidRPr="003C7CB1">
              <w:rPr>
                <w:rFonts w:ascii="Calibri" w:eastAsia="Calibri" w:hAnsi="Calibri" w:cs="Times New Roman"/>
              </w:rPr>
              <w:t>Create project activities through support programs in order to connect tourism and agriculture, small business and entrepreneurship</w:t>
            </w:r>
            <w:r w:rsidR="00B16AD6" w:rsidRPr="003C7CB1">
              <w:rPr>
                <w:rFonts w:ascii="Calibri" w:eastAsia="Calibri" w:hAnsi="Calibri" w:cs="Times New Roman"/>
              </w:rPr>
              <w:t>.</w:t>
            </w:r>
          </w:p>
          <w:p w14:paraId="618AC900" w14:textId="77777777" w:rsidR="00955065" w:rsidRPr="003C7CB1" w:rsidRDefault="00955065" w:rsidP="00315F3A">
            <w:pPr>
              <w:spacing w:after="120" w:line="240" w:lineRule="auto"/>
              <w:ind w:left="360"/>
              <w:contextualSpacing/>
              <w:jc w:val="both"/>
              <w:rPr>
                <w:rFonts w:ascii="Calibri" w:eastAsia="Calibri" w:hAnsi="Calibri" w:cs="Times New Roman"/>
              </w:rPr>
            </w:pPr>
          </w:p>
          <w:p w14:paraId="48B59F7C" w14:textId="149AB16A" w:rsidR="00B16AD6" w:rsidRPr="003C7CB1" w:rsidRDefault="00571E43" w:rsidP="00CD5021">
            <w:pPr>
              <w:spacing w:after="120" w:line="240" w:lineRule="auto"/>
              <w:jc w:val="both"/>
              <w:rPr>
                <w:rFonts w:ascii="Calibri" w:eastAsia="Calibri" w:hAnsi="Calibri" w:cs="Times New Roman"/>
                <w:b/>
                <w:bCs/>
                <w:u w:val="single"/>
              </w:rPr>
            </w:pPr>
            <w:r w:rsidRPr="003C7CB1">
              <w:rPr>
                <w:rFonts w:ascii="Calibri" w:eastAsia="Calibri" w:hAnsi="Calibri" w:cs="Times New Roman"/>
                <w:b/>
                <w:bCs/>
                <w:u w:val="single"/>
              </w:rPr>
              <w:t>Standardization and unification of facilities</w:t>
            </w:r>
          </w:p>
          <w:p w14:paraId="15721B53" w14:textId="4B2C2102" w:rsidR="00571E43" w:rsidRPr="003C7CB1" w:rsidRDefault="00571E43" w:rsidP="00571E43">
            <w:pPr>
              <w:spacing w:after="120" w:line="240" w:lineRule="auto"/>
              <w:jc w:val="both"/>
              <w:rPr>
                <w:rFonts w:ascii="Calibri" w:eastAsia="Calibri" w:hAnsi="Calibri" w:cs="Times New Roman"/>
              </w:rPr>
            </w:pPr>
            <w:r w:rsidRPr="003C7CB1">
              <w:rPr>
                <w:rFonts w:ascii="Calibri" w:eastAsia="Calibri" w:hAnsi="Calibri" w:cs="Times New Roman"/>
              </w:rPr>
              <w:t>In order to create the image of the city of Ulcinj, and through defined programs of private - public partnership (</w:t>
            </w:r>
            <w:r w:rsidR="00861D69" w:rsidRPr="003C7CB1">
              <w:rPr>
                <w:rFonts w:ascii="Calibri" w:eastAsia="Calibri" w:hAnsi="Calibri" w:cs="Times New Roman"/>
              </w:rPr>
              <w:t>e.g.</w:t>
            </w:r>
            <w:r w:rsidRPr="003C7CB1">
              <w:rPr>
                <w:rFonts w:ascii="Calibri" w:eastAsia="Calibri" w:hAnsi="Calibri" w:cs="Times New Roman"/>
              </w:rPr>
              <w:t xml:space="preserve"> "New face of the city") it is necessary to work on refreshing the facades of facilities in urban areas, standardize solutions through the use of materials and colors that are aesthetically acceptable, neutral and </w:t>
            </w:r>
            <w:r w:rsidR="006B2751">
              <w:rPr>
                <w:rFonts w:ascii="Calibri" w:eastAsia="Calibri" w:hAnsi="Calibri" w:cs="Times New Roman"/>
              </w:rPr>
              <w:t>that fit in</w:t>
            </w:r>
            <w:r w:rsidRPr="003C7CB1">
              <w:rPr>
                <w:rFonts w:ascii="Calibri" w:eastAsia="Calibri" w:hAnsi="Calibri" w:cs="Times New Roman"/>
              </w:rPr>
              <w:t xml:space="preserve"> with the environment.</w:t>
            </w:r>
          </w:p>
          <w:p w14:paraId="558F0549" w14:textId="6EF87801" w:rsidR="00571E43" w:rsidRPr="003C7CB1" w:rsidRDefault="00571E43" w:rsidP="00571E43">
            <w:pPr>
              <w:spacing w:after="120" w:line="240" w:lineRule="auto"/>
              <w:jc w:val="both"/>
              <w:rPr>
                <w:rFonts w:ascii="Calibri" w:eastAsia="Calibri" w:hAnsi="Calibri" w:cs="Times New Roman"/>
              </w:rPr>
            </w:pPr>
            <w:r w:rsidRPr="003C7CB1">
              <w:rPr>
                <w:rFonts w:ascii="Calibri" w:eastAsia="Calibri" w:hAnsi="Calibri" w:cs="Times New Roman"/>
              </w:rPr>
              <w:t>Build facilities in the Mediterranean style, combining exceptional aesthetics and functionality in order to achieve complete unification of interior design and exterior space.</w:t>
            </w:r>
          </w:p>
          <w:p w14:paraId="3A6B7A48" w14:textId="42D10EB5" w:rsidR="00B16AD6" w:rsidRPr="003C7CB1" w:rsidRDefault="00571E43" w:rsidP="00571E43">
            <w:pPr>
              <w:spacing w:after="120" w:line="240" w:lineRule="auto"/>
              <w:jc w:val="both"/>
              <w:rPr>
                <w:rFonts w:ascii="Calibri" w:eastAsia="Calibri" w:hAnsi="Calibri" w:cs="Times New Roman"/>
              </w:rPr>
            </w:pPr>
            <w:r w:rsidRPr="003C7CB1">
              <w:rPr>
                <w:rFonts w:ascii="Calibri" w:eastAsia="Calibri" w:hAnsi="Calibri" w:cs="Times New Roman"/>
              </w:rPr>
              <w:t>At the level of local self-governments, target the oldest buildings that have cultural and historical value, as well as buildings in which important historical figure</w:t>
            </w:r>
            <w:r w:rsidR="005138E4" w:rsidRPr="003C7CB1">
              <w:rPr>
                <w:rFonts w:ascii="Calibri" w:eastAsia="Calibri" w:hAnsi="Calibri" w:cs="Times New Roman"/>
              </w:rPr>
              <w:t xml:space="preserve">s </w:t>
            </w:r>
            <w:r w:rsidRPr="003C7CB1">
              <w:rPr>
                <w:rFonts w:ascii="Calibri" w:eastAsia="Calibri" w:hAnsi="Calibri" w:cs="Times New Roman"/>
              </w:rPr>
              <w:t>lived or stayed, and protect, revitalize and valorize them</w:t>
            </w:r>
            <w:r w:rsidR="00B16AD6" w:rsidRPr="003C7CB1">
              <w:rPr>
                <w:rFonts w:ascii="Calibri" w:eastAsia="Calibri" w:hAnsi="Calibri" w:cs="Times New Roman"/>
              </w:rPr>
              <w:t xml:space="preserve">.  </w:t>
            </w:r>
          </w:p>
          <w:p w14:paraId="2B00E78A" w14:textId="6EBD365C" w:rsidR="00561C4F" w:rsidRPr="003C7CB1" w:rsidRDefault="00561C4F" w:rsidP="00561C4F">
            <w:pPr>
              <w:spacing w:after="120" w:line="240" w:lineRule="auto"/>
              <w:jc w:val="both"/>
              <w:rPr>
                <w:rFonts w:ascii="Calibri" w:eastAsia="Calibri" w:hAnsi="Calibri" w:cs="Times New Roman"/>
              </w:rPr>
            </w:pPr>
            <w:r w:rsidRPr="003C7CB1">
              <w:rPr>
                <w:rFonts w:ascii="Calibri" w:eastAsia="Calibri" w:hAnsi="Calibri" w:cs="Times New Roman"/>
              </w:rPr>
              <w:t>In parts of the city that have historical value, facilities should be built on the motives of local ethno-architecture, with indigenous materials.</w:t>
            </w:r>
          </w:p>
          <w:p w14:paraId="326A4992" w14:textId="11DC39CC" w:rsidR="00B16AD6" w:rsidRPr="003C7CB1" w:rsidRDefault="00561C4F" w:rsidP="00561C4F">
            <w:pPr>
              <w:spacing w:after="120" w:line="240" w:lineRule="auto"/>
              <w:jc w:val="both"/>
              <w:rPr>
                <w:rFonts w:ascii="Calibri" w:eastAsia="Calibri" w:hAnsi="Calibri" w:cs="Times New Roman"/>
              </w:rPr>
            </w:pPr>
            <w:r w:rsidRPr="003C7CB1">
              <w:rPr>
                <w:rFonts w:ascii="Calibri" w:eastAsia="Calibri" w:hAnsi="Calibri" w:cs="Times New Roman"/>
              </w:rPr>
              <w:t>When creating new contents, it is necessary to pay special attention to the architectural design and materialization of facilities, especially taking into account that the volumes of facilities are carefully designed in order to obtain a homogeneous image of the settlement and city. Facades of facilities and roof coverings should be provided with quality and durable material and should be installed with quality</w:t>
            </w:r>
            <w:r w:rsidR="00B16AD6" w:rsidRPr="003C7CB1">
              <w:rPr>
                <w:rFonts w:ascii="Calibri" w:eastAsia="Calibri" w:hAnsi="Calibri" w:cs="Times New Roman"/>
              </w:rPr>
              <w:t xml:space="preserve">. </w:t>
            </w:r>
          </w:p>
          <w:p w14:paraId="3295214F" w14:textId="0A1BF4A7" w:rsidR="00B16AD6" w:rsidRPr="003C7CB1" w:rsidRDefault="00561C4F"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Hotel standards</w:t>
            </w:r>
          </w:p>
          <w:p w14:paraId="7F672950" w14:textId="37CFD8F8" w:rsidR="00561C4F" w:rsidRPr="003C7CB1" w:rsidRDefault="00561C4F" w:rsidP="00561C4F">
            <w:pPr>
              <w:spacing w:after="120" w:line="240" w:lineRule="auto"/>
              <w:jc w:val="both"/>
              <w:rPr>
                <w:rFonts w:ascii="Calibri" w:eastAsia="Calibri" w:hAnsi="Calibri" w:cs="Times New Roman"/>
              </w:rPr>
            </w:pPr>
            <w:r w:rsidRPr="003C7CB1">
              <w:rPr>
                <w:rFonts w:ascii="Calibri" w:eastAsia="Calibri" w:hAnsi="Calibri" w:cs="Times New Roman"/>
              </w:rPr>
              <w:t xml:space="preserve">In the first line to the sea, it is necessary to strive for a </w:t>
            </w:r>
            <w:r w:rsidR="006B2751">
              <w:rPr>
                <w:rFonts w:ascii="Calibri" w:eastAsia="Calibri" w:hAnsi="Calibri" w:cs="Times New Roman"/>
              </w:rPr>
              <w:t xml:space="preserve">4 and 5-star </w:t>
            </w:r>
            <w:r w:rsidRPr="003C7CB1">
              <w:rPr>
                <w:rFonts w:ascii="Calibri" w:eastAsia="Calibri" w:hAnsi="Calibri" w:cs="Times New Roman"/>
              </w:rPr>
              <w:t>hotel offer, with a variety of additional facilities.</w:t>
            </w:r>
          </w:p>
          <w:p w14:paraId="33A8F11A" w14:textId="51316F68" w:rsidR="00561C4F" w:rsidRPr="003C7CB1" w:rsidRDefault="00561C4F" w:rsidP="00561C4F">
            <w:pPr>
              <w:spacing w:after="120" w:line="240" w:lineRule="auto"/>
              <w:jc w:val="both"/>
              <w:rPr>
                <w:rFonts w:ascii="Calibri" w:eastAsia="Calibri" w:hAnsi="Calibri" w:cs="Times New Roman"/>
              </w:rPr>
            </w:pPr>
            <w:r w:rsidRPr="003C7CB1">
              <w:rPr>
                <w:rFonts w:ascii="Calibri" w:eastAsia="Calibri" w:hAnsi="Calibri" w:cs="Times New Roman"/>
              </w:rPr>
              <w:t xml:space="preserve">When planning a hotel along the </w:t>
            </w:r>
            <w:r w:rsidR="00B676D9" w:rsidRPr="003C7CB1">
              <w:rPr>
                <w:rFonts w:ascii="Calibri" w:eastAsia="Calibri" w:hAnsi="Calibri" w:cs="Times New Roman"/>
              </w:rPr>
              <w:t>Long</w:t>
            </w:r>
            <w:r w:rsidRPr="003C7CB1">
              <w:rPr>
                <w:rFonts w:ascii="Calibri" w:eastAsia="Calibri" w:hAnsi="Calibri" w:cs="Times New Roman"/>
              </w:rPr>
              <w:t xml:space="preserve"> Beach, respect the criterion to provide 100 m2 of green space for one accommodation unit.</w:t>
            </w:r>
          </w:p>
          <w:p w14:paraId="733642D7" w14:textId="7B4CA6A1" w:rsidR="00561C4F" w:rsidRPr="003C7CB1" w:rsidRDefault="00561C4F" w:rsidP="00561C4F">
            <w:pPr>
              <w:spacing w:after="120" w:line="240" w:lineRule="auto"/>
              <w:jc w:val="both"/>
              <w:rPr>
                <w:rFonts w:ascii="Calibri" w:eastAsia="Calibri" w:hAnsi="Calibri" w:cs="Times New Roman"/>
              </w:rPr>
            </w:pPr>
            <w:r w:rsidRPr="003C7CB1">
              <w:rPr>
                <w:rFonts w:ascii="Calibri" w:eastAsia="Calibri" w:hAnsi="Calibri" w:cs="Times New Roman"/>
              </w:rPr>
              <w:t xml:space="preserve">In the hinterland zone, </w:t>
            </w:r>
            <w:r w:rsidR="006B2751">
              <w:rPr>
                <w:rFonts w:ascii="Calibri" w:eastAsia="Calibri" w:hAnsi="Calibri" w:cs="Times New Roman"/>
              </w:rPr>
              <w:t>it is necessary to have 3-5-star</w:t>
            </w:r>
            <w:r w:rsidRPr="003C7CB1">
              <w:rPr>
                <w:rFonts w:ascii="Calibri" w:eastAsia="Calibri" w:hAnsi="Calibri" w:cs="Times New Roman"/>
              </w:rPr>
              <w:t xml:space="preserve"> hotel, which will be open all year round. Hotels must be built thematically with additional facilities, which will rely on the diversified offer of the city, and not only on beach tourism.</w:t>
            </w:r>
          </w:p>
          <w:p w14:paraId="6D29BDD6" w14:textId="03AF2E7E" w:rsidR="00B16AD6" w:rsidRPr="003C7CB1" w:rsidRDefault="00561C4F" w:rsidP="00561C4F">
            <w:pPr>
              <w:spacing w:after="120" w:line="240" w:lineRule="auto"/>
              <w:jc w:val="both"/>
              <w:rPr>
                <w:rFonts w:ascii="Calibri" w:eastAsia="Calibri" w:hAnsi="Calibri" w:cs="Times New Roman"/>
              </w:rPr>
            </w:pPr>
            <w:r w:rsidRPr="003C7CB1">
              <w:rPr>
                <w:rFonts w:ascii="Calibri" w:eastAsia="Calibri" w:hAnsi="Calibri" w:cs="Times New Roman"/>
              </w:rPr>
              <w:t>It is necessary to work on increasing the standards of existing accommodation capacities and improving the quality of service in the tourism sector</w:t>
            </w:r>
            <w:r w:rsidR="00B16AD6" w:rsidRPr="003C7CB1">
              <w:rPr>
                <w:rFonts w:ascii="Calibri" w:eastAsia="Calibri" w:hAnsi="Calibri" w:cs="Times New Roman"/>
              </w:rPr>
              <w:t>.</w:t>
            </w:r>
          </w:p>
          <w:p w14:paraId="7564B27A" w14:textId="1BC52F8A" w:rsidR="00B16AD6" w:rsidRPr="003C7CB1" w:rsidRDefault="00B676D9"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Infrastructure</w:t>
            </w:r>
          </w:p>
          <w:p w14:paraId="331FD65A" w14:textId="5416587B" w:rsidR="00B16AD6" w:rsidRPr="003C7CB1" w:rsidRDefault="00B676D9" w:rsidP="00CD5021">
            <w:pPr>
              <w:spacing w:after="120" w:line="240" w:lineRule="auto"/>
              <w:jc w:val="both"/>
              <w:rPr>
                <w:rFonts w:ascii="Calibri" w:eastAsia="Calibri" w:hAnsi="Calibri" w:cs="Times New Roman"/>
              </w:rPr>
            </w:pPr>
            <w:r w:rsidRPr="003C7CB1">
              <w:rPr>
                <w:rFonts w:ascii="Calibri" w:eastAsia="Calibri" w:hAnsi="Calibri" w:cs="Times New Roman"/>
              </w:rPr>
              <w:t>It is necessary to implement activities on</w:t>
            </w:r>
            <w:r w:rsidR="00B16AD6" w:rsidRPr="003C7CB1">
              <w:rPr>
                <w:rFonts w:ascii="Calibri" w:eastAsia="Calibri" w:hAnsi="Calibri" w:cs="Times New Roman"/>
              </w:rPr>
              <w:t>:</w:t>
            </w:r>
          </w:p>
          <w:p w14:paraId="676F010D" w14:textId="20B9A7C3" w:rsidR="00B16AD6" w:rsidRPr="003C7CB1" w:rsidRDefault="00B676D9" w:rsidP="00B676D9">
            <w:pPr>
              <w:numPr>
                <w:ilvl w:val="0"/>
                <w:numId w:val="33"/>
              </w:numPr>
              <w:spacing w:after="120" w:line="240" w:lineRule="auto"/>
              <w:contextualSpacing/>
              <w:jc w:val="both"/>
              <w:rPr>
                <w:rFonts w:ascii="Calibri" w:eastAsia="Calibri" w:hAnsi="Calibri" w:cs="Times New Roman"/>
              </w:rPr>
            </w:pPr>
            <w:r w:rsidRPr="003C7CB1">
              <w:rPr>
                <w:rFonts w:ascii="Calibri" w:eastAsia="Calibri" w:hAnsi="Calibri" w:cs="Times New Roman"/>
              </w:rPr>
              <w:t>The Improvement of inadequate and construction of the missing traffic network, especially the secondary road network</w:t>
            </w:r>
            <w:r w:rsidR="00B16AD6" w:rsidRPr="003C7CB1">
              <w:rPr>
                <w:rFonts w:ascii="Calibri" w:eastAsia="Calibri" w:hAnsi="Calibri" w:cs="Times New Roman"/>
              </w:rPr>
              <w:t>;</w:t>
            </w:r>
          </w:p>
          <w:p w14:paraId="28883F11" w14:textId="1F600889" w:rsidR="00B16AD6" w:rsidRPr="003C7CB1" w:rsidRDefault="00B676D9" w:rsidP="00B676D9">
            <w:pPr>
              <w:numPr>
                <w:ilvl w:val="0"/>
                <w:numId w:val="33"/>
              </w:numPr>
              <w:spacing w:after="120" w:line="240" w:lineRule="auto"/>
              <w:contextualSpacing/>
              <w:jc w:val="both"/>
              <w:rPr>
                <w:rFonts w:ascii="Calibri" w:eastAsia="Calibri" w:hAnsi="Calibri" w:cs="Times New Roman"/>
              </w:rPr>
            </w:pPr>
            <w:r w:rsidRPr="003C7CB1">
              <w:rPr>
                <w:rFonts w:ascii="Calibri" w:eastAsia="Calibri" w:hAnsi="Calibri" w:cs="Times New Roman"/>
              </w:rPr>
              <w:t>The suppression of the usurpation of public and private property through temporary facilities</w:t>
            </w:r>
            <w:r w:rsidR="00B16AD6" w:rsidRPr="003C7CB1">
              <w:rPr>
                <w:rFonts w:ascii="Calibri" w:eastAsia="Calibri" w:hAnsi="Calibri" w:cs="Times New Roman"/>
              </w:rPr>
              <w:t xml:space="preserve">; </w:t>
            </w:r>
          </w:p>
          <w:p w14:paraId="0DE845DF" w14:textId="155D9C5F" w:rsidR="00B16AD6" w:rsidRPr="003C7CB1" w:rsidRDefault="00B676D9" w:rsidP="00B676D9">
            <w:pPr>
              <w:numPr>
                <w:ilvl w:val="0"/>
                <w:numId w:val="33"/>
              </w:numPr>
              <w:spacing w:after="120" w:line="240" w:lineRule="auto"/>
              <w:contextualSpacing/>
              <w:jc w:val="both"/>
              <w:rPr>
                <w:rFonts w:ascii="Calibri" w:eastAsia="Calibri" w:hAnsi="Calibri" w:cs="Times New Roman"/>
              </w:rPr>
            </w:pPr>
            <w:r w:rsidRPr="003C7CB1">
              <w:rPr>
                <w:rFonts w:ascii="Calibri" w:eastAsia="Calibri" w:hAnsi="Calibri" w:cs="Times New Roman"/>
              </w:rPr>
              <w:t>Solving the environmental problem of the "Port Milena" canal;</w:t>
            </w:r>
          </w:p>
          <w:p w14:paraId="22CD358F" w14:textId="16FCB4B7" w:rsidR="00B16AD6" w:rsidRPr="003C7CB1" w:rsidRDefault="00B676D9" w:rsidP="00B676D9">
            <w:pPr>
              <w:numPr>
                <w:ilvl w:val="0"/>
                <w:numId w:val="33"/>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The urgent solution of the problem of erosion of </w:t>
            </w:r>
            <w:proofErr w:type="spellStart"/>
            <w:r w:rsidRPr="003C7CB1">
              <w:rPr>
                <w:rFonts w:ascii="Calibri" w:eastAsia="Calibri" w:hAnsi="Calibri" w:cs="Times New Roman"/>
              </w:rPr>
              <w:t>Velika</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plaža</w:t>
            </w:r>
            <w:proofErr w:type="spellEnd"/>
            <w:r w:rsidRPr="003C7CB1">
              <w:rPr>
                <w:rFonts w:ascii="Calibri" w:eastAsia="Calibri" w:hAnsi="Calibri" w:cs="Times New Roman"/>
              </w:rPr>
              <w:t xml:space="preserve"> and Ada Bojana</w:t>
            </w:r>
            <w:r w:rsidR="00B16AD6" w:rsidRPr="003C7CB1">
              <w:rPr>
                <w:rFonts w:ascii="Calibri" w:eastAsia="Calibri" w:hAnsi="Calibri" w:cs="Times New Roman"/>
              </w:rPr>
              <w:t>;</w:t>
            </w:r>
          </w:p>
          <w:p w14:paraId="358C759C" w14:textId="345B9348" w:rsidR="00B16AD6" w:rsidRPr="003C7CB1" w:rsidRDefault="00B676D9" w:rsidP="00B676D9">
            <w:pPr>
              <w:numPr>
                <w:ilvl w:val="0"/>
                <w:numId w:val="33"/>
              </w:numPr>
              <w:spacing w:after="120" w:line="240" w:lineRule="auto"/>
              <w:contextualSpacing/>
              <w:jc w:val="both"/>
              <w:rPr>
                <w:rFonts w:ascii="Calibri" w:eastAsia="Calibri" w:hAnsi="Calibri" w:cs="Calibri"/>
                <w:bCs/>
                <w:lang w:eastAsia="hr-HR"/>
              </w:rPr>
            </w:pPr>
            <w:r w:rsidRPr="003C7CB1">
              <w:rPr>
                <w:rFonts w:ascii="Calibri" w:eastAsia="Calibri" w:hAnsi="Calibri" w:cs="Calibri"/>
                <w:bCs/>
                <w:lang w:eastAsia="hr-HR"/>
              </w:rPr>
              <w:t>Improving the existing and building the missing infrastructure in order to supply the population with quality drinking water</w:t>
            </w:r>
            <w:r w:rsidR="00B16AD6" w:rsidRPr="003C7CB1">
              <w:rPr>
                <w:rFonts w:ascii="Calibri" w:eastAsia="Calibri" w:hAnsi="Calibri" w:cs="Calibri"/>
                <w:bCs/>
                <w:lang w:eastAsia="hr-HR"/>
              </w:rPr>
              <w:t>;</w:t>
            </w:r>
          </w:p>
          <w:p w14:paraId="6888A029" w14:textId="59E7410A" w:rsidR="00B16AD6" w:rsidRPr="003C7CB1" w:rsidRDefault="00B676D9" w:rsidP="00B676D9">
            <w:pPr>
              <w:numPr>
                <w:ilvl w:val="0"/>
                <w:numId w:val="33"/>
              </w:numPr>
              <w:tabs>
                <w:tab w:val="left" w:pos="968"/>
              </w:tabs>
              <w:spacing w:after="120" w:line="240" w:lineRule="auto"/>
              <w:contextualSpacing/>
              <w:rPr>
                <w:rFonts w:ascii="Calibri" w:eastAsia="Calibri" w:hAnsi="Calibri" w:cs="Calibri"/>
                <w:lang w:eastAsia="hr-HR"/>
              </w:rPr>
            </w:pPr>
            <w:r w:rsidRPr="003C7CB1">
              <w:rPr>
                <w:rFonts w:ascii="Calibri" w:eastAsia="Calibri" w:hAnsi="Calibri" w:cs="Calibri"/>
                <w:bCs/>
                <w:lang w:eastAsia="hr-HR"/>
              </w:rPr>
              <w:lastRenderedPageBreak/>
              <w:t>The completion of works on the construction of the sewerage network</w:t>
            </w:r>
            <w:r w:rsidR="00B16AD6" w:rsidRPr="003C7CB1">
              <w:rPr>
                <w:rFonts w:ascii="Calibri" w:eastAsia="Calibri" w:hAnsi="Calibri" w:cs="Calibri"/>
                <w:bCs/>
                <w:lang w:eastAsia="hr-HR"/>
              </w:rPr>
              <w:t>;</w:t>
            </w:r>
          </w:p>
          <w:p w14:paraId="5C753177" w14:textId="3C1A5246" w:rsidR="00B16AD6" w:rsidRPr="003C7CB1" w:rsidRDefault="00B676D9" w:rsidP="00B676D9">
            <w:pPr>
              <w:numPr>
                <w:ilvl w:val="0"/>
                <w:numId w:val="33"/>
              </w:numPr>
              <w:tabs>
                <w:tab w:val="left" w:pos="968"/>
              </w:tabs>
              <w:spacing w:after="120" w:line="240" w:lineRule="auto"/>
              <w:contextualSpacing/>
              <w:rPr>
                <w:rFonts w:ascii="Calibri" w:eastAsia="Calibri" w:hAnsi="Calibri" w:cs="Calibri"/>
                <w:lang w:eastAsia="hr-HR"/>
              </w:rPr>
            </w:pPr>
            <w:r w:rsidRPr="003C7CB1">
              <w:rPr>
                <w:rFonts w:ascii="Calibri" w:eastAsia="Calibri" w:hAnsi="Calibri" w:cs="Calibri"/>
                <w:bCs/>
                <w:lang w:eastAsia="hr-HR"/>
              </w:rPr>
              <w:t>The improvement of electricity supply especially in the area along the Long Beach</w:t>
            </w:r>
            <w:r w:rsidR="006B6188" w:rsidRPr="003C7CB1">
              <w:rPr>
                <w:rFonts w:ascii="Calibri" w:eastAsia="Calibri" w:hAnsi="Calibri" w:cs="Calibri"/>
                <w:bCs/>
                <w:lang w:eastAsia="hr-HR"/>
              </w:rPr>
              <w:t>.</w:t>
            </w:r>
          </w:p>
          <w:p w14:paraId="16F783A4" w14:textId="77777777" w:rsidR="00B16AD6" w:rsidRPr="003C7CB1" w:rsidRDefault="00B16AD6" w:rsidP="00CD5021">
            <w:pPr>
              <w:tabs>
                <w:tab w:val="left" w:pos="968"/>
              </w:tabs>
              <w:spacing w:after="120" w:line="240" w:lineRule="auto"/>
              <w:contextualSpacing/>
              <w:rPr>
                <w:rFonts w:ascii="Calibri" w:eastAsia="Calibri" w:hAnsi="Calibri" w:cs="Calibri"/>
                <w:lang w:eastAsia="hr-HR"/>
              </w:rPr>
            </w:pPr>
          </w:p>
        </w:tc>
      </w:tr>
    </w:tbl>
    <w:p w14:paraId="562B8636" w14:textId="77777777" w:rsidR="007B3399" w:rsidRPr="003C7CB1" w:rsidRDefault="007B3399" w:rsidP="00CD5021">
      <w:pPr>
        <w:spacing w:after="120" w:line="240" w:lineRule="auto"/>
        <w:rPr>
          <w:rFonts w:ascii="Calibri" w:eastAsia="Calibri" w:hAnsi="Calibri" w:cs="Calibri"/>
          <w:sz w:val="18"/>
          <w:szCs w:val="18"/>
          <w:lang w:eastAsia="hr-H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B16AD6" w:rsidRPr="003C7CB1" w14:paraId="545D3D5C" w14:textId="77777777" w:rsidTr="00CD5021">
        <w:tc>
          <w:tcPr>
            <w:tcW w:w="9606" w:type="dxa"/>
            <w:gridSpan w:val="2"/>
            <w:shd w:val="clear" w:color="auto" w:fill="B4C6E7" w:themeFill="accent1" w:themeFillTint="66"/>
          </w:tcPr>
          <w:p w14:paraId="5EC8B1E3" w14:textId="7E8A8D83" w:rsidR="00B16AD6" w:rsidRPr="003C7CB1" w:rsidRDefault="004D1551"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TOURISM PRODUCT</w:t>
            </w:r>
          </w:p>
        </w:tc>
      </w:tr>
      <w:tr w:rsidR="00B16AD6" w:rsidRPr="003C7CB1" w14:paraId="39F584FE" w14:textId="77777777" w:rsidTr="00CD5021">
        <w:tc>
          <w:tcPr>
            <w:tcW w:w="4644" w:type="dxa"/>
            <w:shd w:val="clear" w:color="auto" w:fill="EDEDED" w:themeFill="accent3" w:themeFillTint="33"/>
          </w:tcPr>
          <w:p w14:paraId="1807E1D8" w14:textId="3F978829" w:rsidR="00B16AD6" w:rsidRPr="003C7CB1" w:rsidRDefault="00352ADD"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 xml:space="preserve"> M</w:t>
            </w:r>
            <w:r w:rsidR="004D1551" w:rsidRPr="003C7CB1">
              <w:rPr>
                <w:rFonts w:ascii="Calibri" w:eastAsia="Calibri" w:hAnsi="Calibri" w:cs="Calibri"/>
                <w:b/>
                <w:bCs/>
                <w:color w:val="1F3864"/>
                <w:lang w:eastAsia="hr-HR"/>
              </w:rPr>
              <w:t>ain tourism products</w:t>
            </w:r>
          </w:p>
        </w:tc>
        <w:tc>
          <w:tcPr>
            <w:tcW w:w="4962" w:type="dxa"/>
            <w:shd w:val="clear" w:color="auto" w:fill="EDEDED" w:themeFill="accent3" w:themeFillTint="33"/>
          </w:tcPr>
          <w:p w14:paraId="016FD2C5" w14:textId="6C079DF3" w:rsidR="00B16AD6" w:rsidRPr="003C7CB1" w:rsidRDefault="004D1551"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Additional tourism products</w:t>
            </w:r>
          </w:p>
        </w:tc>
      </w:tr>
      <w:tr w:rsidR="00B16AD6" w:rsidRPr="003C7CB1" w14:paraId="56F3BDD3" w14:textId="77777777" w:rsidTr="00CD5021">
        <w:trPr>
          <w:trHeight w:val="699"/>
        </w:trPr>
        <w:tc>
          <w:tcPr>
            <w:tcW w:w="4644" w:type="dxa"/>
          </w:tcPr>
          <w:p w14:paraId="41B24862" w14:textId="12C41B54"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Nature-based tourism (bird watching, hiking, cycling, hiking tours of the "salt" in Ulcinj Salina, horseback riding, etc.)</w:t>
            </w:r>
          </w:p>
          <w:p w14:paraId="6F8FAF91" w14:textId="098DFD2C"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Sports and recreational tourism (kitesurfing, windsurfing, wakeboarding, paragliding and surfing, camps for athletes, sports schools,</w:t>
            </w:r>
          </w:p>
          <w:p w14:paraId="764F30F4" w14:textId="57F85A2F"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MICE (number of hotels with congress facilities)</w:t>
            </w:r>
          </w:p>
          <w:p w14:paraId="5715F467" w14:textId="48A5A4CB"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Health tourism (Ladies beach, healing mud)</w:t>
            </w:r>
          </w:p>
          <w:p w14:paraId="004E05B0" w14:textId="08E72CF0"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Nudist tourism</w:t>
            </w:r>
          </w:p>
          <w:p w14:paraId="1E38FFCB" w14:textId="223229E3" w:rsidR="00B16AD6"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Gastronomic and </w:t>
            </w:r>
            <w:proofErr w:type="spellStart"/>
            <w:r w:rsidRPr="003C7CB1">
              <w:rPr>
                <w:rFonts w:ascii="Calibri" w:eastAsia="Calibri" w:hAnsi="Calibri" w:cs="Calibri"/>
                <w:bCs/>
                <w:color w:val="000000"/>
                <w:lang w:eastAsia="hr-HR"/>
              </w:rPr>
              <w:t>eno</w:t>
            </w:r>
            <w:proofErr w:type="spellEnd"/>
            <w:r w:rsidRPr="003C7CB1">
              <w:rPr>
                <w:rFonts w:ascii="Calibri" w:eastAsia="Calibri" w:hAnsi="Calibri" w:cs="Calibri"/>
                <w:bCs/>
                <w:color w:val="000000"/>
                <w:lang w:eastAsia="hr-HR"/>
              </w:rPr>
              <w:t xml:space="preserve"> tourism(</w:t>
            </w:r>
            <w:r w:rsidR="00B16AD6" w:rsidRPr="003C7CB1">
              <w:rPr>
                <w:rFonts w:ascii="Calibri" w:eastAsia="Calibri" w:hAnsi="Calibri" w:cs="Calibri"/>
                <w:bCs/>
                <w:color w:val="000000"/>
                <w:lang w:eastAsia="hr-HR"/>
              </w:rPr>
              <w:t>.</w:t>
            </w:r>
          </w:p>
        </w:tc>
        <w:tc>
          <w:tcPr>
            <w:tcW w:w="4962" w:type="dxa"/>
          </w:tcPr>
          <w:p w14:paraId="483358C1" w14:textId="77777777"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Cultural tourism - events, cultural heritage, legends (pirates, slave square, etc.)</w:t>
            </w:r>
          </w:p>
          <w:p w14:paraId="74E0BB7A" w14:textId="31CD3A6B"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Family tourism</w:t>
            </w:r>
          </w:p>
          <w:p w14:paraId="6C852F94" w14:textId="3EB9E9A9" w:rsidR="00682D14" w:rsidRPr="003C7CB1" w:rsidRDefault="00682D14" w:rsidP="00682D14">
            <w:pPr>
              <w:numPr>
                <w:ilvl w:val="0"/>
                <w:numId w:val="3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LGBT tourism</w:t>
            </w:r>
          </w:p>
          <w:p w14:paraId="574A42DB" w14:textId="12C10ABA" w:rsidR="00B16AD6" w:rsidRPr="003C7CB1" w:rsidRDefault="00682D14" w:rsidP="00682D14">
            <w:pPr>
              <w:numPr>
                <w:ilvl w:val="0"/>
                <w:numId w:val="31"/>
              </w:num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Digital nomads</w:t>
            </w:r>
          </w:p>
        </w:tc>
      </w:tr>
    </w:tbl>
    <w:p w14:paraId="5FC63891" w14:textId="63F33508" w:rsidR="00F45F65" w:rsidRPr="003C7CB1" w:rsidRDefault="00F45F65" w:rsidP="00CD5021">
      <w:pPr>
        <w:spacing w:after="120" w:line="240" w:lineRule="auto"/>
        <w:rPr>
          <w:rFonts w:ascii="Calibri" w:eastAsia="Calibri" w:hAnsi="Calibri" w:cs="Calibri"/>
          <w:sz w:val="18"/>
          <w:szCs w:val="18"/>
          <w:lang w:eastAsia="hr-HR"/>
        </w:rPr>
      </w:pPr>
    </w:p>
    <w:p w14:paraId="41578E39" w14:textId="026280A7" w:rsidR="00F45F65" w:rsidRPr="003C7CB1" w:rsidRDefault="00F45F65" w:rsidP="00F45F65">
      <w:pPr>
        <w:tabs>
          <w:tab w:val="left" w:pos="3396"/>
        </w:tabs>
        <w:rPr>
          <w:rFonts w:ascii="Calibri" w:eastAsia="Calibri" w:hAnsi="Calibri" w:cs="Calibri"/>
          <w:sz w:val="18"/>
          <w:szCs w:val="18"/>
          <w:lang w:eastAsia="hr-HR"/>
        </w:rPr>
      </w:pPr>
    </w:p>
    <w:p w14:paraId="5D6B8FF9" w14:textId="7C0561A4" w:rsidR="001125FC" w:rsidRPr="003C7CB1" w:rsidRDefault="00CF0F45" w:rsidP="001125FC">
      <w:pPr>
        <w:pStyle w:val="Heading2"/>
        <w:spacing w:before="0" w:after="120" w:line="240" w:lineRule="auto"/>
        <w:rPr>
          <w:rFonts w:eastAsia="Times New Roman"/>
          <w:lang w:eastAsia="hr-HR"/>
        </w:rPr>
      </w:pPr>
      <w:bookmarkStart w:id="251" w:name="_Toc88082171"/>
      <w:bookmarkStart w:id="252" w:name="_Toc91286737"/>
      <w:bookmarkStart w:id="253" w:name="_Toc95303056"/>
      <w:bookmarkStart w:id="254" w:name="_Toc104544216"/>
      <w:r w:rsidRPr="003C7CB1">
        <w:rPr>
          <w:rFonts w:eastAsia="Calibri"/>
          <w:lang w:eastAsia="hr-HR"/>
        </w:rPr>
        <w:t>1</w:t>
      </w:r>
      <w:r w:rsidR="00E729DA" w:rsidRPr="003C7CB1">
        <w:rPr>
          <w:rFonts w:eastAsia="Times New Roman"/>
          <w:lang w:eastAsia="hr-HR"/>
        </w:rPr>
        <w:t>5</w:t>
      </w:r>
      <w:r w:rsidR="00B16AD6" w:rsidRPr="003C7CB1">
        <w:rPr>
          <w:rFonts w:eastAsia="Times New Roman"/>
          <w:lang w:eastAsia="hr-HR"/>
        </w:rPr>
        <w:t xml:space="preserve">.2. </w:t>
      </w:r>
      <w:bookmarkEnd w:id="251"/>
      <w:bookmarkEnd w:id="252"/>
      <w:bookmarkEnd w:id="253"/>
      <w:r w:rsidR="00682D14" w:rsidRPr="003C7CB1">
        <w:rPr>
          <w:rFonts w:eastAsia="Times New Roman"/>
          <w:lang w:eastAsia="hr-HR"/>
        </w:rPr>
        <w:t xml:space="preserve">TOURISM CLUSTER 2 - Bar Riviera with </w:t>
      </w:r>
      <w:proofErr w:type="spellStart"/>
      <w:r w:rsidR="00C65FFD">
        <w:rPr>
          <w:rFonts w:eastAsia="Times New Roman"/>
          <w:lang w:eastAsia="hr-HR"/>
        </w:rPr>
        <w:t>Skadar</w:t>
      </w:r>
      <w:proofErr w:type="spellEnd"/>
      <w:r w:rsidR="00C65FFD">
        <w:rPr>
          <w:rFonts w:eastAsia="Times New Roman"/>
          <w:lang w:eastAsia="hr-HR"/>
        </w:rPr>
        <w:t xml:space="preserve"> Lake</w:t>
      </w:r>
      <w:bookmarkEnd w:id="254"/>
    </w:p>
    <w:tbl>
      <w:tblPr>
        <w:tblStyle w:val="TableGrid4"/>
        <w:tblW w:w="0" w:type="auto"/>
        <w:tblLook w:val="04A0" w:firstRow="1" w:lastRow="0" w:firstColumn="1" w:lastColumn="0" w:noHBand="0" w:noVBand="1"/>
      </w:tblPr>
      <w:tblGrid>
        <w:gridCol w:w="9606"/>
      </w:tblGrid>
      <w:tr w:rsidR="00B16AD6" w:rsidRPr="003C7CB1" w14:paraId="79E0D183" w14:textId="77777777" w:rsidTr="00CD5021">
        <w:tc>
          <w:tcPr>
            <w:tcW w:w="9606" w:type="dxa"/>
            <w:shd w:val="clear" w:color="auto" w:fill="B4C6E7" w:themeFill="accent1" w:themeFillTint="66"/>
          </w:tcPr>
          <w:p w14:paraId="6ED84520" w14:textId="5AF5E2F5" w:rsidR="00B16AD6" w:rsidRPr="003C7CB1" w:rsidRDefault="00682D14" w:rsidP="00682D14">
            <w:pPr>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t>CHARACTERISTICS</w:t>
            </w:r>
          </w:p>
        </w:tc>
      </w:tr>
      <w:tr w:rsidR="00B16AD6" w:rsidRPr="003C7CB1" w14:paraId="64D2BCFE" w14:textId="77777777" w:rsidTr="00CD5021">
        <w:tc>
          <w:tcPr>
            <w:tcW w:w="9606" w:type="dxa"/>
          </w:tcPr>
          <w:p w14:paraId="7E37D29B" w14:textId="2BAC7039" w:rsidR="00CD5021" w:rsidRPr="003C7CB1" w:rsidRDefault="00682D14" w:rsidP="00682D14">
            <w:pPr>
              <w:spacing w:after="120" w:line="240" w:lineRule="auto"/>
              <w:jc w:val="both"/>
              <w:rPr>
                <w:rFonts w:ascii="Calibri" w:eastAsia="Calibri" w:hAnsi="Calibri" w:cs="Calibri"/>
                <w:shd w:val="clear" w:color="auto" w:fill="FEFEFE"/>
              </w:rPr>
            </w:pPr>
            <w:r w:rsidRPr="003C7CB1">
              <w:rPr>
                <w:rFonts w:ascii="Calibri" w:eastAsia="Calibri" w:hAnsi="Calibri" w:cs="Calibri"/>
                <w:b/>
                <w:shd w:val="clear" w:color="auto" w:fill="FEFEFE"/>
              </w:rPr>
              <w:t xml:space="preserve">Bar Riviera </w:t>
            </w:r>
            <w:r w:rsidRPr="003C7CB1">
              <w:rPr>
                <w:rFonts w:ascii="Calibri" w:eastAsia="Calibri" w:hAnsi="Calibri" w:cs="Calibri"/>
                <w:shd w:val="clear" w:color="auto" w:fill="FEFEFE"/>
              </w:rPr>
              <w:t xml:space="preserve">includes the territory of the municipality of Bar, </w:t>
            </w:r>
            <w:proofErr w:type="spellStart"/>
            <w:r w:rsidRPr="003C7CB1">
              <w:rPr>
                <w:rFonts w:ascii="Calibri" w:eastAsia="Calibri" w:hAnsi="Calibri" w:cs="Calibri"/>
                <w:shd w:val="clear" w:color="auto" w:fill="FEFEFE"/>
              </w:rPr>
              <w:t>Sutomore</w:t>
            </w:r>
            <w:proofErr w:type="spellEnd"/>
            <w:r w:rsidRPr="003C7CB1">
              <w:rPr>
                <w:rFonts w:ascii="Calibri" w:eastAsia="Calibri" w:hAnsi="Calibri" w:cs="Calibri"/>
                <w:shd w:val="clear" w:color="auto" w:fill="FEFEFE"/>
              </w:rPr>
              <w:t xml:space="preserve"> and other tourist places in the territory of this municipality. It is recognized for its pebble and rocky beaches in the municipality of Bar and the sandy </w:t>
            </w:r>
            <w:proofErr w:type="spellStart"/>
            <w:r w:rsidRPr="003C7CB1">
              <w:rPr>
                <w:rFonts w:ascii="Calibri" w:eastAsia="Calibri" w:hAnsi="Calibri" w:cs="Calibri"/>
                <w:shd w:val="clear" w:color="auto" w:fill="FEFEFE"/>
              </w:rPr>
              <w:t>Sutomore</w:t>
            </w:r>
            <w:proofErr w:type="spellEnd"/>
            <w:r w:rsidRPr="003C7CB1">
              <w:rPr>
                <w:rFonts w:ascii="Calibri" w:eastAsia="Calibri" w:hAnsi="Calibri" w:cs="Calibri"/>
                <w:shd w:val="clear" w:color="auto" w:fill="FEFEFE"/>
              </w:rPr>
              <w:t xml:space="preserve"> beach, the Old Town of Bar, King Nikola's Palace, the Old Olive Tree which is protected as a natural monument (1957) and is one of the oldest in Europe, as well as numerous events held in this area. The municipality of Bar is located between two shores, </w:t>
            </w:r>
            <w:r w:rsidR="00861D69" w:rsidRPr="003C7CB1">
              <w:rPr>
                <w:rFonts w:ascii="Calibri" w:eastAsia="Calibri" w:hAnsi="Calibri" w:cs="Calibri"/>
                <w:shd w:val="clear" w:color="auto" w:fill="FEFEFE"/>
              </w:rPr>
              <w:t>i.e.</w:t>
            </w:r>
            <w:r w:rsidRPr="003C7CB1">
              <w:rPr>
                <w:rFonts w:ascii="Calibri" w:eastAsia="Calibri" w:hAnsi="Calibri" w:cs="Calibri"/>
                <w:shd w:val="clear" w:color="auto" w:fill="FEFEFE"/>
              </w:rPr>
              <w:t xml:space="preserve"> the sea and the lake, and the Port of Bar is also important for its position. Religious buildings, churches and mosques, centuries old, also have a significant place in the offer. The trademark of the Bar Riviera are also olive groves, and the local population is recognized for the production of olive oil. In addition to numerous hotels and private accommodation, the offer is still not at a significant level, and this segment lacks complementary facilities - MICE, spa &amp; wellness, etc</w:t>
            </w:r>
            <w:r w:rsidR="00B16AD6" w:rsidRPr="003C7CB1">
              <w:rPr>
                <w:rFonts w:ascii="Calibri" w:eastAsia="Calibri" w:hAnsi="Calibri" w:cs="Calibri"/>
                <w:shd w:val="clear" w:color="auto" w:fill="FEFEFE"/>
              </w:rPr>
              <w:t>.</w:t>
            </w:r>
          </w:p>
          <w:p w14:paraId="650DFDE9" w14:textId="3B33005F" w:rsidR="00B16AD6" w:rsidRPr="003C7CB1" w:rsidRDefault="00C65FFD" w:rsidP="00097EDA">
            <w:pPr>
              <w:spacing w:after="120" w:line="240" w:lineRule="auto"/>
              <w:jc w:val="both"/>
              <w:rPr>
                <w:rFonts w:ascii="Calibri" w:eastAsia="Calibri" w:hAnsi="Calibri" w:cs="Calibri"/>
                <w:shd w:val="clear" w:color="auto" w:fill="FEFEFE"/>
              </w:rPr>
            </w:pPr>
            <w:proofErr w:type="spellStart"/>
            <w:r>
              <w:rPr>
                <w:rFonts w:ascii="Calibri" w:eastAsia="Times New Roman" w:hAnsi="Calibri" w:cs="Calibri"/>
                <w:b/>
              </w:rPr>
              <w:t>Skadar</w:t>
            </w:r>
            <w:proofErr w:type="spellEnd"/>
            <w:r>
              <w:rPr>
                <w:rFonts w:ascii="Calibri" w:eastAsia="Times New Roman" w:hAnsi="Calibri" w:cs="Calibri"/>
                <w:b/>
              </w:rPr>
              <w:t xml:space="preserve"> Lake</w:t>
            </w:r>
            <w:r w:rsidR="00097EDA" w:rsidRPr="003C7CB1">
              <w:rPr>
                <w:rFonts w:ascii="Calibri" w:eastAsia="Times New Roman" w:hAnsi="Calibri" w:cs="Calibri"/>
                <w:b/>
              </w:rPr>
              <w:t xml:space="preserve"> </w:t>
            </w:r>
            <w:r w:rsidR="00097EDA" w:rsidRPr="003C7CB1">
              <w:rPr>
                <w:rFonts w:ascii="Calibri" w:eastAsia="Times New Roman" w:hAnsi="Calibri" w:cs="Calibri"/>
              </w:rPr>
              <w:t xml:space="preserve">is one of the five national parks in Montenegro/since 1983/, with an area of approximately 400 km2. In 1989, it received the status of an area of international importance for the residence of birds, and in 1995 it was inscribed on the Ramsar List - World List of Wetlands of International Importance. </w:t>
            </w:r>
            <w:proofErr w:type="spellStart"/>
            <w:r w:rsidR="00097EDA" w:rsidRPr="003C7CB1">
              <w:rPr>
                <w:rFonts w:ascii="Calibri" w:eastAsia="Times New Roman" w:hAnsi="Calibri" w:cs="Calibri"/>
              </w:rPr>
              <w:t>Skadar</w:t>
            </w:r>
            <w:proofErr w:type="spellEnd"/>
            <w:r w:rsidR="00097EDA" w:rsidRPr="003C7CB1">
              <w:rPr>
                <w:rFonts w:ascii="Calibri" w:eastAsia="Times New Roman" w:hAnsi="Calibri" w:cs="Calibri"/>
              </w:rPr>
              <w:t xml:space="preserve"> is the largest lake, a habitat for 280 species of birds and 48 species of fish. This area is connected to the Capital and the Municipality of Bar and the Port of Bar by highway and railway, which confirms that it has the prerequisites for further development, among other things as a tourist micro destination. In this area there is a rich cultural and historical heritage - archaeological sites, fortifications, medieval monasteries, churches, traditional rural architecture.</w:t>
            </w:r>
            <w:r w:rsidR="00B16AD6" w:rsidRPr="003C7CB1">
              <w:rPr>
                <w:rFonts w:ascii="Calibri" w:eastAsia="Calibri" w:hAnsi="Calibri" w:cs="Calibri"/>
                <w:shd w:val="clear" w:color="auto" w:fill="FEFEFE"/>
              </w:rPr>
              <w:t xml:space="preserve"> </w:t>
            </w:r>
            <w:r w:rsidR="00097EDA" w:rsidRPr="003C7CB1">
              <w:rPr>
                <w:rFonts w:ascii="Calibri" w:eastAsia="Calibri" w:hAnsi="Calibri" w:cs="Calibri"/>
                <w:shd w:val="clear" w:color="auto" w:fill="FEFEFE"/>
              </w:rPr>
              <w:t>There are several sites from the Illyrian-Hellenistic and Roman periods, as well as monasteries</w:t>
            </w:r>
            <w:r w:rsidR="009D6542" w:rsidRPr="003C7CB1">
              <w:rPr>
                <w:rFonts w:ascii="Calibri" w:eastAsia="Calibri" w:hAnsi="Calibri" w:cs="Calibri"/>
                <w:shd w:val="clear" w:color="auto" w:fill="FEFEFE"/>
              </w:rPr>
              <w:t xml:space="preserve"> from the XIV and XV centuries, </w:t>
            </w:r>
            <w:r w:rsidR="00097EDA" w:rsidRPr="003C7CB1">
              <w:rPr>
                <w:rFonts w:ascii="Calibri" w:eastAsia="Calibri" w:hAnsi="Calibri" w:cs="Calibri"/>
                <w:shd w:val="clear" w:color="auto" w:fill="FEFEFE"/>
              </w:rPr>
              <w:t xml:space="preserve">from the period of the rule of the </w:t>
            </w:r>
            <w:proofErr w:type="spellStart"/>
            <w:r w:rsidR="00097EDA" w:rsidRPr="003C7CB1">
              <w:rPr>
                <w:rFonts w:ascii="Calibri" w:eastAsia="Calibri" w:hAnsi="Calibri" w:cs="Calibri"/>
                <w:shd w:val="clear" w:color="auto" w:fill="FEFEFE"/>
              </w:rPr>
              <w:t>Balšić</w:t>
            </w:r>
            <w:proofErr w:type="spellEnd"/>
            <w:r w:rsidR="00097EDA" w:rsidRPr="003C7CB1">
              <w:rPr>
                <w:rFonts w:ascii="Calibri" w:eastAsia="Calibri" w:hAnsi="Calibri" w:cs="Calibri"/>
                <w:shd w:val="clear" w:color="auto" w:fill="FEFEFE"/>
              </w:rPr>
              <w:t xml:space="preserve"> and </w:t>
            </w:r>
            <w:proofErr w:type="spellStart"/>
            <w:r w:rsidR="00097EDA" w:rsidRPr="003C7CB1">
              <w:rPr>
                <w:rFonts w:ascii="Calibri" w:eastAsia="Calibri" w:hAnsi="Calibri" w:cs="Calibri"/>
                <w:shd w:val="clear" w:color="auto" w:fill="FEFEFE"/>
              </w:rPr>
              <w:t>Crnojević</w:t>
            </w:r>
            <w:proofErr w:type="spellEnd"/>
            <w:r w:rsidR="00097EDA" w:rsidRPr="003C7CB1">
              <w:rPr>
                <w:rFonts w:ascii="Calibri" w:eastAsia="Calibri" w:hAnsi="Calibri" w:cs="Calibri"/>
                <w:shd w:val="clear" w:color="auto" w:fill="FEFEFE"/>
              </w:rPr>
              <w:t xml:space="preserve"> dynasties and fortification complexes from the period of Ottoman domination. Specific folk architecture - old rural units, individual examples of fi</w:t>
            </w:r>
            <w:r w:rsidR="009D6542" w:rsidRPr="003C7CB1">
              <w:rPr>
                <w:rFonts w:ascii="Calibri" w:eastAsia="Calibri" w:hAnsi="Calibri" w:cs="Calibri"/>
                <w:shd w:val="clear" w:color="auto" w:fill="FEFEFE"/>
              </w:rPr>
              <w:t xml:space="preserve">shing and residential buildings, </w:t>
            </w:r>
            <w:r w:rsidR="00097EDA" w:rsidRPr="003C7CB1">
              <w:rPr>
                <w:rFonts w:ascii="Calibri" w:eastAsia="Calibri" w:hAnsi="Calibri" w:cs="Calibri"/>
                <w:shd w:val="clear" w:color="auto" w:fill="FEFEFE"/>
              </w:rPr>
              <w:t xml:space="preserve">stone bridges and mills on river watercourses, confirm the cultural landscape of special architectural value. In this area is one of the most important wine regions in Montenegro - </w:t>
            </w:r>
            <w:proofErr w:type="spellStart"/>
            <w:r w:rsidR="00097EDA" w:rsidRPr="003C7CB1">
              <w:rPr>
                <w:rFonts w:ascii="Calibri" w:eastAsia="Calibri" w:hAnsi="Calibri" w:cs="Calibri"/>
                <w:shd w:val="clear" w:color="auto" w:fill="FEFEFE"/>
              </w:rPr>
              <w:t>Crmnica</w:t>
            </w:r>
            <w:proofErr w:type="spellEnd"/>
            <w:r w:rsidR="00097EDA" w:rsidRPr="003C7CB1">
              <w:rPr>
                <w:rFonts w:ascii="Calibri" w:eastAsia="Calibri" w:hAnsi="Calibri" w:cs="Calibri"/>
                <w:shd w:val="clear" w:color="auto" w:fill="FEFEFE"/>
              </w:rPr>
              <w:t>. A number of tourist events take place in this region</w:t>
            </w:r>
            <w:r w:rsidR="00B16AD6" w:rsidRPr="003C7CB1">
              <w:rPr>
                <w:rFonts w:ascii="Calibri" w:eastAsia="Calibri" w:hAnsi="Calibri" w:cs="Calibri"/>
                <w:shd w:val="clear" w:color="auto" w:fill="FEFEFE"/>
              </w:rPr>
              <w:t>.</w:t>
            </w:r>
          </w:p>
        </w:tc>
      </w:tr>
      <w:tr w:rsidR="00B16AD6" w:rsidRPr="003C7CB1" w14:paraId="0FC6EE9B" w14:textId="77777777" w:rsidTr="00CD5021">
        <w:tc>
          <w:tcPr>
            <w:tcW w:w="9606" w:type="dxa"/>
            <w:shd w:val="clear" w:color="auto" w:fill="B4C6E7" w:themeFill="accent1" w:themeFillTint="66"/>
          </w:tcPr>
          <w:p w14:paraId="03A944F4" w14:textId="6BB9A909" w:rsidR="00B16AD6" w:rsidRPr="003C7CB1" w:rsidRDefault="009D6542" w:rsidP="00CD5021">
            <w:pPr>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lastRenderedPageBreak/>
              <w:t>VISION OF CLUSTER DEVELOPMENT</w:t>
            </w:r>
          </w:p>
        </w:tc>
      </w:tr>
      <w:tr w:rsidR="00B16AD6" w:rsidRPr="003C7CB1" w14:paraId="5CC5BA6F" w14:textId="77777777" w:rsidTr="00CD5021">
        <w:tc>
          <w:tcPr>
            <w:tcW w:w="9606" w:type="dxa"/>
          </w:tcPr>
          <w:p w14:paraId="395810FD" w14:textId="37D38280" w:rsidR="00E11ACF" w:rsidRPr="003C7CB1" w:rsidRDefault="00E11ACF" w:rsidP="00E11ACF">
            <w:pPr>
              <w:spacing w:after="120" w:line="240" w:lineRule="auto"/>
              <w:jc w:val="both"/>
              <w:rPr>
                <w:rFonts w:ascii="Calibri" w:eastAsia="Calibri" w:hAnsi="Calibri" w:cs="Calibri"/>
                <w:bCs/>
                <w:color w:val="000000"/>
                <w:lang w:eastAsia="hr-HR"/>
              </w:rPr>
            </w:pPr>
            <w:r w:rsidRPr="003C7CB1">
              <w:rPr>
                <w:rFonts w:ascii="Calibri" w:eastAsia="Calibri" w:hAnsi="Calibri" w:cs="Calibri"/>
                <w:b/>
                <w:bCs/>
                <w:color w:val="000000"/>
                <w:lang w:eastAsia="hr-HR"/>
              </w:rPr>
              <w:t xml:space="preserve">Bar Riviera with </w:t>
            </w:r>
            <w:proofErr w:type="spellStart"/>
            <w:r w:rsidR="00C65FFD">
              <w:rPr>
                <w:rFonts w:ascii="Calibri" w:eastAsia="Calibri" w:hAnsi="Calibri" w:cs="Calibri"/>
                <w:b/>
                <w:bCs/>
                <w:color w:val="000000"/>
                <w:lang w:eastAsia="hr-HR"/>
              </w:rPr>
              <w:t>Skadar</w:t>
            </w:r>
            <w:proofErr w:type="spellEnd"/>
            <w:r w:rsidR="00C65FFD">
              <w:rPr>
                <w:rFonts w:ascii="Calibri" w:eastAsia="Calibri" w:hAnsi="Calibri" w:cs="Calibri"/>
                <w:b/>
                <w:bCs/>
                <w:color w:val="000000"/>
                <w:lang w:eastAsia="hr-HR"/>
              </w:rPr>
              <w:t xml:space="preserve"> Lake</w:t>
            </w:r>
            <w:r w:rsidRPr="003C7CB1">
              <w:rPr>
                <w:rFonts w:ascii="Calibri" w:eastAsia="Calibri" w:hAnsi="Calibri" w:cs="Calibri"/>
                <w:b/>
                <w:bCs/>
                <w:color w:val="000000"/>
                <w:lang w:eastAsia="hr-HR"/>
              </w:rPr>
              <w:t xml:space="preserve"> </w:t>
            </w:r>
            <w:r w:rsidRPr="003C7CB1">
              <w:rPr>
                <w:rFonts w:ascii="Calibri" w:eastAsia="Calibri" w:hAnsi="Calibri" w:cs="Calibri"/>
                <w:bCs/>
                <w:color w:val="000000"/>
                <w:lang w:eastAsia="hr-HR"/>
              </w:rPr>
              <w:t>- a unique destination with high quality hotels with developed MICE and spa &amp; wellness offer, which attracts tourists throughout the year, with a typical Mediterranean gastronomic offer, and events and concerts throughout the year, but also organized cultural tourism.</w:t>
            </w:r>
          </w:p>
          <w:p w14:paraId="1DAEFA51" w14:textId="63A98D35" w:rsidR="00B16AD6" w:rsidRPr="003C7CB1" w:rsidRDefault="00C65FFD" w:rsidP="00E11ACF">
            <w:pPr>
              <w:spacing w:after="120" w:line="240" w:lineRule="auto"/>
              <w:jc w:val="both"/>
              <w:rPr>
                <w:rFonts w:ascii="Calibri" w:eastAsia="Calibri" w:hAnsi="Calibri" w:cs="Calibri"/>
                <w:bCs/>
                <w:color w:val="000000"/>
                <w:lang w:eastAsia="hr-HR"/>
              </w:rPr>
            </w:pPr>
            <w:proofErr w:type="spellStart"/>
            <w:r>
              <w:rPr>
                <w:rFonts w:ascii="Calibri" w:eastAsia="Calibri" w:hAnsi="Calibri" w:cs="Calibri"/>
                <w:bCs/>
                <w:color w:val="000000"/>
                <w:lang w:eastAsia="hr-HR"/>
              </w:rPr>
              <w:t>Skadar</w:t>
            </w:r>
            <w:proofErr w:type="spellEnd"/>
            <w:r>
              <w:rPr>
                <w:rFonts w:ascii="Calibri" w:eastAsia="Calibri" w:hAnsi="Calibri" w:cs="Calibri"/>
                <w:bCs/>
                <w:color w:val="000000"/>
                <w:lang w:eastAsia="hr-HR"/>
              </w:rPr>
              <w:t xml:space="preserve"> Lake</w:t>
            </w:r>
            <w:r w:rsidR="00E11ACF" w:rsidRPr="003C7CB1">
              <w:rPr>
                <w:rFonts w:ascii="Calibri" w:eastAsia="Calibri" w:hAnsi="Calibri" w:cs="Calibri"/>
                <w:bCs/>
                <w:color w:val="000000"/>
                <w:lang w:eastAsia="hr-HR"/>
              </w:rPr>
              <w:t xml:space="preserve"> area - a destination for active vacation - fishing, water sports, hiking and biking trails, recognized as a region where wine is grown and produced from indigenous </w:t>
            </w:r>
            <w:proofErr w:type="spellStart"/>
            <w:r w:rsidR="00E11ACF" w:rsidRPr="003C7CB1">
              <w:rPr>
                <w:rFonts w:ascii="Calibri" w:eastAsia="Calibri" w:hAnsi="Calibri" w:cs="Calibri"/>
                <w:bCs/>
                <w:color w:val="000000"/>
                <w:lang w:eastAsia="hr-HR"/>
              </w:rPr>
              <w:t>Crmnik</w:t>
            </w:r>
            <w:proofErr w:type="spellEnd"/>
            <w:r w:rsidR="00E11ACF" w:rsidRPr="003C7CB1">
              <w:rPr>
                <w:rFonts w:ascii="Calibri" w:eastAsia="Calibri" w:hAnsi="Calibri" w:cs="Calibri"/>
                <w:bCs/>
                <w:color w:val="000000"/>
                <w:lang w:eastAsia="hr-HR"/>
              </w:rPr>
              <w:t xml:space="preserve"> varieties</w:t>
            </w:r>
            <w:r w:rsidR="00B16AD6" w:rsidRPr="003C7CB1">
              <w:rPr>
                <w:rFonts w:ascii="Calibri" w:eastAsia="Calibri" w:hAnsi="Calibri" w:cs="Calibri"/>
                <w:bCs/>
                <w:color w:val="000000"/>
                <w:lang w:eastAsia="hr-HR"/>
              </w:rPr>
              <w:t>.</w:t>
            </w:r>
          </w:p>
        </w:tc>
      </w:tr>
      <w:tr w:rsidR="00B16AD6" w:rsidRPr="003C7CB1" w14:paraId="6E6E7FA8" w14:textId="77777777" w:rsidTr="00CD5021">
        <w:tc>
          <w:tcPr>
            <w:tcW w:w="9606" w:type="dxa"/>
            <w:shd w:val="clear" w:color="auto" w:fill="D9E2F3" w:themeFill="accent1" w:themeFillTint="33"/>
          </w:tcPr>
          <w:p w14:paraId="288E1954" w14:textId="3A138396" w:rsidR="00B16AD6" w:rsidRPr="003C7CB1" w:rsidRDefault="00E11ACF" w:rsidP="00CD5021">
            <w:pPr>
              <w:spacing w:after="120" w:line="240" w:lineRule="auto"/>
              <w:jc w:val="center"/>
              <w:rPr>
                <w:rFonts w:ascii="Calibri" w:eastAsia="Calibri" w:hAnsi="Calibri" w:cs="Calibri"/>
                <w:b/>
                <w:bCs/>
                <w:color w:val="1F3864"/>
                <w:sz w:val="24"/>
                <w:szCs w:val="24"/>
                <w:lang w:eastAsia="hr-HR"/>
              </w:rPr>
            </w:pPr>
            <w:r w:rsidRPr="003C7CB1">
              <w:rPr>
                <w:rFonts w:ascii="Calibri" w:eastAsia="Calibri" w:hAnsi="Calibri" w:cs="Calibri"/>
                <w:b/>
                <w:bCs/>
                <w:color w:val="1F3864"/>
                <w:sz w:val="24"/>
                <w:szCs w:val="24"/>
                <w:lang w:eastAsia="hr-HR"/>
              </w:rPr>
              <w:t>INVESTMENTS, SPACE, HOTEL STANDARDS AND INFRASTRUCTURE</w:t>
            </w:r>
          </w:p>
        </w:tc>
      </w:tr>
      <w:tr w:rsidR="00B16AD6" w:rsidRPr="003C7CB1" w14:paraId="35D8BABB" w14:textId="77777777" w:rsidTr="00CD5021">
        <w:trPr>
          <w:trHeight w:val="870"/>
        </w:trPr>
        <w:tc>
          <w:tcPr>
            <w:tcW w:w="9606" w:type="dxa"/>
          </w:tcPr>
          <w:p w14:paraId="20244F90" w14:textId="4EA46263" w:rsidR="00B16AD6" w:rsidRPr="003C7CB1" w:rsidRDefault="00E11ACF"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Space and investments</w:t>
            </w:r>
          </w:p>
          <w:p w14:paraId="4C6DD9D3" w14:textId="03625665" w:rsidR="00E11ACF" w:rsidRPr="003C7CB1" w:rsidRDefault="00E11ACF" w:rsidP="00E11ACF">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Positioning </w:t>
            </w:r>
            <w:r w:rsidR="00307687" w:rsidRPr="003C7CB1">
              <w:rPr>
                <w:rFonts w:ascii="Calibri" w:eastAsia="Calibri" w:hAnsi="Calibri" w:cs="Times New Roman"/>
              </w:rPr>
              <w:t xml:space="preserve">of </w:t>
            </w:r>
            <w:r w:rsidRPr="003C7CB1">
              <w:rPr>
                <w:rFonts w:ascii="Calibri" w:eastAsia="Calibri" w:hAnsi="Calibri" w:cs="Times New Roman"/>
              </w:rPr>
              <w:t>the municipality of Bar as a municipality of dynamic and sustainable economic growth and development;</w:t>
            </w:r>
          </w:p>
          <w:p w14:paraId="2D4A41B1" w14:textId="7F00E1CE" w:rsidR="00E11ACF" w:rsidRPr="003C7CB1" w:rsidRDefault="00E11ACF" w:rsidP="00E11ACF">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Positioning of the Bar Riviera with </w:t>
            </w:r>
            <w:proofErr w:type="spellStart"/>
            <w:r w:rsidR="00C65FFD">
              <w:rPr>
                <w:rFonts w:ascii="Calibri" w:eastAsia="Calibri" w:hAnsi="Calibri" w:cs="Times New Roman"/>
              </w:rPr>
              <w:t>Skadar</w:t>
            </w:r>
            <w:proofErr w:type="spellEnd"/>
            <w:r w:rsidR="00C65FFD">
              <w:rPr>
                <w:rFonts w:ascii="Calibri" w:eastAsia="Calibri" w:hAnsi="Calibri" w:cs="Times New Roman"/>
              </w:rPr>
              <w:t xml:space="preserve"> Lake</w:t>
            </w:r>
            <w:r w:rsidRPr="003C7CB1">
              <w:rPr>
                <w:rFonts w:ascii="Calibri" w:eastAsia="Calibri" w:hAnsi="Calibri" w:cs="Times New Roman"/>
              </w:rPr>
              <w:t xml:space="preserve"> as a destination characterized by nature tourism, sports and rural tourism, and within the city municipality - MICE and cultural tourism;</w:t>
            </w:r>
          </w:p>
          <w:p w14:paraId="14C6F0C8" w14:textId="6D732D60" w:rsidR="00E11ACF" w:rsidRPr="003C7CB1" w:rsidRDefault="00E11ACF" w:rsidP="00E11ACF">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On the territory of the municipality of Bar, there are preconditions for the development of nautical tourism, which would be accompanied by hotel accommodation facilities of appropriate quality and standards;</w:t>
            </w:r>
          </w:p>
          <w:p w14:paraId="0AB301C5" w14:textId="37CBFE91" w:rsidR="00B16AD6" w:rsidRPr="003C7CB1" w:rsidRDefault="00E11ACF" w:rsidP="00E11ACF">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Stop the informal expansion of settlements (</w:t>
            </w:r>
            <w:proofErr w:type="spellStart"/>
            <w:r w:rsidRPr="003C7CB1">
              <w:rPr>
                <w:rFonts w:ascii="Calibri" w:eastAsia="Calibri" w:hAnsi="Calibri" w:cs="Times New Roman"/>
              </w:rPr>
              <w:t>Utjeha</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Dobre</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Vode</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Sutomore</w:t>
            </w:r>
            <w:proofErr w:type="spellEnd"/>
            <w:r w:rsidRPr="003C7CB1">
              <w:rPr>
                <w:rFonts w:ascii="Calibri" w:eastAsia="Calibri" w:hAnsi="Calibri" w:cs="Times New Roman"/>
              </w:rPr>
              <w:t xml:space="preserve">) and take remedial action for already existing informal settlements, in order to solve </w:t>
            </w:r>
            <w:r w:rsidR="00747960" w:rsidRPr="003C7CB1">
              <w:rPr>
                <w:rFonts w:ascii="Calibri" w:eastAsia="Calibri" w:hAnsi="Calibri" w:cs="Times New Roman"/>
              </w:rPr>
              <w:t>utility</w:t>
            </w:r>
            <w:r w:rsidRPr="003C7CB1">
              <w:rPr>
                <w:rFonts w:ascii="Calibri" w:eastAsia="Calibri" w:hAnsi="Calibri" w:cs="Times New Roman"/>
              </w:rPr>
              <w:t xml:space="preserve"> equipment, traffic network, improve the quality of life and environmental standards. It is necessary to solve the problem of insufficiently developed system for selective waste disposal, rehabilitate a large number of landfills for municipal and construction waste</w:t>
            </w:r>
            <w:r w:rsidR="00B16AD6" w:rsidRPr="003C7CB1">
              <w:rPr>
                <w:rFonts w:ascii="Calibri" w:eastAsia="Calibri" w:hAnsi="Calibri" w:cs="Times New Roman"/>
              </w:rPr>
              <w:t>;</w:t>
            </w:r>
          </w:p>
          <w:p w14:paraId="766B0B1A" w14:textId="79995A3F" w:rsidR="00307687" w:rsidRPr="003C7CB1" w:rsidRDefault="00307687" w:rsidP="00307687">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Untouched landscapes, </w:t>
            </w:r>
            <w:proofErr w:type="spellStart"/>
            <w:r w:rsidR="00C65FFD">
              <w:rPr>
                <w:rFonts w:ascii="Calibri" w:eastAsia="Calibri" w:hAnsi="Calibri" w:cs="Times New Roman"/>
              </w:rPr>
              <w:t>Skadar</w:t>
            </w:r>
            <w:proofErr w:type="spellEnd"/>
            <w:r w:rsidR="00C65FFD">
              <w:rPr>
                <w:rFonts w:ascii="Calibri" w:eastAsia="Calibri" w:hAnsi="Calibri" w:cs="Times New Roman"/>
              </w:rPr>
              <w:t xml:space="preserve"> Lake</w:t>
            </w:r>
            <w:r w:rsidRPr="003C7CB1">
              <w:rPr>
                <w:rFonts w:ascii="Calibri" w:eastAsia="Calibri" w:hAnsi="Calibri" w:cs="Times New Roman"/>
              </w:rPr>
              <w:t xml:space="preserve"> National Park - the focus of development of the zone is on better valorization of space, through strictly controlled construction of accommodation and hospitality facilities, while guided by the principle of environmental protection;</w:t>
            </w:r>
          </w:p>
          <w:p w14:paraId="0395ECAB" w14:textId="4DD2EF4D" w:rsidR="00307687" w:rsidRPr="003C7CB1" w:rsidRDefault="00307687" w:rsidP="009A4D94">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It is necessary to make the Management Plan of the </w:t>
            </w:r>
            <w:proofErr w:type="spellStart"/>
            <w:r w:rsidR="00C65FFD">
              <w:rPr>
                <w:rFonts w:ascii="Calibri" w:eastAsia="Calibri" w:hAnsi="Calibri" w:cs="Times New Roman"/>
              </w:rPr>
              <w:t>Skadar</w:t>
            </w:r>
            <w:proofErr w:type="spellEnd"/>
            <w:r w:rsidR="00C65FFD">
              <w:rPr>
                <w:rFonts w:ascii="Calibri" w:eastAsia="Calibri" w:hAnsi="Calibri" w:cs="Times New Roman"/>
              </w:rPr>
              <w:t xml:space="preserve"> Lake</w:t>
            </w:r>
            <w:r w:rsidR="009A4D94" w:rsidRPr="003C7CB1">
              <w:rPr>
                <w:rFonts w:ascii="Calibri" w:eastAsia="Calibri" w:hAnsi="Calibri" w:cs="Times New Roman"/>
              </w:rPr>
              <w:t xml:space="preserve"> National Park;</w:t>
            </w:r>
          </w:p>
          <w:p w14:paraId="3E49B254" w14:textId="2C3D9E1C" w:rsidR="00B16AD6" w:rsidRPr="003C7CB1" w:rsidRDefault="00307687" w:rsidP="00307687">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Sustainable development of the </w:t>
            </w:r>
            <w:r w:rsidR="009A4D94" w:rsidRPr="003C7CB1">
              <w:rPr>
                <w:rFonts w:ascii="Calibri" w:eastAsia="Calibri" w:hAnsi="Calibri" w:cs="Times New Roman"/>
              </w:rPr>
              <w:t>construction</w:t>
            </w:r>
            <w:r w:rsidRPr="003C7CB1">
              <w:rPr>
                <w:rFonts w:ascii="Calibri" w:eastAsia="Calibri" w:hAnsi="Calibri" w:cs="Times New Roman"/>
              </w:rPr>
              <w:t xml:space="preserve"> development of </w:t>
            </w:r>
            <w:proofErr w:type="spellStart"/>
            <w:r w:rsidR="00C65FFD">
              <w:rPr>
                <w:rFonts w:ascii="Calibri" w:eastAsia="Calibri" w:hAnsi="Calibri" w:cs="Times New Roman"/>
              </w:rPr>
              <w:t>Skadar</w:t>
            </w:r>
            <w:proofErr w:type="spellEnd"/>
            <w:r w:rsidR="00C65FFD">
              <w:rPr>
                <w:rFonts w:ascii="Calibri" w:eastAsia="Calibri" w:hAnsi="Calibri" w:cs="Times New Roman"/>
              </w:rPr>
              <w:t xml:space="preserve"> Lake</w:t>
            </w:r>
            <w:r w:rsidRPr="003C7CB1">
              <w:rPr>
                <w:rFonts w:ascii="Calibri" w:eastAsia="Calibri" w:hAnsi="Calibri" w:cs="Times New Roman"/>
              </w:rPr>
              <w:t xml:space="preserve"> is an absolute imperative in the further development of this region. No new large-scale construction should be planned in the lake zone except in individual facilities or smaller groups of suitable facilities</w:t>
            </w:r>
            <w:r w:rsidR="00B16AD6" w:rsidRPr="003C7CB1">
              <w:rPr>
                <w:rFonts w:ascii="Calibri" w:eastAsia="Calibri" w:hAnsi="Calibri" w:cs="Times New Roman"/>
              </w:rPr>
              <w:t>.</w:t>
            </w:r>
          </w:p>
          <w:p w14:paraId="02063BED" w14:textId="77777777" w:rsidR="00521DED" w:rsidRPr="003C7CB1" w:rsidRDefault="00521DED" w:rsidP="00521DED">
            <w:pPr>
              <w:spacing w:after="120" w:line="240" w:lineRule="auto"/>
              <w:ind w:left="360"/>
              <w:contextualSpacing/>
              <w:jc w:val="both"/>
              <w:rPr>
                <w:rFonts w:ascii="Calibri" w:eastAsia="Calibri" w:hAnsi="Calibri" w:cs="Times New Roman"/>
              </w:rPr>
            </w:pPr>
          </w:p>
          <w:p w14:paraId="5910BD4A" w14:textId="751C84D8" w:rsidR="00B16AD6" w:rsidRPr="003C7CB1" w:rsidRDefault="009A4D94" w:rsidP="00CD5021">
            <w:pPr>
              <w:spacing w:after="120" w:line="240" w:lineRule="auto"/>
              <w:jc w:val="both"/>
              <w:rPr>
                <w:rFonts w:ascii="Calibri" w:eastAsia="Calibri" w:hAnsi="Calibri" w:cs="Times New Roman"/>
                <w:b/>
                <w:bCs/>
                <w:u w:val="single"/>
              </w:rPr>
            </w:pPr>
            <w:r w:rsidRPr="003C7CB1">
              <w:rPr>
                <w:rFonts w:ascii="Calibri" w:eastAsia="Calibri" w:hAnsi="Calibri" w:cs="Times New Roman"/>
                <w:b/>
                <w:bCs/>
                <w:u w:val="single"/>
              </w:rPr>
              <w:t>Standardization and unification of facilities</w:t>
            </w:r>
          </w:p>
          <w:p w14:paraId="1B5A5627" w14:textId="116F6AEF" w:rsidR="009A4D94" w:rsidRPr="003C7CB1" w:rsidRDefault="009A4D94" w:rsidP="009A4D94">
            <w:pPr>
              <w:spacing w:after="120" w:line="240" w:lineRule="auto"/>
              <w:jc w:val="both"/>
              <w:rPr>
                <w:rFonts w:ascii="Calibri" w:eastAsia="Calibri" w:hAnsi="Calibri" w:cs="Times New Roman"/>
              </w:rPr>
            </w:pPr>
            <w:r w:rsidRPr="003C7CB1">
              <w:rPr>
                <w:rFonts w:ascii="Calibri" w:eastAsia="Calibri" w:hAnsi="Calibri" w:cs="Times New Roman"/>
              </w:rPr>
              <w:t>In order to create the image of the municipality of Bar, and through defined programs of private-public partnership (</w:t>
            </w:r>
            <w:r w:rsidR="00861D69" w:rsidRPr="003C7CB1">
              <w:rPr>
                <w:rFonts w:ascii="Calibri" w:eastAsia="Calibri" w:hAnsi="Calibri" w:cs="Times New Roman"/>
              </w:rPr>
              <w:t>e.g.</w:t>
            </w:r>
            <w:r w:rsidRPr="003C7CB1">
              <w:rPr>
                <w:rFonts w:ascii="Calibri" w:eastAsia="Calibri" w:hAnsi="Calibri" w:cs="Times New Roman"/>
              </w:rPr>
              <w:t xml:space="preserve"> "new face of the city") it is necessary to work on refreshing the facades of facilities in urban areas, standardize solutions through the use of materials and colors that are aesthetically acceptable, neutral and </w:t>
            </w:r>
            <w:r w:rsidR="006B2751">
              <w:rPr>
                <w:rFonts w:ascii="Calibri" w:eastAsia="Calibri" w:hAnsi="Calibri" w:cs="Times New Roman"/>
              </w:rPr>
              <w:t>that fit in</w:t>
            </w:r>
            <w:r w:rsidRPr="003C7CB1">
              <w:rPr>
                <w:rFonts w:ascii="Calibri" w:eastAsia="Calibri" w:hAnsi="Calibri" w:cs="Times New Roman"/>
              </w:rPr>
              <w:t xml:space="preserve"> with the environment.</w:t>
            </w:r>
          </w:p>
          <w:p w14:paraId="73A7DBA0" w14:textId="77777777" w:rsidR="009A4D94" w:rsidRPr="003C7CB1" w:rsidRDefault="009A4D94" w:rsidP="009A4D94">
            <w:pPr>
              <w:spacing w:after="120" w:line="240" w:lineRule="auto"/>
              <w:jc w:val="both"/>
              <w:rPr>
                <w:rFonts w:ascii="Calibri" w:eastAsia="Calibri" w:hAnsi="Calibri" w:cs="Times New Roman"/>
              </w:rPr>
            </w:pPr>
            <w:r w:rsidRPr="003C7CB1">
              <w:rPr>
                <w:rFonts w:ascii="Calibri" w:eastAsia="Calibri" w:hAnsi="Calibri" w:cs="Times New Roman"/>
              </w:rPr>
              <w:t>Work on the harmonization of new and reconstructed buildings, respecting the standards defined by the plan, which refer to well-thought-out architecture of urban structures, which skillfully combines local tradition with elements of modern architecture.</w:t>
            </w:r>
          </w:p>
          <w:p w14:paraId="65FCDA00" w14:textId="57C54CF3" w:rsidR="00B16AD6" w:rsidRPr="003C7CB1" w:rsidRDefault="009A4D94" w:rsidP="009A4D94">
            <w:pPr>
              <w:spacing w:after="120" w:line="240" w:lineRule="auto"/>
              <w:jc w:val="both"/>
              <w:rPr>
                <w:rFonts w:ascii="Calibri" w:eastAsia="Calibri" w:hAnsi="Calibri" w:cs="Times New Roman"/>
              </w:rPr>
            </w:pPr>
            <w:r w:rsidRPr="003C7CB1">
              <w:rPr>
                <w:rFonts w:ascii="Calibri" w:eastAsia="Calibri" w:hAnsi="Calibri" w:cs="Times New Roman"/>
              </w:rPr>
              <w:t>Facilities should be built in the Mediterranean style, combining exceptional aesthetics and functionality in order to achieve complete unification of interior design and exterior space</w:t>
            </w:r>
            <w:r w:rsidR="00B16AD6" w:rsidRPr="003C7CB1">
              <w:rPr>
                <w:rFonts w:ascii="Calibri" w:eastAsia="Calibri" w:hAnsi="Calibri" w:cs="Times New Roman"/>
              </w:rPr>
              <w:t xml:space="preserve">. </w:t>
            </w:r>
          </w:p>
          <w:p w14:paraId="4FA0EE6C" w14:textId="417912C3" w:rsidR="00B34F85" w:rsidRPr="003C7CB1" w:rsidRDefault="00B34F85" w:rsidP="00B34F85">
            <w:pPr>
              <w:spacing w:after="120" w:line="240" w:lineRule="auto"/>
              <w:jc w:val="both"/>
              <w:rPr>
                <w:rFonts w:ascii="Calibri" w:eastAsia="Calibri" w:hAnsi="Calibri" w:cs="Times New Roman"/>
              </w:rPr>
            </w:pPr>
            <w:r w:rsidRPr="003C7CB1">
              <w:rPr>
                <w:rFonts w:ascii="Calibri" w:eastAsia="Calibri" w:hAnsi="Calibri" w:cs="Times New Roman"/>
              </w:rPr>
              <w:t>At the level of local self-governments, target the oldest buildings that have cultural and historical value, as well as buildings in which i</w:t>
            </w:r>
            <w:r w:rsidR="005138E4" w:rsidRPr="003C7CB1">
              <w:rPr>
                <w:rFonts w:ascii="Calibri" w:eastAsia="Calibri" w:hAnsi="Calibri" w:cs="Times New Roman"/>
              </w:rPr>
              <w:t>mportant historical figures</w:t>
            </w:r>
            <w:r w:rsidRPr="003C7CB1">
              <w:rPr>
                <w:rFonts w:ascii="Calibri" w:eastAsia="Calibri" w:hAnsi="Calibri" w:cs="Times New Roman"/>
              </w:rPr>
              <w:t xml:space="preserve"> lived or stayed, and protect, revitalize and valorize them for tourism.</w:t>
            </w:r>
          </w:p>
          <w:p w14:paraId="410AC04C" w14:textId="11B7D803" w:rsidR="00B16AD6" w:rsidRPr="003C7CB1" w:rsidRDefault="00B34F85" w:rsidP="00B34F85">
            <w:pPr>
              <w:spacing w:after="120" w:line="240" w:lineRule="auto"/>
              <w:jc w:val="both"/>
              <w:rPr>
                <w:rFonts w:ascii="Calibri" w:eastAsia="Calibri" w:hAnsi="Calibri" w:cs="Times New Roman"/>
              </w:rPr>
            </w:pPr>
            <w:r w:rsidRPr="003C7CB1">
              <w:rPr>
                <w:rFonts w:ascii="Calibri" w:eastAsia="Calibri" w:hAnsi="Calibri" w:cs="Times New Roman"/>
              </w:rPr>
              <w:t xml:space="preserve">Create project activities at the local level, through various support programs created by the local tourism organization in order to connect tourism and agriculture, small business and entrepreneurship. The </w:t>
            </w:r>
            <w:r w:rsidRPr="003C7CB1">
              <w:rPr>
                <w:rFonts w:ascii="Calibri" w:eastAsia="Calibri" w:hAnsi="Calibri" w:cs="Times New Roman"/>
              </w:rPr>
              <w:lastRenderedPageBreak/>
              <w:t>development of rural tourism in the hinterland of the urban complex of Bar needs to be strongly supported by the competent authorities at the state and local level</w:t>
            </w:r>
            <w:r w:rsidR="00B16AD6" w:rsidRPr="003C7CB1">
              <w:rPr>
                <w:rFonts w:ascii="Calibri" w:eastAsia="Calibri" w:hAnsi="Calibri" w:cs="Times New Roman"/>
              </w:rPr>
              <w:t xml:space="preserve">. </w:t>
            </w:r>
          </w:p>
          <w:p w14:paraId="54800B76" w14:textId="282EE1CE" w:rsidR="00B16AD6" w:rsidRPr="003C7CB1" w:rsidRDefault="00B34F85"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Hotel standards</w:t>
            </w:r>
          </w:p>
          <w:p w14:paraId="3F7DBADE" w14:textId="73426090" w:rsidR="00B34F85" w:rsidRPr="003C7CB1" w:rsidRDefault="00B34F85" w:rsidP="00B34F85">
            <w:pPr>
              <w:spacing w:after="120" w:line="240" w:lineRule="auto"/>
              <w:jc w:val="both"/>
              <w:rPr>
                <w:rFonts w:ascii="Calibri" w:eastAsia="Calibri" w:hAnsi="Calibri" w:cs="Times New Roman"/>
              </w:rPr>
            </w:pPr>
            <w:r w:rsidRPr="003C7CB1">
              <w:rPr>
                <w:rFonts w:ascii="Calibri" w:eastAsia="Calibri" w:hAnsi="Calibri" w:cs="Times New Roman"/>
              </w:rPr>
              <w:t xml:space="preserve">In the first line to the sea, it is necessary to strive for a </w:t>
            </w:r>
            <w:r w:rsidR="006B2751">
              <w:rPr>
                <w:rFonts w:ascii="Calibri" w:eastAsia="Calibri" w:hAnsi="Calibri" w:cs="Times New Roman"/>
              </w:rPr>
              <w:t xml:space="preserve">4 and 5-star </w:t>
            </w:r>
            <w:r w:rsidRPr="003C7CB1">
              <w:rPr>
                <w:rFonts w:ascii="Calibri" w:eastAsia="Calibri" w:hAnsi="Calibri" w:cs="Times New Roman"/>
              </w:rPr>
              <w:t>hotel offer, with various additional facilities.</w:t>
            </w:r>
          </w:p>
          <w:p w14:paraId="5576ABC4" w14:textId="77777777" w:rsidR="00B34F85" w:rsidRPr="003C7CB1" w:rsidRDefault="00B34F85" w:rsidP="00B34F85">
            <w:pPr>
              <w:spacing w:after="120" w:line="240" w:lineRule="auto"/>
              <w:jc w:val="both"/>
              <w:rPr>
                <w:rFonts w:ascii="Calibri" w:eastAsia="Calibri" w:hAnsi="Calibri" w:cs="Times New Roman"/>
              </w:rPr>
            </w:pPr>
            <w:r w:rsidRPr="003C7CB1">
              <w:rPr>
                <w:rFonts w:ascii="Calibri" w:eastAsia="Calibri" w:hAnsi="Calibri" w:cs="Times New Roman"/>
              </w:rPr>
              <w:t>In the hinterland zone, the hotel offer should be in the category of 3-5 stars, which will be open all year round. For new hotels, especially in the part outside the urban matrix of the city, during the construction of the hotel it is necessary to respect the criterion to provide 100 m2 of green space for one accommodation unit.</w:t>
            </w:r>
          </w:p>
          <w:p w14:paraId="2D369CC4" w14:textId="44A8653B" w:rsidR="00B16AD6" w:rsidRPr="003C7CB1" w:rsidRDefault="00B34F85" w:rsidP="00B34F85">
            <w:pPr>
              <w:spacing w:after="120" w:line="240" w:lineRule="auto"/>
              <w:jc w:val="both"/>
              <w:rPr>
                <w:rFonts w:ascii="Calibri" w:eastAsia="Calibri" w:hAnsi="Calibri" w:cs="Times New Roman"/>
              </w:rPr>
            </w:pPr>
            <w:r w:rsidRPr="003C7CB1">
              <w:rPr>
                <w:rFonts w:ascii="Calibri" w:eastAsia="Calibri" w:hAnsi="Calibri" w:cs="Times New Roman"/>
              </w:rPr>
              <w:t>It is necessary to work on increasing the standards of existing accommodation capacities and improving the quality of service in the tourism sector</w:t>
            </w:r>
            <w:r w:rsidR="00B16AD6" w:rsidRPr="003C7CB1">
              <w:rPr>
                <w:rFonts w:ascii="Calibri" w:eastAsia="Calibri" w:hAnsi="Calibri" w:cs="Times New Roman"/>
              </w:rPr>
              <w:t>.</w:t>
            </w:r>
          </w:p>
          <w:p w14:paraId="2328D097" w14:textId="68762D28" w:rsidR="00B16AD6" w:rsidRPr="003C7CB1" w:rsidRDefault="00B34F85" w:rsidP="000F5104">
            <w:pPr>
              <w:numPr>
                <w:ilvl w:val="0"/>
                <w:numId w:val="34"/>
              </w:numPr>
              <w:spacing w:after="120" w:line="240" w:lineRule="auto"/>
              <w:contextualSpacing/>
              <w:jc w:val="both"/>
              <w:rPr>
                <w:rFonts w:ascii="Calibri" w:eastAsia="Calibri" w:hAnsi="Calibri" w:cs="Calibri"/>
                <w:bCs/>
                <w:lang w:eastAsia="hr-HR"/>
              </w:rPr>
            </w:pPr>
            <w:r w:rsidRPr="003C7CB1">
              <w:rPr>
                <w:rFonts w:ascii="Calibri" w:eastAsia="Calibri" w:hAnsi="Calibri" w:cs="Times New Roman"/>
                <w:b/>
                <w:u w:val="single"/>
              </w:rPr>
              <w:t>Infrastructure</w:t>
            </w:r>
            <w:r w:rsidR="00B16AD6" w:rsidRPr="003C7CB1">
              <w:rPr>
                <w:rFonts w:ascii="Calibri" w:eastAsia="Calibri" w:hAnsi="Calibri" w:cs="Calibri"/>
                <w:bCs/>
                <w:lang w:eastAsia="hr-HR"/>
              </w:rPr>
              <w:t xml:space="preserve"> </w:t>
            </w:r>
          </w:p>
          <w:p w14:paraId="6FD6EBF9" w14:textId="789745D0" w:rsidR="00B16AD6" w:rsidRPr="003C7CB1" w:rsidRDefault="00747960" w:rsidP="00CD5021">
            <w:pPr>
              <w:spacing w:after="120" w:line="240" w:lineRule="auto"/>
              <w:contextualSpacing/>
              <w:jc w:val="both"/>
              <w:rPr>
                <w:rFonts w:ascii="Calibri" w:eastAsia="Calibri" w:hAnsi="Calibri" w:cs="Calibri"/>
                <w:bCs/>
                <w:lang w:eastAsia="hr-HR"/>
              </w:rPr>
            </w:pPr>
            <w:r w:rsidRPr="003C7CB1">
              <w:rPr>
                <w:rFonts w:ascii="Calibri" w:eastAsia="Calibri" w:hAnsi="Calibri" w:cs="Calibri"/>
                <w:bCs/>
                <w:lang w:eastAsia="hr-HR"/>
              </w:rPr>
              <w:t>It is necessary to implement activities on</w:t>
            </w:r>
            <w:r w:rsidR="00B16AD6" w:rsidRPr="003C7CB1">
              <w:rPr>
                <w:rFonts w:ascii="Calibri" w:eastAsia="Calibri" w:hAnsi="Calibri" w:cs="Calibri"/>
                <w:bCs/>
                <w:lang w:eastAsia="hr-HR"/>
              </w:rPr>
              <w:t>:</w:t>
            </w:r>
          </w:p>
          <w:p w14:paraId="2327955D" w14:textId="28110A2E" w:rsidR="00B16AD6" w:rsidRPr="003C7CB1" w:rsidRDefault="00892478" w:rsidP="00892478">
            <w:pPr>
              <w:numPr>
                <w:ilvl w:val="0"/>
                <w:numId w:val="34"/>
              </w:numPr>
              <w:spacing w:after="120" w:line="240" w:lineRule="auto"/>
              <w:contextualSpacing/>
              <w:jc w:val="both"/>
              <w:rPr>
                <w:rFonts w:ascii="Calibri" w:eastAsia="Calibri" w:hAnsi="Calibri" w:cs="Times New Roman"/>
              </w:rPr>
            </w:pPr>
            <w:r w:rsidRPr="003C7CB1">
              <w:rPr>
                <w:rFonts w:ascii="Calibri" w:eastAsia="Calibri" w:hAnsi="Calibri" w:cs="Times New Roman"/>
              </w:rPr>
              <w:t>The Strategic Approach in solving communal problems in the municipality of Bar, which are reflected in insufficiently developed water supply network, lack of wastewater drainage systems, insufficient coverage of sewage network, lack of wastewater treatment systems, poor quality of local roads in rural areas and weak connection of rural areas with the city center, as well as congestion of the main road during the summer tourist season</w:t>
            </w:r>
            <w:r w:rsidR="00B16AD6" w:rsidRPr="003C7CB1">
              <w:rPr>
                <w:rFonts w:ascii="Calibri" w:eastAsia="Calibri" w:hAnsi="Calibri" w:cs="Times New Roman"/>
              </w:rPr>
              <w:t>;</w:t>
            </w:r>
          </w:p>
          <w:p w14:paraId="4099C576" w14:textId="0F78CCEB" w:rsidR="00B16AD6" w:rsidRPr="003C7CB1" w:rsidRDefault="00892478" w:rsidP="00892478">
            <w:pPr>
              <w:numPr>
                <w:ilvl w:val="0"/>
                <w:numId w:val="34"/>
              </w:numPr>
              <w:spacing w:after="120" w:line="240" w:lineRule="auto"/>
              <w:contextualSpacing/>
              <w:jc w:val="both"/>
              <w:rPr>
                <w:rFonts w:ascii="Calibri" w:eastAsia="Calibri" w:hAnsi="Calibri" w:cs="Times New Roman"/>
              </w:rPr>
            </w:pPr>
            <w:r w:rsidRPr="003C7CB1">
              <w:rPr>
                <w:rFonts w:ascii="Calibri" w:eastAsia="Calibri" w:hAnsi="Calibri" w:cs="Times New Roman"/>
              </w:rPr>
              <w:t>The expansion of the existin</w:t>
            </w:r>
            <w:r w:rsidR="00861D69">
              <w:rPr>
                <w:rFonts w:ascii="Calibri" w:eastAsia="Calibri" w:hAnsi="Calibri" w:cs="Times New Roman"/>
              </w:rPr>
              <w:t xml:space="preserve">g capacities of the regional </w:t>
            </w:r>
            <w:proofErr w:type="spellStart"/>
            <w:r w:rsidR="00861D69">
              <w:rPr>
                <w:rFonts w:ascii="Calibri" w:eastAsia="Calibri" w:hAnsi="Calibri" w:cs="Times New Roman"/>
              </w:rPr>
              <w:t>Mož</w:t>
            </w:r>
            <w:r w:rsidRPr="003C7CB1">
              <w:rPr>
                <w:rFonts w:ascii="Calibri" w:eastAsia="Calibri" w:hAnsi="Calibri" w:cs="Times New Roman"/>
              </w:rPr>
              <w:t>ura</w:t>
            </w:r>
            <w:proofErr w:type="spellEnd"/>
            <w:r w:rsidRPr="003C7CB1">
              <w:t xml:space="preserve"> </w:t>
            </w:r>
            <w:r w:rsidRPr="003C7CB1">
              <w:rPr>
                <w:rFonts w:ascii="Calibri" w:eastAsia="Calibri" w:hAnsi="Calibri" w:cs="Times New Roman"/>
              </w:rPr>
              <w:t>sanitary landfill and on the construction of a recycling center and a center for the treatment of biodegradable waste in order to complete the municipal waste management system</w:t>
            </w:r>
            <w:r w:rsidR="00B16AD6" w:rsidRPr="003C7CB1">
              <w:rPr>
                <w:rFonts w:ascii="Calibri" w:eastAsia="Calibri" w:hAnsi="Calibri" w:cs="Times New Roman"/>
              </w:rPr>
              <w:t>;</w:t>
            </w:r>
          </w:p>
          <w:p w14:paraId="66390DF1" w14:textId="039F8F30" w:rsidR="00B16AD6" w:rsidRPr="003C7CB1" w:rsidRDefault="00892478" w:rsidP="00892478">
            <w:pPr>
              <w:numPr>
                <w:ilvl w:val="0"/>
                <w:numId w:val="34"/>
              </w:numPr>
              <w:spacing w:after="120" w:line="240" w:lineRule="auto"/>
              <w:contextualSpacing/>
              <w:jc w:val="both"/>
              <w:rPr>
                <w:rFonts w:ascii="Calibri" w:eastAsia="Calibri" w:hAnsi="Calibri" w:cs="Times New Roman"/>
              </w:rPr>
            </w:pPr>
            <w:r w:rsidRPr="003C7CB1">
              <w:rPr>
                <w:rFonts w:ascii="Calibri" w:eastAsia="Calibri" w:hAnsi="Calibri" w:cs="Times New Roman"/>
              </w:rPr>
              <w:t>The improvement of inadequate and construction of missing traffic networks, especially secondary road networks and suppression of usurpation of public and private property through temporary facilities</w:t>
            </w:r>
            <w:r w:rsidR="00521DED" w:rsidRPr="003C7CB1">
              <w:rPr>
                <w:rFonts w:ascii="Calibri" w:eastAsia="Calibri" w:hAnsi="Calibri" w:cs="Times New Roman"/>
              </w:rPr>
              <w:t>.</w:t>
            </w:r>
          </w:p>
        </w:tc>
      </w:tr>
    </w:tbl>
    <w:p w14:paraId="56806C27" w14:textId="2B9BD7EE" w:rsidR="00B16AD6" w:rsidRPr="003C7CB1" w:rsidRDefault="00B16AD6" w:rsidP="00CD5021">
      <w:pPr>
        <w:spacing w:after="120" w:line="240" w:lineRule="auto"/>
        <w:jc w:val="both"/>
        <w:rPr>
          <w:rFonts w:ascii="Calibri" w:eastAsia="Calibri" w:hAnsi="Calibri" w:cs="Calibri"/>
          <w:bCs/>
          <w:i/>
          <w:color w:val="2F5496" w:themeColor="accent1" w:themeShade="BF"/>
          <w:sz w:val="24"/>
          <w:szCs w:val="24"/>
          <w:lang w:eastAsia="hr-HR"/>
        </w:rPr>
      </w:pPr>
    </w:p>
    <w:p w14:paraId="14B79C28" w14:textId="77777777" w:rsidR="001D0A92" w:rsidRPr="003C7CB1" w:rsidRDefault="001D0A92" w:rsidP="00CD5021">
      <w:pPr>
        <w:spacing w:after="120" w:line="240" w:lineRule="auto"/>
        <w:jc w:val="both"/>
        <w:rPr>
          <w:rFonts w:ascii="Calibri" w:eastAsia="Calibri" w:hAnsi="Calibri" w:cs="Calibri"/>
          <w:bCs/>
          <w:i/>
          <w:color w:val="2F5496" w:themeColor="accent1" w:themeShade="BF"/>
          <w:sz w:val="24"/>
          <w:szCs w:val="24"/>
          <w:lang w:eastAsia="hr-HR"/>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82"/>
      </w:tblGrid>
      <w:tr w:rsidR="00B16AD6" w:rsidRPr="003C7CB1" w14:paraId="06C6098A" w14:textId="77777777" w:rsidTr="00B16AD6">
        <w:tc>
          <w:tcPr>
            <w:tcW w:w="9644" w:type="dxa"/>
            <w:gridSpan w:val="2"/>
            <w:shd w:val="clear" w:color="auto" w:fill="D9E2F3" w:themeFill="accent1" w:themeFillTint="33"/>
          </w:tcPr>
          <w:p w14:paraId="17C1F44E" w14:textId="0F076449" w:rsidR="00B16AD6" w:rsidRPr="003C7CB1" w:rsidRDefault="00892478"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TOURISM PRODUCT</w:t>
            </w:r>
          </w:p>
        </w:tc>
      </w:tr>
      <w:tr w:rsidR="00B16AD6" w:rsidRPr="003C7CB1" w14:paraId="2A711754" w14:textId="77777777" w:rsidTr="00B16AD6">
        <w:trPr>
          <w:trHeight w:val="219"/>
        </w:trPr>
        <w:tc>
          <w:tcPr>
            <w:tcW w:w="4962" w:type="dxa"/>
            <w:shd w:val="clear" w:color="auto" w:fill="EDEDED" w:themeFill="accent3" w:themeFillTint="33"/>
          </w:tcPr>
          <w:p w14:paraId="7668A542" w14:textId="42B128C9" w:rsidR="00B16AD6" w:rsidRPr="003C7CB1" w:rsidRDefault="00892478" w:rsidP="00CD5021">
            <w:pPr>
              <w:spacing w:after="120" w:line="240" w:lineRule="auto"/>
              <w:jc w:val="center"/>
              <w:rPr>
                <w:rFonts w:ascii="Calibri" w:eastAsia="Calibri" w:hAnsi="Calibri" w:cs="Calibri"/>
                <w:b/>
                <w:bCs/>
                <w:color w:val="000000"/>
                <w:lang w:eastAsia="hr-HR"/>
              </w:rPr>
            </w:pPr>
            <w:r w:rsidRPr="003C7CB1">
              <w:rPr>
                <w:rFonts w:ascii="Calibri" w:eastAsia="Calibri" w:hAnsi="Calibri" w:cs="Calibri"/>
                <w:b/>
                <w:bCs/>
                <w:color w:val="1F3864"/>
                <w:lang w:eastAsia="hr-HR"/>
              </w:rPr>
              <w:t>Main tourism products</w:t>
            </w:r>
          </w:p>
        </w:tc>
        <w:tc>
          <w:tcPr>
            <w:tcW w:w="4682" w:type="dxa"/>
            <w:shd w:val="clear" w:color="auto" w:fill="EDEDED" w:themeFill="accent3" w:themeFillTint="33"/>
          </w:tcPr>
          <w:p w14:paraId="2798C2AC" w14:textId="077F7D0E" w:rsidR="00B16AD6" w:rsidRPr="003C7CB1" w:rsidRDefault="00892478"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Additional tourism products</w:t>
            </w:r>
          </w:p>
        </w:tc>
      </w:tr>
      <w:tr w:rsidR="00B16AD6" w:rsidRPr="003C7CB1" w14:paraId="048A863F" w14:textId="77777777" w:rsidTr="00B16AD6">
        <w:trPr>
          <w:trHeight w:val="1589"/>
        </w:trPr>
        <w:tc>
          <w:tcPr>
            <w:tcW w:w="4962" w:type="dxa"/>
          </w:tcPr>
          <w:p w14:paraId="7FBC709D" w14:textId="6C2E0CF8" w:rsidR="00892478" w:rsidRPr="003C7CB1" w:rsidRDefault="00892478" w:rsidP="00892478">
            <w:pPr>
              <w:numPr>
                <w:ilvl w:val="0"/>
                <w:numId w:val="6"/>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Beach tourism - sandy and pebble / rocky beaches</w:t>
            </w:r>
          </w:p>
          <w:p w14:paraId="7B3945C5" w14:textId="09E0B50A" w:rsidR="00892478" w:rsidRPr="003C7CB1" w:rsidRDefault="00892478" w:rsidP="00892478">
            <w:pPr>
              <w:numPr>
                <w:ilvl w:val="0"/>
                <w:numId w:val="6"/>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High quality and exclusive hotels with developed MICE and spa &amp; wellness offer</w:t>
            </w:r>
          </w:p>
          <w:p w14:paraId="5F3697D1" w14:textId="47F66C32" w:rsidR="00892478" w:rsidRPr="003C7CB1" w:rsidRDefault="00892478" w:rsidP="00892478">
            <w:pPr>
              <w:numPr>
                <w:ilvl w:val="0"/>
                <w:numId w:val="6"/>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Nautical tourism</w:t>
            </w:r>
          </w:p>
          <w:p w14:paraId="7B008AB2" w14:textId="3DF40023" w:rsidR="00B16AD6" w:rsidRPr="003C7CB1" w:rsidRDefault="00892478" w:rsidP="00892478">
            <w:pPr>
              <w:numPr>
                <w:ilvl w:val="0"/>
                <w:numId w:val="6"/>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Gastro and </w:t>
            </w:r>
            <w:proofErr w:type="spellStart"/>
            <w:r w:rsidRPr="003C7CB1">
              <w:rPr>
                <w:rFonts w:ascii="Calibri" w:eastAsia="Calibri" w:hAnsi="Calibri" w:cs="Calibri"/>
                <w:bCs/>
                <w:color w:val="000000"/>
                <w:lang w:eastAsia="hr-HR"/>
              </w:rPr>
              <w:t>eno</w:t>
            </w:r>
            <w:proofErr w:type="spellEnd"/>
            <w:r w:rsidRPr="003C7CB1">
              <w:rPr>
                <w:rFonts w:ascii="Calibri" w:eastAsia="Calibri" w:hAnsi="Calibri" w:cs="Calibri"/>
                <w:bCs/>
                <w:color w:val="000000"/>
                <w:lang w:eastAsia="hr-HR"/>
              </w:rPr>
              <w:t xml:space="preserve"> tourism (olive oil production)</w:t>
            </w:r>
          </w:p>
        </w:tc>
        <w:tc>
          <w:tcPr>
            <w:tcW w:w="4682" w:type="dxa"/>
          </w:tcPr>
          <w:p w14:paraId="0276AAC8" w14:textId="7BE35A05" w:rsidR="00892478" w:rsidRPr="003C7CB1" w:rsidRDefault="00892478" w:rsidP="00892478">
            <w:pPr>
              <w:numPr>
                <w:ilvl w:val="0"/>
                <w:numId w:val="19"/>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Cruising tourism</w:t>
            </w:r>
          </w:p>
          <w:p w14:paraId="1D825C14" w14:textId="0CEEF639" w:rsidR="00892478" w:rsidRPr="003C7CB1" w:rsidRDefault="00892478" w:rsidP="00892478">
            <w:pPr>
              <w:numPr>
                <w:ilvl w:val="0"/>
                <w:numId w:val="19"/>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Diving tourism</w:t>
            </w:r>
          </w:p>
          <w:p w14:paraId="2D131F32" w14:textId="4112D83A" w:rsidR="00892478" w:rsidRPr="003C7CB1" w:rsidRDefault="00892478" w:rsidP="00892478">
            <w:pPr>
              <w:numPr>
                <w:ilvl w:val="0"/>
                <w:numId w:val="19"/>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Cultural tourism</w:t>
            </w:r>
          </w:p>
          <w:p w14:paraId="560B24AB" w14:textId="29C8451F" w:rsidR="00B16AD6" w:rsidRPr="003C7CB1" w:rsidRDefault="00892478" w:rsidP="00892478">
            <w:pPr>
              <w:numPr>
                <w:ilvl w:val="0"/>
                <w:numId w:val="19"/>
              </w:numPr>
              <w:spacing w:after="120" w:line="240" w:lineRule="auto"/>
              <w:contextualSpacing/>
              <w:rPr>
                <w:rFonts w:ascii="Calibri" w:eastAsia="Calibri" w:hAnsi="Calibri" w:cs="Calibri"/>
                <w:bCs/>
                <w:color w:val="000000"/>
                <w:lang w:eastAsia="hr-HR"/>
              </w:rPr>
            </w:pPr>
            <w:r w:rsidRPr="003C7CB1">
              <w:rPr>
                <w:rFonts w:ascii="Calibri" w:eastAsia="Calibri" w:hAnsi="Calibri" w:cs="Calibri"/>
                <w:bCs/>
                <w:color w:val="000000"/>
                <w:lang w:eastAsia="hr-HR"/>
              </w:rPr>
              <w:t>Event tourism and concerts, nightlife</w:t>
            </w:r>
          </w:p>
        </w:tc>
      </w:tr>
    </w:tbl>
    <w:p w14:paraId="514CD55C" w14:textId="77777777" w:rsidR="00B16AD6" w:rsidRPr="003C7CB1" w:rsidRDefault="00B16AD6" w:rsidP="00CD5021">
      <w:pPr>
        <w:spacing w:after="120" w:line="240" w:lineRule="auto"/>
        <w:jc w:val="both"/>
        <w:rPr>
          <w:rFonts w:ascii="Calibri" w:eastAsia="Calibri" w:hAnsi="Calibri" w:cs="Calibri"/>
          <w:b/>
          <w:bCs/>
          <w:color w:val="1F3864"/>
          <w:sz w:val="36"/>
          <w:szCs w:val="36"/>
          <w:lang w:eastAsia="hr-HR"/>
        </w:rPr>
      </w:pPr>
    </w:p>
    <w:p w14:paraId="0BA2064A" w14:textId="636AE94B" w:rsidR="00B16AD6" w:rsidRPr="003C7CB1" w:rsidRDefault="00B16AD6" w:rsidP="00CD5021">
      <w:pPr>
        <w:pStyle w:val="Heading2"/>
        <w:spacing w:before="0" w:after="120" w:line="240" w:lineRule="auto"/>
        <w:rPr>
          <w:rFonts w:eastAsia="Calibri"/>
          <w:sz w:val="26"/>
          <w:lang w:eastAsia="hr-HR"/>
        </w:rPr>
      </w:pPr>
      <w:bookmarkStart w:id="255" w:name="_Toc91286738"/>
      <w:bookmarkStart w:id="256" w:name="_Toc95303057"/>
      <w:bookmarkStart w:id="257" w:name="_Toc104544217"/>
      <w:r w:rsidRPr="003C7CB1">
        <w:rPr>
          <w:rFonts w:eastAsia="Calibri"/>
          <w:sz w:val="26"/>
          <w:lang w:eastAsia="hr-HR"/>
        </w:rPr>
        <w:t>1</w:t>
      </w:r>
      <w:r w:rsidR="00E729DA" w:rsidRPr="003C7CB1">
        <w:rPr>
          <w:rFonts w:eastAsia="Calibri"/>
          <w:sz w:val="26"/>
          <w:lang w:eastAsia="hr-HR"/>
        </w:rPr>
        <w:t>5</w:t>
      </w:r>
      <w:r w:rsidRPr="003C7CB1">
        <w:rPr>
          <w:rFonts w:eastAsia="Calibri"/>
          <w:sz w:val="26"/>
          <w:lang w:eastAsia="hr-HR"/>
        </w:rPr>
        <w:t xml:space="preserve">.3. </w:t>
      </w:r>
      <w:bookmarkEnd w:id="255"/>
      <w:bookmarkEnd w:id="256"/>
      <w:r w:rsidR="00892478" w:rsidRPr="003C7CB1">
        <w:rPr>
          <w:rFonts w:eastAsia="Calibri"/>
          <w:sz w:val="26"/>
          <w:lang w:eastAsia="hr-HR"/>
        </w:rPr>
        <w:t xml:space="preserve">TOURISM CLUSTER 3 - </w:t>
      </w:r>
      <w:proofErr w:type="spellStart"/>
      <w:r w:rsidR="00892478" w:rsidRPr="003C7CB1">
        <w:rPr>
          <w:rFonts w:eastAsia="Calibri"/>
          <w:sz w:val="26"/>
          <w:lang w:eastAsia="hr-HR"/>
        </w:rPr>
        <w:t>Budva</w:t>
      </w:r>
      <w:proofErr w:type="spellEnd"/>
      <w:r w:rsidR="00892478" w:rsidRPr="003C7CB1">
        <w:rPr>
          <w:rFonts w:eastAsia="Calibri"/>
          <w:sz w:val="26"/>
          <w:lang w:eastAsia="hr-HR"/>
        </w:rPr>
        <w:t xml:space="preserve"> Riviera</w:t>
      </w:r>
      <w:bookmarkEnd w:id="257"/>
    </w:p>
    <w:tbl>
      <w:tblPr>
        <w:tblStyle w:val="TableGrid4"/>
        <w:tblW w:w="0" w:type="auto"/>
        <w:tblLook w:val="04A0" w:firstRow="1" w:lastRow="0" w:firstColumn="1" w:lastColumn="0" w:noHBand="0" w:noVBand="1"/>
      </w:tblPr>
      <w:tblGrid>
        <w:gridCol w:w="9606"/>
      </w:tblGrid>
      <w:tr w:rsidR="00B16AD6" w:rsidRPr="003C7CB1" w14:paraId="33998787" w14:textId="77777777" w:rsidTr="00190057">
        <w:tc>
          <w:tcPr>
            <w:tcW w:w="9606" w:type="dxa"/>
            <w:shd w:val="clear" w:color="auto" w:fill="B4C6E7" w:themeFill="accent1" w:themeFillTint="66"/>
          </w:tcPr>
          <w:p w14:paraId="61D7EC85" w14:textId="4303934B" w:rsidR="00B16AD6" w:rsidRPr="003C7CB1" w:rsidRDefault="00892478" w:rsidP="00CD5021">
            <w:pPr>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t>CHARACTERISTICS</w:t>
            </w:r>
          </w:p>
        </w:tc>
      </w:tr>
      <w:tr w:rsidR="00B16AD6" w:rsidRPr="003C7CB1" w14:paraId="28CE2982" w14:textId="77777777" w:rsidTr="00190057">
        <w:tc>
          <w:tcPr>
            <w:tcW w:w="9606" w:type="dxa"/>
          </w:tcPr>
          <w:p w14:paraId="23F11E63" w14:textId="246418D8" w:rsidR="00B16AD6" w:rsidRPr="003C7CB1" w:rsidRDefault="00BC0A6B" w:rsidP="00BC0A6B">
            <w:pPr>
              <w:shd w:val="clear" w:color="auto" w:fill="FFFFFF"/>
              <w:spacing w:after="120" w:line="240" w:lineRule="auto"/>
              <w:jc w:val="both"/>
              <w:textAlignment w:val="baseline"/>
              <w:rPr>
                <w:rFonts w:ascii="Calibri" w:eastAsia="Calibri" w:hAnsi="Calibri" w:cs="Calibri"/>
                <w:shd w:val="clear" w:color="auto" w:fill="FEFEFE"/>
              </w:rPr>
            </w:pPr>
            <w:proofErr w:type="spellStart"/>
            <w:r w:rsidRPr="003C7CB1">
              <w:rPr>
                <w:rFonts w:ascii="Calibri" w:eastAsia="Calibri" w:hAnsi="Calibri" w:cs="Calibri"/>
                <w:b/>
                <w:shd w:val="clear" w:color="auto" w:fill="FEFEFE"/>
              </w:rPr>
              <w:t>Budva</w:t>
            </w:r>
            <w:proofErr w:type="spellEnd"/>
            <w:r w:rsidRPr="003C7CB1">
              <w:rPr>
                <w:rFonts w:ascii="Calibri" w:eastAsia="Calibri" w:hAnsi="Calibri" w:cs="Calibri"/>
                <w:b/>
                <w:shd w:val="clear" w:color="auto" w:fill="FEFEFE"/>
              </w:rPr>
              <w:t xml:space="preserve"> Riviera</w:t>
            </w:r>
            <w:r w:rsidRPr="003C7CB1">
              <w:rPr>
                <w:rFonts w:ascii="Calibri" w:eastAsia="Calibri" w:hAnsi="Calibri" w:cs="Calibri"/>
                <w:shd w:val="clear" w:color="auto" w:fill="FEFEFE"/>
              </w:rPr>
              <w:t xml:space="preserve"> is one of the oldest settlements in the Adriatic, and is recognized for its beautiful beaches, high-quality hotels and is considered the metropolis of tourism in Montenegro. The </w:t>
            </w:r>
            <w:proofErr w:type="spellStart"/>
            <w:r w:rsidRPr="003C7CB1">
              <w:rPr>
                <w:rFonts w:ascii="Calibri" w:eastAsia="Calibri" w:hAnsi="Calibri" w:cs="Calibri"/>
                <w:shd w:val="clear" w:color="auto" w:fill="FEFEFE"/>
              </w:rPr>
              <w:t>Budva</w:t>
            </w:r>
            <w:proofErr w:type="spellEnd"/>
            <w:r w:rsidRPr="003C7CB1">
              <w:rPr>
                <w:rFonts w:ascii="Calibri" w:eastAsia="Calibri" w:hAnsi="Calibri" w:cs="Calibri"/>
                <w:shd w:val="clear" w:color="auto" w:fill="FEFEFE"/>
              </w:rPr>
              <w:t xml:space="preserve"> Riviera consists of the municipality of </w:t>
            </w:r>
            <w:proofErr w:type="spellStart"/>
            <w:r w:rsidRPr="003C7CB1">
              <w:rPr>
                <w:rFonts w:ascii="Calibri" w:eastAsia="Calibri" w:hAnsi="Calibri" w:cs="Calibri"/>
                <w:shd w:val="clear" w:color="auto" w:fill="FEFEFE"/>
              </w:rPr>
              <w:t>Budva</w:t>
            </w:r>
            <w:proofErr w:type="spellEnd"/>
            <w:r w:rsidRPr="003C7CB1">
              <w:rPr>
                <w:rFonts w:ascii="Calibri" w:eastAsia="Calibri" w:hAnsi="Calibri" w:cs="Calibri"/>
                <w:shd w:val="clear" w:color="auto" w:fill="FEFEFE"/>
              </w:rPr>
              <w:t xml:space="preserve"> and the tourist town of </w:t>
            </w:r>
            <w:proofErr w:type="spellStart"/>
            <w:r w:rsidRPr="003C7CB1">
              <w:rPr>
                <w:rFonts w:ascii="Calibri" w:eastAsia="Calibri" w:hAnsi="Calibri" w:cs="Calibri"/>
                <w:shd w:val="clear" w:color="auto" w:fill="FEFEFE"/>
              </w:rPr>
              <w:t>Petrovac</w:t>
            </w:r>
            <w:proofErr w:type="spellEnd"/>
            <w:r w:rsidRPr="003C7CB1">
              <w:rPr>
                <w:rFonts w:ascii="Calibri" w:eastAsia="Calibri" w:hAnsi="Calibri" w:cs="Calibri"/>
                <w:shd w:val="clear" w:color="auto" w:fill="FEFEFE"/>
              </w:rPr>
              <w:t xml:space="preserve">. The most recognizable symbols of the </w:t>
            </w:r>
            <w:proofErr w:type="spellStart"/>
            <w:r w:rsidRPr="003C7CB1">
              <w:rPr>
                <w:rFonts w:ascii="Calibri" w:eastAsia="Calibri" w:hAnsi="Calibri" w:cs="Calibri"/>
                <w:shd w:val="clear" w:color="auto" w:fill="FEFEFE"/>
              </w:rPr>
              <w:t>Budva</w:t>
            </w:r>
            <w:proofErr w:type="spellEnd"/>
            <w:r w:rsidRPr="003C7CB1">
              <w:rPr>
                <w:rFonts w:ascii="Calibri" w:eastAsia="Calibri" w:hAnsi="Calibri" w:cs="Calibri"/>
                <w:shd w:val="clear" w:color="auto" w:fill="FEFEFE"/>
              </w:rPr>
              <w:t xml:space="preserve"> Riviera offer are, in the field of cultural attractions, the Old Town with sacral buildings, the City Museum with archeological and ethnographic exhibits and Roman mosaics in </w:t>
            </w:r>
            <w:proofErr w:type="spellStart"/>
            <w:r w:rsidRPr="003C7CB1">
              <w:rPr>
                <w:rFonts w:ascii="Calibri" w:eastAsia="Calibri" w:hAnsi="Calibri" w:cs="Calibri"/>
                <w:shd w:val="clear" w:color="auto" w:fill="FEFEFE"/>
              </w:rPr>
              <w:t>Petrovac</w:t>
            </w:r>
            <w:proofErr w:type="spellEnd"/>
            <w:r w:rsidRPr="003C7CB1">
              <w:rPr>
                <w:rFonts w:ascii="Calibri" w:eastAsia="Calibri" w:hAnsi="Calibri" w:cs="Calibri"/>
                <w:shd w:val="clear" w:color="auto" w:fill="FEFEFE"/>
              </w:rPr>
              <w:t xml:space="preserve">, and when it comes to </w:t>
            </w:r>
            <w:r w:rsidRPr="003C7CB1">
              <w:rPr>
                <w:rFonts w:ascii="Calibri" w:eastAsia="Calibri" w:hAnsi="Calibri" w:cs="Calibri"/>
                <w:shd w:val="clear" w:color="auto" w:fill="FEFEFE"/>
              </w:rPr>
              <w:lastRenderedPageBreak/>
              <w:t xml:space="preserve">natural attractions, </w:t>
            </w:r>
            <w:proofErr w:type="spellStart"/>
            <w:r w:rsidRPr="003C7CB1">
              <w:rPr>
                <w:rFonts w:ascii="Calibri" w:eastAsia="Calibri" w:hAnsi="Calibri" w:cs="Calibri"/>
                <w:shd w:val="clear" w:color="auto" w:fill="FEFEFE"/>
              </w:rPr>
              <w:t>Sveti</w:t>
            </w:r>
            <w:proofErr w:type="spellEnd"/>
            <w:r w:rsidRPr="003C7CB1">
              <w:rPr>
                <w:rFonts w:ascii="Calibri" w:eastAsia="Calibri" w:hAnsi="Calibri" w:cs="Calibri"/>
                <w:shd w:val="clear" w:color="auto" w:fill="FEFEFE"/>
              </w:rPr>
              <w:t xml:space="preserve"> Stefan Penin</w:t>
            </w:r>
            <w:r w:rsidR="00861D69">
              <w:rPr>
                <w:rFonts w:ascii="Calibri" w:eastAsia="Calibri" w:hAnsi="Calibri" w:cs="Calibri"/>
                <w:shd w:val="clear" w:color="auto" w:fill="FEFEFE"/>
              </w:rPr>
              <w:t xml:space="preserve">sula, </w:t>
            </w:r>
            <w:proofErr w:type="spellStart"/>
            <w:r w:rsidR="00861D69">
              <w:rPr>
                <w:rFonts w:ascii="Calibri" w:eastAsia="Calibri" w:hAnsi="Calibri" w:cs="Calibri"/>
                <w:shd w:val="clear" w:color="auto" w:fill="FEFEFE"/>
              </w:rPr>
              <w:t>Sveti</w:t>
            </w:r>
            <w:proofErr w:type="spellEnd"/>
            <w:r w:rsidR="00861D69">
              <w:rPr>
                <w:rFonts w:ascii="Calibri" w:eastAsia="Calibri" w:hAnsi="Calibri" w:cs="Calibri"/>
                <w:shd w:val="clear" w:color="auto" w:fill="FEFEFE"/>
              </w:rPr>
              <w:t xml:space="preserve"> Nikola Island, </w:t>
            </w:r>
            <w:proofErr w:type="spellStart"/>
            <w:r w:rsidR="00861D69">
              <w:rPr>
                <w:rFonts w:ascii="Calibri" w:eastAsia="Calibri" w:hAnsi="Calibri" w:cs="Calibri"/>
                <w:shd w:val="clear" w:color="auto" w:fill="FEFEFE"/>
              </w:rPr>
              <w:t>Miloč</w:t>
            </w:r>
            <w:r w:rsidRPr="003C7CB1">
              <w:rPr>
                <w:rFonts w:ascii="Calibri" w:eastAsia="Calibri" w:hAnsi="Calibri" w:cs="Calibri"/>
                <w:shd w:val="clear" w:color="auto" w:fill="FEFEFE"/>
              </w:rPr>
              <w:t>er</w:t>
            </w:r>
            <w:proofErr w:type="spellEnd"/>
            <w:r w:rsidRPr="003C7CB1">
              <w:rPr>
                <w:rFonts w:ascii="Calibri" w:eastAsia="Calibri" w:hAnsi="Calibri" w:cs="Calibri"/>
                <w:shd w:val="clear" w:color="auto" w:fill="FEFEFE"/>
              </w:rPr>
              <w:t xml:space="preserve"> Park and beaches, of which the longest is </w:t>
            </w:r>
            <w:proofErr w:type="spellStart"/>
            <w:r w:rsidRPr="003C7CB1">
              <w:rPr>
                <w:rFonts w:ascii="Calibri" w:eastAsia="Calibri" w:hAnsi="Calibri" w:cs="Calibri"/>
                <w:shd w:val="clear" w:color="auto" w:fill="FEFEFE"/>
              </w:rPr>
              <w:t>Slovenska</w:t>
            </w:r>
            <w:proofErr w:type="spellEnd"/>
            <w:r w:rsidRPr="003C7CB1">
              <w:rPr>
                <w:rFonts w:ascii="Calibri" w:eastAsia="Calibri" w:hAnsi="Calibri" w:cs="Calibri"/>
                <w:shd w:val="clear" w:color="auto" w:fill="FEFEFE"/>
              </w:rPr>
              <w:t xml:space="preserve"> Beach. Apart from bathing tourism, </w:t>
            </w:r>
            <w:proofErr w:type="spellStart"/>
            <w:r w:rsidRPr="003C7CB1">
              <w:rPr>
                <w:rFonts w:ascii="Calibri" w:eastAsia="Calibri" w:hAnsi="Calibri" w:cs="Calibri"/>
                <w:shd w:val="clear" w:color="auto" w:fill="FEFEFE"/>
              </w:rPr>
              <w:t>Budva</w:t>
            </w:r>
            <w:proofErr w:type="spellEnd"/>
            <w:r w:rsidRPr="003C7CB1">
              <w:rPr>
                <w:rFonts w:ascii="Calibri" w:eastAsia="Calibri" w:hAnsi="Calibri" w:cs="Calibri"/>
                <w:shd w:val="clear" w:color="auto" w:fill="FEFEFE"/>
              </w:rPr>
              <w:t xml:space="preserve"> is also recognized for a large number of events, but also for its nightlife, which is why it attracts a large number of young tourists</w:t>
            </w:r>
            <w:r w:rsidR="00B16AD6" w:rsidRPr="003C7CB1">
              <w:rPr>
                <w:rFonts w:ascii="Calibri" w:eastAsia="Calibri" w:hAnsi="Calibri" w:cs="Calibri"/>
                <w:shd w:val="clear" w:color="auto" w:fill="FEFEFE"/>
              </w:rPr>
              <w:t xml:space="preserve">. </w:t>
            </w:r>
          </w:p>
          <w:p w14:paraId="7427755B" w14:textId="27FE3AF9" w:rsidR="00B16AD6" w:rsidRPr="003C7CB1" w:rsidRDefault="00BC0A6B" w:rsidP="00CD5021">
            <w:pPr>
              <w:shd w:val="clear" w:color="auto" w:fill="FFFFFF"/>
              <w:spacing w:after="120" w:line="240" w:lineRule="auto"/>
              <w:jc w:val="both"/>
              <w:textAlignment w:val="baseline"/>
              <w:rPr>
                <w:rFonts w:ascii="Calibri" w:eastAsia="Calibri" w:hAnsi="Calibri" w:cs="Calibri"/>
                <w:shd w:val="clear" w:color="auto" w:fill="FEFEFE"/>
              </w:rPr>
            </w:pPr>
            <w:r w:rsidRPr="003C7CB1">
              <w:rPr>
                <w:rFonts w:ascii="Calibri" w:eastAsia="Calibri" w:hAnsi="Calibri" w:cs="Calibri"/>
                <w:shd w:val="clear" w:color="auto" w:fill="FEFEFE"/>
              </w:rPr>
              <w:t xml:space="preserve">Also, in the </w:t>
            </w:r>
            <w:proofErr w:type="spellStart"/>
            <w:r w:rsidRPr="003C7CB1">
              <w:rPr>
                <w:rFonts w:ascii="Calibri" w:eastAsia="Calibri" w:hAnsi="Calibri" w:cs="Calibri"/>
                <w:shd w:val="clear" w:color="auto" w:fill="FEFEFE"/>
              </w:rPr>
              <w:t>Budva</w:t>
            </w:r>
            <w:proofErr w:type="spellEnd"/>
            <w:r w:rsidRPr="003C7CB1">
              <w:rPr>
                <w:rFonts w:ascii="Calibri" w:eastAsia="Calibri" w:hAnsi="Calibri" w:cs="Calibri"/>
                <w:shd w:val="clear" w:color="auto" w:fill="FEFEFE"/>
              </w:rPr>
              <w:t xml:space="preserve"> Riviera there are a large number of high quality hotels, some of which operate under well-known world brands, have MICE and spa &amp; wellness facilities. It is connected by main road with </w:t>
            </w:r>
            <w:proofErr w:type="spellStart"/>
            <w:r w:rsidRPr="003C7CB1">
              <w:rPr>
                <w:rFonts w:ascii="Calibri" w:eastAsia="Calibri" w:hAnsi="Calibri" w:cs="Calibri"/>
                <w:shd w:val="clear" w:color="auto" w:fill="FEFEFE"/>
              </w:rPr>
              <w:t>Tivat</w:t>
            </w:r>
            <w:proofErr w:type="spellEnd"/>
            <w:r w:rsidRPr="003C7CB1">
              <w:rPr>
                <w:rFonts w:ascii="Calibri" w:eastAsia="Calibri" w:hAnsi="Calibri" w:cs="Calibri"/>
                <w:shd w:val="clear" w:color="auto" w:fill="FEFEFE"/>
              </w:rPr>
              <w:t xml:space="preserve"> Airport, but also with the Capital and Podgorica Airport, and the Port of Bar, which makes it a well-positioned tourist destination</w:t>
            </w:r>
            <w:r w:rsidR="00B16AD6" w:rsidRPr="003C7CB1">
              <w:rPr>
                <w:rFonts w:ascii="Calibri" w:eastAsia="Calibri" w:hAnsi="Calibri" w:cs="Calibri"/>
                <w:shd w:val="clear" w:color="auto" w:fill="FEFEFE"/>
              </w:rPr>
              <w:t>.</w:t>
            </w:r>
          </w:p>
        </w:tc>
      </w:tr>
      <w:tr w:rsidR="00B16AD6" w:rsidRPr="003C7CB1" w14:paraId="14B550B3" w14:textId="77777777" w:rsidTr="00190057">
        <w:tc>
          <w:tcPr>
            <w:tcW w:w="9606" w:type="dxa"/>
            <w:shd w:val="clear" w:color="auto" w:fill="B4C6E7" w:themeFill="accent1" w:themeFillTint="66"/>
          </w:tcPr>
          <w:p w14:paraId="081B270A" w14:textId="7C099C5E" w:rsidR="00B16AD6" w:rsidRPr="003C7CB1" w:rsidRDefault="00BC0A6B" w:rsidP="00CD5021">
            <w:pPr>
              <w:spacing w:after="120" w:line="240" w:lineRule="auto"/>
              <w:jc w:val="center"/>
              <w:rPr>
                <w:rFonts w:ascii="Calibri" w:eastAsia="Calibri" w:hAnsi="Calibri" w:cs="Calibri"/>
                <w:bCs/>
                <w:color w:val="000000"/>
                <w:lang w:eastAsia="hr-HR"/>
              </w:rPr>
            </w:pPr>
            <w:bookmarkStart w:id="258" w:name="_Hlk98197796"/>
            <w:r w:rsidRPr="003C7CB1">
              <w:rPr>
                <w:rFonts w:ascii="Calibri" w:eastAsia="Calibri" w:hAnsi="Calibri" w:cs="Calibri"/>
                <w:b/>
                <w:bCs/>
                <w:color w:val="1F3864"/>
                <w:lang w:eastAsia="hr-HR"/>
              </w:rPr>
              <w:lastRenderedPageBreak/>
              <w:t>VISION OF CLUSTER DEVELOPMENT</w:t>
            </w:r>
          </w:p>
        </w:tc>
      </w:tr>
      <w:bookmarkEnd w:id="258"/>
      <w:tr w:rsidR="00B16AD6" w:rsidRPr="003C7CB1" w14:paraId="265E126E" w14:textId="77777777" w:rsidTr="00190057">
        <w:tc>
          <w:tcPr>
            <w:tcW w:w="9606" w:type="dxa"/>
          </w:tcPr>
          <w:p w14:paraId="0AE5A0FF" w14:textId="56D3FBAF" w:rsidR="00B16AD6" w:rsidRPr="003C7CB1" w:rsidRDefault="00BC0A6B" w:rsidP="00BC0A6B">
            <w:pPr>
              <w:spacing w:after="120" w:line="240" w:lineRule="auto"/>
              <w:jc w:val="both"/>
              <w:rPr>
                <w:rFonts w:ascii="Calibri" w:eastAsia="Calibri" w:hAnsi="Calibri" w:cs="Calibri"/>
                <w:b/>
                <w:bCs/>
                <w:color w:val="000000"/>
                <w:lang w:eastAsia="hr-HR"/>
              </w:rPr>
            </w:pPr>
            <w:proofErr w:type="spellStart"/>
            <w:r w:rsidRPr="003C7CB1">
              <w:rPr>
                <w:rFonts w:ascii="Calibri" w:eastAsia="Calibri" w:hAnsi="Calibri" w:cs="Calibri"/>
                <w:b/>
                <w:bCs/>
                <w:color w:val="000000"/>
                <w:lang w:eastAsia="hr-HR"/>
              </w:rPr>
              <w:t>Budva</w:t>
            </w:r>
            <w:proofErr w:type="spellEnd"/>
            <w:r w:rsidRPr="003C7CB1">
              <w:rPr>
                <w:rFonts w:ascii="Calibri" w:eastAsia="Calibri" w:hAnsi="Calibri" w:cs="Calibri"/>
                <w:b/>
                <w:bCs/>
                <w:color w:val="000000"/>
                <w:lang w:eastAsia="hr-HR"/>
              </w:rPr>
              <w:t xml:space="preserve"> Riviera </w:t>
            </w:r>
            <w:r w:rsidRPr="003C7CB1">
              <w:rPr>
                <w:rFonts w:ascii="Calibri" w:eastAsia="Calibri" w:hAnsi="Calibri" w:cs="Calibri"/>
                <w:bCs/>
                <w:color w:val="000000"/>
                <w:lang w:eastAsia="hr-HR"/>
              </w:rPr>
              <w:t>- a unique destination with high quality hotels with developed MICE and spa &amp; wellness offer, which attracts tourists throughout the year, with a typical Mediterranean gastronomic offer, and events and concerts throughout the year, but also organized cultural tourism offer</w:t>
            </w:r>
            <w:r w:rsidR="00B16AD6" w:rsidRPr="003C7CB1">
              <w:rPr>
                <w:rFonts w:ascii="Calibri" w:eastAsia="Calibri" w:hAnsi="Calibri" w:cs="Calibri"/>
                <w:bCs/>
                <w:color w:val="000000"/>
                <w:lang w:eastAsia="hr-HR"/>
              </w:rPr>
              <w:t>.</w:t>
            </w:r>
          </w:p>
        </w:tc>
      </w:tr>
      <w:tr w:rsidR="00B16AD6" w:rsidRPr="003C7CB1" w14:paraId="504CD082" w14:textId="77777777" w:rsidTr="00190057">
        <w:tc>
          <w:tcPr>
            <w:tcW w:w="9606" w:type="dxa"/>
            <w:shd w:val="clear" w:color="auto" w:fill="D9E2F3" w:themeFill="accent1" w:themeFillTint="33"/>
          </w:tcPr>
          <w:p w14:paraId="01F5DDDB" w14:textId="169203B3" w:rsidR="00B16AD6" w:rsidRPr="003C7CB1" w:rsidRDefault="00BC0A6B" w:rsidP="00CD5021">
            <w:pPr>
              <w:spacing w:after="120" w:line="240" w:lineRule="auto"/>
              <w:jc w:val="center"/>
              <w:rPr>
                <w:rFonts w:ascii="Calibri" w:eastAsia="Calibri" w:hAnsi="Calibri" w:cs="Calibri"/>
                <w:b/>
                <w:bCs/>
                <w:color w:val="1F3864"/>
                <w:sz w:val="24"/>
                <w:szCs w:val="24"/>
                <w:lang w:eastAsia="hr-HR"/>
              </w:rPr>
            </w:pPr>
            <w:r w:rsidRPr="003C7CB1">
              <w:rPr>
                <w:rFonts w:ascii="Calibri" w:eastAsia="Calibri" w:hAnsi="Calibri" w:cs="Calibri"/>
                <w:b/>
                <w:bCs/>
                <w:color w:val="1F3864"/>
                <w:sz w:val="24"/>
                <w:szCs w:val="24"/>
                <w:lang w:eastAsia="hr-HR"/>
              </w:rPr>
              <w:t>INVESTMENTS, SPACE, HOTEL STANDARDS AND INFRASTRUCTURE</w:t>
            </w:r>
          </w:p>
        </w:tc>
      </w:tr>
      <w:tr w:rsidR="00B16AD6" w:rsidRPr="003C7CB1" w14:paraId="132EB222" w14:textId="77777777" w:rsidTr="00190057">
        <w:trPr>
          <w:trHeight w:val="870"/>
        </w:trPr>
        <w:tc>
          <w:tcPr>
            <w:tcW w:w="9606" w:type="dxa"/>
          </w:tcPr>
          <w:p w14:paraId="2DE7DCAD" w14:textId="557C073B" w:rsidR="00B16AD6" w:rsidRPr="003C7CB1" w:rsidRDefault="00BC0A6B"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Space and investments</w:t>
            </w:r>
          </w:p>
          <w:p w14:paraId="75236398" w14:textId="0C86F930" w:rsidR="00984023" w:rsidRPr="003C7CB1" w:rsidRDefault="00984023" w:rsidP="00984023">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Positioning the municipality of </w:t>
            </w:r>
            <w:proofErr w:type="spellStart"/>
            <w:r w:rsidRPr="003C7CB1">
              <w:rPr>
                <w:rFonts w:ascii="Calibri" w:eastAsia="Calibri" w:hAnsi="Calibri" w:cs="Times New Roman"/>
              </w:rPr>
              <w:t>Budva</w:t>
            </w:r>
            <w:proofErr w:type="spellEnd"/>
            <w:r w:rsidRPr="003C7CB1">
              <w:rPr>
                <w:rFonts w:ascii="Calibri" w:eastAsia="Calibri" w:hAnsi="Calibri" w:cs="Times New Roman"/>
              </w:rPr>
              <w:t xml:space="preserve"> as a modern, developed local community and an attractive tourist destination in the region, relying on the rich cultural and historical heritage and natural resources, which meet the diverse interests of visitors;</w:t>
            </w:r>
          </w:p>
          <w:p w14:paraId="69B0A70B" w14:textId="2EC06909" w:rsidR="00984023" w:rsidRPr="003C7CB1" w:rsidRDefault="00984023" w:rsidP="00984023">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Through the Spatial-urban plan of the Municipality of </w:t>
            </w:r>
            <w:proofErr w:type="spellStart"/>
            <w:r w:rsidRPr="003C7CB1">
              <w:rPr>
                <w:rFonts w:ascii="Calibri" w:eastAsia="Calibri" w:hAnsi="Calibri" w:cs="Times New Roman"/>
              </w:rPr>
              <w:t>Budva</w:t>
            </w:r>
            <w:proofErr w:type="spellEnd"/>
            <w:r w:rsidRPr="003C7CB1">
              <w:rPr>
                <w:rFonts w:ascii="Calibri" w:eastAsia="Calibri" w:hAnsi="Calibri" w:cs="Times New Roman"/>
              </w:rPr>
              <w:t xml:space="preserve">, it is necessary to reconsider the principle of planning </w:t>
            </w:r>
            <w:r w:rsidR="00F45D04" w:rsidRPr="003C7CB1">
              <w:rPr>
                <w:rFonts w:ascii="Calibri" w:eastAsia="Calibri" w:hAnsi="Calibri" w:cs="Times New Roman"/>
              </w:rPr>
              <w:t>facilities</w:t>
            </w:r>
            <w:r w:rsidRPr="003C7CB1">
              <w:rPr>
                <w:rFonts w:ascii="Calibri" w:eastAsia="Calibri" w:hAnsi="Calibri" w:cs="Times New Roman"/>
              </w:rPr>
              <w:t xml:space="preserve"> larger than</w:t>
            </w:r>
            <w:r w:rsidR="00F45D04" w:rsidRPr="003C7CB1">
              <w:rPr>
                <w:rFonts w:ascii="Calibri" w:eastAsia="Calibri" w:hAnsi="Calibri" w:cs="Times New Roman"/>
              </w:rPr>
              <w:t xml:space="preserve"> four floors along the </w:t>
            </w:r>
            <w:proofErr w:type="spellStart"/>
            <w:r w:rsidR="00F45D04" w:rsidRPr="003C7CB1">
              <w:rPr>
                <w:rFonts w:ascii="Calibri" w:eastAsia="Calibri" w:hAnsi="Calibri" w:cs="Times New Roman"/>
              </w:rPr>
              <w:t>Slovenska</w:t>
            </w:r>
            <w:proofErr w:type="spellEnd"/>
            <w:r w:rsidRPr="003C7CB1">
              <w:rPr>
                <w:rFonts w:ascii="Calibri" w:eastAsia="Calibri" w:hAnsi="Calibri" w:cs="Times New Roman"/>
              </w:rPr>
              <w:t xml:space="preserve"> beach, because in that way the views towards the sea are blocked. Also, when planning space, it is necessary to be guided by the principle of the common good of society;</w:t>
            </w:r>
          </w:p>
          <w:p w14:paraId="4CBAE2A8" w14:textId="3281C634" w:rsidR="00B16AD6" w:rsidRPr="003C7CB1" w:rsidRDefault="00984023" w:rsidP="00984023">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Plan as many public spaces as possible, which will relieve the current overdevelopment in its urban area</w:t>
            </w:r>
            <w:r w:rsidR="00B16AD6" w:rsidRPr="003C7CB1">
              <w:rPr>
                <w:rFonts w:ascii="Calibri" w:eastAsia="Calibri" w:hAnsi="Calibri" w:cs="Times New Roman"/>
              </w:rPr>
              <w:t>;</w:t>
            </w:r>
          </w:p>
          <w:p w14:paraId="6F8E1FFB" w14:textId="5EC4F8F1" w:rsidR="00F45D04" w:rsidRPr="003C7CB1" w:rsidRDefault="00F45D04" w:rsidP="00F45D04">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Stop the informal expansion of the </w:t>
            </w:r>
            <w:proofErr w:type="spellStart"/>
            <w:r w:rsidRPr="003C7CB1">
              <w:rPr>
                <w:rFonts w:ascii="Calibri" w:eastAsia="Calibri" w:hAnsi="Calibri" w:cs="Times New Roman"/>
              </w:rPr>
              <w:t>Rafailovići</w:t>
            </w:r>
            <w:proofErr w:type="spellEnd"/>
            <w:r w:rsidRPr="003C7CB1">
              <w:rPr>
                <w:rFonts w:ascii="Calibri" w:eastAsia="Calibri" w:hAnsi="Calibri" w:cs="Times New Roman"/>
              </w:rPr>
              <w:t xml:space="preserve"> settlement and take remedial action for the already existing informal settlements, in order to solve the utility equipment, traffic network, improve the quality of life and environmental standards. It is necessary to solve the problem of insufficiently developed system for selective waste disposal, rehabilitate a large number of landfills for municipal and construction waste;</w:t>
            </w:r>
          </w:p>
          <w:p w14:paraId="3A6DDFCA" w14:textId="6026426D" w:rsidR="00F45D04" w:rsidRPr="003C7CB1" w:rsidRDefault="00F45D04" w:rsidP="00F45D04">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Maximum utilization of brownfield sites, as well as expert analysis of the justification of possible greenfield investments (</w:t>
            </w:r>
            <w:proofErr w:type="spellStart"/>
            <w:r w:rsidRPr="003C7CB1">
              <w:rPr>
                <w:rFonts w:ascii="Calibri" w:eastAsia="Calibri" w:hAnsi="Calibri" w:cs="Times New Roman"/>
              </w:rPr>
              <w:t>Buljarica</w:t>
            </w:r>
            <w:proofErr w:type="spellEnd"/>
            <w:r w:rsidRPr="003C7CB1">
              <w:rPr>
                <w:rFonts w:ascii="Calibri" w:eastAsia="Calibri" w:hAnsi="Calibri" w:cs="Times New Roman"/>
              </w:rPr>
              <w:t xml:space="preserve"> and Jaz).</w:t>
            </w:r>
          </w:p>
          <w:p w14:paraId="18F961E3" w14:textId="6A5D864C" w:rsidR="00B16AD6" w:rsidRPr="003C7CB1" w:rsidRDefault="00F45D04" w:rsidP="00F45D04">
            <w:pPr>
              <w:numPr>
                <w:ilvl w:val="0"/>
                <w:numId w:val="32"/>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Continue activities aimed at tourist valorization of the started investment projects Hotel "Crystal Riviera" in </w:t>
            </w:r>
            <w:proofErr w:type="spellStart"/>
            <w:r w:rsidRPr="003C7CB1">
              <w:rPr>
                <w:rFonts w:ascii="Calibri" w:eastAsia="Calibri" w:hAnsi="Calibri" w:cs="Times New Roman"/>
              </w:rPr>
              <w:t>Petrovac</w:t>
            </w:r>
            <w:proofErr w:type="spellEnd"/>
            <w:r w:rsidRPr="003C7CB1">
              <w:rPr>
                <w:rFonts w:ascii="Calibri" w:eastAsia="Calibri" w:hAnsi="Calibri" w:cs="Times New Roman"/>
              </w:rPr>
              <w:t xml:space="preserve"> and Hotel "As" in </w:t>
            </w:r>
            <w:proofErr w:type="spellStart"/>
            <w:r w:rsidRPr="003C7CB1">
              <w:rPr>
                <w:rFonts w:ascii="Calibri" w:eastAsia="Calibri" w:hAnsi="Calibri" w:cs="Times New Roman"/>
              </w:rPr>
              <w:t>Perazića</w:t>
            </w:r>
            <w:proofErr w:type="spellEnd"/>
            <w:r w:rsidRPr="003C7CB1">
              <w:rPr>
                <w:rFonts w:ascii="Calibri" w:eastAsia="Calibri" w:hAnsi="Calibri" w:cs="Times New Roman"/>
              </w:rPr>
              <w:t xml:space="preserve"> Do, as well as the location of the hotel "Queen's Beach" in </w:t>
            </w:r>
            <w:proofErr w:type="spellStart"/>
            <w:r w:rsidRPr="003C7CB1">
              <w:rPr>
                <w:rFonts w:ascii="Calibri" w:eastAsia="Calibri" w:hAnsi="Calibri" w:cs="Times New Roman"/>
              </w:rPr>
              <w:t>Miločer</w:t>
            </w:r>
            <w:proofErr w:type="spellEnd"/>
            <w:r w:rsidR="00B16AD6" w:rsidRPr="003C7CB1">
              <w:rPr>
                <w:rFonts w:ascii="Calibri" w:eastAsia="Calibri" w:hAnsi="Calibri" w:cs="Times New Roman"/>
              </w:rPr>
              <w:t>.</w:t>
            </w:r>
          </w:p>
          <w:p w14:paraId="5ACDF55C" w14:textId="77777777" w:rsidR="00521DED" w:rsidRPr="003C7CB1" w:rsidRDefault="00521DED" w:rsidP="00521DED">
            <w:pPr>
              <w:spacing w:after="120" w:line="240" w:lineRule="auto"/>
              <w:ind w:left="360"/>
              <w:contextualSpacing/>
              <w:jc w:val="both"/>
              <w:rPr>
                <w:rFonts w:ascii="Calibri" w:eastAsia="Calibri" w:hAnsi="Calibri" w:cs="Times New Roman"/>
              </w:rPr>
            </w:pPr>
          </w:p>
          <w:p w14:paraId="322CFED5" w14:textId="05CECCD2" w:rsidR="00B16AD6" w:rsidRPr="003C7CB1" w:rsidRDefault="00F45D04" w:rsidP="00CD5021">
            <w:pPr>
              <w:spacing w:after="120" w:line="240" w:lineRule="auto"/>
              <w:jc w:val="both"/>
              <w:rPr>
                <w:rFonts w:ascii="Calibri" w:eastAsia="Calibri" w:hAnsi="Calibri" w:cs="Times New Roman"/>
                <w:b/>
                <w:bCs/>
                <w:u w:val="single"/>
              </w:rPr>
            </w:pPr>
            <w:r w:rsidRPr="003C7CB1">
              <w:rPr>
                <w:rFonts w:ascii="Calibri" w:eastAsia="Calibri" w:hAnsi="Calibri" w:cs="Times New Roman"/>
                <w:b/>
                <w:bCs/>
                <w:u w:val="single"/>
              </w:rPr>
              <w:t>Standardization and unification of facilities</w:t>
            </w:r>
          </w:p>
          <w:p w14:paraId="630D5A0C" w14:textId="3BAF964F" w:rsidR="00F45D04" w:rsidRPr="003C7CB1" w:rsidRDefault="00F45D04" w:rsidP="00F45D04">
            <w:pPr>
              <w:spacing w:after="120" w:line="240" w:lineRule="auto"/>
              <w:jc w:val="both"/>
              <w:rPr>
                <w:rFonts w:ascii="Calibri" w:eastAsia="Calibri" w:hAnsi="Calibri" w:cs="Times New Roman"/>
              </w:rPr>
            </w:pPr>
            <w:r w:rsidRPr="003C7CB1">
              <w:rPr>
                <w:rFonts w:ascii="Calibri" w:eastAsia="Calibri" w:hAnsi="Calibri" w:cs="Times New Roman"/>
              </w:rPr>
              <w:t xml:space="preserve">In order to create the image of the municipality of </w:t>
            </w:r>
            <w:proofErr w:type="spellStart"/>
            <w:r w:rsidRPr="003C7CB1">
              <w:rPr>
                <w:rFonts w:ascii="Calibri" w:eastAsia="Calibri" w:hAnsi="Calibri" w:cs="Times New Roman"/>
              </w:rPr>
              <w:t>Budva</w:t>
            </w:r>
            <w:proofErr w:type="spellEnd"/>
            <w:r w:rsidRPr="003C7CB1">
              <w:rPr>
                <w:rFonts w:ascii="Calibri" w:eastAsia="Calibri" w:hAnsi="Calibri" w:cs="Times New Roman"/>
              </w:rPr>
              <w:t>, and through defined programs of private-public partnership (</w:t>
            </w:r>
            <w:r w:rsidR="00861D69" w:rsidRPr="003C7CB1">
              <w:rPr>
                <w:rFonts w:ascii="Calibri" w:eastAsia="Calibri" w:hAnsi="Calibri" w:cs="Times New Roman"/>
              </w:rPr>
              <w:t>e.g.</w:t>
            </w:r>
            <w:r w:rsidRPr="003C7CB1">
              <w:rPr>
                <w:rFonts w:ascii="Calibri" w:eastAsia="Calibri" w:hAnsi="Calibri" w:cs="Times New Roman"/>
              </w:rPr>
              <w:t xml:space="preserve"> "new face of the city") it is necessary to refresh the facades of facilities in urban areas, standardize solutions through the use of materials and colors that are aesthetically acceptable, neutral and </w:t>
            </w:r>
            <w:r w:rsidR="006B2751">
              <w:rPr>
                <w:rFonts w:ascii="Calibri" w:eastAsia="Calibri" w:hAnsi="Calibri" w:cs="Times New Roman"/>
              </w:rPr>
              <w:t>that fit in</w:t>
            </w:r>
            <w:r w:rsidRPr="003C7CB1">
              <w:rPr>
                <w:rFonts w:ascii="Calibri" w:eastAsia="Calibri" w:hAnsi="Calibri" w:cs="Times New Roman"/>
              </w:rPr>
              <w:t xml:space="preserve"> with the environment.</w:t>
            </w:r>
          </w:p>
          <w:p w14:paraId="3D1464AA" w14:textId="2365CECF" w:rsidR="00B16AD6" w:rsidRPr="003C7CB1" w:rsidRDefault="00F45D04" w:rsidP="00F45D04">
            <w:pPr>
              <w:spacing w:after="120" w:line="240" w:lineRule="auto"/>
              <w:jc w:val="both"/>
              <w:rPr>
                <w:rFonts w:ascii="Calibri" w:eastAsia="Calibri" w:hAnsi="Calibri" w:cs="Times New Roman"/>
              </w:rPr>
            </w:pPr>
            <w:r w:rsidRPr="003C7CB1">
              <w:rPr>
                <w:rFonts w:ascii="Calibri" w:eastAsia="Calibri" w:hAnsi="Calibri" w:cs="Times New Roman"/>
              </w:rPr>
              <w:t>Work on the harmonization of new and reconstructed buildings, respecting the standards defined by the plan, which refer to well-thought-out architecture of urban structures, which skillfully combines local tradition with elements of modern architecture. The buildings should be built in the Mediterranean style, combining exceptional aesthetics and functionality in order to achieve complete unification of interior design and exterior space</w:t>
            </w:r>
            <w:r w:rsidR="00B16AD6" w:rsidRPr="003C7CB1">
              <w:rPr>
                <w:rFonts w:ascii="Calibri" w:eastAsia="Calibri" w:hAnsi="Calibri" w:cs="Times New Roman"/>
              </w:rPr>
              <w:t xml:space="preserve">. </w:t>
            </w:r>
          </w:p>
          <w:p w14:paraId="0A2AE938" w14:textId="77777777" w:rsidR="00F45D04" w:rsidRPr="003C7CB1" w:rsidRDefault="00F45D04" w:rsidP="00F45D04">
            <w:pPr>
              <w:spacing w:after="120" w:line="240" w:lineRule="auto"/>
              <w:jc w:val="both"/>
              <w:rPr>
                <w:rFonts w:ascii="Calibri" w:eastAsia="Calibri" w:hAnsi="Calibri" w:cs="Times New Roman"/>
              </w:rPr>
            </w:pPr>
            <w:r w:rsidRPr="003C7CB1">
              <w:rPr>
                <w:rFonts w:ascii="Calibri" w:eastAsia="Calibri" w:hAnsi="Calibri" w:cs="Times New Roman"/>
              </w:rPr>
              <w:lastRenderedPageBreak/>
              <w:t>At the level of local self-governments, it is necessary to target the oldest buildings that have cultural and historical value, as well as buildings in which important historical figures lived or stayed, and to protect, revitalize and valorize them.</w:t>
            </w:r>
          </w:p>
          <w:p w14:paraId="47246229" w14:textId="14514004" w:rsidR="00B16AD6" w:rsidRPr="003C7CB1" w:rsidRDefault="00F45D04" w:rsidP="00F45D04">
            <w:pPr>
              <w:spacing w:after="120" w:line="240" w:lineRule="auto"/>
              <w:jc w:val="both"/>
              <w:rPr>
                <w:rFonts w:ascii="Calibri" w:eastAsia="Calibri" w:hAnsi="Calibri" w:cs="Times New Roman"/>
              </w:rPr>
            </w:pPr>
            <w:r w:rsidRPr="003C7CB1">
              <w:rPr>
                <w:rFonts w:ascii="Calibri" w:eastAsia="Calibri" w:hAnsi="Calibri" w:cs="Times New Roman"/>
              </w:rPr>
              <w:t xml:space="preserve">Create project activities at the local level, through various support programs formulated by the local tourism organization, in order to connect tourism and agriculture, small business and entrepreneurship. The development of rural tourism in the hinterland of the urban </w:t>
            </w:r>
            <w:r w:rsidR="00E34325" w:rsidRPr="003C7CB1">
              <w:rPr>
                <w:rFonts w:ascii="Calibri" w:eastAsia="Calibri" w:hAnsi="Calibri" w:cs="Times New Roman"/>
              </w:rPr>
              <w:t>complex</w:t>
            </w:r>
            <w:r w:rsidRPr="003C7CB1">
              <w:rPr>
                <w:rFonts w:ascii="Calibri" w:eastAsia="Calibri" w:hAnsi="Calibri" w:cs="Times New Roman"/>
              </w:rPr>
              <w:t xml:space="preserve"> of </w:t>
            </w:r>
            <w:proofErr w:type="spellStart"/>
            <w:r w:rsidRPr="003C7CB1">
              <w:rPr>
                <w:rFonts w:ascii="Calibri" w:eastAsia="Calibri" w:hAnsi="Calibri" w:cs="Times New Roman"/>
              </w:rPr>
              <w:t>Budva</w:t>
            </w:r>
            <w:proofErr w:type="spellEnd"/>
            <w:r w:rsidRPr="003C7CB1">
              <w:rPr>
                <w:rFonts w:ascii="Calibri" w:eastAsia="Calibri" w:hAnsi="Calibri" w:cs="Times New Roman"/>
              </w:rPr>
              <w:t xml:space="preserve"> needs to be strongly supported by the competent authorities at the state and local level</w:t>
            </w:r>
            <w:r w:rsidR="00B16AD6" w:rsidRPr="003C7CB1">
              <w:rPr>
                <w:rFonts w:ascii="Calibri" w:eastAsia="Calibri" w:hAnsi="Calibri" w:cs="Times New Roman"/>
              </w:rPr>
              <w:t xml:space="preserve">. </w:t>
            </w:r>
          </w:p>
          <w:p w14:paraId="59D6AC10" w14:textId="63956BE3" w:rsidR="00B16AD6" w:rsidRPr="003C7CB1" w:rsidRDefault="00E34325"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Hotel standards</w:t>
            </w:r>
          </w:p>
          <w:p w14:paraId="68090627" w14:textId="1B3A3BFE" w:rsidR="00E34325" w:rsidRPr="003C7CB1" w:rsidRDefault="00E34325" w:rsidP="00E34325">
            <w:pPr>
              <w:spacing w:after="120" w:line="240" w:lineRule="auto"/>
              <w:jc w:val="both"/>
              <w:rPr>
                <w:rFonts w:ascii="Calibri" w:eastAsia="Calibri" w:hAnsi="Calibri" w:cs="Times New Roman"/>
              </w:rPr>
            </w:pPr>
            <w:r w:rsidRPr="003C7CB1">
              <w:rPr>
                <w:rFonts w:ascii="Calibri" w:eastAsia="Calibri" w:hAnsi="Calibri" w:cs="Times New Roman"/>
              </w:rPr>
              <w:t xml:space="preserve">In the first line to the sea, it is necessary to strive for a </w:t>
            </w:r>
            <w:r w:rsidR="006B2751">
              <w:rPr>
                <w:rFonts w:ascii="Calibri" w:eastAsia="Calibri" w:hAnsi="Calibri" w:cs="Times New Roman"/>
              </w:rPr>
              <w:t xml:space="preserve">4 and 5-star </w:t>
            </w:r>
            <w:r w:rsidRPr="003C7CB1">
              <w:rPr>
                <w:rFonts w:ascii="Calibri" w:eastAsia="Calibri" w:hAnsi="Calibri" w:cs="Times New Roman"/>
              </w:rPr>
              <w:t>hotel offer, with various additional facilities;</w:t>
            </w:r>
          </w:p>
          <w:p w14:paraId="3D3DE52D" w14:textId="6EF67950" w:rsidR="00E34325" w:rsidRPr="003C7CB1" w:rsidRDefault="006B2751" w:rsidP="00E34325">
            <w:pPr>
              <w:spacing w:after="120" w:line="240" w:lineRule="auto"/>
              <w:jc w:val="both"/>
              <w:rPr>
                <w:rFonts w:ascii="Calibri" w:eastAsia="Calibri" w:hAnsi="Calibri" w:cs="Times New Roman"/>
              </w:rPr>
            </w:pPr>
            <w:r>
              <w:rPr>
                <w:rFonts w:ascii="Calibri" w:eastAsia="Calibri" w:hAnsi="Calibri" w:cs="Times New Roman"/>
              </w:rPr>
              <w:t>In the hinterland zone, it is necessary to have a 3-5-star</w:t>
            </w:r>
            <w:r w:rsidR="00E34325" w:rsidRPr="003C7CB1">
              <w:rPr>
                <w:rFonts w:ascii="Calibri" w:eastAsia="Calibri" w:hAnsi="Calibri" w:cs="Times New Roman"/>
              </w:rPr>
              <w:t xml:space="preserve"> hotel offer, which will be open all year round. For new hotels, especially in the part outside the urban matrix of the city, during the construction of hotels it is necessary to respect the criterion to provide 100 m2 of green space for one accommodation unit;</w:t>
            </w:r>
          </w:p>
          <w:p w14:paraId="448DEB96" w14:textId="0A8DD57A" w:rsidR="00B16AD6" w:rsidRPr="003C7CB1" w:rsidRDefault="00E34325" w:rsidP="00E34325">
            <w:pPr>
              <w:spacing w:after="120" w:line="240" w:lineRule="auto"/>
              <w:jc w:val="both"/>
              <w:rPr>
                <w:rFonts w:ascii="Calibri" w:eastAsia="Calibri" w:hAnsi="Calibri" w:cs="Times New Roman"/>
              </w:rPr>
            </w:pPr>
            <w:r w:rsidRPr="003C7CB1">
              <w:rPr>
                <w:rFonts w:ascii="Calibri" w:eastAsia="Calibri" w:hAnsi="Calibri" w:cs="Times New Roman"/>
              </w:rPr>
              <w:t>It is necessary to work on increasing the standards of existing accommodation capacities and improving the quality of service in the tourism sector</w:t>
            </w:r>
            <w:r w:rsidR="00B16AD6" w:rsidRPr="003C7CB1">
              <w:rPr>
                <w:rFonts w:ascii="Calibri" w:eastAsia="Calibri" w:hAnsi="Calibri" w:cs="Times New Roman"/>
              </w:rPr>
              <w:t>.</w:t>
            </w:r>
          </w:p>
          <w:p w14:paraId="3BA7DB1B" w14:textId="77777777" w:rsidR="00694EA6" w:rsidRPr="003C7CB1" w:rsidRDefault="00694EA6" w:rsidP="00CD5021">
            <w:pPr>
              <w:spacing w:after="120" w:line="240" w:lineRule="auto"/>
              <w:jc w:val="both"/>
              <w:rPr>
                <w:rFonts w:ascii="Calibri" w:eastAsia="Calibri" w:hAnsi="Calibri" w:cs="Times New Roman"/>
              </w:rPr>
            </w:pPr>
          </w:p>
          <w:p w14:paraId="1393B163" w14:textId="06473348" w:rsidR="00B16AD6" w:rsidRPr="003C7CB1" w:rsidRDefault="00E34325" w:rsidP="00CD5021">
            <w:pPr>
              <w:spacing w:after="120" w:line="240" w:lineRule="auto"/>
              <w:jc w:val="both"/>
              <w:rPr>
                <w:rFonts w:ascii="Calibri" w:eastAsia="Calibri" w:hAnsi="Calibri" w:cs="Calibri"/>
                <w:bCs/>
                <w:lang w:eastAsia="hr-HR"/>
              </w:rPr>
            </w:pPr>
            <w:r w:rsidRPr="003C7CB1">
              <w:rPr>
                <w:rFonts w:ascii="Calibri" w:eastAsia="Calibri" w:hAnsi="Calibri" w:cs="Times New Roman"/>
                <w:b/>
                <w:u w:val="single"/>
              </w:rPr>
              <w:t>Infrastructure</w:t>
            </w:r>
            <w:r w:rsidR="00B16AD6" w:rsidRPr="003C7CB1">
              <w:rPr>
                <w:rFonts w:ascii="Calibri" w:eastAsia="Calibri" w:hAnsi="Calibri" w:cs="Calibri"/>
                <w:bCs/>
                <w:lang w:eastAsia="hr-HR"/>
              </w:rPr>
              <w:t xml:space="preserve"> </w:t>
            </w:r>
          </w:p>
          <w:p w14:paraId="2408D8EA" w14:textId="3243B895" w:rsidR="00B16AD6" w:rsidRPr="003C7CB1" w:rsidRDefault="00E34325" w:rsidP="00CD5021">
            <w:pPr>
              <w:spacing w:after="120" w:line="240" w:lineRule="auto"/>
              <w:jc w:val="both"/>
              <w:rPr>
                <w:rFonts w:ascii="Calibri" w:eastAsia="Calibri" w:hAnsi="Calibri" w:cs="Calibri"/>
                <w:bCs/>
                <w:lang w:eastAsia="hr-HR"/>
              </w:rPr>
            </w:pPr>
            <w:r w:rsidRPr="003C7CB1">
              <w:rPr>
                <w:rFonts w:ascii="Calibri" w:eastAsia="Calibri" w:hAnsi="Calibri" w:cs="Calibri"/>
                <w:bCs/>
                <w:lang w:eastAsia="hr-HR"/>
              </w:rPr>
              <w:t>It is necessary to implement activities on</w:t>
            </w:r>
            <w:r w:rsidR="00B16AD6" w:rsidRPr="003C7CB1">
              <w:rPr>
                <w:rFonts w:ascii="Calibri" w:eastAsia="Calibri" w:hAnsi="Calibri" w:cs="Calibri"/>
                <w:bCs/>
                <w:lang w:eastAsia="hr-HR"/>
              </w:rPr>
              <w:t>:</w:t>
            </w:r>
          </w:p>
          <w:p w14:paraId="276B7DA1" w14:textId="5F87AE74" w:rsidR="00E34325" w:rsidRPr="003C7CB1" w:rsidRDefault="00E34325" w:rsidP="00E34325">
            <w:pPr>
              <w:pStyle w:val="ListParagraph"/>
              <w:numPr>
                <w:ilvl w:val="0"/>
                <w:numId w:val="49"/>
              </w:numPr>
              <w:spacing w:after="120" w:line="240" w:lineRule="auto"/>
              <w:jc w:val="both"/>
              <w:rPr>
                <w:rFonts w:ascii="Calibri" w:eastAsia="Calibri" w:hAnsi="Calibri" w:cs="Calibri"/>
                <w:bCs/>
                <w:lang w:eastAsia="hr-HR"/>
              </w:rPr>
            </w:pPr>
            <w:r w:rsidRPr="003C7CB1">
              <w:rPr>
                <w:rFonts w:ascii="Calibri" w:eastAsia="Calibri" w:hAnsi="Calibri" w:cs="Calibri"/>
                <w:bCs/>
                <w:lang w:eastAsia="hr-HR"/>
              </w:rPr>
              <w:t>Improvement of existing and construction of missing communal infrastructure;</w:t>
            </w:r>
          </w:p>
          <w:p w14:paraId="61BF5936" w14:textId="6A591C75" w:rsidR="00E34325" w:rsidRPr="003C7CB1" w:rsidRDefault="00E34325" w:rsidP="00E34325">
            <w:pPr>
              <w:pStyle w:val="ListParagraph"/>
              <w:numPr>
                <w:ilvl w:val="0"/>
                <w:numId w:val="49"/>
              </w:numPr>
              <w:spacing w:after="120" w:line="240" w:lineRule="auto"/>
              <w:jc w:val="both"/>
              <w:rPr>
                <w:rFonts w:ascii="Calibri" w:eastAsia="Calibri" w:hAnsi="Calibri" w:cs="Calibri"/>
                <w:bCs/>
                <w:lang w:eastAsia="hr-HR"/>
              </w:rPr>
            </w:pPr>
            <w:r w:rsidRPr="003C7CB1">
              <w:rPr>
                <w:rFonts w:ascii="Calibri" w:eastAsia="Calibri" w:hAnsi="Calibri" w:cs="Calibri"/>
                <w:bCs/>
                <w:lang w:eastAsia="hr-HR"/>
              </w:rPr>
              <w:t xml:space="preserve">Protection of the environment, which has been particularly damaged in the past period due to excessive construction activities, poor application, </w:t>
            </w:r>
            <w:r w:rsidR="00861D69" w:rsidRPr="003C7CB1">
              <w:rPr>
                <w:rFonts w:ascii="Calibri" w:eastAsia="Calibri" w:hAnsi="Calibri" w:cs="Calibri"/>
                <w:bCs/>
                <w:lang w:eastAsia="hr-HR"/>
              </w:rPr>
              <w:t>i.e.</w:t>
            </w:r>
            <w:r w:rsidRPr="003C7CB1">
              <w:rPr>
                <w:rFonts w:ascii="Calibri" w:eastAsia="Calibri" w:hAnsi="Calibri" w:cs="Calibri"/>
                <w:bCs/>
                <w:lang w:eastAsia="hr-HR"/>
              </w:rPr>
              <w:t xml:space="preserve"> implementation of urban plans, lack of planning documentation, non-compliance with special criteria for environmental protection in planning, as well as due to unplanned use of space and occupation of construction land;</w:t>
            </w:r>
          </w:p>
          <w:p w14:paraId="69DB0A80" w14:textId="73D6AD5F" w:rsidR="00B16AD6" w:rsidRPr="003C7CB1" w:rsidRDefault="00E34325" w:rsidP="00E34325">
            <w:pPr>
              <w:pStyle w:val="ListParagraph"/>
              <w:numPr>
                <w:ilvl w:val="0"/>
                <w:numId w:val="49"/>
              </w:numPr>
              <w:spacing w:after="120" w:line="240" w:lineRule="auto"/>
              <w:jc w:val="both"/>
              <w:rPr>
                <w:rFonts w:ascii="Calibri" w:eastAsia="Calibri" w:hAnsi="Calibri" w:cs="Times New Roman"/>
                <w:b/>
                <w:u w:val="single"/>
              </w:rPr>
            </w:pPr>
            <w:r w:rsidRPr="003C7CB1">
              <w:rPr>
                <w:rFonts w:ascii="Calibri" w:eastAsia="Calibri" w:hAnsi="Calibri" w:cs="Calibri"/>
                <w:bCs/>
                <w:lang w:eastAsia="hr-HR"/>
              </w:rPr>
              <w:t>Improvement of existing and construction of missing traffic network, especially secondary road network with suppression of usurpation of public and private property through construction of temporary facilities</w:t>
            </w:r>
            <w:r w:rsidR="00A7653B" w:rsidRPr="003C7CB1">
              <w:rPr>
                <w:rFonts w:ascii="Calibri" w:eastAsia="Calibri" w:hAnsi="Calibri" w:cs="Times New Roman"/>
              </w:rPr>
              <w:t>.</w:t>
            </w:r>
          </w:p>
        </w:tc>
      </w:tr>
    </w:tbl>
    <w:p w14:paraId="61F11175" w14:textId="77777777" w:rsidR="00CD5021" w:rsidRPr="003C7CB1" w:rsidRDefault="00CD5021" w:rsidP="00CD5021">
      <w:pPr>
        <w:pStyle w:val="Heading2"/>
        <w:spacing w:before="0" w:after="120" w:line="240" w:lineRule="auto"/>
        <w:rPr>
          <w:rFonts w:eastAsia="Times New Roman"/>
          <w:lang w:eastAsia="hr-HR"/>
        </w:rPr>
      </w:pPr>
      <w:bookmarkStart w:id="259" w:name="_Toc88082172"/>
      <w:bookmarkStart w:id="260" w:name="_Toc91286739"/>
    </w:p>
    <w:p w14:paraId="307CA68D" w14:textId="695E7918" w:rsidR="00565ABF" w:rsidRPr="003C7CB1" w:rsidRDefault="00B16AD6" w:rsidP="00BC6AAE">
      <w:pPr>
        <w:pStyle w:val="Heading2"/>
        <w:spacing w:before="0" w:after="120" w:line="240" w:lineRule="auto"/>
        <w:rPr>
          <w:rFonts w:eastAsia="Times New Roman"/>
          <w:sz w:val="26"/>
          <w:lang w:eastAsia="hr-HR"/>
        </w:rPr>
      </w:pPr>
      <w:bookmarkStart w:id="261" w:name="_Toc95303058"/>
      <w:bookmarkStart w:id="262" w:name="_Toc104544218"/>
      <w:r w:rsidRPr="003C7CB1">
        <w:rPr>
          <w:rFonts w:eastAsia="Times New Roman"/>
          <w:sz w:val="26"/>
          <w:lang w:eastAsia="hr-HR"/>
        </w:rPr>
        <w:t>1</w:t>
      </w:r>
      <w:r w:rsidR="00E729DA" w:rsidRPr="003C7CB1">
        <w:rPr>
          <w:rFonts w:eastAsia="Times New Roman"/>
          <w:sz w:val="26"/>
          <w:lang w:eastAsia="hr-HR"/>
        </w:rPr>
        <w:t>5</w:t>
      </w:r>
      <w:r w:rsidRPr="003C7CB1">
        <w:rPr>
          <w:rFonts w:eastAsia="Times New Roman"/>
          <w:sz w:val="26"/>
          <w:lang w:eastAsia="hr-HR"/>
        </w:rPr>
        <w:t xml:space="preserve">.4. </w:t>
      </w:r>
      <w:bookmarkEnd w:id="259"/>
      <w:bookmarkEnd w:id="260"/>
      <w:bookmarkEnd w:id="261"/>
      <w:r w:rsidR="00EB6E87" w:rsidRPr="003C7CB1">
        <w:rPr>
          <w:rFonts w:eastAsia="Times New Roman"/>
          <w:sz w:val="26"/>
          <w:lang w:eastAsia="hr-HR"/>
        </w:rPr>
        <w:t>TOURIST CLUSTER 4 - Bay of Kotor</w:t>
      </w:r>
      <w:bookmarkEnd w:id="262"/>
    </w:p>
    <w:tbl>
      <w:tblPr>
        <w:tblStyle w:val="TableGrid4"/>
        <w:tblW w:w="0" w:type="auto"/>
        <w:tblLook w:val="04A0" w:firstRow="1" w:lastRow="0" w:firstColumn="1" w:lastColumn="0" w:noHBand="0" w:noVBand="1"/>
      </w:tblPr>
      <w:tblGrid>
        <w:gridCol w:w="9629"/>
      </w:tblGrid>
      <w:tr w:rsidR="00B16AD6" w:rsidRPr="003C7CB1" w14:paraId="1F3C0431" w14:textId="77777777" w:rsidTr="00BC6AAE">
        <w:tc>
          <w:tcPr>
            <w:tcW w:w="9629" w:type="dxa"/>
          </w:tcPr>
          <w:tbl>
            <w:tblPr>
              <w:tblStyle w:val="TableGrid4"/>
              <w:tblW w:w="9492" w:type="dxa"/>
              <w:tblLook w:val="04A0" w:firstRow="1" w:lastRow="0" w:firstColumn="1" w:lastColumn="0" w:noHBand="0" w:noVBand="1"/>
            </w:tblPr>
            <w:tblGrid>
              <w:gridCol w:w="9492"/>
            </w:tblGrid>
            <w:tr w:rsidR="00565ABF" w:rsidRPr="003C7CB1" w14:paraId="4D790B0B" w14:textId="77777777" w:rsidTr="00BC6AAE">
              <w:trPr>
                <w:trHeight w:val="487"/>
              </w:trPr>
              <w:tc>
                <w:tcPr>
                  <w:tcW w:w="9492" w:type="dxa"/>
                  <w:shd w:val="clear" w:color="auto" w:fill="B4C6E7" w:themeFill="accent1" w:themeFillTint="66"/>
                </w:tcPr>
                <w:p w14:paraId="0B7CCAB4" w14:textId="11F84BE7" w:rsidR="00565ABF" w:rsidRPr="003C7CB1" w:rsidRDefault="00EB6E87" w:rsidP="00565ABF">
                  <w:pPr>
                    <w:spacing w:after="120" w:line="240" w:lineRule="auto"/>
                    <w:jc w:val="center"/>
                    <w:rPr>
                      <w:rFonts w:ascii="Calibri" w:eastAsia="Calibri" w:hAnsi="Calibri" w:cs="Calibri"/>
                      <w:b/>
                      <w:color w:val="000000"/>
                      <w:lang w:eastAsia="hr-HR"/>
                    </w:rPr>
                  </w:pPr>
                  <w:r w:rsidRPr="003C7CB1">
                    <w:rPr>
                      <w:rFonts w:ascii="Calibri" w:eastAsia="Calibri" w:hAnsi="Calibri" w:cs="Calibri"/>
                      <w:b/>
                      <w:color w:val="1F3864" w:themeColor="accent1" w:themeShade="80"/>
                      <w:lang w:eastAsia="hr-HR"/>
                    </w:rPr>
                    <w:t>CHARACTERISTICS</w:t>
                  </w:r>
                </w:p>
              </w:tc>
            </w:tr>
          </w:tbl>
          <w:p w14:paraId="5FADEAA3" w14:textId="7FB2835A" w:rsidR="00B16AD6" w:rsidRPr="003C7CB1" w:rsidRDefault="00E720EB" w:rsidP="00CD5021">
            <w:pPr>
              <w:shd w:val="clear" w:color="auto" w:fill="FFFFFF"/>
              <w:spacing w:after="120" w:line="240" w:lineRule="auto"/>
              <w:jc w:val="both"/>
              <w:textAlignment w:val="baseline"/>
              <w:rPr>
                <w:rFonts w:ascii="Calibri" w:eastAsia="Calibri" w:hAnsi="Calibri" w:cs="Calibri"/>
                <w:shd w:val="clear" w:color="auto" w:fill="FEFEFE"/>
              </w:rPr>
            </w:pPr>
            <w:r w:rsidRPr="003C7CB1">
              <w:rPr>
                <w:rFonts w:ascii="Calibri" w:eastAsia="Calibri" w:hAnsi="Calibri" w:cs="Calibri"/>
                <w:b/>
                <w:shd w:val="clear" w:color="auto" w:fill="FEFEFE"/>
              </w:rPr>
              <w:t xml:space="preserve">The Bay of Kotor </w:t>
            </w:r>
            <w:r w:rsidRPr="003C7CB1">
              <w:rPr>
                <w:rFonts w:ascii="Calibri" w:eastAsia="Calibri" w:hAnsi="Calibri" w:cs="Calibri"/>
                <w:shd w:val="clear" w:color="auto" w:fill="FEFEFE"/>
              </w:rPr>
              <w:t xml:space="preserve">is the largest bay in the Adriatic Sea and includes the area of Kotor, Herceg Novi and </w:t>
            </w:r>
            <w:proofErr w:type="spellStart"/>
            <w:r w:rsidRPr="003C7CB1">
              <w:rPr>
                <w:rFonts w:ascii="Calibri" w:eastAsia="Calibri" w:hAnsi="Calibri" w:cs="Calibri"/>
                <w:shd w:val="clear" w:color="auto" w:fill="FEFEFE"/>
              </w:rPr>
              <w:t>Tivat</w:t>
            </w:r>
            <w:proofErr w:type="spellEnd"/>
            <w:r w:rsidRPr="003C7CB1">
              <w:rPr>
                <w:rFonts w:ascii="Calibri" w:eastAsia="Calibri" w:hAnsi="Calibri" w:cs="Calibri"/>
                <w:shd w:val="clear" w:color="auto" w:fill="FEFEFE"/>
              </w:rPr>
              <w:t xml:space="preserve">, but also the area of smaller settlements - </w:t>
            </w:r>
            <w:proofErr w:type="spellStart"/>
            <w:r w:rsidRPr="003C7CB1">
              <w:rPr>
                <w:rFonts w:ascii="Calibri" w:eastAsia="Calibri" w:hAnsi="Calibri" w:cs="Calibri"/>
                <w:shd w:val="clear" w:color="auto" w:fill="FEFEFE"/>
              </w:rPr>
              <w:t>Perast</w:t>
            </w:r>
            <w:proofErr w:type="spellEnd"/>
            <w:r w:rsidRPr="003C7CB1">
              <w:rPr>
                <w:rFonts w:ascii="Calibri" w:eastAsia="Calibri" w:hAnsi="Calibri" w:cs="Calibri"/>
                <w:shd w:val="clear" w:color="auto" w:fill="FEFEFE"/>
              </w:rPr>
              <w:t xml:space="preserve">, </w:t>
            </w:r>
            <w:proofErr w:type="spellStart"/>
            <w:r w:rsidRPr="003C7CB1">
              <w:rPr>
                <w:rFonts w:ascii="Calibri" w:eastAsia="Calibri" w:hAnsi="Calibri" w:cs="Calibri"/>
                <w:shd w:val="clear" w:color="auto" w:fill="FEFEFE"/>
              </w:rPr>
              <w:t>Igalo</w:t>
            </w:r>
            <w:proofErr w:type="spellEnd"/>
            <w:r w:rsidRPr="003C7CB1">
              <w:rPr>
                <w:rFonts w:ascii="Calibri" w:eastAsia="Calibri" w:hAnsi="Calibri" w:cs="Calibri"/>
                <w:shd w:val="clear" w:color="auto" w:fill="FEFEFE"/>
              </w:rPr>
              <w:t xml:space="preserve"> and </w:t>
            </w:r>
            <w:proofErr w:type="spellStart"/>
            <w:r w:rsidRPr="003C7CB1">
              <w:rPr>
                <w:rFonts w:ascii="Calibri" w:eastAsia="Calibri" w:hAnsi="Calibri" w:cs="Calibri"/>
                <w:shd w:val="clear" w:color="auto" w:fill="FEFEFE"/>
              </w:rPr>
              <w:t>Risan</w:t>
            </w:r>
            <w:proofErr w:type="spellEnd"/>
            <w:r w:rsidRPr="003C7CB1">
              <w:rPr>
                <w:rFonts w:ascii="Calibri" w:eastAsia="Calibri" w:hAnsi="Calibri" w:cs="Calibri"/>
                <w:shd w:val="clear" w:color="auto" w:fill="FEFEFE"/>
              </w:rPr>
              <w:t>. This is the southernmost fjord in Europe, and in recent years, projects of luxury tourist resorts have been implemented and started in it- Port</w:t>
            </w:r>
            <w:r w:rsidR="00861D69">
              <w:rPr>
                <w:rFonts w:ascii="Calibri" w:eastAsia="Calibri" w:hAnsi="Calibri" w:cs="Calibri"/>
                <w:shd w:val="clear" w:color="auto" w:fill="FEFEFE"/>
              </w:rPr>
              <w:t xml:space="preserve">o Montenegro, Porto Novi and </w:t>
            </w:r>
            <w:proofErr w:type="spellStart"/>
            <w:r w:rsidR="00861D69">
              <w:rPr>
                <w:rFonts w:ascii="Calibri" w:eastAsia="Calibri" w:hAnsi="Calibri" w:cs="Calibri"/>
                <w:shd w:val="clear" w:color="auto" w:fill="FEFEFE"/>
              </w:rPr>
              <w:t>Luš</w:t>
            </w:r>
            <w:r w:rsidRPr="003C7CB1">
              <w:rPr>
                <w:rFonts w:ascii="Calibri" w:eastAsia="Calibri" w:hAnsi="Calibri" w:cs="Calibri"/>
                <w:shd w:val="clear" w:color="auto" w:fill="FEFEFE"/>
              </w:rPr>
              <w:t>tica</w:t>
            </w:r>
            <w:proofErr w:type="spellEnd"/>
            <w:r w:rsidRPr="003C7CB1">
              <w:rPr>
                <w:rFonts w:ascii="Calibri" w:eastAsia="Calibri" w:hAnsi="Calibri" w:cs="Calibri"/>
                <w:shd w:val="clear" w:color="auto" w:fill="FEFEFE"/>
              </w:rPr>
              <w:t xml:space="preserve"> Bay, which make this part of our coast the most exclusive. With the mentioned investments, the Bay of Kotor also got marinas for luxury yachts, exclusive restaurants and retail chains, but also a rich clientele.</w:t>
            </w:r>
          </w:p>
          <w:p w14:paraId="2E0F65FA" w14:textId="52B5F000" w:rsidR="00B16AD6" w:rsidRPr="003C7CB1" w:rsidRDefault="00E720EB" w:rsidP="00CD5021">
            <w:pPr>
              <w:shd w:val="clear" w:color="auto" w:fill="FFFFFF"/>
              <w:spacing w:after="120" w:line="240" w:lineRule="auto"/>
              <w:jc w:val="both"/>
              <w:textAlignment w:val="baseline"/>
              <w:rPr>
                <w:rFonts w:ascii="Calibri" w:eastAsia="Calibri" w:hAnsi="Calibri" w:cs="Calibri"/>
                <w:shd w:val="clear" w:color="auto" w:fill="FEFEFE"/>
              </w:rPr>
            </w:pPr>
            <w:r w:rsidRPr="003C7CB1">
              <w:rPr>
                <w:rFonts w:ascii="Calibri" w:eastAsia="Calibri" w:hAnsi="Calibri" w:cs="Calibri"/>
                <w:shd w:val="clear" w:color="auto" w:fill="FEFEFE"/>
              </w:rPr>
              <w:t>This part of the coast also has cultural sights, and in Kotor, the Old Town stands out among them with a fortification above the town, which are on the UNESCO list of protected cultural heritage, religious buildings, etc. Kotor is internationally known as a cruising destination, but also a carnival city. Also, one of the recognized tourist attractions is the "</w:t>
            </w:r>
            <w:proofErr w:type="spellStart"/>
            <w:r w:rsidRPr="003C7CB1">
              <w:rPr>
                <w:rFonts w:ascii="Calibri" w:eastAsia="Calibri" w:hAnsi="Calibri" w:cs="Calibri"/>
                <w:shd w:val="clear" w:color="auto" w:fill="FEFEFE"/>
              </w:rPr>
              <w:t>Boka</w:t>
            </w:r>
            <w:proofErr w:type="spellEnd"/>
            <w:r w:rsidRPr="003C7CB1">
              <w:rPr>
                <w:rFonts w:ascii="Calibri" w:eastAsia="Calibri" w:hAnsi="Calibri" w:cs="Calibri"/>
                <w:shd w:val="clear" w:color="auto" w:fill="FEFEFE"/>
              </w:rPr>
              <w:t xml:space="preserve"> Aquarium", founded in 2020 and consisting of a public aquarium and a rescue center for sea turtles. </w:t>
            </w:r>
            <w:proofErr w:type="spellStart"/>
            <w:r w:rsidRPr="003C7CB1">
              <w:rPr>
                <w:rFonts w:ascii="Calibri" w:eastAsia="Calibri" w:hAnsi="Calibri" w:cs="Calibri"/>
                <w:shd w:val="clear" w:color="auto" w:fill="FEFEFE"/>
              </w:rPr>
              <w:t>Boka</w:t>
            </w:r>
            <w:proofErr w:type="spellEnd"/>
            <w:r w:rsidRPr="003C7CB1">
              <w:rPr>
                <w:rFonts w:ascii="Calibri" w:eastAsia="Calibri" w:hAnsi="Calibri" w:cs="Calibri"/>
                <w:shd w:val="clear" w:color="auto" w:fill="FEFEFE"/>
              </w:rPr>
              <w:t xml:space="preserve"> Aquarium is the only institution in Montenegro that combines research and education to promote and practice effective protection of marine animals</w:t>
            </w:r>
            <w:r w:rsidR="00B16AD6" w:rsidRPr="003C7CB1">
              <w:rPr>
                <w:rFonts w:ascii="Calibri" w:eastAsia="Calibri" w:hAnsi="Calibri" w:cs="Calibri"/>
                <w:shd w:val="clear" w:color="auto" w:fill="FEFEFE"/>
              </w:rPr>
              <w:t xml:space="preserve">. </w:t>
            </w:r>
          </w:p>
          <w:p w14:paraId="15E159D4" w14:textId="662C61A8" w:rsidR="00E720EB" w:rsidRPr="003C7CB1" w:rsidRDefault="00E720EB" w:rsidP="00E720EB">
            <w:pPr>
              <w:shd w:val="clear" w:color="auto" w:fill="FFFFFF"/>
              <w:spacing w:after="120" w:line="240" w:lineRule="auto"/>
              <w:jc w:val="both"/>
              <w:textAlignment w:val="baseline"/>
              <w:rPr>
                <w:rFonts w:ascii="Calibri" w:eastAsia="Calibri" w:hAnsi="Calibri" w:cs="Calibri"/>
                <w:shd w:val="clear" w:color="auto" w:fill="FEFEFE"/>
              </w:rPr>
            </w:pPr>
            <w:r w:rsidRPr="003C7CB1">
              <w:rPr>
                <w:rFonts w:ascii="Calibri" w:eastAsia="Calibri" w:hAnsi="Calibri" w:cs="Calibri"/>
                <w:shd w:val="clear" w:color="auto" w:fill="FEFEFE"/>
              </w:rPr>
              <w:lastRenderedPageBreak/>
              <w:t xml:space="preserve">In </w:t>
            </w:r>
            <w:r w:rsidRPr="003C7CB1">
              <w:rPr>
                <w:rFonts w:ascii="Calibri" w:eastAsia="Calibri" w:hAnsi="Calibri" w:cs="Calibri"/>
                <w:b/>
                <w:shd w:val="clear" w:color="auto" w:fill="FEFEFE"/>
              </w:rPr>
              <w:t>Herceg Novi</w:t>
            </w:r>
            <w:r w:rsidRPr="003C7CB1">
              <w:rPr>
                <w:rFonts w:ascii="Calibri" w:eastAsia="Calibri" w:hAnsi="Calibri" w:cs="Calibri"/>
                <w:shd w:val="clear" w:color="auto" w:fill="FEFEFE"/>
              </w:rPr>
              <w:t xml:space="preserve">, the most recognizable sights are the Citadel and the Clock Tower, Fortress </w:t>
            </w:r>
            <w:proofErr w:type="spellStart"/>
            <w:r w:rsidRPr="003C7CB1">
              <w:rPr>
                <w:rFonts w:ascii="Calibri" w:eastAsia="Calibri" w:hAnsi="Calibri" w:cs="Calibri"/>
                <w:shd w:val="clear" w:color="auto" w:fill="FEFEFE"/>
              </w:rPr>
              <w:t>Spanjola</w:t>
            </w:r>
            <w:proofErr w:type="spellEnd"/>
            <w:r w:rsidRPr="003C7CB1">
              <w:rPr>
                <w:rFonts w:ascii="Calibri" w:eastAsia="Calibri" w:hAnsi="Calibri" w:cs="Calibri"/>
                <w:shd w:val="clear" w:color="auto" w:fill="FEFEFE"/>
              </w:rPr>
              <w:t xml:space="preserve"> and Forte Mare, the </w:t>
            </w:r>
            <w:proofErr w:type="spellStart"/>
            <w:r w:rsidRPr="003C7CB1">
              <w:rPr>
                <w:rFonts w:ascii="Calibri" w:eastAsia="Calibri" w:hAnsi="Calibri" w:cs="Calibri"/>
                <w:shd w:val="clear" w:color="auto" w:fill="FEFEFE"/>
              </w:rPr>
              <w:t>Kanli</w:t>
            </w:r>
            <w:proofErr w:type="spellEnd"/>
            <w:r w:rsidRPr="003C7CB1">
              <w:rPr>
                <w:rFonts w:ascii="Calibri" w:eastAsia="Calibri" w:hAnsi="Calibri" w:cs="Calibri"/>
                <w:shd w:val="clear" w:color="auto" w:fill="FEFEFE"/>
              </w:rPr>
              <w:t xml:space="preserve"> Kula Fortress, museums, the </w:t>
            </w:r>
            <w:proofErr w:type="spellStart"/>
            <w:r w:rsidRPr="003C7CB1">
              <w:rPr>
                <w:rFonts w:ascii="Calibri" w:eastAsia="Calibri" w:hAnsi="Calibri" w:cs="Calibri"/>
                <w:shd w:val="clear" w:color="auto" w:fill="FEFEFE"/>
              </w:rPr>
              <w:t>Vrbanj</w:t>
            </w:r>
            <w:proofErr w:type="spellEnd"/>
            <w:r w:rsidRPr="003C7CB1">
              <w:rPr>
                <w:rFonts w:ascii="Calibri" w:eastAsia="Calibri" w:hAnsi="Calibri" w:cs="Calibri"/>
                <w:shd w:val="clear" w:color="auto" w:fill="FEFEFE"/>
              </w:rPr>
              <w:t xml:space="preserve"> Adventure Park, but also the </w:t>
            </w:r>
            <w:proofErr w:type="spellStart"/>
            <w:r w:rsidRPr="003C7CB1">
              <w:rPr>
                <w:rFonts w:ascii="Calibri" w:eastAsia="Calibri" w:hAnsi="Calibri" w:cs="Calibri"/>
                <w:shd w:val="clear" w:color="auto" w:fill="FEFEFE"/>
              </w:rPr>
              <w:t>Orjen</w:t>
            </w:r>
            <w:proofErr w:type="spellEnd"/>
            <w:r w:rsidRPr="003C7CB1">
              <w:rPr>
                <w:rFonts w:ascii="Calibri" w:eastAsia="Calibri" w:hAnsi="Calibri" w:cs="Calibri"/>
                <w:shd w:val="clear" w:color="auto" w:fill="FEFEFE"/>
              </w:rPr>
              <w:t xml:space="preserve"> Nature Park, Tito's Villa "</w:t>
            </w:r>
            <w:proofErr w:type="spellStart"/>
            <w:r w:rsidRPr="003C7CB1">
              <w:rPr>
                <w:rFonts w:ascii="Calibri" w:eastAsia="Calibri" w:hAnsi="Calibri" w:cs="Calibri"/>
                <w:shd w:val="clear" w:color="auto" w:fill="FEFEFE"/>
              </w:rPr>
              <w:t>Galeb</w:t>
            </w:r>
            <w:proofErr w:type="spellEnd"/>
            <w:r w:rsidRPr="003C7CB1">
              <w:rPr>
                <w:rFonts w:ascii="Calibri" w:eastAsia="Calibri" w:hAnsi="Calibri" w:cs="Calibri"/>
                <w:shd w:val="clear" w:color="auto" w:fill="FEFEFE"/>
              </w:rPr>
              <w:t xml:space="preserve">" and the </w:t>
            </w:r>
            <w:proofErr w:type="spellStart"/>
            <w:r w:rsidRPr="003C7CB1">
              <w:rPr>
                <w:rFonts w:ascii="Calibri" w:eastAsia="Calibri" w:hAnsi="Calibri" w:cs="Calibri"/>
                <w:shd w:val="clear" w:color="auto" w:fill="FEFEFE"/>
              </w:rPr>
              <w:t>Savina</w:t>
            </w:r>
            <w:proofErr w:type="spellEnd"/>
            <w:r w:rsidRPr="003C7CB1">
              <w:rPr>
                <w:rFonts w:ascii="Calibri" w:eastAsia="Calibri" w:hAnsi="Calibri" w:cs="Calibri"/>
                <w:shd w:val="clear" w:color="auto" w:fill="FEFEFE"/>
              </w:rPr>
              <w:t xml:space="preserve"> Monastery. </w:t>
            </w:r>
          </w:p>
          <w:p w14:paraId="5661E8A9" w14:textId="3B722C56" w:rsidR="00B16AD6" w:rsidRPr="003C7CB1" w:rsidRDefault="00E720EB" w:rsidP="00E720EB">
            <w:pPr>
              <w:shd w:val="clear" w:color="auto" w:fill="FFFFFF"/>
              <w:spacing w:after="120" w:line="240" w:lineRule="auto"/>
              <w:jc w:val="both"/>
              <w:textAlignment w:val="baseline"/>
              <w:rPr>
                <w:rFonts w:ascii="Calibri" w:eastAsia="Calibri" w:hAnsi="Calibri" w:cs="Calibri"/>
                <w:shd w:val="clear" w:color="auto" w:fill="FEFEFE"/>
              </w:rPr>
            </w:pPr>
            <w:proofErr w:type="spellStart"/>
            <w:r w:rsidRPr="003C7CB1">
              <w:rPr>
                <w:rFonts w:ascii="Calibri" w:eastAsia="Calibri" w:hAnsi="Calibri" w:cs="Calibri"/>
                <w:b/>
                <w:shd w:val="clear" w:color="auto" w:fill="FEFEFE"/>
              </w:rPr>
              <w:t>Tivat</w:t>
            </w:r>
            <w:proofErr w:type="spellEnd"/>
            <w:r w:rsidRPr="003C7CB1">
              <w:rPr>
                <w:rFonts w:ascii="Calibri" w:eastAsia="Calibri" w:hAnsi="Calibri" w:cs="Calibri"/>
                <w:shd w:val="clear" w:color="auto" w:fill="FEFEFE"/>
              </w:rPr>
              <w:t xml:space="preserve"> is one of the most modern cities on the Montenegrin coast, which includes the islands of Flowers, St. Mark, Our Lady of Mercy, </w:t>
            </w:r>
            <w:proofErr w:type="spellStart"/>
            <w:r w:rsidRPr="003C7CB1">
              <w:rPr>
                <w:rFonts w:ascii="Calibri" w:eastAsia="Calibri" w:hAnsi="Calibri" w:cs="Calibri"/>
                <w:shd w:val="clear" w:color="auto" w:fill="FEFEFE"/>
              </w:rPr>
              <w:t>Tivat</w:t>
            </w:r>
            <w:proofErr w:type="spellEnd"/>
            <w:r w:rsidRPr="003C7CB1">
              <w:rPr>
                <w:rFonts w:ascii="Calibri" w:eastAsia="Calibri" w:hAnsi="Calibri" w:cs="Calibri"/>
                <w:shd w:val="clear" w:color="auto" w:fill="FEFEFE"/>
              </w:rPr>
              <w:t xml:space="preserve"> Riva and the village of </w:t>
            </w:r>
            <w:proofErr w:type="spellStart"/>
            <w:r w:rsidRPr="003C7CB1">
              <w:rPr>
                <w:rFonts w:ascii="Calibri" w:eastAsia="Calibri" w:hAnsi="Calibri" w:cs="Calibri"/>
                <w:shd w:val="clear" w:color="auto" w:fill="FEFEFE"/>
              </w:rPr>
              <w:t>Donja</w:t>
            </w:r>
            <w:proofErr w:type="spellEnd"/>
            <w:r w:rsidRPr="003C7CB1">
              <w:rPr>
                <w:rFonts w:ascii="Calibri" w:eastAsia="Calibri" w:hAnsi="Calibri" w:cs="Calibri"/>
                <w:shd w:val="clear" w:color="auto" w:fill="FEFEFE"/>
              </w:rPr>
              <w:t xml:space="preserve"> </w:t>
            </w:r>
            <w:proofErr w:type="spellStart"/>
            <w:r w:rsidRPr="003C7CB1">
              <w:rPr>
                <w:rFonts w:ascii="Calibri" w:eastAsia="Calibri" w:hAnsi="Calibri" w:cs="Calibri"/>
                <w:shd w:val="clear" w:color="auto" w:fill="FEFEFE"/>
              </w:rPr>
              <w:t>Lastva</w:t>
            </w:r>
            <w:proofErr w:type="spellEnd"/>
            <w:r w:rsidRPr="003C7CB1">
              <w:rPr>
                <w:rFonts w:ascii="Calibri" w:eastAsia="Calibri" w:hAnsi="Calibri" w:cs="Calibri"/>
                <w:shd w:val="clear" w:color="auto" w:fill="FEFEFE"/>
              </w:rPr>
              <w:t xml:space="preserve">. Also, recently it has been recognized for its hotel complex Porto Montenegro with an exclusive marina, numerous events and activities aimed at the development of tourism in the city center and its wider </w:t>
            </w:r>
            <w:r w:rsidR="00AE5C5F" w:rsidRPr="003C7CB1">
              <w:rPr>
                <w:rFonts w:ascii="Calibri" w:eastAsia="Calibri" w:hAnsi="Calibri" w:cs="Calibri"/>
                <w:shd w:val="clear" w:color="auto" w:fill="FEFEFE"/>
              </w:rPr>
              <w:t>surroundings.</w:t>
            </w:r>
          </w:p>
          <w:p w14:paraId="18908F57" w14:textId="55C45D5F" w:rsidR="00906526" w:rsidRPr="003C7CB1" w:rsidRDefault="00906526" w:rsidP="00906526">
            <w:pPr>
              <w:shd w:val="clear" w:color="auto" w:fill="FFFFFF"/>
              <w:spacing w:after="120" w:line="240" w:lineRule="auto"/>
              <w:jc w:val="both"/>
              <w:textAlignment w:val="baseline"/>
              <w:rPr>
                <w:rFonts w:ascii="Calibri" w:eastAsia="Calibri" w:hAnsi="Calibri" w:cs="Calibri"/>
                <w:shd w:val="clear" w:color="auto" w:fill="FEFEFE"/>
              </w:rPr>
            </w:pPr>
            <w:proofErr w:type="spellStart"/>
            <w:r w:rsidRPr="003C7CB1">
              <w:rPr>
                <w:rFonts w:ascii="Calibri" w:eastAsia="Calibri" w:hAnsi="Calibri" w:cs="Calibri"/>
                <w:b/>
                <w:shd w:val="clear" w:color="auto" w:fill="FEFEFE"/>
              </w:rPr>
              <w:t>Perast</w:t>
            </w:r>
            <w:proofErr w:type="spellEnd"/>
            <w:r w:rsidRPr="003C7CB1">
              <w:rPr>
                <w:rFonts w:ascii="Calibri" w:eastAsia="Calibri" w:hAnsi="Calibri" w:cs="Calibri"/>
                <w:b/>
                <w:shd w:val="clear" w:color="auto" w:fill="FEFEFE"/>
              </w:rPr>
              <w:t xml:space="preserve"> </w:t>
            </w:r>
            <w:r w:rsidRPr="003C7CB1">
              <w:rPr>
                <w:rFonts w:ascii="Calibri" w:eastAsia="Calibri" w:hAnsi="Calibri" w:cs="Calibri"/>
                <w:shd w:val="clear" w:color="auto" w:fill="FEFEFE"/>
              </w:rPr>
              <w:t>is recognized for its typical architecture, the islands of St. George and Our Lady of the Rocks, but also museums and villas that were owned by rich sailing families, and today are often used as hotels.</w:t>
            </w:r>
          </w:p>
          <w:p w14:paraId="7CD7AA3C" w14:textId="77777777" w:rsidR="00906526" w:rsidRPr="003C7CB1" w:rsidRDefault="00906526" w:rsidP="00906526">
            <w:pPr>
              <w:shd w:val="clear" w:color="auto" w:fill="FFFFFF"/>
              <w:spacing w:after="120" w:line="240" w:lineRule="auto"/>
              <w:jc w:val="both"/>
              <w:textAlignment w:val="baseline"/>
              <w:rPr>
                <w:rFonts w:ascii="Calibri" w:eastAsia="Calibri" w:hAnsi="Calibri" w:cs="Calibri"/>
                <w:shd w:val="clear" w:color="auto" w:fill="FEFEFE"/>
              </w:rPr>
            </w:pPr>
            <w:proofErr w:type="spellStart"/>
            <w:r w:rsidRPr="003C7CB1">
              <w:rPr>
                <w:rFonts w:ascii="Calibri" w:eastAsia="Calibri" w:hAnsi="Calibri" w:cs="Calibri"/>
                <w:b/>
                <w:shd w:val="clear" w:color="auto" w:fill="FEFEFE"/>
              </w:rPr>
              <w:t>Risan</w:t>
            </w:r>
            <w:proofErr w:type="spellEnd"/>
            <w:r w:rsidRPr="003C7CB1">
              <w:rPr>
                <w:rFonts w:ascii="Calibri" w:eastAsia="Calibri" w:hAnsi="Calibri" w:cs="Calibri"/>
                <w:shd w:val="clear" w:color="auto" w:fill="FEFEFE"/>
              </w:rPr>
              <w:t>, an ancient place, the oldest in the area, and especially recognized by Roman mosaics.</w:t>
            </w:r>
          </w:p>
          <w:p w14:paraId="78AAB163" w14:textId="77777777" w:rsidR="00906526" w:rsidRPr="003C7CB1" w:rsidRDefault="00906526" w:rsidP="00906526">
            <w:pPr>
              <w:shd w:val="clear" w:color="auto" w:fill="FFFFFF"/>
              <w:spacing w:after="120" w:line="240" w:lineRule="auto"/>
              <w:jc w:val="both"/>
              <w:textAlignment w:val="baseline"/>
              <w:rPr>
                <w:rFonts w:ascii="Calibri" w:eastAsia="Calibri" w:hAnsi="Calibri" w:cs="Calibri"/>
                <w:shd w:val="clear" w:color="auto" w:fill="FEFEFE"/>
              </w:rPr>
            </w:pPr>
            <w:proofErr w:type="spellStart"/>
            <w:r w:rsidRPr="003C7CB1">
              <w:rPr>
                <w:rFonts w:ascii="Calibri" w:eastAsia="Calibri" w:hAnsi="Calibri" w:cs="Calibri"/>
                <w:b/>
                <w:shd w:val="clear" w:color="auto" w:fill="FEFEFE"/>
              </w:rPr>
              <w:t>Igalo</w:t>
            </w:r>
            <w:proofErr w:type="spellEnd"/>
            <w:r w:rsidRPr="003C7CB1">
              <w:rPr>
                <w:rFonts w:ascii="Calibri" w:eastAsia="Calibri" w:hAnsi="Calibri" w:cs="Calibri"/>
                <w:b/>
                <w:shd w:val="clear" w:color="auto" w:fill="FEFEFE"/>
              </w:rPr>
              <w:t xml:space="preserve">, </w:t>
            </w:r>
            <w:r w:rsidRPr="003C7CB1">
              <w:rPr>
                <w:rFonts w:ascii="Calibri" w:eastAsia="Calibri" w:hAnsi="Calibri" w:cs="Calibri"/>
                <w:shd w:val="clear" w:color="auto" w:fill="FEFEFE"/>
              </w:rPr>
              <w:t xml:space="preserve">known for its healing mud and the Dr Simo </w:t>
            </w:r>
            <w:proofErr w:type="spellStart"/>
            <w:r w:rsidRPr="003C7CB1">
              <w:rPr>
                <w:rFonts w:ascii="Calibri" w:eastAsia="Calibri" w:hAnsi="Calibri" w:cs="Calibri"/>
                <w:shd w:val="clear" w:color="auto" w:fill="FEFEFE"/>
              </w:rPr>
              <w:t>Milošević</w:t>
            </w:r>
            <w:proofErr w:type="spellEnd"/>
            <w:r w:rsidRPr="003C7CB1">
              <w:rPr>
                <w:rFonts w:ascii="Calibri" w:eastAsia="Calibri" w:hAnsi="Calibri" w:cs="Calibri"/>
                <w:shd w:val="clear" w:color="auto" w:fill="FEFEFE"/>
              </w:rPr>
              <w:t xml:space="preserve"> Institute, is the center of health tourism in Montenegro.</w:t>
            </w:r>
          </w:p>
          <w:p w14:paraId="11983767" w14:textId="47640AE4" w:rsidR="007922EF" w:rsidRPr="003C7CB1" w:rsidRDefault="00906526" w:rsidP="00906526">
            <w:pPr>
              <w:shd w:val="clear" w:color="auto" w:fill="FFFFFF"/>
              <w:spacing w:after="120" w:line="240" w:lineRule="auto"/>
              <w:jc w:val="both"/>
              <w:textAlignment w:val="baseline"/>
              <w:rPr>
                <w:rFonts w:ascii="Calibri" w:eastAsia="Calibri" w:hAnsi="Calibri" w:cs="Calibri"/>
                <w:shd w:val="clear" w:color="auto" w:fill="FEFEFE"/>
              </w:rPr>
            </w:pPr>
            <w:r w:rsidRPr="003C7CB1">
              <w:rPr>
                <w:rFonts w:ascii="Calibri" w:eastAsia="Calibri" w:hAnsi="Calibri" w:cs="Calibri"/>
                <w:shd w:val="clear" w:color="auto" w:fill="FEFEFE"/>
              </w:rPr>
              <w:t xml:space="preserve">The Bay of Kotor is also recognized for its authentic </w:t>
            </w:r>
            <w:proofErr w:type="spellStart"/>
            <w:r w:rsidRPr="003C7CB1">
              <w:rPr>
                <w:rFonts w:ascii="Calibri" w:eastAsia="Calibri" w:hAnsi="Calibri" w:cs="Calibri"/>
                <w:shd w:val="clear" w:color="auto" w:fill="FEFEFE"/>
              </w:rPr>
              <w:t>Boka</w:t>
            </w:r>
            <w:proofErr w:type="spellEnd"/>
            <w:r w:rsidRPr="003C7CB1">
              <w:rPr>
                <w:rFonts w:ascii="Calibri" w:eastAsia="Calibri" w:hAnsi="Calibri" w:cs="Calibri"/>
                <w:shd w:val="clear" w:color="auto" w:fill="FEFEFE"/>
              </w:rPr>
              <w:t xml:space="preserve"> folklore and costume - the </w:t>
            </w:r>
            <w:proofErr w:type="spellStart"/>
            <w:r w:rsidRPr="003C7CB1">
              <w:rPr>
                <w:rFonts w:ascii="Calibri" w:eastAsia="Calibri" w:hAnsi="Calibri" w:cs="Calibri"/>
                <w:shd w:val="clear" w:color="auto" w:fill="FEFEFE"/>
              </w:rPr>
              <w:t>Boka</w:t>
            </w:r>
            <w:proofErr w:type="spellEnd"/>
            <w:r w:rsidRPr="003C7CB1">
              <w:rPr>
                <w:rFonts w:ascii="Calibri" w:eastAsia="Calibri" w:hAnsi="Calibri" w:cs="Calibri"/>
                <w:shd w:val="clear" w:color="auto" w:fill="FEFEFE"/>
              </w:rPr>
              <w:t xml:space="preserve"> Navy, which has been on the UNESCO World Intangible Cultural Heritage List since December 2021, but also for numerous legends about sailors (Tre </w:t>
            </w:r>
            <w:proofErr w:type="spellStart"/>
            <w:r w:rsidRPr="003C7CB1">
              <w:rPr>
                <w:rFonts w:ascii="Calibri" w:eastAsia="Calibri" w:hAnsi="Calibri" w:cs="Calibri"/>
                <w:shd w:val="clear" w:color="auto" w:fill="FEFEFE"/>
              </w:rPr>
              <w:t>sorelle</w:t>
            </w:r>
            <w:proofErr w:type="spellEnd"/>
            <w:r w:rsidRPr="003C7CB1">
              <w:rPr>
                <w:rFonts w:ascii="Calibri" w:eastAsia="Calibri" w:hAnsi="Calibri" w:cs="Calibri"/>
                <w:shd w:val="clear" w:color="auto" w:fill="FEFEFE"/>
              </w:rPr>
              <w:t>, etc.). As on the rest of the coast, it is characterized by typical Mediterranean gastronomy</w:t>
            </w:r>
            <w:r w:rsidR="00B16AD6" w:rsidRPr="003C7CB1">
              <w:rPr>
                <w:rFonts w:ascii="Calibri" w:eastAsia="Calibri" w:hAnsi="Calibri" w:cs="Calibri"/>
                <w:shd w:val="clear" w:color="auto" w:fill="FEFEFE"/>
              </w:rPr>
              <w:t>.</w:t>
            </w:r>
          </w:p>
          <w:p w14:paraId="4B5F39DF" w14:textId="7AD32751" w:rsidR="007922EF" w:rsidRPr="003C7CB1" w:rsidRDefault="007922EF" w:rsidP="00CD5021">
            <w:pPr>
              <w:shd w:val="clear" w:color="auto" w:fill="FFFFFF"/>
              <w:spacing w:after="120" w:line="240" w:lineRule="auto"/>
              <w:jc w:val="both"/>
              <w:textAlignment w:val="baseline"/>
              <w:rPr>
                <w:rFonts w:ascii="Calibri" w:eastAsia="Calibri" w:hAnsi="Calibri" w:cs="Calibri"/>
                <w:shd w:val="clear" w:color="auto" w:fill="FEFEFE"/>
              </w:rPr>
            </w:pPr>
          </w:p>
        </w:tc>
      </w:tr>
      <w:tr w:rsidR="00B16AD6" w:rsidRPr="003C7CB1" w14:paraId="40FCBFF3" w14:textId="77777777" w:rsidTr="00BC6AAE">
        <w:tc>
          <w:tcPr>
            <w:tcW w:w="9629" w:type="dxa"/>
            <w:shd w:val="clear" w:color="auto" w:fill="B4C6E7" w:themeFill="accent1" w:themeFillTint="66"/>
          </w:tcPr>
          <w:p w14:paraId="5C79A005" w14:textId="58AF0780" w:rsidR="00B16AD6" w:rsidRPr="003C7CB1" w:rsidRDefault="00906526" w:rsidP="00CD5021">
            <w:pPr>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lastRenderedPageBreak/>
              <w:t>VISION OF CLUSTER DEVELOPMENT</w:t>
            </w:r>
          </w:p>
        </w:tc>
      </w:tr>
      <w:tr w:rsidR="00B16AD6" w:rsidRPr="003C7CB1" w14:paraId="6CC61898" w14:textId="77777777" w:rsidTr="00BC6AAE">
        <w:tc>
          <w:tcPr>
            <w:tcW w:w="9629" w:type="dxa"/>
          </w:tcPr>
          <w:p w14:paraId="3B5CA8D7" w14:textId="0A9ABA70" w:rsidR="00B16AD6" w:rsidRPr="003C7CB1" w:rsidRDefault="00501784" w:rsidP="00501784">
            <w:pPr>
              <w:spacing w:after="120" w:line="240" w:lineRule="auto"/>
              <w:jc w:val="both"/>
              <w:rPr>
                <w:rFonts w:ascii="Calibri" w:eastAsia="Calibri" w:hAnsi="Calibri" w:cs="Calibri"/>
                <w:b/>
                <w:bCs/>
                <w:color w:val="000000"/>
                <w:lang w:eastAsia="hr-HR"/>
              </w:rPr>
            </w:pPr>
            <w:r w:rsidRPr="003C7CB1">
              <w:rPr>
                <w:rFonts w:ascii="Calibri" w:eastAsia="Calibri" w:hAnsi="Calibri" w:cs="Calibri"/>
                <w:b/>
                <w:bCs/>
                <w:color w:val="000000"/>
                <w:lang w:eastAsia="hr-HR"/>
              </w:rPr>
              <w:t>The bay of Kotor -</w:t>
            </w:r>
            <w:r w:rsidRPr="003C7CB1">
              <w:rPr>
                <w:rFonts w:ascii="Calibri" w:eastAsia="Calibri" w:hAnsi="Calibri" w:cs="Calibri"/>
                <w:bCs/>
                <w:color w:val="000000"/>
                <w:lang w:eastAsia="hr-HR"/>
              </w:rPr>
              <w:t>exclusive year-round destination that offers tourists authentic experiences in high quality resorts and hotels, with the possibility of developing MICE offer, health, yachting tourism, as well as a rich offer of nature-based tourism (mountaineering, biking, hiking, etc.)</w:t>
            </w:r>
          </w:p>
        </w:tc>
      </w:tr>
      <w:tr w:rsidR="00B16AD6" w:rsidRPr="003C7CB1" w14:paraId="532123D9" w14:textId="77777777" w:rsidTr="00BC6AAE">
        <w:tc>
          <w:tcPr>
            <w:tcW w:w="9629" w:type="dxa"/>
            <w:shd w:val="clear" w:color="auto" w:fill="B4C6E7" w:themeFill="accent1" w:themeFillTint="66"/>
          </w:tcPr>
          <w:p w14:paraId="06AA6CEB" w14:textId="2225A684" w:rsidR="00B16AD6" w:rsidRPr="003C7CB1" w:rsidRDefault="00501784" w:rsidP="00CD5021">
            <w:pPr>
              <w:spacing w:after="120" w:line="240" w:lineRule="auto"/>
              <w:jc w:val="center"/>
              <w:rPr>
                <w:rFonts w:ascii="Calibri" w:eastAsia="Calibri" w:hAnsi="Calibri" w:cs="Calibri"/>
                <w:bCs/>
                <w:color w:val="FF0000"/>
                <w:lang w:eastAsia="hr-HR"/>
              </w:rPr>
            </w:pPr>
            <w:r w:rsidRPr="003C7CB1">
              <w:rPr>
                <w:rFonts w:ascii="Calibri" w:eastAsia="Calibri" w:hAnsi="Calibri" w:cs="Calibri"/>
                <w:b/>
                <w:bCs/>
                <w:color w:val="1F3864"/>
                <w:lang w:eastAsia="hr-HR"/>
              </w:rPr>
              <w:t>INVESTMENTS, SPACE, HOTEL STANDARDS AND INFRASTRUCTURE</w:t>
            </w:r>
          </w:p>
        </w:tc>
      </w:tr>
      <w:tr w:rsidR="00B16AD6" w:rsidRPr="003C7CB1" w14:paraId="5A9636E2" w14:textId="77777777" w:rsidTr="00BC6AAE">
        <w:tc>
          <w:tcPr>
            <w:tcW w:w="9629" w:type="dxa"/>
          </w:tcPr>
          <w:p w14:paraId="396929AD" w14:textId="17A5A7CF" w:rsidR="00B16AD6" w:rsidRPr="003C7CB1" w:rsidRDefault="00501784" w:rsidP="00CD5021">
            <w:pPr>
              <w:spacing w:after="120" w:line="240" w:lineRule="auto"/>
              <w:jc w:val="both"/>
              <w:rPr>
                <w:rFonts w:ascii="Calibri" w:eastAsia="Calibri" w:hAnsi="Calibri" w:cs="Calibri"/>
                <w:b/>
                <w:u w:val="single"/>
              </w:rPr>
            </w:pPr>
            <w:r w:rsidRPr="003C7CB1">
              <w:rPr>
                <w:rFonts w:ascii="Calibri" w:eastAsia="Calibri" w:hAnsi="Calibri" w:cs="Calibri"/>
                <w:b/>
                <w:u w:val="single"/>
              </w:rPr>
              <w:t>Space and investments</w:t>
            </w:r>
          </w:p>
          <w:p w14:paraId="2FAE51E1" w14:textId="54B6916D" w:rsidR="00DE5C75" w:rsidRPr="003C7CB1" w:rsidRDefault="00DE5C75" w:rsidP="00B45217">
            <w:pPr>
              <w:numPr>
                <w:ilvl w:val="0"/>
                <w:numId w:val="6"/>
              </w:numPr>
              <w:spacing w:after="120" w:line="240" w:lineRule="auto"/>
              <w:ind w:left="690"/>
              <w:contextualSpacing/>
              <w:jc w:val="both"/>
              <w:rPr>
                <w:rFonts w:ascii="Calibri" w:eastAsia="Calibri" w:hAnsi="Calibri" w:cs="Calibri"/>
                <w:bCs/>
              </w:rPr>
            </w:pPr>
            <w:r w:rsidRPr="003C7CB1">
              <w:rPr>
                <w:rFonts w:ascii="Calibri" w:eastAsia="Calibri" w:hAnsi="Calibri" w:cs="Calibri"/>
                <w:bCs/>
              </w:rPr>
              <w:t>Positioning the Bay of Kotor as a high quality destination of authentic ide</w:t>
            </w:r>
            <w:r w:rsidR="00B54DA5" w:rsidRPr="003C7CB1">
              <w:rPr>
                <w:rFonts w:ascii="Calibri" w:eastAsia="Calibri" w:hAnsi="Calibri" w:cs="Calibri"/>
                <w:bCs/>
              </w:rPr>
              <w:t>ntity, whose basic offer will consist of</w:t>
            </w:r>
            <w:r w:rsidRPr="003C7CB1">
              <w:rPr>
                <w:rFonts w:ascii="Calibri" w:eastAsia="Calibri" w:hAnsi="Calibri" w:cs="Calibri"/>
                <w:bCs/>
              </w:rPr>
              <w:t xml:space="preserve"> its landscapes and cultural diversity, which will be market-oriented </w:t>
            </w:r>
            <w:r w:rsidR="00B54DA5" w:rsidRPr="003C7CB1">
              <w:rPr>
                <w:rFonts w:ascii="Calibri" w:eastAsia="Calibri" w:hAnsi="Calibri" w:cs="Calibri"/>
                <w:bCs/>
              </w:rPr>
              <w:t xml:space="preserve">towards </w:t>
            </w:r>
            <w:r w:rsidRPr="003C7CB1">
              <w:rPr>
                <w:rFonts w:ascii="Calibri" w:eastAsia="Calibri" w:hAnsi="Calibri" w:cs="Calibri"/>
                <w:bCs/>
              </w:rPr>
              <w:t>cultural, sports, bathing, health tourism and which will be an international destination with up to 10,000 hotel beds category 3- 5 stars;</w:t>
            </w:r>
          </w:p>
          <w:p w14:paraId="4D87ECBE" w14:textId="5A316E91" w:rsidR="00DE5C75" w:rsidRPr="003C7CB1" w:rsidRDefault="00DE5C75" w:rsidP="00B45217">
            <w:pPr>
              <w:numPr>
                <w:ilvl w:val="0"/>
                <w:numId w:val="6"/>
              </w:numPr>
              <w:spacing w:after="120" w:line="240" w:lineRule="auto"/>
              <w:ind w:left="690"/>
              <w:contextualSpacing/>
              <w:jc w:val="both"/>
              <w:rPr>
                <w:rFonts w:ascii="Calibri" w:eastAsia="Calibri" w:hAnsi="Calibri" w:cs="Calibri"/>
                <w:bCs/>
              </w:rPr>
            </w:pPr>
            <w:r w:rsidRPr="003C7CB1">
              <w:rPr>
                <w:rFonts w:ascii="Calibri" w:eastAsia="Calibri" w:hAnsi="Calibri" w:cs="Calibri"/>
                <w:bCs/>
              </w:rPr>
              <w:t xml:space="preserve">Focus on improving the appearance of the environment and creating opportunities for sports as a basis for improving the attractiveness of the </w:t>
            </w:r>
            <w:proofErr w:type="spellStart"/>
            <w:r w:rsidRPr="003C7CB1">
              <w:rPr>
                <w:rFonts w:ascii="Calibri" w:eastAsia="Calibri" w:hAnsi="Calibri" w:cs="Calibri"/>
                <w:bCs/>
              </w:rPr>
              <w:t>Igalo</w:t>
            </w:r>
            <w:proofErr w:type="spellEnd"/>
            <w:r w:rsidRPr="003C7CB1">
              <w:rPr>
                <w:rFonts w:ascii="Calibri" w:eastAsia="Calibri" w:hAnsi="Calibri" w:cs="Calibri"/>
                <w:bCs/>
              </w:rPr>
              <w:t xml:space="preserve"> Institute (</w:t>
            </w:r>
            <w:proofErr w:type="spellStart"/>
            <w:r w:rsidRPr="003C7CB1">
              <w:rPr>
                <w:rFonts w:ascii="Calibri" w:eastAsia="Calibri" w:hAnsi="Calibri" w:cs="Calibri"/>
                <w:bCs/>
              </w:rPr>
              <w:t>Igalo</w:t>
            </w:r>
            <w:proofErr w:type="spellEnd"/>
            <w:r w:rsidRPr="003C7CB1">
              <w:rPr>
                <w:rFonts w:ascii="Calibri" w:eastAsia="Calibri" w:hAnsi="Calibri" w:cs="Calibri"/>
                <w:bCs/>
              </w:rPr>
              <w:t xml:space="preserve"> area), </w:t>
            </w:r>
            <w:r w:rsidR="00BA2C8B" w:rsidRPr="003C7CB1">
              <w:rPr>
                <w:rFonts w:ascii="Calibri" w:eastAsia="Calibri" w:hAnsi="Calibri" w:cs="Calibri"/>
                <w:bCs/>
              </w:rPr>
              <w:t>integration of neglected mountain villages into tourism development</w:t>
            </w:r>
            <w:r w:rsidRPr="003C7CB1">
              <w:rPr>
                <w:rFonts w:ascii="Calibri" w:eastAsia="Calibri" w:hAnsi="Calibri" w:cs="Calibri"/>
                <w:bCs/>
              </w:rPr>
              <w:t xml:space="preserve"> (</w:t>
            </w:r>
            <w:proofErr w:type="spellStart"/>
            <w:r w:rsidRPr="003C7CB1">
              <w:rPr>
                <w:rFonts w:ascii="Calibri" w:eastAsia="Calibri" w:hAnsi="Calibri" w:cs="Calibri"/>
                <w:bCs/>
              </w:rPr>
              <w:t>Gornja</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Lastva</w:t>
            </w:r>
            <w:proofErr w:type="spellEnd"/>
            <w:r w:rsidRPr="003C7CB1">
              <w:rPr>
                <w:rFonts w:ascii="Calibri" w:eastAsia="Calibri" w:hAnsi="Calibri" w:cs="Calibri"/>
                <w:bCs/>
              </w:rPr>
              <w:t xml:space="preserve"> and other rural settlements), creating additional offers to encourage guests for a longer stay in </w:t>
            </w:r>
            <w:proofErr w:type="spellStart"/>
            <w:r w:rsidRPr="003C7CB1">
              <w:rPr>
                <w:rFonts w:ascii="Calibri" w:eastAsia="Calibri" w:hAnsi="Calibri" w:cs="Calibri"/>
                <w:bCs/>
              </w:rPr>
              <w:t>Boka</w:t>
            </w:r>
            <w:proofErr w:type="spellEnd"/>
            <w:r w:rsidRPr="003C7CB1">
              <w:rPr>
                <w:rFonts w:ascii="Calibri" w:eastAsia="Calibri" w:hAnsi="Calibri" w:cs="Calibri"/>
                <w:bCs/>
              </w:rPr>
              <w:t xml:space="preserve"> (concept of stay), capacity expansion and modernization of the airport in </w:t>
            </w:r>
            <w:proofErr w:type="spellStart"/>
            <w:r w:rsidRPr="003C7CB1">
              <w:rPr>
                <w:rFonts w:ascii="Calibri" w:eastAsia="Calibri" w:hAnsi="Calibri" w:cs="Calibri"/>
                <w:bCs/>
              </w:rPr>
              <w:t>Tivat</w:t>
            </w:r>
            <w:proofErr w:type="spellEnd"/>
            <w:r w:rsidRPr="003C7CB1">
              <w:rPr>
                <w:rFonts w:ascii="Calibri" w:eastAsia="Calibri" w:hAnsi="Calibri" w:cs="Calibri"/>
                <w:bCs/>
              </w:rPr>
              <w:t>;</w:t>
            </w:r>
          </w:p>
          <w:p w14:paraId="6B84AE19" w14:textId="01321C5C" w:rsidR="00B16AD6" w:rsidRPr="003C7CB1" w:rsidRDefault="00DE5C75" w:rsidP="00B45217">
            <w:pPr>
              <w:numPr>
                <w:ilvl w:val="0"/>
                <w:numId w:val="6"/>
              </w:numPr>
              <w:shd w:val="clear" w:color="auto" w:fill="FFFFFF"/>
              <w:spacing w:after="120" w:line="240" w:lineRule="auto"/>
              <w:ind w:left="690"/>
              <w:contextualSpacing/>
              <w:jc w:val="both"/>
              <w:rPr>
                <w:rFonts w:ascii="Calibri" w:eastAsia="Calibri" w:hAnsi="Calibri" w:cs="Calibri"/>
                <w:color w:val="222222"/>
              </w:rPr>
            </w:pPr>
            <w:r w:rsidRPr="003C7CB1">
              <w:rPr>
                <w:rFonts w:ascii="Calibri" w:eastAsia="Calibri" w:hAnsi="Calibri" w:cs="Calibri"/>
                <w:bCs/>
              </w:rPr>
              <w:t>The zone should be developed in a focused and controlled way, using natural, cultural and created potentials</w:t>
            </w:r>
            <w:r w:rsidR="00B45217" w:rsidRPr="003C7CB1">
              <w:t xml:space="preserve"> </w:t>
            </w:r>
            <w:r w:rsidR="00B45217" w:rsidRPr="003C7CB1">
              <w:rPr>
                <w:rFonts w:ascii="Calibri" w:eastAsia="Calibri" w:hAnsi="Calibri" w:cs="Calibri"/>
                <w:bCs/>
              </w:rPr>
              <w:t>in a sustainable way</w:t>
            </w:r>
            <w:r w:rsidR="00B16AD6" w:rsidRPr="003C7CB1">
              <w:rPr>
                <w:rFonts w:ascii="Calibri" w:eastAsia="Calibri" w:hAnsi="Calibri" w:cs="Calibri"/>
              </w:rPr>
              <w:t>;</w:t>
            </w:r>
            <w:r w:rsidR="00B45217" w:rsidRPr="003C7CB1">
              <w:rPr>
                <w:rFonts w:ascii="Calibri" w:eastAsia="Calibri" w:hAnsi="Calibri" w:cs="Calibri"/>
              </w:rPr>
              <w:t xml:space="preserve"> </w:t>
            </w:r>
          </w:p>
          <w:p w14:paraId="344ED662" w14:textId="52D70010" w:rsidR="00CD2016" w:rsidRPr="003C7CB1" w:rsidRDefault="00CD2016" w:rsidP="00CD2016">
            <w:pPr>
              <w:numPr>
                <w:ilvl w:val="0"/>
                <w:numId w:val="6"/>
              </w:numPr>
              <w:shd w:val="clear" w:color="auto" w:fill="FFFFFF"/>
              <w:spacing w:after="120" w:line="240" w:lineRule="auto"/>
              <w:ind w:left="690"/>
              <w:contextualSpacing/>
              <w:jc w:val="both"/>
              <w:rPr>
                <w:rFonts w:ascii="Calibri" w:eastAsia="Calibri" w:hAnsi="Calibri" w:cs="Calibri"/>
              </w:rPr>
            </w:pPr>
            <w:r w:rsidRPr="003C7CB1">
              <w:rPr>
                <w:rFonts w:ascii="Calibri" w:eastAsia="Calibri" w:hAnsi="Calibri" w:cs="Calibri"/>
              </w:rPr>
              <w:t>The development of tourist accommodation needs to be planned very carefully, because the carrying capacity of municipalities in this cluster, especially in Kotor, is almost exhausted;</w:t>
            </w:r>
          </w:p>
          <w:p w14:paraId="4F834FFB" w14:textId="074C715A" w:rsidR="00CD2016" w:rsidRPr="003C7CB1" w:rsidRDefault="00CD2016" w:rsidP="00CD2016">
            <w:pPr>
              <w:numPr>
                <w:ilvl w:val="0"/>
                <w:numId w:val="6"/>
              </w:numPr>
              <w:shd w:val="clear" w:color="auto" w:fill="FFFFFF"/>
              <w:spacing w:after="120" w:line="240" w:lineRule="auto"/>
              <w:ind w:left="690"/>
              <w:contextualSpacing/>
              <w:jc w:val="both"/>
              <w:rPr>
                <w:rFonts w:ascii="Calibri" w:eastAsia="Calibri" w:hAnsi="Calibri" w:cs="Calibri"/>
              </w:rPr>
            </w:pPr>
            <w:r w:rsidRPr="003C7CB1">
              <w:rPr>
                <w:rFonts w:ascii="Calibri" w:eastAsia="Calibri" w:hAnsi="Calibri" w:cs="Calibri"/>
              </w:rPr>
              <w:t>Work on extending the duration of the season, through valorization and revitalization of existing facilities and construction of new accommodation facilities. Pay attention to the conversion of former military and industrial facilities into hotel facilities and nautical tourism facilities;</w:t>
            </w:r>
          </w:p>
          <w:p w14:paraId="7BA03CFA" w14:textId="317D722F" w:rsidR="00CD2016" w:rsidRPr="003C7CB1" w:rsidRDefault="00CD2016" w:rsidP="00CD2016">
            <w:pPr>
              <w:numPr>
                <w:ilvl w:val="0"/>
                <w:numId w:val="6"/>
              </w:numPr>
              <w:shd w:val="clear" w:color="auto" w:fill="FFFFFF"/>
              <w:spacing w:after="120" w:line="240" w:lineRule="auto"/>
              <w:ind w:left="690"/>
              <w:contextualSpacing/>
              <w:jc w:val="both"/>
              <w:rPr>
                <w:rFonts w:ascii="Calibri" w:eastAsia="Calibri" w:hAnsi="Calibri" w:cs="Calibri"/>
              </w:rPr>
            </w:pPr>
            <w:r w:rsidRPr="003C7CB1">
              <w:rPr>
                <w:rFonts w:ascii="Calibri" w:eastAsia="Calibri" w:hAnsi="Calibri" w:cs="Calibri"/>
              </w:rPr>
              <w:t>Stop the construction of residential areas in the hinterland, which are unplanned and out of order positioned in the area and very often without adequate infrastructure;</w:t>
            </w:r>
          </w:p>
          <w:p w14:paraId="052536C5" w14:textId="3AF338EB" w:rsidR="00B16AD6" w:rsidRPr="003C7CB1" w:rsidRDefault="00CD2016" w:rsidP="00CD2016">
            <w:pPr>
              <w:numPr>
                <w:ilvl w:val="0"/>
                <w:numId w:val="6"/>
              </w:numPr>
              <w:shd w:val="clear" w:color="auto" w:fill="FFFFFF"/>
              <w:spacing w:after="120" w:line="240" w:lineRule="auto"/>
              <w:ind w:left="690"/>
              <w:contextualSpacing/>
              <w:jc w:val="both"/>
              <w:rPr>
                <w:rFonts w:ascii="Calibri" w:eastAsia="Calibri" w:hAnsi="Calibri" w:cs="Calibri"/>
                <w:color w:val="222222"/>
              </w:rPr>
            </w:pPr>
            <w:r w:rsidRPr="003C7CB1">
              <w:rPr>
                <w:rFonts w:ascii="Calibri" w:eastAsia="Calibri" w:hAnsi="Calibri" w:cs="Calibri"/>
              </w:rPr>
              <w:t>The zone is a great potential for the development of nautical tourism, and existing ports and marinas need to be significantly improved in terms of expanding capacity and quality of services</w:t>
            </w:r>
            <w:r w:rsidR="00B16AD6" w:rsidRPr="003C7CB1">
              <w:rPr>
                <w:rFonts w:ascii="Calibri" w:eastAsia="Calibri" w:hAnsi="Calibri" w:cs="Calibri"/>
                <w:bCs/>
              </w:rPr>
              <w:t>;</w:t>
            </w:r>
          </w:p>
          <w:p w14:paraId="49120D7A" w14:textId="0498417E" w:rsidR="0032184B" w:rsidRPr="003C7CB1" w:rsidRDefault="0032184B" w:rsidP="0032184B">
            <w:pPr>
              <w:numPr>
                <w:ilvl w:val="0"/>
                <w:numId w:val="6"/>
              </w:numPr>
              <w:shd w:val="clear" w:color="auto" w:fill="FFFFFF"/>
              <w:spacing w:after="120" w:line="240" w:lineRule="auto"/>
              <w:contextualSpacing/>
              <w:jc w:val="both"/>
              <w:rPr>
                <w:rFonts w:ascii="Calibri" w:eastAsia="Calibri" w:hAnsi="Calibri" w:cs="Calibri"/>
                <w:bCs/>
              </w:rPr>
            </w:pPr>
            <w:r w:rsidRPr="003C7CB1">
              <w:rPr>
                <w:rFonts w:ascii="Calibri" w:eastAsia="Calibri" w:hAnsi="Calibri" w:cs="Calibri"/>
                <w:bCs/>
              </w:rPr>
              <w:lastRenderedPageBreak/>
              <w:t>Make the most of the potential of individual settlements (</w:t>
            </w:r>
            <w:proofErr w:type="spellStart"/>
            <w:r w:rsidRPr="003C7CB1">
              <w:rPr>
                <w:rFonts w:ascii="Calibri" w:eastAsia="Calibri" w:hAnsi="Calibri" w:cs="Calibri"/>
                <w:bCs/>
              </w:rPr>
              <w:t>Prčanj</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Risan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Meljine</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Igalo</w:t>
            </w:r>
            <w:proofErr w:type="spellEnd"/>
            <w:r w:rsidRPr="003C7CB1">
              <w:rPr>
                <w:rFonts w:ascii="Calibri" w:eastAsia="Calibri" w:hAnsi="Calibri" w:cs="Calibri"/>
                <w:bCs/>
              </w:rPr>
              <w:t>) for the development of health and wellness tourism and connect smaller family hotel facilities with large carriers of health and wellness tourism programs;</w:t>
            </w:r>
          </w:p>
          <w:p w14:paraId="549BE486" w14:textId="1501E32D" w:rsidR="0032184B" w:rsidRPr="003C7CB1" w:rsidRDefault="0032184B" w:rsidP="0032184B">
            <w:pPr>
              <w:numPr>
                <w:ilvl w:val="0"/>
                <w:numId w:val="6"/>
              </w:numPr>
              <w:shd w:val="clear" w:color="auto" w:fill="FFFFFF"/>
              <w:spacing w:after="120" w:line="240" w:lineRule="auto"/>
              <w:contextualSpacing/>
              <w:jc w:val="both"/>
              <w:rPr>
                <w:rFonts w:ascii="Calibri" w:eastAsia="Calibri" w:hAnsi="Calibri" w:cs="Calibri"/>
                <w:bCs/>
              </w:rPr>
            </w:pPr>
            <w:r w:rsidRPr="003C7CB1">
              <w:rPr>
                <w:rFonts w:ascii="Calibri" w:eastAsia="Calibri" w:hAnsi="Calibri" w:cs="Calibri"/>
                <w:bCs/>
              </w:rPr>
              <w:t>Of special value in the municipality of Kotor are the natural features in the Bay of Kotor-</w:t>
            </w:r>
            <w:proofErr w:type="spellStart"/>
            <w:r w:rsidRPr="003C7CB1">
              <w:rPr>
                <w:rFonts w:ascii="Calibri" w:eastAsia="Calibri" w:hAnsi="Calibri" w:cs="Calibri"/>
                <w:bCs/>
              </w:rPr>
              <w:t>Risan</w:t>
            </w:r>
            <w:proofErr w:type="spellEnd"/>
            <w:r w:rsidRPr="003C7CB1">
              <w:rPr>
                <w:rFonts w:ascii="Calibri" w:eastAsia="Calibri" w:hAnsi="Calibri" w:cs="Calibri"/>
                <w:bCs/>
              </w:rPr>
              <w:t>, which as a natural and cultural-historical area of Kotor is on the UNESCO World Heritage List. Protection of cultural heritage is an absolute imperative in further planning and development of the city;</w:t>
            </w:r>
          </w:p>
          <w:p w14:paraId="7B9AD566" w14:textId="118F4EA5" w:rsidR="0032184B" w:rsidRPr="003C7CB1" w:rsidRDefault="0032184B" w:rsidP="0032184B">
            <w:pPr>
              <w:numPr>
                <w:ilvl w:val="0"/>
                <w:numId w:val="6"/>
              </w:numPr>
              <w:shd w:val="clear" w:color="auto" w:fill="FFFFFF"/>
              <w:spacing w:after="120" w:line="240" w:lineRule="auto"/>
              <w:contextualSpacing/>
              <w:jc w:val="both"/>
              <w:rPr>
                <w:rFonts w:ascii="Calibri" w:eastAsia="Calibri" w:hAnsi="Calibri" w:cs="Calibri"/>
                <w:bCs/>
              </w:rPr>
            </w:pPr>
            <w:r w:rsidRPr="003C7CB1">
              <w:rPr>
                <w:rFonts w:ascii="Calibri" w:eastAsia="Calibri" w:hAnsi="Calibri" w:cs="Calibri"/>
                <w:bCs/>
              </w:rPr>
              <w:t>Follow and continue to respect the postulates represented by the PPPN for the coastal area through the development of detailed plans;</w:t>
            </w:r>
          </w:p>
          <w:p w14:paraId="71C6E919" w14:textId="39A3C64D" w:rsidR="00B16AD6" w:rsidRPr="003C7CB1" w:rsidRDefault="0032184B" w:rsidP="0032184B">
            <w:pPr>
              <w:numPr>
                <w:ilvl w:val="0"/>
                <w:numId w:val="6"/>
              </w:numPr>
              <w:shd w:val="clear" w:color="auto" w:fill="FFFFFF"/>
              <w:spacing w:after="120" w:line="240" w:lineRule="auto"/>
              <w:contextualSpacing/>
              <w:jc w:val="both"/>
              <w:rPr>
                <w:rFonts w:ascii="Calibri" w:eastAsia="Calibri" w:hAnsi="Calibri" w:cs="Calibri"/>
                <w:color w:val="222222"/>
              </w:rPr>
            </w:pPr>
            <w:r w:rsidRPr="003C7CB1">
              <w:rPr>
                <w:rFonts w:ascii="Calibri" w:eastAsia="Calibri" w:hAnsi="Calibri" w:cs="Calibri"/>
                <w:bCs/>
              </w:rPr>
              <w:t>When drafting strategic documents and implementing activities, keep in mind international agreements and conventions</w:t>
            </w:r>
            <w:r w:rsidR="00B16AD6" w:rsidRPr="003C7CB1">
              <w:rPr>
                <w:rFonts w:ascii="Calibri" w:eastAsia="Calibri" w:hAnsi="Calibri" w:cs="Calibri"/>
              </w:rPr>
              <w:t>.</w:t>
            </w:r>
          </w:p>
          <w:p w14:paraId="432C932F" w14:textId="77777777" w:rsidR="00402C9B" w:rsidRPr="003C7CB1" w:rsidRDefault="00402C9B" w:rsidP="00402C9B">
            <w:pPr>
              <w:shd w:val="clear" w:color="auto" w:fill="FFFFFF"/>
              <w:spacing w:after="120" w:line="240" w:lineRule="auto"/>
              <w:ind w:left="720"/>
              <w:contextualSpacing/>
              <w:jc w:val="both"/>
              <w:rPr>
                <w:rFonts w:ascii="Calibri" w:eastAsia="Calibri" w:hAnsi="Calibri" w:cs="Calibri"/>
                <w:color w:val="222222"/>
              </w:rPr>
            </w:pPr>
          </w:p>
          <w:p w14:paraId="76E957FE" w14:textId="4B4CCEE8" w:rsidR="00B16AD6" w:rsidRPr="003C7CB1" w:rsidRDefault="0032184B" w:rsidP="00CD5021">
            <w:pPr>
              <w:spacing w:after="120" w:line="240" w:lineRule="auto"/>
              <w:jc w:val="both"/>
              <w:rPr>
                <w:rFonts w:ascii="Calibri" w:eastAsia="Calibri" w:hAnsi="Calibri" w:cs="Calibri"/>
                <w:b/>
                <w:u w:val="single"/>
              </w:rPr>
            </w:pPr>
            <w:r w:rsidRPr="003C7CB1">
              <w:rPr>
                <w:rFonts w:ascii="Calibri" w:eastAsia="Calibri" w:hAnsi="Calibri" w:cs="Calibri"/>
                <w:b/>
                <w:u w:val="single"/>
              </w:rPr>
              <w:t>Standardization and unification of facilities</w:t>
            </w:r>
          </w:p>
          <w:p w14:paraId="7545323C" w14:textId="1289B1A6" w:rsidR="005C5498" w:rsidRPr="003C7CB1" w:rsidRDefault="005C5498" w:rsidP="005C5498">
            <w:pPr>
              <w:spacing w:after="120" w:line="240" w:lineRule="auto"/>
              <w:jc w:val="both"/>
              <w:rPr>
                <w:rFonts w:ascii="Calibri" w:eastAsia="Calibri" w:hAnsi="Calibri" w:cs="Calibri"/>
              </w:rPr>
            </w:pPr>
            <w:r w:rsidRPr="003C7CB1">
              <w:rPr>
                <w:rFonts w:ascii="Calibri" w:eastAsia="Calibri" w:hAnsi="Calibri" w:cs="Calibri"/>
              </w:rPr>
              <w:t xml:space="preserve">In order to create the image of the municipalities of Kotor, </w:t>
            </w:r>
            <w:proofErr w:type="spellStart"/>
            <w:r w:rsidRPr="003C7CB1">
              <w:rPr>
                <w:rFonts w:ascii="Calibri" w:eastAsia="Calibri" w:hAnsi="Calibri" w:cs="Calibri"/>
              </w:rPr>
              <w:t>Tivat</w:t>
            </w:r>
            <w:proofErr w:type="spellEnd"/>
            <w:r w:rsidRPr="003C7CB1">
              <w:rPr>
                <w:rFonts w:ascii="Calibri" w:eastAsia="Calibri" w:hAnsi="Calibri" w:cs="Calibri"/>
              </w:rPr>
              <w:t xml:space="preserve"> and Herceg Novi, and through defined programs of private - public partnership (</w:t>
            </w:r>
            <w:r w:rsidR="00AE5C5F" w:rsidRPr="003C7CB1">
              <w:rPr>
                <w:rFonts w:ascii="Calibri" w:eastAsia="Calibri" w:hAnsi="Calibri" w:cs="Calibri"/>
              </w:rPr>
              <w:t>e.g.</w:t>
            </w:r>
            <w:r w:rsidRPr="003C7CB1">
              <w:rPr>
                <w:rFonts w:ascii="Calibri" w:eastAsia="Calibri" w:hAnsi="Calibri" w:cs="Calibri"/>
              </w:rPr>
              <w:t xml:space="preserve"> "new face of the city") it is necessary to work on refreshing the facades of facilities in urban areas, standardizing solutions through the use of materials and colors which are aesthetically pleasing, neutral and</w:t>
            </w:r>
            <w:r w:rsidR="006C3196" w:rsidRPr="003C7CB1">
              <w:rPr>
                <w:rFonts w:ascii="Calibri" w:eastAsia="Calibri" w:hAnsi="Calibri" w:cs="Calibri"/>
              </w:rPr>
              <w:t xml:space="preserve"> which</w:t>
            </w:r>
            <w:r w:rsidRPr="003C7CB1">
              <w:rPr>
                <w:rFonts w:ascii="Calibri" w:eastAsia="Calibri" w:hAnsi="Calibri" w:cs="Calibri"/>
              </w:rPr>
              <w:t xml:space="preserve"> fit in with the environment.</w:t>
            </w:r>
          </w:p>
          <w:p w14:paraId="7AA51437" w14:textId="77777777" w:rsidR="005C5498" w:rsidRPr="003C7CB1" w:rsidRDefault="005C5498" w:rsidP="005C5498">
            <w:pPr>
              <w:spacing w:after="120" w:line="240" w:lineRule="auto"/>
              <w:jc w:val="both"/>
              <w:rPr>
                <w:rFonts w:ascii="Calibri" w:eastAsia="Calibri" w:hAnsi="Calibri" w:cs="Calibri"/>
              </w:rPr>
            </w:pPr>
            <w:r w:rsidRPr="003C7CB1">
              <w:rPr>
                <w:rFonts w:ascii="Calibri" w:eastAsia="Calibri" w:hAnsi="Calibri" w:cs="Calibri"/>
              </w:rPr>
              <w:t>It is necessary to work on the harmonization of new and reconstructed buildings, while respecting the standards defined by the plan, which point to a well-thought-out architecture of urban structures.</w:t>
            </w:r>
          </w:p>
          <w:p w14:paraId="64A6219B" w14:textId="289CEEC8" w:rsidR="00B16AD6" w:rsidRPr="003C7CB1" w:rsidRDefault="005C5498" w:rsidP="005C5498">
            <w:pPr>
              <w:spacing w:after="120" w:line="240" w:lineRule="auto"/>
              <w:jc w:val="both"/>
              <w:rPr>
                <w:rFonts w:ascii="Calibri" w:eastAsia="Calibri" w:hAnsi="Calibri" w:cs="Calibri"/>
              </w:rPr>
            </w:pPr>
            <w:r w:rsidRPr="003C7CB1">
              <w:rPr>
                <w:rFonts w:ascii="Calibri" w:eastAsia="Calibri" w:hAnsi="Calibri" w:cs="Calibri"/>
              </w:rPr>
              <w:t>Build facilities in the Mediterranean style, combining exceptional aesthetics and functionality in order to achieve complete unification of interior design and exterior space</w:t>
            </w:r>
            <w:r w:rsidR="00B16AD6" w:rsidRPr="003C7CB1">
              <w:rPr>
                <w:rFonts w:ascii="Calibri" w:eastAsia="Calibri" w:hAnsi="Calibri" w:cs="Calibri"/>
              </w:rPr>
              <w:t xml:space="preserve">. </w:t>
            </w:r>
          </w:p>
          <w:p w14:paraId="29A68888" w14:textId="77777777" w:rsidR="005C5498" w:rsidRPr="003C7CB1" w:rsidRDefault="005C5498" w:rsidP="005C5498">
            <w:pPr>
              <w:spacing w:after="120" w:line="240" w:lineRule="auto"/>
              <w:jc w:val="both"/>
              <w:rPr>
                <w:rFonts w:ascii="Calibri" w:eastAsia="Calibri" w:hAnsi="Calibri" w:cs="Calibri"/>
              </w:rPr>
            </w:pPr>
            <w:r w:rsidRPr="003C7CB1">
              <w:rPr>
                <w:rFonts w:ascii="Calibri" w:eastAsia="Calibri" w:hAnsi="Calibri" w:cs="Calibri"/>
              </w:rPr>
              <w:t>At the level of local self-governments, it is necessary to target the oldest buildings that have cultural and historical value, as well as buildings in which important historical figures lived or stayed, and to protect, revitalize and valorize them.</w:t>
            </w:r>
          </w:p>
          <w:p w14:paraId="74D088A5" w14:textId="50864117" w:rsidR="005C5498" w:rsidRPr="003C7CB1" w:rsidRDefault="005C5498" w:rsidP="005C5498">
            <w:pPr>
              <w:spacing w:after="120" w:line="240" w:lineRule="auto"/>
              <w:jc w:val="both"/>
              <w:rPr>
                <w:rFonts w:ascii="Calibri" w:eastAsia="Calibri" w:hAnsi="Calibri" w:cs="Calibri"/>
              </w:rPr>
            </w:pPr>
            <w:r w:rsidRPr="003C7CB1">
              <w:rPr>
                <w:rFonts w:ascii="Calibri" w:eastAsia="Calibri" w:hAnsi="Calibri" w:cs="Calibri"/>
              </w:rPr>
              <w:t xml:space="preserve">Continue activities on the implementation of tourist valorization of started investment projects, primarily for the location of the former Fjord Hotel in Kotor, the former </w:t>
            </w:r>
            <w:proofErr w:type="spellStart"/>
            <w:r w:rsidRPr="003C7CB1">
              <w:rPr>
                <w:rFonts w:ascii="Calibri" w:eastAsia="Calibri" w:hAnsi="Calibri" w:cs="Calibri"/>
              </w:rPr>
              <w:t>Igalo</w:t>
            </w:r>
            <w:proofErr w:type="spellEnd"/>
            <w:r w:rsidRPr="003C7CB1">
              <w:rPr>
                <w:rFonts w:ascii="Calibri" w:eastAsia="Calibri" w:hAnsi="Calibri" w:cs="Calibri"/>
              </w:rPr>
              <w:t xml:space="preserve"> Hotel, Tamaris Hotel, the old </w:t>
            </w:r>
            <w:proofErr w:type="spellStart"/>
            <w:r w:rsidRPr="003C7CB1">
              <w:rPr>
                <w:rFonts w:ascii="Calibri" w:eastAsia="Calibri" w:hAnsi="Calibri" w:cs="Calibri"/>
              </w:rPr>
              <w:t>Boka</w:t>
            </w:r>
            <w:proofErr w:type="spellEnd"/>
            <w:r w:rsidRPr="003C7CB1">
              <w:rPr>
                <w:rFonts w:ascii="Calibri" w:eastAsia="Calibri" w:hAnsi="Calibri" w:cs="Calibri"/>
              </w:rPr>
              <w:t xml:space="preserve"> Hotel, as well as improving standards in the </w:t>
            </w:r>
            <w:proofErr w:type="spellStart"/>
            <w:r w:rsidR="005138E4" w:rsidRPr="003C7CB1">
              <w:rPr>
                <w:rFonts w:ascii="Calibri" w:eastAsia="Calibri" w:hAnsi="Calibri" w:cs="Calibri"/>
              </w:rPr>
              <w:t>Plaža</w:t>
            </w:r>
            <w:proofErr w:type="spellEnd"/>
            <w:r w:rsidR="005138E4" w:rsidRPr="003C7CB1">
              <w:rPr>
                <w:rFonts w:ascii="Calibri" w:eastAsia="Calibri" w:hAnsi="Calibri" w:cs="Calibri"/>
              </w:rPr>
              <w:t xml:space="preserve"> </w:t>
            </w:r>
            <w:r w:rsidRPr="003C7CB1">
              <w:rPr>
                <w:rFonts w:ascii="Calibri" w:eastAsia="Calibri" w:hAnsi="Calibri" w:cs="Calibri"/>
              </w:rPr>
              <w:t xml:space="preserve">Hotel, which is also the largest hotel in Herceg </w:t>
            </w:r>
            <w:r w:rsidR="00AE5C5F" w:rsidRPr="003C7CB1">
              <w:rPr>
                <w:rFonts w:ascii="Calibri" w:eastAsia="Calibri" w:hAnsi="Calibri" w:cs="Calibri"/>
              </w:rPr>
              <w:t>Novi.</w:t>
            </w:r>
          </w:p>
          <w:p w14:paraId="2A990170" w14:textId="7F170777" w:rsidR="00B16AD6" w:rsidRPr="003C7CB1" w:rsidRDefault="005C5498" w:rsidP="005C5498">
            <w:pPr>
              <w:spacing w:after="120" w:line="240" w:lineRule="auto"/>
              <w:jc w:val="both"/>
              <w:rPr>
                <w:rFonts w:ascii="Calibri" w:eastAsia="Calibri" w:hAnsi="Calibri" w:cs="Calibri"/>
              </w:rPr>
            </w:pPr>
            <w:r w:rsidRPr="003C7CB1">
              <w:rPr>
                <w:rFonts w:ascii="Calibri" w:eastAsia="Calibri" w:hAnsi="Calibri" w:cs="Calibri"/>
              </w:rPr>
              <w:t>Create support programs to connect tourism and agriculture, small business and entrepreneurship</w:t>
            </w:r>
            <w:r w:rsidR="00B16AD6" w:rsidRPr="003C7CB1">
              <w:rPr>
                <w:rFonts w:ascii="Calibri" w:eastAsia="Calibri" w:hAnsi="Calibri" w:cs="Calibri"/>
              </w:rPr>
              <w:t xml:space="preserve">. </w:t>
            </w:r>
          </w:p>
          <w:p w14:paraId="6E8219EC" w14:textId="77777777" w:rsidR="001D0A92" w:rsidRPr="003C7CB1" w:rsidRDefault="001D0A92" w:rsidP="00CD5021">
            <w:pPr>
              <w:spacing w:after="120" w:line="240" w:lineRule="auto"/>
              <w:jc w:val="both"/>
              <w:rPr>
                <w:rFonts w:ascii="Calibri" w:eastAsia="Calibri" w:hAnsi="Calibri" w:cs="Calibri"/>
              </w:rPr>
            </w:pPr>
          </w:p>
          <w:p w14:paraId="4AD8E779" w14:textId="7960EDD8" w:rsidR="00B16AD6" w:rsidRPr="003C7CB1" w:rsidRDefault="005138E4" w:rsidP="00CD5021">
            <w:pPr>
              <w:spacing w:after="120" w:line="240" w:lineRule="auto"/>
              <w:jc w:val="both"/>
              <w:rPr>
                <w:rFonts w:ascii="Calibri" w:eastAsia="Calibri" w:hAnsi="Calibri" w:cs="Calibri"/>
                <w:b/>
                <w:u w:val="single"/>
              </w:rPr>
            </w:pPr>
            <w:r w:rsidRPr="003C7CB1">
              <w:rPr>
                <w:rFonts w:ascii="Calibri" w:eastAsia="Calibri" w:hAnsi="Calibri" w:cs="Calibri"/>
                <w:b/>
                <w:u w:val="single"/>
              </w:rPr>
              <w:t>Hotel standards</w:t>
            </w:r>
          </w:p>
          <w:p w14:paraId="47C59274" w14:textId="11A42015" w:rsidR="005138E4" w:rsidRPr="003C7CB1" w:rsidRDefault="005138E4" w:rsidP="005138E4">
            <w:pPr>
              <w:shd w:val="clear" w:color="auto" w:fill="FFFFFF"/>
              <w:spacing w:after="120" w:line="240" w:lineRule="auto"/>
              <w:jc w:val="both"/>
              <w:rPr>
                <w:rFonts w:ascii="Calibri" w:eastAsia="Calibri" w:hAnsi="Calibri" w:cs="Calibri"/>
              </w:rPr>
            </w:pPr>
            <w:r w:rsidRPr="003C7CB1">
              <w:rPr>
                <w:rFonts w:ascii="Calibri" w:eastAsia="Calibri" w:hAnsi="Calibri" w:cs="Calibri"/>
              </w:rPr>
              <w:t xml:space="preserve">In the first line to the sea, it is necessary to strive for a </w:t>
            </w:r>
            <w:r w:rsidR="006B2751">
              <w:rPr>
                <w:rFonts w:ascii="Calibri" w:eastAsia="Calibri" w:hAnsi="Calibri" w:cs="Calibri"/>
              </w:rPr>
              <w:t xml:space="preserve">4 and 5-star </w:t>
            </w:r>
            <w:r w:rsidRPr="003C7CB1">
              <w:rPr>
                <w:rFonts w:ascii="Calibri" w:eastAsia="Calibri" w:hAnsi="Calibri" w:cs="Calibri"/>
              </w:rPr>
              <w:t>hotel offer, with additional facilities.</w:t>
            </w:r>
          </w:p>
          <w:p w14:paraId="01904B9A" w14:textId="77777777" w:rsidR="005138E4" w:rsidRPr="003C7CB1" w:rsidRDefault="005138E4" w:rsidP="005138E4">
            <w:pPr>
              <w:shd w:val="clear" w:color="auto" w:fill="FFFFFF"/>
              <w:spacing w:after="120" w:line="240" w:lineRule="auto"/>
              <w:jc w:val="both"/>
              <w:rPr>
                <w:rFonts w:ascii="Calibri" w:eastAsia="Calibri" w:hAnsi="Calibri" w:cs="Calibri"/>
              </w:rPr>
            </w:pPr>
            <w:r w:rsidRPr="003C7CB1">
              <w:rPr>
                <w:rFonts w:ascii="Calibri" w:eastAsia="Calibri" w:hAnsi="Calibri" w:cs="Calibri"/>
              </w:rPr>
              <w:t>In the hinterland zone, the hotel offer should be in the category of 3-5 stars, with additional facilities.</w:t>
            </w:r>
          </w:p>
          <w:p w14:paraId="17B11629" w14:textId="77777777" w:rsidR="005138E4" w:rsidRPr="003C7CB1" w:rsidRDefault="005138E4" w:rsidP="005138E4">
            <w:pPr>
              <w:shd w:val="clear" w:color="auto" w:fill="FFFFFF"/>
              <w:spacing w:after="120" w:line="240" w:lineRule="auto"/>
              <w:jc w:val="both"/>
              <w:rPr>
                <w:rFonts w:ascii="Calibri" w:eastAsia="Calibri" w:hAnsi="Calibri" w:cs="Calibri"/>
              </w:rPr>
            </w:pPr>
            <w:r w:rsidRPr="003C7CB1">
              <w:rPr>
                <w:rFonts w:ascii="Calibri" w:eastAsia="Calibri" w:hAnsi="Calibri" w:cs="Calibri"/>
              </w:rPr>
              <w:t>It is necessary to work on increasing the standards of existing accommodation capacities and improving the quality of service in the tourism sector.</w:t>
            </w:r>
          </w:p>
          <w:p w14:paraId="16FE2F78" w14:textId="47A71AA2" w:rsidR="00B16AD6" w:rsidRPr="003C7CB1" w:rsidRDefault="005138E4" w:rsidP="00625DC5">
            <w:pPr>
              <w:shd w:val="clear" w:color="auto" w:fill="FFFFFF"/>
              <w:spacing w:after="120" w:line="240" w:lineRule="auto"/>
              <w:jc w:val="both"/>
              <w:rPr>
                <w:rFonts w:ascii="Calibri" w:eastAsia="Calibri" w:hAnsi="Calibri" w:cs="Calibri"/>
              </w:rPr>
            </w:pPr>
            <w:r w:rsidRPr="003C7CB1">
              <w:rPr>
                <w:rFonts w:ascii="Calibri" w:eastAsia="Calibri" w:hAnsi="Calibri" w:cs="Calibri"/>
              </w:rPr>
              <w:t xml:space="preserve">The goal of positioning is to make the cluster in question a destination with a total of up to 10,000 beds, and with larger tourist complexes with up to 800 beds in the municipality of Herceg Novi, </w:t>
            </w:r>
            <w:proofErr w:type="spellStart"/>
            <w:r w:rsidRPr="003C7CB1">
              <w:rPr>
                <w:rFonts w:ascii="Calibri" w:eastAsia="Calibri" w:hAnsi="Calibri" w:cs="Calibri"/>
              </w:rPr>
              <w:t>Tivat</w:t>
            </w:r>
            <w:proofErr w:type="spellEnd"/>
            <w:r w:rsidRPr="003C7CB1">
              <w:rPr>
                <w:rFonts w:ascii="Calibri" w:eastAsia="Calibri" w:hAnsi="Calibri" w:cs="Calibri"/>
              </w:rPr>
              <w:t xml:space="preserve"> </w:t>
            </w:r>
            <w:r w:rsidR="00AE5C5F">
              <w:rPr>
                <w:rFonts w:ascii="Calibri" w:eastAsia="Calibri" w:hAnsi="Calibri" w:cs="Calibri"/>
              </w:rPr>
              <w:t xml:space="preserve">and on the </w:t>
            </w:r>
            <w:proofErr w:type="spellStart"/>
            <w:r w:rsidR="00AE5C5F">
              <w:rPr>
                <w:rFonts w:ascii="Calibri" w:eastAsia="Calibri" w:hAnsi="Calibri" w:cs="Calibri"/>
              </w:rPr>
              <w:t>Luš</w:t>
            </w:r>
            <w:r w:rsidRPr="003C7CB1">
              <w:rPr>
                <w:rFonts w:ascii="Calibri" w:eastAsia="Calibri" w:hAnsi="Calibri" w:cs="Calibri"/>
              </w:rPr>
              <w:t>tica</w:t>
            </w:r>
            <w:proofErr w:type="spellEnd"/>
            <w:r w:rsidRPr="003C7CB1">
              <w:rPr>
                <w:rFonts w:ascii="Calibri" w:eastAsia="Calibri" w:hAnsi="Calibri" w:cs="Calibri"/>
              </w:rPr>
              <w:t xml:space="preserve"> peninsula (Porto Monten</w:t>
            </w:r>
            <w:r w:rsidR="00AE5C5F">
              <w:rPr>
                <w:rFonts w:ascii="Calibri" w:eastAsia="Calibri" w:hAnsi="Calibri" w:cs="Calibri"/>
              </w:rPr>
              <w:t xml:space="preserve">egro, Porto Novi, </w:t>
            </w:r>
            <w:proofErr w:type="spellStart"/>
            <w:r w:rsidR="00AE5C5F">
              <w:rPr>
                <w:rFonts w:ascii="Calibri" w:eastAsia="Calibri" w:hAnsi="Calibri" w:cs="Calibri"/>
              </w:rPr>
              <w:t>Luš</w:t>
            </w:r>
            <w:r w:rsidR="00625DC5" w:rsidRPr="003C7CB1">
              <w:rPr>
                <w:rFonts w:ascii="Calibri" w:eastAsia="Calibri" w:hAnsi="Calibri" w:cs="Calibri"/>
              </w:rPr>
              <w:t>tica</w:t>
            </w:r>
            <w:proofErr w:type="spellEnd"/>
            <w:r w:rsidR="00625DC5" w:rsidRPr="003C7CB1">
              <w:rPr>
                <w:rFonts w:ascii="Calibri" w:eastAsia="Calibri" w:hAnsi="Calibri" w:cs="Calibri"/>
              </w:rPr>
              <w:t xml:space="preserve"> Bay), and</w:t>
            </w:r>
            <w:r w:rsidRPr="003C7CB1">
              <w:rPr>
                <w:rFonts w:ascii="Calibri" w:eastAsia="Calibri" w:hAnsi="Calibri" w:cs="Calibri"/>
              </w:rPr>
              <w:t xml:space="preserve"> in Kotor and the villages around the bay in the form of small family hotels with a maximum of 100 beds. Individually, there may be dev</w:t>
            </w:r>
            <w:r w:rsidR="00625DC5" w:rsidRPr="003C7CB1">
              <w:rPr>
                <w:rFonts w:ascii="Calibri" w:eastAsia="Calibri" w:hAnsi="Calibri" w:cs="Calibri"/>
              </w:rPr>
              <w:t xml:space="preserve">iations from the </w:t>
            </w:r>
            <w:r w:rsidR="00C65FFD">
              <w:rPr>
                <w:rFonts w:ascii="Calibri" w:eastAsia="Calibri" w:hAnsi="Calibri" w:cs="Calibri"/>
              </w:rPr>
              <w:t>goal</w:t>
            </w:r>
            <w:r w:rsidR="00625DC5" w:rsidRPr="003C7CB1">
              <w:rPr>
                <w:rFonts w:ascii="Calibri" w:eastAsia="Calibri" w:hAnsi="Calibri" w:cs="Calibri"/>
              </w:rPr>
              <w:t xml:space="preserve"> set, </w:t>
            </w:r>
            <w:r w:rsidRPr="003C7CB1">
              <w:rPr>
                <w:rFonts w:ascii="Calibri" w:eastAsia="Calibri" w:hAnsi="Calibri" w:cs="Calibri"/>
              </w:rPr>
              <w:t>if</w:t>
            </w:r>
            <w:r w:rsidR="00625DC5" w:rsidRPr="003C7CB1">
              <w:rPr>
                <w:rFonts w:ascii="Calibri" w:eastAsia="Calibri" w:hAnsi="Calibri" w:cs="Calibri"/>
              </w:rPr>
              <w:t xml:space="preserve"> detailed analyzes justify the implementation </w:t>
            </w:r>
            <w:r w:rsidRPr="003C7CB1">
              <w:rPr>
                <w:rFonts w:ascii="Calibri" w:eastAsia="Calibri" w:hAnsi="Calibri" w:cs="Calibri"/>
              </w:rPr>
              <w:t>of a different concept of investment</w:t>
            </w:r>
            <w:r w:rsidR="00625DC5" w:rsidRPr="003C7CB1">
              <w:rPr>
                <w:rFonts w:ascii="Calibri" w:eastAsia="Calibri" w:hAnsi="Calibri" w:cs="Calibri"/>
              </w:rPr>
              <w:t xml:space="preserve">s.  </w:t>
            </w:r>
          </w:p>
          <w:p w14:paraId="306FC405" w14:textId="463EA786" w:rsidR="00B16AD6" w:rsidRPr="003C7CB1" w:rsidRDefault="00625DC5" w:rsidP="00CD5021">
            <w:pPr>
              <w:spacing w:after="120" w:line="240" w:lineRule="auto"/>
              <w:jc w:val="both"/>
              <w:rPr>
                <w:rFonts w:ascii="Calibri" w:eastAsia="Calibri" w:hAnsi="Calibri" w:cs="Calibri"/>
                <w:b/>
                <w:u w:val="single"/>
              </w:rPr>
            </w:pPr>
            <w:r w:rsidRPr="003C7CB1">
              <w:rPr>
                <w:rFonts w:ascii="Calibri" w:eastAsia="Calibri" w:hAnsi="Calibri" w:cs="Calibri"/>
                <w:b/>
                <w:u w:val="single"/>
              </w:rPr>
              <w:t>Infrastructure</w:t>
            </w:r>
          </w:p>
          <w:p w14:paraId="019C1B29" w14:textId="77777777" w:rsidR="00625DC5" w:rsidRPr="003C7CB1" w:rsidRDefault="00625DC5" w:rsidP="00625DC5">
            <w:pPr>
              <w:spacing w:after="120" w:line="240" w:lineRule="auto"/>
              <w:jc w:val="both"/>
              <w:rPr>
                <w:rFonts w:ascii="Calibri" w:eastAsia="Calibri" w:hAnsi="Calibri" w:cs="Calibri"/>
              </w:rPr>
            </w:pPr>
            <w:r w:rsidRPr="003C7CB1">
              <w:rPr>
                <w:rFonts w:ascii="Calibri" w:eastAsia="Calibri" w:hAnsi="Calibri" w:cs="Calibri"/>
              </w:rPr>
              <w:t>It is necessary to implement activities on:</w:t>
            </w:r>
          </w:p>
          <w:p w14:paraId="5CCAAF3C" w14:textId="77777777" w:rsidR="00625DC5" w:rsidRPr="003C7CB1" w:rsidRDefault="00625DC5" w:rsidP="00625DC5">
            <w:pPr>
              <w:spacing w:after="120" w:line="240" w:lineRule="auto"/>
              <w:jc w:val="both"/>
              <w:rPr>
                <w:rFonts w:ascii="Calibri" w:eastAsia="Calibri" w:hAnsi="Calibri" w:cs="Calibri"/>
              </w:rPr>
            </w:pPr>
            <w:r w:rsidRPr="003C7CB1">
              <w:rPr>
                <w:rFonts w:ascii="Calibri" w:eastAsia="Calibri" w:hAnsi="Calibri" w:cs="Calibri"/>
              </w:rPr>
              <w:t>- Balanced, quality and long-term sustainable development and improvement of traffic and overall infrastructure of the zone in question;</w:t>
            </w:r>
          </w:p>
          <w:p w14:paraId="3A903B39" w14:textId="7CFC993E" w:rsidR="00B16AD6" w:rsidRPr="003C7CB1" w:rsidRDefault="00625DC5" w:rsidP="00625DC5">
            <w:pPr>
              <w:spacing w:after="120" w:line="240" w:lineRule="auto"/>
              <w:jc w:val="both"/>
              <w:rPr>
                <w:rFonts w:ascii="Calibri" w:eastAsia="Calibri" w:hAnsi="Calibri" w:cs="Calibri"/>
              </w:rPr>
            </w:pPr>
            <w:r w:rsidRPr="003C7CB1">
              <w:rPr>
                <w:rFonts w:ascii="Calibri" w:eastAsia="Calibri" w:hAnsi="Calibri" w:cs="Calibri"/>
              </w:rPr>
              <w:lastRenderedPageBreak/>
              <w:t>- Strategic approach to solving utility problems, especially in the municipality of Herceg Novi, which is reflected in the underdeveloped water supply network and lack of wastewater disposal system, insufficient coverage of the sewerage network, lack of wastewater treatment system, poor quality of local roads in rural areas and weak connection of rural areas with the city center, as well as the congestion of the main road during the summer tourist season</w:t>
            </w:r>
            <w:r w:rsidR="009A1DE8" w:rsidRPr="003C7CB1">
              <w:rPr>
                <w:rFonts w:ascii="Calibri" w:eastAsia="Calibri" w:hAnsi="Calibri" w:cs="Calibri"/>
              </w:rPr>
              <w:t>;</w:t>
            </w:r>
            <w:r w:rsidR="00B16AD6" w:rsidRPr="003C7CB1">
              <w:rPr>
                <w:rFonts w:ascii="Calibri" w:eastAsia="Calibri" w:hAnsi="Calibri" w:cs="Calibri"/>
              </w:rPr>
              <w:t xml:space="preserve"> </w:t>
            </w:r>
          </w:p>
          <w:p w14:paraId="7114BA21" w14:textId="77777777" w:rsidR="00625DC5" w:rsidRPr="003C7CB1" w:rsidRDefault="009A1DE8" w:rsidP="00625DC5">
            <w:pPr>
              <w:spacing w:after="120" w:line="240" w:lineRule="auto"/>
              <w:jc w:val="both"/>
              <w:rPr>
                <w:rFonts w:ascii="Calibri" w:eastAsia="Calibri" w:hAnsi="Calibri" w:cs="Calibri"/>
              </w:rPr>
            </w:pPr>
            <w:r w:rsidRPr="003C7CB1">
              <w:rPr>
                <w:rFonts w:ascii="Calibri" w:eastAsia="Calibri" w:hAnsi="Calibri" w:cs="Calibri"/>
              </w:rPr>
              <w:t xml:space="preserve">- </w:t>
            </w:r>
            <w:r w:rsidR="00625DC5" w:rsidRPr="003C7CB1">
              <w:rPr>
                <w:rFonts w:ascii="Calibri" w:eastAsia="Calibri" w:hAnsi="Calibri" w:cs="Calibri"/>
              </w:rPr>
              <w:t>Improvement of inadequate and construction of missing traffic network, especially secondary road network, but also suppression of usurpation of public and private property through temporary facilities;</w:t>
            </w:r>
          </w:p>
          <w:p w14:paraId="43356864" w14:textId="17ECAB45" w:rsidR="00625DC5" w:rsidRPr="003C7CB1" w:rsidRDefault="00625DC5" w:rsidP="00625DC5">
            <w:pPr>
              <w:spacing w:after="120" w:line="240" w:lineRule="auto"/>
              <w:jc w:val="both"/>
              <w:rPr>
                <w:rFonts w:ascii="Calibri" w:eastAsia="Calibri" w:hAnsi="Calibri" w:cs="Calibri"/>
              </w:rPr>
            </w:pPr>
            <w:r w:rsidRPr="003C7CB1">
              <w:rPr>
                <w:rFonts w:ascii="Calibri" w:eastAsia="Calibri" w:hAnsi="Calibri" w:cs="Calibri"/>
              </w:rPr>
              <w:t>- Improvement of the existing a</w:t>
            </w:r>
            <w:r w:rsidR="00F11C2B" w:rsidRPr="003C7CB1">
              <w:rPr>
                <w:rFonts w:ascii="Calibri" w:eastAsia="Calibri" w:hAnsi="Calibri" w:cs="Calibri"/>
              </w:rPr>
              <w:t>nd construction of the missing utility</w:t>
            </w:r>
            <w:r w:rsidRPr="003C7CB1">
              <w:rPr>
                <w:rFonts w:ascii="Calibri" w:eastAsia="Calibri" w:hAnsi="Calibri" w:cs="Calibri"/>
              </w:rPr>
              <w:t xml:space="preserve"> infrastructure in order to supply the population with quality drinking water, with an emphasis on Herceg Novi;</w:t>
            </w:r>
          </w:p>
          <w:p w14:paraId="5FE12005" w14:textId="6BA101BD" w:rsidR="00B16AD6" w:rsidRPr="003C7CB1" w:rsidRDefault="00625DC5" w:rsidP="00625DC5">
            <w:pPr>
              <w:spacing w:after="120" w:line="240" w:lineRule="auto"/>
              <w:jc w:val="both"/>
              <w:rPr>
                <w:rFonts w:ascii="Calibri" w:eastAsia="Calibri" w:hAnsi="Calibri" w:cs="Calibri"/>
                <w:b/>
                <w:bCs/>
                <w:color w:val="000000"/>
                <w:sz w:val="40"/>
                <w:szCs w:val="40"/>
                <w:lang w:eastAsia="hr-HR"/>
              </w:rPr>
            </w:pPr>
            <w:r w:rsidRPr="003C7CB1">
              <w:rPr>
                <w:rFonts w:ascii="Calibri" w:eastAsia="Calibri" w:hAnsi="Calibri" w:cs="Calibri"/>
              </w:rPr>
              <w:t xml:space="preserve">- Implement the project of water supply and sewerage in the Bay of Kotor - construction of sewerage system for the settlements </w:t>
            </w:r>
            <w:r w:rsidR="00AE5C5F">
              <w:rPr>
                <w:rFonts w:ascii="Calibri" w:eastAsia="Calibri" w:hAnsi="Calibri" w:cs="Calibri"/>
              </w:rPr>
              <w:t xml:space="preserve">of </w:t>
            </w:r>
            <w:proofErr w:type="spellStart"/>
            <w:r w:rsidR="00AE5C5F">
              <w:rPr>
                <w:rFonts w:ascii="Calibri" w:eastAsia="Calibri" w:hAnsi="Calibri" w:cs="Calibri"/>
              </w:rPr>
              <w:t>Risan</w:t>
            </w:r>
            <w:proofErr w:type="spellEnd"/>
            <w:r w:rsidR="00AE5C5F">
              <w:rPr>
                <w:rFonts w:ascii="Calibri" w:eastAsia="Calibri" w:hAnsi="Calibri" w:cs="Calibri"/>
              </w:rPr>
              <w:t xml:space="preserve">, </w:t>
            </w:r>
            <w:proofErr w:type="spellStart"/>
            <w:r w:rsidR="00AE5C5F">
              <w:rPr>
                <w:rFonts w:ascii="Calibri" w:eastAsia="Calibri" w:hAnsi="Calibri" w:cs="Calibri"/>
              </w:rPr>
              <w:t>Perast</w:t>
            </w:r>
            <w:proofErr w:type="spellEnd"/>
            <w:r w:rsidR="00AE5C5F">
              <w:rPr>
                <w:rFonts w:ascii="Calibri" w:eastAsia="Calibri" w:hAnsi="Calibri" w:cs="Calibri"/>
              </w:rPr>
              <w:t xml:space="preserve">, </w:t>
            </w:r>
            <w:proofErr w:type="spellStart"/>
            <w:r w:rsidR="00AE5C5F">
              <w:rPr>
                <w:rFonts w:ascii="Calibri" w:eastAsia="Calibri" w:hAnsi="Calibri" w:cs="Calibri"/>
              </w:rPr>
              <w:t>Stoliv</w:t>
            </w:r>
            <w:proofErr w:type="spellEnd"/>
            <w:r w:rsidR="00AE5C5F">
              <w:rPr>
                <w:rFonts w:ascii="Calibri" w:eastAsia="Calibri" w:hAnsi="Calibri" w:cs="Calibri"/>
              </w:rPr>
              <w:t xml:space="preserve"> and </w:t>
            </w:r>
            <w:proofErr w:type="spellStart"/>
            <w:r w:rsidR="00AE5C5F">
              <w:rPr>
                <w:rFonts w:ascii="Calibri" w:eastAsia="Calibri" w:hAnsi="Calibri" w:cs="Calibri"/>
              </w:rPr>
              <w:t>Prč</w:t>
            </w:r>
            <w:r w:rsidRPr="003C7CB1">
              <w:rPr>
                <w:rFonts w:ascii="Calibri" w:eastAsia="Calibri" w:hAnsi="Calibri" w:cs="Calibri"/>
              </w:rPr>
              <w:t>anj</w:t>
            </w:r>
            <w:proofErr w:type="spellEnd"/>
            <w:r w:rsidRPr="003C7CB1">
              <w:rPr>
                <w:rFonts w:ascii="Calibri" w:eastAsia="Calibri" w:hAnsi="Calibri" w:cs="Calibri"/>
              </w:rPr>
              <w:t xml:space="preserve"> which will collect wastewater from these settlements and transport it to the conne</w:t>
            </w:r>
            <w:r w:rsidR="00F11C2B" w:rsidRPr="003C7CB1">
              <w:rPr>
                <w:rFonts w:ascii="Calibri" w:eastAsia="Calibri" w:hAnsi="Calibri" w:cs="Calibri"/>
              </w:rPr>
              <w:t>ction with the central collection</w:t>
            </w:r>
            <w:r w:rsidRPr="003C7CB1">
              <w:rPr>
                <w:rFonts w:ascii="Calibri" w:eastAsia="Calibri" w:hAnsi="Calibri" w:cs="Calibri"/>
              </w:rPr>
              <w:t xml:space="preserve"> system of the Municipality of Kotor</w:t>
            </w:r>
            <w:r w:rsidR="00B16AD6" w:rsidRPr="003C7CB1">
              <w:rPr>
                <w:rFonts w:ascii="Calibri" w:eastAsia="Calibri" w:hAnsi="Calibri" w:cs="Calibri"/>
                <w:bCs/>
                <w:lang w:eastAsia="hr-HR"/>
              </w:rPr>
              <w:t>.</w:t>
            </w:r>
          </w:p>
        </w:tc>
      </w:tr>
    </w:tbl>
    <w:p w14:paraId="4FC4587D" w14:textId="14B46A14" w:rsidR="00B16AD6" w:rsidRPr="003C7CB1" w:rsidRDefault="00B16AD6" w:rsidP="00CD5021">
      <w:pPr>
        <w:spacing w:after="120" w:line="240" w:lineRule="auto"/>
        <w:jc w:val="both"/>
        <w:rPr>
          <w:rFonts w:ascii="Calibri" w:eastAsia="Calibri" w:hAnsi="Calibri" w:cs="Calibri"/>
          <w:b/>
          <w:bCs/>
          <w:color w:val="000000"/>
          <w:sz w:val="16"/>
          <w:szCs w:val="16"/>
          <w:lang w:eastAsia="hr-HR"/>
        </w:rPr>
      </w:pPr>
    </w:p>
    <w:p w14:paraId="07EFD22B" w14:textId="203D0E16" w:rsidR="00CF0F45" w:rsidRPr="003C7CB1" w:rsidRDefault="00CF0F45" w:rsidP="00CD5021">
      <w:pPr>
        <w:spacing w:after="120" w:line="240" w:lineRule="auto"/>
        <w:jc w:val="both"/>
        <w:rPr>
          <w:rFonts w:ascii="Calibri" w:eastAsia="Calibri" w:hAnsi="Calibri" w:cs="Calibri"/>
          <w:b/>
          <w:bCs/>
          <w:color w:val="000000"/>
          <w:sz w:val="16"/>
          <w:szCs w:val="16"/>
          <w:lang w:eastAsia="hr-HR"/>
        </w:rPr>
      </w:pPr>
    </w:p>
    <w:p w14:paraId="61521EC2" w14:textId="2672DE3B" w:rsidR="005968B4" w:rsidRPr="003C7CB1" w:rsidRDefault="005968B4" w:rsidP="00CD5021">
      <w:pPr>
        <w:spacing w:after="120" w:line="240" w:lineRule="auto"/>
        <w:jc w:val="both"/>
        <w:rPr>
          <w:rFonts w:ascii="Calibri" w:eastAsia="Calibri" w:hAnsi="Calibri" w:cs="Calibri"/>
          <w:b/>
          <w:bCs/>
          <w:color w:val="000000"/>
          <w:sz w:val="16"/>
          <w:szCs w:val="16"/>
          <w:lang w:eastAsia="hr-HR"/>
        </w:rPr>
      </w:pPr>
    </w:p>
    <w:p w14:paraId="1FC44A89" w14:textId="486C4016" w:rsidR="005968B4" w:rsidRPr="003C7CB1" w:rsidRDefault="005968B4" w:rsidP="00CD5021">
      <w:pPr>
        <w:spacing w:after="120" w:line="240" w:lineRule="auto"/>
        <w:jc w:val="both"/>
        <w:rPr>
          <w:rFonts w:ascii="Calibri" w:eastAsia="Calibri" w:hAnsi="Calibri" w:cs="Calibri"/>
          <w:b/>
          <w:bCs/>
          <w:color w:val="000000"/>
          <w:sz w:val="16"/>
          <w:szCs w:val="16"/>
          <w:lang w:eastAsia="hr-HR"/>
        </w:rPr>
      </w:pPr>
    </w:p>
    <w:p w14:paraId="7BE36F6B" w14:textId="77777777" w:rsidR="005968B4" w:rsidRPr="003C7CB1" w:rsidRDefault="005968B4" w:rsidP="00CD5021">
      <w:pPr>
        <w:spacing w:after="120" w:line="240" w:lineRule="auto"/>
        <w:jc w:val="both"/>
        <w:rPr>
          <w:rFonts w:ascii="Calibri" w:eastAsia="Calibri" w:hAnsi="Calibri" w:cs="Calibri"/>
          <w:b/>
          <w:bCs/>
          <w:color w:val="000000"/>
          <w:sz w:val="16"/>
          <w:szCs w:val="16"/>
          <w:lang w:eastAsia="hr-HR"/>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932"/>
      </w:tblGrid>
      <w:tr w:rsidR="00B16AD6" w:rsidRPr="003C7CB1" w14:paraId="63980461" w14:textId="77777777" w:rsidTr="0074157A">
        <w:tc>
          <w:tcPr>
            <w:tcW w:w="9781" w:type="dxa"/>
            <w:gridSpan w:val="2"/>
            <w:shd w:val="clear" w:color="auto" w:fill="D9E2F3" w:themeFill="accent1" w:themeFillTint="33"/>
          </w:tcPr>
          <w:p w14:paraId="3A838BD4" w14:textId="752BD183" w:rsidR="00B16AD6" w:rsidRPr="003C7CB1" w:rsidRDefault="00F11C2B" w:rsidP="00F11C2B">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TOURISM PRODUCT</w:t>
            </w:r>
          </w:p>
        </w:tc>
      </w:tr>
      <w:tr w:rsidR="00B16AD6" w:rsidRPr="003C7CB1" w14:paraId="1D9F63F0" w14:textId="77777777" w:rsidTr="0074157A">
        <w:trPr>
          <w:trHeight w:val="219"/>
        </w:trPr>
        <w:tc>
          <w:tcPr>
            <w:tcW w:w="4849" w:type="dxa"/>
            <w:shd w:val="clear" w:color="auto" w:fill="EDEDED" w:themeFill="accent3" w:themeFillTint="33"/>
          </w:tcPr>
          <w:p w14:paraId="59ECD833" w14:textId="3AA87884" w:rsidR="00B16AD6" w:rsidRPr="003C7CB1" w:rsidRDefault="00F11C2B"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Main tourism products</w:t>
            </w:r>
          </w:p>
        </w:tc>
        <w:tc>
          <w:tcPr>
            <w:tcW w:w="4932" w:type="dxa"/>
            <w:shd w:val="clear" w:color="auto" w:fill="EDEDED" w:themeFill="accent3" w:themeFillTint="33"/>
          </w:tcPr>
          <w:p w14:paraId="6E2F09FF" w14:textId="5E8309F8" w:rsidR="00B16AD6" w:rsidRPr="003C7CB1" w:rsidRDefault="00F11C2B"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Additional tourism products</w:t>
            </w:r>
          </w:p>
        </w:tc>
      </w:tr>
      <w:tr w:rsidR="00B16AD6" w:rsidRPr="003C7CB1" w14:paraId="3A254C5C" w14:textId="77777777" w:rsidTr="0074157A">
        <w:trPr>
          <w:trHeight w:val="792"/>
        </w:trPr>
        <w:tc>
          <w:tcPr>
            <w:tcW w:w="4849" w:type="dxa"/>
          </w:tcPr>
          <w:p w14:paraId="63CE1B39" w14:textId="77777777" w:rsidR="00F11C2B" w:rsidRPr="003C7CB1" w:rsidRDefault="00F11C2B"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High quality and exclusive resorts and hotels with developed MICE and spa &amp; wellness offer</w:t>
            </w:r>
          </w:p>
          <w:p w14:paraId="74F756AF" w14:textId="7019E498" w:rsidR="00F11C2B" w:rsidRPr="003C7CB1" w:rsidRDefault="00F11C2B"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Health tourism</w:t>
            </w:r>
          </w:p>
          <w:p w14:paraId="4FC576E0" w14:textId="4C1792B1" w:rsidR="00F11C2B" w:rsidRPr="003C7CB1" w:rsidRDefault="00F11C2B"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Nautical tourism</w:t>
            </w:r>
          </w:p>
          <w:p w14:paraId="656E6097" w14:textId="7FA4F11D" w:rsidR="00F11C2B" w:rsidRPr="003C7CB1" w:rsidRDefault="00F11C2B"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Cultural tourism - museums, castles, religious buildings, archeological sites, authentic architecture, </w:t>
            </w:r>
            <w:proofErr w:type="spellStart"/>
            <w:r w:rsidRPr="003C7CB1">
              <w:rPr>
                <w:rFonts w:ascii="Calibri" w:eastAsia="Calibri" w:hAnsi="Calibri" w:cs="Calibri"/>
                <w:bCs/>
                <w:color w:val="000000"/>
                <w:lang w:eastAsia="hr-HR"/>
              </w:rPr>
              <w:t>Boka</w:t>
            </w:r>
            <w:proofErr w:type="spellEnd"/>
            <w:r w:rsidRPr="003C7CB1">
              <w:rPr>
                <w:rFonts w:ascii="Calibri" w:eastAsia="Calibri" w:hAnsi="Calibri" w:cs="Calibri"/>
                <w:bCs/>
                <w:color w:val="000000"/>
                <w:lang w:eastAsia="hr-HR"/>
              </w:rPr>
              <w:t xml:space="preserve"> Night, </w:t>
            </w:r>
            <w:proofErr w:type="spellStart"/>
            <w:r w:rsidRPr="003C7CB1">
              <w:rPr>
                <w:rFonts w:ascii="Calibri" w:eastAsia="Calibri" w:hAnsi="Calibri" w:cs="Calibri"/>
                <w:bCs/>
                <w:color w:val="000000"/>
                <w:lang w:eastAsia="hr-HR"/>
              </w:rPr>
              <w:t>Fašinada</w:t>
            </w:r>
            <w:proofErr w:type="spellEnd"/>
            <w:r w:rsidRPr="003C7CB1">
              <w:rPr>
                <w:rFonts w:ascii="Calibri" w:eastAsia="Calibri" w:hAnsi="Calibri" w:cs="Calibri"/>
                <w:bCs/>
                <w:color w:val="000000"/>
                <w:lang w:eastAsia="hr-HR"/>
              </w:rPr>
              <w:t xml:space="preserve"> (intangible cultural assets - customs, rituals, ceremonies)</w:t>
            </w:r>
          </w:p>
          <w:p w14:paraId="74A81FE4" w14:textId="6EA333F1" w:rsidR="00B16AD6" w:rsidRPr="003C7CB1" w:rsidRDefault="00AE5C5F"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Gastronomic</w:t>
            </w:r>
            <w:r w:rsidR="00F11C2B" w:rsidRPr="003C7CB1">
              <w:rPr>
                <w:rFonts w:ascii="Calibri" w:eastAsia="Calibri" w:hAnsi="Calibri" w:cs="Calibri"/>
                <w:bCs/>
                <w:color w:val="000000"/>
                <w:lang w:eastAsia="hr-HR"/>
              </w:rPr>
              <w:t xml:space="preserve"> tourism</w:t>
            </w:r>
          </w:p>
        </w:tc>
        <w:tc>
          <w:tcPr>
            <w:tcW w:w="4932" w:type="dxa"/>
          </w:tcPr>
          <w:p w14:paraId="18ED3761" w14:textId="77777777" w:rsidR="00F11C2B" w:rsidRPr="003C7CB1" w:rsidRDefault="00F11C2B"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Diving tourism</w:t>
            </w:r>
          </w:p>
          <w:p w14:paraId="5F7244FA" w14:textId="71004F24" w:rsidR="00F11C2B" w:rsidRPr="003C7CB1" w:rsidRDefault="00F11C2B" w:rsidP="00F11C2B">
            <w:pPr>
              <w:numPr>
                <w:ilvl w:val="0"/>
                <w:numId w:val="20"/>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Event tourism</w:t>
            </w:r>
          </w:p>
          <w:p w14:paraId="16AE5CA8" w14:textId="3C965080" w:rsidR="00B16AD6" w:rsidRPr="003C7CB1" w:rsidRDefault="00F11C2B" w:rsidP="00F11C2B">
            <w:pPr>
              <w:numPr>
                <w:ilvl w:val="0"/>
                <w:numId w:val="20"/>
              </w:numPr>
              <w:spacing w:after="120" w:line="240" w:lineRule="auto"/>
              <w:contextualSpacing/>
              <w:rPr>
                <w:rFonts w:ascii="Calibri" w:eastAsia="Calibri" w:hAnsi="Calibri" w:cs="Calibri"/>
                <w:bCs/>
                <w:color w:val="000000"/>
                <w:lang w:eastAsia="hr-HR"/>
              </w:rPr>
            </w:pPr>
            <w:r w:rsidRPr="003C7CB1">
              <w:rPr>
                <w:rFonts w:ascii="Calibri" w:eastAsia="Calibri" w:hAnsi="Calibri" w:cs="Calibri"/>
                <w:bCs/>
                <w:color w:val="000000"/>
                <w:lang w:eastAsia="hr-HR"/>
              </w:rPr>
              <w:t>Excursion tourism</w:t>
            </w:r>
          </w:p>
        </w:tc>
      </w:tr>
    </w:tbl>
    <w:p w14:paraId="3D3AA9BC" w14:textId="10295797" w:rsidR="00B16AD6" w:rsidRPr="003C7CB1" w:rsidRDefault="00B16AD6" w:rsidP="00CD5021">
      <w:pPr>
        <w:spacing w:after="120" w:line="240" w:lineRule="auto"/>
        <w:rPr>
          <w:rFonts w:ascii="Calibri" w:eastAsia="Calibri" w:hAnsi="Calibri" w:cs="Calibri"/>
          <w:sz w:val="24"/>
          <w:szCs w:val="24"/>
          <w:lang w:eastAsia="hr-HR"/>
        </w:rPr>
      </w:pPr>
    </w:p>
    <w:p w14:paraId="1D120237" w14:textId="6699711F" w:rsidR="001D0A92" w:rsidRPr="003C7CB1" w:rsidRDefault="001D0A92" w:rsidP="00CD5021">
      <w:pPr>
        <w:spacing w:after="120" w:line="240" w:lineRule="auto"/>
        <w:rPr>
          <w:rFonts w:ascii="Calibri" w:eastAsia="Calibri" w:hAnsi="Calibri" w:cs="Calibri"/>
          <w:sz w:val="24"/>
          <w:szCs w:val="24"/>
          <w:lang w:eastAsia="hr-HR"/>
        </w:rPr>
      </w:pPr>
    </w:p>
    <w:p w14:paraId="27959ACA" w14:textId="315FF9C5" w:rsidR="005E5F65" w:rsidRPr="003C7CB1" w:rsidRDefault="005E5F65" w:rsidP="00CD5021">
      <w:pPr>
        <w:spacing w:after="120" w:line="240" w:lineRule="auto"/>
        <w:rPr>
          <w:rFonts w:ascii="Calibri" w:eastAsia="Calibri" w:hAnsi="Calibri" w:cs="Calibri"/>
          <w:sz w:val="24"/>
          <w:szCs w:val="24"/>
          <w:lang w:eastAsia="hr-HR"/>
        </w:rPr>
      </w:pPr>
    </w:p>
    <w:p w14:paraId="49FDD1DC" w14:textId="2968AFDA" w:rsidR="005E5F65" w:rsidRPr="003C7CB1" w:rsidRDefault="005E5F65" w:rsidP="00CD5021">
      <w:pPr>
        <w:spacing w:after="120" w:line="240" w:lineRule="auto"/>
        <w:rPr>
          <w:rFonts w:ascii="Calibri" w:eastAsia="Calibri" w:hAnsi="Calibri" w:cs="Calibri"/>
          <w:sz w:val="24"/>
          <w:szCs w:val="24"/>
          <w:lang w:eastAsia="hr-HR"/>
        </w:rPr>
      </w:pPr>
    </w:p>
    <w:p w14:paraId="302F0A40" w14:textId="17A8FABD" w:rsidR="005E5F65" w:rsidRPr="003C7CB1" w:rsidRDefault="005E5F65" w:rsidP="00CD5021">
      <w:pPr>
        <w:spacing w:after="120" w:line="240" w:lineRule="auto"/>
        <w:rPr>
          <w:rFonts w:ascii="Calibri" w:eastAsia="Calibri" w:hAnsi="Calibri" w:cs="Calibri"/>
          <w:sz w:val="24"/>
          <w:szCs w:val="24"/>
          <w:lang w:eastAsia="hr-HR"/>
        </w:rPr>
      </w:pPr>
    </w:p>
    <w:p w14:paraId="5DFF6D43" w14:textId="3F5B9814" w:rsidR="005E5F65" w:rsidRDefault="00F11C2B" w:rsidP="00CD5021">
      <w:pPr>
        <w:spacing w:after="120" w:line="240" w:lineRule="auto"/>
        <w:rPr>
          <w:rFonts w:ascii="Calibri" w:eastAsia="Calibri" w:hAnsi="Calibri" w:cs="Calibri"/>
          <w:sz w:val="24"/>
          <w:szCs w:val="24"/>
          <w:lang w:eastAsia="hr-HR"/>
        </w:rPr>
      </w:pPr>
      <w:r w:rsidRPr="003C7CB1">
        <w:rPr>
          <w:rFonts w:ascii="Calibri" w:eastAsia="Calibri" w:hAnsi="Calibri" w:cs="Calibri"/>
          <w:sz w:val="24"/>
          <w:szCs w:val="24"/>
          <w:lang w:eastAsia="hr-HR"/>
        </w:rPr>
        <w:br/>
      </w:r>
    </w:p>
    <w:p w14:paraId="37E610E1" w14:textId="7E64B884" w:rsidR="008B4390" w:rsidRDefault="008B4390" w:rsidP="00CD5021">
      <w:pPr>
        <w:spacing w:after="120" w:line="240" w:lineRule="auto"/>
        <w:rPr>
          <w:rFonts w:ascii="Calibri" w:eastAsia="Calibri" w:hAnsi="Calibri" w:cs="Calibri"/>
          <w:sz w:val="24"/>
          <w:szCs w:val="24"/>
          <w:lang w:eastAsia="hr-HR"/>
        </w:rPr>
      </w:pPr>
    </w:p>
    <w:p w14:paraId="79079CA1" w14:textId="77777777" w:rsidR="008B4390" w:rsidRPr="003C7CB1" w:rsidRDefault="008B4390" w:rsidP="00CD5021">
      <w:pPr>
        <w:spacing w:after="120" w:line="240" w:lineRule="auto"/>
        <w:rPr>
          <w:rFonts w:ascii="Calibri" w:eastAsia="Calibri" w:hAnsi="Calibri" w:cs="Calibri"/>
          <w:sz w:val="24"/>
          <w:szCs w:val="24"/>
          <w:lang w:eastAsia="hr-HR"/>
        </w:rPr>
      </w:pPr>
    </w:p>
    <w:p w14:paraId="449241E4" w14:textId="77777777" w:rsidR="00F11C2B" w:rsidRPr="003C7CB1" w:rsidRDefault="00F11C2B" w:rsidP="00CD5021">
      <w:pPr>
        <w:spacing w:after="120" w:line="240" w:lineRule="auto"/>
        <w:rPr>
          <w:rFonts w:ascii="Calibri" w:eastAsia="Calibri" w:hAnsi="Calibri" w:cs="Calibri"/>
          <w:sz w:val="24"/>
          <w:szCs w:val="24"/>
          <w:lang w:eastAsia="hr-HR"/>
        </w:rPr>
      </w:pPr>
    </w:p>
    <w:p w14:paraId="0CE31825" w14:textId="77777777" w:rsidR="005E5F65" w:rsidRPr="003C7CB1" w:rsidRDefault="005E5F65" w:rsidP="00CD5021">
      <w:pPr>
        <w:spacing w:after="120" w:line="240" w:lineRule="auto"/>
        <w:rPr>
          <w:rFonts w:ascii="Calibri" w:eastAsia="Calibri" w:hAnsi="Calibri" w:cs="Calibri"/>
          <w:sz w:val="24"/>
          <w:szCs w:val="24"/>
          <w:lang w:eastAsia="hr-HR"/>
        </w:rPr>
      </w:pPr>
    </w:p>
    <w:tbl>
      <w:tblPr>
        <w:tblStyle w:val="TableGrid"/>
        <w:tblW w:w="0" w:type="auto"/>
        <w:tblLook w:val="04A0" w:firstRow="1" w:lastRow="0" w:firstColumn="1" w:lastColumn="0" w:noHBand="0" w:noVBand="1"/>
      </w:tblPr>
      <w:tblGrid>
        <w:gridCol w:w="9629"/>
      </w:tblGrid>
      <w:tr w:rsidR="00B16AD6" w:rsidRPr="003C7CB1" w14:paraId="0901A0A3" w14:textId="77777777" w:rsidTr="00B16AD6">
        <w:tc>
          <w:tcPr>
            <w:tcW w:w="9855" w:type="dxa"/>
            <w:shd w:val="clear" w:color="auto" w:fill="D9E2F3" w:themeFill="accent1" w:themeFillTint="33"/>
          </w:tcPr>
          <w:p w14:paraId="3013A0B5" w14:textId="60F413B5" w:rsidR="00F11C2B" w:rsidRPr="003C7CB1" w:rsidRDefault="00F11C2B" w:rsidP="00F11C2B">
            <w:pPr>
              <w:spacing w:after="120" w:line="240" w:lineRule="auto"/>
              <w:jc w:val="center"/>
              <w:rPr>
                <w:rFonts w:ascii="Calibri" w:eastAsia="Calibri" w:hAnsi="Calibri" w:cs="Calibri"/>
                <w:b/>
                <w:color w:val="2F5496" w:themeColor="accent1" w:themeShade="BF"/>
                <w:sz w:val="24"/>
                <w:szCs w:val="24"/>
                <w:lang w:eastAsia="hr-HR"/>
              </w:rPr>
            </w:pPr>
            <w:r w:rsidRPr="003C7CB1">
              <w:rPr>
                <w:rFonts w:ascii="Calibri" w:eastAsia="Calibri" w:hAnsi="Calibri" w:cs="Calibri"/>
                <w:b/>
                <w:color w:val="2F5496" w:themeColor="accent1" w:themeShade="BF"/>
                <w:sz w:val="24"/>
                <w:szCs w:val="24"/>
                <w:lang w:eastAsia="hr-HR"/>
              </w:rPr>
              <w:lastRenderedPageBreak/>
              <w:t>VISION OF DEVELOPMENT OF THE CENTRAL REGION</w:t>
            </w:r>
          </w:p>
          <w:p w14:paraId="07A2BB8C" w14:textId="1E36139F" w:rsidR="00B16AD6" w:rsidRPr="003C7CB1" w:rsidRDefault="00F11C2B" w:rsidP="00640F1C">
            <w:pPr>
              <w:spacing w:after="120" w:line="240" w:lineRule="auto"/>
              <w:jc w:val="both"/>
              <w:rPr>
                <w:rFonts w:ascii="Calibri" w:eastAsia="Calibri" w:hAnsi="Calibri" w:cs="Calibri"/>
                <w:b/>
                <w:sz w:val="24"/>
                <w:szCs w:val="24"/>
                <w:lang w:eastAsia="hr-HR"/>
              </w:rPr>
            </w:pPr>
            <w:r w:rsidRPr="003C7CB1">
              <w:rPr>
                <w:rFonts w:ascii="Calibri" w:eastAsia="Calibri" w:hAnsi="Calibri" w:cs="Calibri"/>
                <w:b/>
                <w:color w:val="2F5496" w:themeColor="accent1" w:themeShade="BF"/>
                <w:sz w:val="24"/>
                <w:szCs w:val="24"/>
                <w:lang w:eastAsia="hr-HR"/>
              </w:rPr>
              <w:t xml:space="preserve">"The Central Region, through its diversity of experiences throughout the year, creates a motive to visit an innovative, advanced and attractive area that combines the urban and rural character of Montenegro." </w:t>
            </w:r>
            <w:r w:rsidRPr="003C7CB1">
              <w:rPr>
                <w:rFonts w:ascii="Calibri" w:eastAsia="Calibri" w:hAnsi="Calibri" w:cs="Calibri"/>
                <w:color w:val="2F5496" w:themeColor="accent1" w:themeShade="BF"/>
                <w:sz w:val="24"/>
                <w:szCs w:val="24"/>
                <w:lang w:eastAsia="hr-HR"/>
              </w:rPr>
              <w:t>- Concept of the Spatial Plan of Montenegro until 2040.</w:t>
            </w:r>
          </w:p>
        </w:tc>
      </w:tr>
    </w:tbl>
    <w:p w14:paraId="1E7C383A" w14:textId="77777777" w:rsidR="00B16AD6" w:rsidRPr="003C7CB1" w:rsidRDefault="00B16AD6" w:rsidP="00CD5021">
      <w:pPr>
        <w:spacing w:after="120" w:line="240" w:lineRule="auto"/>
        <w:rPr>
          <w:rFonts w:ascii="Calibri" w:eastAsia="Calibri" w:hAnsi="Calibri" w:cs="Calibri"/>
          <w:lang w:eastAsia="hr-HR"/>
        </w:rPr>
      </w:pPr>
    </w:p>
    <w:p w14:paraId="1E85C697" w14:textId="77777777" w:rsidR="00B16AD6" w:rsidRPr="003C7CB1" w:rsidRDefault="00B16AD6" w:rsidP="00CD5021">
      <w:pPr>
        <w:spacing w:after="120" w:line="240" w:lineRule="auto"/>
        <w:rPr>
          <w:rFonts w:ascii="Calibri" w:eastAsia="Calibri" w:hAnsi="Calibri" w:cs="Calibri"/>
          <w:lang w:eastAsia="hr-HR"/>
        </w:rPr>
      </w:pPr>
    </w:p>
    <w:p w14:paraId="0D204734" w14:textId="21D39DC0" w:rsidR="007B3399" w:rsidRPr="003C7CB1" w:rsidRDefault="00B16AD6" w:rsidP="00CD5021">
      <w:pPr>
        <w:pStyle w:val="Heading2"/>
        <w:spacing w:before="0" w:after="120" w:line="240" w:lineRule="auto"/>
        <w:rPr>
          <w:rFonts w:eastAsia="Times New Roman"/>
          <w:sz w:val="26"/>
          <w:lang w:eastAsia="hr-HR"/>
        </w:rPr>
      </w:pPr>
      <w:bookmarkStart w:id="263" w:name="_Toc88082173"/>
      <w:bookmarkStart w:id="264" w:name="_Toc91286740"/>
      <w:bookmarkStart w:id="265" w:name="_Toc95303059"/>
      <w:bookmarkStart w:id="266" w:name="_Toc104544219"/>
      <w:r w:rsidRPr="003C7CB1">
        <w:rPr>
          <w:rFonts w:eastAsia="Times New Roman"/>
          <w:sz w:val="26"/>
          <w:lang w:eastAsia="hr-HR"/>
        </w:rPr>
        <w:t>1</w:t>
      </w:r>
      <w:r w:rsidR="00E729DA" w:rsidRPr="003C7CB1">
        <w:rPr>
          <w:rFonts w:eastAsia="Times New Roman"/>
          <w:sz w:val="26"/>
          <w:lang w:eastAsia="hr-HR"/>
        </w:rPr>
        <w:t>5</w:t>
      </w:r>
      <w:r w:rsidRPr="003C7CB1">
        <w:rPr>
          <w:rFonts w:eastAsia="Times New Roman"/>
          <w:sz w:val="26"/>
          <w:lang w:eastAsia="hr-HR"/>
        </w:rPr>
        <w:t xml:space="preserve">.5. </w:t>
      </w:r>
      <w:r w:rsidR="00F11C2B" w:rsidRPr="003C7CB1">
        <w:rPr>
          <w:rFonts w:eastAsia="Times New Roman"/>
          <w:sz w:val="26"/>
          <w:lang w:eastAsia="hr-HR"/>
        </w:rPr>
        <w:t>TOURISM CLUSTER</w:t>
      </w:r>
      <w:r w:rsidRPr="003C7CB1">
        <w:rPr>
          <w:rFonts w:eastAsia="Times New Roman"/>
          <w:sz w:val="26"/>
          <w:lang w:eastAsia="hr-HR"/>
        </w:rPr>
        <w:t xml:space="preserve"> 5 – </w:t>
      </w:r>
      <w:bookmarkStart w:id="267" w:name="_Hlk86165978"/>
      <w:bookmarkEnd w:id="263"/>
      <w:bookmarkEnd w:id="264"/>
      <w:bookmarkEnd w:id="265"/>
      <w:r w:rsidR="00F11C2B" w:rsidRPr="003C7CB1">
        <w:rPr>
          <w:rFonts w:eastAsia="Times New Roman"/>
          <w:sz w:val="26"/>
          <w:lang w:eastAsia="hr-HR"/>
        </w:rPr>
        <w:t>The Old Royal Capital Cetinje</w:t>
      </w:r>
      <w:bookmarkEnd w:id="266"/>
      <w:r w:rsidRPr="003C7CB1">
        <w:rPr>
          <w:rFonts w:eastAsia="Times New Roman"/>
          <w:sz w:val="26"/>
          <w:lang w:eastAsia="hr-HR"/>
        </w:rPr>
        <w:t xml:space="preserve">  </w:t>
      </w:r>
    </w:p>
    <w:tbl>
      <w:tblPr>
        <w:tblStyle w:val="TableGrid4"/>
        <w:tblW w:w="9889" w:type="dxa"/>
        <w:tblLook w:val="04A0" w:firstRow="1" w:lastRow="0" w:firstColumn="1" w:lastColumn="0" w:noHBand="0" w:noVBand="1"/>
      </w:tblPr>
      <w:tblGrid>
        <w:gridCol w:w="9889"/>
      </w:tblGrid>
      <w:tr w:rsidR="00B16AD6" w:rsidRPr="003C7CB1" w14:paraId="1B6D4582" w14:textId="77777777" w:rsidTr="00B16AD6">
        <w:tc>
          <w:tcPr>
            <w:tcW w:w="9889" w:type="dxa"/>
            <w:shd w:val="clear" w:color="auto" w:fill="B4C6E7" w:themeFill="accent1" w:themeFillTint="66"/>
          </w:tcPr>
          <w:p w14:paraId="2A586025" w14:textId="745640D9" w:rsidR="00B16AD6" w:rsidRPr="003C7CB1" w:rsidRDefault="00F11C2B" w:rsidP="00CD5021">
            <w:pPr>
              <w:spacing w:after="120" w:line="240" w:lineRule="auto"/>
              <w:jc w:val="center"/>
              <w:rPr>
                <w:rFonts w:ascii="Calibri" w:eastAsia="Calibri" w:hAnsi="Calibri" w:cs="Calibri"/>
                <w:b/>
                <w:shd w:val="clear" w:color="auto" w:fill="FFFFFF"/>
              </w:rPr>
            </w:pPr>
            <w:r w:rsidRPr="003C7CB1">
              <w:rPr>
                <w:rFonts w:ascii="Calibri" w:eastAsia="Calibri" w:hAnsi="Calibri" w:cs="Calibri"/>
                <w:b/>
                <w:bCs/>
                <w:color w:val="1F3864"/>
                <w:lang w:eastAsia="hr-HR"/>
              </w:rPr>
              <w:t>CHARACTERISTICS</w:t>
            </w:r>
          </w:p>
        </w:tc>
      </w:tr>
      <w:tr w:rsidR="00B16AD6" w:rsidRPr="003C7CB1" w14:paraId="6E515813" w14:textId="77777777" w:rsidTr="00B16AD6">
        <w:tc>
          <w:tcPr>
            <w:tcW w:w="9889" w:type="dxa"/>
          </w:tcPr>
          <w:p w14:paraId="4A104C71" w14:textId="2448B0F9" w:rsidR="00B16AD6" w:rsidRPr="003C7CB1" w:rsidRDefault="00F11C2B" w:rsidP="004C5917">
            <w:pPr>
              <w:spacing w:after="120" w:line="240" w:lineRule="auto"/>
              <w:jc w:val="both"/>
              <w:rPr>
                <w:rFonts w:ascii="Calibri" w:eastAsia="Times New Roman" w:hAnsi="Calibri" w:cs="Calibri"/>
              </w:rPr>
            </w:pPr>
            <w:r w:rsidRPr="003C7CB1">
              <w:rPr>
                <w:rFonts w:ascii="Calibri" w:eastAsia="Calibri" w:hAnsi="Calibri" w:cs="Calibri"/>
                <w:b/>
                <w:shd w:val="clear" w:color="auto" w:fill="FFFFFF"/>
              </w:rPr>
              <w:t xml:space="preserve">The Old Royal Capital Cetinje </w:t>
            </w:r>
            <w:r w:rsidRPr="003C7CB1">
              <w:rPr>
                <w:rFonts w:ascii="Calibri" w:eastAsia="Calibri" w:hAnsi="Calibri" w:cs="Calibri"/>
                <w:shd w:val="clear" w:color="auto" w:fill="FFFFFF"/>
              </w:rPr>
              <w:t xml:space="preserve">is the cultural and historical core of Montenegro. Short distance, and the main road connection with the Montenegrin coast (approx. 29 km to </w:t>
            </w:r>
            <w:proofErr w:type="spellStart"/>
            <w:r w:rsidRPr="003C7CB1">
              <w:rPr>
                <w:rFonts w:ascii="Calibri" w:eastAsia="Calibri" w:hAnsi="Calibri" w:cs="Calibri"/>
                <w:shd w:val="clear" w:color="auto" w:fill="FFFFFF"/>
              </w:rPr>
              <w:t>Budva</w:t>
            </w:r>
            <w:proofErr w:type="spellEnd"/>
            <w:r w:rsidRPr="003C7CB1">
              <w:rPr>
                <w:rFonts w:ascii="Calibri" w:eastAsia="Calibri" w:hAnsi="Calibri" w:cs="Calibri"/>
                <w:shd w:val="clear" w:color="auto" w:fill="FFFFFF"/>
              </w:rPr>
              <w:t xml:space="preserve"> and 49 km to </w:t>
            </w:r>
            <w:proofErr w:type="spellStart"/>
            <w:r w:rsidRPr="003C7CB1">
              <w:rPr>
                <w:rFonts w:ascii="Calibri" w:eastAsia="Calibri" w:hAnsi="Calibri" w:cs="Calibri"/>
                <w:shd w:val="clear" w:color="auto" w:fill="FFFFFF"/>
              </w:rPr>
              <w:t>Tivat</w:t>
            </w:r>
            <w:proofErr w:type="spellEnd"/>
            <w:r w:rsidRPr="003C7CB1">
              <w:rPr>
                <w:rFonts w:ascii="Calibri" w:eastAsia="Calibri" w:hAnsi="Calibri" w:cs="Calibri"/>
                <w:shd w:val="clear" w:color="auto" w:fill="FFFFFF"/>
              </w:rPr>
              <w:t xml:space="preserve"> airport), Podgorica</w:t>
            </w:r>
            <w:r w:rsidR="00627F73" w:rsidRPr="003C7CB1">
              <w:rPr>
                <w:rFonts w:ascii="Calibri" w:eastAsia="Calibri" w:hAnsi="Calibri" w:cs="Calibri"/>
                <w:shd w:val="clear" w:color="auto" w:fill="FFFFFF"/>
              </w:rPr>
              <w:t xml:space="preserve"> Capital City</w:t>
            </w:r>
            <w:r w:rsidRPr="003C7CB1">
              <w:rPr>
                <w:rFonts w:ascii="Calibri" w:eastAsia="Calibri" w:hAnsi="Calibri" w:cs="Calibri"/>
                <w:shd w:val="clear" w:color="auto" w:fill="FFFFFF"/>
              </w:rPr>
              <w:t xml:space="preserve"> (approx. 37 km) and the Port of Bar (approx. 67 km), are excellent pr</w:t>
            </w:r>
            <w:r w:rsidR="00627F73" w:rsidRPr="003C7CB1">
              <w:rPr>
                <w:rFonts w:ascii="Calibri" w:eastAsia="Calibri" w:hAnsi="Calibri" w:cs="Calibri"/>
                <w:shd w:val="clear" w:color="auto" w:fill="FFFFFF"/>
              </w:rPr>
              <w:t>erequisites for its development</w:t>
            </w:r>
            <w:r w:rsidRPr="003C7CB1">
              <w:rPr>
                <w:rFonts w:ascii="Calibri" w:eastAsia="Calibri" w:hAnsi="Calibri" w:cs="Calibri"/>
                <w:shd w:val="clear" w:color="auto" w:fill="FFFFFF"/>
              </w:rPr>
              <w:t xml:space="preserve">. </w:t>
            </w:r>
            <w:r w:rsidR="00627F73" w:rsidRPr="003C7CB1">
              <w:rPr>
                <w:rFonts w:ascii="Calibri" w:eastAsia="Calibri" w:hAnsi="Calibri" w:cs="Calibri"/>
                <w:shd w:val="clear" w:color="auto" w:fill="FFFFFF"/>
              </w:rPr>
              <w:t xml:space="preserve">The Old Royal Capital Cetinje </w:t>
            </w:r>
            <w:r w:rsidRPr="003C7CB1">
              <w:rPr>
                <w:rFonts w:ascii="Calibri" w:eastAsia="Calibri" w:hAnsi="Calibri" w:cs="Calibri"/>
                <w:shd w:val="clear" w:color="auto" w:fill="FFFFFF"/>
              </w:rPr>
              <w:t xml:space="preserve">has great potential for the development of active tourism related to nature (hiking, biking and hiking routes, water sports, etc.), bearing in mind that its territory includes a national park and numerous caves, the most famous of which is </w:t>
            </w:r>
            <w:proofErr w:type="spellStart"/>
            <w:r w:rsidRPr="003C7CB1">
              <w:rPr>
                <w:rFonts w:ascii="Calibri" w:eastAsia="Calibri" w:hAnsi="Calibri" w:cs="Calibri"/>
                <w:shd w:val="clear" w:color="auto" w:fill="FFFFFF"/>
              </w:rPr>
              <w:t>Lipska</w:t>
            </w:r>
            <w:proofErr w:type="spellEnd"/>
            <w:r w:rsidR="00AE5C5F">
              <w:rPr>
                <w:rFonts w:ascii="Calibri" w:eastAsia="Calibri" w:hAnsi="Calibri" w:cs="Calibri"/>
                <w:shd w:val="clear" w:color="auto" w:fill="FFFFFF"/>
              </w:rPr>
              <w:t xml:space="preserve"> cave</w:t>
            </w:r>
            <w:r w:rsidRPr="003C7CB1">
              <w:rPr>
                <w:rFonts w:ascii="Calibri" w:eastAsia="Calibri" w:hAnsi="Calibri" w:cs="Calibri"/>
                <w:shd w:val="clear" w:color="auto" w:fill="FFFFFF"/>
              </w:rPr>
              <w:t xml:space="preserve">, and some of the most beautiful resorts in Montenegro such as Rijeka </w:t>
            </w:r>
            <w:proofErr w:type="spellStart"/>
            <w:r w:rsidRPr="003C7CB1">
              <w:rPr>
                <w:rFonts w:ascii="Calibri" w:eastAsia="Calibri" w:hAnsi="Calibri" w:cs="Calibri"/>
                <w:shd w:val="clear" w:color="auto" w:fill="FFFFFF"/>
              </w:rPr>
              <w:t>Crnojevića</w:t>
            </w:r>
            <w:proofErr w:type="spellEnd"/>
            <w:r w:rsidRPr="003C7CB1">
              <w:rPr>
                <w:rFonts w:ascii="Calibri" w:eastAsia="Calibri" w:hAnsi="Calibri" w:cs="Calibri"/>
                <w:shd w:val="clear" w:color="auto" w:fill="FFFFFF"/>
              </w:rPr>
              <w:t xml:space="preserve">, </w:t>
            </w:r>
            <w:proofErr w:type="spellStart"/>
            <w:r w:rsidRPr="003C7CB1">
              <w:rPr>
                <w:rFonts w:ascii="Calibri" w:eastAsia="Calibri" w:hAnsi="Calibri" w:cs="Calibri"/>
                <w:shd w:val="clear" w:color="auto" w:fill="FFFFFF"/>
              </w:rPr>
              <w:t>Žabljak</w:t>
            </w:r>
            <w:proofErr w:type="spellEnd"/>
            <w:r w:rsidRPr="003C7CB1">
              <w:rPr>
                <w:rFonts w:ascii="Calibri" w:eastAsia="Calibri" w:hAnsi="Calibri" w:cs="Calibri"/>
                <w:shd w:val="clear" w:color="auto" w:fill="FFFFFF"/>
              </w:rPr>
              <w:t xml:space="preserve"> </w:t>
            </w:r>
            <w:proofErr w:type="spellStart"/>
            <w:r w:rsidRPr="003C7CB1">
              <w:rPr>
                <w:rFonts w:ascii="Calibri" w:eastAsia="Calibri" w:hAnsi="Calibri" w:cs="Calibri"/>
                <w:shd w:val="clear" w:color="auto" w:fill="FFFFFF"/>
              </w:rPr>
              <w:t>Crnojevića</w:t>
            </w:r>
            <w:proofErr w:type="spellEnd"/>
            <w:r w:rsidRPr="003C7CB1">
              <w:rPr>
                <w:rFonts w:ascii="Calibri" w:eastAsia="Calibri" w:hAnsi="Calibri" w:cs="Calibri"/>
                <w:shd w:val="clear" w:color="auto" w:fill="FFFFFF"/>
              </w:rPr>
              <w:t xml:space="preserve"> and </w:t>
            </w:r>
            <w:proofErr w:type="spellStart"/>
            <w:r w:rsidRPr="003C7CB1">
              <w:rPr>
                <w:rFonts w:ascii="Calibri" w:eastAsia="Calibri" w:hAnsi="Calibri" w:cs="Calibri"/>
                <w:shd w:val="clear" w:color="auto" w:fill="FFFFFF"/>
              </w:rPr>
              <w:t>Njeguši</w:t>
            </w:r>
            <w:proofErr w:type="spellEnd"/>
            <w:r w:rsidR="00B16AD6" w:rsidRPr="003C7CB1">
              <w:rPr>
                <w:rFonts w:ascii="Calibri" w:eastAsia="Calibri" w:hAnsi="Calibri" w:cs="Calibri"/>
                <w:bCs/>
                <w:color w:val="000000"/>
                <w:lang w:eastAsia="hr-HR"/>
              </w:rPr>
              <w:t xml:space="preserve">. </w:t>
            </w:r>
            <w:r w:rsidR="00627F73" w:rsidRPr="003C7CB1">
              <w:rPr>
                <w:rFonts w:ascii="Calibri" w:eastAsia="Times New Roman" w:hAnsi="Calibri" w:cs="Calibri"/>
              </w:rPr>
              <w:t xml:space="preserve">There are numerous cultural sights on the territory of the Capital, such as the Mausoleum </w:t>
            </w:r>
            <w:proofErr w:type="spellStart"/>
            <w:r w:rsidR="00627F73" w:rsidRPr="003C7CB1">
              <w:rPr>
                <w:rFonts w:ascii="Calibri" w:eastAsia="Times New Roman" w:hAnsi="Calibri" w:cs="Calibri"/>
              </w:rPr>
              <w:t>Lovćen</w:t>
            </w:r>
            <w:proofErr w:type="spellEnd"/>
            <w:r w:rsidR="00627F73" w:rsidRPr="003C7CB1">
              <w:rPr>
                <w:rFonts w:ascii="Calibri" w:eastAsia="Times New Roman" w:hAnsi="Calibri" w:cs="Calibri"/>
              </w:rPr>
              <w:t xml:space="preserve">, the Mausoleum on the </w:t>
            </w:r>
            <w:proofErr w:type="spellStart"/>
            <w:r w:rsidR="00627F73" w:rsidRPr="003C7CB1">
              <w:rPr>
                <w:rFonts w:ascii="Calibri" w:eastAsia="Times New Roman" w:hAnsi="Calibri" w:cs="Calibri"/>
              </w:rPr>
              <w:t>Orlov</w:t>
            </w:r>
            <w:proofErr w:type="spellEnd"/>
            <w:r w:rsidR="00627F73" w:rsidRPr="003C7CB1">
              <w:rPr>
                <w:rFonts w:ascii="Calibri" w:eastAsia="Times New Roman" w:hAnsi="Calibri" w:cs="Calibri"/>
              </w:rPr>
              <w:t xml:space="preserve"> </w:t>
            </w:r>
            <w:proofErr w:type="spellStart"/>
            <w:r w:rsidR="00627F73" w:rsidRPr="003C7CB1">
              <w:rPr>
                <w:rFonts w:ascii="Calibri" w:eastAsia="Times New Roman" w:hAnsi="Calibri" w:cs="Calibri"/>
              </w:rPr>
              <w:t>krš</w:t>
            </w:r>
            <w:proofErr w:type="spellEnd"/>
            <w:r w:rsidR="00627F73" w:rsidRPr="003C7CB1">
              <w:rPr>
                <w:rFonts w:ascii="Calibri" w:eastAsia="Times New Roman" w:hAnsi="Calibri" w:cs="Calibri"/>
              </w:rPr>
              <w:t xml:space="preserve">, Museum of King Nikola, the Blue Palace, </w:t>
            </w:r>
            <w:proofErr w:type="spellStart"/>
            <w:r w:rsidR="00627F73" w:rsidRPr="003C7CB1">
              <w:rPr>
                <w:rFonts w:ascii="Calibri" w:eastAsia="Times New Roman" w:hAnsi="Calibri" w:cs="Calibri"/>
              </w:rPr>
              <w:t>Biljarda</w:t>
            </w:r>
            <w:proofErr w:type="spellEnd"/>
            <w:r w:rsidR="00627F73" w:rsidRPr="003C7CB1">
              <w:rPr>
                <w:rFonts w:ascii="Calibri" w:eastAsia="Times New Roman" w:hAnsi="Calibri" w:cs="Calibri"/>
              </w:rPr>
              <w:t xml:space="preserve">, the History Museum, the Art Museum, the Ethnographic Museum, the Money Museum, Birth House of </w:t>
            </w:r>
            <w:proofErr w:type="spellStart"/>
            <w:r w:rsidR="00627F73" w:rsidRPr="003C7CB1">
              <w:rPr>
                <w:rFonts w:ascii="Calibri" w:eastAsia="Times New Roman" w:hAnsi="Calibri" w:cs="Calibri"/>
              </w:rPr>
              <w:t>Njegoš</w:t>
            </w:r>
            <w:proofErr w:type="spellEnd"/>
            <w:r w:rsidR="00627F73" w:rsidRPr="003C7CB1">
              <w:rPr>
                <w:rFonts w:ascii="Calibri" w:eastAsia="Times New Roman" w:hAnsi="Calibri" w:cs="Calibri"/>
              </w:rPr>
              <w:t xml:space="preserve">, </w:t>
            </w:r>
            <w:r w:rsidR="00AE5C5F" w:rsidRPr="003C7CB1">
              <w:rPr>
                <w:rFonts w:ascii="Calibri" w:eastAsia="Times New Roman" w:hAnsi="Calibri" w:cs="Calibri"/>
              </w:rPr>
              <w:t>etc.</w:t>
            </w:r>
            <w:r w:rsidR="00627F73" w:rsidRPr="003C7CB1">
              <w:rPr>
                <w:rFonts w:ascii="Calibri" w:eastAsia="Times New Roman" w:hAnsi="Calibri" w:cs="Calibri"/>
              </w:rPr>
              <w:t>, as well as several religious buildings, the most important of which is the Cetinje Monastery</w:t>
            </w:r>
            <w:r w:rsidR="00B16AD6" w:rsidRPr="003C7CB1">
              <w:rPr>
                <w:rFonts w:ascii="Calibri" w:eastAsia="Times New Roman" w:hAnsi="Calibri" w:cs="Calibri"/>
              </w:rPr>
              <w:t xml:space="preserve">. </w:t>
            </w:r>
            <w:r w:rsidR="00C76B16" w:rsidRPr="003C7CB1">
              <w:rPr>
                <w:rFonts w:ascii="Calibri" w:eastAsia="Times New Roman" w:hAnsi="Calibri" w:cs="Calibri"/>
              </w:rPr>
              <w:t>There are also facilities in Cetinje where the embassies of the great powers were located after the proclamation of Montenegrin independence at the Berlin Congress in 1878. These are now the former embassies of England, Italy, France, Germany, Russia, Turkey, Bulgaria, Belgium, Serbia and Austria-Hungary, which house university and art centers of Montenegro, such as the Faculty of Fine Arts, Faculty of Dramatic Arts, Music</w:t>
            </w:r>
            <w:r w:rsidR="004C5917" w:rsidRPr="003C7CB1">
              <w:rPr>
                <w:rFonts w:ascii="Calibri" w:eastAsia="Times New Roman" w:hAnsi="Calibri" w:cs="Calibri"/>
              </w:rPr>
              <w:t xml:space="preserve"> Academy</w:t>
            </w:r>
            <w:r w:rsidR="00C76B16" w:rsidRPr="003C7CB1">
              <w:rPr>
                <w:rFonts w:ascii="Calibri" w:eastAsia="Times New Roman" w:hAnsi="Calibri" w:cs="Calibri"/>
              </w:rPr>
              <w:t>, Faculty of Montenegrin Language and Literature. All of the above, makes the capital an ideal area for further development of cultural tourism, which according to all research, globally, is one of the reasons for the largest number of tourist trips</w:t>
            </w:r>
            <w:r w:rsidR="00B16AD6" w:rsidRPr="003C7CB1">
              <w:rPr>
                <w:rFonts w:ascii="Calibri" w:eastAsia="Times New Roman" w:hAnsi="Calibri" w:cs="Calibri"/>
              </w:rPr>
              <w:t xml:space="preserve">. </w:t>
            </w:r>
          </w:p>
        </w:tc>
      </w:tr>
      <w:tr w:rsidR="00B16AD6" w:rsidRPr="003C7CB1" w14:paraId="1C4C5CAA" w14:textId="77777777" w:rsidTr="00B16AD6">
        <w:tc>
          <w:tcPr>
            <w:tcW w:w="9889" w:type="dxa"/>
            <w:shd w:val="clear" w:color="auto" w:fill="B4C6E7" w:themeFill="accent1" w:themeFillTint="66"/>
          </w:tcPr>
          <w:p w14:paraId="41ACC69D" w14:textId="6340FFD5" w:rsidR="00B16AD6" w:rsidRPr="003C7CB1" w:rsidRDefault="00C76B16" w:rsidP="00CD5021">
            <w:pPr>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t>SCENARIO / VISION</w:t>
            </w:r>
          </w:p>
        </w:tc>
      </w:tr>
      <w:tr w:rsidR="00B16AD6" w:rsidRPr="003C7CB1" w14:paraId="62C36B48" w14:textId="77777777" w:rsidTr="00B16AD6">
        <w:tc>
          <w:tcPr>
            <w:tcW w:w="9889" w:type="dxa"/>
          </w:tcPr>
          <w:p w14:paraId="5FB5F6A1" w14:textId="15ACE275" w:rsidR="00CF0F45" w:rsidRPr="003C7CB1" w:rsidRDefault="00C76B16" w:rsidP="00CD5021">
            <w:pPr>
              <w:spacing w:after="120" w:line="240" w:lineRule="auto"/>
              <w:jc w:val="both"/>
              <w:rPr>
                <w:rFonts w:ascii="Calibri" w:eastAsia="Calibri" w:hAnsi="Calibri" w:cs="Calibri"/>
                <w:bCs/>
                <w:color w:val="000000"/>
                <w:lang w:eastAsia="hr-HR"/>
              </w:rPr>
            </w:pPr>
            <w:r w:rsidRPr="003C7CB1">
              <w:rPr>
                <w:rFonts w:ascii="Calibri" w:eastAsia="Calibri" w:hAnsi="Calibri" w:cs="Calibri"/>
                <w:b/>
                <w:bCs/>
                <w:color w:val="000000"/>
                <w:lang w:eastAsia="hr-HR"/>
              </w:rPr>
              <w:t xml:space="preserve">The capital of Cetinje - </w:t>
            </w:r>
            <w:r w:rsidRPr="003C7CB1">
              <w:rPr>
                <w:rFonts w:ascii="Calibri" w:eastAsia="Calibri" w:hAnsi="Calibri" w:cs="Calibri"/>
                <w:bCs/>
                <w:color w:val="000000"/>
                <w:lang w:eastAsia="hr-HR"/>
              </w:rPr>
              <w:t>a destination with a year-round offer, developed on the basis of recognized cultural and natural sights, orientation towards active, cultural and event tourism.</w:t>
            </w:r>
          </w:p>
        </w:tc>
      </w:tr>
      <w:tr w:rsidR="00B16AD6" w:rsidRPr="003C7CB1" w14:paraId="1FAD912B" w14:textId="77777777" w:rsidTr="00B16AD6">
        <w:tc>
          <w:tcPr>
            <w:tcW w:w="9889" w:type="dxa"/>
            <w:shd w:val="clear" w:color="auto" w:fill="B4C6E7" w:themeFill="accent1" w:themeFillTint="66"/>
          </w:tcPr>
          <w:p w14:paraId="7DF79F77" w14:textId="6865D629" w:rsidR="00B16AD6" w:rsidRPr="003C7CB1" w:rsidRDefault="00C76B16" w:rsidP="00CD5021">
            <w:pPr>
              <w:spacing w:after="120" w:line="240" w:lineRule="auto"/>
              <w:jc w:val="center"/>
              <w:rPr>
                <w:rFonts w:ascii="Calibri" w:eastAsia="Calibri" w:hAnsi="Calibri" w:cs="Calibri"/>
                <w:b/>
                <w:bCs/>
                <w:color w:val="000000"/>
                <w:sz w:val="40"/>
                <w:szCs w:val="40"/>
                <w:lang w:eastAsia="hr-HR"/>
              </w:rPr>
            </w:pPr>
            <w:r w:rsidRPr="003C7CB1">
              <w:rPr>
                <w:rFonts w:ascii="Calibri" w:eastAsia="Calibri" w:hAnsi="Calibri" w:cs="Calibri"/>
                <w:b/>
                <w:bCs/>
                <w:color w:val="1F3864"/>
                <w:lang w:eastAsia="hr-HR"/>
              </w:rPr>
              <w:t>INVESTMENTS, SPACE, HOTEL STANDARDS AND INFRASTRUCTURE</w:t>
            </w:r>
          </w:p>
        </w:tc>
      </w:tr>
      <w:tr w:rsidR="00B16AD6" w:rsidRPr="003C7CB1" w14:paraId="1E335398" w14:textId="77777777" w:rsidTr="00B16AD6">
        <w:tc>
          <w:tcPr>
            <w:tcW w:w="9889" w:type="dxa"/>
          </w:tcPr>
          <w:p w14:paraId="3719431E" w14:textId="77777777" w:rsidR="00E70572" w:rsidRPr="003C7CB1" w:rsidRDefault="00E70572" w:rsidP="00CD5021">
            <w:pPr>
              <w:spacing w:after="120" w:line="240" w:lineRule="auto"/>
              <w:jc w:val="both"/>
              <w:rPr>
                <w:rFonts w:ascii="Calibri" w:eastAsia="Calibri" w:hAnsi="Calibri" w:cs="Times New Roman"/>
                <w:b/>
                <w:u w:val="single"/>
              </w:rPr>
            </w:pPr>
          </w:p>
          <w:p w14:paraId="60A6D8B0" w14:textId="57E7B639" w:rsidR="00B16AD6" w:rsidRPr="003C7CB1" w:rsidRDefault="00C76B16"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Space and investments</w:t>
            </w:r>
          </w:p>
          <w:p w14:paraId="53C09C8C" w14:textId="517222EB" w:rsidR="00C76B16" w:rsidRPr="003C7CB1" w:rsidRDefault="00C76B16" w:rsidP="00C76B16">
            <w:pPr>
              <w:numPr>
                <w:ilvl w:val="0"/>
                <w:numId w:val="35"/>
              </w:numPr>
              <w:spacing w:after="120" w:line="240" w:lineRule="auto"/>
              <w:contextualSpacing/>
              <w:jc w:val="both"/>
              <w:rPr>
                <w:rFonts w:ascii="Calibri" w:eastAsia="Calibri" w:hAnsi="Calibri" w:cs="Times New Roman"/>
                <w:bCs/>
              </w:rPr>
            </w:pPr>
            <w:r w:rsidRPr="003C7CB1">
              <w:rPr>
                <w:rFonts w:ascii="Calibri" w:eastAsia="Calibri" w:hAnsi="Calibri" w:cs="Times New Roman"/>
                <w:bCs/>
              </w:rPr>
              <w:t xml:space="preserve">Positioning the zone of the Old Royal Capital Cetinje with the </w:t>
            </w:r>
            <w:proofErr w:type="spellStart"/>
            <w:r w:rsidRPr="003C7CB1">
              <w:rPr>
                <w:rFonts w:ascii="Calibri" w:eastAsia="Calibri" w:hAnsi="Calibri" w:cs="Times New Roman"/>
                <w:bCs/>
              </w:rPr>
              <w:t>Lovćen</w:t>
            </w:r>
            <w:proofErr w:type="spellEnd"/>
            <w:r w:rsidRPr="003C7CB1">
              <w:rPr>
                <w:rFonts w:ascii="Calibri" w:eastAsia="Calibri" w:hAnsi="Calibri" w:cs="Times New Roman"/>
                <w:bCs/>
              </w:rPr>
              <w:t xml:space="preserve"> National Park as a destination characterized primarily by cultural tourism, and then sports, rural tourism and MICE tourism;</w:t>
            </w:r>
          </w:p>
          <w:p w14:paraId="1F427F6D" w14:textId="3904D648" w:rsidR="00C76B16" w:rsidRPr="003C7CB1" w:rsidRDefault="00C76B16" w:rsidP="00C76B16">
            <w:pPr>
              <w:numPr>
                <w:ilvl w:val="0"/>
                <w:numId w:val="35"/>
              </w:numPr>
              <w:spacing w:after="120" w:line="240" w:lineRule="auto"/>
              <w:contextualSpacing/>
              <w:jc w:val="both"/>
              <w:rPr>
                <w:rFonts w:ascii="Calibri" w:eastAsia="Calibri" w:hAnsi="Calibri" w:cs="Times New Roman"/>
                <w:bCs/>
              </w:rPr>
            </w:pPr>
            <w:r w:rsidRPr="003C7CB1">
              <w:rPr>
                <w:rFonts w:ascii="Calibri" w:eastAsia="Calibri" w:hAnsi="Calibri" w:cs="Times New Roman"/>
                <w:bCs/>
              </w:rPr>
              <w:t>Protection of the cultural heritage of the Old Royal Capital Cetinje;</w:t>
            </w:r>
          </w:p>
          <w:p w14:paraId="551F46E6" w14:textId="112AE269" w:rsidR="00C76B16" w:rsidRPr="003C7CB1" w:rsidRDefault="00C76B16" w:rsidP="00C76B16">
            <w:pPr>
              <w:numPr>
                <w:ilvl w:val="0"/>
                <w:numId w:val="35"/>
              </w:numPr>
              <w:spacing w:after="120" w:line="240" w:lineRule="auto"/>
              <w:contextualSpacing/>
              <w:jc w:val="both"/>
              <w:rPr>
                <w:rFonts w:ascii="Calibri" w:eastAsia="Calibri" w:hAnsi="Calibri" w:cs="Times New Roman"/>
                <w:bCs/>
              </w:rPr>
            </w:pPr>
            <w:r w:rsidRPr="003C7CB1">
              <w:rPr>
                <w:rFonts w:ascii="Calibri" w:eastAsia="Calibri" w:hAnsi="Calibri" w:cs="Times New Roman"/>
                <w:bCs/>
              </w:rPr>
              <w:t>Strengthen controls over the implementation of planning solutions, in order to preserve the cultural and historical appearance of the Old Royal Capital Cetinje;</w:t>
            </w:r>
          </w:p>
          <w:p w14:paraId="2BEFB847" w14:textId="19897519" w:rsidR="00C76B16" w:rsidRPr="003C7CB1" w:rsidRDefault="00C76B16" w:rsidP="00C76B16">
            <w:pPr>
              <w:numPr>
                <w:ilvl w:val="0"/>
                <w:numId w:val="35"/>
              </w:numPr>
              <w:spacing w:after="120" w:line="240" w:lineRule="auto"/>
              <w:contextualSpacing/>
              <w:jc w:val="both"/>
              <w:rPr>
                <w:rFonts w:ascii="Calibri" w:eastAsia="Calibri" w:hAnsi="Calibri" w:cs="Times New Roman"/>
                <w:bCs/>
              </w:rPr>
            </w:pPr>
            <w:r w:rsidRPr="003C7CB1">
              <w:rPr>
                <w:rFonts w:ascii="Calibri" w:eastAsia="Calibri" w:hAnsi="Calibri" w:cs="Times New Roman"/>
                <w:bCs/>
              </w:rPr>
              <w:t>Protection of the Historical Core of the Old Royal Capital Cetinje by joining the UNESCO list;</w:t>
            </w:r>
          </w:p>
          <w:p w14:paraId="267D43A7" w14:textId="55BC2B7F" w:rsidR="00C76B16" w:rsidRPr="003C7CB1" w:rsidRDefault="00C76B16" w:rsidP="00C76B16">
            <w:pPr>
              <w:numPr>
                <w:ilvl w:val="0"/>
                <w:numId w:val="35"/>
              </w:numPr>
              <w:spacing w:after="120" w:line="240" w:lineRule="auto"/>
              <w:contextualSpacing/>
              <w:jc w:val="both"/>
              <w:rPr>
                <w:rFonts w:ascii="Calibri" w:eastAsia="Calibri" w:hAnsi="Calibri" w:cs="Times New Roman"/>
                <w:bCs/>
              </w:rPr>
            </w:pPr>
            <w:r w:rsidRPr="003C7CB1">
              <w:rPr>
                <w:rFonts w:ascii="Calibri" w:eastAsia="Calibri" w:hAnsi="Calibri" w:cs="Times New Roman"/>
                <w:bCs/>
              </w:rPr>
              <w:t>Focus on the promotion of investment potentials and the implementation of development projects in the Old Royal Capital Cetinje;</w:t>
            </w:r>
          </w:p>
          <w:p w14:paraId="0C3D3A7C" w14:textId="4FD780A5" w:rsidR="00B16AD6" w:rsidRPr="003C7CB1" w:rsidRDefault="00C76B16" w:rsidP="00C76B16">
            <w:pPr>
              <w:numPr>
                <w:ilvl w:val="0"/>
                <w:numId w:val="35"/>
              </w:numPr>
              <w:spacing w:after="120" w:line="240" w:lineRule="auto"/>
              <w:contextualSpacing/>
              <w:jc w:val="both"/>
              <w:rPr>
                <w:rFonts w:ascii="Calibri" w:eastAsia="Calibri" w:hAnsi="Calibri" w:cs="Times New Roman"/>
              </w:rPr>
            </w:pPr>
            <w:r w:rsidRPr="003C7CB1">
              <w:rPr>
                <w:rFonts w:ascii="Calibri" w:eastAsia="Calibri" w:hAnsi="Calibri" w:cs="Times New Roman"/>
                <w:bCs/>
              </w:rPr>
              <w:t>Valorization of the brownfield site through the establishment of a multipurpose complex in the area of the former "</w:t>
            </w:r>
            <w:proofErr w:type="spellStart"/>
            <w:r w:rsidRPr="003C7CB1">
              <w:rPr>
                <w:rFonts w:ascii="Calibri" w:eastAsia="Calibri" w:hAnsi="Calibri" w:cs="Times New Roman"/>
                <w:bCs/>
              </w:rPr>
              <w:t>Obod</w:t>
            </w:r>
            <w:proofErr w:type="spellEnd"/>
            <w:r w:rsidRPr="003C7CB1">
              <w:rPr>
                <w:rFonts w:ascii="Calibri" w:eastAsia="Calibri" w:hAnsi="Calibri" w:cs="Times New Roman"/>
                <w:bCs/>
              </w:rPr>
              <w:t>", where it is necessary to plan the establishment of various cultural, artistic, tourist and economic facilities</w:t>
            </w:r>
            <w:r w:rsidR="00B16AD6" w:rsidRPr="003C7CB1">
              <w:rPr>
                <w:rFonts w:ascii="Calibri" w:eastAsia="Calibri" w:hAnsi="Calibri" w:cs="Times New Roman"/>
              </w:rPr>
              <w:t>;</w:t>
            </w:r>
          </w:p>
          <w:p w14:paraId="42618E7F" w14:textId="46894BA4" w:rsidR="004C5917" w:rsidRPr="003C7CB1" w:rsidRDefault="004C5917" w:rsidP="004C5917">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lastRenderedPageBreak/>
              <w:t xml:space="preserve">The construction of the cable car that will connect Kotor, </w:t>
            </w:r>
            <w:proofErr w:type="spellStart"/>
            <w:r w:rsidRPr="003C7CB1">
              <w:rPr>
                <w:rFonts w:ascii="Calibri" w:eastAsia="Calibri" w:hAnsi="Calibri" w:cs="Times New Roman"/>
              </w:rPr>
              <w:t>Lovćen</w:t>
            </w:r>
            <w:proofErr w:type="spellEnd"/>
            <w:r w:rsidRPr="003C7CB1">
              <w:rPr>
                <w:rFonts w:ascii="Calibri" w:eastAsia="Calibri" w:hAnsi="Calibri" w:cs="Times New Roman"/>
              </w:rPr>
              <w:t xml:space="preserve"> and Cetinje is a development project, and its implementation would give Montenegro a unique, modern, new and attractive segment of the tourist offer;</w:t>
            </w:r>
          </w:p>
          <w:p w14:paraId="33A46877" w14:textId="1E82477C" w:rsidR="004C5917" w:rsidRPr="003C7CB1" w:rsidRDefault="004C5917" w:rsidP="004C5917">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“Return” </w:t>
            </w:r>
            <w:proofErr w:type="spellStart"/>
            <w:r w:rsidRPr="003C7CB1">
              <w:rPr>
                <w:rFonts w:ascii="Calibri" w:eastAsia="Calibri" w:hAnsi="Calibri" w:cs="Times New Roman"/>
              </w:rPr>
              <w:t>Lokanda</w:t>
            </w:r>
            <w:proofErr w:type="spellEnd"/>
            <w:r w:rsidRPr="003C7CB1">
              <w:rPr>
                <w:rFonts w:ascii="Calibri" w:eastAsia="Calibri" w:hAnsi="Calibri" w:cs="Times New Roman"/>
              </w:rPr>
              <w:t xml:space="preserve"> hotel to the Old Royal Capital Cetinje; this hotel was located in the center of Cetinje, and was demolished due to damage after the 1979 earthquake, and had the status of a cultural monument; </w:t>
            </w:r>
          </w:p>
          <w:p w14:paraId="45487E43" w14:textId="369AF637" w:rsidR="004C5917" w:rsidRPr="003C7CB1" w:rsidRDefault="004C5917" w:rsidP="004C5917">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Continue activities on the implementation of the project "Beautiful Cetinje", which involves the reconstruction of buildings in the historic center of the city, with the application of the most modern energy efficiency measures;</w:t>
            </w:r>
          </w:p>
          <w:p w14:paraId="3D0B778E" w14:textId="223B7C51" w:rsidR="00B16AD6" w:rsidRPr="003C7CB1" w:rsidRDefault="004C5917" w:rsidP="004C5917">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Decorative lighting of the exterior of tourist attractions, which includes the installation of modern high-performance decorative LED lighting on the facades of museum units, former embassies and religious buildings. The project provides security, functionality and aesthetic appearance of major tourist attractions</w:t>
            </w:r>
            <w:r w:rsidR="00B16AD6" w:rsidRPr="003C7CB1">
              <w:rPr>
                <w:rFonts w:ascii="Calibri" w:eastAsia="Calibri" w:hAnsi="Calibri" w:cs="Times New Roman"/>
              </w:rPr>
              <w:t xml:space="preserve">; </w:t>
            </w:r>
          </w:p>
          <w:p w14:paraId="0D044D72" w14:textId="572A5DDB" w:rsidR="005310B3" w:rsidRPr="003C7CB1" w:rsidRDefault="005310B3" w:rsidP="005310B3">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"Cetinje smart city" project in full capacity - connecting "stakeholders" and full functionality of the card that allows tourists to combine services in one place;</w:t>
            </w:r>
          </w:p>
          <w:p w14:paraId="791BB646" w14:textId="780E944F" w:rsidR="005310B3" w:rsidRPr="003C7CB1" w:rsidRDefault="005310B3" w:rsidP="005310B3">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Valorization of the site "</w:t>
            </w:r>
            <w:proofErr w:type="spellStart"/>
            <w:r w:rsidRPr="003C7CB1">
              <w:rPr>
                <w:rFonts w:ascii="Calibri" w:eastAsia="Calibri" w:hAnsi="Calibri" w:cs="Times New Roman"/>
              </w:rPr>
              <w:t>Ševrlja</w:t>
            </w:r>
            <w:proofErr w:type="spellEnd"/>
            <w:r w:rsidRPr="003C7CB1">
              <w:rPr>
                <w:rFonts w:ascii="Calibri" w:eastAsia="Calibri" w:hAnsi="Calibri" w:cs="Times New Roman"/>
              </w:rPr>
              <w:t>" in the function of building a tourist camp. Provide the necessary documentation and start its construction (public or private-public partnership);</w:t>
            </w:r>
          </w:p>
          <w:p w14:paraId="372C8D8C" w14:textId="0CD49F26" w:rsidR="005310B3" w:rsidRPr="003C7CB1" w:rsidRDefault="005310B3" w:rsidP="005310B3">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Complete the “thematic trails” project, which includes cultural-historical and gastronomic routes;</w:t>
            </w:r>
          </w:p>
          <w:p w14:paraId="433EFFE9" w14:textId="386C07F3" w:rsidR="005310B3" w:rsidRPr="003C7CB1" w:rsidRDefault="005310B3" w:rsidP="005310B3">
            <w:pPr>
              <w:numPr>
                <w:ilvl w:val="0"/>
                <w:numId w:val="36"/>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Carry out adequate works in order to make the </w:t>
            </w:r>
            <w:proofErr w:type="spellStart"/>
            <w:r w:rsidRPr="003C7CB1">
              <w:rPr>
                <w:rFonts w:ascii="Calibri" w:eastAsia="Calibri" w:hAnsi="Calibri" w:cs="Times New Roman"/>
              </w:rPr>
              <w:t>Žabljak</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Crnojevića</w:t>
            </w:r>
            <w:proofErr w:type="spellEnd"/>
            <w:r w:rsidRPr="003C7CB1">
              <w:rPr>
                <w:rFonts w:ascii="Calibri" w:eastAsia="Calibri" w:hAnsi="Calibri" w:cs="Times New Roman"/>
              </w:rPr>
              <w:t xml:space="preserve"> Fortress accessi</w:t>
            </w:r>
            <w:r w:rsidR="00AE5C5F">
              <w:rPr>
                <w:rFonts w:ascii="Calibri" w:eastAsia="Calibri" w:hAnsi="Calibri" w:cs="Times New Roman"/>
              </w:rPr>
              <w:t>ble and adequately tourist</w:t>
            </w:r>
            <w:r w:rsidRPr="003C7CB1">
              <w:rPr>
                <w:rFonts w:ascii="Calibri" w:eastAsia="Calibri" w:hAnsi="Calibri" w:cs="Times New Roman"/>
              </w:rPr>
              <w:t xml:space="preserve"> valorized as a cultural and historical heritage of Montenegro;</w:t>
            </w:r>
          </w:p>
          <w:p w14:paraId="1B39E77B" w14:textId="591E0834" w:rsidR="00B16AD6" w:rsidRPr="003C7CB1" w:rsidRDefault="005310B3" w:rsidP="005310B3">
            <w:pPr>
              <w:numPr>
                <w:ilvl w:val="0"/>
                <w:numId w:val="36"/>
              </w:numPr>
              <w:spacing w:after="120" w:line="240" w:lineRule="auto"/>
              <w:contextualSpacing/>
              <w:rPr>
                <w:rFonts w:ascii="Calibri" w:eastAsia="Calibri" w:hAnsi="Calibri" w:cs="Times New Roman"/>
              </w:rPr>
            </w:pPr>
            <w:r w:rsidRPr="003C7CB1">
              <w:rPr>
                <w:rFonts w:ascii="Calibri" w:eastAsia="Calibri" w:hAnsi="Calibri" w:cs="Times New Roman"/>
              </w:rPr>
              <w:t>Untouched areas of "</w:t>
            </w:r>
            <w:proofErr w:type="spellStart"/>
            <w:r w:rsidRPr="003C7CB1">
              <w:rPr>
                <w:rFonts w:ascii="Calibri" w:eastAsia="Calibri" w:hAnsi="Calibri" w:cs="Times New Roman"/>
              </w:rPr>
              <w:t>Lovćen</w:t>
            </w:r>
            <w:proofErr w:type="spellEnd"/>
            <w:r w:rsidRPr="003C7CB1">
              <w:rPr>
                <w:rFonts w:ascii="Calibri" w:eastAsia="Calibri" w:hAnsi="Calibri" w:cs="Times New Roman"/>
              </w:rPr>
              <w:t>" National Park - the focus of zone development is on better valorization of space, through strictly controlled construction of accommodation and hospitality facilities, while guided by the principle of environmental protection</w:t>
            </w:r>
            <w:r w:rsidR="00B16AD6" w:rsidRPr="003C7CB1">
              <w:rPr>
                <w:rFonts w:ascii="Calibri" w:eastAsia="Calibri" w:hAnsi="Calibri" w:cs="Times New Roman"/>
              </w:rPr>
              <w:t xml:space="preserve">. </w:t>
            </w:r>
          </w:p>
          <w:p w14:paraId="05397613" w14:textId="77777777" w:rsidR="00CF0F45" w:rsidRPr="003C7CB1" w:rsidRDefault="00CF0F45" w:rsidP="00CF0F45">
            <w:pPr>
              <w:spacing w:after="120" w:line="240" w:lineRule="auto"/>
              <w:ind w:left="360"/>
              <w:contextualSpacing/>
              <w:rPr>
                <w:rFonts w:ascii="Calibri" w:eastAsia="Calibri" w:hAnsi="Calibri" w:cs="Times New Roman"/>
              </w:rPr>
            </w:pPr>
          </w:p>
          <w:p w14:paraId="17720C57" w14:textId="248E70E7" w:rsidR="00B16AD6" w:rsidRPr="003C7CB1" w:rsidRDefault="005310B3" w:rsidP="00CD5021">
            <w:pPr>
              <w:spacing w:after="120" w:line="240" w:lineRule="auto"/>
              <w:jc w:val="both"/>
              <w:rPr>
                <w:rFonts w:ascii="Calibri" w:eastAsia="Calibri" w:hAnsi="Calibri" w:cs="Times New Roman"/>
                <w:b/>
                <w:bCs/>
                <w:u w:val="single"/>
              </w:rPr>
            </w:pPr>
            <w:r w:rsidRPr="003C7CB1">
              <w:rPr>
                <w:rFonts w:ascii="Calibri" w:eastAsia="Calibri" w:hAnsi="Calibri" w:cs="Times New Roman"/>
                <w:b/>
                <w:bCs/>
                <w:u w:val="single"/>
              </w:rPr>
              <w:t>Standardization and unification of facilities</w:t>
            </w:r>
          </w:p>
          <w:p w14:paraId="09BF7F70" w14:textId="5416A199"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In order to create the image of urban municipalities, and through defined programs of private-public partnership (</w:t>
            </w:r>
            <w:r w:rsidR="00AE5C5F" w:rsidRPr="003C7CB1">
              <w:rPr>
                <w:rFonts w:ascii="Calibri" w:eastAsia="Calibri" w:hAnsi="Calibri" w:cs="Times New Roman"/>
              </w:rPr>
              <w:t>e.g.</w:t>
            </w:r>
            <w:r w:rsidRPr="003C7CB1">
              <w:rPr>
                <w:rFonts w:ascii="Calibri" w:eastAsia="Calibri" w:hAnsi="Calibri" w:cs="Times New Roman"/>
              </w:rPr>
              <w:t xml:space="preserve"> "new face of the city") it is necessary to work on refreshing the facades of facilities in urban areas, while standardizing solutions through the use of materials and colors that are aesthetically acceptable, neutral and </w:t>
            </w:r>
            <w:r w:rsidR="006B2751">
              <w:rPr>
                <w:rFonts w:ascii="Calibri" w:eastAsia="Calibri" w:hAnsi="Calibri" w:cs="Times New Roman"/>
              </w:rPr>
              <w:t>that</w:t>
            </w:r>
            <w:r w:rsidRPr="003C7CB1">
              <w:rPr>
                <w:rFonts w:ascii="Calibri" w:eastAsia="Calibri" w:hAnsi="Calibri" w:cs="Times New Roman"/>
              </w:rPr>
              <w:t xml:space="preserve"> fit in with the environment.</w:t>
            </w:r>
          </w:p>
          <w:p w14:paraId="12889D25" w14:textId="77777777"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It is necessary to work on harmonizing new and reconstructed buildings with the conditions of their wider context, while respecting the standards defined by the plan, which refer to well-thought-out architecture of urban structures, which skillfully combines local tradition with elements of modern architecture.</w:t>
            </w:r>
          </w:p>
          <w:p w14:paraId="0633132D" w14:textId="7EF9A8F9" w:rsidR="00B16AD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 xml:space="preserve">Outside urban areas, build facilities in a traditional style, combining exceptional aesthetics and functionality in order to achieve complete unification of interior design and exterior </w:t>
            </w:r>
            <w:r w:rsidR="00AE5C5F" w:rsidRPr="003C7CB1">
              <w:rPr>
                <w:rFonts w:ascii="Calibri" w:eastAsia="Calibri" w:hAnsi="Calibri" w:cs="Times New Roman"/>
              </w:rPr>
              <w:t>space.</w:t>
            </w:r>
            <w:r w:rsidR="00B16AD6" w:rsidRPr="003C7CB1">
              <w:rPr>
                <w:rFonts w:ascii="Calibri" w:eastAsia="Calibri" w:hAnsi="Calibri" w:cs="Times New Roman"/>
              </w:rPr>
              <w:t xml:space="preserve"> </w:t>
            </w:r>
          </w:p>
          <w:p w14:paraId="43A5BE45" w14:textId="77777777"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At the level of local self-governments, target the oldest buildings that have cultural and historical value, as well as buildings in which important historical figures lived or stayed, and protect, revitalize and valorize them.</w:t>
            </w:r>
          </w:p>
          <w:p w14:paraId="12155FFE" w14:textId="7ED19E58" w:rsidR="00B16AD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It is necessary to create support programs in order to connect tourism and agriculture, small business and entrepreneurship. The development of rural tourism in the vicinity of urban areas of the Old Royal Capital Cetinje needs to be strongly supported by the competent authorities at the state and local level</w:t>
            </w:r>
            <w:r w:rsidR="00B16AD6" w:rsidRPr="003C7CB1">
              <w:rPr>
                <w:rFonts w:ascii="Calibri" w:eastAsia="Calibri" w:hAnsi="Calibri" w:cs="Times New Roman"/>
              </w:rPr>
              <w:t xml:space="preserve">. </w:t>
            </w:r>
            <w:r w:rsidRPr="003C7CB1">
              <w:rPr>
                <w:rFonts w:ascii="Calibri" w:eastAsia="Calibri" w:hAnsi="Calibri" w:cs="Times New Roman"/>
              </w:rPr>
              <w:t xml:space="preserve"> </w:t>
            </w:r>
          </w:p>
          <w:p w14:paraId="59105FA0" w14:textId="4D045B74" w:rsidR="00B16AD6" w:rsidRPr="003C7CB1" w:rsidRDefault="006C3196"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Hotel standards</w:t>
            </w:r>
          </w:p>
          <w:p w14:paraId="5200F8EE" w14:textId="77777777"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In the city zone, it is necessary to strive for a hotel offer (small hotels) of at least 4 stars, with additional facilities.</w:t>
            </w:r>
          </w:p>
          <w:p w14:paraId="0A5AAD76" w14:textId="77777777"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In other zones, the hotel offer should be at least 3 stars, which will be open all year round, and encourage the development of rural households.</w:t>
            </w:r>
          </w:p>
          <w:p w14:paraId="61FCA0AB" w14:textId="53BD4A07" w:rsidR="00B16AD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lastRenderedPageBreak/>
              <w:t>It is necessary to work on increasing the standards of existing accommodation capacities and improving the quality of service in the tourism sector</w:t>
            </w:r>
            <w:r w:rsidR="00B16AD6" w:rsidRPr="003C7CB1">
              <w:rPr>
                <w:rFonts w:ascii="Calibri" w:eastAsia="Calibri" w:hAnsi="Calibri" w:cs="Times New Roman"/>
              </w:rPr>
              <w:t>.</w:t>
            </w:r>
          </w:p>
          <w:p w14:paraId="33AC9FF5" w14:textId="001470D7" w:rsidR="00B16AD6" w:rsidRPr="003C7CB1" w:rsidRDefault="006C3196"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Infrastructure</w:t>
            </w:r>
          </w:p>
          <w:p w14:paraId="07F9CA12" w14:textId="77777777"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It is necessary to implement activities on:</w:t>
            </w:r>
          </w:p>
          <w:p w14:paraId="14C9CF23" w14:textId="77777777" w:rsidR="006C3196" w:rsidRPr="003C7CB1" w:rsidRDefault="006C3196" w:rsidP="006C3196">
            <w:pPr>
              <w:spacing w:after="120" w:line="240" w:lineRule="auto"/>
              <w:jc w:val="both"/>
              <w:rPr>
                <w:rFonts w:ascii="Calibri" w:eastAsia="Calibri" w:hAnsi="Calibri" w:cs="Times New Roman"/>
              </w:rPr>
            </w:pPr>
            <w:r w:rsidRPr="003C7CB1">
              <w:rPr>
                <w:rFonts w:ascii="Calibri" w:eastAsia="Calibri" w:hAnsi="Calibri" w:cs="Times New Roman"/>
              </w:rPr>
              <w:t>- Balanced, high-quality and long-term sustainable development and improvement of traffic and overall infrastructure of the zone in question. Special attention should be paid to ensuring the development of underdeveloped water supply network and lack of wastewater drainage systems, insufficient sewerage coverage, lack of wastewater treatment systems, poor quality of local roads in rural areas and poor connectivity of rural areas with the city center;</w:t>
            </w:r>
          </w:p>
          <w:p w14:paraId="266F7DA1" w14:textId="1D1C26D7" w:rsidR="00B16AD6" w:rsidRPr="003C7CB1" w:rsidRDefault="006C3196" w:rsidP="006C3196">
            <w:pPr>
              <w:spacing w:after="120" w:line="240" w:lineRule="auto"/>
              <w:jc w:val="both"/>
              <w:rPr>
                <w:rFonts w:ascii="Calibri" w:eastAsia="Calibri" w:hAnsi="Calibri" w:cs="Calibri"/>
                <w:b/>
                <w:bCs/>
                <w:color w:val="000000"/>
                <w:sz w:val="40"/>
                <w:szCs w:val="40"/>
                <w:lang w:eastAsia="hr-HR"/>
              </w:rPr>
            </w:pPr>
            <w:r w:rsidRPr="003C7CB1">
              <w:rPr>
                <w:rFonts w:ascii="Calibri" w:eastAsia="Calibri" w:hAnsi="Calibri" w:cs="Times New Roman"/>
              </w:rPr>
              <w:t>- Improving inadequate and building the missing traffic network, especially the secondary road network, but also combating the usurpation of public and private property through temporary facilities</w:t>
            </w:r>
            <w:r w:rsidR="00B16AD6" w:rsidRPr="003C7CB1">
              <w:rPr>
                <w:rFonts w:ascii="Calibri" w:eastAsia="Calibri" w:hAnsi="Calibri" w:cs="Times New Roman"/>
              </w:rPr>
              <w:t>.</w:t>
            </w:r>
          </w:p>
        </w:tc>
      </w:tr>
    </w:tbl>
    <w:p w14:paraId="321ABA59" w14:textId="77777777" w:rsidR="00B16AD6" w:rsidRPr="003C7CB1" w:rsidRDefault="00B16AD6" w:rsidP="00CD5021">
      <w:pPr>
        <w:spacing w:after="120" w:line="240" w:lineRule="auto"/>
        <w:rPr>
          <w:rFonts w:ascii="Calibri" w:eastAsia="Calibri" w:hAnsi="Calibri" w:cs="Calibri"/>
          <w:b/>
          <w:bCs/>
          <w:color w:val="000000"/>
          <w:lang w:eastAsia="hr-HR"/>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7"/>
        <w:gridCol w:w="4846"/>
      </w:tblGrid>
      <w:tr w:rsidR="00B16AD6" w:rsidRPr="003C7CB1" w14:paraId="2C6A01A9" w14:textId="77777777" w:rsidTr="00190057">
        <w:tc>
          <w:tcPr>
            <w:tcW w:w="9923" w:type="dxa"/>
            <w:gridSpan w:val="2"/>
            <w:shd w:val="clear" w:color="auto" w:fill="B4C6E7" w:themeFill="accent1" w:themeFillTint="66"/>
          </w:tcPr>
          <w:p w14:paraId="466BB0CA" w14:textId="78376B71" w:rsidR="00B16AD6" w:rsidRPr="003C7CB1" w:rsidRDefault="006C3196"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TOURISM PRODUCT</w:t>
            </w:r>
          </w:p>
        </w:tc>
      </w:tr>
      <w:tr w:rsidR="00B16AD6" w:rsidRPr="003C7CB1" w14:paraId="732A5B03" w14:textId="77777777" w:rsidTr="00190057">
        <w:trPr>
          <w:trHeight w:val="219"/>
        </w:trPr>
        <w:tc>
          <w:tcPr>
            <w:tcW w:w="5077" w:type="dxa"/>
            <w:shd w:val="clear" w:color="auto" w:fill="EDEDED" w:themeFill="accent3" w:themeFillTint="33"/>
          </w:tcPr>
          <w:p w14:paraId="79CE86C9" w14:textId="7B2E1B03" w:rsidR="00B16AD6" w:rsidRPr="003C7CB1" w:rsidRDefault="006C3196" w:rsidP="00CD5021">
            <w:pPr>
              <w:spacing w:after="120" w:line="240" w:lineRule="auto"/>
              <w:jc w:val="center"/>
              <w:rPr>
                <w:rFonts w:ascii="Calibri" w:eastAsia="Calibri" w:hAnsi="Calibri" w:cs="Calibri"/>
                <w:b/>
                <w:bCs/>
                <w:color w:val="000000"/>
                <w:lang w:eastAsia="hr-HR"/>
              </w:rPr>
            </w:pPr>
            <w:r w:rsidRPr="003C7CB1">
              <w:rPr>
                <w:rFonts w:ascii="Calibri" w:eastAsia="Calibri" w:hAnsi="Calibri" w:cs="Calibri"/>
                <w:b/>
                <w:bCs/>
                <w:color w:val="1F3864"/>
                <w:lang w:eastAsia="hr-HR"/>
              </w:rPr>
              <w:t>Main tourism products</w:t>
            </w:r>
          </w:p>
        </w:tc>
        <w:tc>
          <w:tcPr>
            <w:tcW w:w="4846" w:type="dxa"/>
            <w:shd w:val="clear" w:color="auto" w:fill="EDEDED" w:themeFill="accent3" w:themeFillTint="33"/>
          </w:tcPr>
          <w:p w14:paraId="0315B76C" w14:textId="792426FB" w:rsidR="00B16AD6" w:rsidRPr="003C7CB1" w:rsidRDefault="006C3196"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Additional tourism products</w:t>
            </w:r>
          </w:p>
        </w:tc>
      </w:tr>
      <w:tr w:rsidR="00B16AD6" w:rsidRPr="003C7CB1" w14:paraId="64282252" w14:textId="77777777" w:rsidTr="00190057">
        <w:trPr>
          <w:trHeight w:val="1872"/>
        </w:trPr>
        <w:tc>
          <w:tcPr>
            <w:tcW w:w="5077" w:type="dxa"/>
          </w:tcPr>
          <w:p w14:paraId="240BAE3B" w14:textId="77777777" w:rsidR="006C319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Product based on active tourism - hiking, mountaineering, cycling, etc.</w:t>
            </w:r>
          </w:p>
          <w:p w14:paraId="6F27E10D" w14:textId="2AC904DE" w:rsidR="006C319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Cultural tourism - museums, castles, religious buildings, archeological sites, authentic architecture, etc.</w:t>
            </w:r>
          </w:p>
          <w:p w14:paraId="67F1A4D5" w14:textId="0F6B7F6F" w:rsidR="006C319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Rural tourism</w:t>
            </w:r>
          </w:p>
          <w:p w14:paraId="11782754" w14:textId="2D0A049C" w:rsidR="00B16AD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Gastronomic and </w:t>
            </w:r>
            <w:proofErr w:type="spellStart"/>
            <w:r w:rsidRPr="003C7CB1">
              <w:rPr>
                <w:rFonts w:ascii="Calibri" w:eastAsia="Calibri" w:hAnsi="Calibri" w:cs="Calibri"/>
                <w:bCs/>
                <w:color w:val="000000"/>
                <w:lang w:eastAsia="hr-HR"/>
              </w:rPr>
              <w:t>eno</w:t>
            </w:r>
            <w:proofErr w:type="spellEnd"/>
            <w:r w:rsidRPr="003C7CB1">
              <w:rPr>
                <w:rFonts w:ascii="Calibri" w:eastAsia="Calibri" w:hAnsi="Calibri" w:cs="Calibri"/>
                <w:bCs/>
                <w:color w:val="000000"/>
                <w:lang w:eastAsia="hr-HR"/>
              </w:rPr>
              <w:t xml:space="preserve"> tourism</w:t>
            </w:r>
          </w:p>
        </w:tc>
        <w:tc>
          <w:tcPr>
            <w:tcW w:w="4846" w:type="dxa"/>
          </w:tcPr>
          <w:p w14:paraId="18CCB9CC" w14:textId="77777777" w:rsidR="006C319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Sports tourism</w:t>
            </w:r>
          </w:p>
          <w:p w14:paraId="0100927E" w14:textId="6B0806E7" w:rsidR="006C319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Excursion tourism</w:t>
            </w:r>
          </w:p>
          <w:p w14:paraId="0E0094EA" w14:textId="59ADB245" w:rsidR="006C319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Adventure tourism</w:t>
            </w:r>
          </w:p>
          <w:p w14:paraId="39E0123B" w14:textId="57990C1B" w:rsidR="00B16AD6" w:rsidRPr="003C7CB1" w:rsidRDefault="006C3196" w:rsidP="006C3196">
            <w:pPr>
              <w:numPr>
                <w:ilvl w:val="0"/>
                <w:numId w:val="21"/>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Event tourism</w:t>
            </w:r>
          </w:p>
        </w:tc>
      </w:tr>
    </w:tbl>
    <w:p w14:paraId="72B9892A" w14:textId="77777777" w:rsidR="00B16AD6" w:rsidRPr="003C7CB1" w:rsidRDefault="00B16AD6" w:rsidP="00CD5021">
      <w:pPr>
        <w:pStyle w:val="Heading1"/>
        <w:spacing w:before="0" w:after="120" w:line="240" w:lineRule="auto"/>
        <w:rPr>
          <w:rFonts w:eastAsia="Times New Roman"/>
          <w:lang w:eastAsia="hr-HR"/>
        </w:rPr>
      </w:pPr>
      <w:bookmarkStart w:id="268" w:name="_Toc88082174"/>
      <w:bookmarkStart w:id="269" w:name="_Toc91286741"/>
      <w:bookmarkEnd w:id="267"/>
    </w:p>
    <w:p w14:paraId="52D0073E" w14:textId="6FCDB57C" w:rsidR="00B16AD6" w:rsidRPr="003C7CB1" w:rsidRDefault="00B16AD6" w:rsidP="00D948AA">
      <w:pPr>
        <w:pStyle w:val="Heading2"/>
        <w:rPr>
          <w:sz w:val="26"/>
        </w:rPr>
      </w:pPr>
      <w:bookmarkStart w:id="270" w:name="_Toc95303060"/>
      <w:bookmarkStart w:id="271" w:name="_Toc104544220"/>
      <w:r w:rsidRPr="003C7CB1">
        <w:rPr>
          <w:sz w:val="26"/>
        </w:rPr>
        <w:t>1</w:t>
      </w:r>
      <w:r w:rsidR="00E729DA" w:rsidRPr="003C7CB1">
        <w:rPr>
          <w:sz w:val="26"/>
        </w:rPr>
        <w:t>5</w:t>
      </w:r>
      <w:r w:rsidRPr="003C7CB1">
        <w:rPr>
          <w:sz w:val="26"/>
        </w:rPr>
        <w:t xml:space="preserve">.6. </w:t>
      </w:r>
      <w:r w:rsidR="001B2001" w:rsidRPr="003C7CB1">
        <w:rPr>
          <w:sz w:val="26"/>
        </w:rPr>
        <w:t>TOURISM CLUSTER</w:t>
      </w:r>
      <w:r w:rsidRPr="003C7CB1">
        <w:rPr>
          <w:sz w:val="26"/>
        </w:rPr>
        <w:t xml:space="preserve"> 6 – </w:t>
      </w:r>
      <w:bookmarkEnd w:id="268"/>
      <w:bookmarkEnd w:id="269"/>
      <w:bookmarkEnd w:id="270"/>
      <w:r w:rsidR="001B2001" w:rsidRPr="003C7CB1">
        <w:rPr>
          <w:sz w:val="26"/>
        </w:rPr>
        <w:t>The Capital City with the Central region</w:t>
      </w:r>
      <w:bookmarkEnd w:id="271"/>
    </w:p>
    <w:tbl>
      <w:tblPr>
        <w:tblStyle w:val="TableGrid4"/>
        <w:tblW w:w="9894" w:type="dxa"/>
        <w:tblInd w:w="-5" w:type="dxa"/>
        <w:tblLook w:val="04A0" w:firstRow="1" w:lastRow="0" w:firstColumn="1" w:lastColumn="0" w:noHBand="0" w:noVBand="1"/>
      </w:tblPr>
      <w:tblGrid>
        <w:gridCol w:w="9894"/>
      </w:tblGrid>
      <w:tr w:rsidR="00B16AD6" w:rsidRPr="003C7CB1" w14:paraId="118DB6F9" w14:textId="77777777" w:rsidTr="00B16AD6">
        <w:tc>
          <w:tcPr>
            <w:tcW w:w="9894" w:type="dxa"/>
            <w:shd w:val="clear" w:color="auto" w:fill="B4C6E7" w:themeFill="accent1" w:themeFillTint="66"/>
            <w:vAlign w:val="center"/>
          </w:tcPr>
          <w:p w14:paraId="11B2C073" w14:textId="627033F9" w:rsidR="00B16AD6" w:rsidRPr="003C7CB1" w:rsidRDefault="001B2001" w:rsidP="00CD5021">
            <w:pPr>
              <w:spacing w:after="120" w:line="240" w:lineRule="auto"/>
              <w:jc w:val="center"/>
              <w:rPr>
                <w:rFonts w:ascii="Calibri" w:eastAsia="Calibri" w:hAnsi="Calibri" w:cs="Calibri"/>
                <w:b/>
                <w:shd w:val="clear" w:color="auto" w:fill="FFFFFF"/>
              </w:rPr>
            </w:pPr>
            <w:r w:rsidRPr="003C7CB1">
              <w:rPr>
                <w:rFonts w:ascii="Calibri" w:eastAsia="Calibri" w:hAnsi="Calibri" w:cs="Calibri"/>
                <w:b/>
                <w:bCs/>
                <w:color w:val="1F3864"/>
                <w:lang w:eastAsia="hr-HR"/>
              </w:rPr>
              <w:t>CHARACTERISTICS</w:t>
            </w:r>
          </w:p>
        </w:tc>
      </w:tr>
      <w:tr w:rsidR="00B16AD6" w:rsidRPr="003C7CB1" w14:paraId="6A8DDB8B" w14:textId="77777777" w:rsidTr="00B16AD6">
        <w:tc>
          <w:tcPr>
            <w:tcW w:w="9894" w:type="dxa"/>
          </w:tcPr>
          <w:p w14:paraId="04B134F8" w14:textId="13ADF334" w:rsidR="00B16AD6" w:rsidRPr="003C7CB1" w:rsidRDefault="001B2001" w:rsidP="001B2001">
            <w:pPr>
              <w:spacing w:after="120" w:line="240" w:lineRule="auto"/>
              <w:jc w:val="both"/>
              <w:rPr>
                <w:rFonts w:ascii="Calibri" w:eastAsia="Calibri" w:hAnsi="Calibri" w:cs="Calibri"/>
                <w:b/>
                <w:shd w:val="clear" w:color="auto" w:fill="FFFFFF"/>
              </w:rPr>
            </w:pPr>
            <w:r w:rsidRPr="003C7CB1">
              <w:rPr>
                <w:rFonts w:ascii="Calibri" w:eastAsia="Calibri" w:hAnsi="Calibri" w:cs="Calibri"/>
                <w:b/>
                <w:shd w:val="clear" w:color="auto" w:fill="FFFFFF"/>
              </w:rPr>
              <w:t xml:space="preserve">Podgorica Capital City </w:t>
            </w:r>
            <w:r w:rsidRPr="003C7CB1">
              <w:rPr>
                <w:rFonts w:ascii="Calibri" w:eastAsia="Calibri" w:hAnsi="Calibri" w:cs="Calibri"/>
                <w:shd w:val="clear" w:color="auto" w:fill="FFFFFF"/>
              </w:rPr>
              <w:t>is characterized by the harmony of traditional and modern architectural styles, and harmony in the fusion of old and new. The capital of Montenegro and its rich</w:t>
            </w:r>
            <w:r w:rsidR="00AE5C5F">
              <w:rPr>
                <w:rFonts w:ascii="Calibri" w:eastAsia="Calibri" w:hAnsi="Calibri" w:cs="Calibri"/>
                <w:shd w:val="clear" w:color="auto" w:fill="FFFFFF"/>
              </w:rPr>
              <w:t xml:space="preserve"> cultural heritage - </w:t>
            </w:r>
            <w:proofErr w:type="spellStart"/>
            <w:r w:rsidR="00AE5C5F">
              <w:rPr>
                <w:rFonts w:ascii="Calibri" w:eastAsia="Calibri" w:hAnsi="Calibri" w:cs="Calibri"/>
                <w:shd w:val="clear" w:color="auto" w:fill="FFFFFF"/>
              </w:rPr>
              <w:t>Stara</w:t>
            </w:r>
            <w:proofErr w:type="spellEnd"/>
            <w:r w:rsidR="00AE5C5F">
              <w:rPr>
                <w:rFonts w:ascii="Calibri" w:eastAsia="Calibri" w:hAnsi="Calibri" w:cs="Calibri"/>
                <w:shd w:val="clear" w:color="auto" w:fill="FFFFFF"/>
              </w:rPr>
              <w:t xml:space="preserve"> </w:t>
            </w:r>
            <w:proofErr w:type="spellStart"/>
            <w:r w:rsidR="00AE5C5F">
              <w:rPr>
                <w:rFonts w:ascii="Calibri" w:eastAsia="Calibri" w:hAnsi="Calibri" w:cs="Calibri"/>
                <w:shd w:val="clear" w:color="auto" w:fill="FFFFFF"/>
              </w:rPr>
              <w:t>Varoš</w:t>
            </w:r>
            <w:proofErr w:type="spellEnd"/>
            <w:r w:rsidRPr="003C7CB1">
              <w:rPr>
                <w:rFonts w:ascii="Calibri" w:eastAsia="Calibri" w:hAnsi="Calibri" w:cs="Calibri"/>
                <w:shd w:val="clear" w:color="auto" w:fill="FFFFFF"/>
              </w:rPr>
              <w:t xml:space="preserve"> and Clock Tower, archeological sites Duklja and </w:t>
            </w:r>
            <w:proofErr w:type="spellStart"/>
            <w:r w:rsidRPr="003C7CB1">
              <w:rPr>
                <w:rFonts w:ascii="Calibri" w:eastAsia="Calibri" w:hAnsi="Calibri" w:cs="Calibri"/>
                <w:shd w:val="clear" w:color="auto" w:fill="FFFFFF"/>
              </w:rPr>
              <w:t>Medun</w:t>
            </w:r>
            <w:proofErr w:type="spellEnd"/>
            <w:r w:rsidRPr="003C7CB1">
              <w:rPr>
                <w:rFonts w:ascii="Calibri" w:eastAsia="Calibri" w:hAnsi="Calibri" w:cs="Calibri"/>
                <w:shd w:val="clear" w:color="auto" w:fill="FFFFFF"/>
              </w:rPr>
              <w:t xml:space="preserve">, as well as natural attractions such as the canyons of the rivers </w:t>
            </w:r>
            <w:proofErr w:type="spellStart"/>
            <w:r w:rsidRPr="003C7CB1">
              <w:rPr>
                <w:rFonts w:ascii="Calibri" w:eastAsia="Calibri" w:hAnsi="Calibri" w:cs="Calibri"/>
                <w:shd w:val="clear" w:color="auto" w:fill="FFFFFF"/>
              </w:rPr>
              <w:t>Morača</w:t>
            </w:r>
            <w:proofErr w:type="spellEnd"/>
            <w:r w:rsidRPr="003C7CB1">
              <w:rPr>
                <w:rFonts w:ascii="Calibri" w:eastAsia="Calibri" w:hAnsi="Calibri" w:cs="Calibri"/>
                <w:shd w:val="clear" w:color="auto" w:fill="FFFFFF"/>
              </w:rPr>
              <w:t xml:space="preserve"> and </w:t>
            </w:r>
            <w:proofErr w:type="spellStart"/>
            <w:r w:rsidRPr="003C7CB1">
              <w:rPr>
                <w:rFonts w:ascii="Calibri" w:eastAsia="Calibri" w:hAnsi="Calibri" w:cs="Calibri"/>
                <w:shd w:val="clear" w:color="auto" w:fill="FFFFFF"/>
              </w:rPr>
              <w:t>Cijevna</w:t>
            </w:r>
            <w:proofErr w:type="spellEnd"/>
            <w:r w:rsidRPr="003C7CB1">
              <w:rPr>
                <w:rFonts w:ascii="Calibri" w:eastAsia="Calibri" w:hAnsi="Calibri" w:cs="Calibri"/>
                <w:shd w:val="clear" w:color="auto" w:fill="FFFFFF"/>
              </w:rPr>
              <w:t>, camping, re</w:t>
            </w:r>
            <w:r w:rsidR="00927509" w:rsidRPr="003C7CB1">
              <w:rPr>
                <w:rFonts w:ascii="Calibri" w:eastAsia="Calibri" w:hAnsi="Calibri" w:cs="Calibri"/>
                <w:shd w:val="clear" w:color="auto" w:fill="FFFFFF"/>
              </w:rPr>
              <w:t xml:space="preserve">creation and hiking in the </w:t>
            </w:r>
            <w:proofErr w:type="spellStart"/>
            <w:r w:rsidR="00927509" w:rsidRPr="003C7CB1">
              <w:rPr>
                <w:rFonts w:ascii="Calibri" w:eastAsia="Calibri" w:hAnsi="Calibri" w:cs="Calibri"/>
                <w:shd w:val="clear" w:color="auto" w:fill="FFFFFF"/>
              </w:rPr>
              <w:t>Kučke</w:t>
            </w:r>
            <w:proofErr w:type="spellEnd"/>
            <w:r w:rsidRPr="003C7CB1">
              <w:rPr>
                <w:rFonts w:ascii="Calibri" w:eastAsia="Calibri" w:hAnsi="Calibri" w:cs="Calibri"/>
                <w:shd w:val="clear" w:color="auto" w:fill="FFFFFF"/>
              </w:rPr>
              <w:t xml:space="preserve"> Mountains, panoramic tour "</w:t>
            </w:r>
            <w:r w:rsidR="00927509" w:rsidRPr="003C7CB1">
              <w:rPr>
                <w:rFonts w:ascii="Calibri" w:eastAsia="Calibri" w:hAnsi="Calibri" w:cs="Calibri"/>
                <w:shd w:val="clear" w:color="auto" w:fill="FFFFFF"/>
              </w:rPr>
              <w:t xml:space="preserve">The Circle around </w:t>
            </w:r>
            <w:proofErr w:type="spellStart"/>
            <w:r w:rsidR="00927509" w:rsidRPr="003C7CB1">
              <w:rPr>
                <w:rFonts w:ascii="Calibri" w:eastAsia="Calibri" w:hAnsi="Calibri" w:cs="Calibri"/>
                <w:shd w:val="clear" w:color="auto" w:fill="FFFFFF"/>
              </w:rPr>
              <w:t>Korita</w:t>
            </w:r>
            <w:proofErr w:type="spellEnd"/>
            <w:r w:rsidRPr="003C7CB1">
              <w:rPr>
                <w:rFonts w:ascii="Calibri" w:eastAsia="Calibri" w:hAnsi="Calibri" w:cs="Calibri"/>
                <w:shd w:val="clear" w:color="auto" w:fill="FFFFFF"/>
              </w:rPr>
              <w:t>”</w:t>
            </w:r>
            <w:r w:rsidR="006B0D77">
              <w:rPr>
                <w:rStyle w:val="FootnoteReference"/>
                <w:rFonts w:ascii="Calibri" w:eastAsia="Calibri" w:hAnsi="Calibri" w:cs="Calibri"/>
                <w:shd w:val="clear" w:color="auto" w:fill="FFFFFF"/>
              </w:rPr>
              <w:footnoteReference w:id="60"/>
            </w:r>
            <w:r w:rsidR="00927509" w:rsidRPr="003C7CB1">
              <w:rPr>
                <w:rFonts w:ascii="Calibri" w:eastAsia="Calibri" w:hAnsi="Calibri" w:cs="Calibri"/>
                <w:shd w:val="clear" w:color="auto" w:fill="FFFFFF"/>
              </w:rPr>
              <w:t xml:space="preserve"> </w:t>
            </w:r>
            <w:r w:rsidRPr="003C7CB1">
              <w:rPr>
                <w:rFonts w:ascii="Calibri" w:eastAsia="Calibri" w:hAnsi="Calibri" w:cs="Calibri"/>
                <w:shd w:val="clear" w:color="auto" w:fill="FFFFFF"/>
              </w:rPr>
              <w:t>and lookouts represent the main tourist offer of the Capital</w:t>
            </w:r>
            <w:r w:rsidR="00927509" w:rsidRPr="003C7CB1">
              <w:rPr>
                <w:rFonts w:ascii="Calibri" w:eastAsia="Calibri" w:hAnsi="Calibri" w:cs="Calibri"/>
                <w:shd w:val="clear" w:color="auto" w:fill="FFFFFF"/>
              </w:rPr>
              <w:t xml:space="preserve"> City</w:t>
            </w:r>
            <w:r w:rsidRPr="003C7CB1">
              <w:rPr>
                <w:rFonts w:ascii="Calibri" w:eastAsia="Calibri" w:hAnsi="Calibri" w:cs="Calibri"/>
                <w:shd w:val="clear" w:color="auto" w:fill="FFFFFF"/>
              </w:rPr>
              <w:t xml:space="preserve">. In addition to the above, cruising </w:t>
            </w:r>
            <w:proofErr w:type="spellStart"/>
            <w:r w:rsidRPr="003C7CB1">
              <w:rPr>
                <w:rFonts w:ascii="Calibri" w:eastAsia="Calibri" w:hAnsi="Calibri" w:cs="Calibri"/>
                <w:shd w:val="clear" w:color="auto" w:fill="FFFFFF"/>
              </w:rPr>
              <w:t>Skadar</w:t>
            </w:r>
            <w:proofErr w:type="spellEnd"/>
            <w:r w:rsidRPr="003C7CB1">
              <w:rPr>
                <w:rFonts w:ascii="Calibri" w:eastAsia="Calibri" w:hAnsi="Calibri" w:cs="Calibri"/>
                <w:shd w:val="clear" w:color="auto" w:fill="FFFFFF"/>
              </w:rPr>
              <w:t xml:space="preserve"> Lake, bird watching, lake landscapes, visits to many authentic villages in the area and a diverse </w:t>
            </w:r>
            <w:proofErr w:type="spellStart"/>
            <w:r w:rsidRPr="003C7CB1">
              <w:rPr>
                <w:rFonts w:ascii="Calibri" w:eastAsia="Calibri" w:hAnsi="Calibri" w:cs="Calibri"/>
                <w:shd w:val="clear" w:color="auto" w:fill="FFFFFF"/>
              </w:rPr>
              <w:t>eno</w:t>
            </w:r>
            <w:proofErr w:type="spellEnd"/>
            <w:r w:rsidRPr="003C7CB1">
              <w:rPr>
                <w:rFonts w:ascii="Calibri" w:eastAsia="Calibri" w:hAnsi="Calibri" w:cs="Calibri"/>
                <w:shd w:val="clear" w:color="auto" w:fill="FFFFFF"/>
              </w:rPr>
              <w:t xml:space="preserve"> and gastronomic offer, which is a combination of Mediterranean and continental national cuisine and a rich wine treasury of indigenous wines of superior quality, represent part of a quality offer</w:t>
            </w:r>
            <w:r w:rsidR="00B16AD6" w:rsidRPr="003C7CB1">
              <w:rPr>
                <w:rFonts w:ascii="Calibri" w:eastAsia="Calibri" w:hAnsi="Calibri" w:cs="Calibri"/>
                <w:shd w:val="clear" w:color="auto" w:fill="FFFFFF"/>
              </w:rPr>
              <w:t>.</w:t>
            </w:r>
          </w:p>
          <w:p w14:paraId="1D49BEA6" w14:textId="2D1B96E7" w:rsidR="00B16AD6" w:rsidRPr="003C7CB1" w:rsidRDefault="00927509" w:rsidP="00927509">
            <w:pPr>
              <w:spacing w:after="120" w:line="240" w:lineRule="auto"/>
              <w:jc w:val="both"/>
              <w:rPr>
                <w:rFonts w:ascii="Calibri" w:eastAsia="Calibri" w:hAnsi="Calibri" w:cs="Calibri"/>
                <w:bCs/>
                <w:lang w:eastAsia="hr-HR"/>
              </w:rPr>
            </w:pPr>
            <w:proofErr w:type="spellStart"/>
            <w:r w:rsidRPr="003C7CB1">
              <w:rPr>
                <w:rFonts w:ascii="Calibri" w:eastAsia="Calibri" w:hAnsi="Calibri" w:cs="Calibri"/>
                <w:b/>
                <w:bCs/>
                <w:lang w:eastAsia="hr-HR"/>
              </w:rPr>
              <w:t>Danilovgrad</w:t>
            </w:r>
            <w:proofErr w:type="spellEnd"/>
            <w:r w:rsidRPr="003C7CB1">
              <w:rPr>
                <w:rFonts w:ascii="Calibri" w:eastAsia="Calibri" w:hAnsi="Calibri" w:cs="Calibri"/>
                <w:b/>
                <w:bCs/>
                <w:lang w:eastAsia="hr-HR"/>
              </w:rPr>
              <w:t xml:space="preserve"> </w:t>
            </w:r>
            <w:r w:rsidRPr="003C7CB1">
              <w:rPr>
                <w:rFonts w:ascii="Calibri" w:eastAsia="Calibri" w:hAnsi="Calibri" w:cs="Calibri"/>
                <w:bCs/>
                <w:lang w:eastAsia="hr-HR"/>
              </w:rPr>
              <w:t xml:space="preserve">is recognized as a destination by the monasteries </w:t>
            </w:r>
            <w:proofErr w:type="spellStart"/>
            <w:r w:rsidRPr="003C7CB1">
              <w:rPr>
                <w:rFonts w:ascii="Calibri" w:eastAsia="Calibri" w:hAnsi="Calibri" w:cs="Calibri"/>
                <w:bCs/>
                <w:lang w:eastAsia="hr-HR"/>
              </w:rPr>
              <w:t>Ostrog</w:t>
            </w:r>
            <w:proofErr w:type="spellEnd"/>
            <w:r w:rsidRPr="003C7CB1">
              <w:rPr>
                <w:rFonts w:ascii="Calibri" w:eastAsia="Calibri" w:hAnsi="Calibri" w:cs="Calibri"/>
                <w:bCs/>
                <w:lang w:eastAsia="hr-HR"/>
              </w:rPr>
              <w:t xml:space="preserve"> and </w:t>
            </w:r>
            <w:proofErr w:type="spellStart"/>
            <w:r w:rsidRPr="003C7CB1">
              <w:rPr>
                <w:rFonts w:ascii="Calibri" w:eastAsia="Calibri" w:hAnsi="Calibri" w:cs="Calibri"/>
                <w:bCs/>
                <w:lang w:eastAsia="hr-HR"/>
              </w:rPr>
              <w:t>Ždrebaonik</w:t>
            </w:r>
            <w:proofErr w:type="spellEnd"/>
            <w:r w:rsidRPr="003C7CB1">
              <w:rPr>
                <w:rFonts w:ascii="Calibri" w:eastAsia="Calibri" w:hAnsi="Calibri" w:cs="Calibri"/>
                <w:bCs/>
                <w:lang w:eastAsia="hr-HR"/>
              </w:rPr>
              <w:t>, by the relatively preserved architecture of the city center with specific old balconies, the only Art Colony in Montenegro with an enviable number of scu</w:t>
            </w:r>
            <w:r w:rsidR="00974505" w:rsidRPr="003C7CB1">
              <w:rPr>
                <w:rFonts w:ascii="Calibri" w:eastAsia="Calibri" w:hAnsi="Calibri" w:cs="Calibri"/>
                <w:bCs/>
                <w:lang w:eastAsia="hr-HR"/>
              </w:rPr>
              <w:t xml:space="preserve">lptures, Homeland Museum, </w:t>
            </w:r>
            <w:proofErr w:type="spellStart"/>
            <w:r w:rsidR="00974505" w:rsidRPr="003C7CB1">
              <w:rPr>
                <w:rFonts w:ascii="Calibri" w:eastAsia="Calibri" w:hAnsi="Calibri" w:cs="Calibri"/>
                <w:bCs/>
                <w:lang w:eastAsia="hr-HR"/>
              </w:rPr>
              <w:t>Spuž</w:t>
            </w:r>
            <w:proofErr w:type="spellEnd"/>
            <w:r w:rsidRPr="003C7CB1">
              <w:rPr>
                <w:rFonts w:ascii="Calibri" w:eastAsia="Calibri" w:hAnsi="Calibri" w:cs="Calibri"/>
                <w:bCs/>
                <w:lang w:eastAsia="hr-HR"/>
              </w:rPr>
              <w:t xml:space="preserve"> Fortress and </w:t>
            </w:r>
            <w:proofErr w:type="spellStart"/>
            <w:r w:rsidR="00974505" w:rsidRPr="003C7CB1">
              <w:rPr>
                <w:rFonts w:ascii="Calibri" w:eastAsia="Calibri" w:hAnsi="Calibri" w:cs="Calibri"/>
                <w:bCs/>
                <w:lang w:eastAsia="hr-HR"/>
              </w:rPr>
              <w:t>Martinic</w:t>
            </w:r>
            <w:proofErr w:type="spellEnd"/>
            <w:r w:rsidR="00974505" w:rsidRPr="003C7CB1">
              <w:rPr>
                <w:rFonts w:ascii="Calibri" w:eastAsia="Calibri" w:hAnsi="Calibri" w:cs="Calibri"/>
                <w:bCs/>
                <w:lang w:eastAsia="hr-HR"/>
              </w:rPr>
              <w:t xml:space="preserve"> </w:t>
            </w:r>
            <w:proofErr w:type="spellStart"/>
            <w:r w:rsidR="00974505" w:rsidRPr="003C7CB1">
              <w:rPr>
                <w:rFonts w:ascii="Calibri" w:eastAsia="Calibri" w:hAnsi="Calibri" w:cs="Calibri"/>
                <w:bCs/>
                <w:lang w:eastAsia="hr-HR"/>
              </w:rPr>
              <w:t>Gradina</w:t>
            </w:r>
            <w:proofErr w:type="spellEnd"/>
            <w:r w:rsidRPr="003C7CB1">
              <w:rPr>
                <w:rFonts w:ascii="Calibri" w:eastAsia="Calibri" w:hAnsi="Calibri" w:cs="Calibri"/>
                <w:bCs/>
                <w:lang w:eastAsia="hr-HR"/>
              </w:rPr>
              <w:t xml:space="preserve">, and the Zeta </w:t>
            </w:r>
            <w:r w:rsidR="00C65FFD">
              <w:rPr>
                <w:rFonts w:ascii="Calibri" w:eastAsia="Calibri" w:hAnsi="Calibri" w:cs="Calibri"/>
                <w:bCs/>
                <w:lang w:eastAsia="hr-HR"/>
              </w:rPr>
              <w:t>river</w:t>
            </w:r>
            <w:r w:rsidRPr="003C7CB1">
              <w:rPr>
                <w:rFonts w:ascii="Calibri" w:eastAsia="Calibri" w:hAnsi="Calibri" w:cs="Calibri"/>
                <w:bCs/>
                <w:lang w:eastAsia="hr-HR"/>
              </w:rPr>
              <w:t xml:space="preserve"> with numerous beaches, which has been declared a nature park. One of the tourist attractions is the Donkey Farm in </w:t>
            </w:r>
            <w:proofErr w:type="spellStart"/>
            <w:r w:rsidRPr="003C7CB1">
              <w:rPr>
                <w:rFonts w:ascii="Calibri" w:eastAsia="Calibri" w:hAnsi="Calibri" w:cs="Calibri"/>
                <w:bCs/>
                <w:lang w:eastAsia="hr-HR"/>
              </w:rPr>
              <w:t>Martinići</w:t>
            </w:r>
            <w:proofErr w:type="spellEnd"/>
            <w:r w:rsidRPr="003C7CB1">
              <w:rPr>
                <w:rFonts w:ascii="Calibri" w:eastAsia="Calibri" w:hAnsi="Calibri" w:cs="Calibri"/>
                <w:bCs/>
                <w:lang w:eastAsia="hr-HR"/>
              </w:rPr>
              <w:t>, which in a short time attracted the attention of not only domestic but also a large number of foreign media. On the river Zeta there are several bridges from different time periods, which testify to the rich history of past times</w:t>
            </w:r>
            <w:r w:rsidR="00B16AD6" w:rsidRPr="003C7CB1">
              <w:rPr>
                <w:rFonts w:ascii="Calibri" w:eastAsia="Calibri" w:hAnsi="Calibri" w:cs="Calibri"/>
                <w:bCs/>
                <w:lang w:eastAsia="hr-HR"/>
              </w:rPr>
              <w:t xml:space="preserve">. </w:t>
            </w:r>
            <w:r w:rsidR="00974505" w:rsidRPr="003C7CB1">
              <w:rPr>
                <w:rFonts w:ascii="Calibri" w:eastAsia="Calibri" w:hAnsi="Calibri" w:cs="Calibri"/>
                <w:bCs/>
                <w:lang w:eastAsia="hr-HR"/>
              </w:rPr>
              <w:t xml:space="preserve"> </w:t>
            </w:r>
          </w:p>
          <w:p w14:paraId="41DA30C5" w14:textId="002B05C0" w:rsidR="00B16AD6" w:rsidRPr="003C7CB1" w:rsidRDefault="005A372A" w:rsidP="00680521">
            <w:pPr>
              <w:spacing w:after="120" w:line="240" w:lineRule="auto"/>
              <w:jc w:val="both"/>
              <w:rPr>
                <w:rFonts w:ascii="Calibri" w:eastAsia="Calibri" w:hAnsi="Calibri" w:cs="Calibri"/>
                <w:bCs/>
                <w:color w:val="000000"/>
                <w:lang w:eastAsia="hr-HR"/>
              </w:rPr>
            </w:pPr>
            <w:r w:rsidRPr="003C7CB1">
              <w:rPr>
                <w:rFonts w:ascii="Calibri" w:eastAsia="Calibri" w:hAnsi="Calibri" w:cs="Calibri"/>
                <w:b/>
                <w:bCs/>
                <w:color w:val="000000"/>
                <w:lang w:eastAsia="hr-HR"/>
              </w:rPr>
              <w:t xml:space="preserve">Tuzi </w:t>
            </w:r>
            <w:r w:rsidRPr="003C7CB1">
              <w:rPr>
                <w:rFonts w:ascii="Calibri" w:eastAsia="Calibri" w:hAnsi="Calibri" w:cs="Calibri"/>
                <w:bCs/>
                <w:color w:val="000000"/>
                <w:lang w:eastAsia="hr-HR"/>
              </w:rPr>
              <w:t xml:space="preserve">has a good geographical position and natural resources, it is located about 40 km from the coast and about 14 km from neighboring Albania. It has </w:t>
            </w:r>
            <w:r w:rsidR="00680521" w:rsidRPr="003C7CB1">
              <w:rPr>
                <w:rFonts w:ascii="Calibri" w:eastAsia="Calibri" w:hAnsi="Calibri" w:cs="Calibri"/>
                <w:bCs/>
                <w:color w:val="000000"/>
                <w:lang w:eastAsia="hr-HR"/>
              </w:rPr>
              <w:t xml:space="preserve">access to </w:t>
            </w:r>
            <w:proofErr w:type="spellStart"/>
            <w:r w:rsidR="00680521" w:rsidRPr="003C7CB1">
              <w:rPr>
                <w:rFonts w:ascii="Calibri" w:eastAsia="Calibri" w:hAnsi="Calibri" w:cs="Calibri"/>
                <w:bCs/>
                <w:color w:val="000000"/>
                <w:lang w:eastAsia="hr-HR"/>
              </w:rPr>
              <w:t>Skadar</w:t>
            </w:r>
            <w:proofErr w:type="spellEnd"/>
            <w:r w:rsidR="00680521" w:rsidRPr="003C7CB1">
              <w:rPr>
                <w:rFonts w:ascii="Calibri" w:eastAsia="Calibri" w:hAnsi="Calibri" w:cs="Calibri"/>
                <w:bCs/>
                <w:color w:val="000000"/>
                <w:lang w:eastAsia="hr-HR"/>
              </w:rPr>
              <w:t xml:space="preserve"> Lake, the</w:t>
            </w:r>
            <w:r w:rsidRPr="003C7CB1">
              <w:rPr>
                <w:rFonts w:ascii="Calibri" w:eastAsia="Calibri" w:hAnsi="Calibri" w:cs="Calibri"/>
                <w:bCs/>
                <w:color w:val="000000"/>
                <w:lang w:eastAsia="hr-HR"/>
              </w:rPr>
              <w:t xml:space="preserve"> </w:t>
            </w:r>
            <w:proofErr w:type="spellStart"/>
            <w:r w:rsidRPr="003C7CB1">
              <w:rPr>
                <w:rFonts w:ascii="Calibri" w:eastAsia="Calibri" w:hAnsi="Calibri" w:cs="Calibri"/>
                <w:bCs/>
                <w:color w:val="000000"/>
                <w:lang w:eastAsia="hr-HR"/>
              </w:rPr>
              <w:t>Cijevna</w:t>
            </w:r>
            <w:proofErr w:type="spellEnd"/>
            <w:r w:rsidR="00C65FFD">
              <w:rPr>
                <w:rFonts w:ascii="Calibri" w:eastAsia="Calibri" w:hAnsi="Calibri" w:cs="Calibri"/>
                <w:bCs/>
                <w:color w:val="000000"/>
                <w:lang w:eastAsia="hr-HR"/>
              </w:rPr>
              <w:t xml:space="preserve"> r</w:t>
            </w:r>
            <w:r w:rsidR="00680521" w:rsidRPr="003C7CB1">
              <w:rPr>
                <w:rFonts w:ascii="Calibri" w:eastAsia="Calibri" w:hAnsi="Calibri" w:cs="Calibri"/>
                <w:bCs/>
                <w:color w:val="000000"/>
                <w:lang w:eastAsia="hr-HR"/>
              </w:rPr>
              <w:t>iver</w:t>
            </w:r>
            <w:r w:rsidRPr="003C7CB1">
              <w:rPr>
                <w:rFonts w:ascii="Calibri" w:eastAsia="Calibri" w:hAnsi="Calibri" w:cs="Calibri"/>
                <w:bCs/>
                <w:color w:val="000000"/>
                <w:lang w:eastAsia="hr-HR"/>
              </w:rPr>
              <w:t xml:space="preserve">, and extends over part </w:t>
            </w:r>
            <w:r w:rsidRPr="003C7CB1">
              <w:rPr>
                <w:rFonts w:ascii="Calibri" w:eastAsia="Calibri" w:hAnsi="Calibri" w:cs="Calibri"/>
                <w:bCs/>
                <w:color w:val="000000"/>
                <w:lang w:eastAsia="hr-HR"/>
              </w:rPr>
              <w:lastRenderedPageBreak/>
              <w:t xml:space="preserve">of </w:t>
            </w:r>
            <w:proofErr w:type="spellStart"/>
            <w:r w:rsidRPr="003C7CB1">
              <w:rPr>
                <w:rFonts w:ascii="Calibri" w:eastAsia="Calibri" w:hAnsi="Calibri" w:cs="Calibri"/>
                <w:bCs/>
                <w:color w:val="000000"/>
                <w:lang w:eastAsia="hr-HR"/>
              </w:rPr>
              <w:t>Ćemovsko</w:t>
            </w:r>
            <w:proofErr w:type="spellEnd"/>
            <w:r w:rsidRPr="003C7CB1">
              <w:rPr>
                <w:rFonts w:ascii="Calibri" w:eastAsia="Calibri" w:hAnsi="Calibri" w:cs="Calibri"/>
                <w:bCs/>
                <w:color w:val="000000"/>
                <w:lang w:eastAsia="hr-HR"/>
              </w:rPr>
              <w:t xml:space="preserve"> </w:t>
            </w:r>
            <w:r w:rsidR="00680521" w:rsidRPr="003C7CB1">
              <w:rPr>
                <w:rFonts w:ascii="Calibri" w:eastAsia="Calibri" w:hAnsi="Calibri" w:cs="Calibri"/>
                <w:bCs/>
                <w:color w:val="000000"/>
                <w:lang w:eastAsia="hr-HR"/>
              </w:rPr>
              <w:t>Field</w:t>
            </w:r>
            <w:r w:rsidRPr="003C7CB1">
              <w:rPr>
                <w:rFonts w:ascii="Calibri" w:eastAsia="Calibri" w:hAnsi="Calibri" w:cs="Calibri"/>
                <w:bCs/>
                <w:color w:val="000000"/>
                <w:lang w:eastAsia="hr-HR"/>
              </w:rPr>
              <w:t xml:space="preserve">. Confirmation of cultural and historical significance is proof that this area was inhabited in the Neolithic. It is located on the ancient Roman road to </w:t>
            </w:r>
            <w:proofErr w:type="spellStart"/>
            <w:r w:rsidRPr="003C7CB1">
              <w:rPr>
                <w:rFonts w:ascii="Calibri" w:eastAsia="Calibri" w:hAnsi="Calibri" w:cs="Calibri"/>
                <w:bCs/>
                <w:color w:val="000000"/>
                <w:lang w:eastAsia="hr-HR"/>
              </w:rPr>
              <w:t>Shkodra</w:t>
            </w:r>
            <w:proofErr w:type="spellEnd"/>
            <w:r w:rsidRPr="003C7CB1">
              <w:rPr>
                <w:rFonts w:ascii="Calibri" w:eastAsia="Calibri" w:hAnsi="Calibri" w:cs="Calibri"/>
                <w:bCs/>
                <w:color w:val="000000"/>
                <w:lang w:eastAsia="hr-HR"/>
              </w:rPr>
              <w:t xml:space="preserve">, and in Illyrian times it was inhabited by </w:t>
            </w:r>
            <w:proofErr w:type="spellStart"/>
            <w:r w:rsidRPr="003C7CB1">
              <w:rPr>
                <w:rFonts w:ascii="Calibri" w:eastAsia="Calibri" w:hAnsi="Calibri" w:cs="Calibri"/>
                <w:bCs/>
                <w:color w:val="000000"/>
                <w:lang w:eastAsia="hr-HR"/>
              </w:rPr>
              <w:t>Labeats</w:t>
            </w:r>
            <w:proofErr w:type="spellEnd"/>
            <w:r w:rsidRPr="003C7CB1">
              <w:rPr>
                <w:rFonts w:ascii="Calibri" w:eastAsia="Calibri" w:hAnsi="Calibri" w:cs="Calibri"/>
                <w:bCs/>
                <w:color w:val="000000"/>
                <w:lang w:eastAsia="hr-HR"/>
              </w:rPr>
              <w:t>. In the area of Tuzi there are remains from the period of the rule of the Illyrians, Romans, Ottomans, as well as the remains of early Christian churches</w:t>
            </w:r>
            <w:r w:rsidR="00B16AD6" w:rsidRPr="003C7CB1">
              <w:rPr>
                <w:rFonts w:ascii="Calibri" w:eastAsia="Calibri" w:hAnsi="Calibri" w:cs="Calibri"/>
                <w:bCs/>
                <w:color w:val="000000"/>
                <w:lang w:eastAsia="hr-HR"/>
              </w:rPr>
              <w:t>.</w:t>
            </w:r>
          </w:p>
        </w:tc>
      </w:tr>
      <w:tr w:rsidR="00B16AD6" w:rsidRPr="003C7CB1" w14:paraId="40732FD1" w14:textId="77777777" w:rsidTr="00B16AD6">
        <w:tc>
          <w:tcPr>
            <w:tcW w:w="9894" w:type="dxa"/>
            <w:shd w:val="clear" w:color="auto" w:fill="B4C6E7" w:themeFill="accent1" w:themeFillTint="66"/>
          </w:tcPr>
          <w:p w14:paraId="5F2C4580" w14:textId="33380FF1" w:rsidR="00B16AD6" w:rsidRPr="003C7CB1" w:rsidRDefault="00680521" w:rsidP="00CD5021">
            <w:pPr>
              <w:spacing w:after="120" w:line="240" w:lineRule="auto"/>
              <w:jc w:val="center"/>
              <w:rPr>
                <w:rFonts w:ascii="Calibri" w:eastAsia="Calibri" w:hAnsi="Calibri" w:cs="Calibri"/>
                <w:bCs/>
                <w:color w:val="000000"/>
                <w:lang w:eastAsia="hr-HR"/>
              </w:rPr>
            </w:pPr>
            <w:r w:rsidRPr="003C7CB1">
              <w:rPr>
                <w:rFonts w:ascii="Calibri" w:eastAsia="Calibri" w:hAnsi="Calibri" w:cs="Times New Roman"/>
                <w:b/>
                <w:color w:val="1F3864"/>
              </w:rPr>
              <w:lastRenderedPageBreak/>
              <w:t>VISION OF CLUSTER DEVELOPMENT</w:t>
            </w:r>
          </w:p>
        </w:tc>
      </w:tr>
      <w:tr w:rsidR="00B16AD6" w:rsidRPr="003C7CB1" w14:paraId="3F55C462" w14:textId="77777777" w:rsidTr="00B16AD6">
        <w:tc>
          <w:tcPr>
            <w:tcW w:w="9894" w:type="dxa"/>
            <w:shd w:val="clear" w:color="auto" w:fill="FFFFFF" w:themeFill="background1"/>
          </w:tcPr>
          <w:p w14:paraId="1DFE497B" w14:textId="3242786D" w:rsidR="00B16AD6" w:rsidRPr="003C7CB1" w:rsidRDefault="00680521" w:rsidP="00680521">
            <w:pPr>
              <w:spacing w:after="120" w:line="240" w:lineRule="auto"/>
              <w:jc w:val="both"/>
              <w:rPr>
                <w:rFonts w:ascii="Calibri" w:eastAsia="Calibri" w:hAnsi="Calibri" w:cs="Calibri"/>
                <w:bCs/>
                <w:color w:val="000000"/>
                <w:lang w:eastAsia="hr-HR"/>
              </w:rPr>
            </w:pPr>
            <w:r w:rsidRPr="003C7CB1">
              <w:rPr>
                <w:rFonts w:ascii="Calibri" w:eastAsia="Calibri" w:hAnsi="Calibri" w:cs="Calibri"/>
                <w:b/>
                <w:color w:val="000000"/>
                <w:lang w:eastAsia="hr-HR"/>
              </w:rPr>
              <w:t xml:space="preserve">The Cluster of the Capital City with the Central Region </w:t>
            </w:r>
            <w:r w:rsidRPr="003C7CB1">
              <w:rPr>
                <w:rFonts w:ascii="Calibri" w:eastAsia="Calibri" w:hAnsi="Calibri" w:cs="Calibri"/>
                <w:color w:val="000000"/>
                <w:lang w:eastAsia="hr-HR"/>
              </w:rPr>
              <w:t xml:space="preserve">consisting of the Podgorica Capital City, the municipalities of </w:t>
            </w:r>
            <w:proofErr w:type="spellStart"/>
            <w:r w:rsidRPr="003C7CB1">
              <w:rPr>
                <w:rFonts w:ascii="Calibri" w:eastAsia="Calibri" w:hAnsi="Calibri" w:cs="Calibri"/>
                <w:color w:val="000000"/>
                <w:lang w:eastAsia="hr-HR"/>
              </w:rPr>
              <w:t>Danilovgrad</w:t>
            </w:r>
            <w:proofErr w:type="spellEnd"/>
            <w:r w:rsidRPr="003C7CB1">
              <w:rPr>
                <w:rFonts w:ascii="Calibri" w:eastAsia="Calibri" w:hAnsi="Calibri" w:cs="Calibri"/>
                <w:color w:val="000000"/>
                <w:lang w:eastAsia="hr-HR"/>
              </w:rPr>
              <w:t xml:space="preserve"> and Tuzi are destinations for excursion, </w:t>
            </w:r>
            <w:proofErr w:type="spellStart"/>
            <w:r w:rsidRPr="003C7CB1">
              <w:rPr>
                <w:rFonts w:ascii="Calibri" w:eastAsia="Calibri" w:hAnsi="Calibri" w:cs="Calibri"/>
                <w:color w:val="000000"/>
                <w:lang w:eastAsia="hr-HR"/>
              </w:rPr>
              <w:t>eno</w:t>
            </w:r>
            <w:proofErr w:type="spellEnd"/>
            <w:r w:rsidRPr="003C7CB1">
              <w:rPr>
                <w:rFonts w:ascii="Calibri" w:eastAsia="Calibri" w:hAnsi="Calibri" w:cs="Calibri"/>
                <w:color w:val="000000"/>
                <w:lang w:eastAsia="hr-HR"/>
              </w:rPr>
              <w:t>-gastronomic, MICE, religious, but also family tourism</w:t>
            </w:r>
            <w:r w:rsidR="00B16AD6" w:rsidRPr="003C7CB1">
              <w:rPr>
                <w:rFonts w:ascii="Calibri" w:eastAsia="Calibri" w:hAnsi="Calibri" w:cs="Calibri"/>
                <w:bCs/>
                <w:color w:val="000000"/>
                <w:lang w:eastAsia="hr-HR"/>
              </w:rPr>
              <w:t xml:space="preserve">.  </w:t>
            </w:r>
          </w:p>
        </w:tc>
      </w:tr>
      <w:tr w:rsidR="00B16AD6" w:rsidRPr="003C7CB1" w14:paraId="505A626C" w14:textId="77777777" w:rsidTr="00B16AD6">
        <w:tc>
          <w:tcPr>
            <w:tcW w:w="9894" w:type="dxa"/>
            <w:shd w:val="clear" w:color="auto" w:fill="B4C6E7" w:themeFill="accent1" w:themeFillTint="66"/>
          </w:tcPr>
          <w:p w14:paraId="585BAF21" w14:textId="253F2A1A" w:rsidR="00B16AD6" w:rsidRPr="003C7CB1" w:rsidRDefault="00680521" w:rsidP="00CD5021">
            <w:pPr>
              <w:spacing w:after="120" w:line="240" w:lineRule="auto"/>
              <w:jc w:val="center"/>
              <w:rPr>
                <w:rFonts w:ascii="Calibri" w:eastAsia="Calibri" w:hAnsi="Calibri" w:cs="Calibri"/>
                <w:b/>
                <w:bCs/>
                <w:color w:val="000000"/>
                <w:sz w:val="40"/>
                <w:szCs w:val="40"/>
                <w:highlight w:val="yellow"/>
                <w:lang w:eastAsia="hr-HR"/>
              </w:rPr>
            </w:pPr>
            <w:r w:rsidRPr="003C7CB1">
              <w:rPr>
                <w:rFonts w:ascii="Calibri" w:eastAsia="Calibri" w:hAnsi="Calibri" w:cs="Times New Roman"/>
                <w:b/>
                <w:color w:val="1F3864"/>
              </w:rPr>
              <w:t>INVESTMENTS, SPACE, HOTEL STANDARDS AND INFRASTRUCTURE</w:t>
            </w:r>
          </w:p>
        </w:tc>
      </w:tr>
      <w:tr w:rsidR="00B16AD6" w:rsidRPr="003C7CB1" w14:paraId="0DAAEFEA" w14:textId="77777777" w:rsidTr="00B16AD6">
        <w:tc>
          <w:tcPr>
            <w:tcW w:w="9894" w:type="dxa"/>
          </w:tcPr>
          <w:p w14:paraId="367EB67B" w14:textId="3892077D" w:rsidR="00B16AD6" w:rsidRPr="003C7CB1" w:rsidRDefault="00680521"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Space and investments</w:t>
            </w:r>
          </w:p>
          <w:p w14:paraId="362B6014" w14:textId="77777777" w:rsidR="00B16AD6" w:rsidRPr="003C7CB1" w:rsidRDefault="00B16AD6" w:rsidP="00CD5021">
            <w:pPr>
              <w:spacing w:after="120" w:line="240" w:lineRule="auto"/>
              <w:jc w:val="both"/>
              <w:rPr>
                <w:rFonts w:ascii="Calibri" w:eastAsia="Calibri" w:hAnsi="Calibri" w:cs="Times New Roman"/>
                <w:b/>
              </w:rPr>
            </w:pPr>
            <w:r w:rsidRPr="003C7CB1">
              <w:rPr>
                <w:rFonts w:ascii="Calibri" w:eastAsia="Calibri" w:hAnsi="Calibri" w:cs="Times New Roman"/>
                <w:b/>
              </w:rPr>
              <w:t>Podgorica</w:t>
            </w:r>
          </w:p>
          <w:p w14:paraId="3E26B05F" w14:textId="1260934D" w:rsidR="00680521" w:rsidRPr="003C7CB1" w:rsidRDefault="00680521" w:rsidP="00680521">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The spatial vision of the development of the Podgorica Capital City is the protection, upgrading and development of a quality structure of the city and urban region.</w:t>
            </w:r>
          </w:p>
          <w:p w14:paraId="78EB677C" w14:textId="760E8779" w:rsidR="00B16AD6" w:rsidRPr="003C7CB1" w:rsidRDefault="00680521" w:rsidP="00680521">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The territory of Podgorica can be divided into southern, central and northern zones. The southern zone includes the area of </w:t>
            </w:r>
            <w:proofErr w:type="spellStart"/>
            <w:r w:rsidRPr="003C7CB1">
              <w:rPr>
                <w:rFonts w:ascii="Calibri" w:eastAsia="Calibri" w:hAnsi="Calibri" w:cs="Times New Roman"/>
              </w:rPr>
              <w:t>Skadar</w:t>
            </w:r>
            <w:proofErr w:type="spellEnd"/>
            <w:r w:rsidRPr="003C7CB1">
              <w:rPr>
                <w:rFonts w:ascii="Calibri" w:eastAsia="Calibri" w:hAnsi="Calibri" w:cs="Times New Roman"/>
              </w:rPr>
              <w:t xml:space="preserve"> Lake with the hinterland and has great potential for the development of various types of tourism, as well as the development program of tourist facilities in the areas of </w:t>
            </w:r>
            <w:proofErr w:type="spellStart"/>
            <w:r w:rsidRPr="003C7CB1">
              <w:rPr>
                <w:rFonts w:ascii="Calibri" w:eastAsia="Calibri" w:hAnsi="Calibri" w:cs="Times New Roman"/>
              </w:rPr>
              <w:t>Vranjina</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Plavnica</w:t>
            </w:r>
            <w:proofErr w:type="spellEnd"/>
            <w:r w:rsidRPr="003C7CB1">
              <w:rPr>
                <w:rFonts w:ascii="Calibri" w:eastAsia="Calibri" w:hAnsi="Calibri" w:cs="Times New Roman"/>
              </w:rPr>
              <w:t xml:space="preserve"> and </w:t>
            </w:r>
            <w:proofErr w:type="spellStart"/>
            <w:r w:rsidRPr="003C7CB1">
              <w:rPr>
                <w:rFonts w:ascii="Calibri" w:eastAsia="Calibri" w:hAnsi="Calibri" w:cs="Times New Roman"/>
              </w:rPr>
              <w:t>Podhum</w:t>
            </w:r>
            <w:proofErr w:type="spellEnd"/>
            <w:r w:rsidRPr="003C7CB1">
              <w:rPr>
                <w:rFonts w:ascii="Calibri" w:eastAsia="Calibri" w:hAnsi="Calibri" w:cs="Times New Roman"/>
              </w:rPr>
              <w:t>, and great potential is recognized when it comes to the development of wine tourism</w:t>
            </w:r>
            <w:r w:rsidR="00B16AD6" w:rsidRPr="003C7CB1">
              <w:rPr>
                <w:rFonts w:ascii="Calibri" w:eastAsia="Calibri" w:hAnsi="Calibri" w:cs="Times New Roman"/>
              </w:rPr>
              <w:t xml:space="preserve">. </w:t>
            </w:r>
            <w:r w:rsidRPr="003C7CB1">
              <w:rPr>
                <w:rFonts w:ascii="Calibri" w:eastAsia="Calibri" w:hAnsi="Calibri" w:cs="Times New Roman"/>
              </w:rPr>
              <w:t xml:space="preserve">The central zone includes the area of the city's planning area with the potential to become a congress center, with adequate development of larger hotel capacities, primarily 4 * and 5 * hotels, as well as expanding the network of smaller hotel facilities in the city center. The northern zone includes the area of hills - </w:t>
            </w:r>
            <w:proofErr w:type="spellStart"/>
            <w:r w:rsidRPr="003C7CB1">
              <w:rPr>
                <w:rFonts w:ascii="Calibri" w:eastAsia="Calibri" w:hAnsi="Calibri" w:cs="Times New Roman"/>
              </w:rPr>
              <w:t>Lijeva</w:t>
            </w:r>
            <w:proofErr w:type="spellEnd"/>
            <w:r w:rsidRPr="003C7CB1">
              <w:rPr>
                <w:rFonts w:ascii="Calibri" w:eastAsia="Calibri" w:hAnsi="Calibri" w:cs="Times New Roman"/>
              </w:rPr>
              <w:t xml:space="preserve"> Rijeka area, </w:t>
            </w:r>
            <w:proofErr w:type="spellStart"/>
            <w:r w:rsidRPr="003C7CB1">
              <w:rPr>
                <w:rFonts w:ascii="Calibri" w:eastAsia="Calibri" w:hAnsi="Calibri" w:cs="Times New Roman"/>
              </w:rPr>
              <w:t>Bratonožići</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Piperi</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Malesija</w:t>
            </w:r>
            <w:proofErr w:type="spellEnd"/>
            <w:r w:rsidRPr="003C7CB1">
              <w:rPr>
                <w:rFonts w:ascii="Calibri" w:eastAsia="Calibri" w:hAnsi="Calibri" w:cs="Times New Roman"/>
              </w:rPr>
              <w:t xml:space="preserve"> and </w:t>
            </w:r>
            <w:proofErr w:type="spellStart"/>
            <w:r w:rsidRPr="003C7CB1">
              <w:rPr>
                <w:rFonts w:ascii="Calibri" w:eastAsia="Calibri" w:hAnsi="Calibri" w:cs="Times New Roman"/>
              </w:rPr>
              <w:t>Kuči</w:t>
            </w:r>
            <w:proofErr w:type="spellEnd"/>
            <w:r w:rsidRPr="003C7CB1">
              <w:rPr>
                <w:rFonts w:ascii="Calibri" w:eastAsia="Calibri" w:hAnsi="Calibri" w:cs="Times New Roman"/>
              </w:rPr>
              <w:t>, which belong to protected areas (</w:t>
            </w:r>
            <w:proofErr w:type="spellStart"/>
            <w:r w:rsidRPr="003C7CB1">
              <w:rPr>
                <w:rFonts w:ascii="Calibri" w:eastAsia="Calibri" w:hAnsi="Calibri" w:cs="Times New Roman"/>
              </w:rPr>
              <w:t>Komovi</w:t>
            </w:r>
            <w:proofErr w:type="spellEnd"/>
            <w:r w:rsidRPr="003C7CB1">
              <w:rPr>
                <w:rFonts w:ascii="Calibri" w:eastAsia="Calibri" w:hAnsi="Calibri" w:cs="Times New Roman"/>
              </w:rPr>
              <w:t xml:space="preserve"> mountain range and </w:t>
            </w:r>
            <w:proofErr w:type="spellStart"/>
            <w:r w:rsidRPr="003C7CB1">
              <w:rPr>
                <w:rFonts w:ascii="Calibri" w:eastAsia="Calibri" w:hAnsi="Calibri" w:cs="Times New Roman"/>
              </w:rPr>
              <w:t>Cijevna</w:t>
            </w:r>
            <w:proofErr w:type="spellEnd"/>
            <w:r w:rsidRPr="003C7CB1">
              <w:rPr>
                <w:rFonts w:ascii="Calibri" w:eastAsia="Calibri" w:hAnsi="Calibri" w:cs="Times New Roman"/>
              </w:rPr>
              <w:t xml:space="preserve"> river canyon) and in this part it is possible to develop eco-tourism, hiking and winter sports and recreational activities, while the wider recreational area includes </w:t>
            </w:r>
            <w:proofErr w:type="spellStart"/>
            <w:r w:rsidRPr="003C7CB1">
              <w:rPr>
                <w:rFonts w:ascii="Calibri" w:eastAsia="Calibri" w:hAnsi="Calibri" w:cs="Times New Roman"/>
              </w:rPr>
              <w:t>Žijevo</w:t>
            </w:r>
            <w:proofErr w:type="spellEnd"/>
            <w:r w:rsidRPr="003C7CB1">
              <w:rPr>
                <w:rFonts w:ascii="Calibri" w:eastAsia="Calibri" w:hAnsi="Calibri" w:cs="Times New Roman"/>
              </w:rPr>
              <w:t xml:space="preserve"> and </w:t>
            </w:r>
            <w:proofErr w:type="spellStart"/>
            <w:r w:rsidRPr="003C7CB1">
              <w:rPr>
                <w:rFonts w:ascii="Calibri" w:eastAsia="Calibri" w:hAnsi="Calibri" w:cs="Times New Roman"/>
              </w:rPr>
              <w:t>Korita</w:t>
            </w:r>
            <w:proofErr w:type="spellEnd"/>
            <w:r w:rsidR="00B16AD6" w:rsidRPr="003C7CB1">
              <w:rPr>
                <w:rFonts w:ascii="Calibri" w:eastAsia="Calibri" w:hAnsi="Calibri" w:cs="Times New Roman"/>
              </w:rPr>
              <w:t>.</w:t>
            </w:r>
          </w:p>
          <w:p w14:paraId="79EDFAC7" w14:textId="08E3C9F9" w:rsidR="00B16AD6" w:rsidRPr="003C7CB1" w:rsidRDefault="00DF4CE4" w:rsidP="00DF4CE4">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The main directions of arranging the integral tourist offer in the Capital are better use of the existing material base, increasing the capacity and quality of the existing infrastructure, arranging the city and protecting </w:t>
            </w:r>
            <w:proofErr w:type="spellStart"/>
            <w:r w:rsidRPr="003C7CB1">
              <w:rPr>
                <w:rFonts w:ascii="Calibri" w:eastAsia="Calibri" w:hAnsi="Calibri" w:cs="Times New Roman"/>
              </w:rPr>
              <w:t>Skadar</w:t>
            </w:r>
            <w:proofErr w:type="spellEnd"/>
            <w:r w:rsidRPr="003C7CB1">
              <w:rPr>
                <w:rFonts w:ascii="Calibri" w:eastAsia="Calibri" w:hAnsi="Calibri" w:cs="Times New Roman"/>
              </w:rPr>
              <w:t xml:space="preserve"> Lake and the </w:t>
            </w:r>
            <w:proofErr w:type="spellStart"/>
            <w:r w:rsidRPr="003C7CB1">
              <w:rPr>
                <w:rFonts w:ascii="Calibri" w:eastAsia="Calibri" w:hAnsi="Calibri" w:cs="Times New Roman"/>
              </w:rPr>
              <w:t>Morača</w:t>
            </w:r>
            <w:proofErr w:type="spellEnd"/>
            <w:r w:rsidRPr="003C7CB1">
              <w:rPr>
                <w:rFonts w:ascii="Calibri" w:eastAsia="Calibri" w:hAnsi="Calibri" w:cs="Times New Roman"/>
              </w:rPr>
              <w:t xml:space="preserve">, Zeta, </w:t>
            </w:r>
            <w:proofErr w:type="spellStart"/>
            <w:r w:rsidRPr="003C7CB1">
              <w:rPr>
                <w:rFonts w:ascii="Calibri" w:eastAsia="Calibri" w:hAnsi="Calibri" w:cs="Times New Roman"/>
              </w:rPr>
              <w:t>Ribnica</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Cijevna</w:t>
            </w:r>
            <w:proofErr w:type="spellEnd"/>
            <w:r w:rsidRPr="003C7CB1">
              <w:rPr>
                <w:rFonts w:ascii="Calibri" w:eastAsia="Calibri" w:hAnsi="Calibri" w:cs="Times New Roman"/>
              </w:rPr>
              <w:t xml:space="preserve"> and </w:t>
            </w:r>
            <w:proofErr w:type="spellStart"/>
            <w:r w:rsidRPr="003C7CB1">
              <w:rPr>
                <w:rFonts w:ascii="Calibri" w:eastAsia="Calibri" w:hAnsi="Calibri" w:cs="Times New Roman"/>
              </w:rPr>
              <w:t>Sitnica</w:t>
            </w:r>
            <w:proofErr w:type="spellEnd"/>
            <w:r w:rsidRPr="003C7CB1">
              <w:rPr>
                <w:rFonts w:ascii="Calibri" w:eastAsia="Calibri" w:hAnsi="Calibri" w:cs="Times New Roman"/>
              </w:rPr>
              <w:t xml:space="preserve"> rivers, valuing cultural goods in the tourist offer,</w:t>
            </w:r>
            <w:r w:rsidR="003F1701" w:rsidRPr="003C7CB1">
              <w:rPr>
                <w:rFonts w:ascii="Calibri" w:eastAsia="Calibri" w:hAnsi="Calibri" w:cs="Times New Roman"/>
              </w:rPr>
              <w:t xml:space="preserve"> improving </w:t>
            </w:r>
            <w:r w:rsidRPr="003C7CB1">
              <w:rPr>
                <w:rFonts w:ascii="Calibri" w:eastAsia="Calibri" w:hAnsi="Calibri" w:cs="Times New Roman"/>
              </w:rPr>
              <w:t>cultural, entertainm</w:t>
            </w:r>
            <w:r w:rsidR="003F1701" w:rsidRPr="003C7CB1">
              <w:rPr>
                <w:rFonts w:ascii="Calibri" w:eastAsia="Calibri" w:hAnsi="Calibri" w:cs="Times New Roman"/>
              </w:rPr>
              <w:t xml:space="preserve">ent and sports content, arranging </w:t>
            </w:r>
            <w:r w:rsidRPr="003C7CB1">
              <w:rPr>
                <w:rFonts w:ascii="Calibri" w:eastAsia="Calibri" w:hAnsi="Calibri" w:cs="Times New Roman"/>
              </w:rPr>
              <w:t>picnic areas, valuable natural environments and other tourist locations</w:t>
            </w:r>
            <w:r w:rsidR="00B16AD6" w:rsidRPr="003C7CB1">
              <w:rPr>
                <w:rFonts w:ascii="Calibri" w:eastAsia="Calibri" w:hAnsi="Calibri" w:cs="Times New Roman"/>
              </w:rPr>
              <w:t>.</w:t>
            </w:r>
          </w:p>
          <w:p w14:paraId="39BA9283" w14:textId="6205D46F" w:rsidR="00B16AD6" w:rsidRPr="003C7CB1" w:rsidRDefault="003F1701" w:rsidP="003F1701">
            <w:pPr>
              <w:numPr>
                <w:ilvl w:val="0"/>
                <w:numId w:val="37"/>
              </w:numPr>
              <w:spacing w:after="120" w:line="240" w:lineRule="auto"/>
              <w:contextualSpacing/>
              <w:jc w:val="both"/>
              <w:rPr>
                <w:rFonts w:ascii="Calibri" w:eastAsia="Calibri" w:hAnsi="Calibri" w:cs="Times New Roman"/>
              </w:rPr>
            </w:pPr>
            <w:proofErr w:type="spellStart"/>
            <w:r w:rsidRPr="003C7CB1">
              <w:rPr>
                <w:rFonts w:ascii="Calibri" w:eastAsia="Calibri" w:hAnsi="Calibri" w:cs="Times New Roman"/>
                <w:b/>
              </w:rPr>
              <w:t>Veruša</w:t>
            </w:r>
            <w:proofErr w:type="spellEnd"/>
            <w:r w:rsidRPr="003C7CB1">
              <w:rPr>
                <w:rFonts w:ascii="Calibri" w:eastAsia="Calibri" w:hAnsi="Calibri" w:cs="Times New Roman"/>
                <w:b/>
              </w:rPr>
              <w:t xml:space="preserve"> </w:t>
            </w:r>
            <w:r w:rsidRPr="003C7CB1">
              <w:rPr>
                <w:rFonts w:ascii="Calibri" w:eastAsia="Calibri" w:hAnsi="Calibri" w:cs="Times New Roman"/>
              </w:rPr>
              <w:t>is a village located halfway between Podgorica and Kolašin, at 1,216 meters above sea level and has long been recognized</w:t>
            </w:r>
            <w:r w:rsidR="00AE5C5F">
              <w:rPr>
                <w:rFonts w:ascii="Calibri" w:eastAsia="Calibri" w:hAnsi="Calibri" w:cs="Times New Roman"/>
              </w:rPr>
              <w:t xml:space="preserve"> as a resort for people from Pod</w:t>
            </w:r>
            <w:r w:rsidRPr="003C7CB1">
              <w:rPr>
                <w:rFonts w:ascii="Calibri" w:eastAsia="Calibri" w:hAnsi="Calibri" w:cs="Times New Roman"/>
              </w:rPr>
              <w:t xml:space="preserve">gorica, but due to the very poor infrastructural connection of </w:t>
            </w:r>
            <w:proofErr w:type="spellStart"/>
            <w:r w:rsidRPr="003C7CB1">
              <w:rPr>
                <w:rFonts w:ascii="Calibri" w:eastAsia="Calibri" w:hAnsi="Calibri" w:cs="Times New Roman"/>
              </w:rPr>
              <w:t>Veruša</w:t>
            </w:r>
            <w:proofErr w:type="spellEnd"/>
            <w:r w:rsidRPr="003C7CB1">
              <w:rPr>
                <w:rFonts w:ascii="Calibri" w:eastAsia="Calibri" w:hAnsi="Calibri" w:cs="Times New Roman"/>
              </w:rPr>
              <w:t xml:space="preserve"> with Podgorica (old road </w:t>
            </w:r>
            <w:proofErr w:type="spellStart"/>
            <w:r w:rsidRPr="003C7CB1">
              <w:rPr>
                <w:rFonts w:ascii="Calibri" w:eastAsia="Calibri" w:hAnsi="Calibri" w:cs="Times New Roman"/>
              </w:rPr>
              <w:t>Mateševo</w:t>
            </w:r>
            <w:proofErr w:type="spellEnd"/>
            <w:r w:rsidRPr="003C7CB1">
              <w:rPr>
                <w:rFonts w:ascii="Calibri" w:eastAsia="Calibri" w:hAnsi="Calibri" w:cs="Times New Roman"/>
              </w:rPr>
              <w:t>-</w:t>
            </w:r>
            <w:proofErr w:type="spellStart"/>
            <w:r w:rsidRPr="003C7CB1">
              <w:rPr>
                <w:rFonts w:ascii="Calibri" w:eastAsia="Calibri" w:hAnsi="Calibri" w:cs="Times New Roman"/>
              </w:rPr>
              <w:t>Veruša</w:t>
            </w:r>
            <w:proofErr w:type="spellEnd"/>
            <w:r w:rsidRPr="003C7CB1">
              <w:rPr>
                <w:rFonts w:ascii="Calibri" w:eastAsia="Calibri" w:hAnsi="Calibri" w:cs="Times New Roman"/>
              </w:rPr>
              <w:t xml:space="preserve">-Kolašin) the number of visitors is relatively low. Accordingly, </w:t>
            </w:r>
            <w:proofErr w:type="spellStart"/>
            <w:r w:rsidRPr="003C7CB1">
              <w:rPr>
                <w:rFonts w:ascii="Calibri" w:eastAsia="Calibri" w:hAnsi="Calibri" w:cs="Times New Roman"/>
              </w:rPr>
              <w:t>Veruša</w:t>
            </w:r>
            <w:proofErr w:type="spellEnd"/>
            <w:r w:rsidRPr="003C7CB1">
              <w:rPr>
                <w:rFonts w:ascii="Calibri" w:eastAsia="Calibri" w:hAnsi="Calibri" w:cs="Times New Roman"/>
              </w:rPr>
              <w:t xml:space="preserve"> as a quality tourist center will gain importance after the opening of a new highway to Kolašin, when all its potentials will be fully valorized as a mountain-green oasis with the development of sports, recreation, family and excursion tourism, not only for Podgorica but also for coastal municipalities. Also, the area of </w:t>
            </w:r>
            <w:proofErr w:type="spellStart"/>
            <w:r w:rsidRPr="003C7CB1">
              <w:rPr>
                <w:rFonts w:ascii="Calibri" w:eastAsia="Calibri" w:hAnsi="Calibri" w:cs="Times New Roman"/>
              </w:rPr>
              <w:t>Veruša</w:t>
            </w:r>
            <w:proofErr w:type="spellEnd"/>
            <w:r w:rsidRPr="003C7CB1">
              <w:rPr>
                <w:rFonts w:ascii="Calibri" w:eastAsia="Calibri" w:hAnsi="Calibri" w:cs="Times New Roman"/>
              </w:rPr>
              <w:t xml:space="preserve"> is very suitable for various winter activities, with the need to improve the quality of children's resorts, traditionally recognized for the use of holidays during winter and summer school holidays</w:t>
            </w:r>
            <w:r w:rsidR="00B16AD6" w:rsidRPr="003C7CB1">
              <w:rPr>
                <w:rFonts w:ascii="Calibri" w:eastAsia="Calibri" w:hAnsi="Calibri" w:cs="Times New Roman"/>
              </w:rPr>
              <w:t xml:space="preserve">. </w:t>
            </w:r>
          </w:p>
          <w:p w14:paraId="45938CEC" w14:textId="77777777" w:rsidR="00B16AD6" w:rsidRPr="003C7CB1" w:rsidRDefault="00B16AD6" w:rsidP="00CD5021">
            <w:pPr>
              <w:spacing w:after="120" w:line="240" w:lineRule="auto"/>
              <w:jc w:val="both"/>
              <w:rPr>
                <w:rFonts w:ascii="Calibri" w:eastAsia="Calibri" w:hAnsi="Calibri" w:cs="Times New Roman"/>
                <w:b/>
              </w:rPr>
            </w:pPr>
            <w:proofErr w:type="spellStart"/>
            <w:r w:rsidRPr="003C7CB1">
              <w:rPr>
                <w:rFonts w:ascii="Calibri" w:eastAsia="Calibri" w:hAnsi="Calibri" w:cs="Times New Roman"/>
                <w:b/>
              </w:rPr>
              <w:t>Danilovgrad</w:t>
            </w:r>
            <w:proofErr w:type="spellEnd"/>
          </w:p>
          <w:p w14:paraId="489211B3" w14:textId="7B5B08B7" w:rsidR="00B16AD6" w:rsidRPr="003C7CB1" w:rsidRDefault="003F1701" w:rsidP="009548E5">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Positioning of the municipality of </w:t>
            </w:r>
            <w:proofErr w:type="spellStart"/>
            <w:r w:rsidRPr="003C7CB1">
              <w:rPr>
                <w:rFonts w:ascii="Calibri" w:eastAsia="Calibri" w:hAnsi="Calibri" w:cs="Times New Roman"/>
              </w:rPr>
              <w:t>Danilovgrad</w:t>
            </w:r>
            <w:proofErr w:type="spellEnd"/>
            <w:r w:rsidRPr="003C7CB1">
              <w:rPr>
                <w:rFonts w:ascii="Calibri" w:eastAsia="Calibri" w:hAnsi="Calibri" w:cs="Times New Roman"/>
              </w:rPr>
              <w:t>, according to the planning documentation is a destination characterized by sustainable tourism,</w:t>
            </w:r>
            <w:r w:rsidR="009548E5" w:rsidRPr="003C7CB1">
              <w:rPr>
                <w:rFonts w:ascii="Calibri" w:eastAsia="Calibri" w:hAnsi="Calibri" w:cs="Times New Roman"/>
              </w:rPr>
              <w:t xml:space="preserve"> </w:t>
            </w:r>
            <w:r w:rsidRPr="003C7CB1">
              <w:rPr>
                <w:rFonts w:ascii="Calibri" w:eastAsia="Calibri" w:hAnsi="Calibri" w:cs="Times New Roman"/>
              </w:rPr>
              <w:t xml:space="preserve">where all forms of </w:t>
            </w:r>
            <w:r w:rsidR="009548E5" w:rsidRPr="003C7CB1">
              <w:rPr>
                <w:rFonts w:ascii="Calibri" w:eastAsia="Calibri" w:hAnsi="Calibri" w:cs="Times New Roman"/>
              </w:rPr>
              <w:t xml:space="preserve">tourism development </w:t>
            </w:r>
            <w:r w:rsidRPr="003C7CB1">
              <w:rPr>
                <w:rFonts w:ascii="Calibri" w:eastAsia="Calibri" w:hAnsi="Calibri" w:cs="Times New Roman"/>
              </w:rPr>
              <w:t>offer in the Municipality must have an environmental component, as one of the most important tourist offers. A key feature of the tourist offer, in addition to spiritual heritage, is based on natural beauty and activities in nature, especially in rural areas, mo</w:t>
            </w:r>
            <w:r w:rsidR="009548E5" w:rsidRPr="003C7CB1">
              <w:rPr>
                <w:rFonts w:ascii="Calibri" w:eastAsia="Calibri" w:hAnsi="Calibri" w:cs="Times New Roman"/>
              </w:rPr>
              <w:t>untain resorts and mountain katuns</w:t>
            </w:r>
            <w:r w:rsidRPr="003C7CB1">
              <w:rPr>
                <w:rFonts w:ascii="Calibri" w:eastAsia="Calibri" w:hAnsi="Calibri" w:cs="Times New Roman"/>
              </w:rPr>
              <w:t xml:space="preserve">, or a combination of all these values. Rural tourism, in all this, has or will have a significant share, through </w:t>
            </w:r>
            <w:r w:rsidRPr="003C7CB1">
              <w:rPr>
                <w:rFonts w:ascii="Calibri" w:eastAsia="Calibri" w:hAnsi="Calibri" w:cs="Times New Roman"/>
              </w:rPr>
              <w:lastRenderedPageBreak/>
              <w:t xml:space="preserve">different levels of services and programs such as: </w:t>
            </w:r>
            <w:proofErr w:type="spellStart"/>
            <w:r w:rsidRPr="003C7CB1">
              <w:rPr>
                <w:rFonts w:ascii="Calibri" w:eastAsia="Calibri" w:hAnsi="Calibri" w:cs="Times New Roman"/>
              </w:rPr>
              <w:t>agro</w:t>
            </w:r>
            <w:proofErr w:type="spellEnd"/>
            <w:r w:rsidRPr="003C7CB1">
              <w:rPr>
                <w:rFonts w:ascii="Calibri" w:eastAsia="Calibri" w:hAnsi="Calibri" w:cs="Times New Roman"/>
              </w:rPr>
              <w:t>-tourism, ethno-tourism, eco-tourism, hunting and sports-recreational tourism, excursion and health tourism, cultural tourism etc</w:t>
            </w:r>
            <w:r w:rsidR="00B16AD6" w:rsidRPr="003C7CB1">
              <w:rPr>
                <w:rFonts w:ascii="Calibri" w:eastAsia="Calibri" w:hAnsi="Calibri" w:cs="Times New Roman"/>
              </w:rPr>
              <w:t>.</w:t>
            </w:r>
          </w:p>
          <w:p w14:paraId="527AE6F9" w14:textId="5DCE5CBD" w:rsidR="009548E5" w:rsidRPr="003C7CB1" w:rsidRDefault="009548E5" w:rsidP="009548E5">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It is necessary to create conditions for the construction of accommodation facilities, e</w:t>
            </w:r>
            <w:r w:rsidR="006B2751">
              <w:rPr>
                <w:rFonts w:ascii="Calibri" w:eastAsia="Calibri" w:hAnsi="Calibri" w:cs="Times New Roman"/>
              </w:rPr>
              <w:t>specially hotels, in 3, 4 and 5-</w:t>
            </w:r>
            <w:r w:rsidRPr="003C7CB1">
              <w:rPr>
                <w:rFonts w:ascii="Calibri" w:eastAsia="Calibri" w:hAnsi="Calibri" w:cs="Times New Roman"/>
              </w:rPr>
              <w:t xml:space="preserve">star categories, which the municipality of </w:t>
            </w:r>
            <w:proofErr w:type="spellStart"/>
            <w:r w:rsidRPr="003C7CB1">
              <w:rPr>
                <w:rFonts w:ascii="Calibri" w:eastAsia="Calibri" w:hAnsi="Calibri" w:cs="Times New Roman"/>
              </w:rPr>
              <w:t>Danilo</w:t>
            </w:r>
            <w:r w:rsidR="00AE5C5F">
              <w:rPr>
                <w:rFonts w:ascii="Calibri" w:eastAsia="Calibri" w:hAnsi="Calibri" w:cs="Times New Roman"/>
              </w:rPr>
              <w:t>v</w:t>
            </w:r>
            <w:r w:rsidRPr="003C7CB1">
              <w:rPr>
                <w:rFonts w:ascii="Calibri" w:eastAsia="Calibri" w:hAnsi="Calibri" w:cs="Times New Roman"/>
              </w:rPr>
              <w:t>grad</w:t>
            </w:r>
            <w:proofErr w:type="spellEnd"/>
            <w:r w:rsidRPr="003C7CB1">
              <w:rPr>
                <w:rFonts w:ascii="Calibri" w:eastAsia="Calibri" w:hAnsi="Calibri" w:cs="Times New Roman"/>
              </w:rPr>
              <w:t xml:space="preserve"> lacks. Currently, the municipality has 3 hotels, one of which is outside the city center.</w:t>
            </w:r>
          </w:p>
          <w:p w14:paraId="5DC61B06" w14:textId="15FFFC46" w:rsidR="00B16AD6" w:rsidRPr="003C7CB1" w:rsidRDefault="00452061" w:rsidP="009548E5">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I</w:t>
            </w:r>
            <w:r w:rsidR="009548E5" w:rsidRPr="003C7CB1">
              <w:rPr>
                <w:rFonts w:ascii="Calibri" w:eastAsia="Calibri" w:hAnsi="Calibri" w:cs="Times New Roman"/>
              </w:rPr>
              <w:t xml:space="preserve">t is necessary to create planning preconditions for the development of eco-tourism, because the municipality of </w:t>
            </w:r>
            <w:proofErr w:type="spellStart"/>
            <w:r w:rsidR="009548E5" w:rsidRPr="003C7CB1">
              <w:rPr>
                <w:rFonts w:ascii="Calibri" w:eastAsia="Calibri" w:hAnsi="Calibri" w:cs="Times New Roman"/>
              </w:rPr>
              <w:t>Danilovgrad</w:t>
            </w:r>
            <w:proofErr w:type="spellEnd"/>
            <w:r w:rsidR="009548E5" w:rsidRPr="003C7CB1">
              <w:rPr>
                <w:rFonts w:ascii="Calibri" w:eastAsia="Calibri" w:hAnsi="Calibri" w:cs="Times New Roman"/>
              </w:rPr>
              <w:t>, thanks to its climate and geographical position, but also natural values, has all the prerequisites for the development of this branch of tourism</w:t>
            </w:r>
            <w:r w:rsidR="00B16AD6" w:rsidRPr="003C7CB1">
              <w:rPr>
                <w:rFonts w:ascii="Calibri" w:eastAsia="Calibri" w:hAnsi="Calibri" w:cs="Times New Roman"/>
              </w:rPr>
              <w:t>.</w:t>
            </w:r>
          </w:p>
          <w:p w14:paraId="1407A068" w14:textId="77777777" w:rsidR="00B16AD6" w:rsidRPr="003C7CB1" w:rsidRDefault="00B16AD6" w:rsidP="00CD5021">
            <w:pPr>
              <w:spacing w:after="120" w:line="240" w:lineRule="auto"/>
              <w:jc w:val="both"/>
              <w:rPr>
                <w:rFonts w:ascii="Calibri" w:eastAsia="Calibri" w:hAnsi="Calibri" w:cs="Times New Roman"/>
                <w:b/>
              </w:rPr>
            </w:pPr>
            <w:r w:rsidRPr="003C7CB1">
              <w:rPr>
                <w:rFonts w:ascii="Calibri" w:eastAsia="Calibri" w:hAnsi="Calibri" w:cs="Times New Roman"/>
                <w:b/>
              </w:rPr>
              <w:t>Tuzi</w:t>
            </w:r>
          </w:p>
          <w:p w14:paraId="206ECF59" w14:textId="377DC0C7" w:rsidR="00452061" w:rsidRPr="003C7CB1" w:rsidRDefault="00452061" w:rsidP="00452061">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The tourist offer of the municipality of Tuzi must be observed through the integrated offer of the wider zone, which extends to the territory of neighboring municipalities, in order to create a recognizable </w:t>
            </w:r>
            <w:r w:rsidR="00C65FFD">
              <w:rPr>
                <w:rFonts w:ascii="Calibri" w:eastAsia="Calibri" w:hAnsi="Calibri" w:cs="Times New Roman"/>
              </w:rPr>
              <w:t>tourism product</w:t>
            </w:r>
            <w:r w:rsidRPr="003C7CB1">
              <w:rPr>
                <w:rFonts w:ascii="Calibri" w:eastAsia="Calibri" w:hAnsi="Calibri" w:cs="Times New Roman"/>
              </w:rPr>
              <w:t>, more tourist programs, activities or types of tourism, as well as cross-border tourism projects with Albania.</w:t>
            </w:r>
          </w:p>
          <w:p w14:paraId="61E57F6F" w14:textId="633CB246" w:rsidR="00B16AD6" w:rsidRPr="003C7CB1" w:rsidRDefault="00452061" w:rsidP="00452061">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From the aspect of the level of tourist mobility, this area has the potential for the development of transit tourism, bearing in mind that the highway Podgorica - Tuzi - border crossing </w:t>
            </w:r>
            <w:proofErr w:type="spellStart"/>
            <w:r w:rsidRPr="003C7CB1">
              <w:rPr>
                <w:rFonts w:ascii="Calibri" w:eastAsia="Calibri" w:hAnsi="Calibri" w:cs="Times New Roman"/>
              </w:rPr>
              <w:t>Božaj</w:t>
            </w:r>
            <w:proofErr w:type="spellEnd"/>
            <w:r w:rsidRPr="003C7CB1">
              <w:rPr>
                <w:rFonts w:ascii="Calibri" w:eastAsia="Calibri" w:hAnsi="Calibri" w:cs="Times New Roman"/>
              </w:rPr>
              <w:t xml:space="preserve">, which connects Montenegro with Albania, and the road Podgorica - </w:t>
            </w:r>
            <w:proofErr w:type="spellStart"/>
            <w:r w:rsidRPr="003C7CB1">
              <w:rPr>
                <w:rFonts w:ascii="Calibri" w:eastAsia="Calibri" w:hAnsi="Calibri" w:cs="Times New Roman"/>
              </w:rPr>
              <w:t>Gusinje</w:t>
            </w:r>
            <w:proofErr w:type="spellEnd"/>
            <w:r w:rsidRPr="003C7CB1">
              <w:rPr>
                <w:rFonts w:ascii="Calibri" w:eastAsia="Calibri" w:hAnsi="Calibri" w:cs="Times New Roman"/>
              </w:rPr>
              <w:t xml:space="preserve"> via Albania, which connects North and South of Montenegro</w:t>
            </w:r>
            <w:r w:rsidR="00B16AD6" w:rsidRPr="003C7CB1">
              <w:rPr>
                <w:rFonts w:ascii="Calibri" w:eastAsia="Calibri" w:hAnsi="Calibri" w:cs="Times New Roman"/>
              </w:rPr>
              <w:t>.</w:t>
            </w:r>
          </w:p>
          <w:p w14:paraId="6B0DA749" w14:textId="77777777" w:rsidR="00452061" w:rsidRPr="003C7CB1" w:rsidRDefault="00452061" w:rsidP="00452061">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Develop rural tourism related to the environment of the village and its immediate surroundings, and all its activities (agriculture, events, gastronomy, folklore, ethnology and other activities) that are components of rural tourism. The municipality of Tuzi has preserved nature and a wide range of food products, as well as unused rural capacities that can be combined into one success story.</w:t>
            </w:r>
          </w:p>
          <w:p w14:paraId="61EE4263" w14:textId="2376533B" w:rsidR="00B16AD6" w:rsidRPr="003C7CB1" w:rsidRDefault="00452061" w:rsidP="00452061">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One of the significant potentials for the development of tourism is the valorization of the </w:t>
            </w:r>
            <w:proofErr w:type="spellStart"/>
            <w:r w:rsidRPr="003C7CB1">
              <w:rPr>
                <w:rFonts w:ascii="Calibri" w:eastAsia="Calibri" w:hAnsi="Calibri" w:cs="Times New Roman"/>
              </w:rPr>
              <w:t>Podhum</w:t>
            </w:r>
            <w:proofErr w:type="spellEnd"/>
            <w:r w:rsidR="00902B40" w:rsidRPr="003C7CB1">
              <w:rPr>
                <w:rFonts w:ascii="Calibri" w:eastAsia="Calibri" w:hAnsi="Calibri" w:cs="Times New Roman"/>
              </w:rPr>
              <w:t xml:space="preserve"> dock</w:t>
            </w:r>
            <w:r w:rsidRPr="003C7CB1">
              <w:rPr>
                <w:rFonts w:ascii="Calibri" w:eastAsia="Calibri" w:hAnsi="Calibri" w:cs="Times New Roman"/>
              </w:rPr>
              <w:t xml:space="preserve">, where in cooperation with the locals and through the education of all key entities it is possible to make a </w:t>
            </w:r>
            <w:r w:rsidR="00C65FFD">
              <w:rPr>
                <w:rFonts w:ascii="Calibri" w:eastAsia="Calibri" w:hAnsi="Calibri" w:cs="Times New Roman"/>
              </w:rPr>
              <w:t>tourism product</w:t>
            </w:r>
            <w:r w:rsidR="00902B40" w:rsidRPr="003C7CB1">
              <w:rPr>
                <w:rFonts w:ascii="Calibri" w:eastAsia="Calibri" w:hAnsi="Calibri" w:cs="Times New Roman"/>
              </w:rPr>
              <w:t>. Nearby is the "</w:t>
            </w:r>
            <w:proofErr w:type="spellStart"/>
            <w:r w:rsidR="00902B40" w:rsidRPr="003C7CB1">
              <w:rPr>
                <w:rFonts w:ascii="Calibri" w:eastAsia="Calibri" w:hAnsi="Calibri" w:cs="Times New Roman"/>
              </w:rPr>
              <w:t>Pančeva</w:t>
            </w:r>
            <w:proofErr w:type="spellEnd"/>
            <w:r w:rsidRPr="003C7CB1">
              <w:rPr>
                <w:rFonts w:ascii="Calibri" w:eastAsia="Calibri" w:hAnsi="Calibri" w:cs="Times New Roman"/>
              </w:rPr>
              <w:t xml:space="preserve"> Oka" reserve, a place for observing pelicans, which is a kind of attraction. Above the </w:t>
            </w:r>
            <w:proofErr w:type="spellStart"/>
            <w:r w:rsidRPr="003C7CB1">
              <w:rPr>
                <w:rFonts w:ascii="Calibri" w:eastAsia="Calibri" w:hAnsi="Calibri" w:cs="Times New Roman"/>
              </w:rPr>
              <w:t>Podhum</w:t>
            </w:r>
            <w:proofErr w:type="spellEnd"/>
            <w:r w:rsidR="00902B40" w:rsidRPr="003C7CB1">
              <w:rPr>
                <w:rFonts w:ascii="Calibri" w:eastAsia="Calibri" w:hAnsi="Calibri" w:cs="Times New Roman"/>
              </w:rPr>
              <w:t xml:space="preserve"> dock</w:t>
            </w:r>
            <w:r w:rsidRPr="003C7CB1">
              <w:rPr>
                <w:rFonts w:ascii="Calibri" w:eastAsia="Calibri" w:hAnsi="Calibri" w:cs="Times New Roman"/>
              </w:rPr>
              <w:t xml:space="preserve">, there is a registered </w:t>
            </w:r>
            <w:r w:rsidR="00902B40" w:rsidRPr="003C7CB1">
              <w:rPr>
                <w:rFonts w:ascii="Calibri" w:eastAsia="Calibri" w:hAnsi="Calibri" w:cs="Times New Roman"/>
              </w:rPr>
              <w:t xml:space="preserve">hiking trail with a view of </w:t>
            </w:r>
            <w:proofErr w:type="spellStart"/>
            <w:r w:rsidR="00902B40" w:rsidRPr="003C7CB1">
              <w:rPr>
                <w:rFonts w:ascii="Calibri" w:eastAsia="Calibri" w:hAnsi="Calibri" w:cs="Times New Roman"/>
              </w:rPr>
              <w:t>Lovć</w:t>
            </w:r>
            <w:r w:rsidRPr="003C7CB1">
              <w:rPr>
                <w:rFonts w:ascii="Calibri" w:eastAsia="Calibri" w:hAnsi="Calibri" w:cs="Times New Roman"/>
              </w:rPr>
              <w:t>en</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Rumija</w:t>
            </w:r>
            <w:proofErr w:type="spellEnd"/>
            <w:r w:rsidRPr="003C7CB1">
              <w:rPr>
                <w:rFonts w:ascii="Calibri" w:eastAsia="Calibri" w:hAnsi="Calibri" w:cs="Times New Roman"/>
              </w:rPr>
              <w:t>, Prokletije, Albania and Podgorica</w:t>
            </w:r>
            <w:r w:rsidR="00B16AD6" w:rsidRPr="003C7CB1">
              <w:rPr>
                <w:rFonts w:ascii="Calibri" w:eastAsia="Calibri" w:hAnsi="Calibri" w:cs="Times New Roman"/>
              </w:rPr>
              <w:t>.</w:t>
            </w:r>
          </w:p>
          <w:p w14:paraId="0C75AAEE" w14:textId="21448612" w:rsidR="00B16AD6" w:rsidRPr="003C7CB1" w:rsidRDefault="00902B40" w:rsidP="00902B40">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 xml:space="preserve">On the territory of the municipality of Tuzi there are potentials for the development of various forms of tourism such as: excursion tourism - the river </w:t>
            </w:r>
            <w:proofErr w:type="spellStart"/>
            <w:r w:rsidRPr="003C7CB1">
              <w:rPr>
                <w:rFonts w:ascii="Calibri" w:eastAsia="Calibri" w:hAnsi="Calibri" w:cs="Times New Roman"/>
              </w:rPr>
              <w:t>Cijevna</w:t>
            </w:r>
            <w:proofErr w:type="spellEnd"/>
            <w:r w:rsidRPr="003C7CB1">
              <w:rPr>
                <w:rFonts w:ascii="Calibri" w:eastAsia="Calibri" w:hAnsi="Calibri" w:cs="Times New Roman"/>
              </w:rPr>
              <w:t xml:space="preserve"> with its canyon and waterfall "Niagara", near the </w:t>
            </w:r>
            <w:proofErr w:type="spellStart"/>
            <w:r w:rsidRPr="003C7CB1">
              <w:rPr>
                <w:rFonts w:ascii="Calibri" w:eastAsia="Calibri" w:hAnsi="Calibri" w:cs="Times New Roman"/>
              </w:rPr>
              <w:t>Kuće</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Rakića</w:t>
            </w:r>
            <w:proofErr w:type="spellEnd"/>
            <w:r w:rsidRPr="003C7CB1">
              <w:rPr>
                <w:rFonts w:ascii="Calibri" w:eastAsia="Calibri" w:hAnsi="Calibri" w:cs="Times New Roman"/>
              </w:rPr>
              <w:t xml:space="preserve">, about ten meters high, one of the city’s most popular resorts during the summer months. As this is a canyon that is still intact in most locations, there is potential for the development of tourism based on fishing, cycling and walking. Also, potential locations that stand out for excursion tourism are </w:t>
            </w:r>
            <w:proofErr w:type="spellStart"/>
            <w:r w:rsidRPr="003C7CB1">
              <w:rPr>
                <w:rFonts w:ascii="Calibri" w:eastAsia="Calibri" w:hAnsi="Calibri" w:cs="Times New Roman"/>
              </w:rPr>
              <w:t>Vitoja</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Podhum</w:t>
            </w:r>
            <w:proofErr w:type="spellEnd"/>
            <w:r w:rsidRPr="003C7CB1">
              <w:rPr>
                <w:rFonts w:ascii="Calibri" w:eastAsia="Calibri" w:hAnsi="Calibri" w:cs="Times New Roman"/>
              </w:rPr>
              <w:t xml:space="preserve"> and other popular excursion places.</w:t>
            </w:r>
            <w:r w:rsidR="00B16AD6" w:rsidRPr="003C7CB1">
              <w:rPr>
                <w:rFonts w:ascii="Calibri" w:eastAsia="Calibri" w:hAnsi="Calibri" w:cs="Times New Roman"/>
              </w:rPr>
              <w:t xml:space="preserve"> </w:t>
            </w:r>
          </w:p>
          <w:p w14:paraId="192B3392" w14:textId="437B712F" w:rsidR="00B16AD6" w:rsidRPr="003C7CB1" w:rsidRDefault="00902B40" w:rsidP="00902B40">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Eno-tourism (wine tourism), as a subtype of gastronomic tourism, is represented through the activities of the company "</w:t>
            </w:r>
            <w:r w:rsidR="00EE6B8B" w:rsidRPr="003C7CB1">
              <w:rPr>
                <w:rFonts w:ascii="Calibri" w:eastAsia="Calibri" w:hAnsi="Calibri" w:cs="Times New Roman"/>
              </w:rPr>
              <w:t xml:space="preserve">13 Jul - </w:t>
            </w:r>
            <w:proofErr w:type="spellStart"/>
            <w:r w:rsidR="00EE6B8B" w:rsidRPr="003C7CB1">
              <w:rPr>
                <w:rFonts w:ascii="Calibri" w:eastAsia="Calibri" w:hAnsi="Calibri" w:cs="Times New Roman"/>
              </w:rPr>
              <w:t>Plantaž</w:t>
            </w:r>
            <w:r w:rsidRPr="003C7CB1">
              <w:rPr>
                <w:rFonts w:ascii="Calibri" w:eastAsia="Calibri" w:hAnsi="Calibri" w:cs="Times New Roman"/>
              </w:rPr>
              <w:t>e</w:t>
            </w:r>
            <w:proofErr w:type="spellEnd"/>
            <w:r w:rsidRPr="003C7CB1">
              <w:rPr>
                <w:rFonts w:ascii="Calibri" w:eastAsia="Calibri" w:hAnsi="Calibri" w:cs="Times New Roman"/>
              </w:rPr>
              <w:t xml:space="preserve"> A.D.", and refers to visits to vineyards and wineries, wine tasting and gastronomic specialties. In the area of the municipality of </w:t>
            </w:r>
            <w:r w:rsidR="00EE6B8B" w:rsidRPr="003C7CB1">
              <w:rPr>
                <w:rFonts w:ascii="Calibri" w:eastAsia="Calibri" w:hAnsi="Calibri" w:cs="Times New Roman"/>
              </w:rPr>
              <w:t>Tuzi, there is a wine cellar "</w:t>
            </w:r>
            <w:proofErr w:type="spellStart"/>
            <w:r w:rsidR="00EE6B8B" w:rsidRPr="003C7CB1">
              <w:rPr>
                <w:rFonts w:ascii="Calibri" w:eastAsia="Calibri" w:hAnsi="Calibri" w:cs="Times New Roman"/>
              </w:rPr>
              <w:t>Šipč</w:t>
            </w:r>
            <w:r w:rsidRPr="003C7CB1">
              <w:rPr>
                <w:rFonts w:ascii="Calibri" w:eastAsia="Calibri" w:hAnsi="Calibri" w:cs="Times New Roman"/>
              </w:rPr>
              <w:t>anik</w:t>
            </w:r>
            <w:proofErr w:type="spellEnd"/>
            <w:r w:rsidRPr="003C7CB1">
              <w:rPr>
                <w:rFonts w:ascii="Calibri" w:eastAsia="Calibri" w:hAnsi="Calibri" w:cs="Times New Roman"/>
              </w:rPr>
              <w:t>" at an average depth of over 30 meters below the ground, in the form of a tunnel 356 meters long, and spreads over 7000 m2. A tour of this cellar is an indispensable part of the tourist program "Wine Route". Within the wine tourism, it is possible to include small private wineries from this area</w:t>
            </w:r>
            <w:r w:rsidR="00B16AD6" w:rsidRPr="003C7CB1">
              <w:rPr>
                <w:rFonts w:ascii="Calibri" w:eastAsia="Calibri" w:hAnsi="Calibri" w:cs="Times New Roman"/>
              </w:rPr>
              <w:t xml:space="preserve">. </w:t>
            </w:r>
          </w:p>
          <w:p w14:paraId="752F7480" w14:textId="77777777" w:rsidR="00EE6B8B" w:rsidRPr="003C7CB1" w:rsidRDefault="00EE6B8B" w:rsidP="00EE6B8B">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Cultural tourism - many cultural assets provide excellent conditions for the presentation of cultural and historical tourism. Cultural tourism includes several segments such as: religious, festival, folklore, cultural tourism related to cultural and historical heritage, as well as intangible cultural tourism.</w:t>
            </w:r>
          </w:p>
          <w:p w14:paraId="4F652FAA" w14:textId="461BCA0C" w:rsidR="00B16AD6" w:rsidRPr="003C7CB1" w:rsidRDefault="00EE6B8B" w:rsidP="00EE6B8B">
            <w:pPr>
              <w:numPr>
                <w:ilvl w:val="0"/>
                <w:numId w:val="37"/>
              </w:numPr>
              <w:spacing w:after="120" w:line="240" w:lineRule="auto"/>
              <w:contextualSpacing/>
              <w:jc w:val="both"/>
              <w:rPr>
                <w:rFonts w:ascii="Calibri" w:eastAsia="Calibri" w:hAnsi="Calibri" w:cs="Times New Roman"/>
              </w:rPr>
            </w:pPr>
            <w:r w:rsidRPr="003C7CB1">
              <w:rPr>
                <w:rFonts w:ascii="Calibri" w:eastAsia="Calibri" w:hAnsi="Calibri" w:cs="Times New Roman"/>
              </w:rPr>
              <w:t>Event tourism - carnival in Tuzi</w:t>
            </w:r>
            <w:r w:rsidR="00B16AD6" w:rsidRPr="003C7CB1">
              <w:rPr>
                <w:rFonts w:ascii="Calibri" w:eastAsia="Calibri" w:hAnsi="Calibri" w:cs="Times New Roman"/>
              </w:rPr>
              <w:t xml:space="preserve">. </w:t>
            </w:r>
          </w:p>
          <w:p w14:paraId="77E27069" w14:textId="77777777" w:rsidR="00B16AD6" w:rsidRPr="003C7CB1" w:rsidRDefault="00B16AD6" w:rsidP="00CD5021">
            <w:pPr>
              <w:spacing w:after="120" w:line="240" w:lineRule="auto"/>
              <w:ind w:left="720"/>
              <w:contextualSpacing/>
              <w:jc w:val="both"/>
              <w:rPr>
                <w:rFonts w:ascii="Calibri" w:eastAsia="Calibri" w:hAnsi="Calibri" w:cs="Times New Roman"/>
              </w:rPr>
            </w:pPr>
          </w:p>
          <w:p w14:paraId="62896998" w14:textId="77777777" w:rsidR="00EE6B8B" w:rsidRPr="003C7CB1" w:rsidRDefault="00EE6B8B" w:rsidP="00CD5021">
            <w:pPr>
              <w:spacing w:after="120" w:line="240" w:lineRule="auto"/>
              <w:jc w:val="both"/>
              <w:rPr>
                <w:rFonts w:ascii="Calibri" w:eastAsia="Calibri" w:hAnsi="Calibri" w:cs="Times New Roman"/>
                <w:b/>
                <w:bCs/>
                <w:u w:val="single"/>
              </w:rPr>
            </w:pPr>
            <w:r w:rsidRPr="003C7CB1">
              <w:rPr>
                <w:rFonts w:ascii="Calibri" w:eastAsia="Calibri" w:hAnsi="Calibri" w:cs="Times New Roman"/>
                <w:b/>
                <w:bCs/>
                <w:u w:val="single"/>
              </w:rPr>
              <w:t>Standardization and unification of facilities</w:t>
            </w:r>
          </w:p>
          <w:p w14:paraId="602FA4A6" w14:textId="73955463" w:rsidR="00EE6B8B"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In order to create the image of urban municipalities, and through defined programs of private-public partnership (</w:t>
            </w:r>
            <w:r w:rsidR="00AE5C5F" w:rsidRPr="003C7CB1">
              <w:rPr>
                <w:rFonts w:ascii="Calibri" w:eastAsia="Calibri" w:hAnsi="Calibri" w:cs="Times New Roman"/>
              </w:rPr>
              <w:t>e.g.</w:t>
            </w:r>
            <w:r w:rsidRPr="003C7CB1">
              <w:rPr>
                <w:rFonts w:ascii="Calibri" w:eastAsia="Calibri" w:hAnsi="Calibri" w:cs="Times New Roman"/>
              </w:rPr>
              <w:t xml:space="preserve"> "new face of the city") it is necessary to work on refreshing the facades of facilities in urban </w:t>
            </w:r>
            <w:r w:rsidRPr="003C7CB1">
              <w:rPr>
                <w:rFonts w:ascii="Calibri" w:eastAsia="Calibri" w:hAnsi="Calibri" w:cs="Times New Roman"/>
              </w:rPr>
              <w:lastRenderedPageBreak/>
              <w:t>areas, standardizing solutions through the use of materials and colors that are aesthetically acceptable, neutral and that fit in with the environment.</w:t>
            </w:r>
          </w:p>
          <w:p w14:paraId="1ECC5916" w14:textId="77777777" w:rsidR="00EE6B8B"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It is necessary to work on the harmonization of new and reconstructed buildings, while respecting the standards defined by the plan, which point to a well-thought-out architecture of urban structures.</w:t>
            </w:r>
          </w:p>
          <w:p w14:paraId="61A63FD6" w14:textId="61D42FE6" w:rsidR="00B16AD6"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 xml:space="preserve">Outside urban areas, build facilities in a traditional style, combining exceptional aesthetics and functionality in order to achieve complete unification of interior design and exterior </w:t>
            </w:r>
            <w:r w:rsidR="00AE5C5F" w:rsidRPr="003C7CB1">
              <w:rPr>
                <w:rFonts w:ascii="Calibri" w:eastAsia="Calibri" w:hAnsi="Calibri" w:cs="Times New Roman"/>
              </w:rPr>
              <w:t>space.</w:t>
            </w:r>
            <w:r w:rsidR="00B16AD6" w:rsidRPr="003C7CB1">
              <w:rPr>
                <w:rFonts w:ascii="Calibri" w:eastAsia="Calibri" w:hAnsi="Calibri" w:cs="Times New Roman"/>
              </w:rPr>
              <w:t xml:space="preserve"> </w:t>
            </w:r>
          </w:p>
          <w:p w14:paraId="2647BAAF" w14:textId="5A1816E4" w:rsidR="00EE6B8B"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At the level of local self-governments, target the oldest buildings that have cultural and historical value, as well as buildings in which important historical figures lived or stayed, and protect, revitalize and valorize them, especially in the Podgorica Capital City.</w:t>
            </w:r>
          </w:p>
          <w:p w14:paraId="100A68AA" w14:textId="28D1A198" w:rsidR="00B16AD6"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 xml:space="preserve">It is necessary to create project activities through various support programs in order to connect tourism and agriculture, small business and entrepreneurship. Development of rural tourism in the vicinity of urban units of Podgorica, </w:t>
            </w:r>
            <w:proofErr w:type="spellStart"/>
            <w:r w:rsidRPr="003C7CB1">
              <w:rPr>
                <w:rFonts w:ascii="Calibri" w:eastAsia="Calibri" w:hAnsi="Calibri" w:cs="Times New Roman"/>
              </w:rPr>
              <w:t>Danilovgrad</w:t>
            </w:r>
            <w:proofErr w:type="spellEnd"/>
            <w:r w:rsidRPr="003C7CB1">
              <w:rPr>
                <w:rFonts w:ascii="Calibri" w:eastAsia="Calibri" w:hAnsi="Calibri" w:cs="Times New Roman"/>
              </w:rPr>
              <w:t xml:space="preserve">, </w:t>
            </w:r>
            <w:proofErr w:type="spellStart"/>
            <w:r w:rsidRPr="003C7CB1">
              <w:rPr>
                <w:rFonts w:ascii="Calibri" w:eastAsia="Calibri" w:hAnsi="Calibri" w:cs="Times New Roman"/>
              </w:rPr>
              <w:t>Nikšić</w:t>
            </w:r>
            <w:proofErr w:type="spellEnd"/>
            <w:r w:rsidRPr="003C7CB1">
              <w:rPr>
                <w:rFonts w:ascii="Calibri" w:eastAsia="Calibri" w:hAnsi="Calibri" w:cs="Times New Roman"/>
              </w:rPr>
              <w:t xml:space="preserve"> and Tuzi</w:t>
            </w:r>
            <w:r w:rsidR="00B16AD6" w:rsidRPr="003C7CB1">
              <w:rPr>
                <w:rFonts w:ascii="Calibri" w:eastAsia="Calibri" w:hAnsi="Calibri" w:cs="Times New Roman"/>
              </w:rPr>
              <w:t xml:space="preserve">. </w:t>
            </w:r>
          </w:p>
          <w:p w14:paraId="7A5DF8AD" w14:textId="08F63F39" w:rsidR="00B16AD6" w:rsidRPr="003C7CB1" w:rsidRDefault="00EE6B8B"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Hotel</w:t>
            </w:r>
            <w:r w:rsidR="00B16AD6" w:rsidRPr="003C7CB1">
              <w:rPr>
                <w:rFonts w:ascii="Calibri" w:eastAsia="Calibri" w:hAnsi="Calibri" w:cs="Times New Roman"/>
                <w:b/>
                <w:u w:val="single"/>
              </w:rPr>
              <w:t xml:space="preserve"> s</w:t>
            </w:r>
            <w:r w:rsidRPr="003C7CB1">
              <w:rPr>
                <w:rFonts w:ascii="Calibri" w:eastAsia="Calibri" w:hAnsi="Calibri" w:cs="Times New Roman"/>
                <w:b/>
                <w:u w:val="single"/>
              </w:rPr>
              <w:t>tandards</w:t>
            </w:r>
          </w:p>
          <w:p w14:paraId="5979DFBA" w14:textId="15951262" w:rsidR="00EE6B8B"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In urban areas, it is necessary to strive for the</w:t>
            </w:r>
            <w:r w:rsidR="006B2751">
              <w:rPr>
                <w:rFonts w:ascii="Calibri" w:eastAsia="Calibri" w:hAnsi="Calibri" w:cs="Times New Roman"/>
              </w:rPr>
              <w:t xml:space="preserve"> 4 and 5-star</w:t>
            </w:r>
            <w:r w:rsidRPr="003C7CB1">
              <w:rPr>
                <w:rFonts w:ascii="Calibri" w:eastAsia="Calibri" w:hAnsi="Calibri" w:cs="Times New Roman"/>
              </w:rPr>
              <w:t xml:space="preserve"> hotel offer with additional facilities.</w:t>
            </w:r>
          </w:p>
          <w:p w14:paraId="3388BB36" w14:textId="77777777" w:rsidR="00EE6B8B"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In other zones, the hotel offer should be in the category of 3-5 stars, which will be open all year round. In addition to hotel capacities, it is necessary to encourage the development of rural households in settlements and villages outside the city.</w:t>
            </w:r>
          </w:p>
          <w:p w14:paraId="29C44F1A" w14:textId="1F82DBE3" w:rsidR="00B16AD6" w:rsidRPr="003C7CB1" w:rsidRDefault="00EE6B8B" w:rsidP="00EE6B8B">
            <w:pPr>
              <w:spacing w:after="120" w:line="240" w:lineRule="auto"/>
              <w:jc w:val="both"/>
              <w:rPr>
                <w:rFonts w:ascii="Calibri" w:eastAsia="Calibri" w:hAnsi="Calibri" w:cs="Times New Roman"/>
              </w:rPr>
            </w:pPr>
            <w:r w:rsidRPr="003C7CB1">
              <w:rPr>
                <w:rFonts w:ascii="Calibri" w:eastAsia="Calibri" w:hAnsi="Calibri" w:cs="Times New Roman"/>
              </w:rPr>
              <w:t>It is necessary to work on increasing the standards of existing accommodation capacities and improving the quality of service in the tourism sector</w:t>
            </w:r>
            <w:r w:rsidR="00B16AD6" w:rsidRPr="003C7CB1">
              <w:rPr>
                <w:rFonts w:ascii="Calibri" w:eastAsia="Calibri" w:hAnsi="Calibri" w:cs="Times New Roman"/>
              </w:rPr>
              <w:t>.</w:t>
            </w:r>
          </w:p>
          <w:p w14:paraId="6B1B72A8" w14:textId="06A0EDEF" w:rsidR="00B16AD6" w:rsidRPr="003C7CB1" w:rsidRDefault="00EE6B8B"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Infrastructure</w:t>
            </w:r>
          </w:p>
          <w:p w14:paraId="68CF603A" w14:textId="77777777" w:rsidR="00683D81" w:rsidRPr="003C7CB1" w:rsidRDefault="00683D81" w:rsidP="00683D81">
            <w:pPr>
              <w:spacing w:after="120" w:line="240" w:lineRule="auto"/>
              <w:jc w:val="both"/>
              <w:rPr>
                <w:rFonts w:ascii="Calibri" w:eastAsia="Calibri" w:hAnsi="Calibri" w:cs="Times New Roman"/>
              </w:rPr>
            </w:pPr>
            <w:r w:rsidRPr="003C7CB1">
              <w:rPr>
                <w:rFonts w:ascii="Calibri" w:eastAsia="Calibri" w:hAnsi="Calibri" w:cs="Times New Roman"/>
              </w:rPr>
              <w:t>The precondition for balanced, quality and long-term sustainable development is the development and improvement of traffic and the overall infrastructure of the zone in question. Special attention should be paid to the development of insufficiently developed water supply network and wastewater drainage systems (fecal and atmospheric sewage), insufficient sewerage network coverage, local roads in rural areas and poor connection of rural areas with the city center.</w:t>
            </w:r>
          </w:p>
          <w:p w14:paraId="0A983EB9" w14:textId="76AB74A6" w:rsidR="00B16AD6" w:rsidRPr="003C7CB1" w:rsidRDefault="00683D81" w:rsidP="00683D81">
            <w:pPr>
              <w:spacing w:after="120" w:line="240" w:lineRule="auto"/>
              <w:jc w:val="both"/>
              <w:rPr>
                <w:rFonts w:ascii="Calibri" w:eastAsia="Calibri" w:hAnsi="Calibri" w:cs="Calibri"/>
                <w:b/>
                <w:bCs/>
                <w:color w:val="000000"/>
                <w:sz w:val="40"/>
                <w:szCs w:val="40"/>
                <w:lang w:eastAsia="hr-HR"/>
              </w:rPr>
            </w:pPr>
            <w:r w:rsidRPr="003C7CB1">
              <w:rPr>
                <w:rFonts w:ascii="Calibri" w:eastAsia="Calibri" w:hAnsi="Calibri" w:cs="Times New Roman"/>
              </w:rPr>
              <w:t>It is necessary to work on improving the inadequate and building the missing traffic network, especially the secondary network of roads (access streets, parking lots, etc.). Suppress the usurpation of public and private property through temporary facilities, which are being built on sidewalks, green and park areas, which prevent safe movement of pedestrians and prevent the planning of areas for movement for people with special needs</w:t>
            </w:r>
            <w:r w:rsidR="00B16AD6" w:rsidRPr="003C7CB1">
              <w:rPr>
                <w:rFonts w:ascii="Calibri" w:eastAsia="Calibri" w:hAnsi="Calibri" w:cs="Times New Roman"/>
              </w:rPr>
              <w:t>.</w:t>
            </w:r>
          </w:p>
        </w:tc>
      </w:tr>
    </w:tbl>
    <w:p w14:paraId="30A9B7EB" w14:textId="77777777" w:rsidR="00B16AD6" w:rsidRPr="003C7CB1" w:rsidRDefault="00B16AD6" w:rsidP="008B4390">
      <w:pPr>
        <w:spacing w:after="0" w:line="240" w:lineRule="auto"/>
        <w:jc w:val="both"/>
        <w:rPr>
          <w:rFonts w:ascii="Calibri" w:eastAsia="Calibri" w:hAnsi="Calibri" w:cs="Calibri"/>
          <w:b/>
          <w:bCs/>
          <w:color w:val="000000"/>
          <w:sz w:val="40"/>
          <w:szCs w:val="40"/>
          <w:lang w:eastAsia="hr-HR"/>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4678"/>
      </w:tblGrid>
      <w:tr w:rsidR="00B16AD6" w:rsidRPr="003C7CB1" w14:paraId="259E259F" w14:textId="77777777" w:rsidTr="00B16AD6">
        <w:tc>
          <w:tcPr>
            <w:tcW w:w="9894" w:type="dxa"/>
            <w:gridSpan w:val="2"/>
            <w:shd w:val="clear" w:color="auto" w:fill="B4C6E7" w:themeFill="accent1" w:themeFillTint="66"/>
          </w:tcPr>
          <w:p w14:paraId="7A01797A" w14:textId="6D73478A" w:rsidR="00B16AD6" w:rsidRPr="003C7CB1" w:rsidRDefault="00683D81"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TOURISM PRODUCT</w:t>
            </w:r>
          </w:p>
        </w:tc>
      </w:tr>
      <w:tr w:rsidR="00B16AD6" w:rsidRPr="003C7CB1" w14:paraId="13AF2E8A" w14:textId="77777777" w:rsidTr="00B16AD6">
        <w:trPr>
          <w:trHeight w:val="219"/>
        </w:trPr>
        <w:tc>
          <w:tcPr>
            <w:tcW w:w="5216" w:type="dxa"/>
            <w:shd w:val="clear" w:color="auto" w:fill="B4C6E7" w:themeFill="accent1" w:themeFillTint="66"/>
          </w:tcPr>
          <w:p w14:paraId="3F16189B" w14:textId="0A970720" w:rsidR="00B16AD6" w:rsidRPr="003C7CB1" w:rsidRDefault="00683D81" w:rsidP="00CD5021">
            <w:pPr>
              <w:spacing w:after="120" w:line="240" w:lineRule="auto"/>
              <w:jc w:val="center"/>
              <w:rPr>
                <w:rFonts w:ascii="Calibri" w:eastAsia="Calibri" w:hAnsi="Calibri" w:cs="Calibri"/>
                <w:b/>
                <w:bCs/>
                <w:color w:val="000000"/>
                <w:lang w:eastAsia="hr-HR"/>
              </w:rPr>
            </w:pPr>
            <w:r w:rsidRPr="003C7CB1">
              <w:rPr>
                <w:rFonts w:ascii="Calibri" w:eastAsia="Calibri" w:hAnsi="Calibri" w:cs="Calibri"/>
                <w:b/>
                <w:bCs/>
                <w:color w:val="1F3864"/>
                <w:lang w:eastAsia="hr-HR"/>
              </w:rPr>
              <w:t>Main tourism products</w:t>
            </w:r>
          </w:p>
        </w:tc>
        <w:tc>
          <w:tcPr>
            <w:tcW w:w="4678" w:type="dxa"/>
            <w:shd w:val="clear" w:color="auto" w:fill="B4C6E7" w:themeFill="accent1" w:themeFillTint="66"/>
          </w:tcPr>
          <w:p w14:paraId="4DBAD5F6" w14:textId="65550646" w:rsidR="00B16AD6" w:rsidRPr="003C7CB1" w:rsidRDefault="00683D81" w:rsidP="00CD5021">
            <w:pPr>
              <w:spacing w:after="120" w:line="240" w:lineRule="auto"/>
              <w:jc w:val="center"/>
              <w:rPr>
                <w:rFonts w:ascii="Calibri" w:eastAsia="Calibri" w:hAnsi="Calibri" w:cs="Calibri"/>
                <w:b/>
                <w:bCs/>
                <w:color w:val="1F3864"/>
                <w:lang w:eastAsia="hr-HR"/>
              </w:rPr>
            </w:pPr>
            <w:r w:rsidRPr="003C7CB1">
              <w:rPr>
                <w:rFonts w:ascii="Calibri" w:eastAsia="Calibri" w:hAnsi="Calibri" w:cs="Calibri"/>
                <w:b/>
                <w:bCs/>
                <w:color w:val="1F3864"/>
                <w:lang w:eastAsia="hr-HR"/>
              </w:rPr>
              <w:t>Additional tourism products</w:t>
            </w:r>
          </w:p>
        </w:tc>
      </w:tr>
      <w:tr w:rsidR="00B16AD6" w:rsidRPr="003C7CB1" w14:paraId="74B666EF" w14:textId="77777777" w:rsidTr="00CD5021">
        <w:trPr>
          <w:trHeight w:val="367"/>
        </w:trPr>
        <w:tc>
          <w:tcPr>
            <w:tcW w:w="5216" w:type="dxa"/>
          </w:tcPr>
          <w:p w14:paraId="5B681B46" w14:textId="77777777"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MICE tourism</w:t>
            </w:r>
          </w:p>
          <w:p w14:paraId="43EB28F7" w14:textId="49837267"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Product based on active tourism - h</w:t>
            </w:r>
            <w:r w:rsidR="00AE5C5F">
              <w:rPr>
                <w:rFonts w:ascii="Calibri" w:eastAsia="Calibri" w:hAnsi="Calibri" w:cs="Calibri"/>
                <w:bCs/>
                <w:color w:val="000000"/>
                <w:lang w:eastAsia="hr-HR"/>
              </w:rPr>
              <w:t>iking, mountaineering, cycling</w:t>
            </w:r>
          </w:p>
          <w:p w14:paraId="2F8F7215" w14:textId="7CD93ECA"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Rural tourism</w:t>
            </w:r>
          </w:p>
          <w:p w14:paraId="2D186E1D" w14:textId="59E8700F"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Protected areas</w:t>
            </w:r>
          </w:p>
          <w:p w14:paraId="1D452A40" w14:textId="6239354F"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Cultural tourism - museums, religious buildings, archeological sites, authentic architecture</w:t>
            </w:r>
          </w:p>
          <w:p w14:paraId="71482372" w14:textId="1D618DE5" w:rsidR="00B16AD6"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Gastro-</w:t>
            </w:r>
            <w:proofErr w:type="spellStart"/>
            <w:r w:rsidRPr="003C7CB1">
              <w:rPr>
                <w:rFonts w:ascii="Calibri" w:eastAsia="Calibri" w:hAnsi="Calibri" w:cs="Calibri"/>
                <w:bCs/>
                <w:color w:val="000000"/>
                <w:lang w:eastAsia="hr-HR"/>
              </w:rPr>
              <w:t>eno</w:t>
            </w:r>
            <w:proofErr w:type="spellEnd"/>
            <w:r w:rsidRPr="003C7CB1">
              <w:rPr>
                <w:rFonts w:ascii="Calibri" w:eastAsia="Calibri" w:hAnsi="Calibri" w:cs="Calibri"/>
                <w:bCs/>
                <w:color w:val="000000"/>
                <w:lang w:eastAsia="hr-HR"/>
              </w:rPr>
              <w:t xml:space="preserve"> tourism</w:t>
            </w:r>
          </w:p>
        </w:tc>
        <w:tc>
          <w:tcPr>
            <w:tcW w:w="4678" w:type="dxa"/>
          </w:tcPr>
          <w:p w14:paraId="47D416C2" w14:textId="77777777"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Event tourism</w:t>
            </w:r>
          </w:p>
          <w:p w14:paraId="2E79E200" w14:textId="6F86E7B4"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Fishing and sport-fishing tourism</w:t>
            </w:r>
          </w:p>
          <w:p w14:paraId="14DFE575" w14:textId="2800EFF9" w:rsidR="00683D81" w:rsidRPr="003C7CB1" w:rsidRDefault="00683D81" w:rsidP="00683D81">
            <w:pPr>
              <w:numPr>
                <w:ilvl w:val="0"/>
                <w:numId w:val="22"/>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Excursion tourism</w:t>
            </w:r>
          </w:p>
          <w:p w14:paraId="66B62500" w14:textId="35C0B4DC" w:rsidR="00B16AD6" w:rsidRPr="003C7CB1" w:rsidRDefault="00683D81" w:rsidP="00683D81">
            <w:pPr>
              <w:numPr>
                <w:ilvl w:val="0"/>
                <w:numId w:val="22"/>
              </w:num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Adventure tourism, etc.</w:t>
            </w:r>
          </w:p>
        </w:tc>
      </w:tr>
    </w:tbl>
    <w:p w14:paraId="23A3C7B7" w14:textId="77777777" w:rsidR="00085FBF" w:rsidRPr="003C7CB1" w:rsidRDefault="00085FBF" w:rsidP="00CD5021">
      <w:pPr>
        <w:spacing w:after="120" w:line="240" w:lineRule="auto"/>
        <w:rPr>
          <w:rFonts w:ascii="Calibri" w:eastAsia="Calibri" w:hAnsi="Calibri" w:cs="Times New Roman"/>
          <w:sz w:val="24"/>
          <w:szCs w:val="24"/>
          <w:lang w:eastAsia="hr-HR"/>
        </w:rPr>
      </w:pPr>
      <w:bookmarkStart w:id="272" w:name="_Toc88082175"/>
    </w:p>
    <w:tbl>
      <w:tblPr>
        <w:tblStyle w:val="TableGrid"/>
        <w:tblW w:w="0" w:type="auto"/>
        <w:tblLook w:val="04A0" w:firstRow="1" w:lastRow="0" w:firstColumn="1" w:lastColumn="0" w:noHBand="0" w:noVBand="1"/>
      </w:tblPr>
      <w:tblGrid>
        <w:gridCol w:w="9629"/>
      </w:tblGrid>
      <w:tr w:rsidR="00B16AD6" w:rsidRPr="003C7CB1" w14:paraId="5385CE7D" w14:textId="77777777" w:rsidTr="00B16AD6">
        <w:tc>
          <w:tcPr>
            <w:tcW w:w="9855" w:type="dxa"/>
            <w:shd w:val="clear" w:color="auto" w:fill="D9E2F3" w:themeFill="accent1" w:themeFillTint="33"/>
          </w:tcPr>
          <w:p w14:paraId="20C427C2" w14:textId="483DE2EE" w:rsidR="00B16AD6" w:rsidRPr="003C7CB1" w:rsidRDefault="00683D81" w:rsidP="00CD5021">
            <w:pPr>
              <w:spacing w:after="120" w:line="240" w:lineRule="auto"/>
              <w:jc w:val="center"/>
              <w:rPr>
                <w:rFonts w:ascii="Calibri" w:eastAsia="Calibri" w:hAnsi="Calibri" w:cs="Times New Roman"/>
                <w:b/>
                <w:color w:val="2F5496" w:themeColor="accent1" w:themeShade="BF"/>
                <w:sz w:val="24"/>
                <w:szCs w:val="24"/>
                <w:lang w:eastAsia="hr-HR"/>
              </w:rPr>
            </w:pPr>
            <w:r w:rsidRPr="003C7CB1">
              <w:rPr>
                <w:rFonts w:ascii="Calibri" w:eastAsia="Calibri" w:hAnsi="Calibri" w:cs="Times New Roman"/>
                <w:b/>
                <w:color w:val="2F5496" w:themeColor="accent1" w:themeShade="BF"/>
                <w:sz w:val="24"/>
                <w:szCs w:val="24"/>
                <w:lang w:eastAsia="hr-HR"/>
              </w:rPr>
              <w:lastRenderedPageBreak/>
              <w:t>VISION OF DEVELOPMENT OF THE NORTHERN REGION</w:t>
            </w:r>
          </w:p>
          <w:p w14:paraId="203605B6" w14:textId="37F4C7EE" w:rsidR="00B16AD6" w:rsidRPr="003C7CB1" w:rsidRDefault="00683D81" w:rsidP="00CD5021">
            <w:pPr>
              <w:spacing w:after="120" w:line="240" w:lineRule="auto"/>
              <w:jc w:val="both"/>
              <w:rPr>
                <w:rFonts w:ascii="Calibri" w:eastAsia="Calibri" w:hAnsi="Calibri" w:cs="Times New Roman"/>
                <w:b/>
                <w:color w:val="2F5496" w:themeColor="accent1" w:themeShade="BF"/>
                <w:sz w:val="24"/>
                <w:szCs w:val="24"/>
                <w:lang w:eastAsia="hr-HR"/>
              </w:rPr>
            </w:pPr>
            <w:r w:rsidRPr="003C7CB1">
              <w:rPr>
                <w:rFonts w:ascii="Calibri" w:eastAsia="Calibri" w:hAnsi="Calibri" w:cs="Times New Roman"/>
                <w:b/>
                <w:color w:val="2F5496" w:themeColor="accent1" w:themeShade="BF"/>
                <w:sz w:val="24"/>
                <w:szCs w:val="24"/>
                <w:lang w:eastAsia="hr-HR"/>
              </w:rPr>
              <w:t>"The northern region is a destination with a high level of quality of experience of nature and rural environment of Montenegro, available throughout the year, through the abundance of sustainable tourism products and experiences."</w:t>
            </w:r>
            <w:r w:rsidRPr="003C7CB1">
              <w:rPr>
                <w:rFonts w:ascii="Calibri" w:eastAsia="Calibri" w:hAnsi="Calibri" w:cs="Times New Roman"/>
                <w:color w:val="2F5496" w:themeColor="accent1" w:themeShade="BF"/>
                <w:sz w:val="24"/>
                <w:szCs w:val="24"/>
                <w:lang w:eastAsia="hr-HR"/>
              </w:rPr>
              <w:t xml:space="preserve"> - Concept of the Spatial Plan of Montenegro until 2040.</w:t>
            </w:r>
          </w:p>
        </w:tc>
      </w:tr>
    </w:tbl>
    <w:p w14:paraId="4F4F742A" w14:textId="77777777" w:rsidR="00B16AD6" w:rsidRPr="003C7CB1" w:rsidRDefault="00B16AD6" w:rsidP="00CD5021">
      <w:pPr>
        <w:spacing w:after="120" w:line="240" w:lineRule="auto"/>
        <w:rPr>
          <w:rFonts w:ascii="Calibri" w:eastAsia="Calibri" w:hAnsi="Calibri" w:cs="Times New Roman"/>
          <w:lang w:eastAsia="hr-HR"/>
        </w:rPr>
      </w:pPr>
    </w:p>
    <w:p w14:paraId="36285888" w14:textId="6090CE50" w:rsidR="00B16AD6" w:rsidRPr="003C7CB1" w:rsidRDefault="00B16AD6" w:rsidP="00CD5021">
      <w:pPr>
        <w:pStyle w:val="Heading2"/>
        <w:spacing w:before="0" w:after="120" w:line="240" w:lineRule="auto"/>
        <w:rPr>
          <w:rFonts w:eastAsia="Times New Roman"/>
          <w:lang w:eastAsia="hr-HR"/>
        </w:rPr>
      </w:pPr>
      <w:bookmarkStart w:id="273" w:name="_Toc91286742"/>
      <w:bookmarkStart w:id="274" w:name="_Toc95303061"/>
      <w:bookmarkStart w:id="275" w:name="_Toc104544221"/>
      <w:r w:rsidRPr="003C7CB1">
        <w:rPr>
          <w:rFonts w:eastAsia="Times New Roman"/>
          <w:lang w:eastAsia="hr-HR"/>
        </w:rPr>
        <w:t>1</w:t>
      </w:r>
      <w:r w:rsidR="00E729DA" w:rsidRPr="003C7CB1">
        <w:rPr>
          <w:rFonts w:eastAsia="Times New Roman"/>
          <w:lang w:eastAsia="hr-HR"/>
        </w:rPr>
        <w:t>5</w:t>
      </w:r>
      <w:r w:rsidR="007B3399" w:rsidRPr="003C7CB1">
        <w:rPr>
          <w:rFonts w:eastAsia="Times New Roman"/>
          <w:lang w:eastAsia="hr-HR"/>
        </w:rPr>
        <w:t>.</w:t>
      </w:r>
      <w:r w:rsidRPr="003C7CB1">
        <w:rPr>
          <w:rFonts w:eastAsia="Times New Roman"/>
          <w:lang w:eastAsia="hr-HR"/>
        </w:rPr>
        <w:t xml:space="preserve">7. </w:t>
      </w:r>
      <w:r w:rsidR="00683D81" w:rsidRPr="003C7CB1">
        <w:rPr>
          <w:rFonts w:eastAsia="Times New Roman"/>
          <w:lang w:eastAsia="hr-HR"/>
        </w:rPr>
        <w:t>TOURISM CLUSTER</w:t>
      </w:r>
      <w:r w:rsidRPr="003C7CB1">
        <w:rPr>
          <w:rFonts w:eastAsia="Times New Roman"/>
          <w:lang w:eastAsia="hr-HR"/>
        </w:rPr>
        <w:t xml:space="preserve"> 7 – </w:t>
      </w:r>
      <w:bookmarkEnd w:id="272"/>
      <w:proofErr w:type="spellStart"/>
      <w:r w:rsidR="00683D81" w:rsidRPr="003C7CB1">
        <w:rPr>
          <w:rFonts w:eastAsia="Times New Roman"/>
          <w:lang w:eastAsia="hr-HR"/>
        </w:rPr>
        <w:t>Bjelasica</w:t>
      </w:r>
      <w:proofErr w:type="spellEnd"/>
      <w:r w:rsidR="00683D81" w:rsidRPr="003C7CB1">
        <w:rPr>
          <w:rFonts w:eastAsia="Times New Roman"/>
          <w:lang w:eastAsia="hr-HR"/>
        </w:rPr>
        <w:t xml:space="preserve">, </w:t>
      </w:r>
      <w:proofErr w:type="spellStart"/>
      <w:r w:rsidR="00683D81" w:rsidRPr="003C7CB1">
        <w:rPr>
          <w:rFonts w:eastAsia="Times New Roman"/>
          <w:lang w:eastAsia="hr-HR"/>
        </w:rPr>
        <w:t>Komovi</w:t>
      </w:r>
      <w:proofErr w:type="spellEnd"/>
      <w:r w:rsidR="00683D81" w:rsidRPr="003C7CB1">
        <w:rPr>
          <w:rFonts w:eastAsia="Times New Roman"/>
          <w:lang w:eastAsia="hr-HR"/>
        </w:rPr>
        <w:t xml:space="preserve"> and</w:t>
      </w:r>
      <w:r w:rsidRPr="003C7CB1">
        <w:rPr>
          <w:rFonts w:eastAsia="Times New Roman"/>
          <w:lang w:eastAsia="hr-HR"/>
        </w:rPr>
        <w:t xml:space="preserve"> Prokletije</w:t>
      </w:r>
      <w:bookmarkEnd w:id="273"/>
      <w:bookmarkEnd w:id="274"/>
      <w:bookmarkEnd w:id="275"/>
      <w:r w:rsidRPr="003C7CB1">
        <w:rPr>
          <w:rFonts w:eastAsia="Times New Roman"/>
          <w:lang w:eastAsia="hr-HR"/>
        </w:rPr>
        <w:t xml:space="preserve"> </w:t>
      </w:r>
    </w:p>
    <w:tbl>
      <w:tblPr>
        <w:tblStyle w:val="TableGrid4"/>
        <w:tblW w:w="0" w:type="auto"/>
        <w:tblLook w:val="04A0" w:firstRow="1" w:lastRow="0" w:firstColumn="1" w:lastColumn="0" w:noHBand="0" w:noVBand="1"/>
      </w:tblPr>
      <w:tblGrid>
        <w:gridCol w:w="9629"/>
      </w:tblGrid>
      <w:tr w:rsidR="00B16AD6" w:rsidRPr="003C7CB1" w14:paraId="6A1BE343" w14:textId="77777777" w:rsidTr="00C3688A">
        <w:tc>
          <w:tcPr>
            <w:tcW w:w="9629" w:type="dxa"/>
            <w:shd w:val="clear" w:color="auto" w:fill="B4C6E7" w:themeFill="accent1" w:themeFillTint="66"/>
          </w:tcPr>
          <w:p w14:paraId="74833F2F" w14:textId="0ED03756" w:rsidR="00B16AD6" w:rsidRPr="003C7CB1" w:rsidRDefault="00683D81" w:rsidP="00CD5021">
            <w:pPr>
              <w:spacing w:after="120" w:line="240" w:lineRule="auto"/>
              <w:jc w:val="center"/>
              <w:rPr>
                <w:rFonts w:ascii="Calibri" w:eastAsia="Calibri" w:hAnsi="Calibri" w:cs="Calibri"/>
                <w:b/>
                <w:color w:val="000000"/>
                <w:lang w:eastAsia="hr-HR"/>
              </w:rPr>
            </w:pPr>
            <w:r w:rsidRPr="003C7CB1">
              <w:rPr>
                <w:rFonts w:ascii="Calibri" w:eastAsia="Calibri" w:hAnsi="Calibri" w:cs="Calibri"/>
                <w:b/>
                <w:color w:val="1F3864" w:themeColor="accent1" w:themeShade="80"/>
                <w:lang w:eastAsia="hr-HR"/>
              </w:rPr>
              <w:t>CHARACTERISTICS</w:t>
            </w:r>
          </w:p>
        </w:tc>
      </w:tr>
      <w:tr w:rsidR="00B16AD6" w:rsidRPr="003C7CB1" w14:paraId="0E934D2F" w14:textId="77777777" w:rsidTr="00C3688A">
        <w:tc>
          <w:tcPr>
            <w:tcW w:w="9629" w:type="dxa"/>
          </w:tcPr>
          <w:p w14:paraId="158CF7F0" w14:textId="618FED75" w:rsidR="005442CF" w:rsidRPr="003C7CB1" w:rsidRDefault="005442CF" w:rsidP="005442CF">
            <w:pPr>
              <w:spacing w:after="120" w:line="240" w:lineRule="auto"/>
              <w:jc w:val="both"/>
              <w:rPr>
                <w:rFonts w:ascii="Calibri" w:eastAsia="Calibri" w:hAnsi="Calibri" w:cs="Calibri"/>
                <w:bCs/>
                <w:color w:val="000000"/>
                <w:lang w:eastAsia="hr-HR"/>
              </w:rPr>
            </w:pPr>
            <w:r w:rsidRPr="003C7CB1">
              <w:rPr>
                <w:rFonts w:ascii="Calibri" w:eastAsia="Calibri" w:hAnsi="Calibri" w:cs="Calibri"/>
                <w:b/>
                <w:bCs/>
                <w:color w:val="000000"/>
                <w:lang w:eastAsia="hr-HR"/>
              </w:rPr>
              <w:t xml:space="preserve">Tourism cluster </w:t>
            </w:r>
            <w:proofErr w:type="spellStart"/>
            <w:r w:rsidRPr="003C7CB1">
              <w:rPr>
                <w:rFonts w:ascii="Calibri" w:eastAsia="Calibri" w:hAnsi="Calibri" w:cs="Calibri"/>
                <w:b/>
                <w:bCs/>
                <w:color w:val="000000"/>
                <w:lang w:eastAsia="hr-HR"/>
              </w:rPr>
              <w:t>Bjelasica</w:t>
            </w:r>
            <w:proofErr w:type="spellEnd"/>
            <w:r w:rsidRPr="003C7CB1">
              <w:rPr>
                <w:rFonts w:ascii="Calibri" w:eastAsia="Calibri" w:hAnsi="Calibri" w:cs="Calibri"/>
                <w:b/>
                <w:bCs/>
                <w:color w:val="000000"/>
                <w:lang w:eastAsia="hr-HR"/>
              </w:rPr>
              <w:t xml:space="preserve">, </w:t>
            </w:r>
            <w:proofErr w:type="spellStart"/>
            <w:r w:rsidRPr="003C7CB1">
              <w:rPr>
                <w:rFonts w:ascii="Calibri" w:eastAsia="Calibri" w:hAnsi="Calibri" w:cs="Calibri"/>
                <w:b/>
                <w:bCs/>
                <w:color w:val="000000"/>
                <w:lang w:eastAsia="hr-HR"/>
              </w:rPr>
              <w:t>Komovi</w:t>
            </w:r>
            <w:proofErr w:type="spellEnd"/>
            <w:r w:rsidRPr="003C7CB1">
              <w:rPr>
                <w:rFonts w:ascii="Calibri" w:eastAsia="Calibri" w:hAnsi="Calibri" w:cs="Calibri"/>
                <w:b/>
                <w:bCs/>
                <w:color w:val="000000"/>
                <w:lang w:eastAsia="hr-HR"/>
              </w:rPr>
              <w:t xml:space="preserve"> and Prokletije </w:t>
            </w:r>
            <w:r w:rsidRPr="003C7CB1">
              <w:rPr>
                <w:rFonts w:ascii="Calibri" w:eastAsia="Calibri" w:hAnsi="Calibri" w:cs="Calibri"/>
                <w:bCs/>
                <w:color w:val="000000"/>
                <w:lang w:eastAsia="hr-HR"/>
              </w:rPr>
              <w:t>is a mountain tourist destination with a tourist offer based on ski and rural tourism, as the backbone that connects this area into a single system.</w:t>
            </w:r>
          </w:p>
          <w:p w14:paraId="1C373FB2" w14:textId="5C108030" w:rsidR="00B16AD6" w:rsidRPr="003C7CB1" w:rsidRDefault="005442CF" w:rsidP="005442CF">
            <w:p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The areas of the national parks </w:t>
            </w:r>
            <w:proofErr w:type="spellStart"/>
            <w:r w:rsidRPr="003C7CB1">
              <w:rPr>
                <w:rFonts w:ascii="Calibri" w:eastAsia="Calibri" w:hAnsi="Calibri" w:cs="Calibri"/>
                <w:bCs/>
                <w:color w:val="000000"/>
                <w:lang w:eastAsia="hr-HR"/>
              </w:rPr>
              <w:t>Biogradska</w:t>
            </w:r>
            <w:proofErr w:type="spellEnd"/>
            <w:r w:rsidRPr="003C7CB1">
              <w:rPr>
                <w:rFonts w:ascii="Calibri" w:eastAsia="Calibri" w:hAnsi="Calibri" w:cs="Calibri"/>
                <w:bCs/>
                <w:color w:val="000000"/>
                <w:lang w:eastAsia="hr-HR"/>
              </w:rPr>
              <w:t xml:space="preserve"> </w:t>
            </w:r>
            <w:proofErr w:type="spellStart"/>
            <w:r w:rsidRPr="003C7CB1">
              <w:rPr>
                <w:rFonts w:ascii="Calibri" w:eastAsia="Calibri" w:hAnsi="Calibri" w:cs="Calibri"/>
                <w:bCs/>
                <w:color w:val="000000"/>
                <w:lang w:eastAsia="hr-HR"/>
              </w:rPr>
              <w:t>gora</w:t>
            </w:r>
            <w:proofErr w:type="spellEnd"/>
            <w:r w:rsidRPr="003C7CB1">
              <w:rPr>
                <w:rFonts w:ascii="Calibri" w:eastAsia="Calibri" w:hAnsi="Calibri" w:cs="Calibri"/>
                <w:bCs/>
                <w:color w:val="000000"/>
                <w:lang w:eastAsia="hr-HR"/>
              </w:rPr>
              <w:t xml:space="preserve"> and Prokletije represent one of the main development tourist potentials of this area. The tourist offer is diversified and based on a developed network of hiking and biking trails, thematic routes created around the most important cultural and historical heritage and natural potentials, as well as high-quality hotels with MICE facilities. Agriculture is closely related to tourism, and domestic products are sold in the households themselves, but also in hotels and restaurants in the region, as well as in the whole of Montenegro. Tourism as an economic activity is connected to all other sectors and benefits a large number of people, especially in rural areas, but also women and young people</w:t>
            </w:r>
            <w:r w:rsidR="00B16AD6" w:rsidRPr="003C7CB1">
              <w:rPr>
                <w:rFonts w:ascii="Calibri" w:eastAsia="Calibri" w:hAnsi="Calibri" w:cs="Calibri"/>
                <w:bCs/>
                <w:color w:val="000000"/>
                <w:lang w:eastAsia="hr-HR"/>
              </w:rPr>
              <w:t>.</w:t>
            </w:r>
          </w:p>
        </w:tc>
      </w:tr>
      <w:tr w:rsidR="00B16AD6" w:rsidRPr="003C7CB1" w14:paraId="04BD457E" w14:textId="77777777" w:rsidTr="00C3688A">
        <w:tc>
          <w:tcPr>
            <w:tcW w:w="9629" w:type="dxa"/>
            <w:shd w:val="clear" w:color="auto" w:fill="B4C6E7" w:themeFill="accent1" w:themeFillTint="66"/>
          </w:tcPr>
          <w:p w14:paraId="4404BC6C" w14:textId="768D3117" w:rsidR="00B16AD6" w:rsidRPr="003C7CB1" w:rsidRDefault="005442CF" w:rsidP="00CD5021">
            <w:pPr>
              <w:spacing w:after="120" w:line="240" w:lineRule="auto"/>
              <w:jc w:val="center"/>
              <w:rPr>
                <w:rFonts w:ascii="Calibri" w:eastAsia="Calibri" w:hAnsi="Calibri" w:cs="Calibri"/>
                <w:bCs/>
                <w:color w:val="000000"/>
                <w:lang w:eastAsia="hr-HR"/>
              </w:rPr>
            </w:pPr>
            <w:r w:rsidRPr="003C7CB1">
              <w:rPr>
                <w:rFonts w:ascii="Calibri" w:eastAsia="Calibri" w:hAnsi="Calibri" w:cs="Calibri"/>
                <w:b/>
                <w:bCs/>
                <w:color w:val="1F3864"/>
                <w:lang w:eastAsia="hr-HR"/>
              </w:rPr>
              <w:t>INVESTMENTS, SPACE, HOTEL STANDARDS AND INFRASTRUCTURE</w:t>
            </w:r>
          </w:p>
        </w:tc>
      </w:tr>
      <w:tr w:rsidR="00B16AD6" w:rsidRPr="003C7CB1" w14:paraId="084FECC5" w14:textId="77777777" w:rsidTr="00C3688A">
        <w:tc>
          <w:tcPr>
            <w:tcW w:w="9629" w:type="dxa"/>
          </w:tcPr>
          <w:p w14:paraId="21DDB7E9" w14:textId="585D7409" w:rsidR="005442CF" w:rsidRPr="003C7CB1" w:rsidRDefault="005442CF" w:rsidP="005442CF">
            <w:pPr>
              <w:shd w:val="clear" w:color="auto" w:fill="FFFFFF"/>
              <w:spacing w:after="120" w:line="240" w:lineRule="auto"/>
              <w:jc w:val="both"/>
              <w:rPr>
                <w:rFonts w:ascii="Calibri" w:eastAsia="Times New Roman" w:hAnsi="Calibri" w:cs="Calibri"/>
              </w:rPr>
            </w:pPr>
            <w:r w:rsidRPr="003C7CB1">
              <w:rPr>
                <w:rFonts w:ascii="Calibri" w:eastAsia="Times New Roman" w:hAnsi="Calibri" w:cs="Calibri"/>
              </w:rPr>
              <w:t xml:space="preserve">In accordance with the Special Purpose Spatial Plan </w:t>
            </w:r>
            <w:proofErr w:type="spellStart"/>
            <w:r w:rsidRPr="003C7CB1">
              <w:rPr>
                <w:rFonts w:ascii="Calibri" w:eastAsia="Times New Roman" w:hAnsi="Calibri" w:cs="Calibri"/>
              </w:rPr>
              <w:t>Bjelasica</w:t>
            </w:r>
            <w:proofErr w:type="spellEnd"/>
            <w:r w:rsidRPr="003C7CB1">
              <w:rPr>
                <w:rFonts w:ascii="Calibri" w:eastAsia="Times New Roman" w:hAnsi="Calibri" w:cs="Calibri"/>
              </w:rPr>
              <w:t xml:space="preserve"> and </w:t>
            </w:r>
            <w:proofErr w:type="spellStart"/>
            <w:r w:rsidRPr="003C7CB1">
              <w:rPr>
                <w:rFonts w:ascii="Calibri" w:eastAsia="Times New Roman" w:hAnsi="Calibri" w:cs="Calibri"/>
              </w:rPr>
              <w:t>Komovi</w:t>
            </w:r>
            <w:proofErr w:type="spellEnd"/>
            <w:r w:rsidRPr="003C7CB1">
              <w:rPr>
                <w:rFonts w:ascii="Calibri" w:eastAsia="Times New Roman" w:hAnsi="Calibri" w:cs="Calibri"/>
              </w:rPr>
              <w:t xml:space="preserve">, the construction of several modern mountain and ski centers is planned in the area of the </w:t>
            </w:r>
            <w:proofErr w:type="spellStart"/>
            <w:r w:rsidRPr="003C7CB1">
              <w:rPr>
                <w:rFonts w:ascii="Calibri" w:eastAsia="Times New Roman" w:hAnsi="Calibri" w:cs="Calibri"/>
              </w:rPr>
              <w:t>Bjelasica</w:t>
            </w:r>
            <w:proofErr w:type="spellEnd"/>
            <w:r w:rsidRPr="003C7CB1">
              <w:rPr>
                <w:rFonts w:ascii="Calibri" w:eastAsia="Times New Roman" w:hAnsi="Calibri" w:cs="Calibri"/>
              </w:rPr>
              <w:t xml:space="preserve"> and </w:t>
            </w:r>
            <w:proofErr w:type="spellStart"/>
            <w:r w:rsidRPr="003C7CB1">
              <w:rPr>
                <w:rFonts w:ascii="Calibri" w:eastAsia="Times New Roman" w:hAnsi="Calibri" w:cs="Calibri"/>
              </w:rPr>
              <w:t>Komovi</w:t>
            </w:r>
            <w:proofErr w:type="spellEnd"/>
            <w:r w:rsidRPr="003C7CB1">
              <w:rPr>
                <w:rFonts w:ascii="Calibri" w:eastAsia="Times New Roman" w:hAnsi="Calibri" w:cs="Calibri"/>
              </w:rPr>
              <w:t xml:space="preserve"> Mountains.</w:t>
            </w:r>
          </w:p>
          <w:p w14:paraId="2CFE92DF" w14:textId="4053160B" w:rsidR="00B16AD6" w:rsidRPr="003C7CB1" w:rsidRDefault="005442CF" w:rsidP="005442CF">
            <w:pPr>
              <w:shd w:val="clear" w:color="auto" w:fill="FFFFFF"/>
              <w:spacing w:after="120" w:line="240" w:lineRule="auto"/>
              <w:jc w:val="both"/>
              <w:rPr>
                <w:rFonts w:ascii="Calibri" w:eastAsia="Times New Roman" w:hAnsi="Calibri" w:cs="Calibri"/>
              </w:rPr>
            </w:pPr>
            <w:r w:rsidRPr="003C7CB1">
              <w:rPr>
                <w:rFonts w:ascii="Calibri" w:eastAsia="Times New Roman" w:hAnsi="Calibri" w:cs="Calibri"/>
              </w:rPr>
              <w:t xml:space="preserve">In the southern part of the </w:t>
            </w:r>
            <w:proofErr w:type="spellStart"/>
            <w:r w:rsidRPr="003C7CB1">
              <w:rPr>
                <w:rFonts w:ascii="Calibri" w:eastAsia="Times New Roman" w:hAnsi="Calibri" w:cs="Calibri"/>
              </w:rPr>
              <w:t>Bjelasica</w:t>
            </w:r>
            <w:proofErr w:type="spellEnd"/>
            <w:r w:rsidRPr="003C7CB1">
              <w:rPr>
                <w:rFonts w:ascii="Calibri" w:eastAsia="Times New Roman" w:hAnsi="Calibri" w:cs="Calibri"/>
              </w:rPr>
              <w:t xml:space="preserve"> area on the territory of the municipality of Kolašin, the development of the mountain and ski center </w:t>
            </w:r>
            <w:r w:rsidRPr="003C7CB1">
              <w:rPr>
                <w:rFonts w:ascii="Calibri" w:eastAsia="Times New Roman" w:hAnsi="Calibri" w:cs="Calibri"/>
                <w:b/>
              </w:rPr>
              <w:t>Kolašin 1600</w:t>
            </w:r>
            <w:r w:rsidRPr="003C7CB1">
              <w:rPr>
                <w:rFonts w:ascii="Calibri" w:eastAsia="Times New Roman" w:hAnsi="Calibri" w:cs="Calibri"/>
              </w:rPr>
              <w:t xml:space="preserve"> is underway, which is recognized as a carrier of winter tourism in Montenegro, and significant infrastructural activities are being carried out to improve the tourist offer. The zone for the base settlement of the mountain center Kolašin 1600 has an area of 27.19 ha and will consist of a zone with the facilities of the central settlement with hotels, suites, reception and public facilities, a zone of separate groups with facilities of single and multifamily accommodation units and area for starting ski lifts. In the mountain center Kolašin 1600, the construction of 3 hotels with a total of 2,485 beds in hotels, suits and similar facilities is planned. This will be a new and competitive </w:t>
            </w:r>
            <w:r w:rsidR="00C65FFD">
              <w:rPr>
                <w:rFonts w:ascii="Calibri" w:eastAsia="Times New Roman" w:hAnsi="Calibri" w:cs="Calibri"/>
              </w:rPr>
              <w:t>tourism product</w:t>
            </w:r>
            <w:r w:rsidRPr="003C7CB1">
              <w:rPr>
                <w:rFonts w:ascii="Calibri" w:eastAsia="Times New Roman" w:hAnsi="Calibri" w:cs="Calibri"/>
              </w:rPr>
              <w:t xml:space="preserve"> of Montenegro</w:t>
            </w:r>
            <w:r w:rsidR="00B16AD6" w:rsidRPr="003C7CB1">
              <w:rPr>
                <w:rFonts w:ascii="Calibri" w:eastAsia="Times New Roman" w:hAnsi="Calibri" w:cs="Calibri"/>
              </w:rPr>
              <w:t>.</w:t>
            </w:r>
          </w:p>
          <w:p w14:paraId="0C37B8F3" w14:textId="6CEE40C8" w:rsidR="00B16AD6" w:rsidRPr="003C7CB1" w:rsidRDefault="005442CF" w:rsidP="00CD5021">
            <w:p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The zone of the mountain center </w:t>
            </w:r>
            <w:proofErr w:type="spellStart"/>
            <w:r w:rsidRPr="003C7CB1">
              <w:rPr>
                <w:rFonts w:ascii="Calibri" w:eastAsia="Calibri" w:hAnsi="Calibri" w:cs="Calibri"/>
                <w:b/>
                <w:bCs/>
                <w:color w:val="000000"/>
                <w:lang w:eastAsia="hr-HR"/>
              </w:rPr>
              <w:t>Žarski</w:t>
            </w:r>
            <w:proofErr w:type="spellEnd"/>
            <w:r w:rsidRPr="003C7CB1">
              <w:rPr>
                <w:rFonts w:ascii="Calibri" w:eastAsia="Calibri" w:hAnsi="Calibri" w:cs="Calibri"/>
                <w:bCs/>
                <w:color w:val="000000"/>
                <w:lang w:eastAsia="hr-HR"/>
              </w:rPr>
              <w:t xml:space="preserve"> is located in the northern part of the area of </w:t>
            </w:r>
            <w:proofErr w:type="spellStart"/>
            <w:r w:rsidRPr="003C7CB1">
              <w:rPr>
                <w:rFonts w:ascii="Calibri" w:eastAsia="Calibri" w:hAnsi="Calibri" w:cs="Calibri"/>
                <w:bCs/>
                <w:color w:val="000000"/>
                <w:lang w:eastAsia="hr-HR"/>
              </w:rPr>
              <w:t>Bjelasica</w:t>
            </w:r>
            <w:proofErr w:type="spellEnd"/>
            <w:r w:rsidRPr="003C7CB1">
              <w:rPr>
                <w:rFonts w:ascii="Calibri" w:eastAsia="Calibri" w:hAnsi="Calibri" w:cs="Calibri"/>
                <w:bCs/>
                <w:color w:val="000000"/>
                <w:lang w:eastAsia="hr-HR"/>
              </w:rPr>
              <w:t>, in the municipality of Mojkovac, and covers an area of 1,550 ha at an altitude of 1650 m. The settlement of the mountain center will consist of a zone with facilities of the central settlement with hotels (14 in total), suits, reception and public facilities, a zone of separate groups with facilities of single-family and multi-family accommodation units (6,796 beds in total) and ski lift starting areas. The ski slope zone is interpolated into the base settlement zone in a way that provides ideal accessibility for skiers. The construction of the Ski Center "</w:t>
            </w:r>
            <w:proofErr w:type="spellStart"/>
            <w:r w:rsidRPr="003C7CB1">
              <w:rPr>
                <w:rFonts w:ascii="Calibri" w:eastAsia="Calibri" w:hAnsi="Calibri" w:cs="Calibri"/>
                <w:bCs/>
                <w:color w:val="000000"/>
                <w:lang w:eastAsia="hr-HR"/>
              </w:rPr>
              <w:t>Žarski</w:t>
            </w:r>
            <w:proofErr w:type="spellEnd"/>
            <w:r w:rsidRPr="003C7CB1">
              <w:rPr>
                <w:rFonts w:ascii="Calibri" w:eastAsia="Calibri" w:hAnsi="Calibri" w:cs="Calibri"/>
                <w:bCs/>
                <w:color w:val="000000"/>
                <w:lang w:eastAsia="hr-HR"/>
              </w:rPr>
              <w:t>" is underway, which will be put into full function in the planned time interval, as a completely new and modern ski resort</w:t>
            </w:r>
            <w:r w:rsidR="00B16AD6" w:rsidRPr="003C7CB1">
              <w:rPr>
                <w:rFonts w:ascii="Calibri" w:eastAsia="Calibri" w:hAnsi="Calibri" w:cs="Calibri"/>
                <w:bCs/>
                <w:color w:val="000000"/>
                <w:lang w:eastAsia="hr-HR"/>
              </w:rPr>
              <w:t xml:space="preserve">.  </w:t>
            </w:r>
          </w:p>
          <w:p w14:paraId="491D5C54" w14:textId="25ECFEF5" w:rsidR="00B16AD6" w:rsidRPr="003C7CB1" w:rsidRDefault="005442CF" w:rsidP="00CD5021">
            <w:p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The zone of the base settlement </w:t>
            </w:r>
            <w:proofErr w:type="spellStart"/>
            <w:r w:rsidRPr="003C7CB1">
              <w:rPr>
                <w:rFonts w:ascii="Calibri" w:eastAsia="Calibri" w:hAnsi="Calibri" w:cs="Calibri"/>
                <w:b/>
                <w:bCs/>
                <w:color w:val="000000"/>
                <w:lang w:eastAsia="hr-HR"/>
              </w:rPr>
              <w:t>Cmiljača</w:t>
            </w:r>
            <w:proofErr w:type="spellEnd"/>
            <w:r w:rsidRPr="003C7CB1">
              <w:rPr>
                <w:rFonts w:ascii="Calibri" w:eastAsia="Calibri" w:hAnsi="Calibri" w:cs="Calibri"/>
                <w:bCs/>
                <w:color w:val="000000"/>
                <w:lang w:eastAsia="hr-HR"/>
              </w:rPr>
              <w:t xml:space="preserve"> is located in the northern part of the area of </w:t>
            </w:r>
            <w:proofErr w:type="spellStart"/>
            <w:r w:rsidRPr="003C7CB1">
              <w:rPr>
                <w:rFonts w:ascii="Calibri" w:eastAsia="Calibri" w:hAnsi="Calibri" w:cs="Calibri"/>
                <w:bCs/>
                <w:color w:val="000000"/>
                <w:lang w:eastAsia="hr-HR"/>
              </w:rPr>
              <w:t>Bjelasica</w:t>
            </w:r>
            <w:proofErr w:type="spellEnd"/>
            <w:r w:rsidRPr="003C7CB1">
              <w:rPr>
                <w:rFonts w:ascii="Calibri" w:eastAsia="Calibri" w:hAnsi="Calibri" w:cs="Calibri"/>
                <w:bCs/>
                <w:color w:val="000000"/>
                <w:lang w:eastAsia="hr-HR"/>
              </w:rPr>
              <w:t xml:space="preserve"> on the territory of the municipality of Bijelo Polje, at 1,620 m above sea level, on an area of 7.5 ha. Zones with 4 hotels and 22 bungalows are planned in the base settlement, as well as areas for the starting point of ski lifts, with a total of 1,995 beds. The construction of the ski center "</w:t>
            </w:r>
            <w:proofErr w:type="spellStart"/>
            <w:r w:rsidRPr="003C7CB1">
              <w:rPr>
                <w:rFonts w:ascii="Calibri" w:eastAsia="Calibri" w:hAnsi="Calibri" w:cs="Calibri"/>
                <w:bCs/>
                <w:color w:val="000000"/>
                <w:lang w:eastAsia="hr-HR"/>
              </w:rPr>
              <w:t>Cmiljača</w:t>
            </w:r>
            <w:proofErr w:type="spellEnd"/>
            <w:r w:rsidRPr="003C7CB1">
              <w:rPr>
                <w:rFonts w:ascii="Calibri" w:eastAsia="Calibri" w:hAnsi="Calibri" w:cs="Calibri"/>
                <w:bCs/>
                <w:color w:val="000000"/>
                <w:lang w:eastAsia="hr-HR"/>
              </w:rPr>
              <w:t xml:space="preserve">" is underway, which will be put into full function in the planned time interval, as a completely new and modern ski </w:t>
            </w:r>
            <w:r w:rsidR="00AE5C5F" w:rsidRPr="003C7CB1">
              <w:rPr>
                <w:rFonts w:ascii="Calibri" w:eastAsia="Calibri" w:hAnsi="Calibri" w:cs="Calibri"/>
                <w:bCs/>
                <w:color w:val="000000"/>
                <w:lang w:eastAsia="hr-HR"/>
              </w:rPr>
              <w:t>resort.</w:t>
            </w:r>
            <w:r w:rsidR="00B16AD6" w:rsidRPr="003C7CB1">
              <w:rPr>
                <w:rFonts w:ascii="Calibri" w:eastAsia="Calibri" w:hAnsi="Calibri" w:cs="Calibri"/>
                <w:bCs/>
                <w:color w:val="000000"/>
                <w:lang w:eastAsia="hr-HR"/>
              </w:rPr>
              <w:t xml:space="preserve">  </w:t>
            </w:r>
          </w:p>
          <w:p w14:paraId="72A3C438" w14:textId="1E3382E4" w:rsidR="00B16AD6" w:rsidRPr="003C7CB1" w:rsidRDefault="005442CF" w:rsidP="00CD5021">
            <w:p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lastRenderedPageBreak/>
              <w:t>The aim of the Local Study of the "</w:t>
            </w:r>
            <w:proofErr w:type="spellStart"/>
            <w:r w:rsidRPr="003C7CB1">
              <w:rPr>
                <w:rFonts w:ascii="Calibri" w:eastAsia="Calibri" w:hAnsi="Calibri" w:cs="Calibri"/>
                <w:bCs/>
                <w:color w:val="000000"/>
                <w:lang w:eastAsia="hr-HR"/>
              </w:rPr>
              <w:t>Hajla</w:t>
            </w:r>
            <w:proofErr w:type="spellEnd"/>
            <w:r w:rsidRPr="003C7CB1">
              <w:rPr>
                <w:rFonts w:ascii="Calibri" w:eastAsia="Calibri" w:hAnsi="Calibri" w:cs="Calibri"/>
                <w:bCs/>
                <w:color w:val="000000"/>
                <w:lang w:eastAsia="hr-HR"/>
              </w:rPr>
              <w:t xml:space="preserve"> and </w:t>
            </w:r>
            <w:proofErr w:type="spellStart"/>
            <w:r w:rsidRPr="003C7CB1">
              <w:rPr>
                <w:rFonts w:ascii="Calibri" w:eastAsia="Calibri" w:hAnsi="Calibri" w:cs="Calibri"/>
                <w:bCs/>
                <w:color w:val="000000"/>
                <w:lang w:eastAsia="hr-HR"/>
              </w:rPr>
              <w:t>Štedim</w:t>
            </w:r>
            <w:proofErr w:type="spellEnd"/>
            <w:r w:rsidRPr="003C7CB1">
              <w:rPr>
                <w:rFonts w:ascii="Calibri" w:eastAsia="Calibri" w:hAnsi="Calibri" w:cs="Calibri"/>
                <w:bCs/>
                <w:color w:val="000000"/>
                <w:lang w:eastAsia="hr-HR"/>
              </w:rPr>
              <w:t xml:space="preserve">" location was to create spatial planning preconditions for the created economic development of distinct natural potentials, spatial coverage of </w:t>
            </w:r>
            <w:proofErr w:type="spellStart"/>
            <w:r w:rsidRPr="003C7CB1">
              <w:rPr>
                <w:rFonts w:ascii="Calibri" w:eastAsia="Calibri" w:hAnsi="Calibri" w:cs="Calibri"/>
                <w:bCs/>
                <w:color w:val="000000"/>
                <w:lang w:eastAsia="hr-HR"/>
              </w:rPr>
              <w:t>Rusolija</w:t>
            </w:r>
            <w:proofErr w:type="spellEnd"/>
            <w:r w:rsidRPr="003C7CB1">
              <w:rPr>
                <w:rFonts w:ascii="Calibri" w:eastAsia="Calibri" w:hAnsi="Calibri" w:cs="Calibri"/>
                <w:bCs/>
                <w:color w:val="000000"/>
                <w:lang w:eastAsia="hr-HR"/>
              </w:rPr>
              <w:t xml:space="preserve">, </w:t>
            </w:r>
            <w:proofErr w:type="spellStart"/>
            <w:r w:rsidRPr="003C7CB1">
              <w:rPr>
                <w:rFonts w:ascii="Calibri" w:eastAsia="Calibri" w:hAnsi="Calibri" w:cs="Calibri"/>
                <w:bCs/>
                <w:color w:val="000000"/>
                <w:lang w:eastAsia="hr-HR"/>
              </w:rPr>
              <w:t>Štedim</w:t>
            </w:r>
            <w:proofErr w:type="spellEnd"/>
            <w:r w:rsidRPr="003C7CB1">
              <w:rPr>
                <w:rFonts w:ascii="Calibri" w:eastAsia="Calibri" w:hAnsi="Calibri" w:cs="Calibri"/>
                <w:bCs/>
                <w:color w:val="000000"/>
                <w:lang w:eastAsia="hr-HR"/>
              </w:rPr>
              <w:t xml:space="preserve">, </w:t>
            </w:r>
            <w:proofErr w:type="spellStart"/>
            <w:r w:rsidRPr="003C7CB1">
              <w:rPr>
                <w:rFonts w:ascii="Calibri" w:eastAsia="Calibri" w:hAnsi="Calibri" w:cs="Calibri"/>
                <w:bCs/>
                <w:color w:val="000000"/>
                <w:lang w:eastAsia="hr-HR"/>
              </w:rPr>
              <w:t>Ahmica</w:t>
            </w:r>
            <w:proofErr w:type="spellEnd"/>
            <w:r w:rsidRPr="003C7CB1">
              <w:rPr>
                <w:rFonts w:ascii="Calibri" w:eastAsia="Calibri" w:hAnsi="Calibri" w:cs="Calibri"/>
                <w:bCs/>
                <w:color w:val="000000"/>
                <w:lang w:eastAsia="hr-HR"/>
              </w:rPr>
              <w:t xml:space="preserve">, </w:t>
            </w:r>
            <w:proofErr w:type="spellStart"/>
            <w:r w:rsidRPr="003C7CB1">
              <w:rPr>
                <w:rFonts w:ascii="Calibri" w:eastAsia="Calibri" w:hAnsi="Calibri" w:cs="Calibri"/>
                <w:bCs/>
                <w:color w:val="000000"/>
                <w:lang w:eastAsia="hr-HR"/>
              </w:rPr>
              <w:t>Bandžov</w:t>
            </w:r>
            <w:proofErr w:type="spellEnd"/>
            <w:r w:rsidRPr="003C7CB1">
              <w:rPr>
                <w:rFonts w:ascii="Calibri" w:eastAsia="Calibri" w:hAnsi="Calibri" w:cs="Calibri"/>
                <w:bCs/>
                <w:color w:val="000000"/>
                <w:lang w:eastAsia="hr-HR"/>
              </w:rPr>
              <w:t xml:space="preserve"> and </w:t>
            </w:r>
            <w:proofErr w:type="spellStart"/>
            <w:r w:rsidRPr="003C7CB1">
              <w:rPr>
                <w:rFonts w:ascii="Calibri" w:eastAsia="Calibri" w:hAnsi="Calibri" w:cs="Calibri"/>
                <w:bCs/>
                <w:color w:val="000000"/>
                <w:lang w:eastAsia="hr-HR"/>
              </w:rPr>
              <w:t>Hajla</w:t>
            </w:r>
            <w:proofErr w:type="spellEnd"/>
            <w:r w:rsidRPr="003C7CB1">
              <w:rPr>
                <w:rFonts w:ascii="Calibri" w:eastAsia="Calibri" w:hAnsi="Calibri" w:cs="Calibri"/>
                <w:bCs/>
                <w:color w:val="000000"/>
                <w:lang w:eastAsia="hr-HR"/>
              </w:rPr>
              <w:t xml:space="preserve">, as well as the corridor that functionally connects this area with the center of </w:t>
            </w:r>
            <w:r w:rsidR="00236264" w:rsidRPr="003C7CB1">
              <w:rPr>
                <w:rFonts w:ascii="Calibri" w:eastAsia="Calibri" w:hAnsi="Calibri" w:cs="Calibri"/>
                <w:bCs/>
                <w:color w:val="000000"/>
                <w:lang w:eastAsia="hr-HR"/>
              </w:rPr>
              <w:t>Municipality of Rožaje</w:t>
            </w:r>
            <w:r w:rsidRPr="003C7CB1">
              <w:rPr>
                <w:rFonts w:ascii="Calibri" w:eastAsia="Calibri" w:hAnsi="Calibri" w:cs="Calibri"/>
                <w:bCs/>
                <w:color w:val="000000"/>
                <w:lang w:eastAsia="hr-HR"/>
              </w:rPr>
              <w:t>. The plan covers an area of 4,326.49 ha, and the area within the intervention of the Local Study is recognized as a mountain, summer, winter, sports - recreational area</w:t>
            </w:r>
            <w:r w:rsidR="00B16AD6" w:rsidRPr="003C7CB1">
              <w:rPr>
                <w:rFonts w:ascii="Calibri" w:eastAsia="Calibri" w:hAnsi="Calibri" w:cs="Calibri"/>
                <w:bCs/>
                <w:color w:val="000000"/>
                <w:lang w:eastAsia="hr-HR"/>
              </w:rPr>
              <w:t xml:space="preserve">. </w:t>
            </w:r>
            <w:r w:rsidRPr="003C7CB1">
              <w:rPr>
                <w:rFonts w:ascii="Calibri" w:eastAsia="Calibri" w:hAnsi="Calibri" w:cs="Calibri"/>
                <w:bCs/>
                <w:color w:val="000000"/>
                <w:lang w:eastAsia="hr-HR"/>
              </w:rPr>
              <w:t xml:space="preserve">The location in question is the highest quality mountain tourist site in the Municipality of Rožaje. The construction of the ski center on </w:t>
            </w:r>
            <w:proofErr w:type="spellStart"/>
            <w:r w:rsidRPr="003C7CB1">
              <w:rPr>
                <w:rFonts w:ascii="Calibri" w:eastAsia="Calibri" w:hAnsi="Calibri" w:cs="Calibri"/>
                <w:bCs/>
                <w:color w:val="000000"/>
                <w:lang w:eastAsia="hr-HR"/>
              </w:rPr>
              <w:t>Hajla</w:t>
            </w:r>
            <w:proofErr w:type="spellEnd"/>
            <w:r w:rsidRPr="003C7CB1">
              <w:rPr>
                <w:rFonts w:ascii="Calibri" w:eastAsia="Calibri" w:hAnsi="Calibri" w:cs="Calibri"/>
                <w:bCs/>
                <w:color w:val="000000"/>
                <w:lang w:eastAsia="hr-HR"/>
              </w:rPr>
              <w:t xml:space="preserve"> and </w:t>
            </w:r>
            <w:proofErr w:type="spellStart"/>
            <w:r w:rsidRPr="003C7CB1">
              <w:rPr>
                <w:rFonts w:ascii="Calibri" w:eastAsia="Calibri" w:hAnsi="Calibri" w:cs="Calibri"/>
                <w:bCs/>
                <w:color w:val="000000"/>
                <w:lang w:eastAsia="hr-HR"/>
              </w:rPr>
              <w:t>Štedim</w:t>
            </w:r>
            <w:proofErr w:type="spellEnd"/>
            <w:r w:rsidRPr="003C7CB1">
              <w:rPr>
                <w:rFonts w:ascii="Calibri" w:eastAsia="Calibri" w:hAnsi="Calibri" w:cs="Calibri"/>
                <w:bCs/>
                <w:color w:val="000000"/>
                <w:lang w:eastAsia="hr-HR"/>
              </w:rPr>
              <w:t xml:space="preserve"> will contribute to the development of tourism and additionally influence the increased demand for agricultural and forest products, various services, real estate, etc., which will increase the attractiveness and competitiveness of the area as a whole. Ski center "</w:t>
            </w:r>
            <w:proofErr w:type="spellStart"/>
            <w:r w:rsidRPr="003C7CB1">
              <w:rPr>
                <w:rFonts w:ascii="Calibri" w:eastAsia="Calibri" w:hAnsi="Calibri" w:cs="Calibri"/>
                <w:bCs/>
                <w:color w:val="000000"/>
                <w:lang w:eastAsia="hr-HR"/>
              </w:rPr>
              <w:t>Štedim-Hajla</w:t>
            </w:r>
            <w:proofErr w:type="spellEnd"/>
            <w:r w:rsidRPr="003C7CB1">
              <w:rPr>
                <w:rFonts w:ascii="Calibri" w:eastAsia="Calibri" w:hAnsi="Calibri" w:cs="Calibri"/>
                <w:bCs/>
                <w:color w:val="000000"/>
                <w:lang w:eastAsia="hr-HR"/>
              </w:rPr>
              <w:t>" will be put into full function in the planned time interval, as a completely new and modern ski resort</w:t>
            </w:r>
            <w:r w:rsidR="00B16AD6" w:rsidRPr="003C7CB1">
              <w:rPr>
                <w:rFonts w:ascii="Calibri" w:eastAsia="Calibri" w:hAnsi="Calibri" w:cs="Calibri"/>
                <w:bCs/>
                <w:color w:val="000000"/>
                <w:lang w:eastAsia="hr-HR"/>
              </w:rPr>
              <w:t>.</w:t>
            </w:r>
          </w:p>
          <w:p w14:paraId="44642C0D" w14:textId="4FE9BF66" w:rsidR="00B16AD6" w:rsidRPr="003C7CB1" w:rsidRDefault="00C806E8" w:rsidP="00CD5021">
            <w:p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A special gem in the tourist offer of Montenegro will be </w:t>
            </w:r>
            <w:proofErr w:type="spellStart"/>
            <w:r w:rsidRPr="003C7CB1">
              <w:rPr>
                <w:rFonts w:ascii="Calibri" w:eastAsia="Calibri" w:hAnsi="Calibri" w:cs="Calibri"/>
                <w:b/>
                <w:bCs/>
                <w:color w:val="000000"/>
                <w:lang w:eastAsia="hr-HR"/>
              </w:rPr>
              <w:t>Đalovića</w:t>
            </w:r>
            <w:proofErr w:type="spellEnd"/>
            <w:r w:rsidRPr="003C7CB1">
              <w:rPr>
                <w:rFonts w:ascii="Calibri" w:eastAsia="Calibri" w:hAnsi="Calibri" w:cs="Calibri"/>
                <w:b/>
                <w:bCs/>
                <w:color w:val="000000"/>
                <w:lang w:eastAsia="hr-HR"/>
              </w:rPr>
              <w:t xml:space="preserve"> cave</w:t>
            </w:r>
            <w:r w:rsidRPr="003C7CB1">
              <w:rPr>
                <w:rFonts w:ascii="Calibri" w:eastAsia="Calibri" w:hAnsi="Calibri" w:cs="Calibri"/>
                <w:bCs/>
                <w:color w:val="000000"/>
                <w:lang w:eastAsia="hr-HR"/>
              </w:rPr>
              <w:t xml:space="preserve">, which belongs to the wider area of </w:t>
            </w:r>
            <w:proofErr w:type="spellStart"/>
            <w:r w:rsidRPr="003C7CB1">
              <w:rPr>
                <w:rFonts w:ascii="Calibri" w:eastAsia="Calibri" w:hAnsi="Calibri" w:cs="Calibri"/>
                <w:bCs/>
                <w:color w:val="000000"/>
                <w:lang w:eastAsia="hr-HR"/>
              </w:rPr>
              <w:t>Đalovića</w:t>
            </w:r>
            <w:proofErr w:type="spellEnd"/>
            <w:r w:rsidRPr="003C7CB1">
              <w:rPr>
                <w:rFonts w:ascii="Calibri" w:eastAsia="Calibri" w:hAnsi="Calibri" w:cs="Calibri"/>
                <w:bCs/>
                <w:color w:val="000000"/>
                <w:lang w:eastAsia="hr-HR"/>
              </w:rPr>
              <w:t xml:space="preserve"> gorge, </w:t>
            </w:r>
            <w:r w:rsidR="00AE5C5F" w:rsidRPr="003C7CB1">
              <w:rPr>
                <w:rFonts w:ascii="Calibri" w:eastAsia="Calibri" w:hAnsi="Calibri" w:cs="Calibri"/>
                <w:bCs/>
                <w:color w:val="000000"/>
                <w:lang w:eastAsia="hr-HR"/>
              </w:rPr>
              <w:t>i.e.</w:t>
            </w:r>
            <w:r w:rsidRPr="003C7CB1">
              <w:rPr>
                <w:rFonts w:ascii="Calibri" w:eastAsia="Calibri" w:hAnsi="Calibri" w:cs="Calibri"/>
                <w:bCs/>
                <w:color w:val="000000"/>
                <w:lang w:eastAsia="hr-HR"/>
              </w:rPr>
              <w:t xml:space="preserve"> the area defined as a "protected area". The valorization area is the area of </w:t>
            </w:r>
            <w:proofErr w:type="spellStart"/>
            <w:r w:rsidRPr="003C7CB1">
              <w:rPr>
                <w:rFonts w:ascii="Calibri" w:eastAsia="Calibri" w:hAnsi="Calibri" w:cs="Calibri"/>
                <w:bCs/>
                <w:color w:val="000000"/>
                <w:lang w:eastAsia="hr-HR"/>
              </w:rPr>
              <w:t>Đalovića</w:t>
            </w:r>
            <w:proofErr w:type="spellEnd"/>
            <w:r w:rsidRPr="003C7CB1">
              <w:rPr>
                <w:rFonts w:ascii="Calibri" w:eastAsia="Calibri" w:hAnsi="Calibri" w:cs="Calibri"/>
                <w:bCs/>
                <w:color w:val="000000"/>
                <w:lang w:eastAsia="hr-HR"/>
              </w:rPr>
              <w:t xml:space="preserve"> gorge from the </w:t>
            </w:r>
            <w:proofErr w:type="spellStart"/>
            <w:r w:rsidRPr="003C7CB1">
              <w:rPr>
                <w:rFonts w:ascii="Calibri" w:eastAsia="Calibri" w:hAnsi="Calibri" w:cs="Calibri"/>
                <w:bCs/>
                <w:color w:val="000000"/>
                <w:lang w:eastAsia="hr-HR"/>
              </w:rPr>
              <w:t>Podvrh</w:t>
            </w:r>
            <w:proofErr w:type="spellEnd"/>
            <w:r w:rsidRPr="003C7CB1">
              <w:rPr>
                <w:rFonts w:ascii="Calibri" w:eastAsia="Calibri" w:hAnsi="Calibri" w:cs="Calibri"/>
                <w:bCs/>
                <w:color w:val="000000"/>
                <w:lang w:eastAsia="hr-HR"/>
              </w:rPr>
              <w:t xml:space="preserve"> Monastery with the Church of St. Nicholas to the entrance to </w:t>
            </w:r>
            <w:proofErr w:type="spellStart"/>
            <w:r w:rsidRPr="003C7CB1">
              <w:rPr>
                <w:rFonts w:ascii="Calibri" w:eastAsia="Calibri" w:hAnsi="Calibri" w:cs="Calibri"/>
                <w:bCs/>
                <w:color w:val="000000"/>
                <w:lang w:eastAsia="hr-HR"/>
              </w:rPr>
              <w:t>Đalovića</w:t>
            </w:r>
            <w:proofErr w:type="spellEnd"/>
            <w:r w:rsidRPr="003C7CB1">
              <w:rPr>
                <w:rFonts w:ascii="Calibri" w:eastAsia="Calibri" w:hAnsi="Calibri" w:cs="Calibri"/>
                <w:bCs/>
                <w:color w:val="000000"/>
                <w:lang w:eastAsia="hr-HR"/>
              </w:rPr>
              <w:t xml:space="preserve"> cave, on an area of approximately 114 ha. </w:t>
            </w:r>
            <w:proofErr w:type="spellStart"/>
            <w:r w:rsidRPr="003C7CB1">
              <w:rPr>
                <w:rFonts w:ascii="Calibri" w:eastAsia="Calibri" w:hAnsi="Calibri" w:cs="Calibri"/>
                <w:bCs/>
                <w:color w:val="000000"/>
                <w:lang w:eastAsia="hr-HR"/>
              </w:rPr>
              <w:t>Đalovića</w:t>
            </w:r>
            <w:proofErr w:type="spellEnd"/>
            <w:r w:rsidRPr="003C7CB1">
              <w:rPr>
                <w:rFonts w:ascii="Calibri" w:eastAsia="Calibri" w:hAnsi="Calibri" w:cs="Calibri"/>
                <w:bCs/>
                <w:color w:val="000000"/>
                <w:lang w:eastAsia="hr-HR"/>
              </w:rPr>
              <w:t xml:space="preserve"> cave, and the wider area to which this locality belongs, are ideal for all forms of adventure tourism: speleology, canyoning, zip-line, kayak on fast waters, free climbing, mountain biking, hunting and fishing, hiking, mountaineering and various forms of nature adventure parks</w:t>
            </w:r>
            <w:r w:rsidR="00B16AD6" w:rsidRPr="003C7CB1">
              <w:rPr>
                <w:rFonts w:ascii="Calibri" w:eastAsia="Calibri" w:hAnsi="Calibri" w:cs="Calibri"/>
                <w:bCs/>
                <w:color w:val="000000"/>
                <w:lang w:eastAsia="hr-HR"/>
              </w:rPr>
              <w:t>.</w:t>
            </w:r>
          </w:p>
          <w:p w14:paraId="6BDB13A4" w14:textId="77777777" w:rsidR="00C806E8" w:rsidRPr="003C7CB1" w:rsidRDefault="00C806E8" w:rsidP="00C806E8">
            <w:p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Significant investment in infrastructure in rural areas - roads, water supply, energy system, but also strengthening the signal for mobile telephony and internet availability.</w:t>
            </w:r>
          </w:p>
          <w:p w14:paraId="7A14D95D" w14:textId="4FF140D0" w:rsidR="00B16AD6" w:rsidRPr="003C7CB1" w:rsidRDefault="00C806E8" w:rsidP="00C806E8">
            <w:pPr>
              <w:spacing w:after="120" w:line="240" w:lineRule="auto"/>
              <w:jc w:val="both"/>
              <w:rPr>
                <w:rFonts w:ascii="Calibri" w:eastAsia="Calibri" w:hAnsi="Calibri" w:cs="Times New Roman"/>
              </w:rPr>
            </w:pPr>
            <w:r w:rsidRPr="003C7CB1">
              <w:rPr>
                <w:rFonts w:ascii="Calibri" w:eastAsia="Calibri" w:hAnsi="Calibri" w:cs="Calibri"/>
                <w:bCs/>
                <w:color w:val="000000"/>
                <w:lang w:eastAsia="hr-HR"/>
              </w:rPr>
              <w:t xml:space="preserve">Therefore, the strategic stronghold is important due to the fact that the protection and creative interpretation of this mountain area or cluster must be taken as a factor of differentiation in relation to similar locations within the region and wider, </w:t>
            </w:r>
            <w:r w:rsidR="00AE5C5F" w:rsidRPr="003C7CB1">
              <w:rPr>
                <w:rFonts w:ascii="Calibri" w:eastAsia="Calibri" w:hAnsi="Calibri" w:cs="Calibri"/>
                <w:bCs/>
                <w:color w:val="000000"/>
                <w:lang w:eastAsia="hr-HR"/>
              </w:rPr>
              <w:t>i.e.</w:t>
            </w:r>
            <w:r w:rsidRPr="003C7CB1">
              <w:rPr>
                <w:rFonts w:ascii="Calibri" w:eastAsia="Calibri" w:hAnsi="Calibri" w:cs="Calibri"/>
                <w:bCs/>
                <w:color w:val="000000"/>
                <w:lang w:eastAsia="hr-HR"/>
              </w:rPr>
              <w:t xml:space="preserve"> Europe. In other words, the strategic stronghold that "tourism is the guardian of space" in the modern context of tourism means the following: in order to be successful in tourism, this area must retain, improve and, if necessary, rehabilitate its natural originality</w:t>
            </w:r>
            <w:r w:rsidR="00B16AD6" w:rsidRPr="003C7CB1">
              <w:rPr>
                <w:rFonts w:ascii="Calibri" w:eastAsia="Calibri" w:hAnsi="Calibri" w:cs="Times New Roman"/>
              </w:rPr>
              <w:t>.</w:t>
            </w:r>
          </w:p>
          <w:p w14:paraId="19706B01" w14:textId="5A6F4BD8" w:rsidR="00B16AD6" w:rsidRPr="003C7CB1" w:rsidRDefault="00C806E8" w:rsidP="00CD5021">
            <w:pPr>
              <w:spacing w:after="120" w:line="240" w:lineRule="auto"/>
              <w:jc w:val="both"/>
              <w:rPr>
                <w:rFonts w:ascii="Calibri" w:eastAsia="Calibri" w:hAnsi="Calibri" w:cs="Times New Roman"/>
              </w:rPr>
            </w:pPr>
            <w:r w:rsidRPr="003C7CB1">
              <w:rPr>
                <w:rFonts w:ascii="Calibri" w:eastAsia="Calibri" w:hAnsi="Calibri" w:cs="Times New Roman"/>
              </w:rPr>
              <w:t>For this cluster, the key to success is the unique management of the entire tourist value chain of space, both in the phase of opening major investment projects and in the phase of organizing and managing the destination management of this attractive tourist and recreational space; as well as a balanced concept of tourism, urban and rural-agricultural development of this region, which thus supports year-round economic activities caused by tourism as a lever of development</w:t>
            </w:r>
            <w:r w:rsidR="00B16AD6" w:rsidRPr="003C7CB1">
              <w:rPr>
                <w:rFonts w:ascii="Calibri" w:eastAsia="Calibri" w:hAnsi="Calibri" w:cs="Times New Roman"/>
              </w:rPr>
              <w:t>.</w:t>
            </w:r>
          </w:p>
          <w:p w14:paraId="2B73E541" w14:textId="77777777" w:rsidR="004B2032" w:rsidRPr="003C7CB1" w:rsidRDefault="004B2032" w:rsidP="00CD5021">
            <w:pPr>
              <w:spacing w:after="120" w:line="240" w:lineRule="auto"/>
              <w:jc w:val="both"/>
              <w:rPr>
                <w:rFonts w:ascii="Calibri" w:eastAsia="Calibri" w:hAnsi="Calibri" w:cs="Times New Roman"/>
              </w:rPr>
            </w:pPr>
          </w:p>
          <w:p w14:paraId="260E6DBC" w14:textId="665CA4B6" w:rsidR="00B16AD6" w:rsidRPr="003C7CB1" w:rsidRDefault="00C806E8" w:rsidP="00CD5021">
            <w:pPr>
              <w:spacing w:after="120" w:line="240" w:lineRule="auto"/>
              <w:jc w:val="both"/>
              <w:rPr>
                <w:rFonts w:ascii="Calibri" w:eastAsia="Calibri" w:hAnsi="Calibri" w:cs="Calibri"/>
                <w:b/>
                <w:bCs/>
                <w:color w:val="000000"/>
                <w:u w:val="single"/>
                <w:lang w:eastAsia="hr-HR"/>
              </w:rPr>
            </w:pPr>
            <w:r w:rsidRPr="003C7CB1">
              <w:rPr>
                <w:rFonts w:ascii="Calibri" w:eastAsia="Calibri" w:hAnsi="Calibri" w:cs="Calibri"/>
                <w:b/>
                <w:bCs/>
                <w:color w:val="000000"/>
                <w:u w:val="single"/>
                <w:lang w:eastAsia="hr-HR"/>
              </w:rPr>
              <w:t>Standardization and unification of facilities</w:t>
            </w:r>
            <w:r w:rsidR="00783B84" w:rsidRPr="003C7CB1">
              <w:rPr>
                <w:rFonts w:ascii="Calibri" w:eastAsia="Calibri" w:hAnsi="Calibri" w:cs="Calibri"/>
                <w:b/>
                <w:bCs/>
                <w:color w:val="000000"/>
                <w:u w:val="single"/>
                <w:lang w:eastAsia="hr-HR"/>
              </w:rPr>
              <w:t xml:space="preserve"> </w:t>
            </w:r>
          </w:p>
          <w:p w14:paraId="1B63E4CC" w14:textId="77777777" w:rsidR="005D1B3C" w:rsidRPr="003C7CB1" w:rsidRDefault="005D1B3C" w:rsidP="005D1B3C">
            <w:pPr>
              <w:spacing w:after="120" w:line="240" w:lineRule="auto"/>
              <w:jc w:val="both"/>
              <w:rPr>
                <w:rFonts w:ascii="Calibri" w:eastAsia="Calibri" w:hAnsi="Calibri" w:cs="Times New Roman"/>
              </w:rPr>
            </w:pPr>
            <w:r w:rsidRPr="003C7CB1">
              <w:rPr>
                <w:rFonts w:ascii="Calibri" w:eastAsia="Calibri" w:hAnsi="Calibri" w:cs="Times New Roman"/>
              </w:rPr>
              <w:t>It is necessary to work on the harmonization of new and reconstructed buildings, respecting the standards defined by the plan, which refer to well-thought-out architecture of urban structures, which skillfully combines local tradition with elements of modern architecture.</w:t>
            </w:r>
          </w:p>
          <w:p w14:paraId="624D24D3" w14:textId="4F77E684" w:rsidR="005D1B3C" w:rsidRPr="003C7CB1" w:rsidRDefault="005D1B3C" w:rsidP="005D1B3C">
            <w:pPr>
              <w:spacing w:after="120" w:line="240" w:lineRule="auto"/>
              <w:jc w:val="both"/>
              <w:rPr>
                <w:rFonts w:ascii="Calibri" w:eastAsia="Calibri" w:hAnsi="Calibri" w:cs="Times New Roman"/>
              </w:rPr>
            </w:pPr>
            <w:r w:rsidRPr="003C7CB1">
              <w:rPr>
                <w:rFonts w:ascii="Calibri" w:eastAsia="Calibri" w:hAnsi="Calibri" w:cs="Times New Roman"/>
              </w:rPr>
              <w:t>Outside urban areas, build facilities in a traditional style, combining exceptional aesthetics and functionality in order to achieve complete unification of interior design and exterior space.</w:t>
            </w:r>
          </w:p>
          <w:p w14:paraId="3F327A8C" w14:textId="448A8DC4" w:rsidR="00B16AD6" w:rsidRPr="003C7CB1" w:rsidRDefault="005D1B3C" w:rsidP="005D1B3C">
            <w:pPr>
              <w:spacing w:after="120" w:line="240" w:lineRule="auto"/>
              <w:jc w:val="both"/>
              <w:rPr>
                <w:rFonts w:ascii="Calibri" w:eastAsia="Calibri" w:hAnsi="Calibri" w:cs="Times New Roman"/>
              </w:rPr>
            </w:pPr>
            <w:r w:rsidRPr="003C7CB1">
              <w:rPr>
                <w:rFonts w:ascii="Calibri" w:eastAsia="Calibri" w:hAnsi="Calibri" w:cs="Times New Roman"/>
              </w:rPr>
              <w:t>At the level of local self-governments, target the oldest buildings that have cultural and historical value, as well as buildings in which important historical figures lived or stayed, and protect, revitalize and valorize them for tourism</w:t>
            </w:r>
            <w:r w:rsidR="00B16AD6" w:rsidRPr="003C7CB1">
              <w:rPr>
                <w:rFonts w:ascii="Calibri" w:eastAsia="Calibri" w:hAnsi="Calibri" w:cs="Times New Roman"/>
              </w:rPr>
              <w:t xml:space="preserve">.  </w:t>
            </w:r>
          </w:p>
          <w:p w14:paraId="6330631F" w14:textId="664799AF" w:rsidR="00B16AD6" w:rsidRPr="003C7CB1" w:rsidRDefault="005D1B3C" w:rsidP="00CD5021">
            <w:pPr>
              <w:spacing w:after="120" w:line="240" w:lineRule="auto"/>
              <w:jc w:val="both"/>
              <w:rPr>
                <w:rFonts w:ascii="Calibri" w:eastAsia="Calibri" w:hAnsi="Calibri" w:cs="Times New Roman"/>
              </w:rPr>
            </w:pPr>
            <w:r w:rsidRPr="003C7CB1">
              <w:rPr>
                <w:rFonts w:ascii="Calibri" w:eastAsia="Calibri" w:hAnsi="Calibri" w:cs="Times New Roman"/>
              </w:rPr>
              <w:t xml:space="preserve">When creating new contents, it is necessary to pay special attention to the architectural design and materialization of facilities, especially taking into account that the volumes of facilities are carefully designed in order to obtain a homogeneous image of the settlement and city. Facades of facilities and roof coverings should be made of quality and durable material and should be installed with quality. In parts of the city that have historical value, build </w:t>
            </w:r>
            <w:r w:rsidR="00EA710A" w:rsidRPr="003C7CB1">
              <w:rPr>
                <w:rFonts w:ascii="Calibri" w:eastAsia="Calibri" w:hAnsi="Calibri" w:cs="Times New Roman"/>
              </w:rPr>
              <w:t>facilities</w:t>
            </w:r>
            <w:r w:rsidRPr="003C7CB1">
              <w:rPr>
                <w:rFonts w:ascii="Calibri" w:eastAsia="Calibri" w:hAnsi="Calibri" w:cs="Times New Roman"/>
              </w:rPr>
              <w:t xml:space="preserve"> on the motifs of local </w:t>
            </w:r>
            <w:proofErr w:type="spellStart"/>
            <w:r w:rsidR="00AE5C5F" w:rsidRPr="003C7CB1">
              <w:rPr>
                <w:rFonts w:ascii="Calibri" w:eastAsia="Calibri" w:hAnsi="Calibri" w:cs="Times New Roman"/>
              </w:rPr>
              <w:t>ethno</w:t>
            </w:r>
            <w:proofErr w:type="spellEnd"/>
            <w:r w:rsidR="00AE5C5F" w:rsidRPr="003C7CB1">
              <w:rPr>
                <w:rFonts w:ascii="Calibri" w:eastAsia="Calibri" w:hAnsi="Calibri" w:cs="Times New Roman"/>
              </w:rPr>
              <w:t xml:space="preserve"> architecture</w:t>
            </w:r>
            <w:r w:rsidRPr="003C7CB1">
              <w:rPr>
                <w:rFonts w:ascii="Calibri" w:eastAsia="Calibri" w:hAnsi="Calibri" w:cs="Times New Roman"/>
              </w:rPr>
              <w:t>, with indigenous materials</w:t>
            </w:r>
            <w:r w:rsidR="00B16AD6" w:rsidRPr="003C7CB1">
              <w:rPr>
                <w:rFonts w:ascii="Calibri" w:eastAsia="Calibri" w:hAnsi="Calibri" w:cs="Times New Roman"/>
              </w:rPr>
              <w:t>.</w:t>
            </w:r>
          </w:p>
          <w:p w14:paraId="03FB0B59" w14:textId="26809BD7" w:rsidR="00B16AD6" w:rsidRPr="003C7CB1" w:rsidRDefault="00EA710A" w:rsidP="00CD5021">
            <w:pPr>
              <w:spacing w:after="120" w:line="240" w:lineRule="auto"/>
              <w:jc w:val="both"/>
              <w:rPr>
                <w:rFonts w:ascii="Calibri" w:eastAsia="Calibri" w:hAnsi="Calibri" w:cs="Times New Roman"/>
              </w:rPr>
            </w:pPr>
            <w:r w:rsidRPr="003C7CB1">
              <w:rPr>
                <w:rFonts w:ascii="Calibri" w:eastAsia="Calibri" w:hAnsi="Calibri" w:cs="Times New Roman"/>
              </w:rPr>
              <w:lastRenderedPageBreak/>
              <w:t>It is necessary to create project activities through various support programs in order to connect tourism and agriculture, small business and entrepreneurship</w:t>
            </w:r>
            <w:r w:rsidR="00B16AD6" w:rsidRPr="003C7CB1">
              <w:rPr>
                <w:rFonts w:ascii="Calibri" w:eastAsia="Calibri" w:hAnsi="Calibri" w:cs="Times New Roman"/>
              </w:rPr>
              <w:t xml:space="preserve">. </w:t>
            </w:r>
          </w:p>
          <w:p w14:paraId="7EDE0B99" w14:textId="4C2B60DF" w:rsidR="00B16AD6" w:rsidRPr="003C7CB1" w:rsidRDefault="00EA710A" w:rsidP="00CD5021">
            <w:pPr>
              <w:spacing w:after="120" w:line="240" w:lineRule="auto"/>
              <w:jc w:val="both"/>
              <w:rPr>
                <w:rFonts w:ascii="Calibri" w:eastAsia="Calibri" w:hAnsi="Calibri" w:cs="Calibri"/>
                <w:b/>
                <w:bCs/>
                <w:color w:val="000000"/>
                <w:u w:val="single"/>
                <w:lang w:eastAsia="hr-HR"/>
              </w:rPr>
            </w:pPr>
            <w:r w:rsidRPr="003C7CB1">
              <w:rPr>
                <w:rFonts w:ascii="Calibri" w:eastAsia="Calibri" w:hAnsi="Calibri" w:cs="Calibri"/>
                <w:b/>
                <w:bCs/>
                <w:color w:val="000000"/>
                <w:u w:val="single"/>
                <w:lang w:eastAsia="hr-HR"/>
              </w:rPr>
              <w:t>Hotel standards</w:t>
            </w:r>
          </w:p>
          <w:p w14:paraId="1781785A" w14:textId="17F6B4F8" w:rsidR="00EA710A" w:rsidRPr="003C7CB1" w:rsidRDefault="00EA710A" w:rsidP="00EA710A">
            <w:pPr>
              <w:spacing w:after="120" w:line="240" w:lineRule="auto"/>
              <w:jc w:val="both"/>
              <w:rPr>
                <w:rFonts w:ascii="Calibri" w:eastAsia="Calibri" w:hAnsi="Calibri" w:cs="Times New Roman"/>
              </w:rPr>
            </w:pPr>
            <w:r w:rsidRPr="003C7CB1">
              <w:rPr>
                <w:rFonts w:ascii="Calibri" w:eastAsia="Calibri" w:hAnsi="Calibri" w:cs="Times New Roman"/>
              </w:rPr>
              <w:t xml:space="preserve">In urban areas, it is necessary to strive for a 4 and </w:t>
            </w:r>
            <w:r w:rsidR="00AE5C5F" w:rsidRPr="003C7CB1">
              <w:rPr>
                <w:rFonts w:ascii="Calibri" w:eastAsia="Calibri" w:hAnsi="Calibri" w:cs="Times New Roman"/>
              </w:rPr>
              <w:t>5-star</w:t>
            </w:r>
            <w:r w:rsidRPr="003C7CB1">
              <w:rPr>
                <w:rFonts w:ascii="Calibri" w:eastAsia="Calibri" w:hAnsi="Calibri" w:cs="Times New Roman"/>
              </w:rPr>
              <w:t xml:space="preserve"> hotel offer with additional facilities.</w:t>
            </w:r>
          </w:p>
          <w:p w14:paraId="5CF2CE2A" w14:textId="5EA647CE" w:rsidR="00EA710A" w:rsidRPr="003C7CB1" w:rsidRDefault="006B2751" w:rsidP="00EA710A">
            <w:pPr>
              <w:spacing w:after="120" w:line="240" w:lineRule="auto"/>
              <w:jc w:val="both"/>
              <w:rPr>
                <w:rFonts w:ascii="Calibri" w:eastAsia="Calibri" w:hAnsi="Calibri" w:cs="Times New Roman"/>
              </w:rPr>
            </w:pPr>
            <w:r>
              <w:rPr>
                <w:rFonts w:ascii="Calibri" w:eastAsia="Calibri" w:hAnsi="Calibri" w:cs="Times New Roman"/>
              </w:rPr>
              <w:t>In out-of-town zones, it is necessary to have a 3-5-star</w:t>
            </w:r>
            <w:r w:rsidR="00EA710A" w:rsidRPr="003C7CB1">
              <w:rPr>
                <w:rFonts w:ascii="Calibri" w:eastAsia="Calibri" w:hAnsi="Calibri" w:cs="Times New Roman"/>
              </w:rPr>
              <w:t xml:space="preserve"> hotel offer, and to encourage the development of 3-star rural households in settlements and villages.</w:t>
            </w:r>
          </w:p>
          <w:p w14:paraId="2508E26B" w14:textId="69DC074F" w:rsidR="00B16AD6" w:rsidRPr="003C7CB1" w:rsidRDefault="00EA710A" w:rsidP="00EA710A">
            <w:pPr>
              <w:spacing w:after="120" w:line="240" w:lineRule="auto"/>
              <w:jc w:val="both"/>
              <w:rPr>
                <w:rFonts w:ascii="Calibri" w:eastAsia="Calibri" w:hAnsi="Calibri" w:cs="Times New Roman"/>
              </w:rPr>
            </w:pPr>
            <w:r w:rsidRPr="003C7CB1">
              <w:rPr>
                <w:rFonts w:ascii="Calibri" w:eastAsia="Calibri" w:hAnsi="Calibri" w:cs="Times New Roman"/>
              </w:rPr>
              <w:t>It is necessary to work on increasing the standards of existing accommodation capacities and improving the quality of service in the tourism sector</w:t>
            </w:r>
            <w:r w:rsidR="00B16AD6" w:rsidRPr="003C7CB1">
              <w:rPr>
                <w:rFonts w:ascii="Calibri" w:eastAsia="Calibri" w:hAnsi="Calibri" w:cs="Times New Roman"/>
              </w:rPr>
              <w:t>.</w:t>
            </w:r>
          </w:p>
          <w:p w14:paraId="60E2E57B" w14:textId="5ED2498D" w:rsidR="00B16AD6" w:rsidRPr="003C7CB1" w:rsidRDefault="004C279E" w:rsidP="00CD5021">
            <w:pPr>
              <w:spacing w:after="120" w:line="240" w:lineRule="auto"/>
              <w:jc w:val="both"/>
              <w:rPr>
                <w:rFonts w:ascii="Calibri" w:eastAsia="Calibri" w:hAnsi="Calibri" w:cs="Calibri"/>
                <w:b/>
                <w:bCs/>
                <w:color w:val="000000"/>
                <w:u w:val="single"/>
                <w:lang w:eastAsia="hr-HR"/>
              </w:rPr>
            </w:pPr>
            <w:r w:rsidRPr="003C7CB1">
              <w:rPr>
                <w:rFonts w:ascii="Calibri" w:eastAsia="Calibri" w:hAnsi="Calibri" w:cs="Calibri"/>
                <w:b/>
                <w:bCs/>
                <w:color w:val="000000"/>
                <w:u w:val="single"/>
                <w:lang w:eastAsia="hr-HR"/>
              </w:rPr>
              <w:t>Infrastructure</w:t>
            </w:r>
            <w:r w:rsidR="00B16AD6" w:rsidRPr="003C7CB1">
              <w:rPr>
                <w:rFonts w:ascii="Calibri" w:eastAsia="Calibri" w:hAnsi="Calibri" w:cs="Calibri"/>
                <w:b/>
                <w:bCs/>
                <w:color w:val="000000"/>
                <w:u w:val="single"/>
                <w:lang w:eastAsia="hr-HR"/>
              </w:rPr>
              <w:t xml:space="preserve"> </w:t>
            </w:r>
          </w:p>
          <w:p w14:paraId="5836A5CF" w14:textId="0E1DE8AC" w:rsidR="00E70F74" w:rsidRPr="003C7CB1" w:rsidRDefault="00E70F74" w:rsidP="00E70F74">
            <w:pPr>
              <w:spacing w:after="120" w:line="240" w:lineRule="auto"/>
              <w:jc w:val="both"/>
              <w:rPr>
                <w:rFonts w:ascii="Calibri" w:eastAsia="Calibri" w:hAnsi="Calibri" w:cs="Times New Roman"/>
              </w:rPr>
            </w:pPr>
            <w:r w:rsidRPr="003C7CB1">
              <w:rPr>
                <w:rFonts w:ascii="Calibri" w:eastAsia="Calibri" w:hAnsi="Calibri" w:cs="Times New Roman"/>
              </w:rPr>
              <w:t>The precondition for balanced, quality and long-term sustainable development is the development and improvement of traffic and the overall infrastructure of the cluster in question. Special attention should be paid to the development of insufficiently developed water supply network and wastewater drainage systems (fecal and atmospheric sewage), better sewerage network coverage, wastewater treatment system, poor quality of local roads in rural areas and poor connectivity of rural areas with the city center.</w:t>
            </w:r>
          </w:p>
          <w:p w14:paraId="63A33C5F" w14:textId="12F04FD5" w:rsidR="00B16AD6" w:rsidRPr="003C7CB1" w:rsidRDefault="00E70F74" w:rsidP="00E70F74">
            <w:pPr>
              <w:spacing w:after="120" w:line="240" w:lineRule="auto"/>
              <w:jc w:val="both"/>
              <w:rPr>
                <w:rFonts w:ascii="Calibri" w:eastAsia="Calibri" w:hAnsi="Calibri" w:cs="Calibri"/>
                <w:bCs/>
                <w:color w:val="000000"/>
                <w:lang w:eastAsia="hr-HR"/>
              </w:rPr>
            </w:pPr>
            <w:r w:rsidRPr="003C7CB1">
              <w:rPr>
                <w:rFonts w:ascii="Calibri" w:eastAsia="Calibri" w:hAnsi="Calibri" w:cs="Times New Roman"/>
              </w:rPr>
              <w:t>It is necessary to work on improving the inadequate and building the missing traffic network, especially the secondary network of roads - collector streets, access streets and parking lots. Suppress the usurpation of public and private property through temporary facilities, which are being built on sidewalks, green and park areas, which prevent safe movement of pedestrians and prevent the planning of areas for the movement of people with special needs</w:t>
            </w:r>
            <w:r w:rsidR="00B16AD6" w:rsidRPr="003C7CB1">
              <w:rPr>
                <w:rFonts w:ascii="Calibri" w:eastAsia="Calibri" w:hAnsi="Calibri" w:cs="Times New Roman"/>
              </w:rPr>
              <w:t>.</w:t>
            </w:r>
          </w:p>
        </w:tc>
      </w:tr>
    </w:tbl>
    <w:p w14:paraId="7D3AF663" w14:textId="149F337F" w:rsidR="00B16AD6" w:rsidRPr="003C7CB1" w:rsidRDefault="00B16AD6" w:rsidP="00CD5021">
      <w:pPr>
        <w:spacing w:after="120" w:line="240" w:lineRule="auto"/>
        <w:rPr>
          <w:rFonts w:ascii="Calibri" w:eastAsia="Calibri" w:hAnsi="Calibri" w:cs="Calibri"/>
          <w:bCs/>
          <w:i/>
          <w:color w:val="2F5496" w:themeColor="accent1" w:themeShade="BF"/>
          <w:sz w:val="20"/>
          <w:szCs w:val="20"/>
          <w:lang w:eastAsia="hr-HR"/>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34"/>
      </w:tblGrid>
      <w:tr w:rsidR="00B16AD6" w:rsidRPr="003C7CB1" w14:paraId="7B30838A" w14:textId="77777777" w:rsidTr="00B16AD6">
        <w:tc>
          <w:tcPr>
            <w:tcW w:w="9752" w:type="dxa"/>
            <w:gridSpan w:val="2"/>
            <w:shd w:val="clear" w:color="auto" w:fill="B4C6E7" w:themeFill="accent1" w:themeFillTint="66"/>
          </w:tcPr>
          <w:p w14:paraId="5A0B3657" w14:textId="67BBA26A" w:rsidR="00B16AD6" w:rsidRPr="003C7CB1" w:rsidRDefault="00E70F74" w:rsidP="00CD5021">
            <w:pPr>
              <w:spacing w:after="120" w:line="240" w:lineRule="auto"/>
              <w:jc w:val="center"/>
              <w:rPr>
                <w:rFonts w:ascii="Calibri" w:eastAsia="Calibri" w:hAnsi="Calibri" w:cs="Calibri"/>
                <w:b/>
                <w:bCs/>
                <w:color w:val="2F5496"/>
                <w:lang w:eastAsia="hr-HR"/>
              </w:rPr>
            </w:pPr>
            <w:bookmarkStart w:id="276" w:name="_Hlk86182255"/>
            <w:r w:rsidRPr="003C7CB1">
              <w:rPr>
                <w:rFonts w:ascii="Calibri" w:eastAsia="Calibri" w:hAnsi="Calibri" w:cs="Calibri"/>
                <w:b/>
                <w:bCs/>
                <w:color w:val="2F5496"/>
                <w:lang w:eastAsia="hr-HR"/>
              </w:rPr>
              <w:t>TOURISM PRODUCT</w:t>
            </w:r>
          </w:p>
        </w:tc>
      </w:tr>
      <w:tr w:rsidR="00B16AD6" w:rsidRPr="003C7CB1" w14:paraId="08955840" w14:textId="77777777" w:rsidTr="00B16AD6">
        <w:tc>
          <w:tcPr>
            <w:tcW w:w="4818" w:type="dxa"/>
            <w:shd w:val="clear" w:color="auto" w:fill="B4C6E7" w:themeFill="accent1" w:themeFillTint="66"/>
          </w:tcPr>
          <w:p w14:paraId="0F334078" w14:textId="56EFF1B2" w:rsidR="00B16AD6" w:rsidRPr="003C7CB1" w:rsidRDefault="00AE5C5F" w:rsidP="00CD5021">
            <w:pPr>
              <w:spacing w:after="120" w:line="240" w:lineRule="auto"/>
              <w:jc w:val="center"/>
              <w:rPr>
                <w:rFonts w:ascii="Calibri" w:eastAsia="Calibri" w:hAnsi="Calibri" w:cs="Calibri"/>
                <w:b/>
                <w:bCs/>
                <w:color w:val="000000"/>
                <w:lang w:eastAsia="hr-HR"/>
              </w:rPr>
            </w:pPr>
            <w:r>
              <w:rPr>
                <w:rFonts w:ascii="Calibri" w:eastAsia="Calibri" w:hAnsi="Calibri" w:cs="Calibri"/>
                <w:b/>
                <w:bCs/>
                <w:color w:val="2F5496"/>
                <w:lang w:eastAsia="hr-HR"/>
              </w:rPr>
              <w:t>Main tourism products</w:t>
            </w:r>
          </w:p>
        </w:tc>
        <w:tc>
          <w:tcPr>
            <w:tcW w:w="4934" w:type="dxa"/>
            <w:shd w:val="clear" w:color="auto" w:fill="B4C6E7" w:themeFill="accent1" w:themeFillTint="66"/>
          </w:tcPr>
          <w:p w14:paraId="3C3CEE78" w14:textId="032F877F" w:rsidR="00B16AD6" w:rsidRPr="003C7CB1" w:rsidRDefault="00E70F74" w:rsidP="00CD5021">
            <w:pPr>
              <w:spacing w:after="120" w:line="240" w:lineRule="auto"/>
              <w:jc w:val="center"/>
              <w:rPr>
                <w:rFonts w:ascii="Calibri" w:eastAsia="Calibri" w:hAnsi="Calibri" w:cs="Calibri"/>
                <w:b/>
                <w:bCs/>
                <w:color w:val="2F5496"/>
                <w:lang w:eastAsia="hr-HR"/>
              </w:rPr>
            </w:pPr>
            <w:r w:rsidRPr="003C7CB1">
              <w:rPr>
                <w:rFonts w:ascii="Calibri" w:eastAsia="Calibri" w:hAnsi="Calibri" w:cs="Calibri"/>
                <w:b/>
                <w:bCs/>
                <w:color w:val="2F5496"/>
                <w:lang w:eastAsia="hr-HR"/>
              </w:rPr>
              <w:t>Additional tourism products</w:t>
            </w:r>
          </w:p>
        </w:tc>
      </w:tr>
      <w:tr w:rsidR="00B16AD6" w:rsidRPr="003C7CB1" w14:paraId="6E015F7C" w14:textId="77777777" w:rsidTr="00B16AD6">
        <w:trPr>
          <w:trHeight w:val="458"/>
        </w:trPr>
        <w:tc>
          <w:tcPr>
            <w:tcW w:w="4818" w:type="dxa"/>
          </w:tcPr>
          <w:p w14:paraId="15BAC405" w14:textId="77777777"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Protected areas (national parks and nature park) with a diversified offer</w:t>
            </w:r>
          </w:p>
          <w:p w14:paraId="38FEB262" w14:textId="1C0AEB37"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Winter tourism - ski centers</w:t>
            </w:r>
          </w:p>
          <w:p w14:paraId="1E0E26C8" w14:textId="12146C91"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Nature-based tourism - hiking and mountaineering, cycling, skiing, horseback riding, etc.</w:t>
            </w:r>
          </w:p>
          <w:p w14:paraId="1FF27D95" w14:textId="6759FA83"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MICE tourism (existing and under construction capacities)</w:t>
            </w:r>
          </w:p>
          <w:p w14:paraId="34C87613" w14:textId="7DAD09AE"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Rural tourism - rural households and katuns</w:t>
            </w:r>
          </w:p>
          <w:p w14:paraId="2B38F080" w14:textId="139FC58E" w:rsidR="00B16AD6" w:rsidRPr="003C7CB1" w:rsidRDefault="00E70F74" w:rsidP="00E70F74">
            <w:pPr>
              <w:numPr>
                <w:ilvl w:val="0"/>
                <w:numId w:val="23"/>
              </w:numPr>
              <w:spacing w:after="120" w:line="240" w:lineRule="auto"/>
              <w:contextualSpacing/>
              <w:rPr>
                <w:rFonts w:ascii="Calibri" w:eastAsia="Calibri" w:hAnsi="Calibri" w:cs="Calibri"/>
                <w:bCs/>
                <w:color w:val="000000"/>
                <w:lang w:eastAsia="hr-HR"/>
              </w:rPr>
            </w:pPr>
            <w:r w:rsidRPr="003C7CB1">
              <w:rPr>
                <w:rFonts w:ascii="Calibri" w:eastAsia="Calibri" w:hAnsi="Calibri" w:cs="Calibri"/>
                <w:bCs/>
                <w:color w:val="000000"/>
                <w:lang w:eastAsia="hr-HR"/>
              </w:rPr>
              <w:t>Gastro tourism</w:t>
            </w:r>
          </w:p>
        </w:tc>
        <w:tc>
          <w:tcPr>
            <w:tcW w:w="4934" w:type="dxa"/>
          </w:tcPr>
          <w:p w14:paraId="6DF1C26E" w14:textId="247D317B"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Eco and </w:t>
            </w:r>
            <w:proofErr w:type="spellStart"/>
            <w:r w:rsidRPr="003C7CB1">
              <w:rPr>
                <w:rFonts w:ascii="Calibri" w:eastAsia="Calibri" w:hAnsi="Calibri" w:cs="Calibri"/>
                <w:bCs/>
                <w:color w:val="000000"/>
                <w:lang w:eastAsia="hr-HR"/>
              </w:rPr>
              <w:t>ethno</w:t>
            </w:r>
            <w:proofErr w:type="spellEnd"/>
            <w:r w:rsidRPr="003C7CB1">
              <w:rPr>
                <w:rFonts w:ascii="Calibri" w:eastAsia="Calibri" w:hAnsi="Calibri" w:cs="Calibri"/>
                <w:bCs/>
                <w:color w:val="000000"/>
                <w:lang w:eastAsia="hr-HR"/>
              </w:rPr>
              <w:t xml:space="preserve"> villages offer</w:t>
            </w:r>
          </w:p>
          <w:p w14:paraId="6EBCD9FD" w14:textId="725E2286"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Hunting and fishing tourism</w:t>
            </w:r>
          </w:p>
          <w:p w14:paraId="5E03ABA1" w14:textId="4C04696D" w:rsidR="00E70F74" w:rsidRPr="003C7CB1" w:rsidRDefault="00E70F74" w:rsidP="00E70F74">
            <w:pPr>
              <w:numPr>
                <w:ilvl w:val="0"/>
                <w:numId w:val="23"/>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Cultural tourism (events, cultural heritage)</w:t>
            </w:r>
          </w:p>
          <w:p w14:paraId="321F18A6" w14:textId="4791656A" w:rsidR="00B16AD6" w:rsidRPr="003C7CB1" w:rsidRDefault="00E70F74" w:rsidP="00E70F74">
            <w:pPr>
              <w:numPr>
                <w:ilvl w:val="0"/>
                <w:numId w:val="23"/>
              </w:numPr>
              <w:spacing w:after="120" w:line="240" w:lineRule="auto"/>
              <w:jc w:val="both"/>
              <w:rPr>
                <w:rFonts w:ascii="Calibri" w:eastAsia="Calibri" w:hAnsi="Calibri" w:cs="Calibri"/>
                <w:bCs/>
                <w:color w:val="000000"/>
                <w:lang w:eastAsia="hr-HR"/>
              </w:rPr>
            </w:pPr>
            <w:r w:rsidRPr="003C7CB1">
              <w:rPr>
                <w:rFonts w:ascii="Calibri" w:eastAsia="Calibri" w:hAnsi="Calibri" w:cs="Calibri"/>
                <w:bCs/>
                <w:color w:val="000000"/>
                <w:lang w:eastAsia="hr-HR"/>
              </w:rPr>
              <w:t>Family tourism</w:t>
            </w:r>
          </w:p>
        </w:tc>
      </w:tr>
    </w:tbl>
    <w:p w14:paraId="45B90751" w14:textId="68591B85" w:rsidR="00B16AD6" w:rsidRPr="003C7CB1" w:rsidRDefault="00B16AD6" w:rsidP="00CD5021">
      <w:pPr>
        <w:keepNext/>
        <w:keepLines/>
        <w:spacing w:after="120" w:line="240" w:lineRule="auto"/>
        <w:outlineLvl w:val="1"/>
        <w:rPr>
          <w:rFonts w:ascii="Calibri" w:eastAsia="Times New Roman" w:hAnsi="Calibri" w:cs="Times New Roman"/>
          <w:b/>
          <w:color w:val="2F5496"/>
          <w:sz w:val="26"/>
          <w:szCs w:val="26"/>
          <w:lang w:eastAsia="hr-HR"/>
        </w:rPr>
      </w:pPr>
      <w:bookmarkStart w:id="277" w:name="_Toc88082176"/>
      <w:bookmarkEnd w:id="276"/>
    </w:p>
    <w:p w14:paraId="33E31FE0" w14:textId="77777777" w:rsidR="00CD5021" w:rsidRPr="003C7CB1" w:rsidRDefault="00CD5021" w:rsidP="00CD5021">
      <w:pPr>
        <w:keepNext/>
        <w:keepLines/>
        <w:spacing w:after="120" w:line="240" w:lineRule="auto"/>
        <w:outlineLvl w:val="1"/>
        <w:rPr>
          <w:rFonts w:ascii="Calibri" w:eastAsia="Times New Roman" w:hAnsi="Calibri" w:cs="Times New Roman"/>
          <w:b/>
          <w:color w:val="2F5496"/>
          <w:sz w:val="26"/>
          <w:szCs w:val="26"/>
          <w:lang w:eastAsia="hr-HR"/>
        </w:rPr>
      </w:pPr>
    </w:p>
    <w:p w14:paraId="665A7E39" w14:textId="3E338BF2" w:rsidR="00B16AD6" w:rsidRPr="003C7CB1" w:rsidRDefault="00B16AD6" w:rsidP="00CD5021">
      <w:pPr>
        <w:pStyle w:val="Heading2"/>
        <w:spacing w:before="0" w:after="120" w:line="240" w:lineRule="auto"/>
        <w:rPr>
          <w:rFonts w:eastAsia="Times New Roman"/>
          <w:sz w:val="26"/>
          <w:lang w:eastAsia="hr-HR"/>
        </w:rPr>
      </w:pPr>
      <w:bookmarkStart w:id="278" w:name="_Toc91286743"/>
      <w:bookmarkStart w:id="279" w:name="_Toc95303062"/>
      <w:bookmarkStart w:id="280" w:name="_Toc104544222"/>
      <w:r w:rsidRPr="003C7CB1">
        <w:rPr>
          <w:rFonts w:eastAsia="Times New Roman"/>
          <w:sz w:val="26"/>
          <w:lang w:eastAsia="hr-HR"/>
        </w:rPr>
        <w:t>1</w:t>
      </w:r>
      <w:r w:rsidR="00E729DA" w:rsidRPr="003C7CB1">
        <w:rPr>
          <w:rFonts w:eastAsia="Times New Roman"/>
          <w:sz w:val="26"/>
          <w:lang w:eastAsia="hr-HR"/>
        </w:rPr>
        <w:t>5</w:t>
      </w:r>
      <w:r w:rsidRPr="003C7CB1">
        <w:rPr>
          <w:rFonts w:eastAsia="Times New Roman"/>
          <w:sz w:val="26"/>
          <w:lang w:eastAsia="hr-HR"/>
        </w:rPr>
        <w:t xml:space="preserve">.8. </w:t>
      </w:r>
      <w:r w:rsidR="00E70F74" w:rsidRPr="003C7CB1">
        <w:rPr>
          <w:rFonts w:eastAsia="Times New Roman"/>
          <w:sz w:val="26"/>
          <w:lang w:eastAsia="hr-HR"/>
        </w:rPr>
        <w:t>TOURISM CLUSTER</w:t>
      </w:r>
      <w:r w:rsidRPr="003C7CB1">
        <w:rPr>
          <w:rFonts w:eastAsia="Times New Roman"/>
          <w:sz w:val="26"/>
          <w:lang w:eastAsia="hr-HR"/>
        </w:rPr>
        <w:t xml:space="preserve">  </w:t>
      </w:r>
      <w:bookmarkEnd w:id="277"/>
      <w:r w:rsidR="00AE5C5F" w:rsidRPr="003C7CB1">
        <w:rPr>
          <w:rFonts w:eastAsia="Times New Roman"/>
          <w:sz w:val="26"/>
          <w:lang w:eastAsia="hr-HR"/>
        </w:rPr>
        <w:t>8 –</w:t>
      </w:r>
      <w:r w:rsidR="00E70F74" w:rsidRPr="003C7CB1">
        <w:rPr>
          <w:rFonts w:eastAsia="Times New Roman"/>
          <w:sz w:val="26"/>
          <w:lang w:eastAsia="hr-HR"/>
        </w:rPr>
        <w:t xml:space="preserve"> </w:t>
      </w:r>
      <w:proofErr w:type="spellStart"/>
      <w:r w:rsidR="00E70F74" w:rsidRPr="003C7CB1">
        <w:rPr>
          <w:rFonts w:eastAsia="Times New Roman"/>
          <w:sz w:val="26"/>
          <w:lang w:eastAsia="hr-HR"/>
        </w:rPr>
        <w:t>Durmitor</w:t>
      </w:r>
      <w:proofErr w:type="spellEnd"/>
      <w:r w:rsidR="00E70F74" w:rsidRPr="003C7CB1">
        <w:rPr>
          <w:rFonts w:eastAsia="Times New Roman"/>
          <w:sz w:val="26"/>
          <w:lang w:eastAsia="hr-HR"/>
        </w:rPr>
        <w:t xml:space="preserve"> and</w:t>
      </w:r>
      <w:r w:rsidRPr="003C7CB1">
        <w:rPr>
          <w:rFonts w:eastAsia="Times New Roman"/>
          <w:sz w:val="26"/>
          <w:lang w:eastAsia="hr-HR"/>
        </w:rPr>
        <w:t xml:space="preserve"> </w:t>
      </w:r>
      <w:proofErr w:type="spellStart"/>
      <w:r w:rsidRPr="003C7CB1">
        <w:rPr>
          <w:rFonts w:eastAsia="Times New Roman"/>
          <w:sz w:val="26"/>
          <w:lang w:eastAsia="hr-HR"/>
        </w:rPr>
        <w:t>Sinjajevina</w:t>
      </w:r>
      <w:proofErr w:type="spellEnd"/>
      <w:r w:rsidRPr="003C7CB1">
        <w:rPr>
          <w:rFonts w:eastAsia="Times New Roman"/>
          <w:sz w:val="26"/>
          <w:lang w:eastAsia="hr-HR"/>
        </w:rPr>
        <w:t xml:space="preserve"> </w:t>
      </w:r>
      <w:bookmarkEnd w:id="278"/>
      <w:bookmarkEnd w:id="279"/>
      <w:r w:rsidR="00E70F74" w:rsidRPr="003C7CB1">
        <w:rPr>
          <w:rFonts w:eastAsia="Times New Roman"/>
          <w:sz w:val="26"/>
          <w:lang w:eastAsia="hr-HR"/>
        </w:rPr>
        <w:t>with Tara and Piva rivers</w:t>
      </w:r>
      <w:bookmarkEnd w:id="280"/>
    </w:p>
    <w:tbl>
      <w:tblPr>
        <w:tblStyle w:val="TableGrid4"/>
        <w:tblW w:w="0" w:type="auto"/>
        <w:tblLook w:val="04A0" w:firstRow="1" w:lastRow="0" w:firstColumn="1" w:lastColumn="0" w:noHBand="0" w:noVBand="1"/>
      </w:tblPr>
      <w:tblGrid>
        <w:gridCol w:w="9606"/>
      </w:tblGrid>
      <w:tr w:rsidR="00B16AD6" w:rsidRPr="003C7CB1" w14:paraId="4F6450EA" w14:textId="77777777" w:rsidTr="00B16AD6">
        <w:tc>
          <w:tcPr>
            <w:tcW w:w="9606" w:type="dxa"/>
            <w:shd w:val="clear" w:color="auto" w:fill="B4C6E7" w:themeFill="accent1" w:themeFillTint="66"/>
          </w:tcPr>
          <w:p w14:paraId="38A93BB5" w14:textId="74A91657" w:rsidR="00B16AD6" w:rsidRPr="003C7CB1" w:rsidRDefault="00E70F74" w:rsidP="00CD5021">
            <w:pPr>
              <w:spacing w:after="120" w:line="240" w:lineRule="auto"/>
              <w:jc w:val="center"/>
              <w:rPr>
                <w:rFonts w:ascii="Calibri" w:eastAsia="Calibri" w:hAnsi="Calibri" w:cs="Calibri"/>
                <w:lang w:eastAsia="hr-HR"/>
              </w:rPr>
            </w:pPr>
            <w:r w:rsidRPr="003C7CB1">
              <w:rPr>
                <w:rFonts w:ascii="Calibri" w:eastAsia="Calibri" w:hAnsi="Calibri" w:cs="Calibri"/>
                <w:b/>
                <w:bCs/>
                <w:color w:val="1F3864"/>
                <w:lang w:eastAsia="hr-HR"/>
              </w:rPr>
              <w:t>CHARACTERISTICS</w:t>
            </w:r>
          </w:p>
        </w:tc>
      </w:tr>
      <w:tr w:rsidR="00B16AD6" w:rsidRPr="003C7CB1" w14:paraId="1E44EB72" w14:textId="77777777" w:rsidTr="00B16AD6">
        <w:tc>
          <w:tcPr>
            <w:tcW w:w="9606" w:type="dxa"/>
          </w:tcPr>
          <w:p w14:paraId="568109C2" w14:textId="24477DD6" w:rsidR="00B16AD6" w:rsidRPr="003C7CB1" w:rsidRDefault="004033B2" w:rsidP="00CD5021">
            <w:pPr>
              <w:spacing w:after="120" w:line="240" w:lineRule="auto"/>
              <w:jc w:val="both"/>
              <w:rPr>
                <w:rFonts w:ascii="Calibri" w:eastAsia="Calibri" w:hAnsi="Calibri" w:cs="Calibri"/>
                <w:lang w:eastAsia="hr-HR"/>
              </w:rPr>
            </w:pPr>
            <w:proofErr w:type="spellStart"/>
            <w:r w:rsidRPr="003C7CB1">
              <w:rPr>
                <w:rFonts w:ascii="Calibri" w:eastAsia="Calibri" w:hAnsi="Calibri" w:cs="Calibri"/>
                <w:b/>
                <w:lang w:eastAsia="hr-HR"/>
              </w:rPr>
              <w:t>Durmitor</w:t>
            </w:r>
            <w:proofErr w:type="spellEnd"/>
            <w:r w:rsidRPr="003C7CB1">
              <w:rPr>
                <w:rFonts w:ascii="Calibri" w:eastAsia="Calibri" w:hAnsi="Calibri" w:cs="Calibri"/>
                <w:b/>
                <w:lang w:eastAsia="hr-HR"/>
              </w:rPr>
              <w:t xml:space="preserve"> National Park </w:t>
            </w:r>
            <w:r w:rsidR="00C65FFD">
              <w:rPr>
                <w:rFonts w:ascii="Calibri" w:eastAsia="Calibri" w:hAnsi="Calibri" w:cs="Calibri"/>
                <w:lang w:eastAsia="hr-HR"/>
              </w:rPr>
              <w:t>with the canyon of the Tara r</w:t>
            </w:r>
            <w:r w:rsidRPr="003C7CB1">
              <w:rPr>
                <w:rFonts w:ascii="Calibri" w:eastAsia="Calibri" w:hAnsi="Calibri" w:cs="Calibri"/>
                <w:lang w:eastAsia="hr-HR"/>
              </w:rPr>
              <w:t xml:space="preserve">iver is on the UNESCO list of world natural and cultural heritage / 1980 /. It includes the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mountain massif, the canyons of the Tara, </w:t>
            </w:r>
            <w:proofErr w:type="spellStart"/>
            <w:r w:rsidRPr="003C7CB1">
              <w:rPr>
                <w:rFonts w:ascii="Calibri" w:eastAsia="Calibri" w:hAnsi="Calibri" w:cs="Calibri"/>
                <w:lang w:eastAsia="hr-HR"/>
              </w:rPr>
              <w:t>Draga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Sušica</w:t>
            </w:r>
            <w:proofErr w:type="spellEnd"/>
            <w:r w:rsidRPr="003C7CB1">
              <w:rPr>
                <w:rFonts w:ascii="Calibri" w:eastAsia="Calibri" w:hAnsi="Calibri" w:cs="Calibri"/>
                <w:lang w:eastAsia="hr-HR"/>
              </w:rPr>
              <w:t xml:space="preserve"> rivers and the highest part of the </w:t>
            </w:r>
            <w:proofErr w:type="spellStart"/>
            <w:r w:rsidRPr="003C7CB1">
              <w:rPr>
                <w:rFonts w:ascii="Calibri" w:eastAsia="Calibri" w:hAnsi="Calibri" w:cs="Calibri"/>
                <w:lang w:eastAsia="hr-HR"/>
              </w:rPr>
              <w:t>Komarnica</w:t>
            </w:r>
            <w:proofErr w:type="spellEnd"/>
            <w:r w:rsidRPr="003C7CB1">
              <w:rPr>
                <w:rFonts w:ascii="Calibri" w:eastAsia="Calibri" w:hAnsi="Calibri" w:cs="Calibri"/>
                <w:lang w:eastAsia="hr-HR"/>
              </w:rPr>
              <w:t xml:space="preserve"> canyon.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is recognized for the exceptional beauty of its mountain peaks and 18 glacial lakes, the so-called "Mountain Eyes", of which the most famous are Black Lake, </w:t>
            </w:r>
            <w:proofErr w:type="spellStart"/>
            <w:r w:rsidRPr="003C7CB1">
              <w:rPr>
                <w:rFonts w:ascii="Calibri" w:eastAsia="Calibri" w:hAnsi="Calibri" w:cs="Calibri"/>
                <w:lang w:eastAsia="hr-HR"/>
              </w:rPr>
              <w:t>Škrčka</w:t>
            </w:r>
            <w:proofErr w:type="spellEnd"/>
            <w:r w:rsidRPr="003C7CB1">
              <w:rPr>
                <w:rFonts w:ascii="Calibri" w:eastAsia="Calibri" w:hAnsi="Calibri" w:cs="Calibri"/>
                <w:lang w:eastAsia="hr-HR"/>
              </w:rPr>
              <w:t xml:space="preserve"> Lakes, </w:t>
            </w:r>
            <w:proofErr w:type="spellStart"/>
            <w:r w:rsidRPr="003C7CB1">
              <w:rPr>
                <w:rFonts w:ascii="Calibri" w:eastAsia="Calibri" w:hAnsi="Calibri" w:cs="Calibri"/>
                <w:lang w:eastAsia="hr-HR"/>
              </w:rPr>
              <w:t>Zminičko</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Zminje</w:t>
            </w:r>
            <w:proofErr w:type="spellEnd"/>
            <w:r w:rsidRPr="003C7CB1">
              <w:rPr>
                <w:rFonts w:ascii="Calibri" w:eastAsia="Calibri" w:hAnsi="Calibri" w:cs="Calibri"/>
                <w:lang w:eastAsia="hr-HR"/>
              </w:rPr>
              <w:t xml:space="preserve">, etc. In the center of the national park is </w:t>
            </w:r>
            <w:proofErr w:type="spellStart"/>
            <w:r w:rsidRPr="003C7CB1">
              <w:rPr>
                <w:rFonts w:ascii="Calibri" w:eastAsia="Calibri" w:hAnsi="Calibri" w:cs="Calibri"/>
                <w:lang w:eastAsia="hr-HR"/>
              </w:rPr>
              <w:t>Žabljak</w:t>
            </w:r>
            <w:proofErr w:type="spellEnd"/>
            <w:r w:rsidRPr="003C7CB1">
              <w:rPr>
                <w:rFonts w:ascii="Calibri" w:eastAsia="Calibri" w:hAnsi="Calibri" w:cs="Calibri"/>
                <w:lang w:eastAsia="hr-HR"/>
              </w:rPr>
              <w:t xml:space="preserve">, a town at the highest altitude in the Balkans. There are also </w:t>
            </w:r>
            <w:proofErr w:type="spellStart"/>
            <w:r w:rsidRPr="003C7CB1">
              <w:rPr>
                <w:rFonts w:ascii="Calibri" w:eastAsia="Calibri" w:hAnsi="Calibri" w:cs="Calibri"/>
                <w:lang w:eastAsia="hr-HR"/>
              </w:rPr>
              <w:t>stećci</w:t>
            </w:r>
            <w:proofErr w:type="spellEnd"/>
            <w:r w:rsidRPr="003C7CB1">
              <w:rPr>
                <w:rFonts w:ascii="Calibri" w:eastAsia="Calibri" w:hAnsi="Calibri" w:cs="Calibri"/>
                <w:lang w:eastAsia="hr-HR"/>
              </w:rPr>
              <w:t xml:space="preserve"> tombstones on the territory of the national park, a </w:t>
            </w:r>
            <w:r w:rsidRPr="003C7CB1">
              <w:rPr>
                <w:rFonts w:ascii="Calibri" w:eastAsia="Calibri" w:hAnsi="Calibri" w:cs="Calibri"/>
                <w:lang w:eastAsia="hr-HR"/>
              </w:rPr>
              <w:lastRenderedPageBreak/>
              <w:t xml:space="preserve">UNESCO protected cultural asset.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National Park and Piva Nature Park are the backbone of the tourist offer, and investments in road infrastructure (road </w:t>
            </w:r>
            <w:proofErr w:type="spellStart"/>
            <w:r w:rsidRPr="003C7CB1">
              <w:rPr>
                <w:rFonts w:ascii="Calibri" w:eastAsia="Calibri" w:hAnsi="Calibri" w:cs="Calibri"/>
                <w:lang w:eastAsia="hr-HR"/>
              </w:rPr>
              <w:t>Nikšić</w:t>
            </w:r>
            <w:proofErr w:type="spellEnd"/>
            <w:r w:rsidRPr="003C7CB1">
              <w:rPr>
                <w:rFonts w:ascii="Calibri" w:eastAsia="Calibri" w:hAnsi="Calibri" w:cs="Calibri"/>
                <w:lang w:eastAsia="hr-HR"/>
              </w:rPr>
              <w:t xml:space="preserve"> - </w:t>
            </w:r>
            <w:proofErr w:type="spellStart"/>
            <w:r w:rsidRPr="003C7CB1">
              <w:rPr>
                <w:rFonts w:ascii="Calibri" w:eastAsia="Calibri" w:hAnsi="Calibri" w:cs="Calibri"/>
                <w:lang w:eastAsia="hr-HR"/>
              </w:rPr>
              <w:t>Žabljak</w:t>
            </w:r>
            <w:proofErr w:type="spellEnd"/>
            <w:r w:rsidRPr="003C7CB1">
              <w:rPr>
                <w:rFonts w:ascii="Calibri" w:eastAsia="Calibri" w:hAnsi="Calibri" w:cs="Calibri"/>
                <w:lang w:eastAsia="hr-HR"/>
              </w:rPr>
              <w:t>) and the establishment of a panoramic route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Ring", have made this area more attractive for tourist arrivals</w:t>
            </w:r>
            <w:r w:rsidR="00B16AD6"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was once a famous ski resort due to its challenging slopes, which today has the </w:t>
            </w:r>
            <w:proofErr w:type="spellStart"/>
            <w:r w:rsidRPr="003C7CB1">
              <w:rPr>
                <w:rFonts w:ascii="Calibri" w:eastAsia="Calibri" w:hAnsi="Calibri" w:cs="Calibri"/>
                <w:lang w:eastAsia="hr-HR"/>
              </w:rPr>
              <w:t>Savin</w:t>
            </w:r>
            <w:proofErr w:type="spellEnd"/>
            <w:r w:rsidRPr="003C7CB1">
              <w:rPr>
                <w:rFonts w:ascii="Calibri" w:eastAsia="Calibri" w:hAnsi="Calibri" w:cs="Calibri"/>
                <w:lang w:eastAsia="hr-HR"/>
              </w:rPr>
              <w:t xml:space="preserve"> Kuk ski resort with insufficiently modernized infrastructure. The characteristic coniferous forest, but also the richness of flora and fauna in general, is home to numerous animal species, and in this territory there is also the </w:t>
            </w:r>
            <w:proofErr w:type="spellStart"/>
            <w:r w:rsidR="00163F99" w:rsidRPr="003C7CB1">
              <w:rPr>
                <w:rFonts w:ascii="Calibri" w:eastAsia="Calibri" w:hAnsi="Calibri" w:cs="Calibri"/>
                <w:lang w:eastAsia="hr-HR"/>
              </w:rPr>
              <w:t>Crna</w:t>
            </w:r>
            <w:proofErr w:type="spellEnd"/>
            <w:r w:rsidR="00163F99" w:rsidRPr="003C7CB1">
              <w:rPr>
                <w:rFonts w:ascii="Calibri" w:eastAsia="Calibri" w:hAnsi="Calibri" w:cs="Calibri"/>
                <w:lang w:eastAsia="hr-HR"/>
              </w:rPr>
              <w:t xml:space="preserve"> </w:t>
            </w:r>
            <w:proofErr w:type="spellStart"/>
            <w:r w:rsidR="00163F99" w:rsidRPr="003C7CB1">
              <w:rPr>
                <w:rFonts w:ascii="Calibri" w:eastAsia="Calibri" w:hAnsi="Calibri" w:cs="Calibri"/>
                <w:lang w:eastAsia="hr-HR"/>
              </w:rPr>
              <w:t>Poda</w:t>
            </w:r>
            <w:proofErr w:type="spellEnd"/>
            <w:r w:rsidR="00163F99" w:rsidRPr="003C7CB1">
              <w:rPr>
                <w:rFonts w:ascii="Calibri" w:eastAsia="Calibri" w:hAnsi="Calibri" w:cs="Calibri"/>
                <w:lang w:eastAsia="hr-HR"/>
              </w:rPr>
              <w:t xml:space="preserve"> Natural Reserve</w:t>
            </w:r>
            <w:r w:rsidRPr="003C7CB1">
              <w:rPr>
                <w:rFonts w:ascii="Calibri" w:eastAsia="Calibri" w:hAnsi="Calibri" w:cs="Calibri"/>
                <w:lang w:eastAsia="hr-HR"/>
              </w:rPr>
              <w:t xml:space="preserve">. The Tara bridge, the </w:t>
            </w:r>
            <w:proofErr w:type="spellStart"/>
            <w:r w:rsidRPr="003C7CB1">
              <w:rPr>
                <w:rFonts w:ascii="Calibri" w:eastAsia="Calibri" w:hAnsi="Calibri" w:cs="Calibri"/>
                <w:lang w:eastAsia="hr-HR"/>
              </w:rPr>
              <w:t>Dobrilovina</w:t>
            </w:r>
            <w:proofErr w:type="spellEnd"/>
            <w:r w:rsidRPr="003C7CB1">
              <w:rPr>
                <w:rFonts w:ascii="Calibri" w:eastAsia="Calibri" w:hAnsi="Calibri" w:cs="Calibri"/>
                <w:lang w:eastAsia="hr-HR"/>
              </w:rPr>
              <w:t xml:space="preserve"> monastery and numerous other cultural and historical monuments also represent a significant cultural and historical heritage. Via </w:t>
            </w:r>
            <w:proofErr w:type="spellStart"/>
            <w:r w:rsidRPr="003C7CB1">
              <w:rPr>
                <w:rFonts w:ascii="Calibri" w:eastAsia="Calibri" w:hAnsi="Calibri" w:cs="Calibri"/>
                <w:lang w:eastAsia="hr-HR"/>
              </w:rPr>
              <w:t>Dinarica</w:t>
            </w:r>
            <w:proofErr w:type="spellEnd"/>
            <w:r w:rsidRPr="003C7CB1">
              <w:rPr>
                <w:rFonts w:ascii="Calibri" w:eastAsia="Calibri" w:hAnsi="Calibri" w:cs="Calibri"/>
                <w:lang w:eastAsia="hr-HR"/>
              </w:rPr>
              <w:t xml:space="preserve"> is the backbone of the adventure offer and is transnational in nature, along with many other hiking and biking trails, panoramic routes,</w:t>
            </w:r>
            <w:r w:rsidR="00C65FFD">
              <w:rPr>
                <w:rFonts w:ascii="Calibri" w:eastAsia="Calibri" w:hAnsi="Calibri" w:cs="Calibri"/>
                <w:lang w:eastAsia="hr-HR"/>
              </w:rPr>
              <w:t xml:space="preserve"> etc., and rafting on the Tara r</w:t>
            </w:r>
            <w:r w:rsidRPr="003C7CB1">
              <w:rPr>
                <w:rFonts w:ascii="Calibri" w:eastAsia="Calibri" w:hAnsi="Calibri" w:cs="Calibri"/>
                <w:lang w:eastAsia="hr-HR"/>
              </w:rPr>
              <w:t xml:space="preserve">iver and canyoning in the </w:t>
            </w:r>
            <w:proofErr w:type="spellStart"/>
            <w:r w:rsidRPr="003C7CB1">
              <w:rPr>
                <w:rFonts w:ascii="Calibri" w:eastAsia="Calibri" w:hAnsi="Calibri" w:cs="Calibri"/>
                <w:lang w:eastAsia="hr-HR"/>
              </w:rPr>
              <w:t>Nevidio</w:t>
            </w:r>
            <w:proofErr w:type="spellEnd"/>
            <w:r w:rsidRPr="003C7CB1">
              <w:rPr>
                <w:rFonts w:ascii="Calibri" w:eastAsia="Calibri" w:hAnsi="Calibri" w:cs="Calibri"/>
                <w:lang w:eastAsia="hr-HR"/>
              </w:rPr>
              <w:t xml:space="preserve"> canyon are the most attractive adventure activities. In the last few years, the number of registered rural households has increased, which is significant given that this region has typical products such as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cheese and </w:t>
            </w:r>
            <w:proofErr w:type="spellStart"/>
            <w:r w:rsidRPr="003C7CB1">
              <w:rPr>
                <w:rFonts w:ascii="Calibri" w:eastAsia="Calibri" w:hAnsi="Calibri" w:cs="Calibri"/>
                <w:lang w:eastAsia="hr-HR"/>
              </w:rPr>
              <w:t>skorup</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Pljevaljski</w:t>
            </w:r>
            <w:proofErr w:type="spellEnd"/>
            <w:r w:rsidRPr="003C7CB1">
              <w:rPr>
                <w:rFonts w:ascii="Calibri" w:eastAsia="Calibri" w:hAnsi="Calibri" w:cs="Calibri"/>
                <w:lang w:eastAsia="hr-HR"/>
              </w:rPr>
              <w:t xml:space="preserve"> cheese, and an increasing number of organic products, which contributes to the overall tourist </w:t>
            </w:r>
            <w:r w:rsidR="00AE5C5F" w:rsidRPr="003C7CB1">
              <w:rPr>
                <w:rFonts w:ascii="Calibri" w:eastAsia="Calibri" w:hAnsi="Calibri" w:cs="Calibri"/>
                <w:lang w:eastAsia="hr-HR"/>
              </w:rPr>
              <w:t>offer.</w:t>
            </w:r>
          </w:p>
          <w:p w14:paraId="2CEA63FB" w14:textId="27C0504D" w:rsidR="004033B2" w:rsidRPr="003C7CB1" w:rsidRDefault="004033B2" w:rsidP="004033B2">
            <w:pPr>
              <w:spacing w:after="120" w:line="240" w:lineRule="auto"/>
              <w:jc w:val="both"/>
              <w:rPr>
                <w:rFonts w:ascii="Calibri" w:eastAsia="Calibri" w:hAnsi="Calibri" w:cs="Calibri"/>
                <w:b/>
                <w:lang w:eastAsia="hr-HR"/>
              </w:rPr>
            </w:pPr>
            <w:r w:rsidRPr="003C7CB1">
              <w:rPr>
                <w:rFonts w:ascii="Calibri" w:eastAsia="Calibri" w:hAnsi="Calibri" w:cs="Calibri"/>
                <w:b/>
                <w:lang w:eastAsia="hr-HR"/>
              </w:rPr>
              <w:t xml:space="preserve">The </w:t>
            </w:r>
            <w:proofErr w:type="spellStart"/>
            <w:r w:rsidRPr="003C7CB1">
              <w:rPr>
                <w:rFonts w:ascii="Calibri" w:eastAsia="Calibri" w:hAnsi="Calibri" w:cs="Calibri"/>
                <w:b/>
                <w:lang w:eastAsia="hr-HR"/>
              </w:rPr>
              <w:t>Durmitor</w:t>
            </w:r>
            <w:proofErr w:type="spellEnd"/>
            <w:r w:rsidRPr="003C7CB1">
              <w:rPr>
                <w:rFonts w:ascii="Calibri" w:eastAsia="Calibri" w:hAnsi="Calibri" w:cs="Calibri"/>
                <w:b/>
                <w:lang w:eastAsia="hr-HR"/>
              </w:rPr>
              <w:t xml:space="preserve"> Ring panoramic road</w:t>
            </w:r>
            <w:r w:rsidRPr="003C7CB1">
              <w:rPr>
                <w:rFonts w:ascii="Calibri" w:eastAsia="Calibri" w:hAnsi="Calibri" w:cs="Calibri"/>
                <w:lang w:eastAsia="hr-HR"/>
              </w:rPr>
              <w:t>, as one of the tourist offers of this cluster, is a 76-kilometer-long round trip. The beginning of the pano</w:t>
            </w:r>
            <w:r w:rsidR="002D296D" w:rsidRPr="003C7CB1">
              <w:rPr>
                <w:rFonts w:ascii="Calibri" w:eastAsia="Calibri" w:hAnsi="Calibri" w:cs="Calibri"/>
                <w:lang w:eastAsia="hr-HR"/>
              </w:rPr>
              <w:t xml:space="preserve">ramic road is in the center of </w:t>
            </w:r>
            <w:proofErr w:type="spellStart"/>
            <w:r w:rsidR="002D296D" w:rsidRPr="003C7CB1">
              <w:rPr>
                <w:rFonts w:ascii="Calibri" w:eastAsia="Calibri" w:hAnsi="Calibri" w:cs="Calibri"/>
                <w:lang w:eastAsia="hr-HR"/>
              </w:rPr>
              <w:t>Ž</w:t>
            </w:r>
            <w:r w:rsidRPr="003C7CB1">
              <w:rPr>
                <w:rFonts w:ascii="Calibri" w:eastAsia="Calibri" w:hAnsi="Calibri" w:cs="Calibri"/>
                <w:lang w:eastAsia="hr-HR"/>
              </w:rPr>
              <w:t>abljak</w:t>
            </w:r>
            <w:proofErr w:type="spellEnd"/>
            <w:r w:rsidRPr="003C7CB1">
              <w:rPr>
                <w:rFonts w:ascii="Calibri" w:eastAsia="Calibri" w:hAnsi="Calibri" w:cs="Calibri"/>
                <w:lang w:eastAsia="hr-HR"/>
              </w:rPr>
              <w:t xml:space="preserve"> and continues around the mountain massif of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Along this route, tourists have the opportunity to see the deepest canyon in Europe, vast plateaus and some of the highest peaks in Montenegro and get to know the local population and the traditional life of mountaineers. In order to raise the quality of the offer, tourists have at their disposal a mobile application - an audio guide for touring this panoramic road.</w:t>
            </w:r>
          </w:p>
          <w:p w14:paraId="17EF067F" w14:textId="56B1E22F" w:rsidR="00B16AD6" w:rsidRPr="003C7CB1" w:rsidRDefault="004033B2" w:rsidP="004033B2">
            <w:pPr>
              <w:spacing w:after="120" w:line="240" w:lineRule="auto"/>
              <w:jc w:val="both"/>
              <w:rPr>
                <w:rFonts w:ascii="Calibri" w:eastAsia="Calibri" w:hAnsi="Calibri" w:cs="Calibri"/>
                <w:lang w:eastAsia="hr-HR"/>
              </w:rPr>
            </w:pPr>
            <w:r w:rsidRPr="003C7CB1">
              <w:rPr>
                <w:rFonts w:ascii="Calibri" w:eastAsia="Calibri" w:hAnsi="Calibri" w:cs="Calibri"/>
                <w:b/>
                <w:lang w:eastAsia="hr-HR"/>
              </w:rPr>
              <w:t xml:space="preserve">The mountain massif of </w:t>
            </w:r>
            <w:proofErr w:type="spellStart"/>
            <w:r w:rsidRPr="003C7CB1">
              <w:rPr>
                <w:rFonts w:ascii="Calibri" w:eastAsia="Calibri" w:hAnsi="Calibri" w:cs="Calibri"/>
                <w:b/>
                <w:lang w:eastAsia="hr-HR"/>
              </w:rPr>
              <w:t>Sinjajevina</w:t>
            </w:r>
            <w:proofErr w:type="spellEnd"/>
            <w:r w:rsidRPr="003C7CB1">
              <w:rPr>
                <w:rFonts w:ascii="Calibri" w:eastAsia="Calibri" w:hAnsi="Calibri" w:cs="Calibri"/>
                <w:lang w:eastAsia="hr-HR"/>
              </w:rPr>
              <w:t>, which covers an area of almost 40 km, is a mountain that is important from the aspect of livestock</w:t>
            </w:r>
            <w:r w:rsidR="002D296D" w:rsidRPr="003C7CB1">
              <w:rPr>
                <w:rFonts w:ascii="Calibri" w:eastAsia="Calibri" w:hAnsi="Calibri" w:cs="Calibri"/>
                <w:lang w:eastAsia="hr-HR"/>
              </w:rPr>
              <w:t xml:space="preserve"> breeding</w:t>
            </w:r>
            <w:r w:rsidRPr="003C7CB1">
              <w:rPr>
                <w:rFonts w:ascii="Calibri" w:eastAsia="Calibri" w:hAnsi="Calibri" w:cs="Calibri"/>
                <w:lang w:eastAsia="hr-HR"/>
              </w:rPr>
              <w:t xml:space="preserve"> because it is characterized by vast pastures. On its territory there is one of the most beautiful lakes, </w:t>
            </w:r>
            <w:proofErr w:type="spellStart"/>
            <w:r w:rsidRPr="003C7CB1">
              <w:rPr>
                <w:rFonts w:ascii="Calibri" w:eastAsia="Calibri" w:hAnsi="Calibri" w:cs="Calibri"/>
                <w:lang w:eastAsia="hr-HR"/>
              </w:rPr>
              <w:t>Zabojsko</w:t>
            </w:r>
            <w:proofErr w:type="spellEnd"/>
            <w:r w:rsidRPr="003C7CB1">
              <w:rPr>
                <w:rFonts w:ascii="Calibri" w:eastAsia="Calibri" w:hAnsi="Calibri" w:cs="Calibri"/>
                <w:lang w:eastAsia="hr-HR"/>
              </w:rPr>
              <w:t xml:space="preserve"> Lake. It borders the national parks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Biogradska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gora</w:t>
            </w:r>
            <w:proofErr w:type="spellEnd"/>
            <w:r w:rsidRPr="003C7CB1">
              <w:rPr>
                <w:rFonts w:ascii="Calibri" w:eastAsia="Calibri" w:hAnsi="Calibri" w:cs="Calibri"/>
                <w:lang w:eastAsia="hr-HR"/>
              </w:rPr>
              <w:t>. Hiking and cycling tours are organized in this area, and tourists can also enjoy horseback riding</w:t>
            </w:r>
            <w:r w:rsidR="00B16AD6" w:rsidRPr="003C7CB1">
              <w:rPr>
                <w:rFonts w:ascii="Calibri" w:eastAsia="Calibri" w:hAnsi="Calibri" w:cs="Calibri"/>
                <w:lang w:eastAsia="hr-HR"/>
              </w:rPr>
              <w:t>.</w:t>
            </w:r>
          </w:p>
          <w:p w14:paraId="35D779FD" w14:textId="334AFCD8" w:rsidR="00163F99" w:rsidRPr="003C7CB1" w:rsidRDefault="00163F99" w:rsidP="00163F99">
            <w:pPr>
              <w:spacing w:after="120" w:line="240" w:lineRule="auto"/>
              <w:jc w:val="both"/>
              <w:rPr>
                <w:rFonts w:ascii="Calibri" w:eastAsia="Calibri" w:hAnsi="Calibri" w:cs="Calibri"/>
                <w:lang w:eastAsia="hr-HR"/>
              </w:rPr>
            </w:pPr>
            <w:r w:rsidRPr="003C7CB1">
              <w:rPr>
                <w:rFonts w:ascii="Calibri" w:eastAsia="Calibri" w:hAnsi="Calibri" w:cs="Calibri"/>
                <w:b/>
                <w:lang w:eastAsia="hr-HR"/>
              </w:rPr>
              <w:t>Piva Nature Park</w:t>
            </w:r>
            <w:r w:rsidR="00B16AD6" w:rsidRPr="003C7CB1">
              <w:rPr>
                <w:rFonts w:ascii="Calibri" w:eastAsia="Calibri" w:hAnsi="Calibri" w:cs="Calibri"/>
                <w:b/>
                <w:vertAlign w:val="superscript"/>
                <w:lang w:eastAsia="hr-HR"/>
              </w:rPr>
              <w:footnoteReference w:id="61"/>
            </w:r>
            <w:r w:rsidR="00B16AD6" w:rsidRPr="003C7CB1">
              <w:rPr>
                <w:rFonts w:ascii="Calibri" w:eastAsia="Calibri" w:hAnsi="Calibri" w:cs="Calibri"/>
                <w:lang w:eastAsia="hr-HR"/>
              </w:rPr>
              <w:t xml:space="preserve"> </w:t>
            </w:r>
            <w:r w:rsidRPr="003C7CB1">
              <w:rPr>
                <w:rFonts w:ascii="Calibri" w:eastAsia="Calibri" w:hAnsi="Calibri" w:cs="Calibri"/>
                <w:lang w:eastAsia="hr-HR"/>
              </w:rPr>
              <w:t xml:space="preserve">is located in the far northwest of Montenegro (between the state border with Bosnia and Herzegovina and the border of the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National Park) and occupies a significant part of the territory of the municipality of </w:t>
            </w:r>
            <w:proofErr w:type="spellStart"/>
            <w:r w:rsidRPr="003C7CB1">
              <w:rPr>
                <w:rFonts w:ascii="Calibri" w:eastAsia="Calibri" w:hAnsi="Calibri" w:cs="Calibri"/>
                <w:lang w:eastAsia="hr-HR"/>
              </w:rPr>
              <w:t>Plužine</w:t>
            </w:r>
            <w:proofErr w:type="spellEnd"/>
            <w:r w:rsidRPr="003C7CB1">
              <w:rPr>
                <w:rFonts w:ascii="Calibri" w:eastAsia="Calibri" w:hAnsi="Calibri" w:cs="Calibri"/>
                <w:lang w:eastAsia="hr-HR"/>
              </w:rPr>
              <w:t xml:space="preserve">. The Piva Regional Nature Park is a natural link between the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National Park and </w:t>
            </w:r>
            <w:proofErr w:type="spellStart"/>
            <w:r w:rsidRPr="003C7CB1">
              <w:rPr>
                <w:rFonts w:ascii="Calibri" w:eastAsia="Calibri" w:hAnsi="Calibri" w:cs="Calibri"/>
                <w:lang w:eastAsia="hr-HR"/>
              </w:rPr>
              <w:t>Sutjeska</w:t>
            </w:r>
            <w:proofErr w:type="spellEnd"/>
            <w:r w:rsidRPr="003C7CB1">
              <w:rPr>
                <w:rFonts w:ascii="Calibri" w:eastAsia="Calibri" w:hAnsi="Calibri" w:cs="Calibri"/>
                <w:lang w:eastAsia="hr-HR"/>
              </w:rPr>
              <w:t xml:space="preserve"> National Park in Bosnia and Herzegovina, and its establishment has been recognized by a number of national and international documents and initiatives. The regional park is rich in exceptional natural features.</w:t>
            </w:r>
          </w:p>
          <w:p w14:paraId="47D90230" w14:textId="2C3EBAF1" w:rsidR="00B16AD6" w:rsidRPr="003C7CB1" w:rsidRDefault="00163F99" w:rsidP="00163F99">
            <w:pPr>
              <w:spacing w:after="120" w:line="240" w:lineRule="auto"/>
              <w:jc w:val="both"/>
              <w:rPr>
                <w:rFonts w:ascii="Calibri" w:eastAsia="Calibri" w:hAnsi="Calibri" w:cs="Calibri"/>
                <w:lang w:eastAsia="hr-HR"/>
              </w:rPr>
            </w:pPr>
            <w:r w:rsidRPr="003C7CB1">
              <w:rPr>
                <w:rFonts w:ascii="Calibri" w:eastAsia="Calibri" w:hAnsi="Calibri" w:cs="Calibri"/>
                <w:lang w:eastAsia="hr-HR"/>
              </w:rPr>
              <w:t xml:space="preserve">There are over 1,500 species of plants in the regional park, many of which are rare and endangered species and about 2,000 species of fungi; well-preserved forests of white and black pine, beech and fir, maple, spruce and ash, etc., only complete the richness of the flora in the park. The rivers Tara and Piva represent exceptional natural potentials, but also centers of rafting tourism, kayaking and other types of active </w:t>
            </w:r>
            <w:r w:rsidR="00D445D2" w:rsidRPr="003C7CB1">
              <w:rPr>
                <w:rFonts w:ascii="Calibri" w:eastAsia="Calibri" w:hAnsi="Calibri" w:cs="Calibri"/>
                <w:lang w:eastAsia="hr-HR"/>
              </w:rPr>
              <w:t>holiday</w:t>
            </w:r>
            <w:r w:rsidR="00C65FFD">
              <w:rPr>
                <w:rFonts w:ascii="Calibri" w:eastAsia="Calibri" w:hAnsi="Calibri" w:cs="Calibri"/>
                <w:lang w:eastAsia="hr-HR"/>
              </w:rPr>
              <w:t xml:space="preserve">. </w:t>
            </w:r>
            <w:proofErr w:type="spellStart"/>
            <w:r w:rsidR="00C65FFD">
              <w:rPr>
                <w:rFonts w:ascii="Calibri" w:eastAsia="Calibri" w:hAnsi="Calibri" w:cs="Calibri"/>
                <w:lang w:eastAsia="hr-HR"/>
              </w:rPr>
              <w:t>Komarnica</w:t>
            </w:r>
            <w:proofErr w:type="spellEnd"/>
            <w:r w:rsidR="00C65FFD">
              <w:rPr>
                <w:rFonts w:ascii="Calibri" w:eastAsia="Calibri" w:hAnsi="Calibri" w:cs="Calibri"/>
                <w:lang w:eastAsia="hr-HR"/>
              </w:rPr>
              <w:t xml:space="preserve"> r</w:t>
            </w:r>
            <w:r w:rsidRPr="003C7CB1">
              <w:rPr>
                <w:rFonts w:ascii="Calibri" w:eastAsia="Calibri" w:hAnsi="Calibri" w:cs="Calibri"/>
                <w:lang w:eastAsia="hr-HR"/>
              </w:rPr>
              <w:t xml:space="preserve">iver and its </w:t>
            </w:r>
            <w:proofErr w:type="spellStart"/>
            <w:r w:rsidRPr="003C7CB1">
              <w:rPr>
                <w:rFonts w:ascii="Calibri" w:eastAsia="Calibri" w:hAnsi="Calibri" w:cs="Calibri"/>
                <w:lang w:eastAsia="hr-HR"/>
              </w:rPr>
              <w:t>Nevidio</w:t>
            </w:r>
            <w:proofErr w:type="spellEnd"/>
            <w:r w:rsidRPr="003C7CB1">
              <w:rPr>
                <w:rFonts w:ascii="Calibri" w:eastAsia="Calibri" w:hAnsi="Calibri" w:cs="Calibri"/>
                <w:lang w:eastAsia="hr-HR"/>
              </w:rPr>
              <w:t xml:space="preserve"> Canyon are a special attraction, with the fact that the </w:t>
            </w:r>
            <w:proofErr w:type="spellStart"/>
            <w:r w:rsidRPr="003C7CB1">
              <w:rPr>
                <w:rFonts w:ascii="Calibri" w:eastAsia="Calibri" w:hAnsi="Calibri" w:cs="Calibri"/>
                <w:lang w:eastAsia="hr-HR"/>
              </w:rPr>
              <w:t>Nevidio</w:t>
            </w:r>
            <w:proofErr w:type="spellEnd"/>
            <w:r w:rsidRPr="003C7CB1">
              <w:rPr>
                <w:rFonts w:ascii="Calibri" w:eastAsia="Calibri" w:hAnsi="Calibri" w:cs="Calibri"/>
                <w:lang w:eastAsia="hr-HR"/>
              </w:rPr>
              <w:t xml:space="preserve"> Canyon is the last conquered canyon in Europe</w:t>
            </w:r>
            <w:r w:rsidR="00B16AD6" w:rsidRPr="003C7CB1">
              <w:rPr>
                <w:rFonts w:ascii="Calibri" w:eastAsia="Calibri" w:hAnsi="Calibri" w:cs="Calibri"/>
                <w:lang w:eastAsia="hr-HR"/>
              </w:rPr>
              <w:t>.</w:t>
            </w:r>
          </w:p>
          <w:p w14:paraId="6B35D349" w14:textId="0B1577C3" w:rsidR="00B16AD6" w:rsidRPr="003C7CB1" w:rsidRDefault="00163F99" w:rsidP="00CD5021">
            <w:pPr>
              <w:spacing w:after="120" w:line="240" w:lineRule="auto"/>
              <w:jc w:val="both"/>
              <w:rPr>
                <w:rFonts w:ascii="Calibri" w:eastAsia="Calibri" w:hAnsi="Calibri" w:cs="Calibri"/>
                <w:lang w:eastAsia="hr-HR"/>
              </w:rPr>
            </w:pPr>
            <w:r w:rsidRPr="003C7CB1">
              <w:rPr>
                <w:rFonts w:ascii="Calibri" w:eastAsia="Calibri" w:hAnsi="Calibri" w:cs="Calibri"/>
                <w:lang w:eastAsia="hr-HR"/>
              </w:rPr>
              <w:t>In addition to the above, this area has about 20 smaller villages, blended into the area with characteristic original architecture, and there are numerous traditional livestock katuns, as elements of cultural heritage that testify to the history and culture of Piva region. The development of rural tourism is the basis for the development and improvement of the tourist offer of this nature park</w:t>
            </w:r>
            <w:r w:rsidR="00B16AD6" w:rsidRPr="003C7CB1">
              <w:rPr>
                <w:rFonts w:ascii="Calibri" w:eastAsia="Calibri" w:hAnsi="Calibri" w:cs="Calibri"/>
                <w:lang w:eastAsia="hr-HR"/>
              </w:rPr>
              <w:t xml:space="preserve">. </w:t>
            </w:r>
          </w:p>
          <w:p w14:paraId="0AF78E49" w14:textId="3CFD0E69" w:rsidR="00B16AD6" w:rsidRPr="003C7CB1" w:rsidRDefault="00163F99" w:rsidP="00163F99">
            <w:pPr>
              <w:spacing w:after="120" w:line="240" w:lineRule="auto"/>
              <w:jc w:val="both"/>
              <w:rPr>
                <w:rFonts w:ascii="Calibri" w:eastAsia="Calibri" w:hAnsi="Calibri" w:cs="Calibri"/>
                <w:lang w:eastAsia="hr-HR"/>
              </w:rPr>
            </w:pPr>
            <w:proofErr w:type="spellStart"/>
            <w:r w:rsidRPr="003C7CB1">
              <w:rPr>
                <w:rFonts w:ascii="Calibri" w:eastAsia="Calibri" w:hAnsi="Calibri" w:cs="Calibri"/>
                <w:b/>
                <w:lang w:eastAsia="hr-HR"/>
              </w:rPr>
              <w:t>Nikšić</w:t>
            </w:r>
            <w:proofErr w:type="spellEnd"/>
            <w:r w:rsidRPr="003C7CB1">
              <w:rPr>
                <w:rFonts w:ascii="Calibri" w:eastAsia="Calibri" w:hAnsi="Calibri" w:cs="Calibri"/>
                <w:lang w:eastAsia="hr-HR"/>
              </w:rPr>
              <w:t xml:space="preserve">, which is the largest municipality in Montenegro, has a good geographical position and is connected by highways with the Capital City, the Bay of Kotor, but also </w:t>
            </w:r>
            <w:proofErr w:type="spellStart"/>
            <w:r w:rsidRPr="003C7CB1">
              <w:rPr>
                <w:rFonts w:ascii="Calibri" w:eastAsia="Calibri" w:hAnsi="Calibri" w:cs="Calibri"/>
                <w:lang w:eastAsia="hr-HR"/>
              </w:rPr>
              <w:t>Žabljak</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Nikšić</w:t>
            </w:r>
            <w:proofErr w:type="spellEnd"/>
            <w:r w:rsidRPr="003C7CB1">
              <w:rPr>
                <w:rFonts w:ascii="Calibri" w:eastAsia="Calibri" w:hAnsi="Calibri" w:cs="Calibri"/>
                <w:lang w:eastAsia="hr-HR"/>
              </w:rPr>
              <w:t xml:space="preserve"> also has cultural and natural potentials for the development of tourism, among which are the archeological site </w:t>
            </w:r>
            <w:proofErr w:type="spellStart"/>
            <w:r w:rsidRPr="003C7CB1">
              <w:rPr>
                <w:rFonts w:ascii="Calibri" w:eastAsia="Calibri" w:hAnsi="Calibri" w:cs="Calibri"/>
                <w:lang w:eastAsia="hr-HR"/>
              </w:rPr>
              <w:t>Crvena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stijena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Carev</w:t>
            </w:r>
            <w:proofErr w:type="spellEnd"/>
            <w:r w:rsidRPr="003C7CB1">
              <w:rPr>
                <w:rFonts w:ascii="Calibri" w:eastAsia="Calibri" w:hAnsi="Calibri" w:cs="Calibri"/>
                <w:lang w:eastAsia="hr-HR"/>
              </w:rPr>
              <w:t xml:space="preserve"> </w:t>
            </w:r>
            <w:r w:rsidRPr="003C7CB1">
              <w:rPr>
                <w:rFonts w:ascii="Calibri" w:eastAsia="Calibri" w:hAnsi="Calibri" w:cs="Calibri"/>
                <w:lang w:eastAsia="hr-HR"/>
              </w:rPr>
              <w:lastRenderedPageBreak/>
              <w:t xml:space="preserve">most, </w:t>
            </w:r>
            <w:r w:rsidR="00411D06" w:rsidRPr="003C7CB1">
              <w:rPr>
                <w:rFonts w:ascii="Calibri" w:eastAsia="Calibri" w:hAnsi="Calibri" w:cs="Calibri"/>
                <w:lang w:eastAsia="hr-HR"/>
              </w:rPr>
              <w:t xml:space="preserve">King Nikola's palace, </w:t>
            </w:r>
            <w:proofErr w:type="spellStart"/>
            <w:r w:rsidR="00411D06" w:rsidRPr="003C7CB1">
              <w:rPr>
                <w:rFonts w:ascii="Calibri" w:eastAsia="Calibri" w:hAnsi="Calibri" w:cs="Calibri"/>
                <w:lang w:eastAsia="hr-HR"/>
              </w:rPr>
              <w:t>Bedem</w:t>
            </w:r>
            <w:proofErr w:type="spellEnd"/>
            <w:r w:rsidR="00411D06" w:rsidRPr="003C7CB1">
              <w:rPr>
                <w:rFonts w:ascii="Calibri" w:eastAsia="Calibri" w:hAnsi="Calibri" w:cs="Calibri"/>
                <w:lang w:eastAsia="hr-HR"/>
              </w:rPr>
              <w:t xml:space="preserve"> - city fortress, Cathedral Church of St Basil of </w:t>
            </w:r>
            <w:proofErr w:type="spellStart"/>
            <w:r w:rsidR="00411D06" w:rsidRPr="003C7CB1">
              <w:rPr>
                <w:rFonts w:ascii="Calibri" w:eastAsia="Calibri" w:hAnsi="Calibri" w:cs="Calibri"/>
                <w:lang w:eastAsia="hr-HR"/>
              </w:rPr>
              <w:t>Ostrog</w:t>
            </w:r>
            <w:proofErr w:type="spellEnd"/>
            <w:r w:rsidR="00411D06" w:rsidRPr="003C7CB1">
              <w:rPr>
                <w:rFonts w:ascii="Calibri" w:eastAsia="Calibri" w:hAnsi="Calibri" w:cs="Calibri"/>
                <w:lang w:eastAsia="hr-HR"/>
              </w:rPr>
              <w:t xml:space="preserve">, </w:t>
            </w:r>
            <w:r w:rsidRPr="003C7CB1">
              <w:rPr>
                <w:rFonts w:ascii="Calibri" w:eastAsia="Calibri" w:hAnsi="Calibri" w:cs="Calibri"/>
                <w:lang w:eastAsia="hr-HR"/>
              </w:rPr>
              <w:t xml:space="preserve">several lakes, park-forests, picnic areas like </w:t>
            </w:r>
            <w:proofErr w:type="spellStart"/>
            <w:r w:rsidRPr="003C7CB1">
              <w:rPr>
                <w:rFonts w:ascii="Calibri" w:eastAsia="Calibri" w:hAnsi="Calibri" w:cs="Calibri"/>
                <w:lang w:eastAsia="hr-HR"/>
              </w:rPr>
              <w:t>Trebjesa</w:t>
            </w:r>
            <w:proofErr w:type="spellEnd"/>
            <w:r w:rsidRPr="003C7CB1">
              <w:rPr>
                <w:rFonts w:ascii="Calibri" w:eastAsia="Calibri" w:hAnsi="Calibri" w:cs="Calibri"/>
                <w:lang w:eastAsia="hr-HR"/>
              </w:rPr>
              <w:t>, etc.</w:t>
            </w:r>
          </w:p>
          <w:p w14:paraId="561A363F" w14:textId="646C337D" w:rsidR="00B16AD6" w:rsidRPr="003C7CB1" w:rsidRDefault="00411D06" w:rsidP="00CD5021">
            <w:pPr>
              <w:spacing w:after="120" w:line="240" w:lineRule="auto"/>
              <w:jc w:val="both"/>
              <w:rPr>
                <w:rFonts w:ascii="Calibri" w:eastAsia="Calibri" w:hAnsi="Calibri" w:cs="Calibri"/>
                <w:lang w:eastAsia="hr-HR"/>
              </w:rPr>
            </w:pPr>
            <w:proofErr w:type="spellStart"/>
            <w:r w:rsidRPr="003C7CB1">
              <w:rPr>
                <w:rFonts w:ascii="Calibri" w:eastAsia="Calibri" w:hAnsi="Calibri" w:cs="Calibri"/>
                <w:b/>
                <w:lang w:eastAsia="hr-HR"/>
              </w:rPr>
              <w:t>Pljevlja</w:t>
            </w:r>
            <w:proofErr w:type="spellEnd"/>
            <w:r w:rsidRPr="003C7CB1">
              <w:rPr>
                <w:rFonts w:ascii="Calibri" w:eastAsia="Calibri" w:hAnsi="Calibri" w:cs="Calibri"/>
                <w:b/>
                <w:lang w:eastAsia="hr-HR"/>
              </w:rPr>
              <w:t xml:space="preserve">, </w:t>
            </w:r>
            <w:r w:rsidRPr="003C7CB1">
              <w:rPr>
                <w:rFonts w:ascii="Calibri" w:eastAsia="Calibri" w:hAnsi="Calibri" w:cs="Calibri"/>
                <w:lang w:eastAsia="hr-HR"/>
              </w:rPr>
              <w:t xml:space="preserve">the third largest municipality in Montenegro, is located in the far north, bordered by forested mountains and intersected by the rivers Tara, </w:t>
            </w:r>
            <w:proofErr w:type="spellStart"/>
            <w:r w:rsidRPr="003C7CB1">
              <w:rPr>
                <w:rFonts w:ascii="Calibri" w:eastAsia="Calibri" w:hAnsi="Calibri" w:cs="Calibri"/>
                <w:lang w:eastAsia="hr-HR"/>
              </w:rPr>
              <w:t>Ćehotina</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Breznica</w:t>
            </w:r>
            <w:proofErr w:type="spellEnd"/>
            <w:r w:rsidRPr="003C7CB1">
              <w:rPr>
                <w:rFonts w:ascii="Calibri" w:eastAsia="Calibri" w:hAnsi="Calibri" w:cs="Calibri"/>
                <w:lang w:eastAsia="hr-HR"/>
              </w:rPr>
              <w:t xml:space="preserve">. Islam and Christianity are strongly intertwined in </w:t>
            </w:r>
            <w:proofErr w:type="spellStart"/>
            <w:r w:rsidRPr="003C7CB1">
              <w:rPr>
                <w:rFonts w:ascii="Calibri" w:eastAsia="Calibri" w:hAnsi="Calibri" w:cs="Calibri"/>
                <w:lang w:eastAsia="hr-HR"/>
              </w:rPr>
              <w:t>Pljevlja</w:t>
            </w:r>
            <w:proofErr w:type="spellEnd"/>
            <w:r w:rsidRPr="003C7CB1">
              <w:rPr>
                <w:rFonts w:ascii="Calibri" w:eastAsia="Calibri" w:hAnsi="Calibri" w:cs="Calibri"/>
                <w:lang w:eastAsia="hr-HR"/>
              </w:rPr>
              <w:t>. The symbols of the city are two cultural, historical and archeological monuments - the Holy Trinity Monastery and the Hussein Pasha's Mosque. For several centuries, the Holy Trinity Monastery has been one of the main centers of spiritual, educational and cultural life in the northern part of Montenegro. Hussein Pasha's Mosque is one of the most significant monuments from the period of Ottoman rule, built in the 16th century and has the tallest minaret in the Balkans.</w:t>
            </w:r>
            <w:r w:rsidR="00B16AD6" w:rsidRPr="003C7CB1">
              <w:rPr>
                <w:rFonts w:ascii="Calibri" w:eastAsia="Calibri" w:hAnsi="Calibri" w:cs="Times New Roman"/>
              </w:rPr>
              <w:t xml:space="preserve"> </w:t>
            </w:r>
            <w:r w:rsidRPr="003C7CB1">
              <w:rPr>
                <w:rFonts w:ascii="Calibri" w:eastAsia="Calibri" w:hAnsi="Calibri" w:cs="Calibri"/>
                <w:lang w:eastAsia="hr-HR"/>
              </w:rPr>
              <w:t xml:space="preserve">Near </w:t>
            </w:r>
            <w:proofErr w:type="spellStart"/>
            <w:r w:rsidRPr="003C7CB1">
              <w:rPr>
                <w:rFonts w:ascii="Calibri" w:eastAsia="Calibri" w:hAnsi="Calibri" w:cs="Calibri"/>
                <w:lang w:eastAsia="hr-HR"/>
              </w:rPr>
              <w:t>Pljevlja</w:t>
            </w:r>
            <w:proofErr w:type="spellEnd"/>
            <w:r w:rsidRPr="003C7CB1">
              <w:rPr>
                <w:rFonts w:ascii="Calibri" w:eastAsia="Calibri" w:hAnsi="Calibri" w:cs="Calibri"/>
                <w:lang w:eastAsia="hr-HR"/>
              </w:rPr>
              <w:t xml:space="preserve">, there are excavations of an ancient Roman settlement - </w:t>
            </w:r>
            <w:proofErr w:type="spellStart"/>
            <w:r w:rsidRPr="003C7CB1">
              <w:rPr>
                <w:rFonts w:ascii="Calibri" w:eastAsia="Calibri" w:hAnsi="Calibri" w:cs="Calibri"/>
                <w:lang w:eastAsia="hr-HR"/>
              </w:rPr>
              <w:t>Municipum</w:t>
            </w:r>
            <w:proofErr w:type="spellEnd"/>
            <w:r w:rsidRPr="003C7CB1">
              <w:rPr>
                <w:rFonts w:ascii="Calibri" w:eastAsia="Calibri" w:hAnsi="Calibri" w:cs="Calibri"/>
                <w:lang w:eastAsia="hr-HR"/>
              </w:rPr>
              <w:t xml:space="preserve"> S and it is believed that this settlement was the second largest after Duklja. </w:t>
            </w:r>
            <w:proofErr w:type="spellStart"/>
            <w:r w:rsidRPr="003C7CB1">
              <w:rPr>
                <w:rFonts w:ascii="Calibri" w:eastAsia="Calibri" w:hAnsi="Calibri" w:cs="Calibri"/>
                <w:lang w:eastAsia="hr-HR"/>
              </w:rPr>
              <w:t>Pljevlja</w:t>
            </w:r>
            <w:proofErr w:type="spellEnd"/>
            <w:r w:rsidRPr="003C7CB1">
              <w:rPr>
                <w:rFonts w:ascii="Calibri" w:eastAsia="Calibri" w:hAnsi="Calibri" w:cs="Calibri"/>
                <w:lang w:eastAsia="hr-HR"/>
              </w:rPr>
              <w:t xml:space="preserve"> is partly located in the territory of the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National Park. According to the opinion of the Municipality of </w:t>
            </w:r>
            <w:proofErr w:type="spellStart"/>
            <w:r w:rsidRPr="003C7CB1">
              <w:rPr>
                <w:rFonts w:ascii="Calibri" w:eastAsia="Calibri" w:hAnsi="Calibri" w:cs="Calibri"/>
                <w:lang w:eastAsia="hr-HR"/>
              </w:rPr>
              <w:t>Pljevlja</w:t>
            </w:r>
            <w:proofErr w:type="spellEnd"/>
            <w:r w:rsidRPr="003C7CB1">
              <w:rPr>
                <w:rFonts w:ascii="Calibri" w:eastAsia="Calibri" w:hAnsi="Calibri" w:cs="Calibri"/>
                <w:lang w:eastAsia="hr-HR"/>
              </w:rPr>
              <w:t xml:space="preserve">, the mountain </w:t>
            </w:r>
            <w:proofErr w:type="spellStart"/>
            <w:r w:rsidRPr="003C7CB1">
              <w:rPr>
                <w:rFonts w:ascii="Calibri" w:eastAsia="Calibri" w:hAnsi="Calibri" w:cs="Calibri"/>
                <w:b/>
                <w:lang w:eastAsia="hr-HR"/>
              </w:rPr>
              <w:t>Ljubišnja</w:t>
            </w:r>
            <w:proofErr w:type="spellEnd"/>
            <w:r w:rsidRPr="003C7CB1">
              <w:rPr>
                <w:rFonts w:ascii="Calibri" w:eastAsia="Calibri" w:hAnsi="Calibri" w:cs="Calibri"/>
                <w:lang w:eastAsia="hr-HR"/>
              </w:rPr>
              <w:t xml:space="preserve"> fulfills all the conditions to declare the wider area of that mountain a regional park. </w:t>
            </w:r>
            <w:proofErr w:type="spellStart"/>
            <w:r w:rsidRPr="003C7CB1">
              <w:rPr>
                <w:rFonts w:ascii="Calibri" w:eastAsia="Calibri" w:hAnsi="Calibri" w:cs="Calibri"/>
                <w:lang w:eastAsia="hr-HR"/>
              </w:rPr>
              <w:t>Ljubišnja</w:t>
            </w:r>
            <w:proofErr w:type="spellEnd"/>
            <w:r w:rsidRPr="003C7CB1">
              <w:rPr>
                <w:rFonts w:ascii="Calibri" w:eastAsia="Calibri" w:hAnsi="Calibri" w:cs="Calibri"/>
                <w:lang w:eastAsia="hr-HR"/>
              </w:rPr>
              <w:t xml:space="preserve"> has exceptional conditions for the construction of ski resorts and the development of summer, mountain, adventure, recreational, winter and hunting tourism</w:t>
            </w:r>
            <w:r w:rsidR="00B16AD6" w:rsidRPr="003C7CB1">
              <w:rPr>
                <w:rFonts w:ascii="Calibri" w:eastAsia="Calibri" w:hAnsi="Calibri" w:cs="Calibri"/>
                <w:lang w:eastAsia="hr-HR"/>
              </w:rPr>
              <w:t>.</w:t>
            </w:r>
          </w:p>
          <w:p w14:paraId="46A003C6" w14:textId="64916B46" w:rsidR="00B16AD6" w:rsidRPr="003C7CB1" w:rsidRDefault="00D445D2" w:rsidP="00CD5021">
            <w:pPr>
              <w:spacing w:after="120" w:line="240" w:lineRule="auto"/>
              <w:jc w:val="both"/>
              <w:rPr>
                <w:rFonts w:ascii="Calibri" w:eastAsia="Calibri" w:hAnsi="Calibri" w:cs="Calibri"/>
                <w:lang w:eastAsia="hr-HR"/>
              </w:rPr>
            </w:pPr>
            <w:proofErr w:type="spellStart"/>
            <w:r w:rsidRPr="003C7CB1">
              <w:rPr>
                <w:rFonts w:ascii="Calibri" w:eastAsia="Calibri" w:hAnsi="Calibri" w:cs="Calibri"/>
                <w:b/>
                <w:lang w:eastAsia="hr-HR"/>
              </w:rPr>
              <w:t>Plužine</w:t>
            </w:r>
            <w:proofErr w:type="spellEnd"/>
            <w:r w:rsidRPr="003C7CB1">
              <w:rPr>
                <w:rFonts w:ascii="Calibri" w:eastAsia="Calibri" w:hAnsi="Calibri" w:cs="Calibri"/>
                <w:b/>
                <w:lang w:eastAsia="hr-HR"/>
              </w:rPr>
              <w:t xml:space="preserve"> </w:t>
            </w:r>
            <w:r w:rsidRPr="003C7CB1">
              <w:rPr>
                <w:rFonts w:ascii="Calibri" w:eastAsia="Calibri" w:hAnsi="Calibri" w:cs="Calibri"/>
                <w:lang w:eastAsia="hr-HR"/>
              </w:rPr>
              <w:t xml:space="preserve">are located between the mountain massifs of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Volujak</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Maglić</w:t>
            </w:r>
            <w:proofErr w:type="spellEnd"/>
            <w:r w:rsidRPr="003C7CB1">
              <w:rPr>
                <w:rFonts w:ascii="Calibri" w:eastAsia="Calibri" w:hAnsi="Calibri" w:cs="Calibri"/>
                <w:lang w:eastAsia="hr-HR"/>
              </w:rPr>
              <w:t xml:space="preserve"> on one side, and the Tara canyon on the other. These natural borders separate </w:t>
            </w:r>
            <w:proofErr w:type="spellStart"/>
            <w:r w:rsidRPr="003C7CB1">
              <w:rPr>
                <w:rFonts w:ascii="Calibri" w:eastAsia="Calibri" w:hAnsi="Calibri" w:cs="Calibri"/>
                <w:lang w:eastAsia="hr-HR"/>
              </w:rPr>
              <w:t>Plužine</w:t>
            </w:r>
            <w:proofErr w:type="spellEnd"/>
            <w:r w:rsidRPr="003C7CB1">
              <w:rPr>
                <w:rFonts w:ascii="Calibri" w:eastAsia="Calibri" w:hAnsi="Calibri" w:cs="Calibri"/>
                <w:lang w:eastAsia="hr-HR"/>
              </w:rPr>
              <w:t xml:space="preserve"> from the neighboring municipalities of </w:t>
            </w:r>
            <w:proofErr w:type="spellStart"/>
            <w:r w:rsidRPr="003C7CB1">
              <w:rPr>
                <w:rFonts w:ascii="Calibri" w:eastAsia="Calibri" w:hAnsi="Calibri" w:cs="Calibri"/>
                <w:lang w:eastAsia="hr-HR"/>
              </w:rPr>
              <w:t>Žabljak</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Šavnik</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Nikšić</w:t>
            </w:r>
            <w:proofErr w:type="spellEnd"/>
            <w:r w:rsidRPr="003C7CB1">
              <w:rPr>
                <w:rFonts w:ascii="Calibri" w:eastAsia="Calibri" w:hAnsi="Calibri" w:cs="Calibri"/>
                <w:lang w:eastAsia="hr-HR"/>
              </w:rPr>
              <w:t xml:space="preserve">. In the heart of the area of the municipality of </w:t>
            </w:r>
            <w:proofErr w:type="spellStart"/>
            <w:r w:rsidRPr="003C7CB1">
              <w:rPr>
                <w:rFonts w:ascii="Calibri" w:eastAsia="Calibri" w:hAnsi="Calibri" w:cs="Calibri"/>
                <w:lang w:eastAsia="hr-HR"/>
              </w:rPr>
              <w:t>Plužine</w:t>
            </w:r>
            <w:proofErr w:type="spellEnd"/>
            <w:r w:rsidRPr="003C7CB1">
              <w:rPr>
                <w:rFonts w:ascii="Calibri" w:eastAsia="Calibri" w:hAnsi="Calibri" w:cs="Calibri"/>
                <w:lang w:eastAsia="hr-HR"/>
              </w:rPr>
              <w:t xml:space="preserve"> is the canyon of Piva with Piva Lake, which is why the whole area is called Piva. The canyons of the rivers Tara, Piva, </w:t>
            </w:r>
            <w:proofErr w:type="spellStart"/>
            <w:r w:rsidRPr="003C7CB1">
              <w:rPr>
                <w:rFonts w:ascii="Calibri" w:eastAsia="Calibri" w:hAnsi="Calibri" w:cs="Calibri"/>
                <w:lang w:eastAsia="hr-HR"/>
              </w:rPr>
              <w:t>Komarnica</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Sušica</w:t>
            </w:r>
            <w:proofErr w:type="spellEnd"/>
            <w:r w:rsidRPr="003C7CB1">
              <w:rPr>
                <w:rFonts w:ascii="Calibri" w:eastAsia="Calibri" w:hAnsi="Calibri" w:cs="Calibri"/>
                <w:lang w:eastAsia="hr-HR"/>
              </w:rPr>
              <w:t xml:space="preserve">, Piva Lake, mountain massifs with </w:t>
            </w:r>
            <w:proofErr w:type="spellStart"/>
            <w:r w:rsidRPr="003C7CB1">
              <w:rPr>
                <w:rFonts w:ascii="Calibri" w:eastAsia="Calibri" w:hAnsi="Calibri" w:cs="Calibri"/>
                <w:lang w:eastAsia="hr-HR"/>
              </w:rPr>
              <w:t>Trnovačko</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Stabansko</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Škrčko</w:t>
            </w:r>
            <w:proofErr w:type="spellEnd"/>
            <w:r w:rsidRPr="003C7CB1">
              <w:rPr>
                <w:rFonts w:ascii="Calibri" w:eastAsia="Calibri" w:hAnsi="Calibri" w:cs="Calibri"/>
                <w:lang w:eastAsia="hr-HR"/>
              </w:rPr>
              <w:t xml:space="preserve"> lakes, idyllic villages of the Piva Mountain, represent the main potential for the development of adventure, rural and nature-based tourism.</w:t>
            </w:r>
          </w:p>
          <w:p w14:paraId="03BDAA8F" w14:textId="4B0175AA" w:rsidR="00B16AD6" w:rsidRPr="003C7CB1" w:rsidRDefault="00D445D2" w:rsidP="00CD5021">
            <w:pPr>
              <w:spacing w:after="120" w:line="240" w:lineRule="auto"/>
              <w:jc w:val="both"/>
              <w:rPr>
                <w:rFonts w:ascii="Calibri" w:eastAsia="Calibri" w:hAnsi="Calibri" w:cs="Calibri"/>
                <w:lang w:eastAsia="hr-HR"/>
              </w:rPr>
            </w:pPr>
            <w:proofErr w:type="spellStart"/>
            <w:r w:rsidRPr="003C7CB1">
              <w:rPr>
                <w:rFonts w:ascii="Calibri" w:eastAsia="Calibri" w:hAnsi="Calibri" w:cs="Calibri"/>
                <w:b/>
                <w:lang w:eastAsia="hr-HR"/>
              </w:rPr>
              <w:t>Šavnik</w:t>
            </w:r>
            <w:proofErr w:type="spellEnd"/>
            <w:r w:rsidRPr="003C7CB1">
              <w:rPr>
                <w:rFonts w:ascii="Calibri" w:eastAsia="Calibri" w:hAnsi="Calibri" w:cs="Calibri"/>
                <w:b/>
                <w:lang w:eastAsia="hr-HR"/>
              </w:rPr>
              <w:t xml:space="preserve"> </w:t>
            </w:r>
            <w:r w:rsidRPr="003C7CB1">
              <w:rPr>
                <w:rFonts w:ascii="Calibri" w:eastAsia="Calibri" w:hAnsi="Calibri" w:cs="Calibri"/>
                <w:lang w:eastAsia="hr-HR"/>
              </w:rPr>
              <w:t xml:space="preserve">is located on the slopes, valleys and areas of the mountain massifs of </w:t>
            </w: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Sinjajevina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Moračke</w:t>
            </w:r>
            <w:proofErr w:type="spellEnd"/>
            <w:r w:rsidRPr="003C7CB1">
              <w:rPr>
                <w:rFonts w:ascii="Calibri" w:eastAsia="Calibri" w:hAnsi="Calibri" w:cs="Calibri"/>
                <w:lang w:eastAsia="hr-HR"/>
              </w:rPr>
              <w:t xml:space="preserve"> mountains, </w:t>
            </w:r>
            <w:proofErr w:type="spellStart"/>
            <w:r w:rsidRPr="003C7CB1">
              <w:rPr>
                <w:rFonts w:ascii="Calibri" w:eastAsia="Calibri" w:hAnsi="Calibri" w:cs="Calibri"/>
                <w:lang w:eastAsia="hr-HR"/>
              </w:rPr>
              <w:t>Krnovo</w:t>
            </w:r>
            <w:proofErr w:type="spellEnd"/>
            <w:r w:rsidRPr="003C7CB1">
              <w:rPr>
                <w:rFonts w:ascii="Calibri" w:eastAsia="Calibri" w:hAnsi="Calibri" w:cs="Calibri"/>
                <w:lang w:eastAsia="hr-HR"/>
              </w:rPr>
              <w:t xml:space="preserve"> plateau and </w:t>
            </w:r>
            <w:proofErr w:type="spellStart"/>
            <w:r w:rsidRPr="003C7CB1">
              <w:rPr>
                <w:rFonts w:ascii="Calibri" w:eastAsia="Calibri" w:hAnsi="Calibri" w:cs="Calibri"/>
                <w:lang w:eastAsia="hr-HR"/>
              </w:rPr>
              <w:t>Vojnik</w:t>
            </w:r>
            <w:proofErr w:type="spellEnd"/>
            <w:r w:rsidRPr="003C7CB1">
              <w:rPr>
                <w:rFonts w:ascii="Calibri" w:eastAsia="Calibri" w:hAnsi="Calibri" w:cs="Calibri"/>
                <w:lang w:eastAsia="hr-HR"/>
              </w:rPr>
              <w:t xml:space="preserve"> mountain. This small authentic town is located on the rivers </w:t>
            </w:r>
            <w:proofErr w:type="spellStart"/>
            <w:r w:rsidRPr="003C7CB1">
              <w:rPr>
                <w:rFonts w:ascii="Calibri" w:eastAsia="Calibri" w:hAnsi="Calibri" w:cs="Calibri"/>
                <w:lang w:eastAsia="hr-HR"/>
              </w:rPr>
              <w:t>Bijela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Bukovica</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Šavnik</w:t>
            </w:r>
            <w:proofErr w:type="spellEnd"/>
            <w:r w:rsidRPr="003C7CB1">
              <w:rPr>
                <w:rFonts w:ascii="Calibri" w:eastAsia="Calibri" w:hAnsi="Calibri" w:cs="Calibri"/>
                <w:lang w:eastAsia="hr-HR"/>
              </w:rPr>
              <w:t xml:space="preserve">, which make up the river </w:t>
            </w:r>
            <w:proofErr w:type="spellStart"/>
            <w:r w:rsidRPr="003C7CB1">
              <w:rPr>
                <w:rFonts w:ascii="Calibri" w:eastAsia="Calibri" w:hAnsi="Calibri" w:cs="Calibri"/>
                <w:lang w:eastAsia="hr-HR"/>
              </w:rPr>
              <w:t>Pridvorica</w:t>
            </w:r>
            <w:proofErr w:type="spellEnd"/>
            <w:r w:rsidR="00B16AD6" w:rsidRPr="003C7CB1">
              <w:rPr>
                <w:rFonts w:ascii="Calibri" w:eastAsia="Calibri" w:hAnsi="Calibri" w:cs="Calibri"/>
                <w:lang w:eastAsia="hr-HR"/>
              </w:rPr>
              <w:t xml:space="preserve">. </w:t>
            </w:r>
          </w:p>
        </w:tc>
      </w:tr>
      <w:tr w:rsidR="00B16AD6" w:rsidRPr="003C7CB1" w14:paraId="5C93D8C1" w14:textId="77777777" w:rsidTr="00B16AD6">
        <w:tc>
          <w:tcPr>
            <w:tcW w:w="9606" w:type="dxa"/>
            <w:shd w:val="clear" w:color="auto" w:fill="B4C6E7" w:themeFill="accent1" w:themeFillTint="66"/>
          </w:tcPr>
          <w:p w14:paraId="5509306E" w14:textId="24F909A1" w:rsidR="00B16AD6" w:rsidRPr="003C7CB1" w:rsidRDefault="00D445D2" w:rsidP="00CD5021">
            <w:pPr>
              <w:spacing w:after="120" w:line="240" w:lineRule="auto"/>
              <w:jc w:val="center"/>
              <w:rPr>
                <w:rFonts w:ascii="Calibri" w:eastAsia="Calibri" w:hAnsi="Calibri" w:cs="Calibri"/>
                <w:lang w:eastAsia="hr-HR"/>
              </w:rPr>
            </w:pPr>
            <w:r w:rsidRPr="003C7CB1">
              <w:rPr>
                <w:rFonts w:ascii="Calibri" w:eastAsia="Calibri" w:hAnsi="Calibri" w:cs="Calibri"/>
                <w:b/>
                <w:bCs/>
                <w:color w:val="1F3864"/>
                <w:lang w:eastAsia="hr-HR"/>
              </w:rPr>
              <w:lastRenderedPageBreak/>
              <w:t>VISION OF CLUSTER DEVELOPMENT</w:t>
            </w:r>
          </w:p>
        </w:tc>
      </w:tr>
      <w:tr w:rsidR="00B16AD6" w:rsidRPr="003C7CB1" w14:paraId="0EA31E6C" w14:textId="77777777" w:rsidTr="00B16AD6">
        <w:tc>
          <w:tcPr>
            <w:tcW w:w="9606" w:type="dxa"/>
          </w:tcPr>
          <w:p w14:paraId="2EEF5A6D" w14:textId="449339CC" w:rsidR="00B16AD6" w:rsidRPr="003C7CB1" w:rsidRDefault="00D445D2" w:rsidP="00CD5021">
            <w:pPr>
              <w:spacing w:after="120" w:line="240" w:lineRule="auto"/>
              <w:jc w:val="both"/>
              <w:rPr>
                <w:rFonts w:ascii="Calibri" w:eastAsia="Calibri" w:hAnsi="Calibri" w:cs="Calibri"/>
                <w:lang w:eastAsia="hr-HR"/>
              </w:rPr>
            </w:pPr>
            <w:proofErr w:type="spellStart"/>
            <w:r w:rsidRPr="003C7CB1">
              <w:rPr>
                <w:rFonts w:ascii="Calibri" w:eastAsia="Calibri" w:hAnsi="Calibri" w:cs="Calibri"/>
                <w:b/>
                <w:bCs/>
                <w:lang w:eastAsia="hr-HR"/>
              </w:rPr>
              <w:t>Durmitor</w:t>
            </w:r>
            <w:proofErr w:type="spellEnd"/>
            <w:r w:rsidRPr="003C7CB1">
              <w:rPr>
                <w:rFonts w:ascii="Calibri" w:eastAsia="Calibri" w:hAnsi="Calibri" w:cs="Calibri"/>
                <w:b/>
                <w:bCs/>
                <w:lang w:eastAsia="hr-HR"/>
              </w:rPr>
              <w:t xml:space="preserve"> and </w:t>
            </w:r>
            <w:proofErr w:type="spellStart"/>
            <w:r w:rsidRPr="003C7CB1">
              <w:rPr>
                <w:rFonts w:ascii="Calibri" w:eastAsia="Calibri" w:hAnsi="Calibri" w:cs="Calibri"/>
                <w:b/>
                <w:bCs/>
                <w:lang w:eastAsia="hr-HR"/>
              </w:rPr>
              <w:t>Sinjajevina</w:t>
            </w:r>
            <w:proofErr w:type="spellEnd"/>
            <w:r w:rsidRPr="003C7CB1">
              <w:rPr>
                <w:rFonts w:ascii="Calibri" w:eastAsia="Calibri" w:hAnsi="Calibri" w:cs="Calibri"/>
                <w:b/>
                <w:bCs/>
                <w:lang w:eastAsia="hr-HR"/>
              </w:rPr>
              <w:t xml:space="preserve"> with the rivers Tara and Piva -</w:t>
            </w:r>
            <w:r w:rsidRPr="003C7CB1">
              <w:rPr>
                <w:rFonts w:ascii="Calibri" w:eastAsia="Calibri" w:hAnsi="Calibri" w:cs="Calibri"/>
                <w:bCs/>
                <w:lang w:eastAsia="hr-HR"/>
              </w:rPr>
              <w:t xml:space="preserve"> a destination recognized for ski tourism with accompanying infrastructure, rural tourism, as well as for active holidays - mountaineering, hiking, snowshoeing, rafting, camping, horseback riding, etc. Also, the cluster is recognized for its developed hotel offer based on MICE facilities and family tourism, with authentic gastronomy, sports-recreational and adventure facilities (camps for athletes, zip line, bungee jumping, off road caravans, etc</w:t>
            </w:r>
            <w:r w:rsidR="00B16AD6" w:rsidRPr="003C7CB1">
              <w:rPr>
                <w:rFonts w:ascii="Calibri" w:eastAsia="Calibri" w:hAnsi="Calibri" w:cs="Calibri"/>
                <w:lang w:eastAsia="hr-HR"/>
              </w:rPr>
              <w:t>.)</w:t>
            </w:r>
          </w:p>
          <w:p w14:paraId="2F6CDA2C" w14:textId="7350C323" w:rsidR="00B16AD6" w:rsidRPr="003C7CB1" w:rsidRDefault="008F5D61" w:rsidP="00CD5021">
            <w:pPr>
              <w:spacing w:after="120" w:line="240" w:lineRule="auto"/>
              <w:jc w:val="both"/>
              <w:rPr>
                <w:rFonts w:ascii="Calibri" w:eastAsia="Calibri" w:hAnsi="Calibri" w:cs="Calibri"/>
                <w:lang w:eastAsia="hr-HR"/>
              </w:rPr>
            </w:pPr>
            <w:proofErr w:type="spellStart"/>
            <w:r w:rsidRPr="003C7CB1">
              <w:rPr>
                <w:rFonts w:ascii="Calibri" w:eastAsia="Calibri" w:hAnsi="Calibri" w:cs="Calibri"/>
                <w:lang w:eastAsia="hr-HR"/>
              </w:rPr>
              <w:t>Durmitor</w:t>
            </w:r>
            <w:proofErr w:type="spellEnd"/>
            <w:r w:rsidRPr="003C7CB1">
              <w:rPr>
                <w:rFonts w:ascii="Calibri" w:eastAsia="Calibri" w:hAnsi="Calibri" w:cs="Calibri"/>
                <w:lang w:eastAsia="hr-HR"/>
              </w:rPr>
              <w:t xml:space="preserve"> National Park is guided by sustainable principles in creating a tourist offer not only in the strictly protected zone but also beyond, and is a flywheel for tourism in the entire region. The Piva Nature Park functions in the same way, and contributes to expanding the tourist offer and income from tourism to other parts of the region, and to reducing the tourist pressure on the most attractive zone. The backbone of the cultural offer are the </w:t>
            </w:r>
            <w:proofErr w:type="spellStart"/>
            <w:r w:rsidRPr="003C7CB1">
              <w:rPr>
                <w:rFonts w:ascii="Calibri" w:eastAsia="Calibri" w:hAnsi="Calibri" w:cs="Calibri"/>
                <w:lang w:eastAsia="hr-HR"/>
              </w:rPr>
              <w:t>stećci</w:t>
            </w:r>
            <w:proofErr w:type="spellEnd"/>
            <w:r w:rsidRPr="003C7CB1">
              <w:rPr>
                <w:rFonts w:ascii="Calibri" w:eastAsia="Calibri" w:hAnsi="Calibri" w:cs="Calibri"/>
                <w:lang w:eastAsia="hr-HR"/>
              </w:rPr>
              <w:t xml:space="preserve"> tombstones that are under UNESCO protection, but all other cultural and historical monuments are adequately included in the offer. A variety of local products characteristic of this region are in use in the hospitality sector in the region and beyond, and local gastronomy is presented in restaurants throughout the region. Rural households provide services in tourism, so adventurers on the trails have services, and local people earn income by providing services</w:t>
            </w:r>
            <w:r w:rsidR="00B16AD6" w:rsidRPr="003C7CB1">
              <w:rPr>
                <w:rFonts w:ascii="Calibri" w:eastAsia="Calibri" w:hAnsi="Calibri" w:cs="Calibri"/>
                <w:lang w:eastAsia="hr-HR"/>
              </w:rPr>
              <w:t xml:space="preserve">.  </w:t>
            </w:r>
          </w:p>
          <w:p w14:paraId="2F4B046C" w14:textId="77777777" w:rsidR="00B16AD6" w:rsidRPr="003C7CB1" w:rsidRDefault="008F5D61" w:rsidP="00CD5021">
            <w:pPr>
              <w:spacing w:after="120" w:line="240" w:lineRule="auto"/>
              <w:jc w:val="both"/>
              <w:rPr>
                <w:rFonts w:ascii="Calibri" w:eastAsia="Calibri" w:hAnsi="Calibri" w:cs="Calibri"/>
                <w:lang w:eastAsia="hr-HR"/>
              </w:rPr>
            </w:pPr>
            <w:r w:rsidRPr="003C7CB1">
              <w:rPr>
                <w:rFonts w:ascii="Calibri" w:eastAsia="Calibri" w:hAnsi="Calibri" w:cs="Calibri"/>
                <w:lang w:eastAsia="hr-HR"/>
              </w:rPr>
              <w:t xml:space="preserve">Natural and ambient conditions, natural beauties with forests, pastures and meadows provide all opportunities for the development of ski, rural, adventure and nature-based tourism in the municipalities of </w:t>
            </w:r>
            <w:proofErr w:type="spellStart"/>
            <w:r w:rsidRPr="003C7CB1">
              <w:rPr>
                <w:rFonts w:ascii="Calibri" w:eastAsia="Calibri" w:hAnsi="Calibri" w:cs="Calibri"/>
                <w:lang w:eastAsia="hr-HR"/>
              </w:rPr>
              <w:t>Nikšić</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Pljevlja</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Plužine</w:t>
            </w:r>
            <w:proofErr w:type="spellEnd"/>
            <w:r w:rsidRPr="003C7CB1">
              <w:rPr>
                <w:rFonts w:ascii="Calibri" w:eastAsia="Calibri" w:hAnsi="Calibri" w:cs="Calibri"/>
                <w:lang w:eastAsia="hr-HR"/>
              </w:rPr>
              <w:t xml:space="preserve">, </w:t>
            </w:r>
            <w:proofErr w:type="spellStart"/>
            <w:r w:rsidRPr="003C7CB1">
              <w:rPr>
                <w:rFonts w:ascii="Calibri" w:eastAsia="Calibri" w:hAnsi="Calibri" w:cs="Calibri"/>
                <w:lang w:eastAsia="hr-HR"/>
              </w:rPr>
              <w:t>Žabljak</w:t>
            </w:r>
            <w:proofErr w:type="spellEnd"/>
            <w:r w:rsidRPr="003C7CB1">
              <w:rPr>
                <w:rFonts w:ascii="Calibri" w:eastAsia="Calibri" w:hAnsi="Calibri" w:cs="Calibri"/>
                <w:lang w:eastAsia="hr-HR"/>
              </w:rPr>
              <w:t xml:space="preserve"> and </w:t>
            </w:r>
            <w:proofErr w:type="spellStart"/>
            <w:r w:rsidRPr="003C7CB1">
              <w:rPr>
                <w:rFonts w:ascii="Calibri" w:eastAsia="Calibri" w:hAnsi="Calibri" w:cs="Calibri"/>
                <w:lang w:eastAsia="hr-HR"/>
              </w:rPr>
              <w:t>Šavnik</w:t>
            </w:r>
            <w:proofErr w:type="spellEnd"/>
            <w:r w:rsidR="00B16AD6" w:rsidRPr="003C7CB1">
              <w:rPr>
                <w:rFonts w:ascii="Calibri" w:eastAsia="Calibri" w:hAnsi="Calibri" w:cs="Calibri"/>
                <w:lang w:eastAsia="hr-HR"/>
              </w:rPr>
              <w:t xml:space="preserve">. </w:t>
            </w:r>
          </w:p>
          <w:p w14:paraId="7DFA83E7" w14:textId="2CE6DA22" w:rsidR="008F5D61" w:rsidRPr="003C7CB1" w:rsidRDefault="008F5D61" w:rsidP="00CD5021">
            <w:pPr>
              <w:spacing w:after="120" w:line="240" w:lineRule="auto"/>
              <w:jc w:val="both"/>
              <w:rPr>
                <w:rFonts w:ascii="Calibri" w:eastAsia="Calibri" w:hAnsi="Calibri" w:cs="Calibri"/>
                <w:lang w:eastAsia="hr-HR"/>
              </w:rPr>
            </w:pPr>
          </w:p>
        </w:tc>
      </w:tr>
      <w:tr w:rsidR="00B16AD6" w:rsidRPr="003C7CB1" w14:paraId="09FAD059" w14:textId="77777777" w:rsidTr="00B16AD6">
        <w:trPr>
          <w:trHeight w:val="445"/>
        </w:trPr>
        <w:tc>
          <w:tcPr>
            <w:tcW w:w="9606" w:type="dxa"/>
            <w:shd w:val="clear" w:color="auto" w:fill="B4C6E7" w:themeFill="accent1" w:themeFillTint="66"/>
          </w:tcPr>
          <w:p w14:paraId="22D2BF1F" w14:textId="1883295C" w:rsidR="00B16AD6" w:rsidRPr="003C7CB1" w:rsidRDefault="008F5D61" w:rsidP="00CD5021">
            <w:pPr>
              <w:spacing w:after="120" w:line="240" w:lineRule="auto"/>
              <w:jc w:val="center"/>
              <w:rPr>
                <w:rFonts w:ascii="Calibri" w:eastAsia="Calibri" w:hAnsi="Calibri" w:cs="Calibri"/>
                <w:lang w:eastAsia="hr-HR"/>
              </w:rPr>
            </w:pPr>
            <w:r w:rsidRPr="003C7CB1">
              <w:rPr>
                <w:rFonts w:ascii="Calibri" w:eastAsia="Calibri" w:hAnsi="Calibri" w:cs="Calibri"/>
                <w:b/>
                <w:bCs/>
                <w:color w:val="1F3864"/>
                <w:lang w:eastAsia="hr-HR"/>
              </w:rPr>
              <w:lastRenderedPageBreak/>
              <w:t>INVESTMENTS, SPACE, HOTEL STANDARDS AND INFRASTRUCTURE</w:t>
            </w:r>
          </w:p>
        </w:tc>
      </w:tr>
      <w:tr w:rsidR="00B16AD6" w:rsidRPr="003C7CB1" w14:paraId="57794EBA" w14:textId="77777777" w:rsidTr="00B16AD6">
        <w:trPr>
          <w:trHeight w:val="1697"/>
        </w:trPr>
        <w:tc>
          <w:tcPr>
            <w:tcW w:w="9606" w:type="dxa"/>
          </w:tcPr>
          <w:p w14:paraId="76178FC4" w14:textId="12011C80" w:rsidR="00B16AD6" w:rsidRPr="003C7CB1" w:rsidRDefault="002B23E9" w:rsidP="00CD5021">
            <w:pPr>
              <w:spacing w:after="120" w:line="240" w:lineRule="auto"/>
              <w:jc w:val="both"/>
              <w:rPr>
                <w:rFonts w:ascii="Calibri" w:eastAsia="Calibri" w:hAnsi="Calibri" w:cs="Times New Roman"/>
                <w:b/>
                <w:u w:val="single"/>
              </w:rPr>
            </w:pPr>
            <w:r w:rsidRPr="003C7CB1">
              <w:rPr>
                <w:rFonts w:ascii="Calibri" w:eastAsia="Calibri" w:hAnsi="Calibri" w:cs="Times New Roman"/>
                <w:b/>
                <w:u w:val="single"/>
              </w:rPr>
              <w:t>Space and investments</w:t>
            </w:r>
          </w:p>
          <w:p w14:paraId="0E7FB60E" w14:textId="5E384963" w:rsidR="00B16AD6" w:rsidRDefault="002B23E9" w:rsidP="00085FBF">
            <w:pPr>
              <w:spacing w:after="0" w:line="240" w:lineRule="auto"/>
              <w:jc w:val="both"/>
            </w:pPr>
            <w:bookmarkStart w:id="281" w:name="_Toc88230722"/>
            <w:bookmarkStart w:id="282" w:name="_Toc88760517"/>
            <w:bookmarkStart w:id="283" w:name="_Toc88760704"/>
            <w:bookmarkStart w:id="284" w:name="_Toc88772644"/>
            <w:bookmarkStart w:id="285" w:name="_Toc88772863"/>
            <w:bookmarkStart w:id="286" w:name="_Toc88813219"/>
            <w:bookmarkStart w:id="287" w:name="_Toc89435299"/>
            <w:bookmarkStart w:id="288" w:name="_Toc91284382"/>
            <w:bookmarkStart w:id="289" w:name="_Toc91285573"/>
            <w:bookmarkStart w:id="290" w:name="_Toc91286365"/>
            <w:bookmarkStart w:id="291" w:name="_Toc91286744"/>
            <w:bookmarkStart w:id="292" w:name="_Toc91518829"/>
            <w:bookmarkStart w:id="293" w:name="_Toc91518965"/>
            <w:bookmarkStart w:id="294" w:name="_Toc91521952"/>
            <w:bookmarkStart w:id="295" w:name="_Toc95299983"/>
            <w:bookmarkStart w:id="296" w:name="_Toc95303063"/>
            <w:bookmarkStart w:id="297" w:name="_Toc97902527"/>
            <w:r w:rsidRPr="003C7CB1">
              <w:t xml:space="preserve">Montenegro is committed to create a high quality </w:t>
            </w:r>
            <w:r w:rsidR="00C65FFD">
              <w:t>tourism product</w:t>
            </w:r>
            <w:r w:rsidRPr="003C7CB1">
              <w:t xml:space="preserve"> in the area of </w:t>
            </w:r>
            <w:proofErr w:type="spellStart"/>
            <w:r w:rsidRPr="003C7CB1">
              <w:t>Durmitor</w:t>
            </w:r>
            <w:proofErr w:type="spellEnd"/>
            <w:r w:rsidRPr="003C7CB1">
              <w:t>, which means improving the quality and significantly redesigning the offer and overall infrastructure, in the direction of improving its competitive position as a special tourist destination. In that sense, the commitment is to carefully manage the development of the tourist offer, in such a way that the priority is on the sustainable development of the offer that creates the greatest benefits for the economy, both in terms of income and employment, but also protects the environment</w:t>
            </w:r>
            <w:r w:rsidR="00B16AD6" w:rsidRPr="003C7CB1">
              <w:t>.</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30645373" w14:textId="77777777" w:rsidR="00085FBF" w:rsidRPr="003C7CB1" w:rsidRDefault="00085FBF" w:rsidP="00085FBF">
            <w:pPr>
              <w:spacing w:after="0" w:line="240" w:lineRule="auto"/>
              <w:jc w:val="both"/>
            </w:pPr>
          </w:p>
          <w:p w14:paraId="19AA79C1" w14:textId="7700DFE8" w:rsidR="00916FC9" w:rsidRPr="003C7CB1" w:rsidRDefault="002B23E9" w:rsidP="00861CB1">
            <w:pPr>
              <w:spacing w:line="240" w:lineRule="auto"/>
              <w:jc w:val="both"/>
            </w:pPr>
            <w:bookmarkStart w:id="298" w:name="_Toc88230723"/>
            <w:bookmarkStart w:id="299" w:name="_Toc88760518"/>
            <w:bookmarkStart w:id="300" w:name="_Toc88760705"/>
            <w:bookmarkStart w:id="301" w:name="_Toc88772645"/>
            <w:bookmarkStart w:id="302" w:name="_Toc88772864"/>
            <w:bookmarkStart w:id="303" w:name="_Toc88813220"/>
            <w:bookmarkStart w:id="304" w:name="_Toc89435300"/>
            <w:bookmarkStart w:id="305" w:name="_Toc91284383"/>
            <w:bookmarkStart w:id="306" w:name="_Toc91285574"/>
            <w:bookmarkStart w:id="307" w:name="_Toc91286366"/>
            <w:bookmarkStart w:id="308" w:name="_Toc91286745"/>
            <w:bookmarkStart w:id="309" w:name="_Toc91518830"/>
            <w:bookmarkStart w:id="310" w:name="_Toc91518966"/>
            <w:bookmarkStart w:id="311" w:name="_Toc91521953"/>
            <w:bookmarkStart w:id="312" w:name="_Toc95299984"/>
            <w:bookmarkStart w:id="313" w:name="_Toc95303064"/>
            <w:bookmarkStart w:id="314" w:name="_Toc97902528"/>
            <w:r w:rsidRPr="003C7CB1">
              <w:rPr>
                <w:b/>
              </w:rPr>
              <w:t xml:space="preserve">The </w:t>
            </w:r>
            <w:proofErr w:type="spellStart"/>
            <w:r w:rsidRPr="003C7CB1">
              <w:rPr>
                <w:b/>
              </w:rPr>
              <w:t>Savin</w:t>
            </w:r>
            <w:proofErr w:type="spellEnd"/>
            <w:r w:rsidRPr="003C7CB1">
              <w:rPr>
                <w:b/>
              </w:rPr>
              <w:t xml:space="preserve"> Kuk site</w:t>
            </w:r>
            <w:r w:rsidRPr="003C7CB1">
              <w:t xml:space="preserve"> includes the zone of the existing </w:t>
            </w:r>
            <w:proofErr w:type="spellStart"/>
            <w:r w:rsidRPr="003C7CB1">
              <w:t>Savin</w:t>
            </w:r>
            <w:proofErr w:type="spellEnd"/>
            <w:r w:rsidRPr="003C7CB1">
              <w:t xml:space="preserve"> Kuk ski resort with its immediate surroundings and is planned as a destination of high category and quality offer, intended primarily for visitors engaged in sports and recreation. Reconstruction of the complete existing ski infrastructure is planned. Detailed analysis of this area and investments from several aspects, offers a clear conclusion on the justification and profitability of investments in this locality, but with strict consideration of sustainability in terms of preserving exceptional universal values of World Heritage, or sensitive space where old installations are replaced. The modern ski resort on the </w:t>
            </w:r>
            <w:proofErr w:type="spellStart"/>
            <w:r w:rsidRPr="003C7CB1">
              <w:t>Savin</w:t>
            </w:r>
            <w:proofErr w:type="spellEnd"/>
            <w:r w:rsidRPr="003C7CB1">
              <w:t xml:space="preserve"> </w:t>
            </w:r>
            <w:proofErr w:type="spellStart"/>
            <w:r w:rsidRPr="003C7CB1">
              <w:t>kuk</w:t>
            </w:r>
            <w:proofErr w:type="spellEnd"/>
            <w:r w:rsidRPr="003C7CB1">
              <w:t xml:space="preserve"> site will be put into full function in the planned time interval</w:t>
            </w:r>
            <w:r w:rsidR="00B16AD6" w:rsidRPr="003C7CB1">
              <w:t>.</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00B16AD6" w:rsidRPr="003C7CB1">
              <w:t xml:space="preserve">  </w:t>
            </w:r>
          </w:p>
          <w:p w14:paraId="7B33ECB7" w14:textId="77777777" w:rsidR="00554AE3" w:rsidRPr="003C7CB1" w:rsidRDefault="00554AE3" w:rsidP="00861CB1">
            <w:pPr>
              <w:spacing w:line="240" w:lineRule="auto"/>
              <w:jc w:val="both"/>
            </w:pPr>
            <w:r w:rsidRPr="003C7CB1">
              <w:t xml:space="preserve">It should be noted that the development and economic commitment of one part of the </w:t>
            </w:r>
            <w:proofErr w:type="spellStart"/>
            <w:r w:rsidRPr="003C7CB1">
              <w:t>Durmitor</w:t>
            </w:r>
            <w:proofErr w:type="spellEnd"/>
            <w:r w:rsidRPr="003C7CB1">
              <w:t xml:space="preserve"> area is eco-tourism and agriculture, with controlled use of resources. The valorization of valuable natural and cultural resources creates a rich tourist offer in the entire area of </w:t>
            </w:r>
            <w:proofErr w:type="spellStart"/>
            <w:r w:rsidRPr="003C7CB1">
              <w:t>Durmitor</w:t>
            </w:r>
            <w:proofErr w:type="spellEnd"/>
            <w:r w:rsidRPr="003C7CB1">
              <w:t>.</w:t>
            </w:r>
          </w:p>
          <w:p w14:paraId="120D33C6" w14:textId="77777777" w:rsidR="00554AE3" w:rsidRPr="003C7CB1" w:rsidRDefault="00554AE3" w:rsidP="00861CB1">
            <w:pPr>
              <w:spacing w:line="240" w:lineRule="auto"/>
              <w:jc w:val="both"/>
            </w:pPr>
            <w:r w:rsidRPr="003C7CB1">
              <w:t xml:space="preserve">Current tourism trends are encouraging destinations such as </w:t>
            </w:r>
            <w:proofErr w:type="spellStart"/>
            <w:r w:rsidRPr="003C7CB1">
              <w:t>Durmitor</w:t>
            </w:r>
            <w:proofErr w:type="spellEnd"/>
            <w:r w:rsidRPr="003C7CB1">
              <w:t>, which still has relatively untouched nature, natural resources, rich cultural heritage and a special local culture. The region as a whole can benefit from the growing trend of increased demand for as authentic experiences as possible and the preservation of a special "experience" of the destination on the international market.</w:t>
            </w:r>
          </w:p>
          <w:p w14:paraId="480973DC" w14:textId="1F88002F" w:rsidR="00916FC9" w:rsidRPr="003C7CB1" w:rsidRDefault="00554AE3" w:rsidP="00861CB1">
            <w:pPr>
              <w:spacing w:line="240" w:lineRule="auto"/>
              <w:jc w:val="both"/>
              <w:rPr>
                <w:rFonts w:ascii="Calibri" w:eastAsia="Calibri" w:hAnsi="Calibri" w:cs="Calibri"/>
                <w:color w:val="000000"/>
              </w:rPr>
            </w:pPr>
            <w:proofErr w:type="spellStart"/>
            <w:r w:rsidRPr="003C7CB1">
              <w:rPr>
                <w:rFonts w:ascii="Calibri" w:eastAsia="Calibri" w:hAnsi="Calibri" w:cs="Calibri"/>
                <w:color w:val="000000"/>
              </w:rPr>
              <w:t>Durmitor</w:t>
            </w:r>
            <w:proofErr w:type="spellEnd"/>
            <w:r w:rsidRPr="003C7CB1">
              <w:rPr>
                <w:rFonts w:ascii="Calibri" w:eastAsia="Calibri" w:hAnsi="Calibri" w:cs="Calibri"/>
                <w:color w:val="000000"/>
              </w:rPr>
              <w:t xml:space="preserve"> has the potential to become an example of sustainable eco-tourism through the harmonization of sustainable tourism planning, design and development. The plan proposes the concept of year-round business</w:t>
            </w:r>
            <w:bookmarkStart w:id="315" w:name="_Toc88230726"/>
            <w:bookmarkStart w:id="316" w:name="_Toc88760521"/>
            <w:bookmarkStart w:id="317" w:name="_Toc88760708"/>
            <w:bookmarkStart w:id="318" w:name="_Toc88772648"/>
            <w:bookmarkStart w:id="319" w:name="_Toc88772867"/>
            <w:bookmarkStart w:id="320" w:name="_Toc88813223"/>
            <w:bookmarkStart w:id="321" w:name="_Toc89435303"/>
            <w:bookmarkStart w:id="322" w:name="_Toc91284386"/>
            <w:bookmarkStart w:id="323" w:name="_Toc91285577"/>
            <w:bookmarkStart w:id="324" w:name="_Toc91286369"/>
            <w:bookmarkStart w:id="325" w:name="_Toc91286748"/>
            <w:bookmarkStart w:id="326" w:name="_Toc91518833"/>
            <w:bookmarkStart w:id="327" w:name="_Toc91518969"/>
            <w:bookmarkStart w:id="328" w:name="_Toc91521956"/>
            <w:bookmarkStart w:id="329" w:name="_Toc95299987"/>
            <w:bookmarkStart w:id="330" w:name="_Toc95303067"/>
            <w:bookmarkStart w:id="331" w:name="_Toc97902531"/>
            <w:r w:rsidR="00B16AD6" w:rsidRPr="003C7CB1">
              <w:rPr>
                <w:rFonts w:ascii="Calibri" w:eastAsia="Calibri" w:hAnsi="Calibri" w:cs="Calibri"/>
                <w:color w:val="000000"/>
              </w:rPr>
              <w:t>.</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184A7C41" w14:textId="599C43FF" w:rsidR="00554AE3" w:rsidRPr="003C7CB1" w:rsidRDefault="00554AE3" w:rsidP="00861CB1">
            <w:pPr>
              <w:spacing w:line="240" w:lineRule="auto"/>
              <w:jc w:val="both"/>
              <w:rPr>
                <w:rFonts w:ascii="Calibri" w:eastAsia="Calibri" w:hAnsi="Calibri" w:cs="Calibri"/>
                <w:color w:val="000000"/>
              </w:rPr>
            </w:pPr>
            <w:r w:rsidRPr="003C7CB1">
              <w:rPr>
                <w:rFonts w:ascii="Calibri" w:eastAsia="Calibri" w:hAnsi="Calibri" w:cs="Calibri"/>
                <w:color w:val="000000"/>
              </w:rPr>
              <w:t xml:space="preserve">Investments in the </w:t>
            </w:r>
            <w:proofErr w:type="spellStart"/>
            <w:r w:rsidRPr="003C7CB1">
              <w:rPr>
                <w:rFonts w:ascii="Calibri" w:eastAsia="Calibri" w:hAnsi="Calibri" w:cs="Calibri"/>
                <w:color w:val="000000"/>
              </w:rPr>
              <w:t>Durmitor</w:t>
            </w:r>
            <w:proofErr w:type="spellEnd"/>
            <w:r w:rsidRPr="003C7CB1">
              <w:rPr>
                <w:rFonts w:ascii="Calibri" w:eastAsia="Calibri" w:hAnsi="Calibri" w:cs="Calibri"/>
                <w:color w:val="000000"/>
              </w:rPr>
              <w:t xml:space="preserve"> area will significantly affect the more dynamic economic, social and demographic development with the rational use of natural potentials and resources of the area. First of all, revitalization and economic revival of the existing economy is expected, which will be able to offer better quality products and services to the market. Planning and elaboration of new profitable programs and projects, primarily in tourism, will be interesting for both domestic and foreign investors.</w:t>
            </w:r>
          </w:p>
          <w:p w14:paraId="0E4CA54B" w14:textId="0AF6F390" w:rsidR="007B3399" w:rsidRPr="003C7CB1" w:rsidRDefault="00554AE3" w:rsidP="00861CB1">
            <w:pPr>
              <w:spacing w:line="240" w:lineRule="auto"/>
              <w:jc w:val="both"/>
              <w:rPr>
                <w:rFonts w:ascii="Calibri" w:eastAsia="Calibri" w:hAnsi="Calibri" w:cs="Calibri"/>
                <w:color w:val="000000"/>
              </w:rPr>
            </w:pPr>
            <w:r w:rsidRPr="003C7CB1">
              <w:rPr>
                <w:rFonts w:ascii="Calibri" w:eastAsia="Calibri" w:hAnsi="Calibri" w:cs="Calibri"/>
                <w:color w:val="000000"/>
              </w:rPr>
              <w:t>The new investment policy will also have a positive impact on the revitalization of rural areas and individual farms. This will create an opportunity for the production of significant market surpluses that the rural population will be able to offer primarily to guests and visitors to the Area. The production of biologically appropriate food and domestic products with their branding will increase the income of the rural household</w:t>
            </w:r>
            <w:bookmarkStart w:id="332" w:name="_Toc88230728"/>
            <w:bookmarkStart w:id="333" w:name="_Toc88760523"/>
            <w:bookmarkStart w:id="334" w:name="_Toc88760710"/>
            <w:bookmarkStart w:id="335" w:name="_Toc88772650"/>
            <w:bookmarkStart w:id="336" w:name="_Toc88772869"/>
            <w:bookmarkStart w:id="337" w:name="_Toc88813225"/>
            <w:bookmarkStart w:id="338" w:name="_Toc89435305"/>
            <w:bookmarkStart w:id="339" w:name="_Toc91284388"/>
            <w:bookmarkStart w:id="340" w:name="_Toc91285579"/>
            <w:bookmarkStart w:id="341" w:name="_Toc91286371"/>
            <w:bookmarkStart w:id="342" w:name="_Toc91286750"/>
            <w:bookmarkStart w:id="343" w:name="_Toc91518835"/>
            <w:bookmarkStart w:id="344" w:name="_Toc91518971"/>
            <w:bookmarkStart w:id="345" w:name="_Toc91521958"/>
            <w:bookmarkStart w:id="346" w:name="_Toc95299989"/>
            <w:bookmarkStart w:id="347" w:name="_Toc95303069"/>
            <w:bookmarkStart w:id="348" w:name="_Toc97902533"/>
            <w:r w:rsidR="00C348CE" w:rsidRPr="003C7CB1">
              <w:rPr>
                <w:rFonts w:ascii="Calibri" w:eastAsia="Calibri" w:hAnsi="Calibri" w:cs="Calibri"/>
                <w:color w:val="000000"/>
              </w:rPr>
              <w:t>s</w:t>
            </w:r>
            <w:r w:rsidR="00B16AD6" w:rsidRPr="003C7CB1">
              <w:rPr>
                <w:rFonts w:ascii="Calibri" w:eastAsia="Calibri" w:hAnsi="Calibri" w:cs="Calibri"/>
                <w:color w:val="000000"/>
              </w:rPr>
              <w:t>.</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2D6DE099" w14:textId="77777777" w:rsidR="00B16AD6" w:rsidRPr="003C7CB1" w:rsidRDefault="00B16AD6" w:rsidP="00CD5021">
            <w:pPr>
              <w:spacing w:after="120" w:line="240" w:lineRule="auto"/>
              <w:jc w:val="both"/>
              <w:rPr>
                <w:rFonts w:ascii="Calibri" w:eastAsia="Calibri" w:hAnsi="Calibri" w:cs="Calibri"/>
                <w:b/>
                <w:color w:val="000000"/>
              </w:rPr>
            </w:pPr>
            <w:proofErr w:type="spellStart"/>
            <w:r w:rsidRPr="003C7CB1">
              <w:rPr>
                <w:rFonts w:ascii="Calibri" w:eastAsia="Calibri" w:hAnsi="Calibri" w:cs="Calibri"/>
                <w:b/>
                <w:color w:val="000000"/>
              </w:rPr>
              <w:t>Nikšić</w:t>
            </w:r>
            <w:proofErr w:type="spellEnd"/>
          </w:p>
          <w:p w14:paraId="6B4E29D1" w14:textId="0B32951E" w:rsidR="00B16AD6" w:rsidRPr="003C7CB1" w:rsidRDefault="00C348CE" w:rsidP="00C348CE">
            <w:pPr>
              <w:numPr>
                <w:ilvl w:val="0"/>
                <w:numId w:val="37"/>
              </w:numPr>
              <w:spacing w:after="120" w:line="240" w:lineRule="auto"/>
              <w:jc w:val="both"/>
              <w:rPr>
                <w:rFonts w:ascii="Calibri" w:eastAsia="Calibri" w:hAnsi="Calibri" w:cs="Calibri"/>
                <w:color w:val="000000"/>
              </w:rPr>
            </w:pP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 xml:space="preserve">, through its architectural and urban design, should be adapted to the natural environment and local folk architecture. When organizing tourist accommodation in the rural part of the municipality, it is necessary to respect the local principles of construction, while providing comfort in an authentic environment, formulated on the basis of recognized natural and cultural sights. </w:t>
            </w:r>
            <w:r w:rsidRPr="003C7CB1">
              <w:rPr>
                <w:rFonts w:ascii="Calibri" w:eastAsia="Calibri" w:hAnsi="Calibri" w:cs="Calibri"/>
                <w:color w:val="000000"/>
              </w:rPr>
              <w:lastRenderedPageBreak/>
              <w:t xml:space="preserve">The area of the territory of </w:t>
            </w: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 xml:space="preserve"> should be oriented towards cultural, mountain, religious and sports-recreational tourism</w:t>
            </w:r>
            <w:r w:rsidR="00B16AD6" w:rsidRPr="003C7CB1">
              <w:rPr>
                <w:rFonts w:ascii="Calibri" w:eastAsia="Calibri" w:hAnsi="Calibri" w:cs="Calibri"/>
                <w:color w:val="000000"/>
              </w:rPr>
              <w:t>.</w:t>
            </w:r>
            <w:r w:rsidRPr="003C7CB1">
              <w:rPr>
                <w:rFonts w:ascii="Calibri" w:eastAsia="Calibri" w:hAnsi="Calibri" w:cs="Calibri"/>
                <w:color w:val="000000"/>
              </w:rPr>
              <w:t xml:space="preserve"> </w:t>
            </w:r>
            <w:r w:rsidR="00B16AD6" w:rsidRPr="003C7CB1">
              <w:rPr>
                <w:rFonts w:ascii="Calibri" w:eastAsia="Calibri" w:hAnsi="Calibri" w:cs="Calibri"/>
                <w:color w:val="000000"/>
              </w:rPr>
              <w:t xml:space="preserve">  </w:t>
            </w:r>
          </w:p>
          <w:p w14:paraId="0D1E82AC" w14:textId="4F23F8F9" w:rsidR="00C348CE" w:rsidRPr="003C7CB1" w:rsidRDefault="00C348CE" w:rsidP="00C348C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 xml:space="preserve">The rural area of </w:t>
            </w: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 xml:space="preserve"> represents a significant economic resource that needs to be revitalized through primarily infrastructural equipping of villages and encouragement of the population to connect the tourism and agriculture sectors, through types of tourism such as </w:t>
            </w:r>
            <w:proofErr w:type="spellStart"/>
            <w:r w:rsidRPr="003C7CB1">
              <w:rPr>
                <w:rFonts w:ascii="Calibri" w:eastAsia="Calibri" w:hAnsi="Calibri" w:cs="Calibri"/>
                <w:color w:val="000000"/>
              </w:rPr>
              <w:t>agro</w:t>
            </w:r>
            <w:proofErr w:type="spellEnd"/>
            <w:r w:rsidRPr="003C7CB1">
              <w:rPr>
                <w:rFonts w:ascii="Calibri" w:eastAsia="Calibri" w:hAnsi="Calibri" w:cs="Calibri"/>
                <w:color w:val="000000"/>
              </w:rPr>
              <w:t xml:space="preserve">, rural, </w:t>
            </w:r>
            <w:proofErr w:type="spellStart"/>
            <w:r w:rsidRPr="003C7CB1">
              <w:rPr>
                <w:rFonts w:ascii="Calibri" w:eastAsia="Calibri" w:hAnsi="Calibri" w:cs="Calibri"/>
                <w:color w:val="000000"/>
              </w:rPr>
              <w:t>eno</w:t>
            </w:r>
            <w:proofErr w:type="spellEnd"/>
            <w:r w:rsidRPr="003C7CB1">
              <w:rPr>
                <w:rFonts w:ascii="Calibri" w:eastAsia="Calibri" w:hAnsi="Calibri" w:cs="Calibri"/>
                <w:color w:val="000000"/>
              </w:rPr>
              <w:t>-gastronomic and other types of tourism.</w:t>
            </w:r>
          </w:p>
          <w:p w14:paraId="17AD7953" w14:textId="5CDBCF9A" w:rsidR="00B16AD6" w:rsidRPr="003C7CB1" w:rsidRDefault="00C348CE" w:rsidP="00C348C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 xml:space="preserve">Improvement of accommodation capacities (there are 11 hotels in the municipality of </w:t>
            </w: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 one of which is not in operation, namely the small hotel "</w:t>
            </w:r>
            <w:proofErr w:type="spellStart"/>
            <w:r w:rsidRPr="003C7CB1">
              <w:rPr>
                <w:rFonts w:ascii="Calibri" w:eastAsia="Calibri" w:hAnsi="Calibri" w:cs="Calibri"/>
                <w:color w:val="000000"/>
              </w:rPr>
              <w:t>Glava</w:t>
            </w:r>
            <w:proofErr w:type="spellEnd"/>
            <w:r w:rsidRPr="003C7CB1">
              <w:rPr>
                <w:rFonts w:ascii="Calibri" w:eastAsia="Calibri" w:hAnsi="Calibri" w:cs="Calibri"/>
                <w:color w:val="000000"/>
              </w:rPr>
              <w:t xml:space="preserve"> </w:t>
            </w:r>
            <w:proofErr w:type="spellStart"/>
            <w:r w:rsidRPr="003C7CB1">
              <w:rPr>
                <w:rFonts w:ascii="Calibri" w:eastAsia="Calibri" w:hAnsi="Calibri" w:cs="Calibri"/>
                <w:color w:val="000000"/>
              </w:rPr>
              <w:t>Zete</w:t>
            </w:r>
            <w:proofErr w:type="spellEnd"/>
            <w:r w:rsidRPr="003C7CB1">
              <w:rPr>
                <w:rFonts w:ascii="Calibri" w:eastAsia="Calibri" w:hAnsi="Calibri" w:cs="Calibri"/>
                <w:color w:val="000000"/>
              </w:rPr>
              <w:t>", which needs rehabilitation and upgrading of existing capacities, in terms of forming a high category tourist resort. Favorable position on the river bank, natural environment, and built capacities of sports and recreation in the contact zone, are quality prerequisites for organizing the tourist offer)</w:t>
            </w:r>
            <w:r w:rsidR="00B16AD6" w:rsidRPr="003C7CB1">
              <w:rPr>
                <w:rFonts w:ascii="Calibri" w:eastAsia="Calibri" w:hAnsi="Calibri" w:cs="Calibri"/>
                <w:color w:val="000000"/>
              </w:rPr>
              <w:t>.</w:t>
            </w:r>
          </w:p>
          <w:p w14:paraId="5D6DC15D" w14:textId="77777777" w:rsidR="00C348CE" w:rsidRPr="003C7CB1" w:rsidRDefault="00C348CE" w:rsidP="00C348C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Construction of hostels in the city center (recognizing the existence of this type of tourist facility would affect the improvement of the tourist offer of the city).</w:t>
            </w:r>
          </w:p>
          <w:p w14:paraId="56A005DE" w14:textId="121ECB95" w:rsidR="00C348CE" w:rsidRPr="003C7CB1" w:rsidRDefault="00C348CE" w:rsidP="00C348C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 xml:space="preserve">Mapping of trails and setting up info tourist points (better information about the tourist destination, excellent service, higher attendance, better promotion); construction of a trim trail around </w:t>
            </w:r>
            <w:proofErr w:type="spellStart"/>
            <w:r w:rsidRPr="003C7CB1">
              <w:rPr>
                <w:rFonts w:ascii="Calibri" w:eastAsia="Calibri" w:hAnsi="Calibri" w:cs="Calibri"/>
                <w:color w:val="000000"/>
              </w:rPr>
              <w:t>Trebjesa</w:t>
            </w:r>
            <w:proofErr w:type="spellEnd"/>
            <w:r w:rsidRPr="003C7CB1">
              <w:rPr>
                <w:rFonts w:ascii="Calibri" w:eastAsia="Calibri" w:hAnsi="Calibri" w:cs="Calibri"/>
                <w:color w:val="000000"/>
              </w:rPr>
              <w:t xml:space="preserve"> (established location for recreational running; enriched </w:t>
            </w:r>
            <w:r w:rsidR="00C65FFD">
              <w:rPr>
                <w:rFonts w:ascii="Calibri" w:eastAsia="Calibri" w:hAnsi="Calibri" w:cs="Calibri"/>
                <w:color w:val="000000"/>
              </w:rPr>
              <w:t>tourism product</w:t>
            </w:r>
            <w:r w:rsidRPr="003C7CB1">
              <w:rPr>
                <w:rFonts w:ascii="Calibri" w:eastAsia="Calibri" w:hAnsi="Calibri" w:cs="Calibri"/>
                <w:color w:val="000000"/>
              </w:rPr>
              <w:t xml:space="preserve">; improved psycho-physical health of the citizens of </w:t>
            </w: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 and construction of a bicycle trail.</w:t>
            </w:r>
          </w:p>
          <w:p w14:paraId="6472C179" w14:textId="2DDB5FA0" w:rsidR="00B16AD6" w:rsidRPr="003C7CB1" w:rsidRDefault="00C348CE" w:rsidP="00C348C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Tourist valorization of cultural heritage (protection and promotion of cultural heritage, mapping of cultural-historical, religious buildings and sites in the function of tourism development and tourist visits, as well as improving the condition of religious buildings on the tourist route)</w:t>
            </w:r>
            <w:r w:rsidR="00B16AD6" w:rsidRPr="003C7CB1">
              <w:rPr>
                <w:rFonts w:ascii="Calibri" w:eastAsia="Calibri" w:hAnsi="Calibri" w:cs="Calibri"/>
                <w:color w:val="000000"/>
              </w:rPr>
              <w:t xml:space="preserve">. </w:t>
            </w:r>
          </w:p>
          <w:p w14:paraId="76C81827" w14:textId="0F36B8EA" w:rsidR="0098404E" w:rsidRPr="003C7CB1" w:rsidRDefault="0098404E" w:rsidP="0098404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Improving cultural tourism (at the place where the holiday is spent, it is necessary to get the opportunity to experience culture "live"; the offer should be conceived in such a way that it keeps pace with the living and social environment).</w:t>
            </w:r>
          </w:p>
          <w:p w14:paraId="288C4A83" w14:textId="13D5401E" w:rsidR="00B16AD6" w:rsidRPr="003C7CB1" w:rsidRDefault="0098404E" w:rsidP="0098404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Development of rural tourism - development of rural households and combinations of accommodation, hospitality and agriculture in rural complexes with integration into the host family (language barrier), with the offer of observation and care of domestic animals, with the consumption of local food and drinks, with reasonable prices</w:t>
            </w:r>
            <w:r w:rsidR="00B16AD6" w:rsidRPr="003C7CB1">
              <w:rPr>
                <w:rFonts w:ascii="Calibri" w:eastAsia="Calibri" w:hAnsi="Calibri" w:cs="Calibri"/>
                <w:color w:val="000000"/>
              </w:rPr>
              <w:t>.</w:t>
            </w:r>
          </w:p>
          <w:p w14:paraId="766C7A63" w14:textId="77777777" w:rsidR="0098404E" w:rsidRPr="003C7CB1" w:rsidRDefault="0098404E" w:rsidP="0098404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Development of sports tourism, especially in the off-season, in order to attract as many tourists as possible (best short-term potentials are aviation, sailing, parachuting (tandem jumps) that attract high-paying clientele; another reason is regional and international training camps and competitions; second priority area in which investments are already planned and where there is a need for good marketing are certainly water polo and other water sports.</w:t>
            </w:r>
          </w:p>
          <w:p w14:paraId="618D74D6" w14:textId="13E99C26" w:rsidR="00B16AD6" w:rsidRPr="003C7CB1" w:rsidRDefault="0098404E" w:rsidP="0098404E">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Digital nomads (pay special attention to digital nomads as a separate category that requires specific conditions, excellent internet network that covers most, if not the entire terri</w:t>
            </w:r>
            <w:r w:rsidR="00AE5C5F">
              <w:rPr>
                <w:rFonts w:ascii="Calibri" w:eastAsia="Calibri" w:hAnsi="Calibri" w:cs="Calibri"/>
                <w:color w:val="000000"/>
              </w:rPr>
              <w:t xml:space="preserve">tory of the municipality of </w:t>
            </w:r>
            <w:proofErr w:type="spellStart"/>
            <w:r w:rsidR="00AE5C5F">
              <w:rPr>
                <w:rFonts w:ascii="Calibri" w:eastAsia="Calibri" w:hAnsi="Calibri" w:cs="Calibri"/>
                <w:color w:val="000000"/>
              </w:rPr>
              <w:t>Nikšić</w:t>
            </w:r>
            <w:proofErr w:type="spellEnd"/>
            <w:r w:rsidRPr="003C7CB1">
              <w:rPr>
                <w:rFonts w:ascii="Calibri" w:eastAsia="Calibri" w:hAnsi="Calibri" w:cs="Calibri"/>
                <w:color w:val="000000"/>
              </w:rPr>
              <w:t>) especially in the digitalization of services</w:t>
            </w:r>
            <w:r w:rsidR="00B16AD6" w:rsidRPr="003C7CB1">
              <w:rPr>
                <w:rFonts w:ascii="Calibri" w:eastAsia="Calibri" w:hAnsi="Calibri" w:cs="Calibri"/>
                <w:color w:val="000000"/>
              </w:rPr>
              <w:t>.</w:t>
            </w:r>
          </w:p>
          <w:p w14:paraId="7BC347D1" w14:textId="25EBACCF" w:rsidR="00276F52" w:rsidRPr="003C7CB1" w:rsidRDefault="00276F52" w:rsidP="00276F52">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 xml:space="preserve">The lack of staff capacities was recognized as an obstacle to the development of tourist capacities on the territory of the municipality of </w:t>
            </w: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 xml:space="preserve">. It is necessary to educate and encourage the local population (education of the local population, which owns private farms, to valorize their potentials for tourist purposes, additionally equip them, register and include them in the tourist offer of </w:t>
            </w:r>
            <w:proofErr w:type="spellStart"/>
            <w:r w:rsidRPr="003C7CB1">
              <w:rPr>
                <w:rFonts w:ascii="Calibri" w:eastAsia="Calibri" w:hAnsi="Calibri" w:cs="Calibri"/>
                <w:color w:val="000000"/>
              </w:rPr>
              <w:t>Nikšić</w:t>
            </w:r>
            <w:proofErr w:type="spellEnd"/>
            <w:r w:rsidRPr="003C7CB1">
              <w:rPr>
                <w:rFonts w:ascii="Calibri" w:eastAsia="Calibri" w:hAnsi="Calibri" w:cs="Calibri"/>
                <w:color w:val="000000"/>
              </w:rPr>
              <w:t>).</w:t>
            </w:r>
          </w:p>
          <w:p w14:paraId="3BD34D38" w14:textId="32F9EC39" w:rsidR="00B16AD6" w:rsidRPr="003C7CB1" w:rsidRDefault="00276F52" w:rsidP="00276F52">
            <w:pPr>
              <w:numPr>
                <w:ilvl w:val="0"/>
                <w:numId w:val="37"/>
              </w:numPr>
              <w:spacing w:after="120" w:line="240" w:lineRule="auto"/>
              <w:jc w:val="both"/>
              <w:rPr>
                <w:rFonts w:ascii="Calibri" w:eastAsia="Calibri" w:hAnsi="Calibri" w:cs="Calibri"/>
                <w:color w:val="000000"/>
              </w:rPr>
            </w:pPr>
            <w:r w:rsidRPr="003C7CB1">
              <w:rPr>
                <w:rFonts w:ascii="Calibri" w:eastAsia="Calibri" w:hAnsi="Calibri" w:cs="Calibri"/>
                <w:color w:val="000000"/>
              </w:rPr>
              <w:t>The main threat is the lack of strategic investments in three main areas, namely accommodation capacities, completion and sustainable maintenance of infrastructure and good marketing and sales. It is also necessary to strengthen human resources</w:t>
            </w:r>
            <w:r w:rsidR="00B16AD6" w:rsidRPr="003C7CB1">
              <w:rPr>
                <w:rFonts w:ascii="Calibri" w:eastAsia="Calibri" w:hAnsi="Calibri" w:cs="Calibri"/>
                <w:color w:val="000000"/>
              </w:rPr>
              <w:t>.</w:t>
            </w:r>
          </w:p>
          <w:p w14:paraId="038685D9" w14:textId="08CDC917" w:rsidR="00B16AD6" w:rsidRPr="003C7CB1" w:rsidRDefault="00276F52" w:rsidP="00CD5021">
            <w:pPr>
              <w:spacing w:after="120" w:line="240" w:lineRule="auto"/>
              <w:jc w:val="both"/>
              <w:rPr>
                <w:rFonts w:ascii="Calibri" w:eastAsia="Calibri" w:hAnsi="Calibri" w:cs="Calibri"/>
                <w:b/>
                <w:bCs/>
                <w:color w:val="000000"/>
                <w:u w:val="single"/>
                <w:lang w:eastAsia="hr-HR"/>
              </w:rPr>
            </w:pPr>
            <w:r w:rsidRPr="003C7CB1">
              <w:rPr>
                <w:rFonts w:ascii="Calibri" w:eastAsia="Calibri" w:hAnsi="Calibri" w:cs="Calibri"/>
                <w:b/>
                <w:bCs/>
                <w:color w:val="000000"/>
                <w:u w:val="single"/>
                <w:lang w:eastAsia="hr-HR"/>
              </w:rPr>
              <w:lastRenderedPageBreak/>
              <w:t>Standardization and unification of facilities</w:t>
            </w:r>
            <w:r w:rsidR="00384D5F" w:rsidRPr="003C7CB1">
              <w:rPr>
                <w:rFonts w:ascii="Calibri" w:eastAsia="Calibri" w:hAnsi="Calibri" w:cs="Calibri"/>
                <w:b/>
                <w:bCs/>
                <w:color w:val="000000"/>
                <w:u w:val="single"/>
                <w:lang w:eastAsia="hr-HR"/>
              </w:rPr>
              <w:t xml:space="preserve"> </w:t>
            </w:r>
          </w:p>
          <w:p w14:paraId="7B9ED794" w14:textId="77777777" w:rsidR="00A46F54" w:rsidRPr="003C7CB1" w:rsidRDefault="00A46F54" w:rsidP="00085FBF">
            <w:pPr>
              <w:spacing w:line="240" w:lineRule="auto"/>
              <w:jc w:val="both"/>
            </w:pPr>
            <w:r w:rsidRPr="003C7CB1">
              <w:t xml:space="preserve">The concept of the organization of the space of the </w:t>
            </w:r>
            <w:proofErr w:type="spellStart"/>
            <w:r w:rsidRPr="003C7CB1">
              <w:t>Durmitor</w:t>
            </w:r>
            <w:proofErr w:type="spellEnd"/>
            <w:r w:rsidRPr="003C7CB1">
              <w:t xml:space="preserve"> area envisages revitalization, with a slight upgrade of the existing system of settlements. The revitalization of city cores, rural settlements and katuns is planned, as well as the legalization of illegal settlements that were created mainly as a result of the construction of a large number of cottages in the previous period. One of the basic commitments is the reduction of the scheme of fragmented construction and urban consolidation</w:t>
            </w:r>
          </w:p>
          <w:p w14:paraId="704B12DD" w14:textId="17C1314B" w:rsidR="00916FC9" w:rsidRPr="003C7CB1" w:rsidRDefault="00A46F54" w:rsidP="00085FBF">
            <w:pPr>
              <w:spacing w:line="240" w:lineRule="auto"/>
              <w:jc w:val="both"/>
            </w:pPr>
            <w:r w:rsidRPr="003C7CB1">
              <w:t xml:space="preserve">By nurturing the local architectural typology and presenting the heritage through construction, the </w:t>
            </w:r>
            <w:proofErr w:type="spellStart"/>
            <w:r w:rsidRPr="003C7CB1">
              <w:t>Durmitor</w:t>
            </w:r>
            <w:proofErr w:type="spellEnd"/>
            <w:r w:rsidRPr="003C7CB1">
              <w:t xml:space="preserve"> area creates a recognizable regional identity, and visitors will be able to recognize and experience this area in a special way. This ambience can be a kind of motive for the visit</w:t>
            </w:r>
            <w:bookmarkStart w:id="349" w:name="_Toc88230730"/>
            <w:bookmarkStart w:id="350" w:name="_Toc88760525"/>
            <w:bookmarkStart w:id="351" w:name="_Toc88760712"/>
            <w:bookmarkStart w:id="352" w:name="_Toc88772652"/>
            <w:bookmarkStart w:id="353" w:name="_Toc88772871"/>
            <w:bookmarkStart w:id="354" w:name="_Toc88813227"/>
            <w:bookmarkStart w:id="355" w:name="_Toc89435307"/>
            <w:bookmarkStart w:id="356" w:name="_Toc91284390"/>
            <w:bookmarkStart w:id="357" w:name="_Toc91285581"/>
            <w:bookmarkStart w:id="358" w:name="_Toc91286373"/>
            <w:bookmarkStart w:id="359" w:name="_Toc91286752"/>
            <w:bookmarkStart w:id="360" w:name="_Toc91518837"/>
            <w:bookmarkStart w:id="361" w:name="_Toc91518973"/>
            <w:bookmarkStart w:id="362" w:name="_Toc91521960"/>
            <w:bookmarkStart w:id="363" w:name="_Toc95299991"/>
            <w:bookmarkStart w:id="364" w:name="_Toc95303071"/>
            <w:bookmarkStart w:id="365" w:name="_Toc97902535"/>
            <w:r w:rsidR="00B16AD6" w:rsidRPr="003C7CB1">
              <w:t>.</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37878507" w14:textId="77777777" w:rsidR="004107FB" w:rsidRPr="003C7CB1" w:rsidRDefault="004107FB" w:rsidP="00085FBF">
            <w:pPr>
              <w:spacing w:line="240" w:lineRule="auto"/>
              <w:jc w:val="both"/>
            </w:pPr>
            <w:r w:rsidRPr="003C7CB1">
              <w:t>The design and construction of new facilities should be harmonized with existing typologies. It is necessary to envisage the preservation of the existing fund of buildings, protection of elements of architectural heritage and architectural traditional construction, which will be achieved by defining urban and technical conditions for the reconstruction of existing and construction of new buildings.</w:t>
            </w:r>
          </w:p>
          <w:p w14:paraId="43A8A153" w14:textId="00810B27" w:rsidR="00916FC9" w:rsidRPr="003C7CB1" w:rsidRDefault="004107FB" w:rsidP="00085FBF">
            <w:pPr>
              <w:spacing w:line="240" w:lineRule="auto"/>
              <w:jc w:val="both"/>
            </w:pPr>
            <w:r w:rsidRPr="003C7CB1">
              <w:t>Preservation of the existing housing stock and heritage is a tangible expression of culture, which reminds residents and visitors of the local identity and attracts tourists who are interested in historical and environmental data. Existing facilities should be adapted for residential and tourist accommodation or for commercial purposes, in accordance with folk tradition. Old buildings should be renovated and incorporated into the created ambience of the urban or natural environment with the use of traditional materials and adequate, modern design methods. Modern construction techniques should be used only if they can give results in accordance with the local characteristics of construction</w:t>
            </w:r>
            <w:bookmarkStart w:id="366" w:name="_Toc88230732"/>
            <w:bookmarkStart w:id="367" w:name="_Toc88760527"/>
            <w:bookmarkStart w:id="368" w:name="_Toc88760714"/>
            <w:bookmarkStart w:id="369" w:name="_Toc88772654"/>
            <w:bookmarkStart w:id="370" w:name="_Toc88772873"/>
            <w:bookmarkStart w:id="371" w:name="_Toc88813229"/>
            <w:bookmarkStart w:id="372" w:name="_Toc89435309"/>
            <w:bookmarkStart w:id="373" w:name="_Toc91284392"/>
            <w:bookmarkStart w:id="374" w:name="_Toc91285583"/>
            <w:bookmarkStart w:id="375" w:name="_Toc91286375"/>
            <w:bookmarkStart w:id="376" w:name="_Toc91286754"/>
            <w:bookmarkStart w:id="377" w:name="_Toc91518839"/>
            <w:bookmarkStart w:id="378" w:name="_Toc91518975"/>
            <w:bookmarkStart w:id="379" w:name="_Toc91521962"/>
            <w:bookmarkStart w:id="380" w:name="_Toc95299993"/>
            <w:bookmarkStart w:id="381" w:name="_Toc95303073"/>
            <w:bookmarkStart w:id="382" w:name="_Toc97902537"/>
            <w:r w:rsidR="00B16AD6" w:rsidRPr="003C7CB1">
              <w:t>.</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33BD318A" w14:textId="77777777" w:rsidR="00F156EE" w:rsidRPr="003C7CB1" w:rsidRDefault="00F156EE" w:rsidP="00085FBF">
            <w:pPr>
              <w:spacing w:line="240" w:lineRule="auto"/>
              <w:jc w:val="both"/>
            </w:pPr>
            <w:r w:rsidRPr="003C7CB1">
              <w:t>The architecture of hotel facilities should show a high standard and compliance with the regional architectural typology. Visitors to the area will have high expectations in terms of experiencing the authentic ambience in these facilities. Regulatory factors should emphasize the importance of traditional design for tourism facilities.</w:t>
            </w:r>
          </w:p>
          <w:p w14:paraId="5AE1E8A5" w14:textId="7F62C086" w:rsidR="00B16AD6" w:rsidRPr="003C7CB1" w:rsidRDefault="00F156EE" w:rsidP="00085FBF">
            <w:pPr>
              <w:spacing w:line="240" w:lineRule="auto"/>
              <w:jc w:val="both"/>
            </w:pPr>
            <w:r w:rsidRPr="003C7CB1">
              <w:t xml:space="preserve">There are some outstanding examples of regional architectural heritage in the municipality of </w:t>
            </w:r>
            <w:proofErr w:type="spellStart"/>
            <w:r w:rsidRPr="003C7CB1">
              <w:t>Žabljak</w:t>
            </w:r>
            <w:proofErr w:type="spellEnd"/>
            <w:r w:rsidRPr="003C7CB1">
              <w:t>, however, there is no adequate protection that would allow these resources to be preserved.</w:t>
            </w:r>
          </w:p>
          <w:p w14:paraId="27A6EEE4" w14:textId="60F9351D" w:rsidR="00B16AD6" w:rsidRPr="003C7CB1" w:rsidRDefault="00F156EE" w:rsidP="00085FBF">
            <w:pPr>
              <w:spacing w:after="120" w:line="240" w:lineRule="auto"/>
              <w:jc w:val="both"/>
              <w:rPr>
                <w:rFonts w:ascii="Calibri" w:eastAsia="Calibri" w:hAnsi="Calibri" w:cs="Calibri"/>
                <w:b/>
                <w:bCs/>
                <w:color w:val="000000"/>
                <w:u w:val="single"/>
                <w:lang w:eastAsia="hr-HR"/>
              </w:rPr>
            </w:pPr>
            <w:r w:rsidRPr="003C7CB1">
              <w:rPr>
                <w:rFonts w:ascii="Calibri" w:eastAsia="Calibri" w:hAnsi="Calibri" w:cs="Calibri"/>
                <w:b/>
                <w:bCs/>
                <w:color w:val="000000"/>
                <w:u w:val="single"/>
                <w:lang w:eastAsia="hr-HR"/>
              </w:rPr>
              <w:t>Hotel standards</w:t>
            </w:r>
          </w:p>
          <w:p w14:paraId="17C38F56" w14:textId="13AB88A9" w:rsidR="00F156EE" w:rsidRPr="003C7CB1" w:rsidRDefault="00F156EE" w:rsidP="00085FBF">
            <w:pPr>
              <w:spacing w:line="240" w:lineRule="auto"/>
              <w:jc w:val="both"/>
            </w:pPr>
            <w:r w:rsidRPr="003C7CB1">
              <w:t xml:space="preserve">Given that the hotel's tourist offer has higher </w:t>
            </w:r>
            <w:r w:rsidR="00F0564D">
              <w:t>revenues</w:t>
            </w:r>
            <w:r w:rsidRPr="003C7CB1">
              <w:t xml:space="preserve"> and represents better support to the local economy, the construction of hotel facilities based on eco-tourism has an advantage over the construction of other tourist accommodation. Less building structures are needed for hotel facilities, so the impact on nature and landscapes is smaller.</w:t>
            </w:r>
          </w:p>
          <w:p w14:paraId="62753F06" w14:textId="0FC0D188" w:rsidR="00B16AD6" w:rsidRPr="003C7CB1" w:rsidRDefault="00F156EE" w:rsidP="00085FBF">
            <w:pPr>
              <w:spacing w:line="240" w:lineRule="auto"/>
              <w:jc w:val="both"/>
            </w:pPr>
            <w:r w:rsidRPr="003C7CB1">
              <w:t>Hotel facilities, resorts and other tourist accommodation are expected to be located in the locations of the main attractions, in order to reduce the need to use private cars and transport, and create the possibility of walki</w:t>
            </w:r>
            <w:bookmarkStart w:id="383" w:name="_Toc88230736"/>
            <w:bookmarkStart w:id="384" w:name="_Toc88760531"/>
            <w:bookmarkStart w:id="385" w:name="_Toc88760718"/>
            <w:bookmarkStart w:id="386" w:name="_Toc88772658"/>
            <w:bookmarkStart w:id="387" w:name="_Toc88772877"/>
            <w:bookmarkStart w:id="388" w:name="_Toc88813233"/>
            <w:bookmarkStart w:id="389" w:name="_Toc89435313"/>
            <w:bookmarkStart w:id="390" w:name="_Toc91284396"/>
            <w:bookmarkStart w:id="391" w:name="_Toc91285587"/>
            <w:bookmarkStart w:id="392" w:name="_Toc91286379"/>
            <w:bookmarkStart w:id="393" w:name="_Toc91286758"/>
            <w:bookmarkStart w:id="394" w:name="_Toc91518843"/>
            <w:bookmarkStart w:id="395" w:name="_Toc91518979"/>
            <w:bookmarkStart w:id="396" w:name="_Toc91521966"/>
            <w:bookmarkStart w:id="397" w:name="_Toc95299997"/>
            <w:bookmarkStart w:id="398" w:name="_Toc95303077"/>
            <w:bookmarkStart w:id="399" w:name="_Toc97902541"/>
            <w:r w:rsidRPr="003C7CB1">
              <w:t>ng from one location to another</w:t>
            </w:r>
            <w:r w:rsidR="00B16AD6" w:rsidRPr="003C7CB1">
              <w: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13517107" w14:textId="00FDD23A" w:rsidR="00BA323A" w:rsidRPr="003C7CB1" w:rsidRDefault="00BA323A" w:rsidP="00085FBF">
            <w:pPr>
              <w:spacing w:line="240" w:lineRule="auto"/>
              <w:jc w:val="both"/>
            </w:pPr>
            <w:r w:rsidRPr="003C7CB1">
              <w:t xml:space="preserve">In urban areas, it is necessary to strive for a 4 and </w:t>
            </w:r>
            <w:r w:rsidR="00AE5C5F" w:rsidRPr="003C7CB1">
              <w:t>5-star</w:t>
            </w:r>
            <w:r w:rsidRPr="003C7CB1">
              <w:t xml:space="preserve"> hotel offer. Hotels in urban areas, in addition to basic facilities, need to have an adequate diverse structure of facilities that consists of: primarily congress facilities, wellness centers, theme restaurants, sports fields, and/or other facilities of tourist infrastructure and </w:t>
            </w:r>
            <w:proofErr w:type="spellStart"/>
            <w:r w:rsidRPr="003C7CB1">
              <w:t>supr</w:t>
            </w:r>
            <w:r w:rsidR="0075090E">
              <w:t>a</w:t>
            </w:r>
            <w:r w:rsidRPr="003C7CB1">
              <w:t>structure</w:t>
            </w:r>
            <w:proofErr w:type="spellEnd"/>
            <w:r w:rsidRPr="003C7CB1">
              <w:t>.</w:t>
            </w:r>
          </w:p>
          <w:p w14:paraId="3669E05A" w14:textId="3CE735FC" w:rsidR="00BA323A" w:rsidRPr="003C7CB1" w:rsidRDefault="00BA323A" w:rsidP="00085FBF">
            <w:pPr>
              <w:spacing w:line="240" w:lineRule="auto"/>
              <w:jc w:val="both"/>
            </w:pPr>
            <w:r w:rsidRPr="003C7CB1">
              <w:t xml:space="preserve">In addition to hotel capacities, it is necessary to encourage the development of a larger number of 3-star rural households in the villages and network them with the built panoramic routes, through adequate mappings, in order to obtain a purposeful </w:t>
            </w:r>
            <w:r w:rsidR="00C65FFD">
              <w:t>tourism product</w:t>
            </w:r>
            <w:r w:rsidRPr="003C7CB1">
              <w:t>.</w:t>
            </w:r>
          </w:p>
          <w:p w14:paraId="4644662A" w14:textId="49D78C8A" w:rsidR="00B16AD6" w:rsidRDefault="00BA323A" w:rsidP="00085FBF">
            <w:pPr>
              <w:spacing w:after="0" w:line="240" w:lineRule="auto"/>
              <w:jc w:val="both"/>
            </w:pPr>
            <w:r w:rsidRPr="003C7CB1">
              <w:lastRenderedPageBreak/>
              <w:t>It is necessary to work on increasing the standards of existing accommodation capacities and improving the quality of service in the tourism sector</w:t>
            </w:r>
            <w:bookmarkStart w:id="400" w:name="_Toc88230739"/>
            <w:bookmarkStart w:id="401" w:name="_Toc88760534"/>
            <w:bookmarkStart w:id="402" w:name="_Toc88760721"/>
            <w:bookmarkStart w:id="403" w:name="_Toc88772661"/>
            <w:bookmarkStart w:id="404" w:name="_Toc88772880"/>
            <w:bookmarkStart w:id="405" w:name="_Toc88813236"/>
            <w:bookmarkStart w:id="406" w:name="_Toc89435316"/>
            <w:bookmarkStart w:id="407" w:name="_Toc91284399"/>
            <w:bookmarkStart w:id="408" w:name="_Toc91285590"/>
            <w:bookmarkStart w:id="409" w:name="_Toc91286382"/>
            <w:bookmarkStart w:id="410" w:name="_Toc91286761"/>
            <w:bookmarkStart w:id="411" w:name="_Toc91518846"/>
            <w:bookmarkStart w:id="412" w:name="_Toc91518982"/>
            <w:bookmarkStart w:id="413" w:name="_Toc91521969"/>
            <w:bookmarkStart w:id="414" w:name="_Toc95300000"/>
            <w:bookmarkStart w:id="415" w:name="_Toc95303080"/>
            <w:bookmarkStart w:id="416" w:name="_Toc97902544"/>
            <w:r w:rsidR="00B16AD6" w:rsidRPr="003C7CB1">
              <w: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3C7CB1">
              <w:t xml:space="preserve"> </w:t>
            </w:r>
          </w:p>
          <w:p w14:paraId="6D37664B" w14:textId="77777777" w:rsidR="00085FBF" w:rsidRPr="00085FBF" w:rsidRDefault="00085FBF" w:rsidP="00085FBF">
            <w:pPr>
              <w:spacing w:after="0" w:line="240" w:lineRule="auto"/>
              <w:jc w:val="both"/>
            </w:pPr>
          </w:p>
          <w:p w14:paraId="49102C34" w14:textId="015C3520" w:rsidR="00B16AD6" w:rsidRDefault="00BA323A" w:rsidP="00085FBF">
            <w:pPr>
              <w:spacing w:after="0" w:line="240" w:lineRule="auto"/>
              <w:jc w:val="both"/>
              <w:rPr>
                <w:rFonts w:ascii="Calibri" w:eastAsia="Calibri" w:hAnsi="Calibri" w:cs="Calibri"/>
                <w:b/>
                <w:bCs/>
                <w:color w:val="000000"/>
                <w:u w:val="single"/>
                <w:lang w:eastAsia="hr-HR"/>
              </w:rPr>
            </w:pPr>
            <w:r w:rsidRPr="003C7CB1">
              <w:rPr>
                <w:rFonts w:ascii="Calibri" w:eastAsia="Calibri" w:hAnsi="Calibri" w:cs="Calibri"/>
                <w:b/>
                <w:bCs/>
                <w:color w:val="000000"/>
                <w:u w:val="single"/>
                <w:lang w:eastAsia="hr-HR"/>
              </w:rPr>
              <w:t xml:space="preserve">Infrastructure </w:t>
            </w:r>
          </w:p>
          <w:p w14:paraId="496EB310" w14:textId="77777777" w:rsidR="00085FBF" w:rsidRPr="003C7CB1" w:rsidRDefault="00085FBF" w:rsidP="00085FBF">
            <w:pPr>
              <w:spacing w:after="0" w:line="240" w:lineRule="auto"/>
              <w:jc w:val="both"/>
              <w:rPr>
                <w:rFonts w:ascii="Calibri" w:eastAsia="Calibri" w:hAnsi="Calibri" w:cs="Calibri"/>
                <w:b/>
                <w:bCs/>
                <w:color w:val="000000"/>
                <w:u w:val="single"/>
                <w:lang w:eastAsia="hr-HR"/>
              </w:rPr>
            </w:pPr>
          </w:p>
          <w:p w14:paraId="249F1290" w14:textId="3D9C822F" w:rsidR="00B16AD6" w:rsidRPr="003C7CB1" w:rsidRDefault="00BA323A" w:rsidP="00085FBF">
            <w:pPr>
              <w:spacing w:after="0" w:line="240" w:lineRule="auto"/>
              <w:jc w:val="both"/>
            </w:pPr>
            <w:bookmarkStart w:id="417" w:name="_Toc88230740"/>
            <w:bookmarkStart w:id="418" w:name="_Toc88760535"/>
            <w:bookmarkStart w:id="419" w:name="_Toc88760722"/>
            <w:bookmarkStart w:id="420" w:name="_Toc88772662"/>
            <w:bookmarkStart w:id="421" w:name="_Toc88772881"/>
            <w:bookmarkStart w:id="422" w:name="_Toc88813237"/>
            <w:bookmarkStart w:id="423" w:name="_Toc89435317"/>
            <w:bookmarkStart w:id="424" w:name="_Toc91284400"/>
            <w:bookmarkStart w:id="425" w:name="_Toc91285591"/>
            <w:bookmarkStart w:id="426" w:name="_Toc91286383"/>
            <w:bookmarkStart w:id="427" w:name="_Toc91286762"/>
            <w:bookmarkStart w:id="428" w:name="_Toc91518847"/>
            <w:bookmarkStart w:id="429" w:name="_Toc91518983"/>
            <w:bookmarkStart w:id="430" w:name="_Toc91521970"/>
            <w:bookmarkStart w:id="431" w:name="_Toc95300001"/>
            <w:bookmarkStart w:id="432" w:name="_Toc95303081"/>
            <w:bookmarkStart w:id="433" w:name="_Toc97902545"/>
            <w:r w:rsidRPr="003C7CB1">
              <w:t>The precondition for balanced, quality and long-term sustainable development is the development and improvement of traffic and the overall infrastructure of the cluster in question. Special attention should be paid to the provision of underdeveloped water supply network and lack of wastewater drainage systems (fecal and atmospheric sewage), insufficient sewerage network coverage, lack of wastewater</w:t>
            </w:r>
            <w:r w:rsidR="00283D65" w:rsidRPr="003C7CB1">
              <w:t xml:space="preserve"> treatment system</w:t>
            </w:r>
            <w:r w:rsidRPr="003C7CB1">
              <w:t>, poor quality of local roads in rural areas and poor connectivity of rural areas with the city center</w:t>
            </w:r>
            <w:r w:rsidR="00B16AD6" w:rsidRPr="003C7CB1">
              <w:t>.</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30EFAF29" w14:textId="71E4E67A" w:rsidR="00B16AD6" w:rsidRPr="003C7CB1" w:rsidRDefault="00283D65" w:rsidP="00085FBF">
            <w:pPr>
              <w:spacing w:after="0" w:line="240" w:lineRule="auto"/>
              <w:jc w:val="both"/>
            </w:pPr>
            <w:bookmarkStart w:id="434" w:name="_Toc88230741"/>
            <w:bookmarkStart w:id="435" w:name="_Toc88760536"/>
            <w:bookmarkStart w:id="436" w:name="_Toc88760723"/>
            <w:bookmarkStart w:id="437" w:name="_Toc88772663"/>
            <w:bookmarkStart w:id="438" w:name="_Toc88772882"/>
            <w:bookmarkStart w:id="439" w:name="_Toc88813238"/>
            <w:bookmarkStart w:id="440" w:name="_Toc89435318"/>
            <w:bookmarkStart w:id="441" w:name="_Toc91284401"/>
            <w:bookmarkStart w:id="442" w:name="_Toc91285592"/>
            <w:bookmarkStart w:id="443" w:name="_Toc91286384"/>
            <w:bookmarkStart w:id="444" w:name="_Toc91286763"/>
            <w:bookmarkStart w:id="445" w:name="_Toc91518848"/>
            <w:bookmarkStart w:id="446" w:name="_Toc91518984"/>
            <w:bookmarkStart w:id="447" w:name="_Toc91521971"/>
            <w:bookmarkStart w:id="448" w:name="_Toc95300002"/>
            <w:bookmarkStart w:id="449" w:name="_Toc95303082"/>
            <w:bookmarkStart w:id="450" w:name="_Toc97902546"/>
            <w:r w:rsidRPr="003C7CB1">
              <w:t>It is necessary to work on improving the inadequate and building the missing traffic network, especially the secondary network of roads - collector streets, access streets and parking lots. Suppress the usurpation of public and private property through temporary facilities, which are being built on sidewalks, green and park areas, which prevent safe movement of pedestrians and prevent the planning of areas for movement of persons with special needs</w:t>
            </w:r>
            <w:r w:rsidR="00B16AD6" w:rsidRPr="003C7CB1">
              <w:t>.</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450E8CA5" w14:textId="77777777" w:rsidR="004223AE" w:rsidRPr="003C7CB1" w:rsidRDefault="004223AE" w:rsidP="00085FBF">
            <w:pPr>
              <w:spacing w:after="0" w:line="240" w:lineRule="auto"/>
              <w:jc w:val="both"/>
            </w:pPr>
            <w:r w:rsidRPr="003C7CB1">
              <w:t>Air pollution and noise reduction, which as well as visual disturbances result in increased car traffic, can have a significant impact on the visitor experience in the most picturesque and environmentally sensitive areas. Therefore, it is necessary to offer attractive collective forms of transport, and thus reduce the intensity of private car traffic. A bus or van line should be established to transport passengers to tourist destinations along a defined route.</w:t>
            </w:r>
          </w:p>
          <w:p w14:paraId="15A9499F" w14:textId="5A366391" w:rsidR="00B16AD6" w:rsidRPr="003C7CB1" w:rsidRDefault="004223AE" w:rsidP="00085FBF">
            <w:pPr>
              <w:spacing w:after="0" w:line="240" w:lineRule="auto"/>
              <w:jc w:val="both"/>
            </w:pPr>
            <w:r w:rsidRPr="003C7CB1">
              <w:t>As part of the arrangement of hiking trails, rest areas and lookouts, it is necessary to envisage urban furniture, whose design and materialization should reflect the character of the space and the natural ambience. Vertical traffic signals and information boards should be provided as part of urban furniture</w:t>
            </w:r>
            <w:bookmarkStart w:id="451" w:name="_Toc89435320"/>
            <w:bookmarkStart w:id="452" w:name="_Toc91284403"/>
            <w:bookmarkStart w:id="453" w:name="_Toc91285594"/>
            <w:bookmarkStart w:id="454" w:name="_Toc91286386"/>
            <w:bookmarkStart w:id="455" w:name="_Toc91286765"/>
            <w:bookmarkStart w:id="456" w:name="_Toc91518850"/>
            <w:bookmarkStart w:id="457" w:name="_Toc91518986"/>
            <w:bookmarkStart w:id="458" w:name="_Toc91521973"/>
            <w:bookmarkStart w:id="459" w:name="_Toc95300004"/>
            <w:bookmarkStart w:id="460" w:name="_Toc95303084"/>
            <w:bookmarkStart w:id="461" w:name="_Toc97902548"/>
            <w:bookmarkStart w:id="462" w:name="_Toc88230744"/>
            <w:bookmarkStart w:id="463" w:name="_Toc88760539"/>
            <w:bookmarkStart w:id="464" w:name="_Toc88760726"/>
            <w:bookmarkStart w:id="465" w:name="_Toc88772666"/>
            <w:bookmarkStart w:id="466" w:name="_Toc88772885"/>
            <w:bookmarkStart w:id="467" w:name="_Toc88813241"/>
            <w:r w:rsidR="00B16AD6" w:rsidRPr="003C7CB1">
              <w:t>.</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1A7A0E0A" w14:textId="1602D522" w:rsidR="00B16AD6" w:rsidRPr="003C7CB1" w:rsidRDefault="004223AE" w:rsidP="00085FBF">
            <w:pPr>
              <w:spacing w:after="0" w:line="240" w:lineRule="auto"/>
              <w:jc w:val="both"/>
            </w:pPr>
            <w:r w:rsidRPr="003C7CB1">
              <w:t>It should be envisaged that the system of hiking and biking trails and roads connects settlements and localities into a single chain of experiences, highlighting the beauty of the area, unique views of the mountains, National Park, Regional Nature Park and rural ambience of settlements and katuns. Lookouts and rest areas, as well as information and service points with accompanying facilities should be provided nearby and on the trail itself. At these points, information will be provided on the geographical and natural characteristics of the environment, history, culture and customs, flora and fauna.</w:t>
            </w:r>
            <w:r w:rsidR="00861CB1" w:rsidRPr="003C7CB1">
              <w:t xml:space="preserve"> </w:t>
            </w:r>
          </w:p>
        </w:tc>
      </w:tr>
    </w:tbl>
    <w:p w14:paraId="1429284C" w14:textId="77777777" w:rsidR="001D0A92" w:rsidRPr="003C7CB1" w:rsidRDefault="001D0A92" w:rsidP="00085FBF">
      <w:pPr>
        <w:spacing w:after="0" w:line="240" w:lineRule="auto"/>
        <w:rPr>
          <w:rFonts w:ascii="Calibri" w:eastAsia="Calibri" w:hAnsi="Calibri" w:cs="Calibri"/>
          <w:sz w:val="40"/>
          <w:szCs w:val="40"/>
          <w:lang w:eastAsia="hr-HR"/>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34"/>
      </w:tblGrid>
      <w:tr w:rsidR="00B16AD6" w:rsidRPr="003C7CB1" w14:paraId="5619085A" w14:textId="77777777" w:rsidTr="00B16AD6">
        <w:tc>
          <w:tcPr>
            <w:tcW w:w="9752" w:type="dxa"/>
            <w:gridSpan w:val="2"/>
            <w:shd w:val="clear" w:color="auto" w:fill="D9E2F3" w:themeFill="accent1" w:themeFillTint="33"/>
          </w:tcPr>
          <w:p w14:paraId="758DA5A8" w14:textId="32476361" w:rsidR="00B16AD6" w:rsidRPr="003C7CB1" w:rsidRDefault="004223AE" w:rsidP="00CD5021">
            <w:pPr>
              <w:spacing w:after="120" w:line="240" w:lineRule="auto"/>
              <w:jc w:val="center"/>
              <w:rPr>
                <w:rFonts w:ascii="Calibri" w:eastAsia="Calibri" w:hAnsi="Calibri" w:cs="Calibri"/>
                <w:b/>
                <w:bCs/>
                <w:color w:val="2F5496"/>
                <w:lang w:eastAsia="hr-HR"/>
              </w:rPr>
            </w:pPr>
            <w:r w:rsidRPr="003C7CB1">
              <w:rPr>
                <w:rFonts w:ascii="Calibri" w:eastAsia="Calibri" w:hAnsi="Calibri" w:cs="Calibri"/>
                <w:b/>
                <w:bCs/>
                <w:color w:val="2F5496"/>
                <w:lang w:eastAsia="hr-HR"/>
              </w:rPr>
              <w:t>TOURISM PRODUCT</w:t>
            </w:r>
          </w:p>
        </w:tc>
      </w:tr>
      <w:tr w:rsidR="00B16AD6" w:rsidRPr="003C7CB1" w14:paraId="0AF8A175" w14:textId="77777777" w:rsidTr="00B16AD6">
        <w:tc>
          <w:tcPr>
            <w:tcW w:w="4818" w:type="dxa"/>
            <w:shd w:val="clear" w:color="auto" w:fill="D9E2F3" w:themeFill="accent1" w:themeFillTint="33"/>
          </w:tcPr>
          <w:p w14:paraId="19625B4F" w14:textId="6AD593EB" w:rsidR="00B16AD6" w:rsidRPr="003C7CB1" w:rsidRDefault="004223AE" w:rsidP="00CD5021">
            <w:pPr>
              <w:spacing w:after="120" w:line="240" w:lineRule="auto"/>
              <w:jc w:val="center"/>
              <w:rPr>
                <w:rFonts w:ascii="Calibri" w:eastAsia="Calibri" w:hAnsi="Calibri" w:cs="Calibri"/>
                <w:b/>
                <w:bCs/>
                <w:color w:val="000000"/>
                <w:lang w:eastAsia="hr-HR"/>
              </w:rPr>
            </w:pPr>
            <w:r w:rsidRPr="003C7CB1">
              <w:rPr>
                <w:rFonts w:ascii="Calibri" w:eastAsia="Calibri" w:hAnsi="Calibri" w:cs="Calibri"/>
                <w:b/>
                <w:bCs/>
                <w:color w:val="2F5496"/>
                <w:lang w:eastAsia="hr-HR"/>
              </w:rPr>
              <w:t>Main tourism products</w:t>
            </w:r>
          </w:p>
        </w:tc>
        <w:tc>
          <w:tcPr>
            <w:tcW w:w="4934" w:type="dxa"/>
            <w:shd w:val="clear" w:color="auto" w:fill="D9E2F3" w:themeFill="accent1" w:themeFillTint="33"/>
          </w:tcPr>
          <w:p w14:paraId="6D55ADC7" w14:textId="694C29CE" w:rsidR="00B16AD6" w:rsidRPr="003C7CB1" w:rsidRDefault="004223AE" w:rsidP="00CD5021">
            <w:pPr>
              <w:spacing w:after="120" w:line="240" w:lineRule="auto"/>
              <w:jc w:val="center"/>
              <w:rPr>
                <w:rFonts w:ascii="Calibri" w:eastAsia="Calibri" w:hAnsi="Calibri" w:cs="Calibri"/>
                <w:b/>
                <w:bCs/>
                <w:color w:val="2F5496"/>
                <w:lang w:eastAsia="hr-HR"/>
              </w:rPr>
            </w:pPr>
            <w:r w:rsidRPr="003C7CB1">
              <w:rPr>
                <w:rFonts w:ascii="Calibri" w:eastAsia="Calibri" w:hAnsi="Calibri" w:cs="Calibri"/>
                <w:b/>
                <w:bCs/>
                <w:color w:val="2F5496"/>
                <w:lang w:eastAsia="hr-HR"/>
              </w:rPr>
              <w:t>Additional tourism products</w:t>
            </w:r>
          </w:p>
        </w:tc>
      </w:tr>
      <w:tr w:rsidR="00B16AD6" w:rsidRPr="003C7CB1" w14:paraId="0165E6F9" w14:textId="77777777" w:rsidTr="00B16AD6">
        <w:trPr>
          <w:trHeight w:val="303"/>
        </w:trPr>
        <w:tc>
          <w:tcPr>
            <w:tcW w:w="4818" w:type="dxa"/>
          </w:tcPr>
          <w:p w14:paraId="6A0A3B9D" w14:textId="77777777"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Winter tourism - ski centers</w:t>
            </w:r>
          </w:p>
          <w:p w14:paraId="259DEBAD" w14:textId="19825436"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Protected areas (Piva National Park and Nature Park) with a diversified offer</w:t>
            </w:r>
          </w:p>
          <w:p w14:paraId="36670611" w14:textId="78C4F233"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Nature-based tourism - hiking and mountaineering, cycling, camping, skiing, horseback riding, etc.</w:t>
            </w:r>
          </w:p>
          <w:p w14:paraId="29609930" w14:textId="3B4D4679"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Adventure tourism - rafting, zip line, canyoning, etc.</w:t>
            </w:r>
          </w:p>
          <w:p w14:paraId="79E18633" w14:textId="43257199"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MICE tourism (existing and facilities under construction)</w:t>
            </w:r>
          </w:p>
          <w:p w14:paraId="5BE64278" w14:textId="4066598B"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Rural tourism - rural households and katuns</w:t>
            </w:r>
          </w:p>
          <w:p w14:paraId="44A2AC48" w14:textId="28E263EF" w:rsidR="00B16AD6"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Gastronomic and </w:t>
            </w:r>
            <w:proofErr w:type="spellStart"/>
            <w:r w:rsidRPr="003C7CB1">
              <w:rPr>
                <w:rFonts w:ascii="Calibri" w:eastAsia="Calibri" w:hAnsi="Calibri" w:cs="Calibri"/>
                <w:bCs/>
                <w:color w:val="000000"/>
                <w:lang w:eastAsia="hr-HR"/>
              </w:rPr>
              <w:t>eno</w:t>
            </w:r>
            <w:proofErr w:type="spellEnd"/>
            <w:r w:rsidRPr="003C7CB1">
              <w:rPr>
                <w:rFonts w:ascii="Calibri" w:eastAsia="Calibri" w:hAnsi="Calibri" w:cs="Calibri"/>
                <w:bCs/>
                <w:color w:val="000000"/>
                <w:lang w:eastAsia="hr-HR"/>
              </w:rPr>
              <w:t xml:space="preserve"> tourism</w:t>
            </w:r>
          </w:p>
        </w:tc>
        <w:tc>
          <w:tcPr>
            <w:tcW w:w="4934" w:type="dxa"/>
          </w:tcPr>
          <w:p w14:paraId="54F9A765" w14:textId="1F2623F8"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Eco and </w:t>
            </w:r>
            <w:proofErr w:type="spellStart"/>
            <w:r w:rsidRPr="003C7CB1">
              <w:rPr>
                <w:rFonts w:ascii="Calibri" w:eastAsia="Calibri" w:hAnsi="Calibri" w:cs="Calibri"/>
                <w:bCs/>
                <w:color w:val="000000"/>
                <w:lang w:eastAsia="hr-HR"/>
              </w:rPr>
              <w:t>ethno</w:t>
            </w:r>
            <w:proofErr w:type="spellEnd"/>
            <w:r w:rsidRPr="003C7CB1">
              <w:rPr>
                <w:rFonts w:ascii="Calibri" w:eastAsia="Calibri" w:hAnsi="Calibri" w:cs="Calibri"/>
                <w:bCs/>
                <w:color w:val="000000"/>
                <w:lang w:eastAsia="hr-HR"/>
              </w:rPr>
              <w:t xml:space="preserve"> villages offer, traditional gastronomy</w:t>
            </w:r>
          </w:p>
          <w:p w14:paraId="0897B9F7" w14:textId="142B7043"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Hunting and fishing tourism</w:t>
            </w:r>
          </w:p>
          <w:p w14:paraId="3FC5FE44" w14:textId="0049F00E" w:rsidR="004223AE"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Family tourism</w:t>
            </w:r>
          </w:p>
          <w:p w14:paraId="6641B266" w14:textId="03E70A75" w:rsidR="00B16AD6" w:rsidRPr="003C7CB1" w:rsidRDefault="004223AE" w:rsidP="004223AE">
            <w:pPr>
              <w:numPr>
                <w:ilvl w:val="0"/>
                <w:numId w:val="24"/>
              </w:numPr>
              <w:spacing w:after="120" w:line="240" w:lineRule="auto"/>
              <w:contextualSpacing/>
              <w:jc w:val="both"/>
              <w:rPr>
                <w:rFonts w:ascii="Calibri" w:eastAsia="Calibri" w:hAnsi="Calibri" w:cs="Calibri"/>
                <w:bCs/>
                <w:color w:val="000000"/>
                <w:lang w:eastAsia="hr-HR"/>
              </w:rPr>
            </w:pPr>
            <w:r w:rsidRPr="003C7CB1">
              <w:rPr>
                <w:rFonts w:ascii="Calibri" w:eastAsia="Calibri" w:hAnsi="Calibri" w:cs="Calibri"/>
                <w:bCs/>
                <w:color w:val="000000"/>
                <w:lang w:eastAsia="hr-HR"/>
              </w:rPr>
              <w:t xml:space="preserve">Cultural tourism - religious buildings, </w:t>
            </w:r>
            <w:proofErr w:type="spellStart"/>
            <w:r w:rsidRPr="003C7CB1">
              <w:rPr>
                <w:rFonts w:ascii="Calibri" w:eastAsia="Calibri" w:hAnsi="Calibri" w:cs="Calibri"/>
                <w:bCs/>
                <w:color w:val="000000"/>
                <w:lang w:eastAsia="hr-HR"/>
              </w:rPr>
              <w:t>stećci</w:t>
            </w:r>
            <w:proofErr w:type="spellEnd"/>
            <w:r w:rsidRPr="003C7CB1">
              <w:rPr>
                <w:rFonts w:ascii="Calibri" w:eastAsia="Calibri" w:hAnsi="Calibri" w:cs="Calibri"/>
                <w:bCs/>
                <w:color w:val="000000"/>
                <w:lang w:eastAsia="hr-HR"/>
              </w:rPr>
              <w:t xml:space="preserve"> tombstones and other cultural heritage</w:t>
            </w:r>
          </w:p>
        </w:tc>
      </w:tr>
    </w:tbl>
    <w:p w14:paraId="3D5A91DC" w14:textId="77777777" w:rsidR="006643B5" w:rsidRPr="003C7CB1" w:rsidRDefault="006643B5" w:rsidP="00B16AD6">
      <w:pPr>
        <w:sectPr w:rsidR="006643B5" w:rsidRPr="003C7CB1" w:rsidSect="006643B5">
          <w:headerReference w:type="default" r:id="rId94"/>
          <w:footerReference w:type="default" r:id="rId95"/>
          <w:pgSz w:w="11907" w:h="16840" w:code="9"/>
          <w:pgMar w:top="1134" w:right="1134" w:bottom="1134" w:left="1134" w:header="720" w:footer="720" w:gutter="0"/>
          <w:cols w:space="720"/>
          <w:docGrid w:linePitch="360"/>
        </w:sectPr>
      </w:pPr>
    </w:p>
    <w:p w14:paraId="7C6173E1" w14:textId="77777777" w:rsidR="0091040E" w:rsidRPr="003C7CB1" w:rsidRDefault="0042644B">
      <w:pPr>
        <w:spacing w:after="0" w:line="240" w:lineRule="auto"/>
        <w:sectPr w:rsidR="0091040E" w:rsidRPr="003C7CB1" w:rsidSect="00447086">
          <w:pgSz w:w="11907" w:h="16840" w:code="9"/>
          <w:pgMar w:top="1134" w:right="1134" w:bottom="1134" w:left="1134" w:header="720" w:footer="720" w:gutter="0"/>
          <w:cols w:space="720"/>
          <w:docGrid w:linePitch="360"/>
        </w:sectPr>
      </w:pPr>
      <w:r w:rsidRPr="003C7CB1">
        <w:rPr>
          <w:noProof/>
        </w:rPr>
        <w:lastRenderedPageBreak/>
        <w:drawing>
          <wp:inline distT="0" distB="0" distL="0" distR="0" wp14:anchorId="40E30078" wp14:editId="11C78A3D">
            <wp:extent cx="6120531" cy="865759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16.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120531" cy="8657590"/>
                    </a:xfrm>
                    <a:prstGeom prst="rect">
                      <a:avLst/>
                    </a:prstGeom>
                  </pic:spPr>
                </pic:pic>
              </a:graphicData>
            </a:graphic>
          </wp:inline>
        </w:drawing>
      </w:r>
    </w:p>
    <w:p w14:paraId="569A6FA0" w14:textId="051E5FF5" w:rsidR="00C86AAE" w:rsidRPr="003C7CB1" w:rsidRDefault="00D22269" w:rsidP="00C86AAE">
      <w:pPr>
        <w:pStyle w:val="Heading1"/>
      </w:pPr>
      <w:bookmarkStart w:id="468" w:name="_Toc95303085"/>
      <w:bookmarkStart w:id="469" w:name="_Hlk93926711"/>
      <w:bookmarkStart w:id="470" w:name="_Toc104544223"/>
      <w:r w:rsidRPr="003C7CB1">
        <w:lastRenderedPageBreak/>
        <w:t>1</w:t>
      </w:r>
      <w:r w:rsidR="00717581" w:rsidRPr="003C7CB1">
        <w:t>6</w:t>
      </w:r>
      <w:r w:rsidR="00335566" w:rsidRPr="003C7CB1">
        <w:t xml:space="preserve">. </w:t>
      </w:r>
      <w:bookmarkEnd w:id="246"/>
      <w:bookmarkEnd w:id="468"/>
      <w:r w:rsidR="004223AE" w:rsidRPr="003C7CB1">
        <w:t>STRATEGIC AND OPERATIONAL GOALS OF TOURISM DEVELOPMENT OF MONTENEGRO 2022 - 2025</w:t>
      </w:r>
      <w:bookmarkEnd w:id="470"/>
    </w:p>
    <w:bookmarkEnd w:id="469"/>
    <w:p w14:paraId="4ECC504C" w14:textId="7892F77B" w:rsidR="00A80427" w:rsidRDefault="00BA4E02" w:rsidP="000C59BF">
      <w:pPr>
        <w:spacing w:after="0"/>
        <w:jc w:val="both"/>
        <w:rPr>
          <w:sz w:val="24"/>
          <w:szCs w:val="24"/>
        </w:rPr>
      </w:pPr>
      <w:r w:rsidRPr="003C7CB1">
        <w:rPr>
          <w:sz w:val="24"/>
          <w:szCs w:val="24"/>
        </w:rPr>
        <w:t>Starting from the identified challenges and main obstacles to tourism development identified in the Analysis of Key Problems, the Tourism Development Strategy 2022-2025 defines the following strategic and operational goals to be achieved, as well as the measures by which they will be achieved</w:t>
      </w:r>
      <w:r w:rsidR="000C59BF" w:rsidRPr="003C7CB1">
        <w:rPr>
          <w:sz w:val="24"/>
          <w:szCs w:val="24"/>
        </w:rPr>
        <w:t>.</w:t>
      </w:r>
    </w:p>
    <w:p w14:paraId="392D350D" w14:textId="77777777" w:rsidR="001B1D82" w:rsidRPr="003C7CB1" w:rsidRDefault="001B1D82" w:rsidP="000C59BF">
      <w:pPr>
        <w:spacing w:after="0"/>
        <w:jc w:val="both"/>
        <w:rPr>
          <w:sz w:val="24"/>
          <w:szCs w:val="24"/>
        </w:rPr>
      </w:pPr>
    </w:p>
    <w:tbl>
      <w:tblPr>
        <w:tblStyle w:val="TableGrid3"/>
        <w:tblW w:w="13680" w:type="dxa"/>
        <w:jc w:val="center"/>
        <w:tblLayout w:type="fixed"/>
        <w:tblLook w:val="04A0" w:firstRow="1" w:lastRow="0" w:firstColumn="1" w:lastColumn="0" w:noHBand="0" w:noVBand="1"/>
      </w:tblPr>
      <w:tblGrid>
        <w:gridCol w:w="3420"/>
        <w:gridCol w:w="3420"/>
        <w:gridCol w:w="3420"/>
        <w:gridCol w:w="3420"/>
      </w:tblGrid>
      <w:tr w:rsidR="00A80427" w:rsidRPr="003C7CB1" w14:paraId="38810C8A" w14:textId="77777777" w:rsidTr="00E207B8">
        <w:trPr>
          <w:jc w:val="center"/>
        </w:trPr>
        <w:tc>
          <w:tcPr>
            <w:tcW w:w="13680" w:type="dxa"/>
            <w:gridSpan w:val="4"/>
            <w:shd w:val="clear" w:color="auto" w:fill="C5E0B3" w:themeFill="accent6" w:themeFillTint="66"/>
          </w:tcPr>
          <w:p w14:paraId="55D3DD5C" w14:textId="7E72E2A4" w:rsidR="00A80427" w:rsidRPr="003C7CB1" w:rsidRDefault="00BA4E02" w:rsidP="00E207B8">
            <w:pPr>
              <w:spacing w:after="0" w:line="240" w:lineRule="auto"/>
              <w:jc w:val="center"/>
              <w:rPr>
                <w:rFonts w:ascii="Calibri" w:eastAsia="Calibri" w:hAnsi="Calibri" w:cs="Times New Roman"/>
                <w:b/>
                <w:color w:val="1F3864"/>
                <w:sz w:val="24"/>
                <w:szCs w:val="24"/>
              </w:rPr>
            </w:pPr>
            <w:r w:rsidRPr="003C7CB1">
              <w:rPr>
                <w:rFonts w:ascii="Calibri" w:eastAsia="Calibri" w:hAnsi="Calibri" w:cs="Times New Roman"/>
                <w:b/>
                <w:color w:val="1F3864"/>
                <w:sz w:val="24"/>
                <w:szCs w:val="24"/>
              </w:rPr>
              <w:t>STRATEGIC GOAL</w:t>
            </w:r>
          </w:p>
          <w:p w14:paraId="3BE00643" w14:textId="77777777" w:rsidR="00A80427" w:rsidRPr="003C7CB1" w:rsidRDefault="00A80427" w:rsidP="00E207B8">
            <w:pPr>
              <w:spacing w:after="0" w:line="240" w:lineRule="auto"/>
              <w:jc w:val="center"/>
              <w:rPr>
                <w:rFonts w:ascii="Calibri" w:eastAsia="Calibri" w:hAnsi="Calibri" w:cs="Times New Roman"/>
                <w:b/>
                <w:color w:val="1F3864"/>
                <w:sz w:val="24"/>
                <w:szCs w:val="24"/>
              </w:rPr>
            </w:pPr>
            <w:r w:rsidRPr="003C7CB1">
              <w:rPr>
                <w:rFonts w:ascii="Calibri" w:eastAsia="Calibri" w:hAnsi="Calibri" w:cs="Times New Roman"/>
                <w:b/>
                <w:color w:val="1F3864"/>
                <w:sz w:val="24"/>
                <w:szCs w:val="24"/>
              </w:rPr>
              <w:t xml:space="preserve"> </w:t>
            </w:r>
          </w:p>
          <w:p w14:paraId="10C48B96" w14:textId="69162F25" w:rsidR="00BA4E02" w:rsidRPr="003C7CB1" w:rsidRDefault="00BA4E02" w:rsidP="00BA4E02">
            <w:pPr>
              <w:spacing w:after="0" w:line="240" w:lineRule="auto"/>
              <w:jc w:val="center"/>
              <w:rPr>
                <w:rFonts w:ascii="Calibri" w:eastAsia="Calibri" w:hAnsi="Calibri" w:cs="Times New Roman"/>
                <w:b/>
                <w:color w:val="1F3864"/>
                <w:sz w:val="24"/>
                <w:szCs w:val="24"/>
              </w:rPr>
            </w:pPr>
            <w:r w:rsidRPr="003C7CB1">
              <w:rPr>
                <w:rFonts w:ascii="Calibri" w:eastAsia="Calibri" w:hAnsi="Calibri" w:cs="Times New Roman"/>
                <w:b/>
                <w:color w:val="1F3864"/>
                <w:sz w:val="24"/>
                <w:szCs w:val="24"/>
              </w:rPr>
              <w:t>BY INVESTMENT AND FORMALIZATION OF TOURIS</w:t>
            </w:r>
            <w:r w:rsidR="00402BA4">
              <w:rPr>
                <w:rFonts w:ascii="Calibri" w:eastAsia="Calibri" w:hAnsi="Calibri" w:cs="Times New Roman"/>
                <w:b/>
                <w:color w:val="1F3864"/>
                <w:sz w:val="24"/>
                <w:szCs w:val="24"/>
              </w:rPr>
              <w:t>M TURNOVER</w:t>
            </w:r>
            <w:r w:rsidRPr="003C7CB1">
              <w:rPr>
                <w:rFonts w:ascii="Calibri" w:eastAsia="Calibri" w:hAnsi="Calibri" w:cs="Times New Roman"/>
                <w:b/>
                <w:color w:val="1F3864"/>
                <w:sz w:val="24"/>
                <w:szCs w:val="24"/>
              </w:rPr>
              <w:t>, MONTENEGRO IS AFFIRMED AS A GLOBALLY RECOGNIZED TOURIST DESTINATION WITH REDUCED SEASONALITY OF BUSINESS, MORE MODERATE REGIONAL DISBALANCE</w:t>
            </w:r>
          </w:p>
          <w:p w14:paraId="1C5D0B23" w14:textId="5F2BBB34" w:rsidR="00A80427" w:rsidRPr="003C7CB1" w:rsidRDefault="00BA4E02" w:rsidP="00BA4E02">
            <w:pPr>
              <w:spacing w:after="0" w:line="240" w:lineRule="auto"/>
              <w:jc w:val="center"/>
              <w:rPr>
                <w:rFonts w:ascii="Calibri" w:eastAsia="Calibri" w:hAnsi="Calibri" w:cs="Times New Roman"/>
                <w:b/>
                <w:color w:val="1F3864"/>
                <w:sz w:val="36"/>
                <w:szCs w:val="36"/>
              </w:rPr>
            </w:pPr>
            <w:r w:rsidRPr="003C7CB1">
              <w:rPr>
                <w:rFonts w:ascii="Calibri" w:eastAsia="Calibri" w:hAnsi="Calibri" w:cs="Times New Roman"/>
                <w:b/>
                <w:color w:val="1F3864"/>
                <w:sz w:val="24"/>
                <w:szCs w:val="24"/>
              </w:rPr>
              <w:t>AND PRIORITIZATION OF TOURISM IN DEVELOPMENT POLICIES</w:t>
            </w:r>
            <w:r w:rsidR="00A80427" w:rsidRPr="003C7CB1">
              <w:rPr>
                <w:rFonts w:ascii="Calibri" w:eastAsia="Calibri" w:hAnsi="Calibri" w:cs="Times New Roman"/>
                <w:b/>
                <w:color w:val="1F3864"/>
                <w:sz w:val="24"/>
                <w:szCs w:val="24"/>
              </w:rPr>
              <w:t xml:space="preserve">. </w:t>
            </w:r>
          </w:p>
        </w:tc>
      </w:tr>
      <w:tr w:rsidR="00A80427" w:rsidRPr="003C7CB1" w14:paraId="77F6A037" w14:textId="77777777" w:rsidTr="00E207B8">
        <w:trPr>
          <w:jc w:val="center"/>
        </w:trPr>
        <w:tc>
          <w:tcPr>
            <w:tcW w:w="3420" w:type="dxa"/>
          </w:tcPr>
          <w:p w14:paraId="49CAE745" w14:textId="171E82A8" w:rsidR="00A80427" w:rsidRPr="003C7CB1" w:rsidRDefault="00BA4E02" w:rsidP="00E207B8">
            <w:pPr>
              <w:contextualSpacing/>
              <w:jc w:val="center"/>
              <w:rPr>
                <w:rFonts w:eastAsia="Calibri" w:cs="Calibri"/>
                <w:b/>
              </w:rPr>
            </w:pPr>
            <w:r w:rsidRPr="003C7CB1">
              <w:rPr>
                <w:rFonts w:eastAsia="Calibri" w:cs="Times New Roman"/>
                <w:b/>
                <w:i/>
              </w:rPr>
              <w:t>Impact indicator</w:t>
            </w:r>
          </w:p>
        </w:tc>
        <w:tc>
          <w:tcPr>
            <w:tcW w:w="3420" w:type="dxa"/>
          </w:tcPr>
          <w:p w14:paraId="08171371" w14:textId="649A74F4" w:rsidR="00A80427" w:rsidRPr="003C7CB1" w:rsidRDefault="00161D4C" w:rsidP="00E207B8">
            <w:pPr>
              <w:contextualSpacing/>
              <w:jc w:val="center"/>
              <w:rPr>
                <w:rFonts w:eastAsia="Calibri" w:cs="Calibri"/>
                <w:b/>
              </w:rPr>
            </w:pPr>
            <w:r w:rsidRPr="003C7CB1">
              <w:rPr>
                <w:rFonts w:eastAsia="Calibri" w:cs="Times New Roman"/>
                <w:b/>
                <w:i/>
              </w:rPr>
              <w:t xml:space="preserve">Initial value for </w:t>
            </w:r>
            <w:r w:rsidR="00BA4E02" w:rsidRPr="003C7CB1">
              <w:rPr>
                <w:rFonts w:eastAsia="Calibri" w:cs="Times New Roman"/>
                <w:b/>
                <w:i/>
              </w:rPr>
              <w:t xml:space="preserve">2019 </w:t>
            </w:r>
            <w:r w:rsidR="00A80427" w:rsidRPr="003C7CB1">
              <w:rPr>
                <w:rFonts w:eastAsia="Calibri" w:cs="Times New Roman"/>
                <w:b/>
                <w:i/>
                <w:vertAlign w:val="superscript"/>
              </w:rPr>
              <w:footnoteReference w:id="62"/>
            </w:r>
            <w:r w:rsidR="00A80427" w:rsidRPr="003C7CB1">
              <w:rPr>
                <w:rFonts w:eastAsia="Calibri" w:cs="Times New Roman"/>
                <w:b/>
                <w:i/>
              </w:rPr>
              <w:t xml:space="preserve"> </w:t>
            </w:r>
          </w:p>
        </w:tc>
        <w:tc>
          <w:tcPr>
            <w:tcW w:w="3420" w:type="dxa"/>
          </w:tcPr>
          <w:p w14:paraId="78519390" w14:textId="6934AD76" w:rsidR="00A80427" w:rsidRPr="003C7CB1" w:rsidRDefault="00BA4E02" w:rsidP="00E207B8">
            <w:pPr>
              <w:contextualSpacing/>
              <w:jc w:val="center"/>
              <w:rPr>
                <w:rFonts w:eastAsia="Calibri" w:cs="Calibri"/>
                <w:b/>
              </w:rPr>
            </w:pPr>
            <w:r w:rsidRPr="003C7CB1">
              <w:rPr>
                <w:rFonts w:eastAsia="Calibri" w:cs="Times New Roman"/>
                <w:b/>
                <w:i/>
              </w:rPr>
              <w:t>Target value</w:t>
            </w:r>
            <w:r w:rsidR="00161D4C" w:rsidRPr="003C7CB1">
              <w:rPr>
                <w:rFonts w:eastAsia="Calibri" w:cs="Times New Roman"/>
                <w:b/>
                <w:i/>
              </w:rPr>
              <w:t xml:space="preserve"> for </w:t>
            </w:r>
            <w:r w:rsidRPr="003C7CB1">
              <w:rPr>
                <w:rFonts w:eastAsia="Calibri" w:cs="Times New Roman"/>
                <w:b/>
                <w:i/>
              </w:rPr>
              <w:t>2023</w:t>
            </w:r>
          </w:p>
        </w:tc>
        <w:tc>
          <w:tcPr>
            <w:tcW w:w="3420" w:type="dxa"/>
          </w:tcPr>
          <w:p w14:paraId="6C970062" w14:textId="4C74D596" w:rsidR="00A80427" w:rsidRPr="003C7CB1" w:rsidRDefault="00BA4E02" w:rsidP="00E207B8">
            <w:pPr>
              <w:contextualSpacing/>
              <w:jc w:val="center"/>
              <w:rPr>
                <w:rFonts w:eastAsia="Calibri" w:cs="Calibri"/>
                <w:b/>
              </w:rPr>
            </w:pPr>
            <w:r w:rsidRPr="003C7CB1">
              <w:rPr>
                <w:rFonts w:eastAsia="Calibri" w:cs="Times New Roman"/>
                <w:b/>
                <w:i/>
              </w:rPr>
              <w:t>Target value for 2025</w:t>
            </w:r>
          </w:p>
        </w:tc>
      </w:tr>
      <w:tr w:rsidR="00A80427" w:rsidRPr="003C7CB1" w14:paraId="18B2C9C0" w14:textId="77777777" w:rsidTr="00E207B8">
        <w:trPr>
          <w:jc w:val="center"/>
        </w:trPr>
        <w:tc>
          <w:tcPr>
            <w:tcW w:w="3420" w:type="dxa"/>
          </w:tcPr>
          <w:p w14:paraId="4B6D5E7B" w14:textId="3D9A0E66" w:rsidR="00A80427" w:rsidRPr="003C7CB1" w:rsidRDefault="00BA4E02" w:rsidP="00161D4C">
            <w:pPr>
              <w:contextualSpacing/>
              <w:jc w:val="center"/>
              <w:rPr>
                <w:rFonts w:eastAsia="Calibri" w:cs="Calibri"/>
                <w:b/>
              </w:rPr>
            </w:pPr>
            <w:r w:rsidRPr="003C7CB1">
              <w:rPr>
                <w:rFonts w:eastAsia="Calibri" w:cs="Times New Roman"/>
              </w:rPr>
              <w:t xml:space="preserve">Number of </w:t>
            </w:r>
            <w:r w:rsidR="00161D4C" w:rsidRPr="003C7CB1">
              <w:rPr>
                <w:rFonts w:eastAsia="Calibri" w:cs="Times New Roman"/>
              </w:rPr>
              <w:t>overnight stays</w:t>
            </w:r>
          </w:p>
        </w:tc>
        <w:tc>
          <w:tcPr>
            <w:tcW w:w="3420" w:type="dxa"/>
          </w:tcPr>
          <w:p w14:paraId="3DCE824E" w14:textId="77777777" w:rsidR="00A80427" w:rsidRPr="003C7CB1" w:rsidRDefault="00A80427" w:rsidP="00E207B8">
            <w:pPr>
              <w:contextualSpacing/>
              <w:jc w:val="center"/>
              <w:rPr>
                <w:rFonts w:eastAsia="Calibri" w:cs="Calibri"/>
                <w:b/>
              </w:rPr>
            </w:pPr>
            <w:r w:rsidRPr="003C7CB1">
              <w:rPr>
                <w:rFonts w:eastAsia="Calibri" w:cs="Times New Roman"/>
              </w:rPr>
              <w:t>14,5 mil.</w:t>
            </w:r>
            <w:r w:rsidRPr="003C7CB1">
              <w:rPr>
                <w:rStyle w:val="FootnoteReference"/>
                <w:rFonts w:eastAsia="Calibri" w:cs="Times New Roman"/>
              </w:rPr>
              <w:footnoteReference w:id="63"/>
            </w:r>
            <w:r w:rsidRPr="003C7CB1">
              <w:rPr>
                <w:rFonts w:eastAsia="Calibri" w:cs="Times New Roman"/>
              </w:rPr>
              <w:t xml:space="preserve"> </w:t>
            </w:r>
          </w:p>
        </w:tc>
        <w:tc>
          <w:tcPr>
            <w:tcW w:w="3420" w:type="dxa"/>
          </w:tcPr>
          <w:p w14:paraId="3669BA36" w14:textId="77777777" w:rsidR="00A80427" w:rsidRPr="003C7CB1" w:rsidRDefault="00A80427" w:rsidP="00E207B8">
            <w:pPr>
              <w:contextualSpacing/>
              <w:jc w:val="center"/>
              <w:rPr>
                <w:rFonts w:eastAsia="Calibri" w:cs="Calibri"/>
                <w:b/>
              </w:rPr>
            </w:pPr>
            <w:r w:rsidRPr="003C7CB1">
              <w:rPr>
                <w:rFonts w:eastAsia="Calibri" w:cs="Times New Roman"/>
              </w:rPr>
              <w:t>Index 23/19 – 130</w:t>
            </w:r>
          </w:p>
        </w:tc>
        <w:tc>
          <w:tcPr>
            <w:tcW w:w="3420" w:type="dxa"/>
          </w:tcPr>
          <w:p w14:paraId="11197539" w14:textId="77777777" w:rsidR="00A80427" w:rsidRPr="003C7CB1" w:rsidRDefault="00A80427" w:rsidP="00E207B8">
            <w:pPr>
              <w:contextualSpacing/>
              <w:jc w:val="center"/>
              <w:rPr>
                <w:rFonts w:eastAsia="Calibri" w:cs="Calibri"/>
                <w:b/>
              </w:rPr>
            </w:pPr>
            <w:r w:rsidRPr="003C7CB1">
              <w:rPr>
                <w:rFonts w:eastAsia="Calibri" w:cs="Times New Roman"/>
              </w:rPr>
              <w:t xml:space="preserve">Index 25/19 - 140 </w:t>
            </w:r>
          </w:p>
        </w:tc>
      </w:tr>
      <w:tr w:rsidR="00A80427" w:rsidRPr="003C7CB1" w14:paraId="40853132" w14:textId="77777777" w:rsidTr="00E207B8">
        <w:trPr>
          <w:jc w:val="center"/>
        </w:trPr>
        <w:tc>
          <w:tcPr>
            <w:tcW w:w="3420" w:type="dxa"/>
          </w:tcPr>
          <w:p w14:paraId="1DF28D83" w14:textId="0419DB8E" w:rsidR="00A80427" w:rsidRPr="003C7CB1" w:rsidRDefault="00BA4E02" w:rsidP="00E207B8">
            <w:pPr>
              <w:contextualSpacing/>
              <w:jc w:val="center"/>
              <w:rPr>
                <w:rFonts w:eastAsia="Calibri" w:cs="Calibri"/>
                <w:b/>
              </w:rPr>
            </w:pPr>
            <w:r w:rsidRPr="003C7CB1">
              <w:rPr>
                <w:rFonts w:eastAsia="Calibri" w:cs="Times New Roman"/>
              </w:rPr>
              <w:t>Revenues in tourism</w:t>
            </w:r>
          </w:p>
        </w:tc>
        <w:tc>
          <w:tcPr>
            <w:tcW w:w="3420" w:type="dxa"/>
          </w:tcPr>
          <w:p w14:paraId="7D2BAE5B" w14:textId="027CA96D" w:rsidR="00A80427" w:rsidRPr="003C7CB1" w:rsidRDefault="00BA4E02" w:rsidP="00E207B8">
            <w:pPr>
              <w:contextualSpacing/>
              <w:jc w:val="center"/>
              <w:rPr>
                <w:rFonts w:eastAsia="Calibri" w:cs="Calibri"/>
                <w:b/>
              </w:rPr>
            </w:pPr>
            <w:r w:rsidRPr="003C7CB1">
              <w:rPr>
                <w:rFonts w:eastAsia="Calibri" w:cs="Times New Roman"/>
              </w:rPr>
              <w:t xml:space="preserve">1,140 </w:t>
            </w:r>
            <w:proofErr w:type="spellStart"/>
            <w:r w:rsidRPr="003C7CB1">
              <w:rPr>
                <w:rFonts w:eastAsia="Calibri" w:cs="Times New Roman"/>
              </w:rPr>
              <w:t>bil</w:t>
            </w:r>
            <w:proofErr w:type="spellEnd"/>
            <w:r w:rsidR="00A80427" w:rsidRPr="003C7CB1">
              <w:rPr>
                <w:rFonts w:eastAsia="Calibri" w:cs="Times New Roman"/>
              </w:rPr>
              <w:t>. €</w:t>
            </w:r>
            <w:r w:rsidR="00A80427" w:rsidRPr="003C7CB1">
              <w:rPr>
                <w:rStyle w:val="FootnoteReference"/>
                <w:rFonts w:eastAsia="Calibri" w:cs="Times New Roman"/>
              </w:rPr>
              <w:footnoteReference w:id="64"/>
            </w:r>
          </w:p>
        </w:tc>
        <w:tc>
          <w:tcPr>
            <w:tcW w:w="3420" w:type="dxa"/>
          </w:tcPr>
          <w:p w14:paraId="0FCCDC1D" w14:textId="7E7B9210" w:rsidR="00A80427" w:rsidRPr="003C7CB1" w:rsidRDefault="00A80427" w:rsidP="00E207B8">
            <w:pPr>
              <w:contextualSpacing/>
              <w:jc w:val="center"/>
              <w:rPr>
                <w:rFonts w:eastAsia="Calibri" w:cs="Calibri"/>
                <w:b/>
              </w:rPr>
            </w:pPr>
            <w:r w:rsidRPr="003C7CB1">
              <w:rPr>
                <w:rFonts w:eastAsia="Calibri" w:cs="Times New Roman"/>
              </w:rPr>
              <w:t xml:space="preserve">Index 23/19 </w:t>
            </w:r>
            <w:r w:rsidR="001C5B35" w:rsidRPr="003C7CB1">
              <w:rPr>
                <w:rFonts w:eastAsia="Calibri" w:cs="Times New Roman"/>
              </w:rPr>
              <w:t>–</w:t>
            </w:r>
            <w:r w:rsidRPr="003C7CB1">
              <w:rPr>
                <w:rFonts w:eastAsia="Calibri" w:cs="Times New Roman"/>
              </w:rPr>
              <w:t xml:space="preserve"> 140</w:t>
            </w:r>
          </w:p>
        </w:tc>
        <w:tc>
          <w:tcPr>
            <w:tcW w:w="3420" w:type="dxa"/>
          </w:tcPr>
          <w:p w14:paraId="4124EC2C" w14:textId="77777777" w:rsidR="00A80427" w:rsidRPr="003C7CB1" w:rsidRDefault="00A80427" w:rsidP="00E207B8">
            <w:pPr>
              <w:contextualSpacing/>
              <w:jc w:val="center"/>
              <w:rPr>
                <w:rFonts w:eastAsia="Calibri" w:cs="Calibri"/>
                <w:b/>
              </w:rPr>
            </w:pPr>
            <w:r w:rsidRPr="003C7CB1">
              <w:rPr>
                <w:rFonts w:eastAsia="Calibri" w:cs="Times New Roman"/>
              </w:rPr>
              <w:t>Index 25/19 - 150</w:t>
            </w:r>
          </w:p>
        </w:tc>
      </w:tr>
      <w:tr w:rsidR="00A80427" w:rsidRPr="003C7CB1" w14:paraId="58B22F23" w14:textId="77777777" w:rsidTr="00E207B8">
        <w:trPr>
          <w:jc w:val="center"/>
        </w:trPr>
        <w:tc>
          <w:tcPr>
            <w:tcW w:w="3420" w:type="dxa"/>
          </w:tcPr>
          <w:p w14:paraId="50BD2381" w14:textId="5CD6E188" w:rsidR="00A80427" w:rsidRPr="003C7CB1" w:rsidRDefault="00BA4E02" w:rsidP="00E207B8">
            <w:pPr>
              <w:contextualSpacing/>
              <w:jc w:val="center"/>
              <w:rPr>
                <w:rFonts w:eastAsia="Calibri" w:cs="Calibri"/>
                <w:b/>
              </w:rPr>
            </w:pPr>
            <w:r w:rsidRPr="003C7CB1">
              <w:rPr>
                <w:rFonts w:eastAsia="Calibri" w:cs="Times New Roman"/>
              </w:rPr>
              <w:t>Tourism share in GDP</w:t>
            </w:r>
          </w:p>
        </w:tc>
        <w:tc>
          <w:tcPr>
            <w:tcW w:w="3420" w:type="dxa"/>
          </w:tcPr>
          <w:p w14:paraId="0307EBA0" w14:textId="77777777" w:rsidR="00A80427" w:rsidRPr="003C7CB1" w:rsidRDefault="00A80427" w:rsidP="00E207B8">
            <w:pPr>
              <w:contextualSpacing/>
              <w:jc w:val="center"/>
              <w:rPr>
                <w:rFonts w:eastAsia="Calibri" w:cs="Calibri"/>
                <w:b/>
              </w:rPr>
            </w:pPr>
            <w:r w:rsidRPr="003C7CB1">
              <w:rPr>
                <w:rFonts w:eastAsia="Calibri" w:cs="Times New Roman"/>
              </w:rPr>
              <w:t>31%</w:t>
            </w:r>
          </w:p>
        </w:tc>
        <w:tc>
          <w:tcPr>
            <w:tcW w:w="3420" w:type="dxa"/>
          </w:tcPr>
          <w:p w14:paraId="61E711D8" w14:textId="77777777" w:rsidR="00A80427" w:rsidRPr="003C7CB1" w:rsidRDefault="00A80427" w:rsidP="00E207B8">
            <w:pPr>
              <w:contextualSpacing/>
              <w:jc w:val="center"/>
              <w:rPr>
                <w:rFonts w:eastAsia="Calibri" w:cs="Calibri"/>
                <w:b/>
              </w:rPr>
            </w:pPr>
            <w:r w:rsidRPr="003C7CB1">
              <w:rPr>
                <w:rFonts w:eastAsia="Calibri" w:cs="Times New Roman"/>
              </w:rPr>
              <w:t>20%</w:t>
            </w:r>
            <w:r w:rsidRPr="003C7CB1">
              <w:rPr>
                <w:rFonts w:eastAsia="Calibri" w:cs="Times New Roman"/>
                <w:vertAlign w:val="superscript"/>
              </w:rPr>
              <w:footnoteReference w:id="65"/>
            </w:r>
          </w:p>
        </w:tc>
        <w:tc>
          <w:tcPr>
            <w:tcW w:w="3420" w:type="dxa"/>
          </w:tcPr>
          <w:p w14:paraId="78A47890" w14:textId="77777777" w:rsidR="00A80427" w:rsidRPr="003C7CB1" w:rsidRDefault="00A80427" w:rsidP="00E207B8">
            <w:pPr>
              <w:contextualSpacing/>
              <w:jc w:val="center"/>
              <w:rPr>
                <w:rFonts w:eastAsia="Calibri" w:cs="Calibri"/>
                <w:b/>
              </w:rPr>
            </w:pPr>
            <w:r w:rsidRPr="003C7CB1">
              <w:rPr>
                <w:rFonts w:eastAsia="Calibri" w:cs="Times New Roman"/>
              </w:rPr>
              <w:t>25%</w:t>
            </w:r>
          </w:p>
        </w:tc>
      </w:tr>
    </w:tbl>
    <w:p w14:paraId="74A8A249" w14:textId="4A7BD73C" w:rsidR="00A80427" w:rsidRPr="003C7CB1" w:rsidRDefault="00BA4E02" w:rsidP="009777B5">
      <w:pPr>
        <w:spacing w:after="0" w:line="240" w:lineRule="auto"/>
        <w:jc w:val="both"/>
        <w:rPr>
          <w:sz w:val="24"/>
          <w:szCs w:val="24"/>
        </w:rPr>
      </w:pPr>
      <w:r w:rsidRPr="003C7CB1">
        <w:rPr>
          <w:sz w:val="24"/>
          <w:szCs w:val="24"/>
        </w:rPr>
        <w:t xml:space="preserve">The strategic goal provides guidelines for future activities in the direction of ensuring full and quality valorization of all potentials in a dynamic and optimal way, in accordance with current market circumstances and respecting the principles of sustainability, which relate to operational goals, namely: </w:t>
      </w:r>
      <w:r w:rsidRPr="003C7CB1">
        <w:rPr>
          <w:b/>
          <w:sz w:val="24"/>
          <w:szCs w:val="24"/>
        </w:rPr>
        <w:t xml:space="preserve">improved regulatory framework in tourism with formalization of </w:t>
      </w:r>
      <w:proofErr w:type="spellStart"/>
      <w:r w:rsidRPr="003C7CB1">
        <w:rPr>
          <w:b/>
          <w:sz w:val="24"/>
          <w:szCs w:val="24"/>
        </w:rPr>
        <w:t>touri</w:t>
      </w:r>
      <w:r w:rsidR="00402BA4">
        <w:rPr>
          <w:b/>
          <w:sz w:val="24"/>
          <w:szCs w:val="24"/>
        </w:rPr>
        <w:t>m</w:t>
      </w:r>
      <w:proofErr w:type="spellEnd"/>
      <w:r w:rsidR="00402BA4">
        <w:rPr>
          <w:b/>
          <w:sz w:val="24"/>
          <w:szCs w:val="24"/>
        </w:rPr>
        <w:t xml:space="preserve"> turnover</w:t>
      </w:r>
      <w:r w:rsidRPr="003C7CB1">
        <w:rPr>
          <w:b/>
          <w:sz w:val="24"/>
          <w:szCs w:val="24"/>
        </w:rPr>
        <w:t xml:space="preserve">; improved tourist and accompanying infrastructure and </w:t>
      </w:r>
      <w:proofErr w:type="spellStart"/>
      <w:r w:rsidRPr="003C7CB1">
        <w:rPr>
          <w:b/>
          <w:sz w:val="24"/>
          <w:szCs w:val="24"/>
        </w:rPr>
        <w:t>suprastructure</w:t>
      </w:r>
      <w:proofErr w:type="spellEnd"/>
      <w:r w:rsidRPr="003C7CB1">
        <w:rPr>
          <w:b/>
          <w:sz w:val="24"/>
          <w:szCs w:val="24"/>
        </w:rPr>
        <w:t>; improved quality and quantity of accommodation capacities; improved quality of diversified tourism product; improved human</w:t>
      </w:r>
      <w:r w:rsidR="001B1D82">
        <w:rPr>
          <w:b/>
          <w:sz w:val="24"/>
          <w:szCs w:val="24"/>
        </w:rPr>
        <w:t xml:space="preserve"> </w:t>
      </w:r>
      <w:r w:rsidRPr="003C7CB1">
        <w:rPr>
          <w:b/>
          <w:sz w:val="24"/>
          <w:szCs w:val="24"/>
        </w:rPr>
        <w:t>resources and skills in tourism; development of digital, innovative solutions and new technologies in tourism, and a globally recognized tourist destination</w:t>
      </w:r>
      <w:r w:rsidR="000937A9" w:rsidRPr="003C7CB1">
        <w:rPr>
          <w:b/>
          <w:sz w:val="24"/>
          <w:szCs w:val="24"/>
        </w:rPr>
        <w:t>:</w:t>
      </w:r>
    </w:p>
    <w:p w14:paraId="72DCF700" w14:textId="77777777" w:rsidR="00955065" w:rsidRPr="003C7CB1" w:rsidRDefault="00955065" w:rsidP="000C59BF">
      <w:pPr>
        <w:spacing w:after="0"/>
        <w:jc w:val="both"/>
        <w:rPr>
          <w:sz w:val="24"/>
          <w:szCs w:val="24"/>
        </w:rPr>
      </w:pPr>
    </w:p>
    <w:tbl>
      <w:tblPr>
        <w:tblStyle w:val="TableGrid3"/>
        <w:tblW w:w="13680" w:type="dxa"/>
        <w:jc w:val="center"/>
        <w:tblLayout w:type="fixed"/>
        <w:tblLook w:val="04A0" w:firstRow="1" w:lastRow="0" w:firstColumn="1" w:lastColumn="0" w:noHBand="0" w:noVBand="1"/>
      </w:tblPr>
      <w:tblGrid>
        <w:gridCol w:w="3420"/>
        <w:gridCol w:w="3420"/>
        <w:gridCol w:w="50"/>
        <w:gridCol w:w="3261"/>
        <w:gridCol w:w="109"/>
        <w:gridCol w:w="32"/>
        <w:gridCol w:w="3388"/>
      </w:tblGrid>
      <w:tr w:rsidR="00DB3950" w:rsidRPr="003C7CB1" w14:paraId="3F3F5202" w14:textId="77777777" w:rsidTr="003F5EBE">
        <w:trPr>
          <w:trHeight w:val="668"/>
          <w:jc w:val="center"/>
        </w:trPr>
        <w:tc>
          <w:tcPr>
            <w:tcW w:w="13680" w:type="dxa"/>
            <w:gridSpan w:val="7"/>
            <w:shd w:val="clear" w:color="auto" w:fill="B4C6E7" w:themeFill="accent1" w:themeFillTint="66"/>
          </w:tcPr>
          <w:p w14:paraId="0B97B1D5" w14:textId="77777777" w:rsidR="00DB3950" w:rsidRPr="003C7CB1" w:rsidRDefault="00DB3950" w:rsidP="003F434F">
            <w:pPr>
              <w:contextualSpacing/>
              <w:rPr>
                <w:rFonts w:eastAsia="Calibri" w:cs="Calibri"/>
                <w:b/>
              </w:rPr>
            </w:pPr>
          </w:p>
          <w:p w14:paraId="3FAB6C4B" w14:textId="5A00FC70" w:rsidR="00901665" w:rsidRPr="003C7CB1" w:rsidRDefault="006C3196" w:rsidP="001C4D70">
            <w:pPr>
              <w:spacing w:after="120"/>
              <w:contextualSpacing/>
              <w:jc w:val="center"/>
              <w:rPr>
                <w:rFonts w:eastAsia="Calibri" w:cs="Calibri"/>
                <w:b/>
              </w:rPr>
            </w:pPr>
            <w:r w:rsidRPr="003C7CB1">
              <w:rPr>
                <w:rFonts w:eastAsia="Calibri" w:cs="Calibri"/>
                <w:b/>
              </w:rPr>
              <w:t>Operational goal 1</w:t>
            </w:r>
          </w:p>
          <w:p w14:paraId="51D20CA4" w14:textId="6D86D70C" w:rsidR="00DB3950" w:rsidRPr="003C7CB1" w:rsidRDefault="006C3196" w:rsidP="001C4D70">
            <w:pPr>
              <w:spacing w:after="120"/>
              <w:contextualSpacing/>
              <w:jc w:val="center"/>
              <w:rPr>
                <w:rFonts w:eastAsia="Calibri" w:cs="Calibri"/>
                <w:b/>
              </w:rPr>
            </w:pPr>
            <w:r w:rsidRPr="003C7CB1">
              <w:rPr>
                <w:rFonts w:eastAsia="Calibri" w:cs="Calibri"/>
                <w:b/>
              </w:rPr>
              <w:t>Improved regulatory framework in tourism with formalization of touris</w:t>
            </w:r>
            <w:r w:rsidR="00A42B47">
              <w:rPr>
                <w:rFonts w:eastAsia="Calibri" w:cs="Calibri"/>
                <w:b/>
              </w:rPr>
              <w:t>m turnover</w:t>
            </w:r>
          </w:p>
          <w:p w14:paraId="558DE2B6" w14:textId="52DBB596" w:rsidR="00901665" w:rsidRPr="003C7CB1" w:rsidRDefault="00901665" w:rsidP="00E35851">
            <w:pPr>
              <w:contextualSpacing/>
              <w:jc w:val="center"/>
              <w:rPr>
                <w:rFonts w:eastAsia="Calibri" w:cs="Calibri"/>
                <w:b/>
              </w:rPr>
            </w:pPr>
          </w:p>
        </w:tc>
      </w:tr>
      <w:tr w:rsidR="00DB3950" w:rsidRPr="003C7CB1" w14:paraId="17C42171" w14:textId="77777777" w:rsidTr="00E35851">
        <w:trPr>
          <w:jc w:val="center"/>
        </w:trPr>
        <w:tc>
          <w:tcPr>
            <w:tcW w:w="3420" w:type="dxa"/>
            <w:shd w:val="clear" w:color="auto" w:fill="auto"/>
          </w:tcPr>
          <w:p w14:paraId="7B39F429" w14:textId="5388990F" w:rsidR="00DB3950" w:rsidRPr="003C7CB1" w:rsidRDefault="006C3196" w:rsidP="00E35851">
            <w:pPr>
              <w:spacing w:after="0" w:line="240" w:lineRule="auto"/>
              <w:rPr>
                <w:rFonts w:eastAsia="Calibri" w:cs="Times New Roman"/>
                <w:b/>
                <w:i/>
              </w:rPr>
            </w:pPr>
            <w:r w:rsidRPr="003C7CB1">
              <w:rPr>
                <w:rFonts w:eastAsia="Calibri" w:cs="Times New Roman"/>
                <w:b/>
                <w:i/>
              </w:rPr>
              <w:t>Performance indicator</w:t>
            </w:r>
          </w:p>
        </w:tc>
        <w:tc>
          <w:tcPr>
            <w:tcW w:w="3420" w:type="dxa"/>
            <w:shd w:val="clear" w:color="auto" w:fill="auto"/>
          </w:tcPr>
          <w:p w14:paraId="7958B623" w14:textId="5DD932D6" w:rsidR="00DB3950" w:rsidRPr="003C7CB1" w:rsidRDefault="00161D4C" w:rsidP="003F5EBE">
            <w:pPr>
              <w:spacing w:after="0" w:line="240" w:lineRule="auto"/>
              <w:jc w:val="center"/>
              <w:rPr>
                <w:rFonts w:eastAsia="Calibri" w:cs="Times New Roman"/>
                <w:b/>
              </w:rPr>
            </w:pPr>
            <w:r w:rsidRPr="003C7CB1">
              <w:rPr>
                <w:rFonts w:eastAsia="Calibri" w:cs="Times New Roman"/>
                <w:b/>
              </w:rPr>
              <w:t xml:space="preserve">Initial value  for 2019 </w:t>
            </w:r>
          </w:p>
        </w:tc>
        <w:tc>
          <w:tcPr>
            <w:tcW w:w="3420" w:type="dxa"/>
            <w:gridSpan w:val="3"/>
            <w:shd w:val="clear" w:color="auto" w:fill="auto"/>
          </w:tcPr>
          <w:p w14:paraId="5B50569F" w14:textId="3B8D945B" w:rsidR="00DB3950" w:rsidRPr="003C7CB1" w:rsidRDefault="00161D4C" w:rsidP="003F5EBE">
            <w:pPr>
              <w:spacing w:after="0" w:line="240" w:lineRule="auto"/>
              <w:jc w:val="center"/>
              <w:rPr>
                <w:rFonts w:eastAsia="Calibri" w:cs="Times New Roman"/>
                <w:b/>
              </w:rPr>
            </w:pPr>
            <w:r w:rsidRPr="003C7CB1">
              <w:rPr>
                <w:rFonts w:eastAsia="Calibri" w:cs="Times New Roman"/>
                <w:b/>
              </w:rPr>
              <w:t>Target value for 2023</w:t>
            </w:r>
          </w:p>
        </w:tc>
        <w:tc>
          <w:tcPr>
            <w:tcW w:w="3420" w:type="dxa"/>
            <w:gridSpan w:val="2"/>
            <w:shd w:val="clear" w:color="auto" w:fill="auto"/>
          </w:tcPr>
          <w:p w14:paraId="3417FFFB" w14:textId="60C44365" w:rsidR="00DB3950" w:rsidRPr="003C7CB1" w:rsidRDefault="00161D4C" w:rsidP="003F5EBE">
            <w:pPr>
              <w:spacing w:after="0" w:line="240" w:lineRule="auto"/>
              <w:jc w:val="center"/>
              <w:rPr>
                <w:rFonts w:eastAsia="Calibri" w:cs="Times New Roman"/>
                <w:b/>
              </w:rPr>
            </w:pPr>
            <w:r w:rsidRPr="003C7CB1">
              <w:rPr>
                <w:rFonts w:eastAsia="Calibri" w:cs="Times New Roman"/>
                <w:b/>
              </w:rPr>
              <w:t>Target value for 2025</w:t>
            </w:r>
          </w:p>
        </w:tc>
      </w:tr>
      <w:tr w:rsidR="00DB3950" w:rsidRPr="003C7CB1" w14:paraId="16A7342C" w14:textId="77777777" w:rsidTr="00E35851">
        <w:trPr>
          <w:jc w:val="center"/>
        </w:trPr>
        <w:tc>
          <w:tcPr>
            <w:tcW w:w="3420" w:type="dxa"/>
            <w:shd w:val="clear" w:color="auto" w:fill="auto"/>
          </w:tcPr>
          <w:p w14:paraId="5A43BD0C" w14:textId="3E140573" w:rsidR="00DB3950" w:rsidRPr="003C7CB1" w:rsidRDefault="006C3196" w:rsidP="00E35851">
            <w:pPr>
              <w:spacing w:after="0" w:line="240" w:lineRule="auto"/>
              <w:rPr>
                <w:rFonts w:eastAsia="Calibri" w:cs="Times New Roman"/>
                <w:b/>
                <w:i/>
              </w:rPr>
            </w:pPr>
            <w:r w:rsidRPr="003C7CB1">
              <w:rPr>
                <w:rFonts w:eastAsia="Calibri" w:cs="Times New Roman"/>
                <w:b/>
                <w:i/>
              </w:rPr>
              <w:t xml:space="preserve">Performance indicator No. </w:t>
            </w:r>
            <w:r w:rsidR="00DB3950" w:rsidRPr="003C7CB1">
              <w:rPr>
                <w:rFonts w:eastAsia="Calibri" w:cs="Times New Roman"/>
                <w:b/>
                <w:i/>
              </w:rPr>
              <w:t>1:</w:t>
            </w:r>
          </w:p>
        </w:tc>
        <w:tc>
          <w:tcPr>
            <w:tcW w:w="3420" w:type="dxa"/>
            <w:shd w:val="clear" w:color="auto" w:fill="auto"/>
          </w:tcPr>
          <w:p w14:paraId="73B85CC2" w14:textId="77777777" w:rsidR="00DB3950" w:rsidRPr="003C7CB1" w:rsidRDefault="00DB3950" w:rsidP="00E35851">
            <w:pPr>
              <w:spacing w:after="0" w:line="240" w:lineRule="auto"/>
              <w:rPr>
                <w:rFonts w:eastAsia="Calibri" w:cs="Times New Roman"/>
              </w:rPr>
            </w:pPr>
          </w:p>
        </w:tc>
        <w:tc>
          <w:tcPr>
            <w:tcW w:w="3420" w:type="dxa"/>
            <w:gridSpan w:val="3"/>
            <w:shd w:val="clear" w:color="auto" w:fill="auto"/>
          </w:tcPr>
          <w:p w14:paraId="02CB71CC" w14:textId="77777777" w:rsidR="00DB3950" w:rsidRPr="003C7CB1" w:rsidRDefault="00DB3950" w:rsidP="00E35851">
            <w:pPr>
              <w:spacing w:after="0" w:line="240" w:lineRule="auto"/>
              <w:rPr>
                <w:rFonts w:eastAsia="Calibri" w:cs="Times New Roman"/>
              </w:rPr>
            </w:pPr>
          </w:p>
        </w:tc>
        <w:tc>
          <w:tcPr>
            <w:tcW w:w="3420" w:type="dxa"/>
            <w:gridSpan w:val="2"/>
            <w:shd w:val="clear" w:color="auto" w:fill="auto"/>
          </w:tcPr>
          <w:p w14:paraId="51D94133" w14:textId="77777777" w:rsidR="00DB3950" w:rsidRPr="003C7CB1" w:rsidRDefault="00DB3950" w:rsidP="00E35851">
            <w:pPr>
              <w:spacing w:after="0" w:line="240" w:lineRule="auto"/>
              <w:rPr>
                <w:rFonts w:eastAsia="Calibri" w:cs="Times New Roman"/>
              </w:rPr>
            </w:pPr>
          </w:p>
        </w:tc>
      </w:tr>
      <w:tr w:rsidR="00DB3950" w:rsidRPr="003C7CB1" w14:paraId="15281B58" w14:textId="77777777" w:rsidTr="00E35851">
        <w:trPr>
          <w:jc w:val="center"/>
        </w:trPr>
        <w:tc>
          <w:tcPr>
            <w:tcW w:w="3420" w:type="dxa"/>
            <w:shd w:val="clear" w:color="auto" w:fill="auto"/>
          </w:tcPr>
          <w:p w14:paraId="27894305" w14:textId="7D0206A1" w:rsidR="00DB3950" w:rsidRPr="003C7CB1" w:rsidRDefault="00161D4C" w:rsidP="00E35851">
            <w:pPr>
              <w:spacing w:after="0" w:line="240" w:lineRule="auto"/>
              <w:rPr>
                <w:rFonts w:eastAsia="Calibri" w:cs="Times New Roman"/>
              </w:rPr>
            </w:pPr>
            <w:r w:rsidRPr="003C7CB1">
              <w:rPr>
                <w:rFonts w:eastAsia="Calibri" w:cs="Times New Roman"/>
              </w:rPr>
              <w:t>Number of harmonized laws / bylaws</w:t>
            </w:r>
          </w:p>
        </w:tc>
        <w:tc>
          <w:tcPr>
            <w:tcW w:w="3420" w:type="dxa"/>
            <w:shd w:val="clear" w:color="auto" w:fill="auto"/>
          </w:tcPr>
          <w:p w14:paraId="57DCD1C9" w14:textId="73BA7FFE" w:rsidR="00DB3950" w:rsidRPr="003C7CB1" w:rsidRDefault="00660DED" w:rsidP="003F5EBE">
            <w:pPr>
              <w:spacing w:after="0" w:line="240" w:lineRule="auto"/>
              <w:jc w:val="center"/>
              <w:rPr>
                <w:rFonts w:eastAsia="Calibri" w:cs="Times New Roman"/>
              </w:rPr>
            </w:pPr>
            <w:r w:rsidRPr="003C7CB1">
              <w:rPr>
                <w:rFonts w:eastAsia="Calibri" w:cs="Times New Roman"/>
              </w:rPr>
              <w:t>0</w:t>
            </w:r>
          </w:p>
        </w:tc>
        <w:tc>
          <w:tcPr>
            <w:tcW w:w="3420" w:type="dxa"/>
            <w:gridSpan w:val="3"/>
            <w:shd w:val="clear" w:color="auto" w:fill="auto"/>
          </w:tcPr>
          <w:p w14:paraId="4D68E3FC" w14:textId="47DCDFF9" w:rsidR="00DB3950" w:rsidRPr="003C7CB1" w:rsidRDefault="00DB3950" w:rsidP="003F5EBE">
            <w:pPr>
              <w:spacing w:after="0" w:line="240" w:lineRule="auto"/>
              <w:jc w:val="center"/>
              <w:rPr>
                <w:rFonts w:eastAsia="Calibri" w:cs="Times New Roman"/>
              </w:rPr>
            </w:pPr>
            <w:r w:rsidRPr="003C7CB1">
              <w:rPr>
                <w:rFonts w:eastAsia="Calibri" w:cs="Times New Roman"/>
              </w:rPr>
              <w:t>+</w:t>
            </w:r>
            <w:r w:rsidR="00660DED" w:rsidRPr="003C7CB1">
              <w:rPr>
                <w:rFonts w:eastAsia="Calibri" w:cs="Times New Roman"/>
              </w:rPr>
              <w:t>5</w:t>
            </w:r>
          </w:p>
        </w:tc>
        <w:tc>
          <w:tcPr>
            <w:tcW w:w="3420" w:type="dxa"/>
            <w:gridSpan w:val="2"/>
            <w:shd w:val="clear" w:color="auto" w:fill="auto"/>
          </w:tcPr>
          <w:p w14:paraId="7103AFA7" w14:textId="77777777" w:rsidR="00660DED" w:rsidRPr="003C7CB1" w:rsidRDefault="00660DED" w:rsidP="003F5EBE">
            <w:pPr>
              <w:spacing w:after="0" w:line="240" w:lineRule="auto"/>
              <w:jc w:val="center"/>
              <w:rPr>
                <w:rFonts w:eastAsia="Calibri" w:cs="Times New Roman"/>
              </w:rPr>
            </w:pPr>
            <w:r w:rsidRPr="003C7CB1">
              <w:rPr>
                <w:rFonts w:eastAsia="Calibri" w:cs="Times New Roman"/>
              </w:rPr>
              <w:t xml:space="preserve">+ 2 </w:t>
            </w:r>
          </w:p>
          <w:p w14:paraId="4BFF1DD4" w14:textId="24C2100C" w:rsidR="00DB3950" w:rsidRPr="003C7CB1" w:rsidRDefault="00660DED" w:rsidP="003F5EBE">
            <w:pPr>
              <w:spacing w:after="0" w:line="240" w:lineRule="auto"/>
              <w:jc w:val="center"/>
              <w:rPr>
                <w:rFonts w:eastAsia="Calibri" w:cs="Times New Roman"/>
              </w:rPr>
            </w:pPr>
            <w:r w:rsidRPr="003C7CB1">
              <w:rPr>
                <w:rFonts w:eastAsia="Calibri" w:cs="Times New Roman"/>
              </w:rPr>
              <w:t>(</w:t>
            </w:r>
            <w:r w:rsidR="00161D4C" w:rsidRPr="003C7CB1">
              <w:rPr>
                <w:rFonts w:eastAsia="Calibri" w:cs="Times New Roman"/>
              </w:rPr>
              <w:t>compared to 2023</w:t>
            </w:r>
            <w:r w:rsidRPr="003C7CB1">
              <w:rPr>
                <w:rFonts w:eastAsia="Calibri" w:cs="Times New Roman"/>
              </w:rPr>
              <w:t>)</w:t>
            </w:r>
          </w:p>
        </w:tc>
      </w:tr>
      <w:tr w:rsidR="00DB3950" w:rsidRPr="003C7CB1" w14:paraId="67F2095F" w14:textId="77777777" w:rsidTr="00E35851">
        <w:trPr>
          <w:jc w:val="center"/>
        </w:trPr>
        <w:tc>
          <w:tcPr>
            <w:tcW w:w="3420" w:type="dxa"/>
            <w:shd w:val="clear" w:color="auto" w:fill="auto"/>
          </w:tcPr>
          <w:p w14:paraId="3EADC3D4" w14:textId="36028ACE" w:rsidR="00DB3950" w:rsidRPr="003C7CB1" w:rsidRDefault="006C3196" w:rsidP="00E35851">
            <w:pPr>
              <w:spacing w:after="0" w:line="240" w:lineRule="auto"/>
              <w:rPr>
                <w:rFonts w:eastAsia="Calibri" w:cs="Times New Roman"/>
                <w:b/>
                <w:i/>
              </w:rPr>
            </w:pPr>
            <w:r w:rsidRPr="003C7CB1">
              <w:rPr>
                <w:rFonts w:eastAsia="Calibri" w:cs="Times New Roman"/>
                <w:b/>
                <w:i/>
              </w:rPr>
              <w:t>Performance indicator No.</w:t>
            </w:r>
            <w:r w:rsidR="00AE5C5F">
              <w:rPr>
                <w:rFonts w:eastAsia="Calibri" w:cs="Times New Roman"/>
                <w:b/>
                <w:i/>
              </w:rPr>
              <w:t xml:space="preserve"> </w:t>
            </w:r>
            <w:r w:rsidR="00DB3950" w:rsidRPr="003C7CB1">
              <w:rPr>
                <w:rFonts w:eastAsia="Calibri" w:cs="Times New Roman"/>
                <w:b/>
                <w:i/>
              </w:rPr>
              <w:t>2</w:t>
            </w:r>
            <w:r w:rsidR="00C4378A" w:rsidRPr="003C7CB1">
              <w:rPr>
                <w:rFonts w:eastAsia="Calibri" w:cs="Times New Roman"/>
                <w:b/>
                <w:i/>
              </w:rPr>
              <w:t>:</w:t>
            </w:r>
          </w:p>
        </w:tc>
        <w:tc>
          <w:tcPr>
            <w:tcW w:w="3420" w:type="dxa"/>
            <w:shd w:val="clear" w:color="auto" w:fill="auto"/>
          </w:tcPr>
          <w:p w14:paraId="2B3E7315" w14:textId="77777777" w:rsidR="00DB3950" w:rsidRPr="003C7CB1" w:rsidRDefault="00DB3950" w:rsidP="003F434F">
            <w:pPr>
              <w:spacing w:after="0" w:line="240" w:lineRule="auto"/>
              <w:jc w:val="right"/>
              <w:rPr>
                <w:rFonts w:eastAsia="Calibri" w:cs="Times New Roman"/>
                <w:b/>
              </w:rPr>
            </w:pPr>
          </w:p>
        </w:tc>
        <w:tc>
          <w:tcPr>
            <w:tcW w:w="3420" w:type="dxa"/>
            <w:gridSpan w:val="3"/>
            <w:shd w:val="clear" w:color="auto" w:fill="auto"/>
          </w:tcPr>
          <w:p w14:paraId="15D1C905" w14:textId="77777777" w:rsidR="00DB3950" w:rsidRPr="003C7CB1" w:rsidRDefault="00DB3950" w:rsidP="003F434F">
            <w:pPr>
              <w:spacing w:after="0" w:line="240" w:lineRule="auto"/>
              <w:jc w:val="right"/>
              <w:rPr>
                <w:rFonts w:eastAsia="Calibri" w:cs="Times New Roman"/>
                <w:b/>
              </w:rPr>
            </w:pPr>
          </w:p>
        </w:tc>
        <w:tc>
          <w:tcPr>
            <w:tcW w:w="3420" w:type="dxa"/>
            <w:gridSpan w:val="2"/>
            <w:shd w:val="clear" w:color="auto" w:fill="auto"/>
          </w:tcPr>
          <w:p w14:paraId="2C1976DF" w14:textId="77777777" w:rsidR="00DB3950" w:rsidRPr="003C7CB1" w:rsidRDefault="00DB3950" w:rsidP="003F434F">
            <w:pPr>
              <w:spacing w:after="0" w:line="240" w:lineRule="auto"/>
              <w:jc w:val="right"/>
              <w:rPr>
                <w:rFonts w:eastAsia="Calibri" w:cs="Times New Roman"/>
                <w:b/>
              </w:rPr>
            </w:pPr>
          </w:p>
        </w:tc>
      </w:tr>
      <w:tr w:rsidR="008E3B7F" w:rsidRPr="003C7CB1" w14:paraId="4C7974A2" w14:textId="77777777" w:rsidTr="00E35851">
        <w:trPr>
          <w:jc w:val="center"/>
        </w:trPr>
        <w:tc>
          <w:tcPr>
            <w:tcW w:w="3420" w:type="dxa"/>
            <w:shd w:val="clear" w:color="auto" w:fill="auto"/>
          </w:tcPr>
          <w:p w14:paraId="4B5E82D6" w14:textId="5EA2B83D" w:rsidR="008E3B7F" w:rsidRPr="003C7CB1" w:rsidRDefault="00161D4C" w:rsidP="00E35851">
            <w:pPr>
              <w:spacing w:after="0" w:line="240" w:lineRule="auto"/>
              <w:rPr>
                <w:rFonts w:eastAsia="Calibri" w:cs="Times New Roman"/>
              </w:rPr>
            </w:pPr>
            <w:r w:rsidRPr="003C7CB1">
              <w:rPr>
                <w:rFonts w:eastAsia="Calibri" w:cs="Times New Roman"/>
              </w:rPr>
              <w:t>Increasing the number of tourist overnight stays in the Northern and Central region of Montenegro</w:t>
            </w:r>
          </w:p>
        </w:tc>
        <w:tc>
          <w:tcPr>
            <w:tcW w:w="3420" w:type="dxa"/>
            <w:shd w:val="clear" w:color="auto" w:fill="auto"/>
          </w:tcPr>
          <w:p w14:paraId="7DBC70CF" w14:textId="68506D87" w:rsidR="001977EA" w:rsidRPr="003C7CB1" w:rsidRDefault="008E3B7F" w:rsidP="00572F2C">
            <w:pPr>
              <w:spacing w:after="0" w:line="240" w:lineRule="auto"/>
              <w:jc w:val="center"/>
              <w:rPr>
                <w:rFonts w:eastAsia="Calibri" w:cs="Times New Roman"/>
              </w:rPr>
            </w:pPr>
            <w:r w:rsidRPr="003C7CB1">
              <w:rPr>
                <w:rFonts w:eastAsia="Calibri" w:cs="Times New Roman"/>
              </w:rPr>
              <w:t xml:space="preserve">741.000 </w:t>
            </w:r>
            <w:r w:rsidR="001977EA" w:rsidRPr="003C7CB1">
              <w:rPr>
                <w:rStyle w:val="FootnoteReference"/>
                <w:rFonts w:eastAsia="Calibri" w:cs="Times New Roman"/>
              </w:rPr>
              <w:footnoteReference w:id="66"/>
            </w:r>
          </w:p>
          <w:p w14:paraId="708FA8CF" w14:textId="77777777" w:rsidR="008E3B7F" w:rsidRDefault="00161D4C" w:rsidP="00161D4C">
            <w:pPr>
              <w:spacing w:after="0" w:line="240" w:lineRule="auto"/>
              <w:jc w:val="center"/>
              <w:rPr>
                <w:rFonts w:eastAsia="Calibri" w:cs="Times New Roman"/>
              </w:rPr>
            </w:pPr>
            <w:r w:rsidRPr="003C7CB1">
              <w:rPr>
                <w:rFonts w:eastAsia="Calibri" w:cs="Times New Roman"/>
              </w:rPr>
              <w:t>(number of overnight stays in the Northern and Central region of Montenegro in 2019)</w:t>
            </w:r>
          </w:p>
          <w:p w14:paraId="03CE3937" w14:textId="165907DF" w:rsidR="001B1D82" w:rsidRPr="003C7CB1" w:rsidRDefault="001B1D82" w:rsidP="00161D4C">
            <w:pPr>
              <w:spacing w:after="0" w:line="240" w:lineRule="auto"/>
              <w:jc w:val="center"/>
              <w:rPr>
                <w:rFonts w:eastAsia="Calibri" w:cs="Times New Roman"/>
              </w:rPr>
            </w:pPr>
          </w:p>
        </w:tc>
        <w:tc>
          <w:tcPr>
            <w:tcW w:w="3420" w:type="dxa"/>
            <w:gridSpan w:val="3"/>
            <w:shd w:val="clear" w:color="auto" w:fill="auto"/>
          </w:tcPr>
          <w:p w14:paraId="66C35AC0" w14:textId="77777777" w:rsidR="00D24CA0" w:rsidRPr="003C7CB1" w:rsidRDefault="00D24CA0" w:rsidP="00572F2C">
            <w:pPr>
              <w:spacing w:after="0" w:line="240" w:lineRule="auto"/>
              <w:jc w:val="center"/>
              <w:rPr>
                <w:rFonts w:eastAsia="Calibri" w:cs="Times New Roman"/>
              </w:rPr>
            </w:pPr>
          </w:p>
          <w:p w14:paraId="1975B4EC" w14:textId="5322527D" w:rsidR="008E3B7F" w:rsidRPr="003C7CB1" w:rsidRDefault="00572F2C" w:rsidP="00572F2C">
            <w:pPr>
              <w:spacing w:after="0" w:line="240" w:lineRule="auto"/>
              <w:jc w:val="center"/>
              <w:rPr>
                <w:rFonts w:eastAsia="Calibri" w:cs="Times New Roman"/>
              </w:rPr>
            </w:pPr>
            <w:r w:rsidRPr="003C7CB1">
              <w:rPr>
                <w:rFonts w:eastAsia="Calibri" w:cs="Times New Roman"/>
              </w:rPr>
              <w:t>Index 23/19 – 103</w:t>
            </w:r>
          </w:p>
        </w:tc>
        <w:tc>
          <w:tcPr>
            <w:tcW w:w="3420" w:type="dxa"/>
            <w:gridSpan w:val="2"/>
            <w:shd w:val="clear" w:color="auto" w:fill="auto"/>
          </w:tcPr>
          <w:p w14:paraId="3ACBC4AF" w14:textId="77777777" w:rsidR="00D24CA0" w:rsidRPr="003C7CB1" w:rsidRDefault="00D24CA0" w:rsidP="00572F2C">
            <w:pPr>
              <w:spacing w:after="0" w:line="240" w:lineRule="auto"/>
              <w:jc w:val="center"/>
              <w:rPr>
                <w:rFonts w:eastAsia="Calibri" w:cs="Times New Roman"/>
              </w:rPr>
            </w:pPr>
          </w:p>
          <w:p w14:paraId="53AA6F37" w14:textId="6F7D73AE" w:rsidR="008E3B7F" w:rsidRPr="003C7CB1" w:rsidRDefault="00572F2C" w:rsidP="00572F2C">
            <w:pPr>
              <w:spacing w:after="0" w:line="240" w:lineRule="auto"/>
              <w:jc w:val="center"/>
              <w:rPr>
                <w:rFonts w:eastAsia="Calibri" w:cs="Times New Roman"/>
              </w:rPr>
            </w:pPr>
            <w:r w:rsidRPr="003C7CB1">
              <w:rPr>
                <w:rFonts w:eastAsia="Calibri" w:cs="Times New Roman"/>
              </w:rPr>
              <w:t>Index 25/19 - 105</w:t>
            </w:r>
          </w:p>
        </w:tc>
      </w:tr>
      <w:tr w:rsidR="008E3B7F" w:rsidRPr="003C7CB1" w14:paraId="43236C44" w14:textId="77777777" w:rsidTr="00E35851">
        <w:trPr>
          <w:jc w:val="center"/>
        </w:trPr>
        <w:tc>
          <w:tcPr>
            <w:tcW w:w="13680" w:type="dxa"/>
            <w:gridSpan w:val="7"/>
            <w:shd w:val="clear" w:color="auto" w:fill="B4C6E7" w:themeFill="accent1" w:themeFillTint="66"/>
          </w:tcPr>
          <w:p w14:paraId="6A7C5B04" w14:textId="77777777" w:rsidR="008E3B7F" w:rsidRPr="003C7CB1" w:rsidRDefault="008E3B7F" w:rsidP="00E35851">
            <w:pPr>
              <w:contextualSpacing/>
              <w:jc w:val="center"/>
              <w:rPr>
                <w:rFonts w:eastAsia="Calibri" w:cs="Calibri"/>
                <w:b/>
              </w:rPr>
            </w:pPr>
          </w:p>
          <w:p w14:paraId="24DF1811" w14:textId="67D0648E" w:rsidR="00901665" w:rsidRPr="003C7CB1" w:rsidRDefault="00DD73E8" w:rsidP="001C4D70">
            <w:pPr>
              <w:contextualSpacing/>
              <w:jc w:val="center"/>
              <w:rPr>
                <w:rFonts w:eastAsia="Calibri" w:cs="Calibri"/>
                <w:b/>
              </w:rPr>
            </w:pPr>
            <w:r w:rsidRPr="003C7CB1">
              <w:rPr>
                <w:rFonts w:eastAsia="Calibri" w:cs="Calibri"/>
                <w:b/>
              </w:rPr>
              <w:t xml:space="preserve">Operational goal </w:t>
            </w:r>
            <w:r w:rsidR="008E3B7F" w:rsidRPr="003C7CB1">
              <w:rPr>
                <w:rFonts w:eastAsia="Calibri" w:cs="Calibri"/>
                <w:b/>
              </w:rPr>
              <w:t>2</w:t>
            </w:r>
          </w:p>
          <w:p w14:paraId="4B8B3014" w14:textId="77777777" w:rsidR="00901665" w:rsidRDefault="00161D4C" w:rsidP="003F434F">
            <w:pPr>
              <w:contextualSpacing/>
              <w:jc w:val="center"/>
              <w:rPr>
                <w:rFonts w:eastAsia="Calibri" w:cs="Calibri"/>
                <w:b/>
              </w:rPr>
            </w:pPr>
            <w:r w:rsidRPr="003C7CB1">
              <w:rPr>
                <w:rFonts w:eastAsia="Calibri" w:cs="Calibri"/>
                <w:b/>
              </w:rPr>
              <w:t xml:space="preserve">Improved tourist and accompanying infrastructure and </w:t>
            </w:r>
            <w:proofErr w:type="spellStart"/>
            <w:r w:rsidRPr="003C7CB1">
              <w:rPr>
                <w:rFonts w:eastAsia="Calibri" w:cs="Calibri"/>
                <w:b/>
              </w:rPr>
              <w:t>suprastructure</w:t>
            </w:r>
            <w:proofErr w:type="spellEnd"/>
            <w:r w:rsidRPr="003C7CB1">
              <w:rPr>
                <w:rFonts w:eastAsia="Calibri" w:cs="Calibri"/>
                <w:b/>
              </w:rPr>
              <w:t xml:space="preserve"> </w:t>
            </w:r>
          </w:p>
          <w:p w14:paraId="3FBCA56F" w14:textId="524C133F" w:rsidR="001B1D82" w:rsidRPr="003C7CB1" w:rsidRDefault="001B1D82" w:rsidP="003F434F">
            <w:pPr>
              <w:contextualSpacing/>
              <w:jc w:val="center"/>
              <w:rPr>
                <w:rFonts w:eastAsia="Calibri" w:cs="Calibri"/>
                <w:b/>
              </w:rPr>
            </w:pPr>
          </w:p>
        </w:tc>
      </w:tr>
      <w:tr w:rsidR="008E3B7F" w:rsidRPr="003C7CB1" w14:paraId="0113BA04" w14:textId="77777777" w:rsidTr="00E35851">
        <w:trPr>
          <w:jc w:val="center"/>
        </w:trPr>
        <w:tc>
          <w:tcPr>
            <w:tcW w:w="3420" w:type="dxa"/>
            <w:shd w:val="clear" w:color="auto" w:fill="auto"/>
          </w:tcPr>
          <w:p w14:paraId="40FD377B" w14:textId="36F590D3"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w:t>
            </w:r>
          </w:p>
        </w:tc>
        <w:tc>
          <w:tcPr>
            <w:tcW w:w="3420" w:type="dxa"/>
            <w:shd w:val="clear" w:color="auto" w:fill="auto"/>
          </w:tcPr>
          <w:p w14:paraId="4D464E29" w14:textId="7A8DC316" w:rsidR="008E3B7F" w:rsidRPr="003C7CB1" w:rsidRDefault="00161D4C" w:rsidP="006E592E">
            <w:pPr>
              <w:spacing w:after="0" w:line="240" w:lineRule="auto"/>
              <w:jc w:val="center"/>
              <w:rPr>
                <w:rFonts w:eastAsia="Calibri" w:cs="Times New Roman"/>
                <w:b/>
              </w:rPr>
            </w:pPr>
            <w:r w:rsidRPr="003C7CB1">
              <w:rPr>
                <w:rFonts w:eastAsia="Calibri" w:cs="Times New Roman"/>
                <w:b/>
              </w:rPr>
              <w:t>Initial value for 2021</w:t>
            </w:r>
          </w:p>
        </w:tc>
        <w:tc>
          <w:tcPr>
            <w:tcW w:w="3420" w:type="dxa"/>
            <w:gridSpan w:val="3"/>
            <w:shd w:val="clear" w:color="auto" w:fill="auto"/>
          </w:tcPr>
          <w:p w14:paraId="1D316AFD" w14:textId="18E44E85" w:rsidR="008E3B7F" w:rsidRPr="003C7CB1" w:rsidRDefault="00DD73E8" w:rsidP="006E592E">
            <w:pPr>
              <w:spacing w:after="0" w:line="240" w:lineRule="auto"/>
              <w:jc w:val="center"/>
              <w:rPr>
                <w:rFonts w:eastAsia="Calibri" w:cs="Times New Roman"/>
                <w:b/>
              </w:rPr>
            </w:pPr>
            <w:r w:rsidRPr="003C7CB1">
              <w:rPr>
                <w:rFonts w:eastAsia="Calibri" w:cs="Times New Roman"/>
                <w:b/>
              </w:rPr>
              <w:t>Target value for 2023.</w:t>
            </w:r>
          </w:p>
        </w:tc>
        <w:tc>
          <w:tcPr>
            <w:tcW w:w="3420" w:type="dxa"/>
            <w:gridSpan w:val="2"/>
            <w:shd w:val="clear" w:color="auto" w:fill="auto"/>
          </w:tcPr>
          <w:p w14:paraId="0BE23B90" w14:textId="73FD06BE" w:rsidR="008E3B7F" w:rsidRPr="003C7CB1" w:rsidRDefault="00161D4C" w:rsidP="006E592E">
            <w:pPr>
              <w:spacing w:after="0" w:line="240" w:lineRule="auto"/>
              <w:jc w:val="center"/>
              <w:rPr>
                <w:rFonts w:eastAsia="Calibri" w:cs="Times New Roman"/>
                <w:b/>
              </w:rPr>
            </w:pPr>
            <w:r w:rsidRPr="003C7CB1">
              <w:rPr>
                <w:rFonts w:eastAsia="Calibri" w:cs="Times New Roman"/>
                <w:b/>
              </w:rPr>
              <w:t>Target value for 2025</w:t>
            </w:r>
          </w:p>
        </w:tc>
      </w:tr>
      <w:tr w:rsidR="008E3B7F" w:rsidRPr="003C7CB1" w14:paraId="5DAD7626" w14:textId="77777777" w:rsidTr="00E35851">
        <w:trPr>
          <w:jc w:val="center"/>
        </w:trPr>
        <w:tc>
          <w:tcPr>
            <w:tcW w:w="3420" w:type="dxa"/>
            <w:shd w:val="clear" w:color="auto" w:fill="auto"/>
          </w:tcPr>
          <w:p w14:paraId="6CD3CF7E" w14:textId="36C1DD21"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 No.</w:t>
            </w:r>
            <w:r w:rsidR="00AE5C5F">
              <w:rPr>
                <w:rFonts w:eastAsia="Calibri" w:cs="Times New Roman"/>
                <w:b/>
                <w:i/>
              </w:rPr>
              <w:t xml:space="preserve"> </w:t>
            </w:r>
            <w:r w:rsidR="008E3B7F" w:rsidRPr="003C7CB1">
              <w:rPr>
                <w:rFonts w:eastAsia="Calibri" w:cs="Times New Roman"/>
                <w:b/>
                <w:i/>
              </w:rPr>
              <w:t>1:</w:t>
            </w:r>
          </w:p>
        </w:tc>
        <w:tc>
          <w:tcPr>
            <w:tcW w:w="3420" w:type="dxa"/>
            <w:shd w:val="clear" w:color="auto" w:fill="auto"/>
          </w:tcPr>
          <w:p w14:paraId="14CBFCC7" w14:textId="77777777" w:rsidR="008E3B7F" w:rsidRPr="003C7CB1" w:rsidRDefault="008E3B7F" w:rsidP="00E35851">
            <w:pPr>
              <w:spacing w:after="0" w:line="240" w:lineRule="auto"/>
              <w:rPr>
                <w:rFonts w:eastAsia="Calibri" w:cs="Times New Roman"/>
              </w:rPr>
            </w:pPr>
          </w:p>
        </w:tc>
        <w:tc>
          <w:tcPr>
            <w:tcW w:w="3420" w:type="dxa"/>
            <w:gridSpan w:val="3"/>
            <w:shd w:val="clear" w:color="auto" w:fill="auto"/>
          </w:tcPr>
          <w:p w14:paraId="70AD21CD" w14:textId="77777777" w:rsidR="008E3B7F" w:rsidRPr="003C7CB1" w:rsidRDefault="008E3B7F" w:rsidP="00E35851">
            <w:pPr>
              <w:spacing w:after="0" w:line="240" w:lineRule="auto"/>
              <w:rPr>
                <w:rFonts w:eastAsia="Calibri" w:cs="Times New Roman"/>
              </w:rPr>
            </w:pPr>
          </w:p>
        </w:tc>
        <w:tc>
          <w:tcPr>
            <w:tcW w:w="3420" w:type="dxa"/>
            <w:gridSpan w:val="2"/>
            <w:shd w:val="clear" w:color="auto" w:fill="auto"/>
          </w:tcPr>
          <w:p w14:paraId="3CF6A890" w14:textId="77777777" w:rsidR="008E3B7F" w:rsidRPr="003C7CB1" w:rsidRDefault="008E3B7F" w:rsidP="00E35851">
            <w:pPr>
              <w:spacing w:after="0" w:line="240" w:lineRule="auto"/>
              <w:rPr>
                <w:rFonts w:eastAsia="Calibri" w:cs="Times New Roman"/>
              </w:rPr>
            </w:pPr>
          </w:p>
        </w:tc>
      </w:tr>
      <w:tr w:rsidR="00F00E38" w:rsidRPr="003C7CB1" w14:paraId="2F38FB1D" w14:textId="77777777" w:rsidTr="00E207B8">
        <w:trPr>
          <w:trHeight w:val="826"/>
          <w:jc w:val="center"/>
        </w:trPr>
        <w:tc>
          <w:tcPr>
            <w:tcW w:w="3420" w:type="dxa"/>
            <w:shd w:val="clear" w:color="auto" w:fill="auto"/>
          </w:tcPr>
          <w:p w14:paraId="6AB46918" w14:textId="77777777" w:rsidR="00F00E38" w:rsidRPr="003C7CB1" w:rsidRDefault="00F00E38" w:rsidP="00E35851">
            <w:pPr>
              <w:spacing w:after="0" w:line="240" w:lineRule="auto"/>
              <w:rPr>
                <w:rFonts w:eastAsia="Calibri" w:cs="Times New Roman"/>
              </w:rPr>
            </w:pPr>
          </w:p>
          <w:p w14:paraId="629A87D7" w14:textId="4E75D1B9" w:rsidR="00F00E38" w:rsidRPr="003C7CB1" w:rsidRDefault="00161D4C" w:rsidP="00E35851">
            <w:pPr>
              <w:spacing w:after="0" w:line="240" w:lineRule="auto"/>
              <w:rPr>
                <w:rFonts w:eastAsia="Calibri" w:cs="Times New Roman"/>
              </w:rPr>
            </w:pPr>
            <w:r w:rsidRPr="003C7CB1">
              <w:rPr>
                <w:rFonts w:eastAsia="Calibri" w:cs="Times New Roman"/>
              </w:rPr>
              <w:t>Number of projects of tourist and accompanying infrastructure and supra structure</w:t>
            </w:r>
          </w:p>
        </w:tc>
        <w:tc>
          <w:tcPr>
            <w:tcW w:w="3420" w:type="dxa"/>
            <w:shd w:val="clear" w:color="auto" w:fill="auto"/>
          </w:tcPr>
          <w:p w14:paraId="3D81432C" w14:textId="77777777" w:rsidR="00F00E38" w:rsidRPr="003C7CB1" w:rsidRDefault="00F00E38" w:rsidP="00572F2C">
            <w:pPr>
              <w:spacing w:after="0" w:line="240" w:lineRule="auto"/>
              <w:jc w:val="center"/>
              <w:rPr>
                <w:rFonts w:eastAsia="Calibri" w:cs="Times New Roman"/>
              </w:rPr>
            </w:pPr>
          </w:p>
          <w:p w14:paraId="5D5A1C7E" w14:textId="62D26BDF" w:rsidR="00F00E38" w:rsidRPr="003C7CB1" w:rsidRDefault="00F00E38" w:rsidP="00572F2C">
            <w:pPr>
              <w:spacing w:after="0" w:line="240" w:lineRule="auto"/>
              <w:jc w:val="center"/>
              <w:rPr>
                <w:rFonts w:eastAsia="Calibri" w:cs="Times New Roman"/>
              </w:rPr>
            </w:pPr>
            <w:r w:rsidRPr="003C7CB1">
              <w:rPr>
                <w:rFonts w:eastAsia="Calibri" w:cs="Times New Roman"/>
              </w:rPr>
              <w:t>0</w:t>
            </w:r>
          </w:p>
        </w:tc>
        <w:tc>
          <w:tcPr>
            <w:tcW w:w="3420" w:type="dxa"/>
            <w:gridSpan w:val="3"/>
            <w:shd w:val="clear" w:color="auto" w:fill="auto"/>
          </w:tcPr>
          <w:p w14:paraId="08508B57" w14:textId="77777777" w:rsidR="00F00E38" w:rsidRPr="003C7CB1" w:rsidRDefault="00F00E38" w:rsidP="00572F2C">
            <w:pPr>
              <w:spacing w:after="0" w:line="240" w:lineRule="auto"/>
              <w:jc w:val="center"/>
              <w:rPr>
                <w:rFonts w:eastAsia="Calibri" w:cs="Times New Roman"/>
              </w:rPr>
            </w:pPr>
          </w:p>
          <w:p w14:paraId="6504025C" w14:textId="459A5D2D" w:rsidR="00F00E38" w:rsidRPr="003C7CB1" w:rsidRDefault="00E74A54" w:rsidP="00572F2C">
            <w:pPr>
              <w:spacing w:after="0" w:line="240" w:lineRule="auto"/>
              <w:jc w:val="center"/>
              <w:rPr>
                <w:rFonts w:eastAsia="Calibri" w:cs="Times New Roman"/>
              </w:rPr>
            </w:pPr>
            <w:r w:rsidRPr="003C7CB1">
              <w:rPr>
                <w:rFonts w:eastAsia="Calibri" w:cs="Times New Roman"/>
              </w:rPr>
              <w:t>At least 15 project activities</w:t>
            </w:r>
          </w:p>
        </w:tc>
        <w:tc>
          <w:tcPr>
            <w:tcW w:w="3420" w:type="dxa"/>
            <w:gridSpan w:val="2"/>
            <w:shd w:val="clear" w:color="auto" w:fill="auto"/>
          </w:tcPr>
          <w:p w14:paraId="770EF1E9" w14:textId="77777777" w:rsidR="00F00E38" w:rsidRPr="003C7CB1" w:rsidRDefault="00F00E38" w:rsidP="00572F2C">
            <w:pPr>
              <w:spacing w:after="0" w:line="240" w:lineRule="auto"/>
              <w:jc w:val="center"/>
              <w:rPr>
                <w:rFonts w:eastAsia="Calibri" w:cs="Times New Roman"/>
              </w:rPr>
            </w:pPr>
          </w:p>
          <w:p w14:paraId="29DD371D" w14:textId="5472EB83" w:rsidR="001C4D70" w:rsidRPr="003C7CB1" w:rsidRDefault="00E74A54" w:rsidP="00572F2C">
            <w:pPr>
              <w:spacing w:after="0" w:line="240" w:lineRule="auto"/>
              <w:jc w:val="center"/>
              <w:rPr>
                <w:rFonts w:eastAsia="Calibri" w:cs="Times New Roman"/>
              </w:rPr>
            </w:pPr>
            <w:r w:rsidRPr="003C7CB1">
              <w:rPr>
                <w:rFonts w:eastAsia="Calibri" w:cs="Times New Roman"/>
              </w:rPr>
              <w:t xml:space="preserve">At least 30 project activities </w:t>
            </w:r>
          </w:p>
          <w:p w14:paraId="361D388A" w14:textId="77777777" w:rsidR="001C4D70" w:rsidRPr="003C7CB1" w:rsidRDefault="001C4D70" w:rsidP="00572F2C">
            <w:pPr>
              <w:spacing w:after="0" w:line="240" w:lineRule="auto"/>
              <w:jc w:val="center"/>
              <w:rPr>
                <w:rFonts w:eastAsia="Calibri" w:cs="Times New Roman"/>
              </w:rPr>
            </w:pPr>
          </w:p>
          <w:p w14:paraId="48627D3D" w14:textId="77777777" w:rsidR="001C4D70" w:rsidRPr="003C7CB1" w:rsidRDefault="001C4D70" w:rsidP="00572F2C">
            <w:pPr>
              <w:spacing w:after="0" w:line="240" w:lineRule="auto"/>
              <w:jc w:val="center"/>
              <w:rPr>
                <w:rFonts w:eastAsia="Calibri" w:cs="Times New Roman"/>
              </w:rPr>
            </w:pPr>
          </w:p>
          <w:p w14:paraId="06DC3FD6" w14:textId="77777777" w:rsidR="001C4D70" w:rsidRPr="003C7CB1" w:rsidRDefault="001C4D70" w:rsidP="00572F2C">
            <w:pPr>
              <w:spacing w:after="0" w:line="240" w:lineRule="auto"/>
              <w:jc w:val="center"/>
              <w:rPr>
                <w:rFonts w:eastAsia="Calibri" w:cs="Times New Roman"/>
              </w:rPr>
            </w:pPr>
          </w:p>
          <w:p w14:paraId="65DB7589" w14:textId="056B77B6" w:rsidR="001C4D70" w:rsidRPr="003C7CB1" w:rsidRDefault="001C4D70" w:rsidP="00572F2C">
            <w:pPr>
              <w:spacing w:after="0" w:line="240" w:lineRule="auto"/>
              <w:jc w:val="center"/>
              <w:rPr>
                <w:rFonts w:eastAsia="Calibri" w:cs="Times New Roman"/>
              </w:rPr>
            </w:pPr>
          </w:p>
        </w:tc>
      </w:tr>
      <w:tr w:rsidR="008E3B7F" w:rsidRPr="003C7CB1" w14:paraId="0061FAF5" w14:textId="77777777" w:rsidTr="00E35851">
        <w:trPr>
          <w:jc w:val="center"/>
        </w:trPr>
        <w:tc>
          <w:tcPr>
            <w:tcW w:w="13680" w:type="dxa"/>
            <w:gridSpan w:val="7"/>
            <w:shd w:val="clear" w:color="auto" w:fill="B4C6E7" w:themeFill="accent1" w:themeFillTint="66"/>
          </w:tcPr>
          <w:p w14:paraId="3806420E" w14:textId="77777777" w:rsidR="008E3B7F" w:rsidRPr="003C7CB1" w:rsidRDefault="008E3B7F" w:rsidP="00E35851">
            <w:pPr>
              <w:contextualSpacing/>
              <w:jc w:val="center"/>
              <w:rPr>
                <w:rFonts w:eastAsia="Calibri" w:cs="Calibri"/>
                <w:b/>
              </w:rPr>
            </w:pPr>
          </w:p>
          <w:p w14:paraId="0A946489" w14:textId="59625E48" w:rsidR="00A80427" w:rsidRPr="003C7CB1" w:rsidRDefault="00DD73E8" w:rsidP="00E35851">
            <w:pPr>
              <w:contextualSpacing/>
              <w:jc w:val="center"/>
              <w:rPr>
                <w:rFonts w:eastAsia="Calibri" w:cs="Calibri"/>
                <w:b/>
              </w:rPr>
            </w:pPr>
            <w:r w:rsidRPr="003C7CB1">
              <w:rPr>
                <w:rFonts w:eastAsia="Calibri" w:cs="Calibri"/>
                <w:b/>
              </w:rPr>
              <w:t xml:space="preserve">Operational goal </w:t>
            </w:r>
            <w:r w:rsidR="008E3B7F" w:rsidRPr="003C7CB1">
              <w:rPr>
                <w:rFonts w:eastAsia="Calibri" w:cs="Calibri"/>
                <w:b/>
              </w:rPr>
              <w:t xml:space="preserve">3 </w:t>
            </w:r>
          </w:p>
          <w:p w14:paraId="6320E79A" w14:textId="025C0B68" w:rsidR="00901665" w:rsidRPr="003C7CB1" w:rsidRDefault="00FC04CE" w:rsidP="00901665">
            <w:pPr>
              <w:contextualSpacing/>
              <w:jc w:val="center"/>
              <w:rPr>
                <w:rFonts w:eastAsia="Calibri" w:cs="Calibri"/>
                <w:b/>
              </w:rPr>
            </w:pPr>
            <w:r w:rsidRPr="003C7CB1">
              <w:rPr>
                <w:rFonts w:eastAsia="Calibri" w:cs="Calibri"/>
                <w:b/>
              </w:rPr>
              <w:t>Improved quality and quantity of accommodation capacities</w:t>
            </w:r>
          </w:p>
        </w:tc>
      </w:tr>
      <w:tr w:rsidR="008E3B7F" w:rsidRPr="003C7CB1" w14:paraId="1FB9DB6F" w14:textId="77777777" w:rsidTr="00E35851">
        <w:trPr>
          <w:jc w:val="center"/>
        </w:trPr>
        <w:tc>
          <w:tcPr>
            <w:tcW w:w="3420" w:type="dxa"/>
            <w:shd w:val="clear" w:color="auto" w:fill="auto"/>
          </w:tcPr>
          <w:p w14:paraId="49E52DB8" w14:textId="25FD567B"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w:t>
            </w:r>
          </w:p>
        </w:tc>
        <w:tc>
          <w:tcPr>
            <w:tcW w:w="3420" w:type="dxa"/>
            <w:shd w:val="clear" w:color="auto" w:fill="auto"/>
          </w:tcPr>
          <w:p w14:paraId="7817C5D5" w14:textId="48F643F7" w:rsidR="008E3B7F" w:rsidRPr="003C7CB1" w:rsidRDefault="00161D4C" w:rsidP="006E592E">
            <w:pPr>
              <w:spacing w:after="0" w:line="240" w:lineRule="auto"/>
              <w:jc w:val="center"/>
              <w:rPr>
                <w:rFonts w:eastAsia="Calibri" w:cs="Times New Roman"/>
                <w:b/>
              </w:rPr>
            </w:pPr>
            <w:r w:rsidRPr="003C7CB1">
              <w:rPr>
                <w:rFonts w:eastAsia="Calibri" w:cs="Times New Roman"/>
                <w:b/>
              </w:rPr>
              <w:t xml:space="preserve">Initial value for 2019 </w:t>
            </w:r>
          </w:p>
        </w:tc>
        <w:tc>
          <w:tcPr>
            <w:tcW w:w="3311" w:type="dxa"/>
            <w:gridSpan w:val="2"/>
            <w:shd w:val="clear" w:color="auto" w:fill="auto"/>
          </w:tcPr>
          <w:p w14:paraId="430D6A60" w14:textId="4C5DB19E" w:rsidR="008E3B7F" w:rsidRPr="003C7CB1" w:rsidRDefault="00DD73E8" w:rsidP="006E592E">
            <w:pPr>
              <w:spacing w:after="0" w:line="240" w:lineRule="auto"/>
              <w:jc w:val="center"/>
              <w:rPr>
                <w:rFonts w:eastAsia="Calibri" w:cs="Times New Roman"/>
                <w:b/>
              </w:rPr>
            </w:pPr>
            <w:r w:rsidRPr="003C7CB1">
              <w:rPr>
                <w:rFonts w:eastAsia="Calibri" w:cs="Times New Roman"/>
                <w:b/>
              </w:rPr>
              <w:t>Target value for 2023.</w:t>
            </w:r>
          </w:p>
        </w:tc>
        <w:tc>
          <w:tcPr>
            <w:tcW w:w="3529" w:type="dxa"/>
            <w:gridSpan w:val="3"/>
            <w:shd w:val="clear" w:color="auto" w:fill="auto"/>
          </w:tcPr>
          <w:p w14:paraId="74B6B139" w14:textId="03EFD16D" w:rsidR="008E3B7F" w:rsidRPr="003C7CB1" w:rsidRDefault="00161D4C" w:rsidP="006E592E">
            <w:pPr>
              <w:spacing w:after="0" w:line="240" w:lineRule="auto"/>
              <w:jc w:val="center"/>
              <w:rPr>
                <w:rFonts w:eastAsia="Calibri" w:cs="Times New Roman"/>
                <w:b/>
              </w:rPr>
            </w:pPr>
            <w:r w:rsidRPr="003C7CB1">
              <w:rPr>
                <w:rFonts w:eastAsia="Calibri" w:cs="Times New Roman"/>
                <w:b/>
              </w:rPr>
              <w:t>Target value for 2025</w:t>
            </w:r>
          </w:p>
        </w:tc>
      </w:tr>
      <w:tr w:rsidR="008E3B7F" w:rsidRPr="003C7CB1" w14:paraId="785DEB0D" w14:textId="77777777" w:rsidTr="00E35851">
        <w:trPr>
          <w:jc w:val="center"/>
        </w:trPr>
        <w:tc>
          <w:tcPr>
            <w:tcW w:w="3420" w:type="dxa"/>
            <w:shd w:val="clear" w:color="auto" w:fill="auto"/>
          </w:tcPr>
          <w:p w14:paraId="3823F164" w14:textId="29A6BAEF"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 No</w:t>
            </w:r>
            <w:r w:rsidR="008E3B7F" w:rsidRPr="003C7CB1">
              <w:rPr>
                <w:rFonts w:eastAsia="Calibri" w:cs="Times New Roman"/>
                <w:b/>
                <w:i/>
              </w:rPr>
              <w:t>. 1:</w:t>
            </w:r>
          </w:p>
        </w:tc>
        <w:tc>
          <w:tcPr>
            <w:tcW w:w="3420" w:type="dxa"/>
            <w:shd w:val="clear" w:color="auto" w:fill="auto"/>
          </w:tcPr>
          <w:p w14:paraId="55F0486B" w14:textId="77777777" w:rsidR="008E3B7F" w:rsidRPr="003C7CB1" w:rsidRDefault="008E3B7F" w:rsidP="00E35851">
            <w:pPr>
              <w:spacing w:after="0" w:line="240" w:lineRule="auto"/>
              <w:rPr>
                <w:rFonts w:eastAsia="Calibri" w:cs="Times New Roman"/>
              </w:rPr>
            </w:pPr>
          </w:p>
        </w:tc>
        <w:tc>
          <w:tcPr>
            <w:tcW w:w="3311" w:type="dxa"/>
            <w:gridSpan w:val="2"/>
            <w:shd w:val="clear" w:color="auto" w:fill="auto"/>
          </w:tcPr>
          <w:p w14:paraId="7E170875" w14:textId="77777777" w:rsidR="008E3B7F" w:rsidRPr="003C7CB1" w:rsidRDefault="008E3B7F" w:rsidP="00E35851">
            <w:pPr>
              <w:spacing w:after="0" w:line="240" w:lineRule="auto"/>
              <w:rPr>
                <w:rFonts w:eastAsia="Calibri" w:cs="Times New Roman"/>
              </w:rPr>
            </w:pPr>
          </w:p>
        </w:tc>
        <w:tc>
          <w:tcPr>
            <w:tcW w:w="3529" w:type="dxa"/>
            <w:gridSpan w:val="3"/>
            <w:shd w:val="clear" w:color="auto" w:fill="auto"/>
          </w:tcPr>
          <w:p w14:paraId="54AC7DAB" w14:textId="77777777" w:rsidR="008E3B7F" w:rsidRPr="003C7CB1" w:rsidRDefault="008E3B7F" w:rsidP="00E35851">
            <w:pPr>
              <w:spacing w:after="0" w:line="240" w:lineRule="auto"/>
              <w:rPr>
                <w:rFonts w:eastAsia="Calibri" w:cs="Times New Roman"/>
              </w:rPr>
            </w:pPr>
          </w:p>
        </w:tc>
      </w:tr>
      <w:tr w:rsidR="008E3B7F" w:rsidRPr="003C7CB1" w14:paraId="09E4950D" w14:textId="77777777" w:rsidTr="00E35851">
        <w:trPr>
          <w:jc w:val="center"/>
        </w:trPr>
        <w:tc>
          <w:tcPr>
            <w:tcW w:w="3420" w:type="dxa"/>
            <w:shd w:val="clear" w:color="auto" w:fill="auto"/>
          </w:tcPr>
          <w:p w14:paraId="460F3B12" w14:textId="5CC63A3C" w:rsidR="008E3B7F" w:rsidRPr="003C7CB1" w:rsidRDefault="00FC04CE" w:rsidP="00FC04CE">
            <w:pPr>
              <w:spacing w:after="0" w:line="240" w:lineRule="auto"/>
              <w:rPr>
                <w:rFonts w:eastAsia="Calibri" w:cs="Times New Roman"/>
              </w:rPr>
            </w:pPr>
            <w:r w:rsidRPr="003C7CB1">
              <w:rPr>
                <w:rFonts w:eastAsia="Calibri" w:cs="Times New Roman"/>
              </w:rPr>
              <w:t xml:space="preserve">Number of beds in </w:t>
            </w:r>
            <w:r w:rsidR="0020217A" w:rsidRPr="003C7CB1">
              <w:rPr>
                <w:rFonts w:eastAsia="Calibri" w:cs="Times New Roman"/>
              </w:rPr>
              <w:t>4 and 5 *</w:t>
            </w:r>
            <w:r w:rsidRPr="003C7CB1">
              <w:rPr>
                <w:rFonts w:eastAsia="Calibri" w:cs="Times New Roman"/>
              </w:rPr>
              <w:t xml:space="preserve"> hotels and similar facilities </w:t>
            </w:r>
          </w:p>
        </w:tc>
        <w:tc>
          <w:tcPr>
            <w:tcW w:w="3420" w:type="dxa"/>
            <w:shd w:val="clear" w:color="auto" w:fill="auto"/>
          </w:tcPr>
          <w:p w14:paraId="515A0A5D" w14:textId="1493B48B" w:rsidR="008E3B7F" w:rsidRPr="003C7CB1" w:rsidRDefault="008E3B7F" w:rsidP="00572F2C">
            <w:pPr>
              <w:spacing w:after="0" w:line="240" w:lineRule="auto"/>
              <w:jc w:val="center"/>
              <w:rPr>
                <w:rFonts w:eastAsia="Calibri" w:cs="Times New Roman"/>
              </w:rPr>
            </w:pPr>
            <w:r w:rsidRPr="003C7CB1">
              <w:rPr>
                <w:rFonts w:eastAsia="Calibri" w:cs="Times New Roman"/>
              </w:rPr>
              <w:t>2</w:t>
            </w:r>
            <w:r w:rsidR="007B5957" w:rsidRPr="003C7CB1">
              <w:rPr>
                <w:rFonts w:eastAsia="Calibri" w:cs="Times New Roman"/>
              </w:rPr>
              <w:t>4</w:t>
            </w:r>
            <w:r w:rsidR="00816DCC" w:rsidRPr="003C7CB1">
              <w:rPr>
                <w:rFonts w:eastAsia="Calibri" w:cs="Times New Roman"/>
              </w:rPr>
              <w:t>.598</w:t>
            </w:r>
            <w:r w:rsidR="001D2755" w:rsidRPr="003C7CB1">
              <w:rPr>
                <w:rStyle w:val="FootnoteReference"/>
                <w:rFonts w:eastAsia="Calibri" w:cs="Times New Roman"/>
              </w:rPr>
              <w:footnoteReference w:id="67"/>
            </w:r>
          </w:p>
        </w:tc>
        <w:tc>
          <w:tcPr>
            <w:tcW w:w="3311" w:type="dxa"/>
            <w:gridSpan w:val="2"/>
            <w:shd w:val="clear" w:color="auto" w:fill="auto"/>
          </w:tcPr>
          <w:p w14:paraId="064C700C" w14:textId="56D48CD5" w:rsidR="008E3B7F" w:rsidRPr="003C7CB1" w:rsidRDefault="00217979" w:rsidP="00572F2C">
            <w:pPr>
              <w:spacing w:after="0" w:line="240" w:lineRule="auto"/>
              <w:jc w:val="center"/>
              <w:rPr>
                <w:rFonts w:eastAsia="Calibri" w:cs="Times New Roman"/>
              </w:rPr>
            </w:pPr>
            <w:r w:rsidRPr="003C7CB1">
              <w:rPr>
                <w:rFonts w:eastAsia="Calibri" w:cs="Times New Roman"/>
              </w:rPr>
              <w:t>3</w:t>
            </w:r>
            <w:r w:rsidR="0067000B" w:rsidRPr="003C7CB1">
              <w:rPr>
                <w:rFonts w:eastAsia="Calibri" w:cs="Times New Roman"/>
              </w:rPr>
              <w:t>4</w:t>
            </w:r>
            <w:r w:rsidR="003E2C6D" w:rsidRPr="003C7CB1">
              <w:rPr>
                <w:rFonts w:eastAsia="Calibri" w:cs="Times New Roman"/>
              </w:rPr>
              <w:t>.</w:t>
            </w:r>
            <w:r w:rsidR="0067000B" w:rsidRPr="003C7CB1">
              <w:rPr>
                <w:rFonts w:eastAsia="Calibri" w:cs="Times New Roman"/>
              </w:rPr>
              <w:t>700</w:t>
            </w:r>
          </w:p>
        </w:tc>
        <w:tc>
          <w:tcPr>
            <w:tcW w:w="3529" w:type="dxa"/>
            <w:gridSpan w:val="3"/>
            <w:shd w:val="clear" w:color="auto" w:fill="auto"/>
          </w:tcPr>
          <w:p w14:paraId="3D73432B" w14:textId="65405183" w:rsidR="008E3B7F" w:rsidRPr="003C7CB1" w:rsidRDefault="0067000B" w:rsidP="00572F2C">
            <w:pPr>
              <w:spacing w:after="0" w:line="240" w:lineRule="auto"/>
              <w:jc w:val="center"/>
              <w:rPr>
                <w:rFonts w:eastAsia="Calibri" w:cs="Times New Roman"/>
              </w:rPr>
            </w:pPr>
            <w:r w:rsidRPr="003C7CB1">
              <w:rPr>
                <w:rFonts w:eastAsia="Calibri" w:cs="Times New Roman"/>
              </w:rPr>
              <w:t>40</w:t>
            </w:r>
            <w:r w:rsidR="00FE37D3" w:rsidRPr="003C7CB1">
              <w:rPr>
                <w:rFonts w:eastAsia="Calibri" w:cs="Times New Roman"/>
              </w:rPr>
              <w:t>.</w:t>
            </w:r>
            <w:r w:rsidRPr="003C7CB1">
              <w:rPr>
                <w:rFonts w:eastAsia="Calibri" w:cs="Times New Roman"/>
              </w:rPr>
              <w:t>2</w:t>
            </w:r>
            <w:r w:rsidR="00FE37D3" w:rsidRPr="003C7CB1">
              <w:rPr>
                <w:rFonts w:eastAsia="Calibri" w:cs="Times New Roman"/>
              </w:rPr>
              <w:t>00</w:t>
            </w:r>
          </w:p>
        </w:tc>
      </w:tr>
      <w:tr w:rsidR="008E3B7F" w:rsidRPr="003C7CB1" w14:paraId="30083BFF" w14:textId="77777777" w:rsidTr="00E35851">
        <w:trPr>
          <w:jc w:val="center"/>
        </w:trPr>
        <w:tc>
          <w:tcPr>
            <w:tcW w:w="3420" w:type="dxa"/>
            <w:shd w:val="clear" w:color="auto" w:fill="auto"/>
          </w:tcPr>
          <w:p w14:paraId="2136D1B1" w14:textId="6F617CF1"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 No</w:t>
            </w:r>
            <w:r w:rsidR="008E3B7F" w:rsidRPr="003C7CB1">
              <w:rPr>
                <w:rFonts w:eastAsia="Calibri" w:cs="Times New Roman"/>
                <w:b/>
                <w:i/>
              </w:rPr>
              <w:t>. 2:</w:t>
            </w:r>
          </w:p>
        </w:tc>
        <w:tc>
          <w:tcPr>
            <w:tcW w:w="3420" w:type="dxa"/>
            <w:shd w:val="clear" w:color="auto" w:fill="auto"/>
          </w:tcPr>
          <w:p w14:paraId="4F172F18" w14:textId="77777777" w:rsidR="008E3B7F" w:rsidRPr="003C7CB1" w:rsidRDefault="008E3B7F" w:rsidP="003F434F">
            <w:pPr>
              <w:spacing w:after="0" w:line="240" w:lineRule="auto"/>
              <w:jc w:val="right"/>
              <w:rPr>
                <w:rFonts w:eastAsia="Calibri" w:cs="Times New Roman"/>
              </w:rPr>
            </w:pPr>
          </w:p>
        </w:tc>
        <w:tc>
          <w:tcPr>
            <w:tcW w:w="3311" w:type="dxa"/>
            <w:gridSpan w:val="2"/>
            <w:shd w:val="clear" w:color="auto" w:fill="auto"/>
          </w:tcPr>
          <w:p w14:paraId="4776839C" w14:textId="77777777" w:rsidR="008E3B7F" w:rsidRPr="003C7CB1" w:rsidRDefault="008E3B7F" w:rsidP="003F434F">
            <w:pPr>
              <w:spacing w:after="0" w:line="240" w:lineRule="auto"/>
              <w:jc w:val="right"/>
              <w:rPr>
                <w:rFonts w:eastAsia="Calibri" w:cs="Times New Roman"/>
              </w:rPr>
            </w:pPr>
          </w:p>
        </w:tc>
        <w:tc>
          <w:tcPr>
            <w:tcW w:w="3529" w:type="dxa"/>
            <w:gridSpan w:val="3"/>
            <w:shd w:val="clear" w:color="auto" w:fill="auto"/>
          </w:tcPr>
          <w:p w14:paraId="28A3D3FC" w14:textId="77777777" w:rsidR="008E3B7F" w:rsidRPr="003C7CB1" w:rsidRDefault="008E3B7F" w:rsidP="003F434F">
            <w:pPr>
              <w:spacing w:after="0" w:line="240" w:lineRule="auto"/>
              <w:jc w:val="right"/>
              <w:rPr>
                <w:rFonts w:eastAsia="Calibri" w:cs="Times New Roman"/>
              </w:rPr>
            </w:pPr>
          </w:p>
        </w:tc>
      </w:tr>
      <w:tr w:rsidR="008E3B7F" w:rsidRPr="003C7CB1" w14:paraId="58C8B322" w14:textId="77777777" w:rsidTr="00E35851">
        <w:trPr>
          <w:jc w:val="center"/>
        </w:trPr>
        <w:tc>
          <w:tcPr>
            <w:tcW w:w="3420" w:type="dxa"/>
            <w:shd w:val="clear" w:color="auto" w:fill="auto"/>
          </w:tcPr>
          <w:p w14:paraId="46F26A1F" w14:textId="30C2733C" w:rsidR="008E3B7F" w:rsidRPr="003C7CB1" w:rsidRDefault="0020217A" w:rsidP="0020217A">
            <w:pPr>
              <w:spacing w:after="0" w:line="240" w:lineRule="auto"/>
              <w:rPr>
                <w:rFonts w:eastAsia="Calibri" w:cs="Times New Roman"/>
              </w:rPr>
            </w:pPr>
            <w:r w:rsidRPr="003C7CB1">
              <w:rPr>
                <w:rFonts w:eastAsia="Calibri" w:cs="Times New Roman"/>
              </w:rPr>
              <w:t>Number of beds in 3 * hotels and similar facilities</w:t>
            </w:r>
          </w:p>
        </w:tc>
        <w:tc>
          <w:tcPr>
            <w:tcW w:w="3420" w:type="dxa"/>
            <w:shd w:val="clear" w:color="auto" w:fill="auto"/>
          </w:tcPr>
          <w:p w14:paraId="5CDE01D9" w14:textId="5B9B8465" w:rsidR="008E3B7F" w:rsidRPr="003C7CB1" w:rsidRDefault="00217979" w:rsidP="00572F2C">
            <w:pPr>
              <w:spacing w:after="0" w:line="240" w:lineRule="auto"/>
              <w:jc w:val="center"/>
              <w:rPr>
                <w:rFonts w:eastAsia="Calibri" w:cs="Times New Roman"/>
              </w:rPr>
            </w:pPr>
            <w:r w:rsidRPr="003C7CB1">
              <w:rPr>
                <w:rFonts w:eastAsia="Calibri" w:cs="Times New Roman"/>
              </w:rPr>
              <w:t>9.210</w:t>
            </w:r>
            <w:r w:rsidR="001D2755" w:rsidRPr="003C7CB1">
              <w:rPr>
                <w:rStyle w:val="FootnoteReference"/>
                <w:rFonts w:eastAsia="Calibri" w:cs="Times New Roman"/>
              </w:rPr>
              <w:footnoteReference w:id="68"/>
            </w:r>
          </w:p>
        </w:tc>
        <w:tc>
          <w:tcPr>
            <w:tcW w:w="3311" w:type="dxa"/>
            <w:gridSpan w:val="2"/>
            <w:shd w:val="clear" w:color="auto" w:fill="auto"/>
          </w:tcPr>
          <w:p w14:paraId="4BF9D2D3" w14:textId="11116B96" w:rsidR="008E3B7F" w:rsidRPr="003C7CB1" w:rsidRDefault="008E3B7F" w:rsidP="00572F2C">
            <w:pPr>
              <w:spacing w:after="0" w:line="240" w:lineRule="auto"/>
              <w:jc w:val="center"/>
              <w:rPr>
                <w:rFonts w:eastAsia="Calibri" w:cs="Times New Roman"/>
              </w:rPr>
            </w:pPr>
            <w:r w:rsidRPr="003C7CB1">
              <w:rPr>
                <w:rFonts w:eastAsia="Calibri" w:cs="Times New Roman"/>
              </w:rPr>
              <w:t>1</w:t>
            </w:r>
            <w:r w:rsidR="00217979" w:rsidRPr="003C7CB1">
              <w:rPr>
                <w:rFonts w:eastAsia="Calibri" w:cs="Times New Roman"/>
              </w:rPr>
              <w:t>0.000</w:t>
            </w:r>
          </w:p>
        </w:tc>
        <w:tc>
          <w:tcPr>
            <w:tcW w:w="3529" w:type="dxa"/>
            <w:gridSpan w:val="3"/>
            <w:shd w:val="clear" w:color="auto" w:fill="auto"/>
          </w:tcPr>
          <w:p w14:paraId="4A19BF32" w14:textId="4ADCCF07" w:rsidR="008E3B7F" w:rsidRPr="003C7CB1" w:rsidRDefault="008E3B7F" w:rsidP="00572F2C">
            <w:pPr>
              <w:spacing w:after="0" w:line="240" w:lineRule="auto"/>
              <w:jc w:val="center"/>
              <w:rPr>
                <w:rFonts w:eastAsia="Calibri" w:cs="Times New Roman"/>
              </w:rPr>
            </w:pPr>
            <w:r w:rsidRPr="003C7CB1">
              <w:rPr>
                <w:rFonts w:eastAsia="Calibri" w:cs="Times New Roman"/>
              </w:rPr>
              <w:t>1</w:t>
            </w:r>
            <w:r w:rsidR="00217979" w:rsidRPr="003C7CB1">
              <w:rPr>
                <w:rFonts w:eastAsia="Calibri" w:cs="Times New Roman"/>
              </w:rPr>
              <w:t>1</w:t>
            </w:r>
            <w:r w:rsidRPr="003C7CB1">
              <w:rPr>
                <w:rFonts w:eastAsia="Calibri" w:cs="Times New Roman"/>
              </w:rPr>
              <w:t>.000</w:t>
            </w:r>
          </w:p>
        </w:tc>
      </w:tr>
      <w:tr w:rsidR="008E3B7F" w:rsidRPr="003C7CB1" w14:paraId="37B7C554" w14:textId="77777777" w:rsidTr="00E35851">
        <w:trPr>
          <w:jc w:val="center"/>
        </w:trPr>
        <w:tc>
          <w:tcPr>
            <w:tcW w:w="13680" w:type="dxa"/>
            <w:gridSpan w:val="7"/>
            <w:shd w:val="clear" w:color="auto" w:fill="B4C6E7" w:themeFill="accent1" w:themeFillTint="66"/>
          </w:tcPr>
          <w:p w14:paraId="268D149E" w14:textId="77777777" w:rsidR="008E3B7F" w:rsidRPr="003C7CB1" w:rsidRDefault="008E3B7F" w:rsidP="00E35851">
            <w:pPr>
              <w:shd w:val="clear" w:color="auto" w:fill="B4C6E7"/>
              <w:contextualSpacing/>
              <w:jc w:val="center"/>
              <w:rPr>
                <w:rFonts w:eastAsia="Calibri" w:cs="Calibri"/>
                <w:b/>
                <w:bCs/>
              </w:rPr>
            </w:pPr>
          </w:p>
          <w:p w14:paraId="2101F403" w14:textId="507840FF" w:rsidR="00A80427" w:rsidRPr="003C7CB1" w:rsidRDefault="00DD73E8" w:rsidP="00E35851">
            <w:pPr>
              <w:contextualSpacing/>
              <w:jc w:val="center"/>
              <w:rPr>
                <w:rFonts w:eastAsia="Calibri" w:cs="Calibri"/>
                <w:b/>
                <w:bCs/>
              </w:rPr>
            </w:pPr>
            <w:r w:rsidRPr="003C7CB1">
              <w:rPr>
                <w:rFonts w:eastAsia="Calibri" w:cs="Calibri"/>
                <w:b/>
                <w:bCs/>
              </w:rPr>
              <w:t xml:space="preserve">Operational goal </w:t>
            </w:r>
            <w:r w:rsidR="008E3B7F" w:rsidRPr="003C7CB1">
              <w:rPr>
                <w:rFonts w:eastAsia="Calibri" w:cs="Calibri"/>
                <w:b/>
                <w:bCs/>
              </w:rPr>
              <w:t>4</w:t>
            </w:r>
          </w:p>
          <w:p w14:paraId="291826BD" w14:textId="03200F87" w:rsidR="00901665" w:rsidRPr="003C7CB1" w:rsidRDefault="0020217A" w:rsidP="00901665">
            <w:pPr>
              <w:contextualSpacing/>
              <w:jc w:val="center"/>
              <w:rPr>
                <w:rFonts w:eastAsia="Calibri" w:cs="Calibri"/>
                <w:b/>
                <w:bCs/>
              </w:rPr>
            </w:pPr>
            <w:r w:rsidRPr="003C7CB1">
              <w:rPr>
                <w:rFonts w:eastAsia="Calibri" w:cs="Calibri"/>
                <w:b/>
                <w:bCs/>
              </w:rPr>
              <w:t>Improved quality of diversified tourism product</w:t>
            </w:r>
            <w:r w:rsidR="008E3B7F" w:rsidRPr="003C7CB1">
              <w:rPr>
                <w:rFonts w:eastAsia="Calibri" w:cs="Calibri"/>
                <w:b/>
                <w:bCs/>
              </w:rPr>
              <w:t xml:space="preserve"> </w:t>
            </w:r>
          </w:p>
          <w:p w14:paraId="0D5CAF25" w14:textId="1F69636E" w:rsidR="00901665" w:rsidRPr="003C7CB1" w:rsidRDefault="00901665" w:rsidP="00901665">
            <w:pPr>
              <w:contextualSpacing/>
              <w:jc w:val="center"/>
              <w:rPr>
                <w:rFonts w:eastAsia="Calibri" w:cs="Calibri"/>
                <w:b/>
                <w:bCs/>
              </w:rPr>
            </w:pPr>
          </w:p>
        </w:tc>
      </w:tr>
      <w:tr w:rsidR="008E3B7F" w:rsidRPr="003C7CB1" w14:paraId="464FF748" w14:textId="77777777" w:rsidTr="00E35851">
        <w:trPr>
          <w:jc w:val="center"/>
        </w:trPr>
        <w:tc>
          <w:tcPr>
            <w:tcW w:w="3420" w:type="dxa"/>
            <w:shd w:val="clear" w:color="auto" w:fill="auto"/>
          </w:tcPr>
          <w:p w14:paraId="201A0BC6" w14:textId="2BF1CD1C"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w:t>
            </w:r>
          </w:p>
        </w:tc>
        <w:tc>
          <w:tcPr>
            <w:tcW w:w="3420" w:type="dxa"/>
            <w:shd w:val="clear" w:color="auto" w:fill="auto"/>
          </w:tcPr>
          <w:p w14:paraId="22425FC2" w14:textId="2AEA2ED0" w:rsidR="008E3B7F" w:rsidRPr="003C7CB1" w:rsidRDefault="00161D4C" w:rsidP="006E592E">
            <w:pPr>
              <w:spacing w:after="0" w:line="240" w:lineRule="auto"/>
              <w:jc w:val="center"/>
              <w:rPr>
                <w:rFonts w:eastAsia="Calibri" w:cs="Times New Roman"/>
                <w:b/>
              </w:rPr>
            </w:pPr>
            <w:r w:rsidRPr="003C7CB1">
              <w:rPr>
                <w:rFonts w:eastAsia="Calibri" w:cs="Times New Roman"/>
                <w:b/>
              </w:rPr>
              <w:t>Initial value for 2021</w:t>
            </w:r>
          </w:p>
        </w:tc>
        <w:tc>
          <w:tcPr>
            <w:tcW w:w="3311" w:type="dxa"/>
            <w:gridSpan w:val="2"/>
            <w:shd w:val="clear" w:color="auto" w:fill="auto"/>
          </w:tcPr>
          <w:p w14:paraId="67604B20" w14:textId="729BF203" w:rsidR="008E3B7F" w:rsidRPr="003C7CB1" w:rsidRDefault="00DD73E8" w:rsidP="006E592E">
            <w:pPr>
              <w:spacing w:after="0" w:line="240" w:lineRule="auto"/>
              <w:jc w:val="center"/>
              <w:rPr>
                <w:rFonts w:eastAsia="Calibri" w:cs="Times New Roman"/>
                <w:b/>
              </w:rPr>
            </w:pPr>
            <w:r w:rsidRPr="003C7CB1">
              <w:rPr>
                <w:rFonts w:eastAsia="Calibri" w:cs="Times New Roman"/>
                <w:b/>
              </w:rPr>
              <w:t>Target value for 2023.</w:t>
            </w:r>
          </w:p>
        </w:tc>
        <w:tc>
          <w:tcPr>
            <w:tcW w:w="3529" w:type="dxa"/>
            <w:gridSpan w:val="3"/>
            <w:shd w:val="clear" w:color="auto" w:fill="auto"/>
          </w:tcPr>
          <w:p w14:paraId="742EE68F" w14:textId="0F712A87" w:rsidR="008E3B7F" w:rsidRPr="003C7CB1" w:rsidRDefault="00161D4C" w:rsidP="006E592E">
            <w:pPr>
              <w:spacing w:after="0" w:line="240" w:lineRule="auto"/>
              <w:jc w:val="center"/>
              <w:rPr>
                <w:rFonts w:eastAsia="Calibri" w:cs="Times New Roman"/>
                <w:b/>
              </w:rPr>
            </w:pPr>
            <w:r w:rsidRPr="003C7CB1">
              <w:rPr>
                <w:rFonts w:eastAsia="Calibri" w:cs="Times New Roman"/>
                <w:b/>
              </w:rPr>
              <w:t>Target value for 2025</w:t>
            </w:r>
          </w:p>
        </w:tc>
      </w:tr>
      <w:tr w:rsidR="008E3B7F" w:rsidRPr="003C7CB1" w14:paraId="27649ACD" w14:textId="77777777" w:rsidTr="00E35851">
        <w:trPr>
          <w:jc w:val="center"/>
        </w:trPr>
        <w:tc>
          <w:tcPr>
            <w:tcW w:w="3420" w:type="dxa"/>
            <w:shd w:val="clear" w:color="auto" w:fill="auto"/>
          </w:tcPr>
          <w:p w14:paraId="04CE5E66" w14:textId="168805A9"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 No</w:t>
            </w:r>
            <w:r w:rsidR="008E3B7F" w:rsidRPr="003C7CB1">
              <w:rPr>
                <w:rFonts w:eastAsia="Calibri" w:cs="Times New Roman"/>
                <w:b/>
                <w:i/>
              </w:rPr>
              <w:t>. 1:</w:t>
            </w:r>
          </w:p>
        </w:tc>
        <w:tc>
          <w:tcPr>
            <w:tcW w:w="3420" w:type="dxa"/>
            <w:shd w:val="clear" w:color="auto" w:fill="auto"/>
          </w:tcPr>
          <w:p w14:paraId="7C082F57" w14:textId="77777777" w:rsidR="008E3B7F" w:rsidRPr="003C7CB1" w:rsidRDefault="008E3B7F" w:rsidP="00572F2C">
            <w:pPr>
              <w:spacing w:after="0" w:line="240" w:lineRule="auto"/>
              <w:jc w:val="center"/>
              <w:rPr>
                <w:rFonts w:eastAsia="Calibri" w:cs="Times New Roman"/>
              </w:rPr>
            </w:pPr>
          </w:p>
        </w:tc>
        <w:tc>
          <w:tcPr>
            <w:tcW w:w="3311" w:type="dxa"/>
            <w:gridSpan w:val="2"/>
            <w:shd w:val="clear" w:color="auto" w:fill="auto"/>
          </w:tcPr>
          <w:p w14:paraId="610D16F6" w14:textId="77777777" w:rsidR="008E3B7F" w:rsidRPr="003C7CB1" w:rsidRDefault="008E3B7F" w:rsidP="00572F2C">
            <w:pPr>
              <w:spacing w:after="0" w:line="240" w:lineRule="auto"/>
              <w:jc w:val="center"/>
              <w:rPr>
                <w:rFonts w:eastAsia="Calibri" w:cs="Times New Roman"/>
              </w:rPr>
            </w:pPr>
          </w:p>
        </w:tc>
        <w:tc>
          <w:tcPr>
            <w:tcW w:w="3529" w:type="dxa"/>
            <w:gridSpan w:val="3"/>
            <w:shd w:val="clear" w:color="auto" w:fill="auto"/>
          </w:tcPr>
          <w:p w14:paraId="4E36CD08" w14:textId="77777777" w:rsidR="008E3B7F" w:rsidRPr="003C7CB1" w:rsidRDefault="008E3B7F" w:rsidP="00572F2C">
            <w:pPr>
              <w:spacing w:after="0" w:line="240" w:lineRule="auto"/>
              <w:jc w:val="center"/>
              <w:rPr>
                <w:rFonts w:eastAsia="Calibri" w:cs="Times New Roman"/>
              </w:rPr>
            </w:pPr>
          </w:p>
        </w:tc>
      </w:tr>
      <w:tr w:rsidR="008E3B7F" w:rsidRPr="003C7CB1" w14:paraId="06B57B8B" w14:textId="77777777" w:rsidTr="00E35851">
        <w:trPr>
          <w:jc w:val="center"/>
        </w:trPr>
        <w:tc>
          <w:tcPr>
            <w:tcW w:w="3420" w:type="dxa"/>
            <w:shd w:val="clear" w:color="auto" w:fill="auto"/>
          </w:tcPr>
          <w:p w14:paraId="59937DB7" w14:textId="7370E4D7" w:rsidR="008E3B7F" w:rsidRPr="003C7CB1" w:rsidRDefault="0020217A" w:rsidP="00E35851">
            <w:pPr>
              <w:spacing w:after="0" w:line="240" w:lineRule="auto"/>
              <w:rPr>
                <w:rFonts w:eastAsia="Calibri" w:cs="Times New Roman"/>
              </w:rPr>
            </w:pPr>
            <w:r w:rsidRPr="003C7CB1">
              <w:rPr>
                <w:rFonts w:eastAsia="Calibri" w:cs="Times New Roman"/>
              </w:rPr>
              <w:t>Number of new tourism products</w:t>
            </w:r>
          </w:p>
        </w:tc>
        <w:tc>
          <w:tcPr>
            <w:tcW w:w="3420" w:type="dxa"/>
            <w:shd w:val="clear" w:color="auto" w:fill="auto"/>
          </w:tcPr>
          <w:p w14:paraId="0A4ACE1E" w14:textId="6A6FC063" w:rsidR="008E3B7F" w:rsidRPr="003C7CB1" w:rsidRDefault="00395408" w:rsidP="00572F2C">
            <w:pPr>
              <w:spacing w:after="0" w:line="240" w:lineRule="auto"/>
              <w:jc w:val="center"/>
              <w:rPr>
                <w:rFonts w:eastAsia="Calibri" w:cs="Times New Roman"/>
              </w:rPr>
            </w:pPr>
            <w:r w:rsidRPr="003C7CB1">
              <w:rPr>
                <w:rFonts w:eastAsia="Calibri" w:cs="Times New Roman"/>
              </w:rPr>
              <w:t>1</w:t>
            </w:r>
          </w:p>
        </w:tc>
        <w:tc>
          <w:tcPr>
            <w:tcW w:w="3311" w:type="dxa"/>
            <w:gridSpan w:val="2"/>
            <w:shd w:val="clear" w:color="auto" w:fill="auto"/>
          </w:tcPr>
          <w:p w14:paraId="72D2194E" w14:textId="22DD377F" w:rsidR="008E3B7F" w:rsidRPr="003C7CB1" w:rsidRDefault="00395408" w:rsidP="00572F2C">
            <w:pPr>
              <w:spacing w:after="0" w:line="240" w:lineRule="auto"/>
              <w:jc w:val="center"/>
              <w:rPr>
                <w:rFonts w:eastAsia="Calibri" w:cs="Times New Roman"/>
              </w:rPr>
            </w:pPr>
            <w:r w:rsidRPr="003C7CB1">
              <w:rPr>
                <w:rFonts w:eastAsia="Calibri" w:cs="Times New Roman"/>
              </w:rPr>
              <w:t xml:space="preserve">+ </w:t>
            </w:r>
            <w:r w:rsidR="00065EED" w:rsidRPr="003C7CB1">
              <w:rPr>
                <w:rFonts w:eastAsia="Calibri" w:cs="Times New Roman"/>
              </w:rPr>
              <w:t>2</w:t>
            </w:r>
          </w:p>
        </w:tc>
        <w:tc>
          <w:tcPr>
            <w:tcW w:w="3529" w:type="dxa"/>
            <w:gridSpan w:val="3"/>
            <w:shd w:val="clear" w:color="auto" w:fill="auto"/>
          </w:tcPr>
          <w:p w14:paraId="43EC6C1A" w14:textId="3D0711A3" w:rsidR="009F397D" w:rsidRPr="003C7CB1" w:rsidRDefault="009F397D" w:rsidP="00572F2C">
            <w:pPr>
              <w:spacing w:after="0" w:line="240" w:lineRule="auto"/>
              <w:jc w:val="center"/>
              <w:rPr>
                <w:rFonts w:eastAsia="Calibri" w:cs="Times New Roman"/>
              </w:rPr>
            </w:pPr>
            <w:r w:rsidRPr="003C7CB1">
              <w:rPr>
                <w:rFonts w:eastAsia="Calibri" w:cs="Times New Roman"/>
              </w:rPr>
              <w:t xml:space="preserve">+ </w:t>
            </w:r>
            <w:r w:rsidR="006A4D9F" w:rsidRPr="003C7CB1">
              <w:rPr>
                <w:rFonts w:eastAsia="Calibri" w:cs="Times New Roman"/>
              </w:rPr>
              <w:t>1</w:t>
            </w:r>
            <w:r w:rsidRPr="003C7CB1">
              <w:rPr>
                <w:rFonts w:eastAsia="Calibri" w:cs="Times New Roman"/>
              </w:rPr>
              <w:t xml:space="preserve"> </w:t>
            </w:r>
          </w:p>
          <w:p w14:paraId="0121BF53" w14:textId="6F575181" w:rsidR="008E3B7F" w:rsidRPr="003C7CB1" w:rsidRDefault="009F397D" w:rsidP="00572F2C">
            <w:pPr>
              <w:spacing w:after="0" w:line="240" w:lineRule="auto"/>
              <w:jc w:val="center"/>
              <w:rPr>
                <w:rFonts w:eastAsia="Calibri" w:cs="Times New Roman"/>
              </w:rPr>
            </w:pPr>
            <w:r w:rsidRPr="003C7CB1">
              <w:rPr>
                <w:rFonts w:eastAsia="Calibri" w:cs="Times New Roman"/>
              </w:rPr>
              <w:t>(</w:t>
            </w:r>
            <w:r w:rsidR="0020217A" w:rsidRPr="003C7CB1">
              <w:rPr>
                <w:rFonts w:eastAsia="Calibri" w:cs="Times New Roman"/>
              </w:rPr>
              <w:t>compared to 2023</w:t>
            </w:r>
            <w:r w:rsidRPr="003C7CB1">
              <w:rPr>
                <w:rFonts w:eastAsia="Calibri" w:cs="Times New Roman"/>
              </w:rPr>
              <w:t>)</w:t>
            </w:r>
          </w:p>
        </w:tc>
      </w:tr>
      <w:tr w:rsidR="008E3B7F" w:rsidRPr="003C7CB1" w14:paraId="2A924AA1" w14:textId="77777777" w:rsidTr="00E35851">
        <w:trPr>
          <w:jc w:val="center"/>
        </w:trPr>
        <w:tc>
          <w:tcPr>
            <w:tcW w:w="13680" w:type="dxa"/>
            <w:gridSpan w:val="7"/>
            <w:shd w:val="clear" w:color="auto" w:fill="B4C6E7" w:themeFill="accent1" w:themeFillTint="66"/>
          </w:tcPr>
          <w:p w14:paraId="7B51334C" w14:textId="77777777" w:rsidR="008E3B7F" w:rsidRPr="003C7CB1" w:rsidRDefault="008E3B7F" w:rsidP="00E35851">
            <w:pPr>
              <w:contextualSpacing/>
              <w:jc w:val="center"/>
              <w:rPr>
                <w:rFonts w:eastAsia="Calibri" w:cs="Calibri"/>
                <w:b/>
                <w:bCs/>
              </w:rPr>
            </w:pPr>
          </w:p>
          <w:p w14:paraId="604226A5" w14:textId="20B25F6C" w:rsidR="00A80427" w:rsidRPr="003C7CB1" w:rsidRDefault="00DD73E8" w:rsidP="00E35851">
            <w:pPr>
              <w:contextualSpacing/>
              <w:jc w:val="center"/>
              <w:rPr>
                <w:rFonts w:eastAsia="Calibri" w:cs="Calibri"/>
                <w:b/>
                <w:bCs/>
              </w:rPr>
            </w:pPr>
            <w:r w:rsidRPr="003C7CB1">
              <w:rPr>
                <w:rFonts w:eastAsia="Calibri" w:cs="Calibri"/>
                <w:b/>
                <w:bCs/>
              </w:rPr>
              <w:t xml:space="preserve">Operational goal </w:t>
            </w:r>
            <w:r w:rsidR="008E3B7F" w:rsidRPr="003C7CB1">
              <w:rPr>
                <w:rFonts w:eastAsia="Calibri" w:cs="Calibri"/>
                <w:b/>
                <w:bCs/>
              </w:rPr>
              <w:t>5</w:t>
            </w:r>
          </w:p>
          <w:p w14:paraId="23AF840B" w14:textId="603696AD" w:rsidR="008E3B7F" w:rsidRPr="003C7CB1" w:rsidRDefault="0020217A" w:rsidP="00901665">
            <w:pPr>
              <w:contextualSpacing/>
              <w:jc w:val="center"/>
              <w:rPr>
                <w:rFonts w:eastAsia="Calibri" w:cs="Calibri"/>
                <w:b/>
                <w:bCs/>
              </w:rPr>
            </w:pPr>
            <w:r w:rsidRPr="003C7CB1">
              <w:rPr>
                <w:rFonts w:eastAsia="Calibri" w:cs="Calibri"/>
                <w:b/>
                <w:bCs/>
              </w:rPr>
              <w:t>Improved human resources, knowledge and skills in tourism</w:t>
            </w:r>
          </w:p>
          <w:p w14:paraId="653482FF" w14:textId="084A4115" w:rsidR="00901665" w:rsidRPr="003C7CB1" w:rsidRDefault="00901665" w:rsidP="00901665">
            <w:pPr>
              <w:contextualSpacing/>
              <w:jc w:val="center"/>
              <w:rPr>
                <w:rFonts w:eastAsia="Calibri" w:cs="Calibri"/>
                <w:b/>
                <w:bCs/>
              </w:rPr>
            </w:pPr>
          </w:p>
        </w:tc>
      </w:tr>
      <w:tr w:rsidR="008E3B7F" w:rsidRPr="003C7CB1" w14:paraId="5F3505C3" w14:textId="77777777" w:rsidTr="00E35851">
        <w:trPr>
          <w:jc w:val="center"/>
        </w:trPr>
        <w:tc>
          <w:tcPr>
            <w:tcW w:w="3420" w:type="dxa"/>
            <w:shd w:val="clear" w:color="auto" w:fill="auto"/>
          </w:tcPr>
          <w:p w14:paraId="4945BBBC" w14:textId="0A224C2F"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w:t>
            </w:r>
          </w:p>
        </w:tc>
        <w:tc>
          <w:tcPr>
            <w:tcW w:w="3420" w:type="dxa"/>
            <w:shd w:val="clear" w:color="auto" w:fill="auto"/>
          </w:tcPr>
          <w:p w14:paraId="133FEC73" w14:textId="5BBB4D71" w:rsidR="008E3B7F" w:rsidRPr="003C7CB1" w:rsidRDefault="00161D4C" w:rsidP="006E592E">
            <w:pPr>
              <w:spacing w:after="0" w:line="240" w:lineRule="auto"/>
              <w:jc w:val="center"/>
              <w:rPr>
                <w:rFonts w:eastAsia="Calibri" w:cs="Times New Roman"/>
                <w:b/>
              </w:rPr>
            </w:pPr>
            <w:r w:rsidRPr="003C7CB1">
              <w:rPr>
                <w:rFonts w:eastAsia="Calibri" w:cs="Times New Roman"/>
                <w:b/>
              </w:rPr>
              <w:t>Initial value for 2021</w:t>
            </w:r>
          </w:p>
        </w:tc>
        <w:tc>
          <w:tcPr>
            <w:tcW w:w="3311" w:type="dxa"/>
            <w:gridSpan w:val="2"/>
            <w:shd w:val="clear" w:color="auto" w:fill="auto"/>
          </w:tcPr>
          <w:p w14:paraId="165EA064" w14:textId="6F523C26" w:rsidR="008E3B7F" w:rsidRPr="003C7CB1" w:rsidRDefault="00DD73E8" w:rsidP="006E592E">
            <w:pPr>
              <w:spacing w:after="0" w:line="240" w:lineRule="auto"/>
              <w:jc w:val="center"/>
              <w:rPr>
                <w:rFonts w:eastAsia="Calibri" w:cs="Times New Roman"/>
                <w:b/>
              </w:rPr>
            </w:pPr>
            <w:r w:rsidRPr="003C7CB1">
              <w:rPr>
                <w:rFonts w:eastAsia="Calibri" w:cs="Times New Roman"/>
                <w:b/>
              </w:rPr>
              <w:t>Target value for 2023.</w:t>
            </w:r>
          </w:p>
        </w:tc>
        <w:tc>
          <w:tcPr>
            <w:tcW w:w="3529" w:type="dxa"/>
            <w:gridSpan w:val="3"/>
            <w:shd w:val="clear" w:color="auto" w:fill="auto"/>
          </w:tcPr>
          <w:p w14:paraId="473BE10A" w14:textId="1860C926" w:rsidR="008E3B7F" w:rsidRPr="003C7CB1" w:rsidRDefault="00161D4C" w:rsidP="006E592E">
            <w:pPr>
              <w:spacing w:after="0" w:line="240" w:lineRule="auto"/>
              <w:jc w:val="center"/>
              <w:rPr>
                <w:rFonts w:eastAsia="Calibri" w:cs="Times New Roman"/>
                <w:b/>
              </w:rPr>
            </w:pPr>
            <w:r w:rsidRPr="003C7CB1">
              <w:rPr>
                <w:rFonts w:eastAsia="Calibri" w:cs="Times New Roman"/>
                <w:b/>
              </w:rPr>
              <w:t>Target value for 2025</w:t>
            </w:r>
          </w:p>
        </w:tc>
      </w:tr>
      <w:tr w:rsidR="008E3B7F" w:rsidRPr="003C7CB1" w14:paraId="6C2C56E3" w14:textId="77777777" w:rsidTr="00E35851">
        <w:trPr>
          <w:jc w:val="center"/>
        </w:trPr>
        <w:tc>
          <w:tcPr>
            <w:tcW w:w="3420" w:type="dxa"/>
            <w:shd w:val="clear" w:color="auto" w:fill="auto"/>
          </w:tcPr>
          <w:p w14:paraId="102AEE79" w14:textId="7CBD035A"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 No</w:t>
            </w:r>
            <w:r w:rsidR="008E3B7F" w:rsidRPr="003C7CB1">
              <w:rPr>
                <w:rFonts w:eastAsia="Calibri" w:cs="Times New Roman"/>
                <w:b/>
                <w:i/>
              </w:rPr>
              <w:t>. 1:</w:t>
            </w:r>
          </w:p>
        </w:tc>
        <w:tc>
          <w:tcPr>
            <w:tcW w:w="3420" w:type="dxa"/>
            <w:shd w:val="clear" w:color="auto" w:fill="auto"/>
          </w:tcPr>
          <w:p w14:paraId="5A0B4942" w14:textId="77777777" w:rsidR="008E3B7F" w:rsidRPr="003C7CB1" w:rsidRDefault="008E3B7F" w:rsidP="00E35851">
            <w:pPr>
              <w:spacing w:after="0" w:line="240" w:lineRule="auto"/>
              <w:rPr>
                <w:rFonts w:eastAsia="Calibri" w:cs="Times New Roman"/>
              </w:rPr>
            </w:pPr>
          </w:p>
        </w:tc>
        <w:tc>
          <w:tcPr>
            <w:tcW w:w="3311" w:type="dxa"/>
            <w:gridSpan w:val="2"/>
            <w:shd w:val="clear" w:color="auto" w:fill="auto"/>
          </w:tcPr>
          <w:p w14:paraId="7E0656BE" w14:textId="77777777" w:rsidR="008E3B7F" w:rsidRPr="003C7CB1" w:rsidRDefault="008E3B7F" w:rsidP="00E35851">
            <w:pPr>
              <w:spacing w:after="0" w:line="240" w:lineRule="auto"/>
              <w:rPr>
                <w:rFonts w:eastAsia="Calibri" w:cs="Times New Roman"/>
              </w:rPr>
            </w:pPr>
          </w:p>
        </w:tc>
        <w:tc>
          <w:tcPr>
            <w:tcW w:w="3529" w:type="dxa"/>
            <w:gridSpan w:val="3"/>
            <w:shd w:val="clear" w:color="auto" w:fill="auto"/>
          </w:tcPr>
          <w:p w14:paraId="543ABB32" w14:textId="77777777" w:rsidR="008E3B7F" w:rsidRPr="003C7CB1" w:rsidRDefault="008E3B7F" w:rsidP="00E35851">
            <w:pPr>
              <w:spacing w:after="0" w:line="240" w:lineRule="auto"/>
              <w:rPr>
                <w:rFonts w:eastAsia="Calibri" w:cs="Times New Roman"/>
              </w:rPr>
            </w:pPr>
          </w:p>
        </w:tc>
      </w:tr>
      <w:tr w:rsidR="008E3B7F" w:rsidRPr="003C7CB1" w14:paraId="73BADF64" w14:textId="77777777" w:rsidTr="00E35851">
        <w:trPr>
          <w:trHeight w:val="507"/>
          <w:jc w:val="center"/>
        </w:trPr>
        <w:tc>
          <w:tcPr>
            <w:tcW w:w="3420" w:type="dxa"/>
            <w:shd w:val="clear" w:color="auto" w:fill="auto"/>
          </w:tcPr>
          <w:p w14:paraId="7C0E279D" w14:textId="45FC3DCE" w:rsidR="008E3B7F" w:rsidRPr="003C7CB1" w:rsidRDefault="0020217A" w:rsidP="00E35851">
            <w:pPr>
              <w:spacing w:after="0" w:line="240" w:lineRule="auto"/>
              <w:rPr>
                <w:rFonts w:eastAsia="Calibri" w:cs="Times New Roman"/>
              </w:rPr>
            </w:pPr>
            <w:r w:rsidRPr="003C7CB1">
              <w:rPr>
                <w:rFonts w:eastAsia="Calibri" w:cs="Times New Roman"/>
              </w:rPr>
              <w:t>Number of trainings and additional trainings for staff in tourism</w:t>
            </w:r>
          </w:p>
        </w:tc>
        <w:tc>
          <w:tcPr>
            <w:tcW w:w="3420" w:type="dxa"/>
            <w:shd w:val="clear" w:color="auto" w:fill="auto"/>
          </w:tcPr>
          <w:p w14:paraId="4612BAA1" w14:textId="77777777" w:rsidR="008E3B7F" w:rsidRPr="003C7CB1" w:rsidRDefault="008E3B7F" w:rsidP="00572F2C">
            <w:pPr>
              <w:spacing w:after="0" w:line="240" w:lineRule="auto"/>
              <w:jc w:val="center"/>
              <w:rPr>
                <w:rFonts w:eastAsia="Calibri" w:cs="Times New Roman"/>
              </w:rPr>
            </w:pPr>
            <w:r w:rsidRPr="003C7CB1">
              <w:rPr>
                <w:rFonts w:eastAsia="Calibri" w:cs="Times New Roman"/>
              </w:rPr>
              <w:t>0</w:t>
            </w:r>
          </w:p>
        </w:tc>
        <w:tc>
          <w:tcPr>
            <w:tcW w:w="3311" w:type="dxa"/>
            <w:gridSpan w:val="2"/>
            <w:shd w:val="clear" w:color="auto" w:fill="auto"/>
          </w:tcPr>
          <w:p w14:paraId="578E916C" w14:textId="04600612" w:rsidR="008E3B7F" w:rsidRPr="003C7CB1" w:rsidRDefault="008E3B7F" w:rsidP="00572F2C">
            <w:pPr>
              <w:spacing w:after="0" w:line="240" w:lineRule="auto"/>
              <w:jc w:val="center"/>
              <w:rPr>
                <w:rFonts w:eastAsia="Calibri" w:cs="Times New Roman"/>
              </w:rPr>
            </w:pPr>
            <w:r w:rsidRPr="003C7CB1">
              <w:rPr>
                <w:rFonts w:eastAsia="Calibri" w:cs="Times New Roman"/>
              </w:rPr>
              <w:t>10</w:t>
            </w:r>
          </w:p>
        </w:tc>
        <w:tc>
          <w:tcPr>
            <w:tcW w:w="3529" w:type="dxa"/>
            <w:gridSpan w:val="3"/>
            <w:shd w:val="clear" w:color="auto" w:fill="auto"/>
          </w:tcPr>
          <w:p w14:paraId="136DBB65" w14:textId="77777777" w:rsidR="008E3B7F" w:rsidRPr="003C7CB1" w:rsidRDefault="008E3B7F" w:rsidP="00572F2C">
            <w:pPr>
              <w:spacing w:after="0" w:line="240" w:lineRule="auto"/>
              <w:jc w:val="center"/>
              <w:rPr>
                <w:rFonts w:eastAsia="Calibri" w:cs="Times New Roman"/>
              </w:rPr>
            </w:pPr>
            <w:r w:rsidRPr="003C7CB1">
              <w:rPr>
                <w:rFonts w:eastAsia="Calibri" w:cs="Times New Roman"/>
              </w:rPr>
              <w:t>15</w:t>
            </w:r>
          </w:p>
        </w:tc>
      </w:tr>
      <w:tr w:rsidR="008E3B7F" w:rsidRPr="003C7CB1" w14:paraId="13EA06F4" w14:textId="77777777" w:rsidTr="00E35851">
        <w:trPr>
          <w:jc w:val="center"/>
        </w:trPr>
        <w:tc>
          <w:tcPr>
            <w:tcW w:w="13680" w:type="dxa"/>
            <w:gridSpan w:val="7"/>
            <w:shd w:val="clear" w:color="auto" w:fill="B4C6E7" w:themeFill="accent1" w:themeFillTint="66"/>
          </w:tcPr>
          <w:p w14:paraId="6318E707" w14:textId="77777777" w:rsidR="008E3B7F" w:rsidRPr="003C7CB1" w:rsidRDefault="008E3B7F" w:rsidP="00E35851">
            <w:pPr>
              <w:contextualSpacing/>
              <w:jc w:val="center"/>
              <w:rPr>
                <w:rFonts w:eastAsia="Calibri" w:cs="Calibri"/>
                <w:b/>
              </w:rPr>
            </w:pPr>
          </w:p>
          <w:p w14:paraId="0EA52FD9" w14:textId="5FB742D9" w:rsidR="00A80427" w:rsidRPr="003C7CB1" w:rsidRDefault="00DD73E8" w:rsidP="00E35851">
            <w:pPr>
              <w:contextualSpacing/>
              <w:jc w:val="center"/>
              <w:rPr>
                <w:rFonts w:eastAsia="Calibri" w:cs="Calibri"/>
                <w:b/>
              </w:rPr>
            </w:pPr>
            <w:r w:rsidRPr="003C7CB1">
              <w:rPr>
                <w:rFonts w:eastAsia="Calibri" w:cs="Calibri"/>
                <w:b/>
              </w:rPr>
              <w:t xml:space="preserve">Operational goal </w:t>
            </w:r>
            <w:r w:rsidR="008E3B7F" w:rsidRPr="003C7CB1">
              <w:rPr>
                <w:rFonts w:eastAsia="Calibri" w:cs="Calibri"/>
                <w:b/>
              </w:rPr>
              <w:t>6</w:t>
            </w:r>
          </w:p>
          <w:p w14:paraId="4D63E05E" w14:textId="0C229744" w:rsidR="008E3B7F" w:rsidRPr="003C7CB1" w:rsidRDefault="0020217A" w:rsidP="00E35851">
            <w:pPr>
              <w:contextualSpacing/>
              <w:jc w:val="center"/>
              <w:rPr>
                <w:rFonts w:eastAsia="Calibri" w:cs="Calibri"/>
                <w:b/>
              </w:rPr>
            </w:pPr>
            <w:r w:rsidRPr="003C7CB1">
              <w:rPr>
                <w:rFonts w:eastAsia="Calibri" w:cs="Calibri"/>
                <w:b/>
              </w:rPr>
              <w:t>Development of digital, innovative solutions and new technologies in tourism</w:t>
            </w:r>
          </w:p>
          <w:p w14:paraId="0BA35469" w14:textId="77777777" w:rsidR="008E3B7F" w:rsidRPr="003C7CB1" w:rsidRDefault="008E3B7F" w:rsidP="00E35851">
            <w:pPr>
              <w:contextualSpacing/>
              <w:jc w:val="center"/>
              <w:rPr>
                <w:rFonts w:eastAsia="Calibri" w:cs="Calibri"/>
                <w:b/>
              </w:rPr>
            </w:pPr>
          </w:p>
        </w:tc>
      </w:tr>
      <w:tr w:rsidR="008E3B7F" w:rsidRPr="003C7CB1" w14:paraId="07FCB112" w14:textId="77777777" w:rsidTr="00E35851">
        <w:trPr>
          <w:jc w:val="center"/>
        </w:trPr>
        <w:tc>
          <w:tcPr>
            <w:tcW w:w="3420" w:type="dxa"/>
            <w:shd w:val="clear" w:color="auto" w:fill="auto"/>
          </w:tcPr>
          <w:p w14:paraId="14198B12" w14:textId="769AD95F"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w:t>
            </w:r>
          </w:p>
        </w:tc>
        <w:tc>
          <w:tcPr>
            <w:tcW w:w="3420" w:type="dxa"/>
            <w:shd w:val="clear" w:color="auto" w:fill="auto"/>
          </w:tcPr>
          <w:p w14:paraId="32F8EF82" w14:textId="415AB2ED" w:rsidR="008E3B7F" w:rsidRPr="003C7CB1" w:rsidRDefault="00161D4C" w:rsidP="006E592E">
            <w:pPr>
              <w:spacing w:after="0" w:line="240" w:lineRule="auto"/>
              <w:jc w:val="center"/>
              <w:rPr>
                <w:rFonts w:eastAsia="Calibri" w:cs="Times New Roman"/>
                <w:b/>
              </w:rPr>
            </w:pPr>
            <w:r w:rsidRPr="003C7CB1">
              <w:rPr>
                <w:rFonts w:eastAsia="Calibri" w:cs="Times New Roman"/>
                <w:b/>
              </w:rPr>
              <w:t>Initial value for 2021</w:t>
            </w:r>
          </w:p>
        </w:tc>
        <w:tc>
          <w:tcPr>
            <w:tcW w:w="3311" w:type="dxa"/>
            <w:gridSpan w:val="2"/>
            <w:shd w:val="clear" w:color="auto" w:fill="auto"/>
          </w:tcPr>
          <w:p w14:paraId="13090A06" w14:textId="4E5FF1B9" w:rsidR="008E3B7F" w:rsidRPr="003C7CB1" w:rsidRDefault="00DD73E8" w:rsidP="006E592E">
            <w:pPr>
              <w:spacing w:after="0" w:line="240" w:lineRule="auto"/>
              <w:jc w:val="center"/>
              <w:rPr>
                <w:rFonts w:eastAsia="Calibri" w:cs="Times New Roman"/>
                <w:b/>
              </w:rPr>
            </w:pPr>
            <w:r w:rsidRPr="003C7CB1">
              <w:rPr>
                <w:rFonts w:eastAsia="Calibri" w:cs="Times New Roman"/>
                <w:b/>
              </w:rPr>
              <w:t>Target value for 2023.</w:t>
            </w:r>
          </w:p>
        </w:tc>
        <w:tc>
          <w:tcPr>
            <w:tcW w:w="3529" w:type="dxa"/>
            <w:gridSpan w:val="3"/>
            <w:shd w:val="clear" w:color="auto" w:fill="auto"/>
          </w:tcPr>
          <w:p w14:paraId="5CD239B5" w14:textId="7A14E14B" w:rsidR="008E3B7F" w:rsidRPr="003C7CB1" w:rsidRDefault="00161D4C" w:rsidP="006E592E">
            <w:pPr>
              <w:spacing w:after="0" w:line="240" w:lineRule="auto"/>
              <w:jc w:val="center"/>
              <w:rPr>
                <w:rFonts w:eastAsia="Calibri" w:cs="Times New Roman"/>
                <w:b/>
              </w:rPr>
            </w:pPr>
            <w:r w:rsidRPr="003C7CB1">
              <w:rPr>
                <w:rFonts w:eastAsia="Calibri" w:cs="Times New Roman"/>
                <w:b/>
              </w:rPr>
              <w:t>Target value for 2025</w:t>
            </w:r>
          </w:p>
        </w:tc>
      </w:tr>
      <w:tr w:rsidR="008E3B7F" w:rsidRPr="003C7CB1" w14:paraId="6AFFD7A2" w14:textId="77777777" w:rsidTr="00E35851">
        <w:trPr>
          <w:jc w:val="center"/>
        </w:trPr>
        <w:tc>
          <w:tcPr>
            <w:tcW w:w="3420" w:type="dxa"/>
            <w:shd w:val="clear" w:color="auto" w:fill="auto"/>
          </w:tcPr>
          <w:p w14:paraId="0421AAA0" w14:textId="41C3DE2A"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 No</w:t>
            </w:r>
            <w:r w:rsidR="008E3B7F" w:rsidRPr="003C7CB1">
              <w:rPr>
                <w:rFonts w:eastAsia="Calibri" w:cs="Times New Roman"/>
                <w:b/>
                <w:i/>
              </w:rPr>
              <w:t>. 1:</w:t>
            </w:r>
          </w:p>
        </w:tc>
        <w:tc>
          <w:tcPr>
            <w:tcW w:w="3420" w:type="dxa"/>
            <w:shd w:val="clear" w:color="auto" w:fill="auto"/>
          </w:tcPr>
          <w:p w14:paraId="1A9B809D" w14:textId="77777777" w:rsidR="008E3B7F" w:rsidRPr="003C7CB1" w:rsidRDefault="008E3B7F" w:rsidP="00E35851">
            <w:pPr>
              <w:spacing w:after="0" w:line="240" w:lineRule="auto"/>
              <w:rPr>
                <w:rFonts w:eastAsia="Calibri" w:cs="Times New Roman"/>
              </w:rPr>
            </w:pPr>
          </w:p>
        </w:tc>
        <w:tc>
          <w:tcPr>
            <w:tcW w:w="3311" w:type="dxa"/>
            <w:gridSpan w:val="2"/>
            <w:shd w:val="clear" w:color="auto" w:fill="auto"/>
          </w:tcPr>
          <w:p w14:paraId="5AA1BB42" w14:textId="77777777" w:rsidR="008E3B7F" w:rsidRPr="003C7CB1" w:rsidRDefault="008E3B7F" w:rsidP="00E35851">
            <w:pPr>
              <w:spacing w:after="0" w:line="240" w:lineRule="auto"/>
              <w:rPr>
                <w:rFonts w:eastAsia="Calibri" w:cs="Times New Roman"/>
              </w:rPr>
            </w:pPr>
          </w:p>
        </w:tc>
        <w:tc>
          <w:tcPr>
            <w:tcW w:w="3529" w:type="dxa"/>
            <w:gridSpan w:val="3"/>
            <w:shd w:val="clear" w:color="auto" w:fill="auto"/>
          </w:tcPr>
          <w:p w14:paraId="0999C3F9" w14:textId="77777777" w:rsidR="008E3B7F" w:rsidRPr="003C7CB1" w:rsidRDefault="008E3B7F" w:rsidP="00E35851">
            <w:pPr>
              <w:spacing w:after="0" w:line="240" w:lineRule="auto"/>
              <w:rPr>
                <w:rFonts w:eastAsia="Calibri" w:cs="Times New Roman"/>
              </w:rPr>
            </w:pPr>
          </w:p>
        </w:tc>
      </w:tr>
      <w:tr w:rsidR="008E3B7F" w:rsidRPr="003C7CB1" w14:paraId="51BEB2AE" w14:textId="77777777" w:rsidTr="00E35851">
        <w:trPr>
          <w:trHeight w:val="507"/>
          <w:jc w:val="center"/>
        </w:trPr>
        <w:tc>
          <w:tcPr>
            <w:tcW w:w="3420" w:type="dxa"/>
            <w:shd w:val="clear" w:color="auto" w:fill="auto"/>
          </w:tcPr>
          <w:p w14:paraId="74005A2F" w14:textId="487C7F98" w:rsidR="008E3B7F" w:rsidRPr="003C7CB1" w:rsidRDefault="0020217A" w:rsidP="00E35851">
            <w:pPr>
              <w:spacing w:after="0" w:line="240" w:lineRule="auto"/>
              <w:rPr>
                <w:rFonts w:eastAsia="Calibri" w:cs="Times New Roman"/>
              </w:rPr>
            </w:pPr>
            <w:r w:rsidRPr="003C7CB1">
              <w:rPr>
                <w:rFonts w:eastAsia="Calibri" w:cs="Times New Roman"/>
              </w:rPr>
              <w:t>Number of implemented innovative / digital projects</w:t>
            </w:r>
          </w:p>
        </w:tc>
        <w:tc>
          <w:tcPr>
            <w:tcW w:w="3420" w:type="dxa"/>
            <w:shd w:val="clear" w:color="auto" w:fill="auto"/>
          </w:tcPr>
          <w:p w14:paraId="4C90B27D" w14:textId="77777777" w:rsidR="008E3B7F" w:rsidRPr="003C7CB1" w:rsidRDefault="008E3B7F" w:rsidP="00572F2C">
            <w:pPr>
              <w:spacing w:after="0" w:line="240" w:lineRule="auto"/>
              <w:jc w:val="center"/>
              <w:rPr>
                <w:rFonts w:eastAsia="Calibri" w:cs="Times New Roman"/>
              </w:rPr>
            </w:pPr>
            <w:r w:rsidRPr="003C7CB1">
              <w:rPr>
                <w:rFonts w:eastAsia="Calibri" w:cs="Times New Roman"/>
              </w:rPr>
              <w:t>0</w:t>
            </w:r>
          </w:p>
        </w:tc>
        <w:tc>
          <w:tcPr>
            <w:tcW w:w="3311" w:type="dxa"/>
            <w:gridSpan w:val="2"/>
            <w:shd w:val="clear" w:color="auto" w:fill="auto"/>
          </w:tcPr>
          <w:p w14:paraId="661C3129" w14:textId="77777777" w:rsidR="008E3B7F" w:rsidRPr="003C7CB1" w:rsidRDefault="008E3B7F" w:rsidP="00572F2C">
            <w:pPr>
              <w:spacing w:after="0" w:line="240" w:lineRule="auto"/>
              <w:jc w:val="center"/>
              <w:rPr>
                <w:rFonts w:eastAsia="Calibri" w:cs="Times New Roman"/>
              </w:rPr>
            </w:pPr>
            <w:r w:rsidRPr="003C7CB1">
              <w:rPr>
                <w:rFonts w:eastAsia="Calibri" w:cs="Times New Roman"/>
              </w:rPr>
              <w:t>3</w:t>
            </w:r>
          </w:p>
        </w:tc>
        <w:tc>
          <w:tcPr>
            <w:tcW w:w="3529" w:type="dxa"/>
            <w:gridSpan w:val="3"/>
            <w:shd w:val="clear" w:color="auto" w:fill="auto"/>
          </w:tcPr>
          <w:p w14:paraId="6296E43C" w14:textId="77777777" w:rsidR="008E3B7F" w:rsidRPr="003C7CB1" w:rsidRDefault="008E3B7F" w:rsidP="00572F2C">
            <w:pPr>
              <w:spacing w:after="0" w:line="240" w:lineRule="auto"/>
              <w:jc w:val="center"/>
              <w:rPr>
                <w:rFonts w:eastAsia="Calibri" w:cs="Times New Roman"/>
              </w:rPr>
            </w:pPr>
            <w:r w:rsidRPr="003C7CB1">
              <w:rPr>
                <w:rFonts w:eastAsia="Calibri" w:cs="Times New Roman"/>
              </w:rPr>
              <w:t>5</w:t>
            </w:r>
          </w:p>
        </w:tc>
      </w:tr>
      <w:tr w:rsidR="008E3B7F" w:rsidRPr="003C7CB1" w14:paraId="365C60D8" w14:textId="77777777" w:rsidTr="00DB3950">
        <w:trPr>
          <w:jc w:val="center"/>
        </w:trPr>
        <w:tc>
          <w:tcPr>
            <w:tcW w:w="13680" w:type="dxa"/>
            <w:gridSpan w:val="7"/>
            <w:shd w:val="clear" w:color="auto" w:fill="B4C6E7" w:themeFill="accent1" w:themeFillTint="66"/>
            <w:vAlign w:val="center"/>
          </w:tcPr>
          <w:p w14:paraId="1BD991BC" w14:textId="77777777" w:rsidR="008E3B7F" w:rsidRPr="003C7CB1" w:rsidRDefault="008E3B7F" w:rsidP="00DB3950">
            <w:pPr>
              <w:contextualSpacing/>
              <w:jc w:val="center"/>
              <w:rPr>
                <w:rFonts w:eastAsia="Calibri" w:cs="Calibri"/>
                <w:b/>
              </w:rPr>
            </w:pPr>
          </w:p>
          <w:p w14:paraId="41C2D14D" w14:textId="6E54EE75" w:rsidR="00A80427" w:rsidRPr="003C7CB1" w:rsidRDefault="00DD73E8" w:rsidP="00DB3950">
            <w:pPr>
              <w:contextualSpacing/>
              <w:jc w:val="center"/>
              <w:rPr>
                <w:rFonts w:eastAsia="Calibri" w:cs="Calibri"/>
                <w:b/>
              </w:rPr>
            </w:pPr>
            <w:r w:rsidRPr="003C7CB1">
              <w:rPr>
                <w:rFonts w:eastAsia="Calibri" w:cs="Calibri"/>
                <w:b/>
              </w:rPr>
              <w:t xml:space="preserve">Operational goal </w:t>
            </w:r>
            <w:r w:rsidR="008E3B7F" w:rsidRPr="003C7CB1">
              <w:rPr>
                <w:rFonts w:eastAsia="Calibri" w:cs="Calibri"/>
                <w:b/>
              </w:rPr>
              <w:t>7</w:t>
            </w:r>
          </w:p>
          <w:p w14:paraId="40AE2664" w14:textId="3FA9E6A4" w:rsidR="008E3B7F" w:rsidRPr="003C7CB1" w:rsidRDefault="0020217A" w:rsidP="00DB3950">
            <w:pPr>
              <w:contextualSpacing/>
              <w:jc w:val="center"/>
              <w:rPr>
                <w:rFonts w:eastAsia="Calibri" w:cs="Calibri"/>
                <w:b/>
              </w:rPr>
            </w:pPr>
            <w:r w:rsidRPr="003C7CB1">
              <w:rPr>
                <w:rFonts w:eastAsia="Calibri" w:cs="Calibri"/>
                <w:b/>
              </w:rPr>
              <w:t>Globally recognized tourist destination</w:t>
            </w:r>
          </w:p>
          <w:p w14:paraId="04B88895" w14:textId="0D4F9259" w:rsidR="00901665" w:rsidRPr="003C7CB1" w:rsidRDefault="00901665" w:rsidP="00DB3950">
            <w:pPr>
              <w:contextualSpacing/>
              <w:jc w:val="center"/>
              <w:rPr>
                <w:rFonts w:eastAsia="Calibri" w:cs="Calibri"/>
                <w:b/>
              </w:rPr>
            </w:pPr>
          </w:p>
        </w:tc>
      </w:tr>
      <w:tr w:rsidR="008E3B7F" w:rsidRPr="003C7CB1" w14:paraId="128D9EEF" w14:textId="77777777" w:rsidTr="00E35851">
        <w:trPr>
          <w:jc w:val="center"/>
        </w:trPr>
        <w:tc>
          <w:tcPr>
            <w:tcW w:w="3420" w:type="dxa"/>
            <w:shd w:val="clear" w:color="auto" w:fill="auto"/>
          </w:tcPr>
          <w:p w14:paraId="10FC1876" w14:textId="63C08685" w:rsidR="008E3B7F" w:rsidRPr="003C7CB1" w:rsidRDefault="00DD73E8" w:rsidP="00E35851">
            <w:pPr>
              <w:spacing w:after="0" w:line="240" w:lineRule="auto"/>
              <w:rPr>
                <w:rFonts w:eastAsia="Calibri" w:cs="Times New Roman"/>
                <w:b/>
                <w:i/>
              </w:rPr>
            </w:pPr>
            <w:r w:rsidRPr="003C7CB1">
              <w:rPr>
                <w:rFonts w:eastAsia="Calibri" w:cs="Times New Roman"/>
                <w:b/>
                <w:i/>
              </w:rPr>
              <w:t>Performance indicator</w:t>
            </w:r>
          </w:p>
        </w:tc>
        <w:tc>
          <w:tcPr>
            <w:tcW w:w="3470" w:type="dxa"/>
            <w:gridSpan w:val="2"/>
            <w:shd w:val="clear" w:color="auto" w:fill="auto"/>
          </w:tcPr>
          <w:p w14:paraId="3243201D" w14:textId="69B4D782" w:rsidR="008E3B7F" w:rsidRPr="003C7CB1" w:rsidRDefault="00161D4C" w:rsidP="000A384E">
            <w:pPr>
              <w:spacing w:after="0" w:line="240" w:lineRule="auto"/>
              <w:jc w:val="center"/>
              <w:rPr>
                <w:rFonts w:eastAsia="Calibri" w:cs="Times New Roman"/>
                <w:b/>
              </w:rPr>
            </w:pPr>
            <w:r w:rsidRPr="003C7CB1">
              <w:rPr>
                <w:rFonts w:eastAsia="Calibri" w:cs="Times New Roman"/>
                <w:b/>
              </w:rPr>
              <w:t xml:space="preserve">Initial value for 2019 </w:t>
            </w:r>
            <w:r w:rsidR="008E3B7F" w:rsidRPr="003C7CB1">
              <w:rPr>
                <w:rFonts w:eastAsia="Calibri" w:cs="Times New Roman"/>
                <w:b/>
                <w:vertAlign w:val="superscript"/>
              </w:rPr>
              <w:footnoteReference w:id="69"/>
            </w:r>
          </w:p>
        </w:tc>
        <w:tc>
          <w:tcPr>
            <w:tcW w:w="3402" w:type="dxa"/>
            <w:gridSpan w:val="3"/>
            <w:shd w:val="clear" w:color="auto" w:fill="auto"/>
          </w:tcPr>
          <w:p w14:paraId="5433C9AE" w14:textId="789FD408" w:rsidR="008E3B7F" w:rsidRPr="003C7CB1" w:rsidRDefault="00DD73E8" w:rsidP="000A384E">
            <w:pPr>
              <w:spacing w:after="0" w:line="240" w:lineRule="auto"/>
              <w:jc w:val="center"/>
              <w:rPr>
                <w:rFonts w:eastAsia="Calibri" w:cs="Times New Roman"/>
                <w:b/>
              </w:rPr>
            </w:pPr>
            <w:r w:rsidRPr="003C7CB1">
              <w:rPr>
                <w:rFonts w:eastAsia="Calibri" w:cs="Times New Roman"/>
                <w:b/>
              </w:rPr>
              <w:t>Target value for 2023.</w:t>
            </w:r>
          </w:p>
        </w:tc>
        <w:tc>
          <w:tcPr>
            <w:tcW w:w="3388" w:type="dxa"/>
            <w:shd w:val="clear" w:color="auto" w:fill="auto"/>
          </w:tcPr>
          <w:p w14:paraId="61CD0D8C" w14:textId="14B74510" w:rsidR="008E3B7F" w:rsidRPr="003C7CB1" w:rsidRDefault="00161D4C" w:rsidP="000A384E">
            <w:pPr>
              <w:spacing w:after="0" w:line="240" w:lineRule="auto"/>
              <w:jc w:val="center"/>
              <w:rPr>
                <w:rFonts w:eastAsia="Calibri" w:cs="Times New Roman"/>
                <w:b/>
              </w:rPr>
            </w:pPr>
            <w:r w:rsidRPr="003C7CB1">
              <w:rPr>
                <w:rFonts w:eastAsia="Calibri" w:cs="Times New Roman"/>
                <w:b/>
              </w:rPr>
              <w:t>Target value for 2025</w:t>
            </w:r>
          </w:p>
        </w:tc>
      </w:tr>
      <w:tr w:rsidR="008E3B7F" w:rsidRPr="003C7CB1" w14:paraId="4D01B446" w14:textId="77777777" w:rsidTr="00E35851">
        <w:trPr>
          <w:jc w:val="center"/>
        </w:trPr>
        <w:tc>
          <w:tcPr>
            <w:tcW w:w="3420" w:type="dxa"/>
            <w:shd w:val="clear" w:color="auto" w:fill="auto"/>
          </w:tcPr>
          <w:p w14:paraId="5E16FFF4" w14:textId="3171A00A" w:rsidR="008E3B7F" w:rsidRPr="003C7CB1" w:rsidRDefault="00DD73E8" w:rsidP="00E35851">
            <w:pPr>
              <w:spacing w:after="0" w:line="240" w:lineRule="auto"/>
              <w:rPr>
                <w:rFonts w:eastAsia="Calibri" w:cs="Times New Roman"/>
                <w:b/>
                <w:i/>
              </w:rPr>
            </w:pPr>
            <w:r w:rsidRPr="003C7CB1">
              <w:rPr>
                <w:rFonts w:eastAsia="Calibri" w:cs="Times New Roman"/>
                <w:b/>
                <w:i/>
              </w:rPr>
              <w:t xml:space="preserve">Performance indicator No. </w:t>
            </w:r>
            <w:r w:rsidR="008E3B7F" w:rsidRPr="003C7CB1">
              <w:rPr>
                <w:rFonts w:eastAsia="Calibri" w:cs="Times New Roman"/>
                <w:b/>
                <w:i/>
              </w:rPr>
              <w:t>1:</w:t>
            </w:r>
          </w:p>
        </w:tc>
        <w:tc>
          <w:tcPr>
            <w:tcW w:w="3470" w:type="dxa"/>
            <w:gridSpan w:val="2"/>
            <w:shd w:val="clear" w:color="auto" w:fill="auto"/>
          </w:tcPr>
          <w:p w14:paraId="33661845" w14:textId="77777777" w:rsidR="008E3B7F" w:rsidRPr="003C7CB1" w:rsidRDefault="008E3B7F" w:rsidP="00E35851">
            <w:pPr>
              <w:spacing w:after="0" w:line="240" w:lineRule="auto"/>
              <w:rPr>
                <w:rFonts w:eastAsia="Calibri" w:cs="Times New Roman"/>
              </w:rPr>
            </w:pPr>
          </w:p>
        </w:tc>
        <w:tc>
          <w:tcPr>
            <w:tcW w:w="3402" w:type="dxa"/>
            <w:gridSpan w:val="3"/>
            <w:shd w:val="clear" w:color="auto" w:fill="auto"/>
          </w:tcPr>
          <w:p w14:paraId="6EBDE6BB" w14:textId="77777777" w:rsidR="008E3B7F" w:rsidRPr="003C7CB1" w:rsidRDefault="008E3B7F" w:rsidP="00E35851">
            <w:pPr>
              <w:spacing w:after="0" w:line="240" w:lineRule="auto"/>
              <w:rPr>
                <w:rFonts w:eastAsia="Calibri" w:cs="Times New Roman"/>
              </w:rPr>
            </w:pPr>
          </w:p>
        </w:tc>
        <w:tc>
          <w:tcPr>
            <w:tcW w:w="3388" w:type="dxa"/>
            <w:shd w:val="clear" w:color="auto" w:fill="auto"/>
          </w:tcPr>
          <w:p w14:paraId="064981B5" w14:textId="77777777" w:rsidR="008E3B7F" w:rsidRPr="003C7CB1" w:rsidRDefault="008E3B7F" w:rsidP="00E35851">
            <w:pPr>
              <w:spacing w:after="0" w:line="240" w:lineRule="auto"/>
              <w:rPr>
                <w:rFonts w:eastAsia="Calibri" w:cs="Times New Roman"/>
              </w:rPr>
            </w:pPr>
          </w:p>
        </w:tc>
      </w:tr>
      <w:tr w:rsidR="008E3B7F" w:rsidRPr="003C7CB1" w14:paraId="6E094C50" w14:textId="77777777" w:rsidTr="00E35851">
        <w:trPr>
          <w:jc w:val="center"/>
        </w:trPr>
        <w:tc>
          <w:tcPr>
            <w:tcW w:w="3420" w:type="dxa"/>
            <w:shd w:val="clear" w:color="auto" w:fill="auto"/>
          </w:tcPr>
          <w:p w14:paraId="556DD21F" w14:textId="1FF52FB6" w:rsidR="008E3B7F" w:rsidRPr="003C7CB1" w:rsidRDefault="0020217A" w:rsidP="00D7305F">
            <w:pPr>
              <w:spacing w:after="0" w:line="240" w:lineRule="auto"/>
              <w:rPr>
                <w:rFonts w:eastAsia="Calibri" w:cs="Times New Roman"/>
              </w:rPr>
            </w:pPr>
            <w:r w:rsidRPr="003C7CB1">
              <w:rPr>
                <w:rFonts w:eastAsia="Calibri" w:cs="Times New Roman"/>
              </w:rPr>
              <w:t>Increasing the number of overnight stays of tourists from priority markets</w:t>
            </w:r>
          </w:p>
        </w:tc>
        <w:tc>
          <w:tcPr>
            <w:tcW w:w="3470" w:type="dxa"/>
            <w:gridSpan w:val="2"/>
            <w:shd w:val="clear" w:color="auto" w:fill="auto"/>
          </w:tcPr>
          <w:p w14:paraId="7122D04B" w14:textId="70AE8245" w:rsidR="008E3B7F" w:rsidRPr="003C7CB1" w:rsidRDefault="0020217A" w:rsidP="009F397D">
            <w:pPr>
              <w:spacing w:after="0" w:line="240" w:lineRule="auto"/>
              <w:jc w:val="center"/>
              <w:rPr>
                <w:rFonts w:eastAsia="Calibri" w:cs="Times New Roman"/>
              </w:rPr>
            </w:pPr>
            <w:r w:rsidRPr="003C7CB1">
              <w:rPr>
                <w:rFonts w:eastAsia="Calibri" w:cs="Times New Roman"/>
              </w:rPr>
              <w:t>Data for priority markets (to be defined) from official statistics for 2019</w:t>
            </w:r>
          </w:p>
        </w:tc>
        <w:tc>
          <w:tcPr>
            <w:tcW w:w="3402" w:type="dxa"/>
            <w:gridSpan w:val="3"/>
            <w:shd w:val="clear" w:color="auto" w:fill="auto"/>
          </w:tcPr>
          <w:p w14:paraId="5F9DAFB3" w14:textId="2BC919BE" w:rsidR="008E3B7F" w:rsidRPr="003C7CB1" w:rsidRDefault="009F397D" w:rsidP="009F397D">
            <w:pPr>
              <w:spacing w:after="0" w:line="240" w:lineRule="auto"/>
              <w:jc w:val="center"/>
              <w:rPr>
                <w:rFonts w:eastAsia="Calibri" w:cs="Times New Roman"/>
              </w:rPr>
            </w:pPr>
            <w:r w:rsidRPr="003C7CB1">
              <w:rPr>
                <w:rFonts w:eastAsia="Calibri" w:cs="Times New Roman"/>
              </w:rPr>
              <w:t xml:space="preserve">+ </w:t>
            </w:r>
            <w:r w:rsidR="00D7305F" w:rsidRPr="003C7CB1">
              <w:rPr>
                <w:rFonts w:eastAsia="Calibri" w:cs="Times New Roman"/>
              </w:rPr>
              <w:t xml:space="preserve">3% </w:t>
            </w:r>
          </w:p>
        </w:tc>
        <w:tc>
          <w:tcPr>
            <w:tcW w:w="3388" w:type="dxa"/>
            <w:shd w:val="clear" w:color="auto" w:fill="auto"/>
          </w:tcPr>
          <w:p w14:paraId="3F6A59F1" w14:textId="70135DB4" w:rsidR="008E3B7F" w:rsidRPr="003C7CB1" w:rsidRDefault="009F397D" w:rsidP="009F397D">
            <w:pPr>
              <w:spacing w:after="0" w:line="240" w:lineRule="auto"/>
              <w:jc w:val="center"/>
              <w:rPr>
                <w:rFonts w:eastAsia="Calibri" w:cs="Times New Roman"/>
              </w:rPr>
            </w:pPr>
            <w:r w:rsidRPr="003C7CB1">
              <w:rPr>
                <w:rFonts w:eastAsia="Calibri" w:cs="Times New Roman"/>
              </w:rPr>
              <w:t xml:space="preserve">+ </w:t>
            </w:r>
            <w:r w:rsidR="008E3B7F" w:rsidRPr="003C7CB1">
              <w:rPr>
                <w:rFonts w:eastAsia="Calibri" w:cs="Times New Roman"/>
              </w:rPr>
              <w:t xml:space="preserve">5% </w:t>
            </w:r>
          </w:p>
        </w:tc>
      </w:tr>
    </w:tbl>
    <w:p w14:paraId="75C18A20" w14:textId="77777777" w:rsidR="00DB3950" w:rsidRPr="003C7CB1" w:rsidRDefault="00DB3950" w:rsidP="00C86AAE">
      <w:pPr>
        <w:spacing w:after="0"/>
        <w:jc w:val="both"/>
        <w:rPr>
          <w:rFonts w:ascii="Calibri" w:eastAsia="Calibri" w:hAnsi="Calibri" w:cs="Times New Roman"/>
          <w:sz w:val="24"/>
          <w:szCs w:val="24"/>
        </w:rPr>
      </w:pPr>
    </w:p>
    <w:p w14:paraId="64C15ED2" w14:textId="2C004F05" w:rsidR="000937A9" w:rsidRPr="003C7CB1" w:rsidRDefault="000937A9" w:rsidP="00C86AAE">
      <w:pPr>
        <w:spacing w:after="0"/>
        <w:jc w:val="both"/>
        <w:rPr>
          <w:rFonts w:ascii="Calibri" w:eastAsia="Calibri" w:hAnsi="Calibri" w:cs="Times New Roman"/>
          <w:b/>
          <w:sz w:val="24"/>
          <w:szCs w:val="24"/>
        </w:rPr>
      </w:pPr>
    </w:p>
    <w:p w14:paraId="13E5BE3C" w14:textId="77777777" w:rsidR="000937A9" w:rsidRPr="003C7CB1" w:rsidRDefault="000937A9" w:rsidP="00C86AAE">
      <w:pPr>
        <w:spacing w:after="0"/>
        <w:jc w:val="both"/>
        <w:rPr>
          <w:rFonts w:ascii="Calibri" w:eastAsia="Calibri" w:hAnsi="Calibri" w:cs="Times New Roman"/>
          <w:b/>
          <w:sz w:val="24"/>
          <w:szCs w:val="24"/>
        </w:rPr>
      </w:pPr>
    </w:p>
    <w:p w14:paraId="28B02C8F" w14:textId="77777777" w:rsidR="000937A9" w:rsidRPr="003C7CB1" w:rsidRDefault="000937A9" w:rsidP="00C86AAE">
      <w:pPr>
        <w:spacing w:after="0"/>
        <w:jc w:val="both"/>
        <w:rPr>
          <w:rFonts w:ascii="Calibri" w:eastAsia="Calibri" w:hAnsi="Calibri" w:cs="Times New Roman"/>
          <w:b/>
          <w:sz w:val="24"/>
          <w:szCs w:val="24"/>
        </w:rPr>
      </w:pPr>
    </w:p>
    <w:p w14:paraId="64256BFC" w14:textId="77777777" w:rsidR="000937A9" w:rsidRPr="003C7CB1" w:rsidRDefault="000937A9" w:rsidP="00C86AAE">
      <w:pPr>
        <w:spacing w:after="0"/>
        <w:jc w:val="both"/>
        <w:rPr>
          <w:rFonts w:ascii="Calibri" w:eastAsia="Calibri" w:hAnsi="Calibri" w:cs="Times New Roman"/>
          <w:b/>
          <w:sz w:val="24"/>
          <w:szCs w:val="24"/>
        </w:rPr>
      </w:pPr>
    </w:p>
    <w:p w14:paraId="17B961CB" w14:textId="77777777" w:rsidR="000937A9" w:rsidRPr="003C7CB1" w:rsidRDefault="000937A9" w:rsidP="00C86AAE">
      <w:pPr>
        <w:spacing w:after="0"/>
        <w:jc w:val="both"/>
        <w:rPr>
          <w:rFonts w:ascii="Calibri" w:eastAsia="Calibri" w:hAnsi="Calibri" w:cs="Times New Roman"/>
          <w:b/>
          <w:sz w:val="24"/>
          <w:szCs w:val="24"/>
        </w:rPr>
      </w:pPr>
    </w:p>
    <w:p w14:paraId="4C594AC3" w14:textId="77777777" w:rsidR="00EB39C9" w:rsidRPr="003C7CB1" w:rsidRDefault="00EB39C9" w:rsidP="00C86AAE">
      <w:pPr>
        <w:spacing w:after="0"/>
        <w:jc w:val="both"/>
        <w:rPr>
          <w:rFonts w:ascii="Calibri" w:eastAsia="Calibri" w:hAnsi="Calibri" w:cs="Times New Roman"/>
          <w:b/>
          <w:sz w:val="24"/>
          <w:szCs w:val="24"/>
        </w:rPr>
        <w:sectPr w:rsidR="00EB39C9" w:rsidRPr="003C7CB1" w:rsidSect="0091040E">
          <w:pgSz w:w="16840" w:h="11907" w:orient="landscape" w:code="9"/>
          <w:pgMar w:top="1134" w:right="1134" w:bottom="1134" w:left="1134" w:header="720" w:footer="720" w:gutter="0"/>
          <w:cols w:space="720"/>
          <w:docGrid w:linePitch="360"/>
        </w:sectPr>
      </w:pPr>
    </w:p>
    <w:p w14:paraId="63A9A9D7" w14:textId="77777777" w:rsidR="00B80C27" w:rsidRPr="003C7CB1" w:rsidRDefault="0042644B" w:rsidP="00E35851">
      <w:pPr>
        <w:spacing w:after="0"/>
        <w:jc w:val="both"/>
        <w:rPr>
          <w:sz w:val="24"/>
          <w:szCs w:val="24"/>
        </w:rPr>
      </w:pPr>
      <w:r w:rsidRPr="003C7CB1">
        <w:rPr>
          <w:noProof/>
          <w:sz w:val="24"/>
          <w:szCs w:val="24"/>
        </w:rPr>
        <w:lastRenderedPageBreak/>
        <w:drawing>
          <wp:inline distT="0" distB="0" distL="0" distR="0" wp14:anchorId="04E52E45" wp14:editId="51EEB00A">
            <wp:extent cx="6120531" cy="865759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17.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120531" cy="8657590"/>
                    </a:xfrm>
                    <a:prstGeom prst="rect">
                      <a:avLst/>
                    </a:prstGeom>
                  </pic:spPr>
                </pic:pic>
              </a:graphicData>
            </a:graphic>
          </wp:inline>
        </w:drawing>
      </w:r>
    </w:p>
    <w:p w14:paraId="4FB1D169" w14:textId="59815A75" w:rsidR="006A3746" w:rsidRPr="003C7CB1" w:rsidRDefault="006A3746" w:rsidP="001B495E">
      <w:pPr>
        <w:pStyle w:val="Heading1"/>
      </w:pPr>
      <w:bookmarkStart w:id="472" w:name="_Toc95303086"/>
      <w:bookmarkStart w:id="473" w:name="_Toc88772668"/>
      <w:bookmarkStart w:id="474" w:name="_Toc104544224"/>
      <w:r w:rsidRPr="003C7CB1">
        <w:lastRenderedPageBreak/>
        <w:t>1</w:t>
      </w:r>
      <w:r w:rsidR="008F7D0F" w:rsidRPr="003C7CB1">
        <w:t>7</w:t>
      </w:r>
      <w:r w:rsidRPr="003C7CB1">
        <w:t xml:space="preserve">. </w:t>
      </w:r>
      <w:bookmarkEnd w:id="472"/>
      <w:r w:rsidR="009A50C8" w:rsidRPr="003C7CB1">
        <w:t>STRATEGY IMPLEMENTATION</w:t>
      </w:r>
      <w:bookmarkEnd w:id="474"/>
    </w:p>
    <w:p w14:paraId="6799256D" w14:textId="4750C5BA" w:rsidR="00B80C27" w:rsidRPr="003C7CB1" w:rsidRDefault="00B80C27" w:rsidP="001125FC">
      <w:pPr>
        <w:pStyle w:val="Heading2"/>
        <w:rPr>
          <w:sz w:val="26"/>
        </w:rPr>
      </w:pPr>
      <w:bookmarkStart w:id="475" w:name="_Toc95303087"/>
      <w:bookmarkStart w:id="476" w:name="_Toc104544225"/>
      <w:r w:rsidRPr="003C7CB1">
        <w:rPr>
          <w:sz w:val="26"/>
        </w:rPr>
        <w:t>1</w:t>
      </w:r>
      <w:r w:rsidR="008F7D0F" w:rsidRPr="003C7CB1">
        <w:rPr>
          <w:sz w:val="26"/>
        </w:rPr>
        <w:t>7</w:t>
      </w:r>
      <w:r w:rsidRPr="003C7CB1">
        <w:rPr>
          <w:sz w:val="26"/>
        </w:rPr>
        <w:t>.</w:t>
      </w:r>
      <w:r w:rsidR="006A3746" w:rsidRPr="003C7CB1">
        <w:rPr>
          <w:sz w:val="26"/>
        </w:rPr>
        <w:t>1</w:t>
      </w:r>
      <w:r w:rsidR="00872892" w:rsidRPr="003C7CB1">
        <w:rPr>
          <w:sz w:val="26"/>
        </w:rPr>
        <w:t>.</w:t>
      </w:r>
      <w:r w:rsidRPr="003C7CB1">
        <w:rPr>
          <w:sz w:val="26"/>
        </w:rPr>
        <w:t xml:space="preserve"> </w:t>
      </w:r>
      <w:bookmarkEnd w:id="473"/>
      <w:bookmarkEnd w:id="475"/>
      <w:r w:rsidR="009A50C8" w:rsidRPr="003C7CB1">
        <w:rPr>
          <w:sz w:val="26"/>
        </w:rPr>
        <w:t>Financial framework for the implementation of activities</w:t>
      </w:r>
      <w:bookmarkEnd w:id="476"/>
    </w:p>
    <w:p w14:paraId="7C524E08" w14:textId="7E4BD04E" w:rsidR="00CD0D09" w:rsidRPr="003C7CB1" w:rsidRDefault="00CD0D09" w:rsidP="001125FC">
      <w:pPr>
        <w:pStyle w:val="Heading2"/>
        <w:rPr>
          <w:szCs w:val="24"/>
        </w:rPr>
      </w:pPr>
    </w:p>
    <w:p w14:paraId="02F0DAD7" w14:textId="364D41E1" w:rsidR="00125301" w:rsidRPr="003C7CB1" w:rsidRDefault="009A50C8" w:rsidP="006A3746">
      <w:pPr>
        <w:spacing w:after="0"/>
        <w:jc w:val="both"/>
        <w:rPr>
          <w:sz w:val="24"/>
          <w:szCs w:val="24"/>
        </w:rPr>
      </w:pPr>
      <w:r w:rsidRPr="003C7CB1">
        <w:rPr>
          <w:sz w:val="24"/>
          <w:szCs w:val="24"/>
        </w:rPr>
        <w:t xml:space="preserve">Tourism Development Strategy of Montenegro 2022-2025 with the Action Plan, </w:t>
      </w:r>
      <w:r w:rsidR="00AE5C5F" w:rsidRPr="003C7CB1">
        <w:rPr>
          <w:sz w:val="24"/>
          <w:szCs w:val="24"/>
        </w:rPr>
        <w:t>i.e.</w:t>
      </w:r>
      <w:r w:rsidRPr="003C7CB1">
        <w:rPr>
          <w:sz w:val="24"/>
          <w:szCs w:val="24"/>
        </w:rPr>
        <w:t xml:space="preserve"> its individual activities, will be financed from the Budget of Montenegro, local government budgets, donor funds (EU funds, IPA funds, etc.) and other sources of funding</w:t>
      </w:r>
      <w:r w:rsidR="00B80C27" w:rsidRPr="003C7CB1">
        <w:rPr>
          <w:sz w:val="24"/>
          <w:szCs w:val="24"/>
        </w:rPr>
        <w:t xml:space="preserve">. </w:t>
      </w:r>
    </w:p>
    <w:p w14:paraId="5927CDFA" w14:textId="77777777" w:rsidR="00FF258D" w:rsidRPr="003C7CB1" w:rsidRDefault="00FF258D" w:rsidP="00E35851">
      <w:pPr>
        <w:spacing w:after="0"/>
        <w:jc w:val="both"/>
        <w:rPr>
          <w:sz w:val="24"/>
          <w:szCs w:val="24"/>
        </w:rPr>
      </w:pPr>
    </w:p>
    <w:p w14:paraId="579B2AC2" w14:textId="578F7C0C" w:rsidR="00B80C27" w:rsidRPr="003C7CB1" w:rsidRDefault="009A50C8" w:rsidP="00E35851">
      <w:pPr>
        <w:spacing w:after="0"/>
        <w:jc w:val="both"/>
        <w:rPr>
          <w:sz w:val="24"/>
          <w:szCs w:val="24"/>
        </w:rPr>
      </w:pPr>
      <w:r w:rsidRPr="003C7CB1">
        <w:rPr>
          <w:sz w:val="24"/>
          <w:szCs w:val="24"/>
        </w:rPr>
        <w:t xml:space="preserve">Through the </w:t>
      </w:r>
      <w:r w:rsidRPr="003C7CB1">
        <w:rPr>
          <w:b/>
          <w:sz w:val="24"/>
          <w:szCs w:val="24"/>
        </w:rPr>
        <w:t>Action Plan for 2022</w:t>
      </w:r>
      <w:r w:rsidRPr="003C7CB1">
        <w:rPr>
          <w:sz w:val="24"/>
          <w:szCs w:val="24"/>
        </w:rPr>
        <w:t xml:space="preserve">, expenditures in the amount of </w:t>
      </w:r>
      <w:r w:rsidRPr="003C7CB1">
        <w:rPr>
          <w:b/>
          <w:sz w:val="24"/>
          <w:szCs w:val="24"/>
        </w:rPr>
        <w:t>€ 27,047,673.65</w:t>
      </w:r>
      <w:r w:rsidRPr="003C7CB1">
        <w:rPr>
          <w:sz w:val="24"/>
          <w:szCs w:val="24"/>
        </w:rPr>
        <w:t xml:space="preserve"> are planned to achieve operational </w:t>
      </w:r>
      <w:r w:rsidR="00F92D5A" w:rsidRPr="003C7CB1">
        <w:rPr>
          <w:sz w:val="24"/>
          <w:szCs w:val="24"/>
        </w:rPr>
        <w:t>goals</w:t>
      </w:r>
      <w:r w:rsidRPr="003C7CB1">
        <w:rPr>
          <w:sz w:val="24"/>
          <w:szCs w:val="24"/>
        </w:rPr>
        <w:t xml:space="preserve">, of which </w:t>
      </w:r>
      <w:r w:rsidRPr="003C7CB1">
        <w:rPr>
          <w:b/>
          <w:sz w:val="24"/>
          <w:szCs w:val="24"/>
        </w:rPr>
        <w:t xml:space="preserve">88.74% of funds (€ 24,002,583.65) relate to investment projects planned within the Capital Budget </w:t>
      </w:r>
      <w:r w:rsidRPr="003C7CB1">
        <w:rPr>
          <w:sz w:val="24"/>
          <w:szCs w:val="24"/>
        </w:rPr>
        <w:t>for 2022</w:t>
      </w:r>
      <w:r w:rsidR="0034752D" w:rsidRPr="003C7CB1">
        <w:rPr>
          <w:sz w:val="24"/>
          <w:szCs w:val="24"/>
        </w:rPr>
        <w:t>;</w:t>
      </w:r>
      <w:r w:rsidR="00825B2D" w:rsidRPr="003C7CB1">
        <w:rPr>
          <w:sz w:val="24"/>
          <w:szCs w:val="24"/>
        </w:rPr>
        <w:t xml:space="preserve"> </w:t>
      </w:r>
      <w:r w:rsidRPr="003C7CB1">
        <w:rPr>
          <w:b/>
          <w:bCs/>
          <w:sz w:val="24"/>
          <w:szCs w:val="24"/>
        </w:rPr>
        <w:t xml:space="preserve">7.39% (€ 2,000,090.00) from the current budget </w:t>
      </w:r>
      <w:r w:rsidRPr="003C7CB1">
        <w:rPr>
          <w:bCs/>
          <w:sz w:val="24"/>
          <w:szCs w:val="24"/>
        </w:rPr>
        <w:t>for 2022</w:t>
      </w:r>
      <w:r w:rsidRPr="003C7CB1">
        <w:rPr>
          <w:b/>
          <w:bCs/>
          <w:sz w:val="24"/>
          <w:szCs w:val="24"/>
        </w:rPr>
        <w:t xml:space="preserve"> and 3.87% (€ 1,045,000.00) from donor sources </w:t>
      </w:r>
      <w:r w:rsidRPr="003C7CB1">
        <w:rPr>
          <w:sz w:val="24"/>
          <w:szCs w:val="24"/>
        </w:rPr>
        <w:t xml:space="preserve">(Interreg IPA CBC Italy-Albania-Montenegro, Interreg Med Program, as well as other potential donor sources). We note that for a certain number of activities the amount and source of funds is planned, while for the remaining part of the activities the financial framework will be defined in the process of reporting on the implementation of the Action Plan for 2022 and preparation of the Action Plan for the next </w:t>
      </w:r>
      <w:r w:rsidR="00AE5C5F" w:rsidRPr="003C7CB1">
        <w:rPr>
          <w:sz w:val="24"/>
          <w:szCs w:val="24"/>
        </w:rPr>
        <w:t>period.</w:t>
      </w:r>
      <w:r w:rsidR="00B80C27" w:rsidRPr="003C7CB1">
        <w:rPr>
          <w:sz w:val="24"/>
          <w:szCs w:val="24"/>
        </w:rPr>
        <w:t xml:space="preserve"> </w:t>
      </w:r>
    </w:p>
    <w:p w14:paraId="6715DE6A" w14:textId="77777777" w:rsidR="00FF258D" w:rsidRPr="003C7CB1" w:rsidRDefault="00FF258D" w:rsidP="00AF049E">
      <w:pPr>
        <w:spacing w:after="0"/>
        <w:jc w:val="both"/>
        <w:rPr>
          <w:sz w:val="24"/>
          <w:szCs w:val="24"/>
        </w:rPr>
      </w:pPr>
    </w:p>
    <w:p w14:paraId="76C44192" w14:textId="79803FB7" w:rsidR="00AF049E" w:rsidRPr="003C7CB1" w:rsidRDefault="009A50C8" w:rsidP="009A50C8">
      <w:pPr>
        <w:spacing w:after="0"/>
        <w:jc w:val="both"/>
        <w:rPr>
          <w:sz w:val="24"/>
          <w:szCs w:val="24"/>
        </w:rPr>
      </w:pPr>
      <w:r w:rsidRPr="003C7CB1">
        <w:rPr>
          <w:sz w:val="24"/>
          <w:szCs w:val="24"/>
        </w:rPr>
        <w:t xml:space="preserve">For the implementation of the Framework Plan for the period 2023-2025, according to currently available information, it is necessary to provide </w:t>
      </w:r>
      <w:r w:rsidRPr="003C7CB1">
        <w:rPr>
          <w:b/>
          <w:sz w:val="24"/>
          <w:szCs w:val="24"/>
        </w:rPr>
        <w:t>€ 5,176,000.00</w:t>
      </w:r>
      <w:r w:rsidRPr="003C7CB1">
        <w:rPr>
          <w:sz w:val="24"/>
          <w:szCs w:val="24"/>
        </w:rPr>
        <w:t xml:space="preserve"> from the Budget of Montenegro, which means that the total funds required for the implementation of the Tourism Development Strategy of Montenegro 2022-2025, amount to </w:t>
      </w:r>
      <w:r w:rsidRPr="003C7CB1">
        <w:rPr>
          <w:b/>
          <w:sz w:val="24"/>
          <w:szCs w:val="24"/>
        </w:rPr>
        <w:t>€ 32,223,673.65</w:t>
      </w:r>
      <w:r w:rsidR="000C008A" w:rsidRPr="003C7CB1">
        <w:rPr>
          <w:b/>
          <w:sz w:val="24"/>
          <w:szCs w:val="24"/>
        </w:rPr>
        <w:t>.</w:t>
      </w:r>
      <w:r w:rsidR="00AF049E" w:rsidRPr="003C7CB1">
        <w:rPr>
          <w:b/>
          <w:sz w:val="24"/>
          <w:szCs w:val="24"/>
        </w:rPr>
        <w:t xml:space="preserve"> </w:t>
      </w:r>
    </w:p>
    <w:p w14:paraId="3493CF2A" w14:textId="77777777" w:rsidR="00B80C27" w:rsidRPr="003C7CB1" w:rsidRDefault="00B80C27" w:rsidP="000F4BCC">
      <w:pPr>
        <w:spacing w:after="0"/>
        <w:rPr>
          <w:sz w:val="24"/>
          <w:szCs w:val="24"/>
        </w:rPr>
      </w:pPr>
    </w:p>
    <w:tbl>
      <w:tblPr>
        <w:tblStyle w:val="TableGrid"/>
        <w:tblW w:w="0" w:type="auto"/>
        <w:jc w:val="center"/>
        <w:tblLook w:val="04A0" w:firstRow="1" w:lastRow="0" w:firstColumn="1" w:lastColumn="0" w:noHBand="0" w:noVBand="1"/>
      </w:tblPr>
      <w:tblGrid>
        <w:gridCol w:w="2495"/>
        <w:gridCol w:w="1623"/>
        <w:gridCol w:w="1207"/>
        <w:gridCol w:w="1717"/>
      </w:tblGrid>
      <w:tr w:rsidR="0006222B" w:rsidRPr="003C7CB1" w14:paraId="5D281D38" w14:textId="77777777" w:rsidTr="000F4BCC">
        <w:trPr>
          <w:trHeight w:val="231"/>
          <w:jc w:val="center"/>
        </w:trPr>
        <w:tc>
          <w:tcPr>
            <w:tcW w:w="2495" w:type="dxa"/>
            <w:vMerge w:val="restart"/>
            <w:shd w:val="clear" w:color="auto" w:fill="D9E2F3" w:themeFill="accent1" w:themeFillTint="33"/>
            <w:vAlign w:val="center"/>
          </w:tcPr>
          <w:p w14:paraId="257F558D" w14:textId="406A401F" w:rsidR="0006222B" w:rsidRPr="003C7CB1" w:rsidRDefault="009A50C8" w:rsidP="00825B2D">
            <w:pPr>
              <w:spacing w:after="0"/>
              <w:jc w:val="center"/>
              <w:rPr>
                <w:b/>
                <w:sz w:val="24"/>
                <w:szCs w:val="24"/>
              </w:rPr>
            </w:pPr>
            <w:r w:rsidRPr="003C7CB1">
              <w:rPr>
                <w:b/>
                <w:sz w:val="24"/>
                <w:szCs w:val="24"/>
              </w:rPr>
              <w:t>Structure of sources of funds</w:t>
            </w:r>
          </w:p>
        </w:tc>
        <w:tc>
          <w:tcPr>
            <w:tcW w:w="4547" w:type="dxa"/>
            <w:gridSpan w:val="3"/>
            <w:shd w:val="clear" w:color="auto" w:fill="D9E2F3" w:themeFill="accent1" w:themeFillTint="33"/>
          </w:tcPr>
          <w:p w14:paraId="2101CD27" w14:textId="0E6694B4" w:rsidR="0006222B" w:rsidRPr="003C7CB1" w:rsidRDefault="009A50C8" w:rsidP="00825B2D">
            <w:pPr>
              <w:spacing w:after="0"/>
              <w:jc w:val="center"/>
              <w:rPr>
                <w:b/>
                <w:sz w:val="24"/>
                <w:szCs w:val="24"/>
              </w:rPr>
            </w:pPr>
            <w:r w:rsidRPr="003C7CB1">
              <w:rPr>
                <w:b/>
                <w:sz w:val="24"/>
                <w:szCs w:val="24"/>
              </w:rPr>
              <w:t xml:space="preserve">Amount </w:t>
            </w:r>
            <w:r w:rsidR="0006222B" w:rsidRPr="003C7CB1">
              <w:rPr>
                <w:b/>
                <w:sz w:val="24"/>
                <w:szCs w:val="24"/>
              </w:rPr>
              <w:t>(€)</w:t>
            </w:r>
          </w:p>
        </w:tc>
      </w:tr>
      <w:tr w:rsidR="0006222B" w:rsidRPr="003C7CB1" w14:paraId="4EFD34DB" w14:textId="77777777" w:rsidTr="000F4BCC">
        <w:trPr>
          <w:trHeight w:val="231"/>
          <w:jc w:val="center"/>
        </w:trPr>
        <w:tc>
          <w:tcPr>
            <w:tcW w:w="2495" w:type="dxa"/>
            <w:vMerge/>
            <w:shd w:val="clear" w:color="auto" w:fill="D9E2F3" w:themeFill="accent1" w:themeFillTint="33"/>
          </w:tcPr>
          <w:p w14:paraId="66F5D531" w14:textId="77777777" w:rsidR="0006222B" w:rsidRPr="003C7CB1" w:rsidRDefault="0006222B" w:rsidP="004D2C5E">
            <w:pPr>
              <w:spacing w:after="0"/>
              <w:rPr>
                <w:b/>
                <w:sz w:val="24"/>
                <w:szCs w:val="24"/>
              </w:rPr>
            </w:pPr>
          </w:p>
        </w:tc>
        <w:tc>
          <w:tcPr>
            <w:tcW w:w="1623" w:type="dxa"/>
            <w:shd w:val="clear" w:color="auto" w:fill="D9E2F3" w:themeFill="accent1" w:themeFillTint="33"/>
          </w:tcPr>
          <w:p w14:paraId="0000AF91" w14:textId="30A2B3BF" w:rsidR="0006222B" w:rsidRPr="003C7CB1" w:rsidRDefault="0006222B" w:rsidP="00825B2D">
            <w:pPr>
              <w:spacing w:after="0"/>
              <w:jc w:val="center"/>
              <w:rPr>
                <w:b/>
                <w:sz w:val="24"/>
                <w:szCs w:val="24"/>
              </w:rPr>
            </w:pPr>
            <w:r w:rsidRPr="003C7CB1">
              <w:rPr>
                <w:b/>
                <w:sz w:val="24"/>
                <w:szCs w:val="24"/>
              </w:rPr>
              <w:t>2022</w:t>
            </w:r>
            <w:r w:rsidR="00EC3767" w:rsidRPr="003C7CB1">
              <w:rPr>
                <w:b/>
                <w:sz w:val="24"/>
                <w:szCs w:val="24"/>
              </w:rPr>
              <w:t>.</w:t>
            </w:r>
          </w:p>
        </w:tc>
        <w:tc>
          <w:tcPr>
            <w:tcW w:w="1207" w:type="dxa"/>
            <w:shd w:val="clear" w:color="auto" w:fill="D9E2F3" w:themeFill="accent1" w:themeFillTint="33"/>
          </w:tcPr>
          <w:p w14:paraId="355BFD55" w14:textId="77777777" w:rsidR="0006222B" w:rsidRPr="003C7CB1" w:rsidRDefault="0006222B" w:rsidP="00825B2D">
            <w:pPr>
              <w:spacing w:after="0"/>
              <w:jc w:val="center"/>
              <w:rPr>
                <w:b/>
                <w:sz w:val="24"/>
                <w:szCs w:val="24"/>
              </w:rPr>
            </w:pPr>
            <w:r w:rsidRPr="003C7CB1">
              <w:rPr>
                <w:b/>
                <w:sz w:val="24"/>
                <w:szCs w:val="24"/>
              </w:rPr>
              <w:t>%</w:t>
            </w:r>
          </w:p>
        </w:tc>
        <w:tc>
          <w:tcPr>
            <w:tcW w:w="1717" w:type="dxa"/>
            <w:shd w:val="clear" w:color="auto" w:fill="D9E2F3" w:themeFill="accent1" w:themeFillTint="33"/>
          </w:tcPr>
          <w:p w14:paraId="25126D70" w14:textId="6CD6671F" w:rsidR="0006222B" w:rsidRPr="003C7CB1" w:rsidRDefault="0006222B" w:rsidP="0081386D">
            <w:pPr>
              <w:spacing w:after="0"/>
              <w:jc w:val="center"/>
              <w:rPr>
                <w:b/>
                <w:sz w:val="24"/>
                <w:szCs w:val="24"/>
              </w:rPr>
            </w:pPr>
            <w:r w:rsidRPr="003C7CB1">
              <w:rPr>
                <w:b/>
                <w:sz w:val="24"/>
                <w:szCs w:val="24"/>
              </w:rPr>
              <w:t>202</w:t>
            </w:r>
            <w:r w:rsidR="0081386D" w:rsidRPr="003C7CB1">
              <w:rPr>
                <w:b/>
                <w:sz w:val="24"/>
                <w:szCs w:val="24"/>
              </w:rPr>
              <w:t>3</w:t>
            </w:r>
            <w:r w:rsidRPr="003C7CB1">
              <w:rPr>
                <w:b/>
                <w:sz w:val="24"/>
                <w:szCs w:val="24"/>
              </w:rPr>
              <w:t>-2025</w:t>
            </w:r>
            <w:r w:rsidR="00EC3767" w:rsidRPr="003C7CB1">
              <w:rPr>
                <w:b/>
                <w:sz w:val="24"/>
                <w:szCs w:val="24"/>
              </w:rPr>
              <w:t>.</w:t>
            </w:r>
          </w:p>
        </w:tc>
      </w:tr>
      <w:tr w:rsidR="0006222B" w:rsidRPr="003C7CB1" w14:paraId="06B7F277" w14:textId="77777777" w:rsidTr="00CA51BB">
        <w:trPr>
          <w:trHeight w:val="811"/>
          <w:jc w:val="center"/>
        </w:trPr>
        <w:tc>
          <w:tcPr>
            <w:tcW w:w="2495" w:type="dxa"/>
          </w:tcPr>
          <w:p w14:paraId="62E1A739" w14:textId="05F879EF" w:rsidR="0006222B" w:rsidRPr="003C7CB1" w:rsidRDefault="009A50C8" w:rsidP="004D2C5E">
            <w:pPr>
              <w:spacing w:after="0"/>
              <w:rPr>
                <w:sz w:val="24"/>
                <w:szCs w:val="24"/>
              </w:rPr>
            </w:pPr>
            <w:r w:rsidRPr="003C7CB1">
              <w:rPr>
                <w:sz w:val="24"/>
                <w:szCs w:val="24"/>
              </w:rPr>
              <w:t>Budget of Montenegro (current)</w:t>
            </w:r>
          </w:p>
        </w:tc>
        <w:tc>
          <w:tcPr>
            <w:tcW w:w="1623" w:type="dxa"/>
          </w:tcPr>
          <w:p w14:paraId="05D9249B" w14:textId="6A43CF8A" w:rsidR="0006222B" w:rsidRPr="003C7CB1" w:rsidRDefault="00EE3EB9" w:rsidP="00825B2D">
            <w:pPr>
              <w:spacing w:after="0"/>
              <w:jc w:val="right"/>
              <w:rPr>
                <w:sz w:val="24"/>
                <w:szCs w:val="24"/>
              </w:rPr>
            </w:pPr>
            <w:r w:rsidRPr="003C7CB1">
              <w:rPr>
                <w:sz w:val="24"/>
                <w:szCs w:val="24"/>
              </w:rPr>
              <w:t>2</w:t>
            </w:r>
            <w:r w:rsidR="00095B7C" w:rsidRPr="003C7CB1">
              <w:rPr>
                <w:sz w:val="24"/>
                <w:szCs w:val="24"/>
              </w:rPr>
              <w:t>.</w:t>
            </w:r>
            <w:r w:rsidRPr="003C7CB1">
              <w:rPr>
                <w:sz w:val="24"/>
                <w:szCs w:val="24"/>
              </w:rPr>
              <w:t>00</w:t>
            </w:r>
            <w:r w:rsidR="00095B7C" w:rsidRPr="003C7CB1">
              <w:rPr>
                <w:sz w:val="24"/>
                <w:szCs w:val="24"/>
              </w:rPr>
              <w:t>0.090,00</w:t>
            </w:r>
          </w:p>
        </w:tc>
        <w:tc>
          <w:tcPr>
            <w:tcW w:w="1207" w:type="dxa"/>
          </w:tcPr>
          <w:p w14:paraId="765DFB30" w14:textId="7BA7E7A6" w:rsidR="0006222B" w:rsidRPr="003C7CB1" w:rsidRDefault="0006222B" w:rsidP="00825B2D">
            <w:pPr>
              <w:jc w:val="right"/>
              <w:rPr>
                <w:sz w:val="24"/>
                <w:szCs w:val="24"/>
              </w:rPr>
            </w:pPr>
            <w:r w:rsidRPr="003C7CB1">
              <w:rPr>
                <w:sz w:val="24"/>
                <w:szCs w:val="24"/>
              </w:rPr>
              <w:t>7,</w:t>
            </w:r>
            <w:r w:rsidR="00BA4B59" w:rsidRPr="003C7CB1">
              <w:rPr>
                <w:sz w:val="24"/>
                <w:szCs w:val="24"/>
              </w:rPr>
              <w:t>3</w:t>
            </w:r>
            <w:r w:rsidR="00EC3767" w:rsidRPr="003C7CB1">
              <w:rPr>
                <w:sz w:val="24"/>
                <w:szCs w:val="24"/>
              </w:rPr>
              <w:t>9</w:t>
            </w:r>
          </w:p>
        </w:tc>
        <w:tc>
          <w:tcPr>
            <w:tcW w:w="1717" w:type="dxa"/>
          </w:tcPr>
          <w:p w14:paraId="0E7A5913" w14:textId="60658464" w:rsidR="0006222B" w:rsidRPr="003C7CB1" w:rsidRDefault="0006222B" w:rsidP="00825B2D">
            <w:pPr>
              <w:spacing w:after="0"/>
              <w:jc w:val="right"/>
              <w:rPr>
                <w:sz w:val="24"/>
                <w:szCs w:val="24"/>
              </w:rPr>
            </w:pPr>
            <w:r w:rsidRPr="003C7CB1">
              <w:rPr>
                <w:sz w:val="24"/>
                <w:szCs w:val="24"/>
              </w:rPr>
              <w:t>5.1</w:t>
            </w:r>
            <w:r w:rsidR="00756754" w:rsidRPr="003C7CB1">
              <w:rPr>
                <w:sz w:val="24"/>
                <w:szCs w:val="24"/>
              </w:rPr>
              <w:t>7</w:t>
            </w:r>
            <w:r w:rsidRPr="003C7CB1">
              <w:rPr>
                <w:sz w:val="24"/>
                <w:szCs w:val="24"/>
              </w:rPr>
              <w:t>6.000,00</w:t>
            </w:r>
          </w:p>
        </w:tc>
      </w:tr>
      <w:tr w:rsidR="0006222B" w:rsidRPr="003C7CB1" w14:paraId="6B1C6E79" w14:textId="77777777" w:rsidTr="000F4BCC">
        <w:trPr>
          <w:trHeight w:val="231"/>
          <w:jc w:val="center"/>
        </w:trPr>
        <w:tc>
          <w:tcPr>
            <w:tcW w:w="2495" w:type="dxa"/>
          </w:tcPr>
          <w:p w14:paraId="59DD7A6C" w14:textId="1B1CAC21" w:rsidR="0006222B" w:rsidRPr="003C7CB1" w:rsidRDefault="009A50C8" w:rsidP="004D2C5E">
            <w:pPr>
              <w:spacing w:after="0"/>
              <w:rPr>
                <w:sz w:val="24"/>
                <w:szCs w:val="24"/>
              </w:rPr>
            </w:pPr>
            <w:r w:rsidRPr="003C7CB1">
              <w:rPr>
                <w:sz w:val="24"/>
                <w:szCs w:val="24"/>
              </w:rPr>
              <w:t>Budget of Montenegro (capital)</w:t>
            </w:r>
          </w:p>
        </w:tc>
        <w:tc>
          <w:tcPr>
            <w:tcW w:w="1623" w:type="dxa"/>
          </w:tcPr>
          <w:p w14:paraId="20AE6E1B" w14:textId="4C1B2172" w:rsidR="0006222B" w:rsidRPr="003C7CB1" w:rsidRDefault="00095B7C" w:rsidP="00825B2D">
            <w:pPr>
              <w:spacing w:after="0"/>
              <w:jc w:val="right"/>
              <w:rPr>
                <w:sz w:val="24"/>
                <w:szCs w:val="24"/>
              </w:rPr>
            </w:pPr>
            <w:r w:rsidRPr="003C7CB1">
              <w:rPr>
                <w:sz w:val="24"/>
                <w:szCs w:val="24"/>
              </w:rPr>
              <w:t>24.002.583,65</w:t>
            </w:r>
          </w:p>
        </w:tc>
        <w:tc>
          <w:tcPr>
            <w:tcW w:w="1207" w:type="dxa"/>
          </w:tcPr>
          <w:p w14:paraId="5EC2D8B9" w14:textId="4E6A6416" w:rsidR="0006222B" w:rsidRPr="003C7CB1" w:rsidRDefault="0006222B" w:rsidP="00825B2D">
            <w:pPr>
              <w:jc w:val="right"/>
              <w:rPr>
                <w:sz w:val="24"/>
                <w:szCs w:val="24"/>
              </w:rPr>
            </w:pPr>
            <w:r w:rsidRPr="003C7CB1">
              <w:rPr>
                <w:sz w:val="24"/>
                <w:szCs w:val="24"/>
              </w:rPr>
              <w:t>88,</w:t>
            </w:r>
            <w:r w:rsidR="00403641" w:rsidRPr="003C7CB1">
              <w:rPr>
                <w:sz w:val="24"/>
                <w:szCs w:val="24"/>
              </w:rPr>
              <w:t>7</w:t>
            </w:r>
            <w:r w:rsidR="00EC3767" w:rsidRPr="003C7CB1">
              <w:rPr>
                <w:sz w:val="24"/>
                <w:szCs w:val="24"/>
              </w:rPr>
              <w:t>4</w:t>
            </w:r>
          </w:p>
        </w:tc>
        <w:tc>
          <w:tcPr>
            <w:tcW w:w="1717" w:type="dxa"/>
          </w:tcPr>
          <w:p w14:paraId="74012604" w14:textId="77777777" w:rsidR="0006222B" w:rsidRPr="003C7CB1" w:rsidRDefault="0006222B" w:rsidP="00825B2D">
            <w:pPr>
              <w:spacing w:after="0"/>
              <w:jc w:val="right"/>
              <w:rPr>
                <w:sz w:val="24"/>
                <w:szCs w:val="24"/>
              </w:rPr>
            </w:pPr>
            <w:r w:rsidRPr="003C7CB1">
              <w:rPr>
                <w:sz w:val="24"/>
                <w:szCs w:val="24"/>
              </w:rPr>
              <w:t>/</w:t>
            </w:r>
          </w:p>
        </w:tc>
      </w:tr>
      <w:tr w:rsidR="0006222B" w:rsidRPr="003C7CB1" w14:paraId="4BDF130A" w14:textId="77777777" w:rsidTr="000F4BCC">
        <w:trPr>
          <w:trHeight w:val="238"/>
          <w:jc w:val="center"/>
        </w:trPr>
        <w:tc>
          <w:tcPr>
            <w:tcW w:w="2495" w:type="dxa"/>
          </w:tcPr>
          <w:p w14:paraId="3CC6FE16" w14:textId="7F5CC88B" w:rsidR="0006222B" w:rsidRPr="003C7CB1" w:rsidRDefault="009A50C8" w:rsidP="004D2C5E">
            <w:pPr>
              <w:spacing w:after="0"/>
              <w:rPr>
                <w:sz w:val="24"/>
                <w:szCs w:val="24"/>
              </w:rPr>
            </w:pPr>
            <w:r w:rsidRPr="003C7CB1">
              <w:rPr>
                <w:sz w:val="24"/>
                <w:szCs w:val="24"/>
              </w:rPr>
              <w:t>Donor funds</w:t>
            </w:r>
          </w:p>
        </w:tc>
        <w:tc>
          <w:tcPr>
            <w:tcW w:w="1623" w:type="dxa"/>
          </w:tcPr>
          <w:p w14:paraId="390E5BA6" w14:textId="77ABA4DA" w:rsidR="0006222B" w:rsidRPr="003C7CB1" w:rsidRDefault="0006222B" w:rsidP="008D541D">
            <w:pPr>
              <w:spacing w:after="0"/>
              <w:jc w:val="right"/>
              <w:rPr>
                <w:sz w:val="24"/>
                <w:szCs w:val="24"/>
              </w:rPr>
            </w:pPr>
            <w:r w:rsidRPr="003C7CB1">
              <w:rPr>
                <w:sz w:val="24"/>
                <w:szCs w:val="24"/>
              </w:rPr>
              <w:t>1.0</w:t>
            </w:r>
            <w:r w:rsidR="008D541D" w:rsidRPr="003C7CB1">
              <w:rPr>
                <w:sz w:val="24"/>
                <w:szCs w:val="24"/>
              </w:rPr>
              <w:t>4</w:t>
            </w:r>
            <w:r w:rsidRPr="003C7CB1">
              <w:rPr>
                <w:sz w:val="24"/>
                <w:szCs w:val="24"/>
              </w:rPr>
              <w:t>5.000,00</w:t>
            </w:r>
          </w:p>
        </w:tc>
        <w:tc>
          <w:tcPr>
            <w:tcW w:w="1207" w:type="dxa"/>
          </w:tcPr>
          <w:p w14:paraId="76DEB7FB" w14:textId="3767F810" w:rsidR="0006222B" w:rsidRPr="003C7CB1" w:rsidRDefault="0006222B" w:rsidP="00825B2D">
            <w:pPr>
              <w:jc w:val="right"/>
              <w:rPr>
                <w:sz w:val="24"/>
                <w:szCs w:val="24"/>
              </w:rPr>
            </w:pPr>
            <w:r w:rsidRPr="003C7CB1">
              <w:rPr>
                <w:sz w:val="24"/>
                <w:szCs w:val="24"/>
              </w:rPr>
              <w:t>3,</w:t>
            </w:r>
            <w:r w:rsidR="00D07DCE" w:rsidRPr="003C7CB1">
              <w:rPr>
                <w:sz w:val="24"/>
                <w:szCs w:val="24"/>
              </w:rPr>
              <w:t>87</w:t>
            </w:r>
          </w:p>
        </w:tc>
        <w:tc>
          <w:tcPr>
            <w:tcW w:w="1717" w:type="dxa"/>
          </w:tcPr>
          <w:p w14:paraId="59451FBA" w14:textId="77777777" w:rsidR="0006222B" w:rsidRPr="003C7CB1" w:rsidRDefault="0006222B" w:rsidP="00825B2D">
            <w:pPr>
              <w:spacing w:after="0"/>
              <w:jc w:val="right"/>
              <w:rPr>
                <w:sz w:val="24"/>
                <w:szCs w:val="24"/>
              </w:rPr>
            </w:pPr>
            <w:r w:rsidRPr="003C7CB1">
              <w:rPr>
                <w:sz w:val="24"/>
                <w:szCs w:val="24"/>
              </w:rPr>
              <w:t>/</w:t>
            </w:r>
          </w:p>
        </w:tc>
      </w:tr>
      <w:tr w:rsidR="0006222B" w:rsidRPr="003C7CB1" w14:paraId="7D2F6BB2" w14:textId="77777777" w:rsidTr="000F4BCC">
        <w:trPr>
          <w:trHeight w:val="238"/>
          <w:jc w:val="center"/>
        </w:trPr>
        <w:tc>
          <w:tcPr>
            <w:tcW w:w="2495" w:type="dxa"/>
            <w:vMerge w:val="restart"/>
            <w:shd w:val="clear" w:color="auto" w:fill="D5DCE4" w:themeFill="text2" w:themeFillTint="33"/>
            <w:vAlign w:val="center"/>
          </w:tcPr>
          <w:p w14:paraId="47EA32C3" w14:textId="6682219B" w:rsidR="0006222B" w:rsidRPr="003C7CB1" w:rsidRDefault="009A50C8" w:rsidP="004D2C5E">
            <w:pPr>
              <w:spacing w:after="0"/>
              <w:rPr>
                <w:b/>
                <w:sz w:val="24"/>
                <w:szCs w:val="24"/>
              </w:rPr>
            </w:pPr>
            <w:r w:rsidRPr="003C7CB1">
              <w:rPr>
                <w:b/>
                <w:sz w:val="24"/>
                <w:szCs w:val="24"/>
              </w:rPr>
              <w:t>TOTAL</w:t>
            </w:r>
          </w:p>
        </w:tc>
        <w:tc>
          <w:tcPr>
            <w:tcW w:w="1623" w:type="dxa"/>
            <w:shd w:val="clear" w:color="auto" w:fill="D5DCE4" w:themeFill="text2" w:themeFillTint="33"/>
          </w:tcPr>
          <w:p w14:paraId="7EAA2B4B" w14:textId="6354D347" w:rsidR="0006222B" w:rsidRPr="003C7CB1" w:rsidRDefault="00095B7C" w:rsidP="00825B2D">
            <w:pPr>
              <w:spacing w:after="0"/>
              <w:jc w:val="right"/>
              <w:rPr>
                <w:b/>
                <w:sz w:val="24"/>
                <w:szCs w:val="24"/>
              </w:rPr>
            </w:pPr>
            <w:r w:rsidRPr="003C7CB1">
              <w:rPr>
                <w:b/>
                <w:sz w:val="24"/>
                <w:szCs w:val="24"/>
              </w:rPr>
              <w:t>27.0</w:t>
            </w:r>
            <w:r w:rsidR="00EE3EB9" w:rsidRPr="003C7CB1">
              <w:rPr>
                <w:b/>
                <w:sz w:val="24"/>
                <w:szCs w:val="24"/>
              </w:rPr>
              <w:t>4</w:t>
            </w:r>
            <w:r w:rsidRPr="003C7CB1">
              <w:rPr>
                <w:b/>
                <w:sz w:val="24"/>
                <w:szCs w:val="24"/>
              </w:rPr>
              <w:t>7.673</w:t>
            </w:r>
            <w:r w:rsidR="00D07DCE" w:rsidRPr="003C7CB1">
              <w:rPr>
                <w:b/>
                <w:sz w:val="24"/>
                <w:szCs w:val="24"/>
              </w:rPr>
              <w:t>,</w:t>
            </w:r>
            <w:r w:rsidRPr="003C7CB1">
              <w:rPr>
                <w:b/>
                <w:sz w:val="24"/>
                <w:szCs w:val="24"/>
              </w:rPr>
              <w:t>65</w:t>
            </w:r>
          </w:p>
        </w:tc>
        <w:tc>
          <w:tcPr>
            <w:tcW w:w="1207" w:type="dxa"/>
            <w:shd w:val="clear" w:color="auto" w:fill="D5DCE4" w:themeFill="text2" w:themeFillTint="33"/>
          </w:tcPr>
          <w:p w14:paraId="614BCEE2" w14:textId="77777777" w:rsidR="0006222B" w:rsidRPr="003C7CB1" w:rsidRDefault="0006222B" w:rsidP="00825B2D">
            <w:pPr>
              <w:spacing w:after="0"/>
              <w:jc w:val="right"/>
              <w:rPr>
                <w:b/>
                <w:sz w:val="24"/>
                <w:szCs w:val="24"/>
              </w:rPr>
            </w:pPr>
            <w:r w:rsidRPr="003C7CB1">
              <w:rPr>
                <w:b/>
                <w:sz w:val="24"/>
                <w:szCs w:val="24"/>
              </w:rPr>
              <w:t>100,00</w:t>
            </w:r>
          </w:p>
        </w:tc>
        <w:tc>
          <w:tcPr>
            <w:tcW w:w="1717" w:type="dxa"/>
            <w:shd w:val="clear" w:color="auto" w:fill="D5DCE4" w:themeFill="text2" w:themeFillTint="33"/>
          </w:tcPr>
          <w:p w14:paraId="344CB102" w14:textId="2AED8759" w:rsidR="0006222B" w:rsidRPr="003C7CB1" w:rsidRDefault="0006222B" w:rsidP="00825B2D">
            <w:pPr>
              <w:spacing w:after="0"/>
              <w:jc w:val="right"/>
              <w:rPr>
                <w:b/>
                <w:sz w:val="24"/>
                <w:szCs w:val="24"/>
              </w:rPr>
            </w:pPr>
            <w:r w:rsidRPr="003C7CB1">
              <w:rPr>
                <w:b/>
                <w:sz w:val="24"/>
                <w:szCs w:val="24"/>
              </w:rPr>
              <w:t>5.1</w:t>
            </w:r>
            <w:r w:rsidR="005C07AA" w:rsidRPr="003C7CB1">
              <w:rPr>
                <w:b/>
                <w:sz w:val="24"/>
                <w:szCs w:val="24"/>
              </w:rPr>
              <w:t>7</w:t>
            </w:r>
            <w:r w:rsidRPr="003C7CB1">
              <w:rPr>
                <w:b/>
                <w:sz w:val="24"/>
                <w:szCs w:val="24"/>
              </w:rPr>
              <w:t>6.000,00</w:t>
            </w:r>
          </w:p>
        </w:tc>
      </w:tr>
      <w:tr w:rsidR="0006222B" w:rsidRPr="003C7CB1" w14:paraId="0C9CC004" w14:textId="77777777" w:rsidTr="000F4BCC">
        <w:trPr>
          <w:trHeight w:val="238"/>
          <w:jc w:val="center"/>
        </w:trPr>
        <w:tc>
          <w:tcPr>
            <w:tcW w:w="2495" w:type="dxa"/>
            <w:vMerge/>
            <w:shd w:val="clear" w:color="auto" w:fill="D5DCE4" w:themeFill="text2" w:themeFillTint="33"/>
          </w:tcPr>
          <w:p w14:paraId="1F4380EE" w14:textId="77777777" w:rsidR="0006222B" w:rsidRPr="003C7CB1" w:rsidRDefault="0006222B" w:rsidP="004D2C5E">
            <w:pPr>
              <w:spacing w:after="0"/>
              <w:rPr>
                <w:b/>
                <w:sz w:val="24"/>
                <w:szCs w:val="24"/>
              </w:rPr>
            </w:pPr>
          </w:p>
        </w:tc>
        <w:tc>
          <w:tcPr>
            <w:tcW w:w="4547" w:type="dxa"/>
            <w:gridSpan w:val="3"/>
            <w:shd w:val="clear" w:color="auto" w:fill="D5DCE4" w:themeFill="text2" w:themeFillTint="33"/>
          </w:tcPr>
          <w:p w14:paraId="7BB5E846" w14:textId="18C54BD6" w:rsidR="0006222B" w:rsidRPr="003C7CB1" w:rsidRDefault="001A414B" w:rsidP="00825B2D">
            <w:pPr>
              <w:spacing w:after="0"/>
              <w:jc w:val="center"/>
              <w:rPr>
                <w:b/>
                <w:sz w:val="24"/>
                <w:szCs w:val="24"/>
              </w:rPr>
            </w:pPr>
            <w:r w:rsidRPr="003C7CB1">
              <w:rPr>
                <w:b/>
                <w:sz w:val="24"/>
                <w:szCs w:val="24"/>
              </w:rPr>
              <w:t>32.</w:t>
            </w:r>
            <w:r w:rsidR="00EE3EB9" w:rsidRPr="003C7CB1">
              <w:rPr>
                <w:b/>
                <w:sz w:val="24"/>
                <w:szCs w:val="24"/>
              </w:rPr>
              <w:t>22</w:t>
            </w:r>
            <w:r w:rsidRPr="003C7CB1">
              <w:rPr>
                <w:b/>
                <w:sz w:val="24"/>
                <w:szCs w:val="24"/>
              </w:rPr>
              <w:t>3.673,65</w:t>
            </w:r>
          </w:p>
        </w:tc>
      </w:tr>
    </w:tbl>
    <w:p w14:paraId="58167250" w14:textId="1168813B" w:rsidR="00A8615A" w:rsidRPr="003C7CB1" w:rsidRDefault="00A8615A" w:rsidP="000A6B18">
      <w:bookmarkStart w:id="477" w:name="_Toc95300008"/>
      <w:bookmarkStart w:id="478" w:name="_Toc95303088"/>
      <w:bookmarkStart w:id="479" w:name="_Toc97902552"/>
      <w:bookmarkStart w:id="480" w:name="_Toc88772670"/>
      <w:r w:rsidRPr="003C7CB1">
        <w:rPr>
          <w:noProof/>
        </w:rPr>
        <w:lastRenderedPageBreak/>
        <w:drawing>
          <wp:inline distT="0" distB="0" distL="0" distR="0" wp14:anchorId="2E98BA15" wp14:editId="529F4B3C">
            <wp:extent cx="6120082" cy="8656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6120082" cy="8656955"/>
                    </a:xfrm>
                    <a:prstGeom prst="rect">
                      <a:avLst/>
                    </a:prstGeom>
                    <a:noFill/>
                  </pic:spPr>
                </pic:pic>
              </a:graphicData>
            </a:graphic>
          </wp:inline>
        </w:drawing>
      </w:r>
      <w:bookmarkEnd w:id="477"/>
      <w:bookmarkEnd w:id="478"/>
      <w:bookmarkEnd w:id="479"/>
    </w:p>
    <w:p w14:paraId="02E74B39" w14:textId="45B69920" w:rsidR="00EB39C9" w:rsidRPr="003C7CB1" w:rsidRDefault="00EB39C9" w:rsidP="001125FC">
      <w:pPr>
        <w:pStyle w:val="Heading1"/>
        <w:spacing w:before="0" w:after="120" w:line="240" w:lineRule="auto"/>
      </w:pPr>
      <w:bookmarkStart w:id="481" w:name="_Toc95303089"/>
      <w:bookmarkStart w:id="482" w:name="_Toc104544226"/>
      <w:r w:rsidRPr="003C7CB1">
        <w:lastRenderedPageBreak/>
        <w:t>1</w:t>
      </w:r>
      <w:r w:rsidR="00916D23" w:rsidRPr="003C7CB1">
        <w:t>8</w:t>
      </w:r>
      <w:r w:rsidRPr="003C7CB1">
        <w:t xml:space="preserve">. </w:t>
      </w:r>
      <w:bookmarkEnd w:id="480"/>
      <w:bookmarkEnd w:id="481"/>
      <w:r w:rsidR="005A45D1" w:rsidRPr="003C7CB1">
        <w:t>MONITORING, EVALUATION AND REPORTING ON THE IMPLEMENTATION OF THE ACTION PLAN</w:t>
      </w:r>
      <w:bookmarkEnd w:id="482"/>
    </w:p>
    <w:p w14:paraId="7E3D7A7B" w14:textId="05EBF18C" w:rsidR="00EB39C9" w:rsidRPr="003C7CB1" w:rsidRDefault="00F92D5A"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The Ministry of Economic Development is the umbrella institution responsible for creating and implementing the strategic document in question. The Action Plan for 2022 defines operational goals wit</w:t>
      </w:r>
      <w:r w:rsidR="00AD3A16">
        <w:rPr>
          <w:rFonts w:eastAsia="Times New Roman" w:cstheme="minorHAnsi"/>
          <w:sz w:val="24"/>
          <w:szCs w:val="24"/>
          <w:lang w:eastAsia="de-DE"/>
        </w:rPr>
        <w:t xml:space="preserve">h measures and activities, </w:t>
      </w:r>
      <w:r w:rsidRPr="003C7CB1">
        <w:rPr>
          <w:rFonts w:eastAsia="Times New Roman" w:cstheme="minorHAnsi"/>
          <w:sz w:val="24"/>
          <w:szCs w:val="24"/>
          <w:lang w:eastAsia="de-DE"/>
        </w:rPr>
        <w:t>holders and partners, deadlines, indicators on the basis of which the implementation will be monitored and the evaluation of the achieved results will be performed, as well as the amounts and sources of financial resources. Monitoring and evaluation of the implementation of the Action Plan will be performed by the Ministry of Economic Development as the ministry in charge of tourism, based on the annual report of the operational team and the ex post evaluation report of the external evaluator</w:t>
      </w:r>
      <w:r w:rsidR="00EB39C9" w:rsidRPr="003C7CB1">
        <w:rPr>
          <w:rFonts w:eastAsia="Times New Roman" w:cstheme="minorHAnsi"/>
          <w:sz w:val="24"/>
          <w:szCs w:val="24"/>
          <w:lang w:eastAsia="de-DE"/>
        </w:rPr>
        <w:t>.</w:t>
      </w:r>
    </w:p>
    <w:p w14:paraId="1790CA68" w14:textId="5ABA5B86" w:rsidR="00EB39C9" w:rsidRPr="003C7CB1" w:rsidRDefault="00F92D5A"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 xml:space="preserve">Implementation of the Tourism Development Strategy of Montenegro 2022-2025 with the Action Plan requires the involvement of a number of institutions. Accordingly, the relevant institutions that are the bearers of individual activities, as well as their partners, are obliged to provide information on the activities implemented under the Action Plan. This is necessary for the timely and adequate collection of data for the preparation of annual and final reports on implementation, as well as measuring the degree of performance, but also for identifying challenges that may arise during the implementation of planned activities. </w:t>
      </w:r>
    </w:p>
    <w:p w14:paraId="28B1BCA4" w14:textId="4D92F605" w:rsidR="00EB39C9" w:rsidRPr="003C7CB1" w:rsidRDefault="00F92D5A"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 xml:space="preserve">In order for the process of monitoring the implementation of the Strategy to be carried out as </w:t>
      </w:r>
      <w:r w:rsidR="00A84B74" w:rsidRPr="003C7CB1">
        <w:rPr>
          <w:rFonts w:eastAsia="Times New Roman" w:cstheme="minorHAnsi"/>
          <w:sz w:val="24"/>
          <w:szCs w:val="24"/>
          <w:lang w:eastAsia="de-DE"/>
        </w:rPr>
        <w:t>well</w:t>
      </w:r>
      <w:r w:rsidRPr="003C7CB1">
        <w:rPr>
          <w:rFonts w:eastAsia="Times New Roman" w:cstheme="minorHAnsi"/>
          <w:sz w:val="24"/>
          <w:szCs w:val="24"/>
          <w:lang w:eastAsia="de-DE"/>
        </w:rPr>
        <w:t xml:space="preserve"> and efficiently as possible, the Ministry of Economic Development will form an operational team consisting of representatives of relevant institutions (holders and partners). The operational team will be chaired by a representative of the Ministry, and will meet at least twice a year. The work of the operational team will be specified in the work plan prepared by the Ministry</w:t>
      </w:r>
      <w:r w:rsidR="00EB39C9" w:rsidRPr="003C7CB1">
        <w:rPr>
          <w:rFonts w:eastAsia="Times New Roman" w:cstheme="minorHAnsi"/>
          <w:sz w:val="24"/>
          <w:szCs w:val="24"/>
          <w:lang w:eastAsia="de-DE"/>
        </w:rPr>
        <w:t xml:space="preserve">.   </w:t>
      </w:r>
    </w:p>
    <w:p w14:paraId="5414E4AF" w14:textId="77777777" w:rsidR="00A84B74" w:rsidRPr="003C7CB1" w:rsidRDefault="00A84B74"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The data necessary for compiling the report will be collected in the second half of the year (during the third quarter) by the operational team and will be submitted to the Ministry no later than the beginning of the fourth quarter, before compiling the annual or final report.</w:t>
      </w:r>
    </w:p>
    <w:p w14:paraId="74D1B453" w14:textId="5DC4C838" w:rsidR="00EB39C9" w:rsidRPr="003C7CB1" w:rsidRDefault="00A84B74"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The Ministry of Economic Development will be in charge of compiling and processing the collected data relevant to the preparation of the report, as well as the coordination and work of the operational team. The Ministry will consolidate them and make a report. After agreeing with the operational team, the Ministry will send the report (annual/final) to the General Secretariat of the Government of Montenegro for an opinion, after which it will be forwarded to the Government of Montenegro for introduction and adoption</w:t>
      </w:r>
      <w:r w:rsidR="00EB39C9" w:rsidRPr="003C7CB1">
        <w:rPr>
          <w:rFonts w:eastAsia="Times New Roman" w:cstheme="minorHAnsi"/>
          <w:sz w:val="24"/>
          <w:szCs w:val="24"/>
          <w:lang w:eastAsia="de-DE"/>
        </w:rPr>
        <w:t>.</w:t>
      </w:r>
    </w:p>
    <w:p w14:paraId="7D86BB9B" w14:textId="77777777" w:rsidR="00D03EE0" w:rsidRPr="003C7CB1" w:rsidRDefault="00D03EE0"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In order to ensure transparency in the process of implementing the Strategy and informing the public, the reports will be published on the Ministry's website.</w:t>
      </w:r>
    </w:p>
    <w:p w14:paraId="104BDB31" w14:textId="34D81835" w:rsidR="00EB39C9" w:rsidRPr="003C7CB1" w:rsidRDefault="00D03EE0"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The evaluation of the strategic document in question will be conducted ex post (performed after the implementation of the strategic document) by an external evaluator due to the complexity and scope, but also to ensure a greater degree of objectivity in its development. Funds for the evaluation will be provided from the budget of the Ministry, and accordingly, for 2025, financial resources in the amount of € 5,000.00 will be planned.</w:t>
      </w:r>
    </w:p>
    <w:p w14:paraId="49249B66" w14:textId="29BC73CF" w:rsidR="00D2417A" w:rsidRPr="003C7CB1" w:rsidRDefault="0034531D" w:rsidP="00D203AE">
      <w:pPr>
        <w:spacing w:after="0" w:line="240" w:lineRule="auto"/>
        <w:jc w:val="both"/>
        <w:rPr>
          <w:rFonts w:eastAsia="Times New Roman" w:cstheme="minorHAnsi"/>
          <w:sz w:val="24"/>
          <w:szCs w:val="24"/>
          <w:lang w:eastAsia="de-DE"/>
        </w:rPr>
      </w:pPr>
      <w:r w:rsidRPr="003C7CB1">
        <w:rPr>
          <w:rFonts w:eastAsia="Times New Roman" w:cstheme="minorHAnsi"/>
          <w:sz w:val="24"/>
          <w:szCs w:val="24"/>
          <w:lang w:eastAsia="de-DE"/>
        </w:rPr>
        <w:t>The Ministry of Economic Development will review the Action Plan annually, if justified needs are indicated</w:t>
      </w:r>
      <w:r w:rsidR="00EB39C9" w:rsidRPr="003C7CB1">
        <w:rPr>
          <w:rFonts w:eastAsia="Times New Roman" w:cstheme="minorHAnsi"/>
          <w:sz w:val="24"/>
          <w:szCs w:val="24"/>
          <w:lang w:eastAsia="de-DE"/>
        </w:rPr>
        <w:t xml:space="preserve">. </w:t>
      </w:r>
    </w:p>
    <w:p w14:paraId="66A4DA6F" w14:textId="77777777" w:rsidR="0067000B" w:rsidRPr="003C7CB1" w:rsidRDefault="00D2417A" w:rsidP="00D203AE">
      <w:pPr>
        <w:spacing w:after="0" w:line="240" w:lineRule="auto"/>
        <w:rPr>
          <w:rFonts w:eastAsia="Times New Roman" w:cstheme="minorHAnsi"/>
          <w:sz w:val="24"/>
          <w:szCs w:val="24"/>
          <w:lang w:eastAsia="de-DE"/>
        </w:rPr>
      </w:pPr>
      <w:r w:rsidRPr="003C7CB1">
        <w:rPr>
          <w:rFonts w:eastAsia="Times New Roman" w:cstheme="minorHAnsi"/>
          <w:sz w:val="24"/>
          <w:szCs w:val="24"/>
          <w:lang w:eastAsia="de-DE"/>
        </w:rPr>
        <w:br w:type="page"/>
      </w:r>
      <w:r w:rsidRPr="003C7CB1">
        <w:rPr>
          <w:rFonts w:eastAsia="Times New Roman" w:cstheme="minorHAnsi"/>
          <w:noProof/>
          <w:sz w:val="24"/>
          <w:szCs w:val="24"/>
        </w:rPr>
        <w:lastRenderedPageBreak/>
        <w:drawing>
          <wp:inline distT="0" distB="0" distL="0" distR="0" wp14:anchorId="081C462C" wp14:editId="54B5EE04">
            <wp:extent cx="6120531" cy="8657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cioni plan.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120531" cy="8657590"/>
                    </a:xfrm>
                    <a:prstGeom prst="rect">
                      <a:avLst/>
                    </a:prstGeom>
                  </pic:spPr>
                </pic:pic>
              </a:graphicData>
            </a:graphic>
          </wp:inline>
        </w:drawing>
      </w:r>
      <w:bookmarkStart w:id="483" w:name="_Toc95303090"/>
    </w:p>
    <w:p w14:paraId="74FC020B" w14:textId="33297496" w:rsidR="00EB39C9" w:rsidRPr="003C7CB1" w:rsidRDefault="00916D23" w:rsidP="0067000B">
      <w:pPr>
        <w:pStyle w:val="Heading1"/>
        <w:spacing w:before="0" w:after="120" w:line="240" w:lineRule="auto"/>
        <w:rPr>
          <w:rFonts w:eastAsia="Times New Roman" w:cstheme="minorHAnsi"/>
          <w:color w:val="auto"/>
          <w:sz w:val="24"/>
          <w:szCs w:val="24"/>
          <w:lang w:eastAsia="de-DE"/>
        </w:rPr>
      </w:pPr>
      <w:bookmarkStart w:id="484" w:name="_Toc104544227"/>
      <w:r w:rsidRPr="003C7CB1">
        <w:rPr>
          <w:rFonts w:eastAsia="Calibri"/>
        </w:rPr>
        <w:lastRenderedPageBreak/>
        <w:t>19</w:t>
      </w:r>
      <w:r w:rsidR="0067000B" w:rsidRPr="003C7CB1">
        <w:rPr>
          <w:rFonts w:eastAsia="Calibri"/>
        </w:rPr>
        <w:t>. A</w:t>
      </w:r>
      <w:bookmarkEnd w:id="483"/>
      <w:r w:rsidR="0034531D" w:rsidRPr="003C7CB1">
        <w:rPr>
          <w:rFonts w:eastAsia="Calibri"/>
        </w:rPr>
        <w:t>CTION PLAN</w:t>
      </w:r>
      <w:bookmarkEnd w:id="484"/>
    </w:p>
    <w:p w14:paraId="482F5964" w14:textId="41DF59D1" w:rsidR="006A3746" w:rsidRPr="003C7CB1" w:rsidRDefault="000078E8" w:rsidP="00C4671C">
      <w:pPr>
        <w:spacing w:after="120" w:line="240" w:lineRule="auto"/>
        <w:jc w:val="both"/>
        <w:rPr>
          <w:rFonts w:ascii="Calibri" w:eastAsia="Calibri" w:hAnsi="Calibri" w:cs="Times New Roman"/>
          <w:sz w:val="24"/>
          <w:szCs w:val="24"/>
        </w:rPr>
      </w:pPr>
      <w:r w:rsidRPr="003C7CB1">
        <w:rPr>
          <w:rFonts w:ascii="Calibri" w:eastAsia="Calibri" w:hAnsi="Calibri" w:cs="Times New Roman"/>
          <w:sz w:val="24"/>
          <w:szCs w:val="24"/>
        </w:rPr>
        <w:t xml:space="preserve">The Action Plan is a set of operational </w:t>
      </w:r>
      <w:r w:rsidR="00C65FFD">
        <w:rPr>
          <w:rFonts w:ascii="Calibri" w:eastAsia="Calibri" w:hAnsi="Calibri" w:cs="Times New Roman"/>
          <w:sz w:val="24"/>
          <w:szCs w:val="24"/>
        </w:rPr>
        <w:t>goal</w:t>
      </w:r>
      <w:r w:rsidRPr="003C7CB1">
        <w:rPr>
          <w:rFonts w:ascii="Calibri" w:eastAsia="Calibri" w:hAnsi="Calibri" w:cs="Times New Roman"/>
          <w:sz w:val="24"/>
          <w:szCs w:val="24"/>
        </w:rPr>
        <w:t xml:space="preserve">s with accompanying measures and activities, all of which are aimed at achieving the strategic goal of the destination. The Action Plan sets operational goals, measures and activities that result from the participation of a number of actors involved in the process of drafting the </w:t>
      </w:r>
      <w:r w:rsidR="00525391" w:rsidRPr="003C7CB1">
        <w:rPr>
          <w:rFonts w:ascii="Calibri" w:eastAsia="Calibri" w:hAnsi="Calibri" w:cs="Times New Roman"/>
          <w:sz w:val="24"/>
          <w:szCs w:val="24"/>
        </w:rPr>
        <w:t xml:space="preserve">Montenegro </w:t>
      </w:r>
      <w:r w:rsidRPr="003C7CB1">
        <w:rPr>
          <w:rFonts w:ascii="Calibri" w:eastAsia="Calibri" w:hAnsi="Calibri" w:cs="Times New Roman"/>
          <w:sz w:val="24"/>
          <w:szCs w:val="24"/>
        </w:rPr>
        <w:t xml:space="preserve">Tourism Development Strategy 2022-2025 with the Action Plan for 2022, and in accordance with their competencies and interests shown to meet the goals of </w:t>
      </w:r>
      <w:proofErr w:type="spellStart"/>
      <w:r w:rsidRPr="003C7CB1">
        <w:rPr>
          <w:rFonts w:ascii="Calibri" w:eastAsia="Calibri" w:hAnsi="Calibri" w:cs="Times New Roman"/>
          <w:sz w:val="24"/>
          <w:szCs w:val="24"/>
        </w:rPr>
        <w:t>of</w:t>
      </w:r>
      <w:proofErr w:type="spellEnd"/>
      <w:r w:rsidRPr="003C7CB1">
        <w:rPr>
          <w:rFonts w:ascii="Calibri" w:eastAsia="Calibri" w:hAnsi="Calibri" w:cs="Times New Roman"/>
          <w:sz w:val="24"/>
          <w:szCs w:val="24"/>
        </w:rPr>
        <w:t xml:space="preserve"> this plan</w:t>
      </w:r>
      <w:r w:rsidR="006A3746" w:rsidRPr="003C7CB1">
        <w:rPr>
          <w:rFonts w:ascii="Calibri" w:eastAsia="Calibri" w:hAnsi="Calibri" w:cs="Times New Roman"/>
          <w:sz w:val="24"/>
          <w:szCs w:val="24"/>
        </w:rPr>
        <w:t>.</w:t>
      </w:r>
    </w:p>
    <w:p w14:paraId="3F312439" w14:textId="6545E44D" w:rsidR="006A3746" w:rsidRPr="003C7CB1" w:rsidRDefault="000078E8" w:rsidP="0067000B">
      <w:pPr>
        <w:spacing w:after="0" w:line="240" w:lineRule="auto"/>
        <w:jc w:val="both"/>
        <w:rPr>
          <w:rFonts w:ascii="Calibri" w:eastAsia="Calibri" w:hAnsi="Calibri" w:cs="Times New Roman"/>
          <w:sz w:val="24"/>
          <w:szCs w:val="24"/>
        </w:rPr>
      </w:pPr>
      <w:r w:rsidRPr="003C7CB1">
        <w:rPr>
          <w:rFonts w:ascii="Calibri" w:eastAsia="Calibri" w:hAnsi="Calibri" w:cs="Times New Roman"/>
          <w:sz w:val="24"/>
          <w:szCs w:val="24"/>
        </w:rPr>
        <w:t xml:space="preserve">The envisaged measures will be implemented through the implementation of activities, which are defined as priorities. </w:t>
      </w:r>
      <w:r w:rsidRPr="003C7CB1">
        <w:rPr>
          <w:rFonts w:ascii="Calibri" w:eastAsia="Calibri" w:hAnsi="Calibri" w:cs="Times New Roman"/>
          <w:b/>
          <w:sz w:val="24"/>
          <w:szCs w:val="24"/>
        </w:rPr>
        <w:t>Activities are defined from a strategic (more comprehensive) level, both for the tourism sector and for other sectors that are directly or indirectly related to tourism, with a tendency to avoid "overlap" in terms of interdepartmental cooperation and taking into account "cross-cutting" documents</w:t>
      </w:r>
      <w:r w:rsidRPr="003C7CB1">
        <w:rPr>
          <w:rFonts w:ascii="Calibri" w:eastAsia="Calibri" w:hAnsi="Calibri" w:cs="Times New Roman"/>
          <w:sz w:val="24"/>
          <w:szCs w:val="24"/>
        </w:rPr>
        <w:t xml:space="preserve">. Implementation holders for activities related to tourism are line ministries, and the Ministry of Economic Development, which is in charge of tourism, will be a partner. Holders and partners, deadlines - time frame for implementation, indicators and sources of their verification, as well as amounts and sources of financial resources for their implementation have been defined for the activities determined by the Action Plan for 2022. </w:t>
      </w:r>
    </w:p>
    <w:p w14:paraId="5B476450" w14:textId="77777777" w:rsidR="006A3746" w:rsidRPr="003C7CB1" w:rsidRDefault="006A3746" w:rsidP="0067000B">
      <w:pPr>
        <w:spacing w:after="0" w:line="240" w:lineRule="auto"/>
        <w:jc w:val="both"/>
        <w:rPr>
          <w:rFonts w:ascii="Calibri" w:eastAsia="Calibri" w:hAnsi="Calibri" w:cs="Times New Roman"/>
          <w:sz w:val="24"/>
          <w:szCs w:val="24"/>
        </w:rPr>
      </w:pPr>
    </w:p>
    <w:p w14:paraId="5CE04773" w14:textId="690C3567" w:rsidR="006A3746" w:rsidRPr="003C7CB1" w:rsidRDefault="000078E8" w:rsidP="000078E8">
      <w:pPr>
        <w:spacing w:after="0" w:line="240" w:lineRule="auto"/>
        <w:jc w:val="both"/>
        <w:rPr>
          <w:sz w:val="24"/>
          <w:szCs w:val="24"/>
        </w:rPr>
      </w:pPr>
      <w:r w:rsidRPr="003C7CB1">
        <w:rPr>
          <w:sz w:val="24"/>
          <w:szCs w:val="24"/>
        </w:rPr>
        <w:t xml:space="preserve">Bearing in mind that the tourism product is very complex and diverse, as well as the fact that economic activities will continue to take place in the uncertain circumstances imposed by the COVID-19 pandemic, it is considered expedient to define the development of individual </w:t>
      </w:r>
      <w:r w:rsidR="00C65FFD">
        <w:rPr>
          <w:sz w:val="24"/>
          <w:szCs w:val="24"/>
        </w:rPr>
        <w:t>tourism product</w:t>
      </w:r>
      <w:r w:rsidRPr="003C7CB1">
        <w:rPr>
          <w:sz w:val="24"/>
          <w:szCs w:val="24"/>
        </w:rPr>
        <w:t xml:space="preserve">s, </w:t>
      </w:r>
      <w:r w:rsidR="00AE5C5F" w:rsidRPr="003C7CB1">
        <w:rPr>
          <w:sz w:val="24"/>
          <w:szCs w:val="24"/>
        </w:rPr>
        <w:t>i.e.</w:t>
      </w:r>
      <w:r w:rsidRPr="003C7CB1">
        <w:rPr>
          <w:sz w:val="24"/>
          <w:szCs w:val="24"/>
        </w:rPr>
        <w:t xml:space="preserve"> segments of the tourist offer, through special programs. The programs are, by their structure, much more specific and operational and provide an opportunity for an easier process of implementation and reporting on the level of i</w:t>
      </w:r>
      <w:r w:rsidR="004170FE" w:rsidRPr="003C7CB1">
        <w:rPr>
          <w:sz w:val="24"/>
          <w:szCs w:val="24"/>
        </w:rPr>
        <w:t>mplementation. Also, as such, they</w:t>
      </w:r>
      <w:r w:rsidRPr="003C7CB1">
        <w:rPr>
          <w:sz w:val="24"/>
          <w:szCs w:val="24"/>
        </w:rPr>
        <w:t xml:space="preserve"> will enable a clearer overview of the state of special tourist forms, as well as provi</w:t>
      </w:r>
      <w:r w:rsidR="004170FE" w:rsidRPr="003C7CB1">
        <w:rPr>
          <w:sz w:val="24"/>
          <w:szCs w:val="24"/>
        </w:rPr>
        <w:t>sion of</w:t>
      </w:r>
      <w:r w:rsidRPr="003C7CB1">
        <w:rPr>
          <w:sz w:val="24"/>
          <w:szCs w:val="24"/>
        </w:rPr>
        <w:t xml:space="preserve"> more precise inputs for activities in the coming period. </w:t>
      </w:r>
      <w:r w:rsidRPr="003C7CB1">
        <w:rPr>
          <w:b/>
          <w:sz w:val="24"/>
          <w:szCs w:val="24"/>
        </w:rPr>
        <w:t>We note that in accordance with the development needs, the Ministry of Economic Development will revise the Action Plan on an annual basis, if justified needs are indicated, which, among other things, includes planning ne</w:t>
      </w:r>
      <w:r w:rsidR="004170FE" w:rsidRPr="003C7CB1">
        <w:rPr>
          <w:b/>
          <w:sz w:val="24"/>
          <w:szCs w:val="24"/>
        </w:rPr>
        <w:t>w development programs, such as</w:t>
      </w:r>
      <w:r w:rsidRPr="003C7CB1">
        <w:rPr>
          <w:b/>
          <w:sz w:val="24"/>
          <w:szCs w:val="24"/>
        </w:rPr>
        <w:t xml:space="preserve"> MICE tourism development programs, adventure tourism, etc.</w:t>
      </w:r>
    </w:p>
    <w:p w14:paraId="2321E052" w14:textId="77777777" w:rsidR="006A3746" w:rsidRPr="003C7CB1" w:rsidRDefault="006A3746" w:rsidP="006A3746">
      <w:pPr>
        <w:spacing w:after="0"/>
        <w:jc w:val="both"/>
        <w:rPr>
          <w:rFonts w:ascii="Calibri" w:eastAsia="Calibri" w:hAnsi="Calibri" w:cs="Times New Roman"/>
          <w:sz w:val="24"/>
          <w:szCs w:val="24"/>
        </w:rPr>
      </w:pPr>
    </w:p>
    <w:p w14:paraId="65A75F96" w14:textId="446D2544" w:rsidR="006A3746" w:rsidRPr="003C7CB1" w:rsidRDefault="004170FE" w:rsidP="006A3746">
      <w:pPr>
        <w:spacing w:after="0"/>
        <w:jc w:val="both"/>
        <w:rPr>
          <w:sz w:val="24"/>
          <w:szCs w:val="24"/>
        </w:rPr>
      </w:pPr>
      <w:r w:rsidRPr="003C7CB1">
        <w:rPr>
          <w:sz w:val="24"/>
          <w:szCs w:val="24"/>
        </w:rPr>
        <w:t>In addition to the above, we emphasize the readiness of the Ministry of Economic Development to possibly adjust the Action Plan to the new circumstances, with special emphasis on strengthening public-private partnerships</w:t>
      </w:r>
      <w:r w:rsidR="006A3746" w:rsidRPr="003C7CB1">
        <w:rPr>
          <w:sz w:val="24"/>
          <w:szCs w:val="24"/>
        </w:rPr>
        <w:t xml:space="preserve">. </w:t>
      </w:r>
    </w:p>
    <w:p w14:paraId="4D2A7DAF" w14:textId="77777777" w:rsidR="006A3746" w:rsidRPr="003C7CB1" w:rsidRDefault="006A3746" w:rsidP="00C86AAE">
      <w:pPr>
        <w:spacing w:after="0"/>
        <w:rPr>
          <w:rFonts w:ascii="Calibri" w:eastAsia="Calibri" w:hAnsi="Calibri" w:cs="Times New Roman"/>
          <w:b/>
        </w:rPr>
        <w:sectPr w:rsidR="006A3746" w:rsidRPr="003C7CB1" w:rsidSect="0091040E">
          <w:pgSz w:w="11907" w:h="16840" w:code="9"/>
          <w:pgMar w:top="1134" w:right="1134" w:bottom="1134" w:left="1134" w:header="720" w:footer="720" w:gutter="0"/>
          <w:cols w:space="720"/>
          <w:docGrid w:linePitch="360"/>
        </w:sectPr>
      </w:pPr>
    </w:p>
    <w:tbl>
      <w:tblPr>
        <w:tblStyle w:val="TableGrid31"/>
        <w:tblW w:w="13680" w:type="dxa"/>
        <w:jc w:val="center"/>
        <w:tblLayout w:type="fixed"/>
        <w:tblLook w:val="04A0" w:firstRow="1" w:lastRow="0" w:firstColumn="1" w:lastColumn="0" w:noHBand="0" w:noVBand="1"/>
      </w:tblPr>
      <w:tblGrid>
        <w:gridCol w:w="2122"/>
        <w:gridCol w:w="1366"/>
        <w:gridCol w:w="51"/>
        <w:gridCol w:w="1559"/>
        <w:gridCol w:w="1701"/>
        <w:gridCol w:w="91"/>
        <w:gridCol w:w="1418"/>
        <w:gridCol w:w="334"/>
        <w:gridCol w:w="1703"/>
        <w:gridCol w:w="1841"/>
        <w:gridCol w:w="91"/>
        <w:gridCol w:w="1403"/>
      </w:tblGrid>
      <w:tr w:rsidR="00861CB1" w:rsidRPr="003C7CB1" w14:paraId="5C620656" w14:textId="77777777" w:rsidTr="00861CB1">
        <w:trPr>
          <w:jc w:val="center"/>
        </w:trPr>
        <w:tc>
          <w:tcPr>
            <w:tcW w:w="13680" w:type="dxa"/>
            <w:gridSpan w:val="12"/>
            <w:shd w:val="clear" w:color="auto" w:fill="C5E0B3"/>
          </w:tcPr>
          <w:bookmarkEnd w:id="247"/>
          <w:p w14:paraId="53B60577" w14:textId="77777777" w:rsidR="00861CB1" w:rsidRPr="003C7CB1" w:rsidRDefault="00861CB1" w:rsidP="00861CB1">
            <w:pPr>
              <w:spacing w:after="0" w:line="240" w:lineRule="auto"/>
              <w:jc w:val="center"/>
              <w:rPr>
                <w:rFonts w:ascii="Calibri" w:eastAsia="Calibri" w:hAnsi="Calibri" w:cs="Calibri"/>
                <w:b/>
                <w:color w:val="1F3864"/>
                <w:sz w:val="24"/>
                <w:szCs w:val="24"/>
              </w:rPr>
            </w:pPr>
            <w:r w:rsidRPr="003C7CB1">
              <w:rPr>
                <w:rFonts w:ascii="Calibri" w:eastAsia="Calibri" w:hAnsi="Calibri" w:cs="Calibri"/>
                <w:b/>
                <w:color w:val="1F3864"/>
                <w:sz w:val="24"/>
                <w:szCs w:val="24"/>
              </w:rPr>
              <w:lastRenderedPageBreak/>
              <w:t>STRATEGIC GOAL</w:t>
            </w:r>
          </w:p>
          <w:p w14:paraId="08FC9162" w14:textId="4C429707" w:rsidR="00861CB1" w:rsidRPr="003C7CB1" w:rsidRDefault="00861CB1" w:rsidP="00861CB1">
            <w:pPr>
              <w:spacing w:after="0" w:line="240" w:lineRule="auto"/>
              <w:jc w:val="center"/>
              <w:rPr>
                <w:rFonts w:ascii="Calibri" w:eastAsia="Calibri" w:hAnsi="Calibri" w:cs="Calibri"/>
                <w:b/>
                <w:color w:val="1F3864"/>
                <w:sz w:val="24"/>
                <w:szCs w:val="24"/>
              </w:rPr>
            </w:pPr>
            <w:r w:rsidRPr="003C7CB1">
              <w:rPr>
                <w:rFonts w:ascii="Calibri" w:eastAsia="Calibri" w:hAnsi="Calibri" w:cs="Calibri"/>
                <w:b/>
                <w:color w:val="1F3864"/>
                <w:sz w:val="24"/>
                <w:szCs w:val="24"/>
              </w:rPr>
              <w:t xml:space="preserve"> WITH INVESTMENTS AND FORMALIZATION OF TOURIS</w:t>
            </w:r>
            <w:r w:rsidR="002F0B9E">
              <w:rPr>
                <w:rFonts w:ascii="Calibri" w:eastAsia="Calibri" w:hAnsi="Calibri" w:cs="Calibri"/>
                <w:b/>
                <w:color w:val="1F3864"/>
                <w:sz w:val="24"/>
                <w:szCs w:val="24"/>
              </w:rPr>
              <w:t>M TURNOVER</w:t>
            </w:r>
            <w:r w:rsidRPr="003C7CB1">
              <w:rPr>
                <w:rFonts w:ascii="Calibri" w:eastAsia="Calibri" w:hAnsi="Calibri" w:cs="Calibri"/>
                <w:b/>
                <w:color w:val="1F3864"/>
                <w:sz w:val="24"/>
                <w:szCs w:val="24"/>
              </w:rPr>
              <w:t xml:space="preserve">, MONTENEGRO IS AFFIRMED AS A GLOBALLY RECOGNIZED TOURIST DESTINATION WITH REDUCED SEASONALITY OF BUSINESS, MORE MODERATE REGIONAL IMBALANCE AND PRIORITIZATION OF TOURISM IN DEVELOPMENT POLICIES </w:t>
            </w:r>
          </w:p>
        </w:tc>
      </w:tr>
      <w:tr w:rsidR="00861CB1" w:rsidRPr="003C7CB1" w14:paraId="259D8DAF" w14:textId="77777777" w:rsidTr="00861CB1">
        <w:trPr>
          <w:jc w:val="center"/>
        </w:trPr>
        <w:tc>
          <w:tcPr>
            <w:tcW w:w="3539" w:type="dxa"/>
            <w:gridSpan w:val="3"/>
          </w:tcPr>
          <w:p w14:paraId="3799F1C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i/>
              </w:rPr>
              <w:t xml:space="preserve">Impact indicator </w:t>
            </w:r>
          </w:p>
        </w:tc>
        <w:tc>
          <w:tcPr>
            <w:tcW w:w="3260" w:type="dxa"/>
            <w:gridSpan w:val="2"/>
          </w:tcPr>
          <w:p w14:paraId="27DC2AC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i/>
              </w:rPr>
              <w:t xml:space="preserve">Initial value in 2019 </w:t>
            </w:r>
            <w:r w:rsidRPr="003C7CB1">
              <w:rPr>
                <w:rFonts w:ascii="Calibri" w:eastAsia="Calibri" w:hAnsi="Calibri" w:cs="Calibri"/>
                <w:b/>
                <w:i/>
                <w:vertAlign w:val="superscript"/>
              </w:rPr>
              <w:footnoteReference w:id="70"/>
            </w:r>
            <w:r w:rsidRPr="003C7CB1">
              <w:rPr>
                <w:rFonts w:ascii="Calibri" w:eastAsia="Calibri" w:hAnsi="Calibri" w:cs="Calibri"/>
                <w:b/>
                <w:i/>
              </w:rPr>
              <w:t xml:space="preserve"> </w:t>
            </w:r>
          </w:p>
        </w:tc>
        <w:tc>
          <w:tcPr>
            <w:tcW w:w="3546" w:type="dxa"/>
            <w:gridSpan w:val="4"/>
          </w:tcPr>
          <w:p w14:paraId="446271A2"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i/>
              </w:rPr>
              <w:t xml:space="preserve"> Target value in 2023 </w:t>
            </w:r>
          </w:p>
        </w:tc>
        <w:tc>
          <w:tcPr>
            <w:tcW w:w="3335" w:type="dxa"/>
            <w:gridSpan w:val="3"/>
          </w:tcPr>
          <w:p w14:paraId="0FAE1D0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i/>
              </w:rPr>
              <w:t xml:space="preserve">Target value in 2025 </w:t>
            </w:r>
          </w:p>
        </w:tc>
      </w:tr>
      <w:tr w:rsidR="00861CB1" w:rsidRPr="003C7CB1" w14:paraId="45EBAC3E" w14:textId="77777777" w:rsidTr="00861CB1">
        <w:trPr>
          <w:jc w:val="center"/>
        </w:trPr>
        <w:tc>
          <w:tcPr>
            <w:tcW w:w="3539" w:type="dxa"/>
            <w:gridSpan w:val="3"/>
          </w:tcPr>
          <w:p w14:paraId="2851461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Number of overnight stays </w:t>
            </w:r>
          </w:p>
        </w:tc>
        <w:tc>
          <w:tcPr>
            <w:tcW w:w="3260" w:type="dxa"/>
            <w:gridSpan w:val="2"/>
          </w:tcPr>
          <w:p w14:paraId="50FBDB0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14.5 million </w:t>
            </w:r>
          </w:p>
        </w:tc>
        <w:tc>
          <w:tcPr>
            <w:tcW w:w="3546" w:type="dxa"/>
            <w:gridSpan w:val="4"/>
          </w:tcPr>
          <w:p w14:paraId="690F0F48"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Index 23/19 – 130 </w:t>
            </w:r>
          </w:p>
        </w:tc>
        <w:tc>
          <w:tcPr>
            <w:tcW w:w="3335" w:type="dxa"/>
            <w:gridSpan w:val="3"/>
          </w:tcPr>
          <w:p w14:paraId="01CA38A4"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Index 25/19 - 140  </w:t>
            </w:r>
          </w:p>
        </w:tc>
      </w:tr>
      <w:tr w:rsidR="00861CB1" w:rsidRPr="003C7CB1" w14:paraId="05A58A9F" w14:textId="77777777" w:rsidTr="00861CB1">
        <w:trPr>
          <w:jc w:val="center"/>
        </w:trPr>
        <w:tc>
          <w:tcPr>
            <w:tcW w:w="3539" w:type="dxa"/>
            <w:gridSpan w:val="3"/>
          </w:tcPr>
          <w:p w14:paraId="7D3B96F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Revenues in tourism </w:t>
            </w:r>
          </w:p>
        </w:tc>
        <w:tc>
          <w:tcPr>
            <w:tcW w:w="3260" w:type="dxa"/>
            <w:gridSpan w:val="2"/>
          </w:tcPr>
          <w:p w14:paraId="721CA89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€ 1.140 billion </w:t>
            </w:r>
          </w:p>
        </w:tc>
        <w:tc>
          <w:tcPr>
            <w:tcW w:w="3546" w:type="dxa"/>
            <w:gridSpan w:val="4"/>
          </w:tcPr>
          <w:p w14:paraId="507DE2D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Index 23/19 – 140 </w:t>
            </w:r>
          </w:p>
        </w:tc>
        <w:tc>
          <w:tcPr>
            <w:tcW w:w="3335" w:type="dxa"/>
            <w:gridSpan w:val="3"/>
          </w:tcPr>
          <w:p w14:paraId="0874D895"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Index 25/19 – 150 </w:t>
            </w:r>
          </w:p>
        </w:tc>
      </w:tr>
      <w:tr w:rsidR="00861CB1" w:rsidRPr="003C7CB1" w14:paraId="4A5B6DC0" w14:textId="77777777" w:rsidTr="00861CB1">
        <w:trPr>
          <w:jc w:val="center"/>
        </w:trPr>
        <w:tc>
          <w:tcPr>
            <w:tcW w:w="3539" w:type="dxa"/>
            <w:gridSpan w:val="3"/>
          </w:tcPr>
          <w:p w14:paraId="3AC3BBF8"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Share of tourism in GDP </w:t>
            </w:r>
          </w:p>
        </w:tc>
        <w:tc>
          <w:tcPr>
            <w:tcW w:w="3260" w:type="dxa"/>
            <w:gridSpan w:val="2"/>
          </w:tcPr>
          <w:p w14:paraId="020EFA81"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31% </w:t>
            </w:r>
          </w:p>
        </w:tc>
        <w:tc>
          <w:tcPr>
            <w:tcW w:w="3546" w:type="dxa"/>
            <w:gridSpan w:val="4"/>
          </w:tcPr>
          <w:p w14:paraId="13ACDF7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20%</w:t>
            </w:r>
            <w:r w:rsidRPr="003C7CB1">
              <w:rPr>
                <w:rFonts w:ascii="Calibri" w:eastAsia="Calibri" w:hAnsi="Calibri" w:cs="Calibri"/>
                <w:vertAlign w:val="superscript"/>
              </w:rPr>
              <w:footnoteReference w:id="71"/>
            </w:r>
            <w:r w:rsidRPr="003C7CB1">
              <w:rPr>
                <w:rFonts w:ascii="Calibri" w:eastAsia="Calibri" w:hAnsi="Calibri" w:cs="Calibri"/>
              </w:rPr>
              <w:t xml:space="preserve">  </w:t>
            </w:r>
          </w:p>
        </w:tc>
        <w:tc>
          <w:tcPr>
            <w:tcW w:w="3335" w:type="dxa"/>
            <w:gridSpan w:val="3"/>
          </w:tcPr>
          <w:p w14:paraId="6A04847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rPr>
              <w:t xml:space="preserve">25% </w:t>
            </w:r>
          </w:p>
        </w:tc>
      </w:tr>
      <w:tr w:rsidR="00861CB1" w:rsidRPr="003C7CB1" w14:paraId="3289EF70" w14:textId="77777777" w:rsidTr="00861CB1">
        <w:trPr>
          <w:jc w:val="center"/>
        </w:trPr>
        <w:tc>
          <w:tcPr>
            <w:tcW w:w="13680" w:type="dxa"/>
            <w:gridSpan w:val="12"/>
            <w:tcBorders>
              <w:bottom w:val="single" w:sz="4" w:space="0" w:color="auto"/>
            </w:tcBorders>
            <w:shd w:val="clear" w:color="auto" w:fill="9CC2E5"/>
          </w:tcPr>
          <w:p w14:paraId="308E3D63" w14:textId="77777777" w:rsidR="00861CB1" w:rsidRPr="003C7CB1" w:rsidRDefault="00861CB1" w:rsidP="00861CB1">
            <w:pPr>
              <w:contextualSpacing/>
              <w:jc w:val="center"/>
              <w:rPr>
                <w:rFonts w:ascii="Calibri" w:eastAsia="Calibri" w:hAnsi="Calibri" w:cs="Calibri"/>
                <w:b/>
                <w:sz w:val="24"/>
                <w:szCs w:val="24"/>
              </w:rPr>
            </w:pPr>
          </w:p>
          <w:p w14:paraId="5BD5C240"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ACTION PLAN FOR 2022 </w:t>
            </w:r>
          </w:p>
        </w:tc>
      </w:tr>
      <w:tr w:rsidR="00861CB1" w:rsidRPr="003C7CB1" w14:paraId="29C7F6E3" w14:textId="77777777" w:rsidTr="00861CB1">
        <w:trPr>
          <w:jc w:val="center"/>
        </w:trPr>
        <w:tc>
          <w:tcPr>
            <w:tcW w:w="13680" w:type="dxa"/>
            <w:gridSpan w:val="12"/>
            <w:shd w:val="clear" w:color="auto" w:fill="BDD6EE"/>
          </w:tcPr>
          <w:p w14:paraId="70B35B86" w14:textId="77777777" w:rsidR="00861CB1" w:rsidRPr="003C7CB1" w:rsidRDefault="00861CB1" w:rsidP="00861CB1">
            <w:pPr>
              <w:contextualSpacing/>
              <w:jc w:val="center"/>
              <w:rPr>
                <w:rFonts w:ascii="Calibri" w:eastAsia="Calibri" w:hAnsi="Calibri" w:cs="Calibri"/>
                <w:b/>
                <w:sz w:val="24"/>
                <w:szCs w:val="24"/>
              </w:rPr>
            </w:pPr>
          </w:p>
          <w:p w14:paraId="2BCB1A98" w14:textId="65877781"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Operational goal 1: Improved regulatory framework in tourism with formalization of touris</w:t>
            </w:r>
            <w:r w:rsidR="00A2639B">
              <w:rPr>
                <w:rFonts w:ascii="Calibri" w:eastAsia="Calibri" w:hAnsi="Calibri" w:cs="Calibri"/>
                <w:b/>
                <w:sz w:val="24"/>
                <w:szCs w:val="24"/>
              </w:rPr>
              <w:t>m turnover</w:t>
            </w:r>
          </w:p>
        </w:tc>
      </w:tr>
      <w:tr w:rsidR="00861CB1" w:rsidRPr="003C7CB1" w14:paraId="54DAC2F6" w14:textId="77777777" w:rsidTr="00861CB1">
        <w:trPr>
          <w:jc w:val="center"/>
        </w:trPr>
        <w:tc>
          <w:tcPr>
            <w:tcW w:w="3539" w:type="dxa"/>
            <w:gridSpan w:val="3"/>
            <w:shd w:val="clear" w:color="auto" w:fill="auto"/>
          </w:tcPr>
          <w:p w14:paraId="775728BF"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260" w:type="dxa"/>
            <w:gridSpan w:val="2"/>
            <w:shd w:val="clear" w:color="auto" w:fill="auto"/>
          </w:tcPr>
          <w:p w14:paraId="65C30FC3"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Initial value for 2021 </w:t>
            </w:r>
          </w:p>
        </w:tc>
        <w:tc>
          <w:tcPr>
            <w:tcW w:w="3546" w:type="dxa"/>
            <w:gridSpan w:val="4"/>
            <w:shd w:val="clear" w:color="auto" w:fill="auto"/>
          </w:tcPr>
          <w:p w14:paraId="074086BB"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i/>
              </w:rPr>
              <w:t xml:space="preserve"> </w:t>
            </w:r>
            <w:r w:rsidRPr="003C7CB1">
              <w:rPr>
                <w:rFonts w:ascii="Calibri" w:eastAsia="Calibri" w:hAnsi="Calibri" w:cs="Calibri"/>
                <w:b/>
              </w:rPr>
              <w:t xml:space="preserve">Target value for 2023 </w:t>
            </w:r>
          </w:p>
        </w:tc>
        <w:tc>
          <w:tcPr>
            <w:tcW w:w="3335" w:type="dxa"/>
            <w:gridSpan w:val="3"/>
            <w:shd w:val="clear" w:color="auto" w:fill="auto"/>
          </w:tcPr>
          <w:p w14:paraId="517D7412"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4EFF17E5" w14:textId="77777777" w:rsidTr="00861CB1">
        <w:trPr>
          <w:jc w:val="center"/>
        </w:trPr>
        <w:tc>
          <w:tcPr>
            <w:tcW w:w="3539" w:type="dxa"/>
            <w:gridSpan w:val="3"/>
            <w:shd w:val="clear" w:color="auto" w:fill="auto"/>
          </w:tcPr>
          <w:p w14:paraId="67762AD6"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260" w:type="dxa"/>
            <w:gridSpan w:val="2"/>
            <w:shd w:val="clear" w:color="auto" w:fill="auto"/>
          </w:tcPr>
          <w:p w14:paraId="3B563AEB" w14:textId="77777777" w:rsidR="00861CB1" w:rsidRPr="003C7CB1" w:rsidRDefault="00861CB1" w:rsidP="00861CB1">
            <w:pPr>
              <w:spacing w:after="0" w:line="240" w:lineRule="auto"/>
              <w:rPr>
                <w:rFonts w:ascii="Calibri" w:eastAsia="Calibri" w:hAnsi="Calibri" w:cs="Calibri"/>
              </w:rPr>
            </w:pPr>
          </w:p>
          <w:p w14:paraId="761F27C7" w14:textId="77777777" w:rsidR="00861CB1" w:rsidRPr="003C7CB1" w:rsidRDefault="00861CB1" w:rsidP="00861CB1">
            <w:pPr>
              <w:spacing w:after="0" w:line="240" w:lineRule="auto"/>
              <w:rPr>
                <w:rFonts w:ascii="Calibri" w:eastAsia="Calibri" w:hAnsi="Calibri" w:cs="Calibri"/>
              </w:rPr>
            </w:pPr>
          </w:p>
        </w:tc>
        <w:tc>
          <w:tcPr>
            <w:tcW w:w="3546" w:type="dxa"/>
            <w:gridSpan w:val="4"/>
            <w:shd w:val="clear" w:color="auto" w:fill="auto"/>
          </w:tcPr>
          <w:p w14:paraId="2445F867" w14:textId="77777777" w:rsidR="00861CB1" w:rsidRPr="003C7CB1" w:rsidRDefault="00861CB1" w:rsidP="00861CB1">
            <w:pPr>
              <w:spacing w:after="0" w:line="240" w:lineRule="auto"/>
              <w:rPr>
                <w:rFonts w:ascii="Calibri" w:eastAsia="Calibri" w:hAnsi="Calibri" w:cs="Calibri"/>
              </w:rPr>
            </w:pPr>
          </w:p>
        </w:tc>
        <w:tc>
          <w:tcPr>
            <w:tcW w:w="3335" w:type="dxa"/>
            <w:gridSpan w:val="3"/>
            <w:shd w:val="clear" w:color="auto" w:fill="auto"/>
          </w:tcPr>
          <w:p w14:paraId="2B574BAE" w14:textId="77777777" w:rsidR="00861CB1" w:rsidRPr="003C7CB1" w:rsidRDefault="00861CB1" w:rsidP="00861CB1">
            <w:pPr>
              <w:spacing w:after="0" w:line="240" w:lineRule="auto"/>
              <w:rPr>
                <w:rFonts w:ascii="Calibri" w:eastAsia="Calibri" w:hAnsi="Calibri" w:cs="Calibri"/>
              </w:rPr>
            </w:pPr>
          </w:p>
        </w:tc>
      </w:tr>
      <w:tr w:rsidR="00861CB1" w:rsidRPr="003C7CB1" w14:paraId="0EC265DC" w14:textId="77777777" w:rsidTr="00861CB1">
        <w:trPr>
          <w:jc w:val="center"/>
        </w:trPr>
        <w:tc>
          <w:tcPr>
            <w:tcW w:w="3539" w:type="dxa"/>
            <w:gridSpan w:val="3"/>
            <w:shd w:val="clear" w:color="auto" w:fill="auto"/>
          </w:tcPr>
          <w:p w14:paraId="2B44832F"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Number of harmonized laws / secondary legislation </w:t>
            </w:r>
          </w:p>
        </w:tc>
        <w:tc>
          <w:tcPr>
            <w:tcW w:w="3260" w:type="dxa"/>
            <w:gridSpan w:val="2"/>
            <w:shd w:val="clear" w:color="auto" w:fill="auto"/>
          </w:tcPr>
          <w:p w14:paraId="7E69777D"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0 </w:t>
            </w:r>
          </w:p>
        </w:tc>
        <w:tc>
          <w:tcPr>
            <w:tcW w:w="3546" w:type="dxa"/>
            <w:gridSpan w:val="4"/>
            <w:shd w:val="clear" w:color="auto" w:fill="auto"/>
          </w:tcPr>
          <w:p w14:paraId="2F19F950"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+ 5 </w:t>
            </w:r>
          </w:p>
        </w:tc>
        <w:tc>
          <w:tcPr>
            <w:tcW w:w="3335" w:type="dxa"/>
            <w:gridSpan w:val="3"/>
            <w:shd w:val="clear" w:color="auto" w:fill="auto"/>
          </w:tcPr>
          <w:p w14:paraId="127E322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+ 2 </w:t>
            </w:r>
          </w:p>
          <w:p w14:paraId="0E55DB15"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(compared to 2023) </w:t>
            </w:r>
          </w:p>
        </w:tc>
      </w:tr>
      <w:tr w:rsidR="00861CB1" w:rsidRPr="003C7CB1" w14:paraId="6D2852CE" w14:textId="77777777" w:rsidTr="00861CB1">
        <w:trPr>
          <w:jc w:val="center"/>
        </w:trPr>
        <w:tc>
          <w:tcPr>
            <w:tcW w:w="3539" w:type="dxa"/>
            <w:gridSpan w:val="3"/>
            <w:shd w:val="clear" w:color="auto" w:fill="auto"/>
          </w:tcPr>
          <w:p w14:paraId="52CA695C"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2: </w:t>
            </w:r>
          </w:p>
        </w:tc>
        <w:tc>
          <w:tcPr>
            <w:tcW w:w="3260" w:type="dxa"/>
            <w:gridSpan w:val="2"/>
            <w:shd w:val="clear" w:color="auto" w:fill="auto"/>
          </w:tcPr>
          <w:p w14:paraId="3A38D05B" w14:textId="77777777" w:rsidR="00861CB1" w:rsidRPr="003C7CB1" w:rsidRDefault="00861CB1" w:rsidP="00861CB1">
            <w:pPr>
              <w:spacing w:after="0" w:line="240" w:lineRule="auto"/>
              <w:rPr>
                <w:rFonts w:ascii="Calibri" w:eastAsia="Calibri" w:hAnsi="Calibri" w:cs="Calibri"/>
                <w:b/>
              </w:rPr>
            </w:pPr>
          </w:p>
        </w:tc>
        <w:tc>
          <w:tcPr>
            <w:tcW w:w="3546" w:type="dxa"/>
            <w:gridSpan w:val="4"/>
            <w:shd w:val="clear" w:color="auto" w:fill="auto"/>
          </w:tcPr>
          <w:p w14:paraId="309DF60C" w14:textId="77777777" w:rsidR="00861CB1" w:rsidRPr="003C7CB1" w:rsidRDefault="00861CB1" w:rsidP="00861CB1">
            <w:pPr>
              <w:spacing w:after="0" w:line="240" w:lineRule="auto"/>
              <w:rPr>
                <w:rFonts w:ascii="Calibri" w:eastAsia="Calibri" w:hAnsi="Calibri" w:cs="Calibri"/>
                <w:b/>
              </w:rPr>
            </w:pPr>
          </w:p>
        </w:tc>
        <w:tc>
          <w:tcPr>
            <w:tcW w:w="3335" w:type="dxa"/>
            <w:gridSpan w:val="3"/>
            <w:shd w:val="clear" w:color="auto" w:fill="auto"/>
          </w:tcPr>
          <w:p w14:paraId="36F4ECAC" w14:textId="77777777" w:rsidR="00861CB1" w:rsidRPr="003C7CB1" w:rsidRDefault="00861CB1" w:rsidP="00861CB1">
            <w:pPr>
              <w:spacing w:after="0" w:line="240" w:lineRule="auto"/>
              <w:rPr>
                <w:rFonts w:ascii="Calibri" w:eastAsia="Calibri" w:hAnsi="Calibri" w:cs="Calibri"/>
                <w:b/>
              </w:rPr>
            </w:pPr>
          </w:p>
        </w:tc>
      </w:tr>
      <w:tr w:rsidR="00861CB1" w:rsidRPr="003C7CB1" w14:paraId="2D2F7C53" w14:textId="77777777" w:rsidTr="00861CB1">
        <w:trPr>
          <w:jc w:val="center"/>
        </w:trPr>
        <w:tc>
          <w:tcPr>
            <w:tcW w:w="3539" w:type="dxa"/>
            <w:gridSpan w:val="3"/>
            <w:shd w:val="clear" w:color="auto" w:fill="auto"/>
          </w:tcPr>
          <w:p w14:paraId="3EFD9E40" w14:textId="77777777" w:rsidR="00861CB1" w:rsidRPr="003C7CB1" w:rsidRDefault="00861CB1" w:rsidP="00861CB1">
            <w:pPr>
              <w:rPr>
                <w:rFonts w:ascii="Calibri" w:eastAsia="Calibri" w:hAnsi="Calibri" w:cs="Calibri"/>
              </w:rPr>
            </w:pPr>
            <w:r w:rsidRPr="003C7CB1">
              <w:rPr>
                <w:rFonts w:ascii="Calibri" w:eastAsia="Calibri" w:hAnsi="Calibri" w:cs="Calibri"/>
              </w:rPr>
              <w:t xml:space="preserve">Increasing the number of tourist overnight stays in the Northern and Central region of Montenegro </w:t>
            </w:r>
          </w:p>
        </w:tc>
        <w:tc>
          <w:tcPr>
            <w:tcW w:w="3260" w:type="dxa"/>
            <w:gridSpan w:val="2"/>
            <w:shd w:val="clear" w:color="auto" w:fill="auto"/>
          </w:tcPr>
          <w:p w14:paraId="22ACC90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741,000</w:t>
            </w:r>
          </w:p>
          <w:p w14:paraId="59A7F757"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(number of overnight stays in the Northern and Central region of Montenegro in 2019) </w:t>
            </w:r>
          </w:p>
        </w:tc>
        <w:tc>
          <w:tcPr>
            <w:tcW w:w="3546" w:type="dxa"/>
            <w:gridSpan w:val="4"/>
            <w:shd w:val="clear" w:color="auto" w:fill="auto"/>
          </w:tcPr>
          <w:p w14:paraId="1BC8A57E" w14:textId="77777777" w:rsidR="00861CB1" w:rsidRPr="003C7CB1" w:rsidRDefault="00861CB1" w:rsidP="00861CB1">
            <w:pPr>
              <w:spacing w:after="0" w:line="240" w:lineRule="auto"/>
              <w:jc w:val="center"/>
              <w:rPr>
                <w:rFonts w:ascii="Calibri" w:eastAsia="Calibri" w:hAnsi="Calibri" w:cs="Calibri"/>
              </w:rPr>
            </w:pPr>
          </w:p>
          <w:p w14:paraId="7B8180ED"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Index 23/19 – 103 </w:t>
            </w:r>
          </w:p>
        </w:tc>
        <w:tc>
          <w:tcPr>
            <w:tcW w:w="3335" w:type="dxa"/>
            <w:gridSpan w:val="3"/>
            <w:shd w:val="clear" w:color="auto" w:fill="auto"/>
          </w:tcPr>
          <w:p w14:paraId="323C001B" w14:textId="77777777" w:rsidR="00861CB1" w:rsidRPr="003C7CB1" w:rsidRDefault="00861CB1" w:rsidP="00861CB1">
            <w:pPr>
              <w:spacing w:after="0" w:line="240" w:lineRule="auto"/>
              <w:jc w:val="center"/>
              <w:rPr>
                <w:rFonts w:ascii="Calibri" w:eastAsia="Calibri" w:hAnsi="Calibri" w:cs="Calibri"/>
              </w:rPr>
            </w:pPr>
          </w:p>
          <w:p w14:paraId="42DCD6F6"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Index 25/19 – 105 </w:t>
            </w:r>
          </w:p>
        </w:tc>
      </w:tr>
      <w:tr w:rsidR="00861CB1" w:rsidRPr="003C7CB1" w14:paraId="26515173" w14:textId="77777777" w:rsidTr="00861CB1">
        <w:trPr>
          <w:jc w:val="center"/>
        </w:trPr>
        <w:tc>
          <w:tcPr>
            <w:tcW w:w="2122" w:type="dxa"/>
            <w:shd w:val="clear" w:color="auto" w:fill="BDD6EE"/>
          </w:tcPr>
          <w:p w14:paraId="11C157A5"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lastRenderedPageBreak/>
              <w:t xml:space="preserve">Measure </w:t>
            </w:r>
          </w:p>
        </w:tc>
        <w:tc>
          <w:tcPr>
            <w:tcW w:w="4677" w:type="dxa"/>
            <w:gridSpan w:val="4"/>
            <w:shd w:val="clear" w:color="auto" w:fill="BDD6EE"/>
          </w:tcPr>
          <w:p w14:paraId="414C001A"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Activity </w:t>
            </w:r>
          </w:p>
        </w:tc>
        <w:tc>
          <w:tcPr>
            <w:tcW w:w="1509" w:type="dxa"/>
            <w:gridSpan w:val="2"/>
            <w:tcBorders>
              <w:bottom w:val="single" w:sz="4" w:space="0" w:color="auto"/>
            </w:tcBorders>
            <w:shd w:val="clear" w:color="auto" w:fill="BDD6EE"/>
          </w:tcPr>
          <w:p w14:paraId="1BACB0E7"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Holder / partners </w:t>
            </w:r>
          </w:p>
        </w:tc>
        <w:tc>
          <w:tcPr>
            <w:tcW w:w="2037" w:type="dxa"/>
            <w:gridSpan w:val="2"/>
            <w:shd w:val="clear" w:color="auto" w:fill="BDD6EE"/>
          </w:tcPr>
          <w:p w14:paraId="4B0B3E06"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Deadline </w:t>
            </w:r>
          </w:p>
        </w:tc>
        <w:tc>
          <w:tcPr>
            <w:tcW w:w="1932" w:type="dxa"/>
            <w:gridSpan w:val="2"/>
            <w:shd w:val="clear" w:color="auto" w:fill="BDD6EE"/>
          </w:tcPr>
          <w:p w14:paraId="0957373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Indicator / verification source </w:t>
            </w:r>
          </w:p>
        </w:tc>
        <w:tc>
          <w:tcPr>
            <w:tcW w:w="1403" w:type="dxa"/>
            <w:shd w:val="clear" w:color="auto" w:fill="BDD6EE"/>
          </w:tcPr>
          <w:p w14:paraId="71ECD918"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Funds (in €) / source </w:t>
            </w:r>
          </w:p>
        </w:tc>
      </w:tr>
      <w:tr w:rsidR="00861CB1" w:rsidRPr="003C7CB1" w14:paraId="463BB2CD" w14:textId="77777777" w:rsidTr="00861CB1">
        <w:trPr>
          <w:jc w:val="center"/>
        </w:trPr>
        <w:tc>
          <w:tcPr>
            <w:tcW w:w="2122" w:type="dxa"/>
            <w:vMerge w:val="restart"/>
            <w:shd w:val="clear" w:color="auto" w:fill="FFFFFF"/>
          </w:tcPr>
          <w:p w14:paraId="18AE79A1" w14:textId="77777777" w:rsidR="00861CB1" w:rsidRPr="003C7CB1" w:rsidRDefault="00861CB1" w:rsidP="00861CB1">
            <w:pPr>
              <w:contextualSpacing/>
              <w:rPr>
                <w:rFonts w:ascii="Calibri" w:eastAsia="Calibri" w:hAnsi="Calibri" w:cs="Calibri"/>
                <w:b/>
              </w:rPr>
            </w:pPr>
            <w:r w:rsidRPr="003C7CB1">
              <w:rPr>
                <w:rFonts w:ascii="Calibri" w:eastAsia="Calibri" w:hAnsi="Calibri" w:cs="Calibri"/>
                <w:b/>
              </w:rPr>
              <w:t xml:space="preserve">1.1 Advisory and regulatory framework </w:t>
            </w:r>
          </w:p>
        </w:tc>
        <w:tc>
          <w:tcPr>
            <w:tcW w:w="1366" w:type="dxa"/>
          </w:tcPr>
          <w:p w14:paraId="787CC89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1.1.1 </w:t>
            </w:r>
          </w:p>
        </w:tc>
        <w:tc>
          <w:tcPr>
            <w:tcW w:w="3311" w:type="dxa"/>
            <w:gridSpan w:val="3"/>
          </w:tcPr>
          <w:p w14:paraId="66281E0C"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activities on the establishment of the National Tourism Council </w:t>
            </w:r>
          </w:p>
        </w:tc>
        <w:tc>
          <w:tcPr>
            <w:tcW w:w="1509" w:type="dxa"/>
            <w:gridSpan w:val="2"/>
            <w:tcBorders>
              <w:bottom w:val="single" w:sz="4" w:space="0" w:color="auto"/>
            </w:tcBorders>
          </w:tcPr>
          <w:p w14:paraId="2C15A06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2037" w:type="dxa"/>
            <w:gridSpan w:val="2"/>
          </w:tcPr>
          <w:p w14:paraId="54B86F4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I Q – IV Q 2022</w:t>
            </w:r>
          </w:p>
        </w:tc>
        <w:tc>
          <w:tcPr>
            <w:tcW w:w="1932" w:type="dxa"/>
            <w:gridSpan w:val="2"/>
          </w:tcPr>
          <w:p w14:paraId="74A66757" w14:textId="657B67F2" w:rsidR="00861CB1" w:rsidRPr="003C7CB1" w:rsidRDefault="00861CB1" w:rsidP="0079368C">
            <w:pPr>
              <w:contextualSpacing/>
              <w:jc w:val="center"/>
              <w:rPr>
                <w:rFonts w:ascii="Calibri" w:eastAsia="Calibri" w:hAnsi="Calibri" w:cs="Calibri"/>
              </w:rPr>
            </w:pPr>
            <w:r w:rsidRPr="003C7CB1">
              <w:rPr>
                <w:rFonts w:ascii="Calibri" w:eastAsia="Calibri" w:hAnsi="Calibri" w:cs="Calibri"/>
              </w:rPr>
              <w:t>National Tourism Council has been established</w:t>
            </w:r>
          </w:p>
          <w:p w14:paraId="2ED76EF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MED work reports </w:t>
            </w:r>
          </w:p>
        </w:tc>
        <w:tc>
          <w:tcPr>
            <w:tcW w:w="1403" w:type="dxa"/>
          </w:tcPr>
          <w:p w14:paraId="19C8C509"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7B044184" w14:textId="77777777" w:rsidTr="00861CB1">
        <w:trPr>
          <w:jc w:val="center"/>
        </w:trPr>
        <w:tc>
          <w:tcPr>
            <w:tcW w:w="2122" w:type="dxa"/>
            <w:vMerge/>
            <w:shd w:val="clear" w:color="auto" w:fill="FFFFFF"/>
          </w:tcPr>
          <w:p w14:paraId="7B4735B7" w14:textId="77777777" w:rsidR="00861CB1" w:rsidRPr="003C7CB1" w:rsidRDefault="00861CB1" w:rsidP="00861CB1">
            <w:pPr>
              <w:contextualSpacing/>
              <w:rPr>
                <w:rFonts w:ascii="Calibri" w:eastAsia="Calibri" w:hAnsi="Calibri" w:cs="Calibri"/>
                <w:b/>
              </w:rPr>
            </w:pPr>
          </w:p>
        </w:tc>
        <w:tc>
          <w:tcPr>
            <w:tcW w:w="1366" w:type="dxa"/>
          </w:tcPr>
          <w:p w14:paraId="75E4A61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1.1.2 </w:t>
            </w:r>
          </w:p>
        </w:tc>
        <w:tc>
          <w:tcPr>
            <w:tcW w:w="3311" w:type="dxa"/>
            <w:gridSpan w:val="3"/>
          </w:tcPr>
          <w:p w14:paraId="5FC59175"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Drafting of the Law on Tourism and Hospitality </w:t>
            </w:r>
          </w:p>
        </w:tc>
        <w:tc>
          <w:tcPr>
            <w:tcW w:w="1509" w:type="dxa"/>
            <w:gridSpan w:val="2"/>
            <w:tcBorders>
              <w:bottom w:val="single" w:sz="4" w:space="0" w:color="auto"/>
            </w:tcBorders>
          </w:tcPr>
          <w:p w14:paraId="396A172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 </w:t>
            </w:r>
          </w:p>
          <w:p w14:paraId="3606673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WG </w:t>
            </w:r>
          </w:p>
        </w:tc>
        <w:tc>
          <w:tcPr>
            <w:tcW w:w="2037" w:type="dxa"/>
            <w:gridSpan w:val="2"/>
          </w:tcPr>
          <w:p w14:paraId="2EB1959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I Q 2022</w:t>
            </w:r>
          </w:p>
        </w:tc>
        <w:tc>
          <w:tcPr>
            <w:tcW w:w="1932" w:type="dxa"/>
            <w:gridSpan w:val="2"/>
          </w:tcPr>
          <w:p w14:paraId="346EBBEB" w14:textId="4A4FA813" w:rsidR="00861CB1" w:rsidRPr="003C7CB1" w:rsidRDefault="00861CB1" w:rsidP="0079368C">
            <w:pPr>
              <w:contextualSpacing/>
              <w:jc w:val="center"/>
              <w:rPr>
                <w:rFonts w:ascii="Calibri" w:eastAsia="Calibri" w:hAnsi="Calibri" w:cs="Calibri"/>
              </w:rPr>
            </w:pPr>
            <w:r w:rsidRPr="003C7CB1">
              <w:rPr>
                <w:rFonts w:ascii="Calibri" w:eastAsia="Calibri" w:hAnsi="Calibri" w:cs="Calibri"/>
              </w:rPr>
              <w:t xml:space="preserve">Adaptation of the Law </w:t>
            </w:r>
          </w:p>
          <w:p w14:paraId="172BF7D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MED work reports </w:t>
            </w:r>
          </w:p>
        </w:tc>
        <w:tc>
          <w:tcPr>
            <w:tcW w:w="1403" w:type="dxa"/>
          </w:tcPr>
          <w:p w14:paraId="0CCEF7C7"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3F0D545D" w14:textId="77777777" w:rsidTr="00861CB1">
        <w:trPr>
          <w:jc w:val="center"/>
        </w:trPr>
        <w:tc>
          <w:tcPr>
            <w:tcW w:w="2122" w:type="dxa"/>
            <w:vMerge/>
            <w:shd w:val="clear" w:color="auto" w:fill="FFFFFF"/>
          </w:tcPr>
          <w:p w14:paraId="6D5255F1" w14:textId="77777777" w:rsidR="00861CB1" w:rsidRPr="003C7CB1" w:rsidRDefault="00861CB1" w:rsidP="00861CB1">
            <w:pPr>
              <w:contextualSpacing/>
              <w:rPr>
                <w:rFonts w:ascii="Calibri" w:eastAsia="Calibri" w:hAnsi="Calibri" w:cs="Calibri"/>
                <w:b/>
              </w:rPr>
            </w:pPr>
          </w:p>
        </w:tc>
        <w:tc>
          <w:tcPr>
            <w:tcW w:w="1366" w:type="dxa"/>
          </w:tcPr>
          <w:p w14:paraId="0AB7FB76" w14:textId="77777777" w:rsidR="00861CB1" w:rsidRPr="003C7CB1" w:rsidRDefault="00861CB1" w:rsidP="00861CB1">
            <w:pPr>
              <w:jc w:val="center"/>
              <w:rPr>
                <w:rFonts w:ascii="Calibri" w:eastAsia="Calibri" w:hAnsi="Calibri" w:cs="Calibri"/>
              </w:rPr>
            </w:pPr>
            <w:r w:rsidRPr="003C7CB1">
              <w:rPr>
                <w:rFonts w:ascii="Calibri" w:eastAsia="Calibri" w:hAnsi="Calibri" w:cs="Calibri"/>
              </w:rPr>
              <w:t xml:space="preserve">1.1.3 </w:t>
            </w:r>
          </w:p>
        </w:tc>
        <w:tc>
          <w:tcPr>
            <w:tcW w:w="3311" w:type="dxa"/>
            <w:gridSpan w:val="3"/>
          </w:tcPr>
          <w:p w14:paraId="4F36898D" w14:textId="77777777" w:rsidR="00861CB1" w:rsidRPr="003C7CB1" w:rsidRDefault="00861CB1" w:rsidP="00861CB1">
            <w:pPr>
              <w:rPr>
                <w:rFonts w:ascii="Calibri" w:eastAsia="Calibri" w:hAnsi="Calibri" w:cs="Calibri"/>
              </w:rPr>
            </w:pPr>
            <w:r w:rsidRPr="003C7CB1">
              <w:rPr>
                <w:rFonts w:ascii="Calibri" w:eastAsia="Calibri" w:hAnsi="Calibri" w:cs="Calibri"/>
              </w:rPr>
              <w:t xml:space="preserve">Drafting of the Law on Amendments to the Law on Tourist Organizations </w:t>
            </w:r>
          </w:p>
        </w:tc>
        <w:tc>
          <w:tcPr>
            <w:tcW w:w="1509" w:type="dxa"/>
            <w:gridSpan w:val="2"/>
            <w:tcBorders>
              <w:bottom w:val="single" w:sz="4" w:space="0" w:color="auto"/>
            </w:tcBorders>
          </w:tcPr>
          <w:p w14:paraId="7A47BC16" w14:textId="77777777" w:rsidR="00861CB1" w:rsidRPr="003C7CB1" w:rsidRDefault="00861CB1" w:rsidP="00861CB1">
            <w:pPr>
              <w:jc w:val="center"/>
              <w:rPr>
                <w:rFonts w:ascii="Calibri" w:eastAsia="Calibri" w:hAnsi="Calibri" w:cs="Calibri"/>
              </w:rPr>
            </w:pPr>
            <w:r w:rsidRPr="003C7CB1">
              <w:rPr>
                <w:rFonts w:ascii="Calibri" w:eastAsia="Calibri" w:hAnsi="Calibri" w:cs="Calibri"/>
              </w:rPr>
              <w:t>MED /</w:t>
            </w:r>
          </w:p>
          <w:p w14:paraId="2D079E57" w14:textId="77777777" w:rsidR="00861CB1" w:rsidRPr="003C7CB1" w:rsidRDefault="00861CB1" w:rsidP="00861CB1">
            <w:pPr>
              <w:jc w:val="center"/>
              <w:rPr>
                <w:rFonts w:ascii="Calibri" w:eastAsia="Calibri" w:hAnsi="Calibri" w:cs="Calibri"/>
              </w:rPr>
            </w:pPr>
            <w:r w:rsidRPr="003C7CB1">
              <w:rPr>
                <w:rFonts w:ascii="Calibri" w:eastAsia="Calibri" w:hAnsi="Calibri" w:cs="Calibri"/>
              </w:rPr>
              <w:t xml:space="preserve">NTO, WG </w:t>
            </w:r>
          </w:p>
        </w:tc>
        <w:tc>
          <w:tcPr>
            <w:tcW w:w="2037" w:type="dxa"/>
            <w:gridSpan w:val="2"/>
          </w:tcPr>
          <w:p w14:paraId="18523D4F" w14:textId="77777777" w:rsidR="00861CB1" w:rsidRPr="003C7CB1" w:rsidRDefault="00861CB1" w:rsidP="00861CB1">
            <w:pPr>
              <w:jc w:val="center"/>
              <w:rPr>
                <w:rFonts w:ascii="Calibri" w:eastAsia="Calibri" w:hAnsi="Calibri" w:cs="Calibri"/>
              </w:rPr>
            </w:pPr>
            <w:r w:rsidRPr="003C7CB1">
              <w:rPr>
                <w:rFonts w:ascii="Calibri" w:eastAsia="Calibri" w:hAnsi="Calibri" w:cs="Calibri"/>
              </w:rPr>
              <w:t>IV Q 2022</w:t>
            </w:r>
          </w:p>
        </w:tc>
        <w:tc>
          <w:tcPr>
            <w:tcW w:w="1932" w:type="dxa"/>
            <w:gridSpan w:val="2"/>
          </w:tcPr>
          <w:p w14:paraId="6C285F18" w14:textId="6CEFAFB9" w:rsidR="00861CB1" w:rsidRPr="003C7CB1" w:rsidRDefault="00861CB1" w:rsidP="0079368C">
            <w:pPr>
              <w:contextualSpacing/>
              <w:jc w:val="center"/>
              <w:rPr>
                <w:rFonts w:ascii="Calibri" w:eastAsia="Calibri" w:hAnsi="Calibri" w:cs="Calibri"/>
              </w:rPr>
            </w:pPr>
            <w:r w:rsidRPr="003C7CB1">
              <w:rPr>
                <w:rFonts w:ascii="Calibri" w:eastAsia="Calibri" w:hAnsi="Calibri" w:cs="Calibri"/>
              </w:rPr>
              <w:t xml:space="preserve">Adaptation of the Law </w:t>
            </w:r>
          </w:p>
          <w:p w14:paraId="63D4F9FA" w14:textId="77777777" w:rsidR="00861CB1" w:rsidRPr="003C7CB1" w:rsidRDefault="00861CB1" w:rsidP="00861CB1">
            <w:pPr>
              <w:jc w:val="center"/>
              <w:rPr>
                <w:rFonts w:ascii="Calibri" w:eastAsia="Calibri" w:hAnsi="Calibri" w:cs="Calibri"/>
              </w:rPr>
            </w:pPr>
            <w:r w:rsidRPr="003C7CB1">
              <w:rPr>
                <w:rFonts w:ascii="Calibri" w:eastAsia="Calibri" w:hAnsi="Calibri" w:cs="Calibri"/>
              </w:rPr>
              <w:t xml:space="preserve">Annual MED and NTO’s work reports </w:t>
            </w:r>
          </w:p>
        </w:tc>
        <w:tc>
          <w:tcPr>
            <w:tcW w:w="1403" w:type="dxa"/>
          </w:tcPr>
          <w:p w14:paraId="7C86D923"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€ 12,500.00 </w:t>
            </w:r>
          </w:p>
          <w:p w14:paraId="5C451471" w14:textId="77777777" w:rsidR="00861CB1" w:rsidRPr="003C7CB1" w:rsidRDefault="00861CB1" w:rsidP="00861CB1">
            <w:pPr>
              <w:spacing w:after="0" w:line="240" w:lineRule="auto"/>
              <w:contextualSpacing/>
              <w:jc w:val="center"/>
              <w:rPr>
                <w:rFonts w:ascii="Calibri" w:eastAsia="Calibri" w:hAnsi="Calibri" w:cs="Calibri"/>
              </w:rPr>
            </w:pPr>
          </w:p>
          <w:p w14:paraId="612E0F49"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5293C7C6" w14:textId="77777777" w:rsidTr="00861CB1">
        <w:trPr>
          <w:jc w:val="center"/>
        </w:trPr>
        <w:tc>
          <w:tcPr>
            <w:tcW w:w="2122" w:type="dxa"/>
            <w:vMerge/>
            <w:shd w:val="clear" w:color="auto" w:fill="FFFFFF"/>
          </w:tcPr>
          <w:p w14:paraId="7D6A3C63" w14:textId="77777777" w:rsidR="00861CB1" w:rsidRPr="003C7CB1" w:rsidRDefault="00861CB1" w:rsidP="00861CB1">
            <w:pPr>
              <w:contextualSpacing/>
              <w:rPr>
                <w:rFonts w:ascii="Calibri" w:eastAsia="Calibri" w:hAnsi="Calibri" w:cs="Calibri"/>
                <w:b/>
              </w:rPr>
            </w:pPr>
          </w:p>
        </w:tc>
        <w:tc>
          <w:tcPr>
            <w:tcW w:w="1366" w:type="dxa"/>
          </w:tcPr>
          <w:p w14:paraId="6F9BA28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1.1.4 </w:t>
            </w:r>
          </w:p>
        </w:tc>
        <w:tc>
          <w:tcPr>
            <w:tcW w:w="3311" w:type="dxa"/>
            <w:gridSpan w:val="3"/>
          </w:tcPr>
          <w:p w14:paraId="40B77CA6"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Drafting of the Law on Amendments to the Law on Tourist Tax </w:t>
            </w:r>
          </w:p>
        </w:tc>
        <w:tc>
          <w:tcPr>
            <w:tcW w:w="1509" w:type="dxa"/>
            <w:gridSpan w:val="2"/>
            <w:tcBorders>
              <w:bottom w:val="single" w:sz="4" w:space="0" w:color="auto"/>
            </w:tcBorders>
          </w:tcPr>
          <w:p w14:paraId="5A35B12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58DA6F5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NTO, WG </w:t>
            </w:r>
          </w:p>
        </w:tc>
        <w:tc>
          <w:tcPr>
            <w:tcW w:w="2037" w:type="dxa"/>
            <w:gridSpan w:val="2"/>
          </w:tcPr>
          <w:p w14:paraId="4EED9F8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IV Q 2022</w:t>
            </w:r>
          </w:p>
        </w:tc>
        <w:tc>
          <w:tcPr>
            <w:tcW w:w="1932" w:type="dxa"/>
            <w:gridSpan w:val="2"/>
          </w:tcPr>
          <w:p w14:paraId="78286695" w14:textId="42354FB5" w:rsidR="00861CB1" w:rsidRPr="003C7CB1" w:rsidRDefault="00861CB1" w:rsidP="0079368C">
            <w:pPr>
              <w:contextualSpacing/>
              <w:jc w:val="center"/>
              <w:rPr>
                <w:rFonts w:ascii="Calibri" w:eastAsia="Calibri" w:hAnsi="Calibri" w:cs="Calibri"/>
              </w:rPr>
            </w:pPr>
            <w:r w:rsidRPr="003C7CB1">
              <w:rPr>
                <w:rFonts w:ascii="Calibri" w:eastAsia="Calibri" w:hAnsi="Calibri" w:cs="Calibri"/>
              </w:rPr>
              <w:t>Adaptation of the Law</w:t>
            </w:r>
          </w:p>
          <w:p w14:paraId="40F4637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Annual MED and NTO’s work reports</w:t>
            </w:r>
          </w:p>
        </w:tc>
        <w:tc>
          <w:tcPr>
            <w:tcW w:w="1403" w:type="dxa"/>
          </w:tcPr>
          <w:p w14:paraId="7A9846C2"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€ 12,500.00 </w:t>
            </w:r>
          </w:p>
          <w:p w14:paraId="3EDF76B7" w14:textId="77777777" w:rsidR="00861CB1" w:rsidRPr="003C7CB1" w:rsidRDefault="00861CB1" w:rsidP="00861CB1">
            <w:pPr>
              <w:spacing w:after="0" w:line="240" w:lineRule="auto"/>
              <w:contextualSpacing/>
              <w:jc w:val="center"/>
              <w:rPr>
                <w:rFonts w:ascii="Calibri" w:eastAsia="Calibri" w:hAnsi="Calibri" w:cs="Calibri"/>
              </w:rPr>
            </w:pPr>
          </w:p>
          <w:p w14:paraId="1DDA163C"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74018733" w14:textId="77777777" w:rsidTr="00861CB1">
        <w:trPr>
          <w:jc w:val="center"/>
        </w:trPr>
        <w:tc>
          <w:tcPr>
            <w:tcW w:w="2122" w:type="dxa"/>
            <w:shd w:val="clear" w:color="auto" w:fill="FFFFFF"/>
          </w:tcPr>
          <w:p w14:paraId="0A63D7D1" w14:textId="77777777" w:rsidR="00861CB1" w:rsidRPr="003C7CB1" w:rsidRDefault="00861CB1" w:rsidP="00861CB1">
            <w:pPr>
              <w:numPr>
                <w:ilvl w:val="1"/>
                <w:numId w:val="46"/>
              </w:numPr>
              <w:spacing w:after="0" w:line="240" w:lineRule="auto"/>
              <w:contextualSpacing/>
              <w:rPr>
                <w:rFonts w:ascii="Calibri" w:eastAsia="Calibri" w:hAnsi="Calibri" w:cs="Calibri"/>
                <w:b/>
                <w:bCs/>
              </w:rPr>
            </w:pPr>
            <w:r w:rsidRPr="003C7CB1">
              <w:rPr>
                <w:rFonts w:ascii="Calibri" w:eastAsia="Calibri" w:hAnsi="Calibri" w:cs="Calibri"/>
                <w:b/>
                <w:bCs/>
              </w:rPr>
              <w:t>Health -</w:t>
            </w:r>
          </w:p>
          <w:p w14:paraId="335B1B15"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b/>
                <w:bCs/>
              </w:rPr>
              <w:t xml:space="preserve">epidemiological environment </w:t>
            </w:r>
          </w:p>
        </w:tc>
        <w:tc>
          <w:tcPr>
            <w:tcW w:w="1417" w:type="dxa"/>
            <w:gridSpan w:val="2"/>
          </w:tcPr>
          <w:p w14:paraId="492ACA4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1.2.1 </w:t>
            </w:r>
          </w:p>
        </w:tc>
        <w:tc>
          <w:tcPr>
            <w:tcW w:w="3260" w:type="dxa"/>
            <w:gridSpan w:val="2"/>
          </w:tcPr>
          <w:p w14:paraId="099EAA83"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Development, introduction and application of health - sanitary - epidemiological protocol standards, conditions and measures within the provision of </w:t>
            </w:r>
            <w:r w:rsidRPr="003C7CB1">
              <w:rPr>
                <w:rFonts w:ascii="Calibri" w:eastAsia="Calibri" w:hAnsi="Calibri" w:cs="Calibri"/>
              </w:rPr>
              <w:lastRenderedPageBreak/>
              <w:t xml:space="preserve">tourism and hospitality services (with monitoring of the application and measurement of the impact of the epidemic on tourism trends) </w:t>
            </w:r>
          </w:p>
        </w:tc>
        <w:tc>
          <w:tcPr>
            <w:tcW w:w="1509" w:type="dxa"/>
            <w:gridSpan w:val="2"/>
          </w:tcPr>
          <w:p w14:paraId="2700173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MOH, IPH / </w:t>
            </w:r>
          </w:p>
          <w:p w14:paraId="4987789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CEM, ISME tourism industry </w:t>
            </w:r>
          </w:p>
        </w:tc>
        <w:tc>
          <w:tcPr>
            <w:tcW w:w="2037" w:type="dxa"/>
            <w:gridSpan w:val="2"/>
          </w:tcPr>
          <w:p w14:paraId="6D2A0A0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2022 </w:t>
            </w:r>
          </w:p>
        </w:tc>
        <w:tc>
          <w:tcPr>
            <w:tcW w:w="1932" w:type="dxa"/>
            <w:gridSpan w:val="2"/>
          </w:tcPr>
          <w:p w14:paraId="00CE975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adopted protocols / standards </w:t>
            </w:r>
          </w:p>
          <w:p w14:paraId="1090A978" w14:textId="77777777" w:rsidR="00861CB1" w:rsidRPr="003C7CB1" w:rsidRDefault="00861CB1" w:rsidP="00861CB1">
            <w:pPr>
              <w:contextualSpacing/>
              <w:rPr>
                <w:rFonts w:ascii="Calibri" w:eastAsia="Calibri" w:hAnsi="Calibri" w:cs="Calibri"/>
              </w:rPr>
            </w:pPr>
          </w:p>
          <w:p w14:paraId="18C2114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Annual work report  of competent institutions </w:t>
            </w:r>
          </w:p>
        </w:tc>
        <w:tc>
          <w:tcPr>
            <w:tcW w:w="1403" w:type="dxa"/>
          </w:tcPr>
          <w:p w14:paraId="681E787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No financial resources are required </w:t>
            </w:r>
          </w:p>
        </w:tc>
      </w:tr>
      <w:tr w:rsidR="00861CB1" w:rsidRPr="003C7CB1" w14:paraId="0A8E07AF" w14:textId="77777777" w:rsidTr="00861CB1">
        <w:trPr>
          <w:jc w:val="center"/>
        </w:trPr>
        <w:tc>
          <w:tcPr>
            <w:tcW w:w="2122" w:type="dxa"/>
            <w:vMerge w:val="restart"/>
            <w:shd w:val="clear" w:color="auto" w:fill="FFFFFF"/>
          </w:tcPr>
          <w:p w14:paraId="79AC96A0" w14:textId="77777777" w:rsidR="00861CB1" w:rsidRPr="003C7CB1" w:rsidRDefault="00861CB1" w:rsidP="00861CB1">
            <w:pPr>
              <w:rPr>
                <w:rFonts w:ascii="Calibri" w:eastAsia="Calibri" w:hAnsi="Calibri" w:cs="Calibri"/>
                <w:b/>
              </w:rPr>
            </w:pPr>
          </w:p>
          <w:p w14:paraId="6D1B75ED" w14:textId="77777777" w:rsidR="00861CB1" w:rsidRPr="003C7CB1" w:rsidRDefault="00861CB1" w:rsidP="00861CB1">
            <w:pPr>
              <w:rPr>
                <w:rFonts w:ascii="Calibri" w:eastAsia="Calibri" w:hAnsi="Calibri" w:cs="Calibri"/>
                <w:b/>
              </w:rPr>
            </w:pPr>
            <w:r w:rsidRPr="003C7CB1">
              <w:rPr>
                <w:rFonts w:ascii="Calibri" w:eastAsia="Calibri" w:hAnsi="Calibri" w:cs="Calibri"/>
                <w:b/>
              </w:rPr>
              <w:t xml:space="preserve">1.3 Strengthening institutional capacities (Inspection Services and Statistical Office - MONSTAT) </w:t>
            </w:r>
          </w:p>
          <w:p w14:paraId="51880466" w14:textId="77777777" w:rsidR="00861CB1" w:rsidRPr="003C7CB1" w:rsidRDefault="00861CB1" w:rsidP="00861CB1">
            <w:pPr>
              <w:contextualSpacing/>
              <w:rPr>
                <w:rFonts w:ascii="Calibri" w:eastAsia="Calibri" w:hAnsi="Calibri" w:cs="Calibri"/>
                <w:b/>
              </w:rPr>
            </w:pPr>
            <w:r w:rsidRPr="003C7CB1">
              <w:rPr>
                <w:rFonts w:ascii="Calibri" w:eastAsia="Calibri" w:hAnsi="Calibri" w:cs="Calibri"/>
                <w:b/>
              </w:rPr>
              <w:t xml:space="preserve"> </w:t>
            </w:r>
          </w:p>
        </w:tc>
        <w:tc>
          <w:tcPr>
            <w:tcW w:w="1417" w:type="dxa"/>
            <w:gridSpan w:val="2"/>
          </w:tcPr>
          <w:p w14:paraId="6A1DAE4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1.3.1 </w:t>
            </w:r>
          </w:p>
        </w:tc>
        <w:tc>
          <w:tcPr>
            <w:tcW w:w="3260" w:type="dxa"/>
            <w:gridSpan w:val="2"/>
          </w:tcPr>
          <w:p w14:paraId="0FB37884"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activities to increase the number of tourism and other inspectors who supervise the implementation of laws in the field of tourism </w:t>
            </w:r>
          </w:p>
        </w:tc>
        <w:tc>
          <w:tcPr>
            <w:tcW w:w="1509" w:type="dxa"/>
            <w:gridSpan w:val="2"/>
          </w:tcPr>
          <w:p w14:paraId="7323258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DIA / </w:t>
            </w:r>
          </w:p>
          <w:p w14:paraId="2664D55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2037" w:type="dxa"/>
            <w:gridSpan w:val="2"/>
          </w:tcPr>
          <w:p w14:paraId="05591DC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2022 </w:t>
            </w:r>
          </w:p>
        </w:tc>
        <w:tc>
          <w:tcPr>
            <w:tcW w:w="1932" w:type="dxa"/>
            <w:gridSpan w:val="2"/>
          </w:tcPr>
          <w:p w14:paraId="759404CC" w14:textId="123FA434" w:rsidR="00861CB1" w:rsidRPr="003C7CB1" w:rsidRDefault="00861CB1" w:rsidP="0079368C">
            <w:pPr>
              <w:contextualSpacing/>
              <w:jc w:val="center"/>
              <w:rPr>
                <w:rFonts w:ascii="Calibri" w:eastAsia="Calibri" w:hAnsi="Calibri" w:cs="Calibri"/>
              </w:rPr>
            </w:pPr>
            <w:r w:rsidRPr="003C7CB1">
              <w:rPr>
                <w:rFonts w:ascii="Calibri" w:eastAsia="Calibri" w:hAnsi="Calibri" w:cs="Calibri"/>
              </w:rPr>
              <w:t xml:space="preserve">Number of newly-employed inspectors </w:t>
            </w:r>
          </w:p>
          <w:p w14:paraId="4A88F93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03" w:type="dxa"/>
          </w:tcPr>
          <w:p w14:paraId="03CCF35F" w14:textId="77777777" w:rsidR="00861CB1" w:rsidRPr="003C7CB1" w:rsidRDefault="00861CB1" w:rsidP="00861CB1">
            <w:pPr>
              <w:contextualSpacing/>
              <w:jc w:val="both"/>
              <w:rPr>
                <w:rFonts w:ascii="Calibri" w:eastAsia="Calibri" w:hAnsi="Calibri" w:cs="Calibri"/>
                <w:sz w:val="24"/>
                <w:szCs w:val="24"/>
              </w:rPr>
            </w:pPr>
            <w:r w:rsidRPr="003C7CB1">
              <w:rPr>
                <w:rFonts w:ascii="Calibri" w:eastAsia="Calibri" w:hAnsi="Calibri" w:cs="Calibri"/>
                <w:sz w:val="24"/>
                <w:szCs w:val="24"/>
              </w:rPr>
              <w:t xml:space="preserve"> </w:t>
            </w:r>
          </w:p>
          <w:p w14:paraId="68A12ED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tc>
      </w:tr>
      <w:tr w:rsidR="00861CB1" w:rsidRPr="003C7CB1" w14:paraId="4FDAFB37" w14:textId="77777777" w:rsidTr="00861CB1">
        <w:trPr>
          <w:jc w:val="center"/>
        </w:trPr>
        <w:tc>
          <w:tcPr>
            <w:tcW w:w="2122" w:type="dxa"/>
            <w:vMerge/>
            <w:shd w:val="clear" w:color="auto" w:fill="FFFFFF"/>
          </w:tcPr>
          <w:p w14:paraId="05C96C71" w14:textId="77777777" w:rsidR="00861CB1" w:rsidRPr="003C7CB1" w:rsidRDefault="00861CB1" w:rsidP="00861CB1">
            <w:pPr>
              <w:contextualSpacing/>
              <w:jc w:val="both"/>
              <w:rPr>
                <w:rFonts w:ascii="Calibri" w:eastAsia="Calibri" w:hAnsi="Calibri" w:cs="Calibri"/>
              </w:rPr>
            </w:pPr>
          </w:p>
        </w:tc>
        <w:tc>
          <w:tcPr>
            <w:tcW w:w="1417" w:type="dxa"/>
            <w:gridSpan w:val="2"/>
          </w:tcPr>
          <w:p w14:paraId="1B51D07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1.3.2 </w:t>
            </w:r>
          </w:p>
        </w:tc>
        <w:tc>
          <w:tcPr>
            <w:tcW w:w="3260" w:type="dxa"/>
            <w:gridSpan w:val="2"/>
          </w:tcPr>
          <w:p w14:paraId="2CB64B08"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Carrying out activities on organizing education, training and equipping inspectors, as well as creating models for evaluation of their work </w:t>
            </w:r>
          </w:p>
        </w:tc>
        <w:tc>
          <w:tcPr>
            <w:tcW w:w="1509" w:type="dxa"/>
            <w:gridSpan w:val="2"/>
          </w:tcPr>
          <w:p w14:paraId="68692C6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DIA /</w:t>
            </w:r>
          </w:p>
          <w:p w14:paraId="25DA261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MESCS </w:t>
            </w:r>
          </w:p>
        </w:tc>
        <w:tc>
          <w:tcPr>
            <w:tcW w:w="2037" w:type="dxa"/>
            <w:gridSpan w:val="2"/>
          </w:tcPr>
          <w:p w14:paraId="3CF5228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932" w:type="dxa"/>
            <w:gridSpan w:val="2"/>
          </w:tcPr>
          <w:p w14:paraId="233AF99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Number of workshops / trainings</w:t>
            </w:r>
          </w:p>
          <w:p w14:paraId="2885566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03" w:type="dxa"/>
          </w:tcPr>
          <w:p w14:paraId="1E5019F0" w14:textId="77777777" w:rsidR="00861CB1" w:rsidRPr="003C7CB1" w:rsidRDefault="00861CB1" w:rsidP="00861CB1">
            <w:pPr>
              <w:contextualSpacing/>
              <w:jc w:val="center"/>
              <w:rPr>
                <w:rFonts w:ascii="Calibri" w:eastAsia="Calibri" w:hAnsi="Calibri" w:cs="Calibri"/>
              </w:rPr>
            </w:pPr>
          </w:p>
          <w:p w14:paraId="01FFDD5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tc>
      </w:tr>
      <w:tr w:rsidR="00861CB1" w:rsidRPr="003C7CB1" w14:paraId="1AE5DA69" w14:textId="77777777" w:rsidTr="00861CB1">
        <w:trPr>
          <w:jc w:val="center"/>
        </w:trPr>
        <w:tc>
          <w:tcPr>
            <w:tcW w:w="2122" w:type="dxa"/>
            <w:vMerge/>
            <w:shd w:val="clear" w:color="auto" w:fill="FFFFFF"/>
          </w:tcPr>
          <w:p w14:paraId="1EE4580F" w14:textId="77777777" w:rsidR="00861CB1" w:rsidRPr="003C7CB1" w:rsidRDefault="00861CB1" w:rsidP="00861CB1">
            <w:pPr>
              <w:contextualSpacing/>
              <w:jc w:val="both"/>
              <w:rPr>
                <w:rFonts w:ascii="Calibri" w:eastAsia="Calibri" w:hAnsi="Calibri" w:cs="Calibri"/>
                <w:sz w:val="24"/>
                <w:szCs w:val="24"/>
              </w:rPr>
            </w:pPr>
          </w:p>
        </w:tc>
        <w:tc>
          <w:tcPr>
            <w:tcW w:w="1417" w:type="dxa"/>
            <w:gridSpan w:val="2"/>
          </w:tcPr>
          <w:p w14:paraId="3912F13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1.3.3 </w:t>
            </w:r>
          </w:p>
        </w:tc>
        <w:tc>
          <w:tcPr>
            <w:tcW w:w="3260" w:type="dxa"/>
            <w:gridSpan w:val="2"/>
          </w:tcPr>
          <w:p w14:paraId="26BCCCE8"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activities on coordination of the work of the tourism inspection and other inspection services </w:t>
            </w:r>
          </w:p>
        </w:tc>
        <w:tc>
          <w:tcPr>
            <w:tcW w:w="1509" w:type="dxa"/>
            <w:gridSpan w:val="2"/>
          </w:tcPr>
          <w:p w14:paraId="340DB8C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DIA </w:t>
            </w:r>
          </w:p>
        </w:tc>
        <w:tc>
          <w:tcPr>
            <w:tcW w:w="2037" w:type="dxa"/>
            <w:gridSpan w:val="2"/>
          </w:tcPr>
          <w:p w14:paraId="0D764B4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932" w:type="dxa"/>
            <w:gridSpan w:val="2"/>
          </w:tcPr>
          <w:p w14:paraId="3409728F" w14:textId="2E8B2360" w:rsidR="00861CB1" w:rsidRPr="003C7CB1" w:rsidRDefault="00861CB1" w:rsidP="0079368C">
            <w:pPr>
              <w:contextualSpacing/>
              <w:jc w:val="center"/>
              <w:rPr>
                <w:rFonts w:ascii="Calibri" w:eastAsia="Calibri" w:hAnsi="Calibri" w:cs="Calibri"/>
              </w:rPr>
            </w:pPr>
            <w:r w:rsidRPr="003C7CB1">
              <w:rPr>
                <w:rFonts w:ascii="Calibri" w:eastAsia="Calibri" w:hAnsi="Calibri" w:cs="Calibri"/>
              </w:rPr>
              <w:t xml:space="preserve">Number of jointly conducted inspection activities </w:t>
            </w:r>
          </w:p>
          <w:p w14:paraId="697C965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DIA work reports </w:t>
            </w:r>
          </w:p>
        </w:tc>
        <w:tc>
          <w:tcPr>
            <w:tcW w:w="1403" w:type="dxa"/>
          </w:tcPr>
          <w:p w14:paraId="6BA15363" w14:textId="77777777" w:rsidR="00861CB1" w:rsidRPr="003C7CB1" w:rsidRDefault="00861CB1" w:rsidP="00861CB1">
            <w:pPr>
              <w:contextualSpacing/>
              <w:jc w:val="both"/>
              <w:rPr>
                <w:rFonts w:ascii="Calibri" w:eastAsia="Calibri" w:hAnsi="Calibri" w:cs="Calibri"/>
              </w:rPr>
            </w:pPr>
          </w:p>
          <w:p w14:paraId="2708E27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tc>
      </w:tr>
      <w:tr w:rsidR="00861CB1" w:rsidRPr="003C7CB1" w14:paraId="276C5EE8" w14:textId="77777777" w:rsidTr="00861CB1">
        <w:trPr>
          <w:jc w:val="center"/>
        </w:trPr>
        <w:tc>
          <w:tcPr>
            <w:tcW w:w="2122" w:type="dxa"/>
            <w:vMerge/>
            <w:shd w:val="clear" w:color="auto" w:fill="FFFFFF"/>
          </w:tcPr>
          <w:p w14:paraId="7EF8B16D" w14:textId="77777777" w:rsidR="00861CB1" w:rsidRPr="003C7CB1" w:rsidRDefault="00861CB1" w:rsidP="00861CB1">
            <w:pPr>
              <w:contextualSpacing/>
              <w:jc w:val="both"/>
              <w:rPr>
                <w:rFonts w:ascii="Calibri" w:eastAsia="Calibri" w:hAnsi="Calibri" w:cs="Calibri"/>
                <w:sz w:val="24"/>
                <w:szCs w:val="24"/>
              </w:rPr>
            </w:pPr>
          </w:p>
        </w:tc>
        <w:tc>
          <w:tcPr>
            <w:tcW w:w="1417" w:type="dxa"/>
            <w:gridSpan w:val="2"/>
          </w:tcPr>
          <w:p w14:paraId="25BBA72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1.3.4 </w:t>
            </w:r>
          </w:p>
        </w:tc>
        <w:tc>
          <w:tcPr>
            <w:tcW w:w="3260" w:type="dxa"/>
            <w:gridSpan w:val="2"/>
          </w:tcPr>
          <w:p w14:paraId="2B081CB8"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to increase the number of employees and their education in the Statistical Office - MONSTAT in the sector in charge of collecting and processing data in the field of tourism </w:t>
            </w:r>
          </w:p>
        </w:tc>
        <w:tc>
          <w:tcPr>
            <w:tcW w:w="1509" w:type="dxa"/>
            <w:gridSpan w:val="2"/>
          </w:tcPr>
          <w:p w14:paraId="7142965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MONSTAT /</w:t>
            </w:r>
          </w:p>
          <w:p w14:paraId="228F274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support from experts </w:t>
            </w:r>
          </w:p>
        </w:tc>
        <w:tc>
          <w:tcPr>
            <w:tcW w:w="2037" w:type="dxa"/>
            <w:gridSpan w:val="2"/>
          </w:tcPr>
          <w:p w14:paraId="68E1CEB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2022 </w:t>
            </w:r>
          </w:p>
        </w:tc>
        <w:tc>
          <w:tcPr>
            <w:tcW w:w="1932" w:type="dxa"/>
            <w:gridSpan w:val="2"/>
          </w:tcPr>
          <w:p w14:paraId="39C5189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newly-employed </w:t>
            </w:r>
          </w:p>
          <w:p w14:paraId="594DB40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trainings, seminars, etc. </w:t>
            </w:r>
          </w:p>
          <w:p w14:paraId="1500091F" w14:textId="77777777" w:rsidR="00861CB1" w:rsidRPr="003C7CB1" w:rsidRDefault="00861CB1" w:rsidP="00861CB1">
            <w:pPr>
              <w:contextualSpacing/>
              <w:jc w:val="center"/>
              <w:rPr>
                <w:rFonts w:ascii="Calibri" w:eastAsia="Calibri" w:hAnsi="Calibri" w:cs="Calibri"/>
              </w:rPr>
            </w:pPr>
          </w:p>
          <w:p w14:paraId="3D6AB3E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03" w:type="dxa"/>
          </w:tcPr>
          <w:p w14:paraId="4185070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tc>
      </w:tr>
      <w:tr w:rsidR="00861CB1" w:rsidRPr="003C7CB1" w14:paraId="7E8786CF" w14:textId="77777777" w:rsidTr="00861CB1">
        <w:trPr>
          <w:trHeight w:val="2879"/>
          <w:jc w:val="center"/>
        </w:trPr>
        <w:tc>
          <w:tcPr>
            <w:tcW w:w="2122" w:type="dxa"/>
            <w:vMerge/>
            <w:shd w:val="clear" w:color="auto" w:fill="FFFFFF"/>
          </w:tcPr>
          <w:p w14:paraId="0381B450" w14:textId="77777777" w:rsidR="00861CB1" w:rsidRPr="003C7CB1" w:rsidRDefault="00861CB1" w:rsidP="00861CB1">
            <w:pPr>
              <w:contextualSpacing/>
              <w:jc w:val="both"/>
              <w:rPr>
                <w:rFonts w:ascii="Calibri" w:eastAsia="Calibri" w:hAnsi="Calibri" w:cs="Calibri"/>
                <w:sz w:val="24"/>
                <w:szCs w:val="24"/>
              </w:rPr>
            </w:pPr>
          </w:p>
        </w:tc>
        <w:tc>
          <w:tcPr>
            <w:tcW w:w="1417" w:type="dxa"/>
            <w:gridSpan w:val="2"/>
          </w:tcPr>
          <w:p w14:paraId="21EF263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1.3.5 </w:t>
            </w:r>
          </w:p>
        </w:tc>
        <w:tc>
          <w:tcPr>
            <w:tcW w:w="3260" w:type="dxa"/>
            <w:gridSpan w:val="2"/>
          </w:tcPr>
          <w:p w14:paraId="6E9A2548" w14:textId="56C8249F" w:rsidR="00861CB1" w:rsidRPr="003C7CB1" w:rsidRDefault="00861CB1" w:rsidP="00861CB1">
            <w:pPr>
              <w:contextualSpacing/>
              <w:rPr>
                <w:rFonts w:ascii="Calibri" w:eastAsia="Calibri" w:hAnsi="Calibri" w:cs="Calibri"/>
              </w:rPr>
            </w:pPr>
            <w:r w:rsidRPr="003C7CB1">
              <w:rPr>
                <w:rFonts w:ascii="Calibri" w:eastAsia="Calibri" w:hAnsi="Calibri" w:cs="Calibri"/>
              </w:rPr>
              <w:t>Establishment of a Working Group for the implementation of activities on the preparation of a plan for the organization of education, apprenticeship, training of employees in local tourism organizations in the part related to the collection of data on touris</w:t>
            </w:r>
            <w:r w:rsidR="00F244BF">
              <w:rPr>
                <w:rFonts w:ascii="Calibri" w:eastAsia="Calibri" w:hAnsi="Calibri" w:cs="Calibri"/>
              </w:rPr>
              <w:t>m turnover</w:t>
            </w:r>
          </w:p>
        </w:tc>
        <w:tc>
          <w:tcPr>
            <w:tcW w:w="1509" w:type="dxa"/>
            <w:gridSpan w:val="2"/>
          </w:tcPr>
          <w:p w14:paraId="2A952D6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 </w:t>
            </w:r>
          </w:p>
          <w:p w14:paraId="37FC623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LTO</w:t>
            </w:r>
          </w:p>
          <w:p w14:paraId="6851045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Local self-governments, MONSTAT </w:t>
            </w:r>
          </w:p>
        </w:tc>
        <w:tc>
          <w:tcPr>
            <w:tcW w:w="2037" w:type="dxa"/>
            <w:gridSpan w:val="2"/>
          </w:tcPr>
          <w:p w14:paraId="071F689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2022 </w:t>
            </w:r>
          </w:p>
        </w:tc>
        <w:tc>
          <w:tcPr>
            <w:tcW w:w="1932" w:type="dxa"/>
            <w:gridSpan w:val="2"/>
          </w:tcPr>
          <w:p w14:paraId="5AFB9E6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Working Group has been formed and Plan has been adopted </w:t>
            </w:r>
          </w:p>
          <w:p w14:paraId="01F7B3F4" w14:textId="77777777" w:rsidR="00861CB1" w:rsidRPr="003C7CB1" w:rsidRDefault="00861CB1" w:rsidP="00861CB1">
            <w:pPr>
              <w:contextualSpacing/>
              <w:jc w:val="center"/>
              <w:rPr>
                <w:rFonts w:ascii="Calibri" w:eastAsia="Calibri" w:hAnsi="Calibri" w:cs="Calibri"/>
              </w:rPr>
            </w:pPr>
          </w:p>
          <w:p w14:paraId="16BF3A6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and organizations </w:t>
            </w:r>
          </w:p>
        </w:tc>
        <w:tc>
          <w:tcPr>
            <w:tcW w:w="1403" w:type="dxa"/>
          </w:tcPr>
          <w:p w14:paraId="41308C6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7BEEA202" w14:textId="77777777" w:rsidTr="00861CB1">
        <w:trPr>
          <w:trHeight w:val="628"/>
          <w:jc w:val="center"/>
        </w:trPr>
        <w:tc>
          <w:tcPr>
            <w:tcW w:w="5098" w:type="dxa"/>
            <w:gridSpan w:val="4"/>
            <w:shd w:val="clear" w:color="auto" w:fill="DEEAF6"/>
          </w:tcPr>
          <w:p w14:paraId="304BBE44"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Total amount of funds for implementation of</w:t>
            </w:r>
          </w:p>
          <w:p w14:paraId="64CF1556"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Operational goal 1:  € 25,000.00 </w:t>
            </w:r>
          </w:p>
        </w:tc>
        <w:tc>
          <w:tcPr>
            <w:tcW w:w="8582" w:type="dxa"/>
            <w:gridSpan w:val="8"/>
            <w:shd w:val="clear" w:color="auto" w:fill="EDEDED"/>
          </w:tcPr>
          <w:p w14:paraId="77726DE3"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(current): € 25,000.00 </w:t>
            </w:r>
          </w:p>
        </w:tc>
      </w:tr>
      <w:tr w:rsidR="00861CB1" w:rsidRPr="003C7CB1" w14:paraId="7C10BF77" w14:textId="77777777" w:rsidTr="00861CB1">
        <w:trPr>
          <w:trHeight w:val="307"/>
          <w:jc w:val="center"/>
        </w:trPr>
        <w:tc>
          <w:tcPr>
            <w:tcW w:w="13680" w:type="dxa"/>
            <w:gridSpan w:val="12"/>
            <w:shd w:val="clear" w:color="auto" w:fill="FFFFFF"/>
          </w:tcPr>
          <w:p w14:paraId="0CCA335F" w14:textId="77777777" w:rsidR="00861CB1" w:rsidRPr="003C7CB1" w:rsidRDefault="00861CB1" w:rsidP="00861CB1">
            <w:pPr>
              <w:contextualSpacing/>
              <w:jc w:val="center"/>
              <w:rPr>
                <w:rFonts w:ascii="Calibri" w:eastAsia="Calibri" w:hAnsi="Calibri" w:cs="Calibri"/>
                <w:b/>
              </w:rPr>
            </w:pPr>
          </w:p>
          <w:p w14:paraId="442174BD" w14:textId="77777777" w:rsidR="00861CB1" w:rsidRPr="003C7CB1" w:rsidRDefault="00861CB1" w:rsidP="00861CB1">
            <w:pPr>
              <w:contextualSpacing/>
              <w:jc w:val="center"/>
              <w:rPr>
                <w:rFonts w:ascii="Calibri" w:eastAsia="Calibri" w:hAnsi="Calibri" w:cs="Calibri"/>
                <w:b/>
              </w:rPr>
            </w:pPr>
          </w:p>
          <w:p w14:paraId="52885D76" w14:textId="77777777" w:rsidR="00861CB1" w:rsidRPr="003C7CB1" w:rsidRDefault="00861CB1" w:rsidP="00861CB1">
            <w:pPr>
              <w:contextualSpacing/>
              <w:jc w:val="center"/>
              <w:rPr>
                <w:rFonts w:ascii="Calibri" w:eastAsia="Calibri" w:hAnsi="Calibri" w:cs="Calibri"/>
                <w:b/>
              </w:rPr>
            </w:pPr>
          </w:p>
          <w:p w14:paraId="04C7B253" w14:textId="77777777" w:rsidR="00861CB1" w:rsidRPr="003C7CB1" w:rsidRDefault="00861CB1" w:rsidP="00F13779">
            <w:pPr>
              <w:contextualSpacing/>
              <w:rPr>
                <w:rFonts w:ascii="Calibri" w:eastAsia="Calibri" w:hAnsi="Calibri" w:cs="Calibri"/>
                <w:b/>
              </w:rPr>
            </w:pPr>
          </w:p>
        </w:tc>
      </w:tr>
      <w:tr w:rsidR="00861CB1" w:rsidRPr="003C7CB1" w14:paraId="4CF8B006" w14:textId="77777777" w:rsidTr="00861CB1">
        <w:trPr>
          <w:jc w:val="center"/>
        </w:trPr>
        <w:tc>
          <w:tcPr>
            <w:tcW w:w="13680" w:type="dxa"/>
            <w:gridSpan w:val="12"/>
            <w:shd w:val="clear" w:color="auto" w:fill="BDD6EE"/>
          </w:tcPr>
          <w:p w14:paraId="298E239B" w14:textId="2E0AD4F9"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sz w:val="24"/>
                <w:szCs w:val="24"/>
              </w:rPr>
              <w:lastRenderedPageBreak/>
              <w:t xml:space="preserve">Operational goal 2: Improved tourism and supporting infrastructure and </w:t>
            </w:r>
            <w:proofErr w:type="spellStart"/>
            <w:r w:rsidRPr="003C7CB1">
              <w:rPr>
                <w:rFonts w:ascii="Calibri" w:eastAsia="Calibri" w:hAnsi="Calibri" w:cs="Calibri"/>
                <w:b/>
                <w:sz w:val="24"/>
                <w:szCs w:val="24"/>
              </w:rPr>
              <w:t>supr</w:t>
            </w:r>
            <w:r w:rsidR="00EC09F0">
              <w:rPr>
                <w:rFonts w:ascii="Calibri" w:eastAsia="Calibri" w:hAnsi="Calibri" w:cs="Calibri"/>
                <w:b/>
                <w:sz w:val="24"/>
                <w:szCs w:val="24"/>
              </w:rPr>
              <w:t>a</w:t>
            </w:r>
            <w:r w:rsidRPr="003C7CB1">
              <w:rPr>
                <w:rFonts w:ascii="Calibri" w:eastAsia="Calibri" w:hAnsi="Calibri" w:cs="Calibri"/>
                <w:b/>
                <w:sz w:val="24"/>
                <w:szCs w:val="24"/>
              </w:rPr>
              <w:t>structure</w:t>
            </w:r>
            <w:proofErr w:type="spellEnd"/>
            <w:r w:rsidRPr="003C7CB1">
              <w:rPr>
                <w:rFonts w:ascii="Calibri" w:eastAsia="Calibri" w:hAnsi="Calibri" w:cs="Calibri"/>
                <w:b/>
                <w:sz w:val="24"/>
                <w:szCs w:val="24"/>
              </w:rPr>
              <w:t xml:space="preserve"> </w:t>
            </w:r>
          </w:p>
        </w:tc>
      </w:tr>
      <w:tr w:rsidR="00861CB1" w:rsidRPr="003C7CB1" w14:paraId="1C5FBCF2" w14:textId="77777777" w:rsidTr="00861CB1">
        <w:trPr>
          <w:jc w:val="center"/>
        </w:trPr>
        <w:tc>
          <w:tcPr>
            <w:tcW w:w="3539" w:type="dxa"/>
            <w:gridSpan w:val="3"/>
            <w:shd w:val="clear" w:color="auto" w:fill="auto"/>
          </w:tcPr>
          <w:p w14:paraId="7B85B14A"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260" w:type="dxa"/>
            <w:gridSpan w:val="2"/>
            <w:shd w:val="clear" w:color="auto" w:fill="auto"/>
          </w:tcPr>
          <w:p w14:paraId="52EF5F4A"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Initial value for 2021 </w:t>
            </w:r>
          </w:p>
        </w:tc>
        <w:tc>
          <w:tcPr>
            <w:tcW w:w="3546" w:type="dxa"/>
            <w:gridSpan w:val="4"/>
            <w:shd w:val="clear" w:color="auto" w:fill="auto"/>
          </w:tcPr>
          <w:p w14:paraId="44277A04"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2023 </w:t>
            </w:r>
          </w:p>
        </w:tc>
        <w:tc>
          <w:tcPr>
            <w:tcW w:w="3335" w:type="dxa"/>
            <w:gridSpan w:val="3"/>
            <w:shd w:val="clear" w:color="auto" w:fill="auto"/>
          </w:tcPr>
          <w:p w14:paraId="3980C704"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11D7DE93" w14:textId="77777777" w:rsidTr="00861CB1">
        <w:trPr>
          <w:jc w:val="center"/>
        </w:trPr>
        <w:tc>
          <w:tcPr>
            <w:tcW w:w="3539" w:type="dxa"/>
            <w:gridSpan w:val="3"/>
            <w:shd w:val="clear" w:color="auto" w:fill="auto"/>
          </w:tcPr>
          <w:p w14:paraId="1FE05740"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260" w:type="dxa"/>
            <w:gridSpan w:val="2"/>
            <w:shd w:val="clear" w:color="auto" w:fill="auto"/>
          </w:tcPr>
          <w:p w14:paraId="7C7FE2BA" w14:textId="77777777" w:rsidR="00861CB1" w:rsidRPr="003C7CB1" w:rsidRDefault="00861CB1" w:rsidP="00861CB1">
            <w:pPr>
              <w:spacing w:after="0" w:line="240" w:lineRule="auto"/>
              <w:rPr>
                <w:rFonts w:ascii="Calibri" w:eastAsia="Calibri" w:hAnsi="Calibri" w:cs="Calibri"/>
              </w:rPr>
            </w:pPr>
          </w:p>
          <w:p w14:paraId="5129E76A" w14:textId="77777777" w:rsidR="00861CB1" w:rsidRPr="003C7CB1" w:rsidRDefault="00861CB1" w:rsidP="00861CB1">
            <w:pPr>
              <w:spacing w:after="0" w:line="240" w:lineRule="auto"/>
              <w:rPr>
                <w:rFonts w:ascii="Calibri" w:eastAsia="Calibri" w:hAnsi="Calibri" w:cs="Calibri"/>
              </w:rPr>
            </w:pPr>
          </w:p>
        </w:tc>
        <w:tc>
          <w:tcPr>
            <w:tcW w:w="3546" w:type="dxa"/>
            <w:gridSpan w:val="4"/>
            <w:shd w:val="clear" w:color="auto" w:fill="auto"/>
          </w:tcPr>
          <w:p w14:paraId="4F9FB270" w14:textId="77777777" w:rsidR="00861CB1" w:rsidRPr="003C7CB1" w:rsidRDefault="00861CB1" w:rsidP="00861CB1">
            <w:pPr>
              <w:spacing w:after="0" w:line="240" w:lineRule="auto"/>
              <w:rPr>
                <w:rFonts w:ascii="Calibri" w:eastAsia="Calibri" w:hAnsi="Calibri" w:cs="Calibri"/>
              </w:rPr>
            </w:pPr>
          </w:p>
        </w:tc>
        <w:tc>
          <w:tcPr>
            <w:tcW w:w="3335" w:type="dxa"/>
            <w:gridSpan w:val="3"/>
            <w:shd w:val="clear" w:color="auto" w:fill="auto"/>
          </w:tcPr>
          <w:p w14:paraId="3C8D3FDD" w14:textId="77777777" w:rsidR="00861CB1" w:rsidRPr="003C7CB1" w:rsidRDefault="00861CB1" w:rsidP="00861CB1">
            <w:pPr>
              <w:spacing w:after="0" w:line="240" w:lineRule="auto"/>
              <w:rPr>
                <w:rFonts w:ascii="Calibri" w:eastAsia="Calibri" w:hAnsi="Calibri" w:cs="Calibri"/>
              </w:rPr>
            </w:pPr>
          </w:p>
        </w:tc>
      </w:tr>
      <w:tr w:rsidR="00861CB1" w:rsidRPr="003C7CB1" w14:paraId="793D5753" w14:textId="77777777" w:rsidTr="00861CB1">
        <w:trPr>
          <w:jc w:val="center"/>
        </w:trPr>
        <w:tc>
          <w:tcPr>
            <w:tcW w:w="3539" w:type="dxa"/>
            <w:gridSpan w:val="3"/>
            <w:shd w:val="clear" w:color="auto" w:fill="auto"/>
          </w:tcPr>
          <w:p w14:paraId="2182665A" w14:textId="5B5DA6F2"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Number of tourism and supporting infrastructure and </w:t>
            </w:r>
            <w:proofErr w:type="spellStart"/>
            <w:r w:rsidRPr="003C7CB1">
              <w:rPr>
                <w:rFonts w:ascii="Calibri" w:eastAsia="Calibri" w:hAnsi="Calibri" w:cs="Calibri"/>
              </w:rPr>
              <w:t>supr</w:t>
            </w:r>
            <w:r w:rsidR="00C738FE">
              <w:rPr>
                <w:rFonts w:ascii="Calibri" w:eastAsia="Calibri" w:hAnsi="Calibri" w:cs="Calibri"/>
              </w:rPr>
              <w:t>a</w:t>
            </w:r>
            <w:r w:rsidRPr="003C7CB1">
              <w:rPr>
                <w:rFonts w:ascii="Calibri" w:eastAsia="Calibri" w:hAnsi="Calibri" w:cs="Calibri"/>
              </w:rPr>
              <w:t>structure</w:t>
            </w:r>
            <w:proofErr w:type="spellEnd"/>
            <w:r w:rsidRPr="003C7CB1">
              <w:rPr>
                <w:rFonts w:ascii="Calibri" w:eastAsia="Calibri" w:hAnsi="Calibri" w:cs="Calibri"/>
              </w:rPr>
              <w:t xml:space="preserve"> projects </w:t>
            </w:r>
          </w:p>
        </w:tc>
        <w:tc>
          <w:tcPr>
            <w:tcW w:w="3260" w:type="dxa"/>
            <w:gridSpan w:val="2"/>
            <w:shd w:val="clear" w:color="auto" w:fill="auto"/>
          </w:tcPr>
          <w:p w14:paraId="229D3FF9"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0 </w:t>
            </w:r>
          </w:p>
        </w:tc>
        <w:tc>
          <w:tcPr>
            <w:tcW w:w="3546" w:type="dxa"/>
            <w:gridSpan w:val="4"/>
            <w:shd w:val="clear" w:color="auto" w:fill="auto"/>
          </w:tcPr>
          <w:p w14:paraId="05ABEC8E"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Minimum 15 project activities </w:t>
            </w:r>
          </w:p>
        </w:tc>
        <w:tc>
          <w:tcPr>
            <w:tcW w:w="3335" w:type="dxa"/>
            <w:gridSpan w:val="3"/>
            <w:shd w:val="clear" w:color="auto" w:fill="auto"/>
          </w:tcPr>
          <w:p w14:paraId="2F9EC6CC"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Minimum 30 project activities </w:t>
            </w:r>
          </w:p>
        </w:tc>
      </w:tr>
      <w:tr w:rsidR="00861CB1" w:rsidRPr="003C7CB1" w14:paraId="247C29F0" w14:textId="77777777" w:rsidTr="00861CB1">
        <w:trPr>
          <w:jc w:val="center"/>
        </w:trPr>
        <w:tc>
          <w:tcPr>
            <w:tcW w:w="2122" w:type="dxa"/>
            <w:shd w:val="clear" w:color="auto" w:fill="BDD6EE"/>
          </w:tcPr>
          <w:p w14:paraId="414BF57A"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Measure </w:t>
            </w:r>
          </w:p>
        </w:tc>
        <w:tc>
          <w:tcPr>
            <w:tcW w:w="4677" w:type="dxa"/>
            <w:gridSpan w:val="4"/>
            <w:shd w:val="clear" w:color="auto" w:fill="BDD6EE"/>
          </w:tcPr>
          <w:p w14:paraId="1A151992"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Activity </w:t>
            </w:r>
          </w:p>
        </w:tc>
        <w:tc>
          <w:tcPr>
            <w:tcW w:w="1843" w:type="dxa"/>
            <w:gridSpan w:val="3"/>
            <w:tcBorders>
              <w:bottom w:val="single" w:sz="4" w:space="0" w:color="auto"/>
            </w:tcBorders>
            <w:shd w:val="clear" w:color="auto" w:fill="BDD6EE"/>
          </w:tcPr>
          <w:p w14:paraId="3682BE1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Holder / partners </w:t>
            </w:r>
          </w:p>
        </w:tc>
        <w:tc>
          <w:tcPr>
            <w:tcW w:w="1703" w:type="dxa"/>
            <w:shd w:val="clear" w:color="auto" w:fill="BDD6EE"/>
          </w:tcPr>
          <w:p w14:paraId="50C47B0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Deadline </w:t>
            </w:r>
          </w:p>
        </w:tc>
        <w:tc>
          <w:tcPr>
            <w:tcW w:w="1841" w:type="dxa"/>
            <w:shd w:val="clear" w:color="auto" w:fill="BDD6EE"/>
          </w:tcPr>
          <w:p w14:paraId="1CB1D973"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Indicator / verification source </w:t>
            </w:r>
          </w:p>
        </w:tc>
        <w:tc>
          <w:tcPr>
            <w:tcW w:w="1494" w:type="dxa"/>
            <w:gridSpan w:val="2"/>
            <w:shd w:val="clear" w:color="auto" w:fill="BDD6EE"/>
          </w:tcPr>
          <w:p w14:paraId="6DEFD2F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Funds (in €) / source </w:t>
            </w:r>
          </w:p>
        </w:tc>
      </w:tr>
      <w:tr w:rsidR="00861CB1" w:rsidRPr="003C7CB1" w14:paraId="3CB66F79" w14:textId="77777777" w:rsidTr="00861CB1">
        <w:trPr>
          <w:jc w:val="center"/>
        </w:trPr>
        <w:tc>
          <w:tcPr>
            <w:tcW w:w="2122" w:type="dxa"/>
            <w:vMerge w:val="restart"/>
            <w:shd w:val="clear" w:color="auto" w:fill="FFFFFF"/>
          </w:tcPr>
          <w:p w14:paraId="4A61B3A1" w14:textId="08D7E9B6" w:rsidR="00861CB1" w:rsidRPr="003C7CB1" w:rsidRDefault="00861CB1" w:rsidP="00861CB1">
            <w:pPr>
              <w:contextualSpacing/>
              <w:rPr>
                <w:rFonts w:ascii="Calibri" w:eastAsia="Calibri" w:hAnsi="Calibri" w:cs="Calibri"/>
                <w:b/>
                <w:sz w:val="24"/>
                <w:szCs w:val="24"/>
              </w:rPr>
            </w:pPr>
            <w:r w:rsidRPr="003C7CB1">
              <w:rPr>
                <w:rFonts w:ascii="Calibri" w:eastAsia="Calibri" w:hAnsi="Calibri" w:cs="Calibri"/>
                <w:b/>
              </w:rPr>
              <w:t xml:space="preserve">2.1 Tourism infrastructure and </w:t>
            </w:r>
            <w:proofErr w:type="spellStart"/>
            <w:r w:rsidRPr="003C7CB1">
              <w:rPr>
                <w:rFonts w:ascii="Calibri" w:eastAsia="Calibri" w:hAnsi="Calibri" w:cs="Calibri"/>
                <w:b/>
              </w:rPr>
              <w:t>supr</w:t>
            </w:r>
            <w:r w:rsidR="00C738FE">
              <w:rPr>
                <w:rFonts w:ascii="Calibri" w:eastAsia="Calibri" w:hAnsi="Calibri" w:cs="Calibri"/>
                <w:b/>
              </w:rPr>
              <w:t>a</w:t>
            </w:r>
            <w:r w:rsidRPr="003C7CB1">
              <w:rPr>
                <w:rFonts w:ascii="Calibri" w:eastAsia="Calibri" w:hAnsi="Calibri" w:cs="Calibri"/>
                <w:b/>
              </w:rPr>
              <w:t>structure</w:t>
            </w:r>
            <w:proofErr w:type="spellEnd"/>
          </w:p>
        </w:tc>
        <w:tc>
          <w:tcPr>
            <w:tcW w:w="1417" w:type="dxa"/>
            <w:gridSpan w:val="2"/>
          </w:tcPr>
          <w:p w14:paraId="2135005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 </w:t>
            </w:r>
          </w:p>
        </w:tc>
        <w:tc>
          <w:tcPr>
            <w:tcW w:w="3260" w:type="dxa"/>
            <w:gridSpan w:val="2"/>
          </w:tcPr>
          <w:p w14:paraId="095B66DF" w14:textId="77777777" w:rsidR="00861CB1" w:rsidRPr="003C7CB1" w:rsidRDefault="00861CB1" w:rsidP="00861CB1">
            <w:pPr>
              <w:spacing w:after="0" w:line="240" w:lineRule="auto"/>
              <w:rPr>
                <w:rFonts w:ascii="Calibri" w:eastAsia="Calibri" w:hAnsi="Calibri" w:cs="Calibri"/>
                <w:bCs/>
              </w:rPr>
            </w:pPr>
            <w:r w:rsidRPr="003C7CB1">
              <w:rPr>
                <w:rFonts w:ascii="Calibri" w:eastAsia="Calibri" w:hAnsi="Calibri" w:cs="Calibri"/>
                <w:bCs/>
              </w:rPr>
              <w:t xml:space="preserve">Continuation of the construction of the “Kolašin 1600” ski center in Kolašin </w:t>
            </w:r>
          </w:p>
        </w:tc>
        <w:tc>
          <w:tcPr>
            <w:tcW w:w="1843" w:type="dxa"/>
            <w:gridSpan w:val="3"/>
          </w:tcPr>
          <w:p w14:paraId="12863B40"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bCs/>
              </w:rPr>
              <w:t xml:space="preserve">MED  /  Public Works Administration / LLC Ski Resorts of Montenegro </w:t>
            </w:r>
          </w:p>
        </w:tc>
        <w:tc>
          <w:tcPr>
            <w:tcW w:w="1703" w:type="dxa"/>
          </w:tcPr>
          <w:p w14:paraId="429BCF9B"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6E78407A" w14:textId="77777777" w:rsidR="00861CB1" w:rsidRPr="003C7CB1" w:rsidRDefault="00861CB1" w:rsidP="00861CB1">
            <w:pPr>
              <w:spacing w:after="0" w:line="240" w:lineRule="auto"/>
              <w:jc w:val="center"/>
              <w:rPr>
                <w:rFonts w:ascii="Calibri" w:eastAsia="Calibri" w:hAnsi="Calibri" w:cs="Calibri"/>
                <w:bCs/>
              </w:rPr>
            </w:pPr>
          </w:p>
          <w:p w14:paraId="164E79FD" w14:textId="77777777" w:rsidR="00861CB1" w:rsidRPr="003C7CB1" w:rsidRDefault="00861CB1" w:rsidP="00861CB1">
            <w:pPr>
              <w:spacing w:after="0" w:line="240" w:lineRule="auto"/>
              <w:jc w:val="center"/>
              <w:rPr>
                <w:rFonts w:ascii="Calibri" w:eastAsia="Calibri" w:hAnsi="Calibri" w:cs="Calibri"/>
                <w:b/>
                <w:bCs/>
              </w:rPr>
            </w:pPr>
          </w:p>
          <w:p w14:paraId="5BAAA784"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3CE94D2B" w14:textId="5DD2FD33"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improving the infrastructure within the Kolašin 1600</w:t>
            </w:r>
            <w:r w:rsidR="00AE5C5F">
              <w:rPr>
                <w:rFonts w:ascii="Calibri" w:eastAsia="Calibri" w:hAnsi="Calibri" w:cs="Calibri"/>
                <w:bCs/>
              </w:rPr>
              <w:t xml:space="preserve"> </w:t>
            </w:r>
            <w:r w:rsidRPr="003C7CB1">
              <w:rPr>
                <w:rFonts w:ascii="Calibri" w:eastAsia="Calibri" w:hAnsi="Calibri" w:cs="Calibri"/>
                <w:bCs/>
              </w:rPr>
              <w:t xml:space="preserve">ski center </w:t>
            </w:r>
          </w:p>
          <w:p w14:paraId="5D4238C5" w14:textId="77777777" w:rsidR="00861CB1" w:rsidRPr="003C7CB1" w:rsidRDefault="00861CB1" w:rsidP="00861CB1">
            <w:pPr>
              <w:contextualSpacing/>
              <w:jc w:val="center"/>
              <w:rPr>
                <w:rFonts w:ascii="Calibri" w:eastAsia="Calibri" w:hAnsi="Calibri" w:cs="Calibri"/>
                <w:bCs/>
              </w:rPr>
            </w:pPr>
          </w:p>
          <w:p w14:paraId="5088C8B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reports of MED , Public Works Administration and LLC Ski Resorts of Montenegro </w:t>
            </w:r>
          </w:p>
        </w:tc>
        <w:tc>
          <w:tcPr>
            <w:tcW w:w="1494" w:type="dxa"/>
            <w:gridSpan w:val="2"/>
          </w:tcPr>
          <w:p w14:paraId="2A88E495"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Capital budget for 2022: </w:t>
            </w:r>
          </w:p>
          <w:p w14:paraId="60B5E246"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3,014,283.65 </w:t>
            </w:r>
          </w:p>
        </w:tc>
      </w:tr>
      <w:tr w:rsidR="00861CB1" w:rsidRPr="003C7CB1" w14:paraId="5B79AF02" w14:textId="77777777" w:rsidTr="00861CB1">
        <w:trPr>
          <w:jc w:val="center"/>
        </w:trPr>
        <w:tc>
          <w:tcPr>
            <w:tcW w:w="2122" w:type="dxa"/>
            <w:vMerge/>
            <w:shd w:val="clear" w:color="auto" w:fill="FFFFFF"/>
          </w:tcPr>
          <w:p w14:paraId="3DDF38D8" w14:textId="77777777" w:rsidR="00861CB1" w:rsidRPr="003C7CB1" w:rsidRDefault="00861CB1" w:rsidP="00861CB1">
            <w:pPr>
              <w:contextualSpacing/>
              <w:rPr>
                <w:rFonts w:ascii="Calibri" w:eastAsia="Calibri" w:hAnsi="Calibri" w:cs="Calibri"/>
                <w:b/>
              </w:rPr>
            </w:pPr>
          </w:p>
        </w:tc>
        <w:tc>
          <w:tcPr>
            <w:tcW w:w="1417" w:type="dxa"/>
            <w:gridSpan w:val="2"/>
          </w:tcPr>
          <w:p w14:paraId="37947FA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2.1.2 </w:t>
            </w:r>
          </w:p>
        </w:tc>
        <w:tc>
          <w:tcPr>
            <w:tcW w:w="3260" w:type="dxa"/>
            <w:gridSpan w:val="2"/>
          </w:tcPr>
          <w:p w14:paraId="56F2D515" w14:textId="77777777" w:rsidR="00861CB1" w:rsidRPr="003C7CB1" w:rsidRDefault="00861CB1" w:rsidP="00861CB1">
            <w:pPr>
              <w:contextualSpacing/>
              <w:jc w:val="both"/>
              <w:rPr>
                <w:rFonts w:ascii="Calibri" w:eastAsia="Calibri" w:hAnsi="Calibri" w:cs="Calibri"/>
                <w:bCs/>
              </w:rPr>
            </w:pPr>
            <w:r w:rsidRPr="003C7CB1">
              <w:rPr>
                <w:rFonts w:ascii="Calibri" w:eastAsia="Calibri" w:hAnsi="Calibri" w:cs="Calibri"/>
                <w:bCs/>
              </w:rPr>
              <w:t>Continuation of activities on the construction of the “</w:t>
            </w:r>
            <w:proofErr w:type="spellStart"/>
            <w:r w:rsidRPr="003C7CB1">
              <w:rPr>
                <w:rFonts w:ascii="Calibri" w:eastAsia="Calibri" w:hAnsi="Calibri" w:cs="Calibri"/>
                <w:bCs/>
              </w:rPr>
              <w:t>Žarski</w:t>
            </w:r>
            <w:proofErr w:type="spellEnd"/>
            <w:r w:rsidRPr="003C7CB1">
              <w:rPr>
                <w:rFonts w:ascii="Calibri" w:eastAsia="Calibri" w:hAnsi="Calibri" w:cs="Calibri"/>
                <w:bCs/>
              </w:rPr>
              <w:t xml:space="preserve">” ski center in Mojkovac </w:t>
            </w:r>
          </w:p>
          <w:p w14:paraId="3CE55A2D" w14:textId="77777777" w:rsidR="00861CB1" w:rsidRPr="003C7CB1" w:rsidRDefault="00861CB1" w:rsidP="00861CB1">
            <w:pPr>
              <w:contextualSpacing/>
              <w:jc w:val="both"/>
              <w:rPr>
                <w:rFonts w:ascii="Calibri" w:eastAsia="Calibri" w:hAnsi="Calibri" w:cs="Calibri"/>
                <w:bCs/>
              </w:rPr>
            </w:pPr>
          </w:p>
          <w:p w14:paraId="45C13821" w14:textId="77777777" w:rsidR="00861CB1" w:rsidRPr="003C7CB1" w:rsidRDefault="00861CB1" w:rsidP="00861CB1">
            <w:pPr>
              <w:contextualSpacing/>
              <w:jc w:val="both"/>
              <w:rPr>
                <w:rFonts w:ascii="Calibri" w:eastAsia="Calibri" w:hAnsi="Calibri" w:cs="Calibri"/>
                <w:b/>
                <w:bCs/>
              </w:rPr>
            </w:pPr>
          </w:p>
        </w:tc>
        <w:tc>
          <w:tcPr>
            <w:tcW w:w="1843" w:type="dxa"/>
            <w:gridSpan w:val="3"/>
          </w:tcPr>
          <w:p w14:paraId="20932447"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47E38CE9"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7FA1ADAB" w14:textId="77777777" w:rsidR="00861CB1" w:rsidRPr="003C7CB1" w:rsidRDefault="00861CB1" w:rsidP="00861CB1">
            <w:pPr>
              <w:spacing w:after="0" w:line="240" w:lineRule="auto"/>
              <w:jc w:val="center"/>
              <w:rPr>
                <w:rFonts w:ascii="Calibri" w:eastAsia="Calibri" w:hAnsi="Calibri" w:cs="Calibri"/>
                <w:bCs/>
              </w:rPr>
            </w:pPr>
          </w:p>
          <w:p w14:paraId="78906FF4"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5823E723"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putting into operation the “</w:t>
            </w:r>
            <w:proofErr w:type="spellStart"/>
            <w:r w:rsidRPr="003C7CB1">
              <w:rPr>
                <w:rFonts w:ascii="Calibri" w:eastAsia="Calibri" w:hAnsi="Calibri" w:cs="Calibri"/>
                <w:bCs/>
              </w:rPr>
              <w:t>Žarski</w:t>
            </w:r>
            <w:proofErr w:type="spellEnd"/>
            <w:r w:rsidRPr="003C7CB1">
              <w:rPr>
                <w:rFonts w:ascii="Calibri" w:eastAsia="Calibri" w:hAnsi="Calibri" w:cs="Calibri"/>
                <w:bCs/>
              </w:rPr>
              <w:t xml:space="preserve">” ski center </w:t>
            </w:r>
          </w:p>
          <w:p w14:paraId="74672186" w14:textId="77777777" w:rsidR="00861CB1" w:rsidRPr="003C7CB1" w:rsidRDefault="00861CB1" w:rsidP="00861CB1">
            <w:pPr>
              <w:contextualSpacing/>
              <w:jc w:val="center"/>
              <w:rPr>
                <w:rFonts w:ascii="Calibri" w:eastAsia="Calibri" w:hAnsi="Calibri" w:cs="Calibri"/>
                <w:bCs/>
              </w:rPr>
            </w:pPr>
          </w:p>
          <w:p w14:paraId="337DFC8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reports of MED , Public Works Administration and LLC Ski Resorts of Montenegro </w:t>
            </w:r>
          </w:p>
        </w:tc>
        <w:tc>
          <w:tcPr>
            <w:tcW w:w="1494" w:type="dxa"/>
            <w:gridSpan w:val="2"/>
          </w:tcPr>
          <w:p w14:paraId="034DA1C9"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54444E38"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3,000,400.00 </w:t>
            </w:r>
          </w:p>
        </w:tc>
      </w:tr>
      <w:tr w:rsidR="00861CB1" w:rsidRPr="003C7CB1" w14:paraId="77FC9473" w14:textId="77777777" w:rsidTr="00861CB1">
        <w:trPr>
          <w:jc w:val="center"/>
        </w:trPr>
        <w:tc>
          <w:tcPr>
            <w:tcW w:w="2122" w:type="dxa"/>
            <w:vMerge/>
            <w:shd w:val="clear" w:color="auto" w:fill="FFFFFF"/>
          </w:tcPr>
          <w:p w14:paraId="663BC973" w14:textId="77777777" w:rsidR="00861CB1" w:rsidRPr="003C7CB1" w:rsidRDefault="00861CB1" w:rsidP="00861CB1">
            <w:pPr>
              <w:contextualSpacing/>
              <w:rPr>
                <w:rFonts w:ascii="Calibri" w:eastAsia="Calibri" w:hAnsi="Calibri" w:cs="Calibri"/>
                <w:b/>
              </w:rPr>
            </w:pPr>
          </w:p>
        </w:tc>
        <w:tc>
          <w:tcPr>
            <w:tcW w:w="1417" w:type="dxa"/>
            <w:gridSpan w:val="2"/>
          </w:tcPr>
          <w:p w14:paraId="1EAC25E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2.1.3 </w:t>
            </w:r>
          </w:p>
        </w:tc>
        <w:tc>
          <w:tcPr>
            <w:tcW w:w="3260" w:type="dxa"/>
            <w:gridSpan w:val="2"/>
          </w:tcPr>
          <w:p w14:paraId="4D37FD8B" w14:textId="77777777" w:rsidR="00861CB1" w:rsidRPr="003C7CB1" w:rsidRDefault="00861CB1" w:rsidP="00861CB1">
            <w:pPr>
              <w:contextualSpacing/>
              <w:jc w:val="both"/>
              <w:rPr>
                <w:rFonts w:ascii="Calibri" w:eastAsia="Calibri" w:hAnsi="Calibri" w:cs="Calibri"/>
                <w:bCs/>
              </w:rPr>
            </w:pPr>
            <w:r w:rsidRPr="003C7CB1">
              <w:rPr>
                <w:rFonts w:ascii="Calibri" w:eastAsia="Calibri" w:hAnsi="Calibri" w:cs="Calibri"/>
                <w:bCs/>
              </w:rPr>
              <w:t>Continuation of activities on the construction of the “</w:t>
            </w:r>
            <w:proofErr w:type="spellStart"/>
            <w:r w:rsidRPr="003C7CB1">
              <w:rPr>
                <w:rFonts w:ascii="Calibri" w:eastAsia="Calibri" w:hAnsi="Calibri" w:cs="Calibri"/>
                <w:bCs/>
              </w:rPr>
              <w:t>Cmiljača</w:t>
            </w:r>
            <w:proofErr w:type="spellEnd"/>
            <w:r w:rsidRPr="003C7CB1">
              <w:rPr>
                <w:rFonts w:ascii="Calibri" w:eastAsia="Calibri" w:hAnsi="Calibri" w:cs="Calibri"/>
                <w:bCs/>
              </w:rPr>
              <w:t xml:space="preserve">” ski center in Bijelo Polje </w:t>
            </w:r>
          </w:p>
          <w:p w14:paraId="78068E6A" w14:textId="77777777" w:rsidR="00861CB1" w:rsidRPr="003C7CB1" w:rsidRDefault="00861CB1" w:rsidP="00861CB1">
            <w:pPr>
              <w:contextualSpacing/>
              <w:jc w:val="both"/>
              <w:rPr>
                <w:rFonts w:ascii="Calibri" w:eastAsia="Calibri" w:hAnsi="Calibri" w:cs="Calibri"/>
                <w:bCs/>
              </w:rPr>
            </w:pPr>
            <w:r w:rsidRPr="003C7CB1">
              <w:rPr>
                <w:rFonts w:ascii="Calibri" w:eastAsia="Calibri" w:hAnsi="Calibri" w:cs="Calibri"/>
                <w:bCs/>
              </w:rPr>
              <w:t xml:space="preserve">  </w:t>
            </w:r>
          </w:p>
          <w:p w14:paraId="2E927F4E" w14:textId="77777777" w:rsidR="00861CB1" w:rsidRPr="003C7CB1" w:rsidRDefault="00861CB1" w:rsidP="00861CB1">
            <w:pPr>
              <w:contextualSpacing/>
              <w:jc w:val="both"/>
              <w:rPr>
                <w:rFonts w:ascii="Calibri" w:eastAsia="Calibri" w:hAnsi="Calibri" w:cs="Calibri"/>
                <w:bCs/>
              </w:rPr>
            </w:pPr>
          </w:p>
          <w:p w14:paraId="452AA47C" w14:textId="77777777" w:rsidR="00861CB1" w:rsidRPr="003C7CB1" w:rsidRDefault="00861CB1" w:rsidP="00861CB1">
            <w:pPr>
              <w:contextualSpacing/>
              <w:jc w:val="both"/>
              <w:rPr>
                <w:rFonts w:ascii="Calibri" w:eastAsia="Calibri" w:hAnsi="Calibri" w:cs="Calibri"/>
                <w:b/>
                <w:bCs/>
              </w:rPr>
            </w:pPr>
          </w:p>
        </w:tc>
        <w:tc>
          <w:tcPr>
            <w:tcW w:w="1843" w:type="dxa"/>
            <w:gridSpan w:val="3"/>
          </w:tcPr>
          <w:p w14:paraId="0FF4F806"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43DBC2E4"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60D06DF5" w14:textId="77777777" w:rsidR="00861CB1" w:rsidRPr="003C7CB1" w:rsidRDefault="00861CB1" w:rsidP="00861CB1">
            <w:pPr>
              <w:spacing w:after="0" w:line="240" w:lineRule="auto"/>
              <w:jc w:val="center"/>
              <w:rPr>
                <w:rFonts w:ascii="Calibri" w:eastAsia="Calibri" w:hAnsi="Calibri" w:cs="Calibri"/>
                <w:bCs/>
              </w:rPr>
            </w:pPr>
          </w:p>
          <w:p w14:paraId="371734A2"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
                <w:bCs/>
              </w:rPr>
              <w:t>A multi-year project whose implementation continues after 2022 and will be the subject of the next AP Strategy</w:t>
            </w:r>
            <w:r w:rsidRPr="003C7CB1">
              <w:rPr>
                <w:rFonts w:ascii="Calibri" w:eastAsia="Calibri" w:hAnsi="Calibri" w:cs="Calibri"/>
                <w:bCs/>
              </w:rPr>
              <w:t xml:space="preserve"> </w:t>
            </w:r>
          </w:p>
        </w:tc>
        <w:tc>
          <w:tcPr>
            <w:tcW w:w="1841" w:type="dxa"/>
          </w:tcPr>
          <w:p w14:paraId="104B0285"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putting into operation the “</w:t>
            </w:r>
            <w:proofErr w:type="spellStart"/>
            <w:r w:rsidRPr="003C7CB1">
              <w:rPr>
                <w:rFonts w:ascii="Calibri" w:eastAsia="Calibri" w:hAnsi="Calibri" w:cs="Calibri"/>
                <w:bCs/>
              </w:rPr>
              <w:t>Cmiljača</w:t>
            </w:r>
            <w:proofErr w:type="spellEnd"/>
            <w:r w:rsidRPr="003C7CB1">
              <w:rPr>
                <w:rFonts w:ascii="Calibri" w:eastAsia="Calibri" w:hAnsi="Calibri" w:cs="Calibri"/>
                <w:bCs/>
              </w:rPr>
              <w:t xml:space="preserve">” ski center </w:t>
            </w:r>
          </w:p>
          <w:p w14:paraId="28AC6FBA" w14:textId="77777777" w:rsidR="00861CB1" w:rsidRPr="003C7CB1" w:rsidRDefault="00861CB1" w:rsidP="00861CB1">
            <w:pPr>
              <w:contextualSpacing/>
              <w:jc w:val="center"/>
              <w:rPr>
                <w:rFonts w:ascii="Calibri" w:eastAsia="Calibri" w:hAnsi="Calibri" w:cs="Calibri"/>
                <w:bCs/>
              </w:rPr>
            </w:pPr>
          </w:p>
          <w:p w14:paraId="7A46EA04"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lastRenderedPageBreak/>
              <w:t xml:space="preserve">Annual work reports of MED , Public Works Administration and LLC Ski Resorts of Montenegro </w:t>
            </w:r>
          </w:p>
        </w:tc>
        <w:tc>
          <w:tcPr>
            <w:tcW w:w="1494" w:type="dxa"/>
            <w:gridSpan w:val="2"/>
          </w:tcPr>
          <w:p w14:paraId="0D8C852E"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lastRenderedPageBreak/>
              <w:t>Capital budget for 2022:</w:t>
            </w:r>
          </w:p>
          <w:p w14:paraId="62DDF493"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3,100,600.00 </w:t>
            </w:r>
          </w:p>
        </w:tc>
      </w:tr>
      <w:tr w:rsidR="00861CB1" w:rsidRPr="003C7CB1" w14:paraId="7EDA701E" w14:textId="77777777" w:rsidTr="00861CB1">
        <w:trPr>
          <w:jc w:val="center"/>
        </w:trPr>
        <w:tc>
          <w:tcPr>
            <w:tcW w:w="2122" w:type="dxa"/>
            <w:vMerge/>
            <w:shd w:val="clear" w:color="auto" w:fill="FFFFFF"/>
          </w:tcPr>
          <w:p w14:paraId="2FD7F2F2" w14:textId="77777777" w:rsidR="00861CB1" w:rsidRPr="003C7CB1" w:rsidRDefault="00861CB1" w:rsidP="00861CB1">
            <w:pPr>
              <w:contextualSpacing/>
              <w:rPr>
                <w:rFonts w:ascii="Calibri" w:eastAsia="Calibri" w:hAnsi="Calibri" w:cs="Calibri"/>
                <w:b/>
              </w:rPr>
            </w:pPr>
          </w:p>
        </w:tc>
        <w:tc>
          <w:tcPr>
            <w:tcW w:w="1417" w:type="dxa"/>
            <w:gridSpan w:val="2"/>
          </w:tcPr>
          <w:p w14:paraId="0A8FE870"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2.1.4 </w:t>
            </w:r>
          </w:p>
        </w:tc>
        <w:tc>
          <w:tcPr>
            <w:tcW w:w="3260" w:type="dxa"/>
            <w:gridSpan w:val="2"/>
          </w:tcPr>
          <w:p w14:paraId="4DD4BED8" w14:textId="77777777" w:rsidR="00861CB1" w:rsidRPr="003C7CB1" w:rsidRDefault="00861CB1" w:rsidP="00861CB1">
            <w:pPr>
              <w:contextualSpacing/>
              <w:jc w:val="both"/>
              <w:rPr>
                <w:rFonts w:ascii="Calibri" w:eastAsia="Calibri" w:hAnsi="Calibri" w:cs="Calibri"/>
                <w:b/>
                <w:bCs/>
              </w:rPr>
            </w:pPr>
            <w:r w:rsidRPr="003C7CB1">
              <w:rPr>
                <w:rFonts w:ascii="Calibri" w:eastAsia="Calibri" w:hAnsi="Calibri" w:cs="Calibri"/>
              </w:rPr>
              <w:t>Continuation of activities on the construction of the “</w:t>
            </w:r>
            <w:proofErr w:type="spellStart"/>
            <w:r w:rsidRPr="003C7CB1">
              <w:rPr>
                <w:rFonts w:ascii="Calibri" w:eastAsia="Calibri" w:hAnsi="Calibri" w:cs="Calibri"/>
              </w:rPr>
              <w:t>Savin</w:t>
            </w:r>
            <w:proofErr w:type="spellEnd"/>
            <w:r w:rsidRPr="003C7CB1">
              <w:rPr>
                <w:rFonts w:ascii="Calibri" w:eastAsia="Calibri" w:hAnsi="Calibri" w:cs="Calibri"/>
              </w:rPr>
              <w:t xml:space="preserve"> </w:t>
            </w:r>
            <w:proofErr w:type="spellStart"/>
            <w:r w:rsidRPr="003C7CB1">
              <w:rPr>
                <w:rFonts w:ascii="Calibri" w:eastAsia="Calibri" w:hAnsi="Calibri" w:cs="Calibri"/>
              </w:rPr>
              <w:t>kuk</w:t>
            </w:r>
            <w:proofErr w:type="spellEnd"/>
            <w:r w:rsidRPr="003C7CB1">
              <w:rPr>
                <w:rFonts w:ascii="Calibri" w:eastAsia="Calibri" w:hAnsi="Calibri" w:cs="Calibri"/>
              </w:rPr>
              <w:t xml:space="preserve">” ski resort in </w:t>
            </w:r>
            <w:proofErr w:type="spellStart"/>
            <w:r w:rsidRPr="003C7CB1">
              <w:rPr>
                <w:rFonts w:ascii="Calibri" w:eastAsia="Calibri" w:hAnsi="Calibri" w:cs="Calibri"/>
              </w:rPr>
              <w:t>Žabljak</w:t>
            </w:r>
            <w:proofErr w:type="spellEnd"/>
            <w:r w:rsidRPr="003C7CB1">
              <w:rPr>
                <w:rFonts w:ascii="Calibri" w:eastAsia="Calibri" w:hAnsi="Calibri" w:cs="Calibri"/>
              </w:rPr>
              <w:t xml:space="preserve"> </w:t>
            </w:r>
          </w:p>
        </w:tc>
        <w:tc>
          <w:tcPr>
            <w:tcW w:w="1843" w:type="dxa"/>
            <w:gridSpan w:val="3"/>
          </w:tcPr>
          <w:p w14:paraId="75AA3A1C"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1E84359E"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5109A22C" w14:textId="77777777" w:rsidR="00861CB1" w:rsidRPr="003C7CB1" w:rsidRDefault="00861CB1" w:rsidP="00861CB1">
            <w:pPr>
              <w:spacing w:after="0" w:line="240" w:lineRule="auto"/>
              <w:jc w:val="center"/>
              <w:rPr>
                <w:rFonts w:ascii="Calibri" w:eastAsia="Calibri" w:hAnsi="Calibri" w:cs="Calibri"/>
                <w:bCs/>
              </w:rPr>
            </w:pPr>
          </w:p>
          <w:p w14:paraId="799F5F87"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7220AD4F" w14:textId="7E269DFE"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putting the “</w:t>
            </w:r>
            <w:proofErr w:type="spellStart"/>
            <w:r w:rsidRPr="003C7CB1">
              <w:rPr>
                <w:rFonts w:ascii="Calibri" w:eastAsia="Calibri" w:hAnsi="Calibri" w:cs="Calibri"/>
                <w:bCs/>
              </w:rPr>
              <w:t>Hajla</w:t>
            </w:r>
            <w:proofErr w:type="spellEnd"/>
            <w:r w:rsidRPr="003C7CB1">
              <w:rPr>
                <w:rFonts w:ascii="Calibri" w:eastAsia="Calibri" w:hAnsi="Calibri" w:cs="Calibri"/>
                <w:bCs/>
              </w:rPr>
              <w:t xml:space="preserve"> – </w:t>
            </w:r>
            <w:proofErr w:type="spellStart"/>
            <w:r w:rsidRPr="003C7CB1">
              <w:rPr>
                <w:rFonts w:ascii="Calibri" w:eastAsia="Calibri" w:hAnsi="Calibri" w:cs="Calibri"/>
                <w:bCs/>
              </w:rPr>
              <w:t>Štedim</w:t>
            </w:r>
            <w:proofErr w:type="spellEnd"/>
            <w:r w:rsidRPr="003C7CB1">
              <w:rPr>
                <w:rFonts w:ascii="Calibri" w:eastAsia="Calibri" w:hAnsi="Calibri" w:cs="Calibri"/>
                <w:bCs/>
              </w:rPr>
              <w:t xml:space="preserve">” ski </w:t>
            </w:r>
            <w:r w:rsidR="00AE5C5F" w:rsidRPr="003C7CB1">
              <w:rPr>
                <w:rFonts w:ascii="Calibri" w:eastAsia="Calibri" w:hAnsi="Calibri" w:cs="Calibri"/>
                <w:bCs/>
              </w:rPr>
              <w:t>center into</w:t>
            </w:r>
            <w:r w:rsidRPr="003C7CB1">
              <w:rPr>
                <w:rFonts w:ascii="Calibri" w:eastAsia="Calibri" w:hAnsi="Calibri" w:cs="Calibri"/>
                <w:bCs/>
              </w:rPr>
              <w:t xml:space="preserve"> function </w:t>
            </w:r>
          </w:p>
          <w:p w14:paraId="6AA5A5DC" w14:textId="77777777" w:rsidR="00861CB1" w:rsidRPr="003C7CB1" w:rsidRDefault="00861CB1" w:rsidP="00861CB1">
            <w:pPr>
              <w:contextualSpacing/>
              <w:jc w:val="center"/>
              <w:rPr>
                <w:rFonts w:ascii="Calibri" w:eastAsia="Calibri" w:hAnsi="Calibri" w:cs="Calibri"/>
                <w:bCs/>
              </w:rPr>
            </w:pPr>
          </w:p>
          <w:p w14:paraId="6FD8D3FE"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reports of MED , Public Works Administration and LLC Ski Resorts of Montenegro </w:t>
            </w:r>
          </w:p>
        </w:tc>
        <w:tc>
          <w:tcPr>
            <w:tcW w:w="1494" w:type="dxa"/>
            <w:gridSpan w:val="2"/>
          </w:tcPr>
          <w:p w14:paraId="6C49A6C4"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608F91D5"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2,200,500.00 </w:t>
            </w:r>
          </w:p>
        </w:tc>
      </w:tr>
      <w:tr w:rsidR="00861CB1" w:rsidRPr="003C7CB1" w14:paraId="45A84E53" w14:textId="77777777" w:rsidTr="00861CB1">
        <w:trPr>
          <w:jc w:val="center"/>
        </w:trPr>
        <w:tc>
          <w:tcPr>
            <w:tcW w:w="2122" w:type="dxa"/>
            <w:vMerge/>
            <w:shd w:val="clear" w:color="auto" w:fill="FFFFFF"/>
          </w:tcPr>
          <w:p w14:paraId="1D0C23A4" w14:textId="77777777" w:rsidR="00861CB1" w:rsidRPr="003C7CB1" w:rsidRDefault="00861CB1" w:rsidP="00861CB1">
            <w:pPr>
              <w:contextualSpacing/>
              <w:rPr>
                <w:rFonts w:ascii="Calibri" w:eastAsia="Calibri" w:hAnsi="Calibri" w:cs="Calibri"/>
                <w:b/>
              </w:rPr>
            </w:pPr>
          </w:p>
        </w:tc>
        <w:tc>
          <w:tcPr>
            <w:tcW w:w="1417" w:type="dxa"/>
            <w:gridSpan w:val="2"/>
          </w:tcPr>
          <w:p w14:paraId="75BFFE0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2.1.5 </w:t>
            </w:r>
          </w:p>
        </w:tc>
        <w:tc>
          <w:tcPr>
            <w:tcW w:w="3260" w:type="dxa"/>
            <w:gridSpan w:val="2"/>
          </w:tcPr>
          <w:p w14:paraId="618230C2" w14:textId="77777777" w:rsidR="00861CB1" w:rsidRPr="003C7CB1" w:rsidRDefault="00861CB1" w:rsidP="00861CB1">
            <w:pPr>
              <w:contextualSpacing/>
              <w:jc w:val="both"/>
              <w:rPr>
                <w:rFonts w:ascii="Calibri" w:eastAsia="Calibri" w:hAnsi="Calibri" w:cs="Calibri"/>
                <w:b/>
                <w:bCs/>
              </w:rPr>
            </w:pPr>
            <w:r w:rsidRPr="003C7CB1">
              <w:rPr>
                <w:rFonts w:ascii="Calibri" w:eastAsia="Calibri" w:hAnsi="Calibri" w:cs="Calibri"/>
              </w:rPr>
              <w:t>Continuation of activities on the construction of the “</w:t>
            </w:r>
            <w:proofErr w:type="spellStart"/>
            <w:r w:rsidRPr="003C7CB1">
              <w:rPr>
                <w:rFonts w:ascii="Calibri" w:eastAsia="Calibri" w:hAnsi="Calibri" w:cs="Calibri"/>
              </w:rPr>
              <w:t>Savin</w:t>
            </w:r>
            <w:proofErr w:type="spellEnd"/>
            <w:r w:rsidRPr="003C7CB1">
              <w:rPr>
                <w:rFonts w:ascii="Calibri" w:eastAsia="Calibri" w:hAnsi="Calibri" w:cs="Calibri"/>
              </w:rPr>
              <w:t xml:space="preserve"> </w:t>
            </w:r>
            <w:proofErr w:type="spellStart"/>
            <w:r w:rsidRPr="003C7CB1">
              <w:rPr>
                <w:rFonts w:ascii="Calibri" w:eastAsia="Calibri" w:hAnsi="Calibri" w:cs="Calibri"/>
              </w:rPr>
              <w:t>kuk</w:t>
            </w:r>
            <w:proofErr w:type="spellEnd"/>
            <w:r w:rsidRPr="003C7CB1">
              <w:rPr>
                <w:rFonts w:ascii="Calibri" w:eastAsia="Calibri" w:hAnsi="Calibri" w:cs="Calibri"/>
              </w:rPr>
              <w:t xml:space="preserve">” ski resort in </w:t>
            </w:r>
            <w:proofErr w:type="spellStart"/>
            <w:r w:rsidRPr="003C7CB1">
              <w:rPr>
                <w:rFonts w:ascii="Calibri" w:eastAsia="Calibri" w:hAnsi="Calibri" w:cs="Calibri"/>
              </w:rPr>
              <w:t>Žabljak</w:t>
            </w:r>
            <w:proofErr w:type="spellEnd"/>
          </w:p>
        </w:tc>
        <w:tc>
          <w:tcPr>
            <w:tcW w:w="1843" w:type="dxa"/>
            <w:gridSpan w:val="3"/>
          </w:tcPr>
          <w:p w14:paraId="5A955C04"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w:t>
            </w:r>
          </w:p>
        </w:tc>
        <w:tc>
          <w:tcPr>
            <w:tcW w:w="1703" w:type="dxa"/>
          </w:tcPr>
          <w:p w14:paraId="2EF7E19E"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76972DE8" w14:textId="77777777" w:rsidR="00861CB1" w:rsidRPr="003C7CB1" w:rsidRDefault="00861CB1" w:rsidP="00861CB1">
            <w:pPr>
              <w:spacing w:after="0" w:line="240" w:lineRule="auto"/>
              <w:jc w:val="center"/>
              <w:rPr>
                <w:rFonts w:ascii="Calibri" w:eastAsia="Calibri" w:hAnsi="Calibri" w:cs="Calibri"/>
                <w:bCs/>
              </w:rPr>
            </w:pPr>
          </w:p>
          <w:p w14:paraId="20C91060"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5C85E659"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implemented in the direction of improving the infrastructure within the “</w:t>
            </w:r>
            <w:proofErr w:type="spellStart"/>
            <w:r w:rsidRPr="003C7CB1">
              <w:rPr>
                <w:rFonts w:ascii="Calibri" w:eastAsia="Calibri" w:hAnsi="Calibri" w:cs="Calibri"/>
                <w:bCs/>
              </w:rPr>
              <w:t>Savin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kuk</w:t>
            </w:r>
            <w:proofErr w:type="spellEnd"/>
            <w:r w:rsidRPr="003C7CB1">
              <w:rPr>
                <w:rFonts w:ascii="Calibri" w:eastAsia="Calibri" w:hAnsi="Calibri" w:cs="Calibri"/>
                <w:bCs/>
              </w:rPr>
              <w:t xml:space="preserve">” ski resort </w:t>
            </w:r>
          </w:p>
          <w:p w14:paraId="17E2DC5F" w14:textId="77777777" w:rsidR="00861CB1" w:rsidRPr="003C7CB1" w:rsidRDefault="00861CB1" w:rsidP="00861CB1">
            <w:pPr>
              <w:contextualSpacing/>
              <w:jc w:val="center"/>
              <w:rPr>
                <w:rFonts w:ascii="Calibri" w:eastAsia="Calibri" w:hAnsi="Calibri" w:cs="Calibri"/>
                <w:bCs/>
              </w:rPr>
            </w:pPr>
          </w:p>
          <w:p w14:paraId="752CDB89"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reports of MED and Public Works Administration </w:t>
            </w:r>
          </w:p>
        </w:tc>
        <w:tc>
          <w:tcPr>
            <w:tcW w:w="1494" w:type="dxa"/>
            <w:gridSpan w:val="2"/>
          </w:tcPr>
          <w:p w14:paraId="54EF0B5B"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7193942C"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1,635,400.00 </w:t>
            </w:r>
          </w:p>
        </w:tc>
      </w:tr>
      <w:tr w:rsidR="00861CB1" w:rsidRPr="003C7CB1" w14:paraId="1D7EA5A9" w14:textId="77777777" w:rsidTr="00861CB1">
        <w:trPr>
          <w:jc w:val="center"/>
        </w:trPr>
        <w:tc>
          <w:tcPr>
            <w:tcW w:w="2122" w:type="dxa"/>
            <w:vMerge/>
            <w:shd w:val="clear" w:color="auto" w:fill="FFFFFF"/>
          </w:tcPr>
          <w:p w14:paraId="64D1A72F" w14:textId="77777777" w:rsidR="00861CB1" w:rsidRPr="003C7CB1" w:rsidRDefault="00861CB1" w:rsidP="00861CB1">
            <w:pPr>
              <w:contextualSpacing/>
              <w:rPr>
                <w:rFonts w:ascii="Calibri" w:eastAsia="Calibri" w:hAnsi="Calibri" w:cs="Calibri"/>
                <w:b/>
              </w:rPr>
            </w:pPr>
          </w:p>
        </w:tc>
        <w:tc>
          <w:tcPr>
            <w:tcW w:w="1417" w:type="dxa"/>
            <w:gridSpan w:val="2"/>
          </w:tcPr>
          <w:p w14:paraId="5A07988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2.1.6 </w:t>
            </w:r>
          </w:p>
        </w:tc>
        <w:tc>
          <w:tcPr>
            <w:tcW w:w="3260" w:type="dxa"/>
            <w:gridSpan w:val="2"/>
          </w:tcPr>
          <w:p w14:paraId="707366CE" w14:textId="77777777" w:rsidR="00861CB1" w:rsidRPr="003C7CB1" w:rsidRDefault="00861CB1" w:rsidP="00861CB1">
            <w:pPr>
              <w:contextualSpacing/>
              <w:jc w:val="both"/>
              <w:rPr>
                <w:rFonts w:ascii="Calibri" w:eastAsia="Calibri" w:hAnsi="Calibri" w:cs="Calibri"/>
                <w:bCs/>
              </w:rPr>
            </w:pPr>
            <w:r w:rsidRPr="003C7CB1">
              <w:rPr>
                <w:rFonts w:ascii="Calibri" w:eastAsia="Calibri" w:hAnsi="Calibri" w:cs="Calibri"/>
                <w:bCs/>
              </w:rPr>
              <w:t xml:space="preserve">Construction of a garage for the needs of the “Kolašin 1600” ski center, Kolašin </w:t>
            </w:r>
          </w:p>
        </w:tc>
        <w:tc>
          <w:tcPr>
            <w:tcW w:w="1843" w:type="dxa"/>
            <w:gridSpan w:val="3"/>
          </w:tcPr>
          <w:p w14:paraId="163BDF08"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11E7E27E"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07E8B22D" w14:textId="77777777" w:rsidR="00861CB1" w:rsidRPr="003C7CB1" w:rsidRDefault="00861CB1" w:rsidP="00861CB1">
            <w:pPr>
              <w:spacing w:after="0" w:line="240" w:lineRule="auto"/>
              <w:jc w:val="center"/>
              <w:rPr>
                <w:rFonts w:ascii="Calibri" w:eastAsia="Calibri" w:hAnsi="Calibri" w:cs="Calibri"/>
                <w:bCs/>
              </w:rPr>
            </w:pPr>
          </w:p>
          <w:p w14:paraId="050816E2" w14:textId="77777777" w:rsidR="00861CB1" w:rsidRPr="003C7CB1" w:rsidRDefault="00861CB1" w:rsidP="00861CB1">
            <w:pPr>
              <w:spacing w:after="0" w:line="240" w:lineRule="auto"/>
              <w:jc w:val="center"/>
              <w:rPr>
                <w:rFonts w:ascii="Calibri" w:eastAsia="Calibri" w:hAnsi="Calibri" w:cs="Calibri"/>
                <w:bCs/>
              </w:rPr>
            </w:pPr>
          </w:p>
        </w:tc>
        <w:tc>
          <w:tcPr>
            <w:tcW w:w="1841" w:type="dxa"/>
          </w:tcPr>
          <w:p w14:paraId="226287D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Garage was built within the “Kolašin 1600” ski center </w:t>
            </w:r>
          </w:p>
          <w:p w14:paraId="3902DFC2"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Annual work report of</w:t>
            </w:r>
          </w:p>
          <w:p w14:paraId="3E4EF15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Public Works Administration and LLC Ski Resorts of Montenegro </w:t>
            </w:r>
          </w:p>
        </w:tc>
        <w:tc>
          <w:tcPr>
            <w:tcW w:w="1494" w:type="dxa"/>
            <w:gridSpan w:val="2"/>
          </w:tcPr>
          <w:p w14:paraId="758D649A"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4C596B85"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1,175,300.00 </w:t>
            </w:r>
          </w:p>
        </w:tc>
      </w:tr>
      <w:tr w:rsidR="00861CB1" w:rsidRPr="003C7CB1" w14:paraId="11E7F94F" w14:textId="77777777" w:rsidTr="00861CB1">
        <w:trPr>
          <w:jc w:val="center"/>
        </w:trPr>
        <w:tc>
          <w:tcPr>
            <w:tcW w:w="2122" w:type="dxa"/>
            <w:vMerge/>
            <w:shd w:val="clear" w:color="auto" w:fill="FFFFFF"/>
          </w:tcPr>
          <w:p w14:paraId="1EA5FDCB" w14:textId="77777777" w:rsidR="00861CB1" w:rsidRPr="003C7CB1" w:rsidRDefault="00861CB1" w:rsidP="00861CB1">
            <w:pPr>
              <w:contextualSpacing/>
              <w:rPr>
                <w:rFonts w:ascii="Calibri" w:eastAsia="Calibri" w:hAnsi="Calibri" w:cs="Calibri"/>
                <w:b/>
              </w:rPr>
            </w:pPr>
          </w:p>
        </w:tc>
        <w:tc>
          <w:tcPr>
            <w:tcW w:w="1417" w:type="dxa"/>
            <w:gridSpan w:val="2"/>
          </w:tcPr>
          <w:p w14:paraId="61060D7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2.1.7 </w:t>
            </w:r>
          </w:p>
        </w:tc>
        <w:tc>
          <w:tcPr>
            <w:tcW w:w="3260" w:type="dxa"/>
            <w:gridSpan w:val="2"/>
          </w:tcPr>
          <w:p w14:paraId="403F7B54"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Construction of hydro-technical infrastructure for the needs of the “Kolašin 1600” Ski Center </w:t>
            </w:r>
          </w:p>
          <w:p w14:paraId="5E6B0AF9" w14:textId="77777777" w:rsidR="00861CB1" w:rsidRPr="003C7CB1" w:rsidRDefault="00861CB1" w:rsidP="00861CB1">
            <w:pPr>
              <w:contextualSpacing/>
              <w:rPr>
                <w:rFonts w:ascii="Calibri" w:eastAsia="Calibri" w:hAnsi="Calibri" w:cs="Calibri"/>
                <w:bCs/>
              </w:rPr>
            </w:pPr>
          </w:p>
          <w:p w14:paraId="4B90DAE8" w14:textId="77777777" w:rsidR="00861CB1" w:rsidRPr="003C7CB1" w:rsidRDefault="00861CB1" w:rsidP="00861CB1">
            <w:pPr>
              <w:contextualSpacing/>
              <w:rPr>
                <w:rFonts w:ascii="Calibri" w:eastAsia="Calibri" w:hAnsi="Calibri" w:cs="Calibri"/>
                <w:b/>
                <w:bCs/>
              </w:rPr>
            </w:pPr>
          </w:p>
        </w:tc>
        <w:tc>
          <w:tcPr>
            <w:tcW w:w="1843" w:type="dxa"/>
            <w:gridSpan w:val="3"/>
          </w:tcPr>
          <w:p w14:paraId="0F2AD811"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79AFB939"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6561B09F" w14:textId="77777777" w:rsidR="00861CB1" w:rsidRPr="003C7CB1" w:rsidRDefault="00861CB1" w:rsidP="00861CB1">
            <w:pPr>
              <w:spacing w:after="0" w:line="240" w:lineRule="auto"/>
              <w:jc w:val="center"/>
              <w:rPr>
                <w:rFonts w:ascii="Calibri" w:eastAsia="Calibri" w:hAnsi="Calibri" w:cs="Calibri"/>
                <w:bCs/>
              </w:rPr>
            </w:pPr>
          </w:p>
          <w:p w14:paraId="6FC1B9C5"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7600BDF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have been implemented in the direction of providing hydro-technical infrastructure</w:t>
            </w:r>
          </w:p>
          <w:p w14:paraId="158583D4" w14:textId="77777777" w:rsidR="00861CB1" w:rsidRPr="003C7CB1" w:rsidRDefault="00861CB1" w:rsidP="00861CB1">
            <w:pPr>
              <w:contextualSpacing/>
              <w:jc w:val="center"/>
              <w:rPr>
                <w:rFonts w:ascii="Calibri" w:eastAsia="Calibri" w:hAnsi="Calibri" w:cs="Calibri"/>
                <w:bCs/>
              </w:rPr>
            </w:pPr>
          </w:p>
          <w:p w14:paraId="3E1F2BA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Annual work report of</w:t>
            </w:r>
          </w:p>
          <w:p w14:paraId="4CDAF5D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Public Works Administration and LLC Ski Resorts of Montenegro </w:t>
            </w:r>
          </w:p>
        </w:tc>
        <w:tc>
          <w:tcPr>
            <w:tcW w:w="1494" w:type="dxa"/>
            <w:gridSpan w:val="2"/>
          </w:tcPr>
          <w:p w14:paraId="071543B2"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55D2C54D"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950,200.00 </w:t>
            </w:r>
          </w:p>
        </w:tc>
      </w:tr>
      <w:tr w:rsidR="00861CB1" w:rsidRPr="003C7CB1" w14:paraId="35EB4C62" w14:textId="77777777" w:rsidTr="00861CB1">
        <w:trPr>
          <w:jc w:val="center"/>
        </w:trPr>
        <w:tc>
          <w:tcPr>
            <w:tcW w:w="2122" w:type="dxa"/>
            <w:vMerge/>
            <w:shd w:val="clear" w:color="auto" w:fill="FFFFFF"/>
          </w:tcPr>
          <w:p w14:paraId="0B54197A" w14:textId="77777777" w:rsidR="00861CB1" w:rsidRPr="003C7CB1" w:rsidRDefault="00861CB1" w:rsidP="00861CB1">
            <w:pPr>
              <w:contextualSpacing/>
              <w:rPr>
                <w:rFonts w:ascii="Calibri" w:eastAsia="Calibri" w:hAnsi="Calibri" w:cs="Calibri"/>
                <w:b/>
              </w:rPr>
            </w:pPr>
          </w:p>
        </w:tc>
        <w:tc>
          <w:tcPr>
            <w:tcW w:w="1417" w:type="dxa"/>
            <w:gridSpan w:val="2"/>
          </w:tcPr>
          <w:p w14:paraId="346225A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2.1.8 </w:t>
            </w:r>
          </w:p>
        </w:tc>
        <w:tc>
          <w:tcPr>
            <w:tcW w:w="3260" w:type="dxa"/>
            <w:gridSpan w:val="2"/>
          </w:tcPr>
          <w:p w14:paraId="344A4FD4" w14:textId="77777777" w:rsidR="00861CB1" w:rsidRPr="003C7CB1" w:rsidRDefault="00861CB1" w:rsidP="00861CB1">
            <w:pPr>
              <w:contextualSpacing/>
              <w:jc w:val="both"/>
              <w:rPr>
                <w:rFonts w:ascii="Calibri" w:eastAsia="Calibri" w:hAnsi="Calibri" w:cs="Calibri"/>
                <w:bCs/>
              </w:rPr>
            </w:pPr>
            <w:r w:rsidRPr="003C7CB1">
              <w:rPr>
                <w:rFonts w:ascii="Calibri" w:eastAsia="Calibri" w:hAnsi="Calibri" w:cs="Calibri"/>
                <w:bCs/>
              </w:rPr>
              <w:t>Construction of infrastructure for the needs of connecting the “</w:t>
            </w:r>
            <w:proofErr w:type="spellStart"/>
            <w:r w:rsidRPr="003C7CB1">
              <w:rPr>
                <w:rFonts w:ascii="Calibri" w:eastAsia="Calibri" w:hAnsi="Calibri" w:cs="Calibri"/>
                <w:bCs/>
              </w:rPr>
              <w:t>Cmiljača</w:t>
            </w:r>
            <w:proofErr w:type="spellEnd"/>
            <w:r w:rsidRPr="003C7CB1">
              <w:rPr>
                <w:rFonts w:ascii="Calibri" w:eastAsia="Calibri" w:hAnsi="Calibri" w:cs="Calibri"/>
                <w:bCs/>
              </w:rPr>
              <w:t>” and “</w:t>
            </w:r>
            <w:proofErr w:type="spellStart"/>
            <w:r w:rsidRPr="003C7CB1">
              <w:rPr>
                <w:rFonts w:ascii="Calibri" w:eastAsia="Calibri" w:hAnsi="Calibri" w:cs="Calibri"/>
                <w:bCs/>
              </w:rPr>
              <w:t>Žarski</w:t>
            </w:r>
            <w:proofErr w:type="spellEnd"/>
            <w:r w:rsidRPr="003C7CB1">
              <w:rPr>
                <w:rFonts w:ascii="Calibri" w:eastAsia="Calibri" w:hAnsi="Calibri" w:cs="Calibri"/>
                <w:bCs/>
              </w:rPr>
              <w:t xml:space="preserve">” ski centers </w:t>
            </w:r>
          </w:p>
        </w:tc>
        <w:tc>
          <w:tcPr>
            <w:tcW w:w="1843" w:type="dxa"/>
            <w:gridSpan w:val="3"/>
          </w:tcPr>
          <w:p w14:paraId="21E556A7"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763A07F3"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2B4FF9D4" w14:textId="77777777" w:rsidR="00861CB1" w:rsidRPr="003C7CB1" w:rsidRDefault="00861CB1" w:rsidP="00861CB1">
            <w:pPr>
              <w:spacing w:after="0" w:line="240" w:lineRule="auto"/>
              <w:jc w:val="center"/>
              <w:rPr>
                <w:rFonts w:ascii="Calibri" w:eastAsia="Calibri" w:hAnsi="Calibri" w:cs="Calibri"/>
                <w:bCs/>
              </w:rPr>
            </w:pPr>
          </w:p>
          <w:p w14:paraId="362FF9EE"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6993F6F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connecting the “</w:t>
            </w:r>
            <w:proofErr w:type="spellStart"/>
            <w:r w:rsidRPr="003C7CB1">
              <w:rPr>
                <w:rFonts w:ascii="Calibri" w:eastAsia="Calibri" w:hAnsi="Calibri" w:cs="Calibri"/>
                <w:bCs/>
              </w:rPr>
              <w:t>Cmiljača</w:t>
            </w:r>
            <w:proofErr w:type="spellEnd"/>
            <w:r w:rsidRPr="003C7CB1">
              <w:rPr>
                <w:rFonts w:ascii="Calibri" w:eastAsia="Calibri" w:hAnsi="Calibri" w:cs="Calibri"/>
                <w:bCs/>
              </w:rPr>
              <w:t>” and “</w:t>
            </w:r>
            <w:proofErr w:type="spellStart"/>
            <w:r w:rsidRPr="003C7CB1">
              <w:rPr>
                <w:rFonts w:ascii="Calibri" w:eastAsia="Calibri" w:hAnsi="Calibri" w:cs="Calibri"/>
                <w:bCs/>
              </w:rPr>
              <w:t>Žarski</w:t>
            </w:r>
            <w:proofErr w:type="spellEnd"/>
            <w:r w:rsidRPr="003C7CB1">
              <w:rPr>
                <w:rFonts w:ascii="Calibri" w:eastAsia="Calibri" w:hAnsi="Calibri" w:cs="Calibri"/>
                <w:bCs/>
              </w:rPr>
              <w:t xml:space="preserve">” ski centers </w:t>
            </w:r>
          </w:p>
          <w:p w14:paraId="6C76B4A7" w14:textId="77777777" w:rsidR="00861CB1" w:rsidRPr="003C7CB1" w:rsidRDefault="00861CB1" w:rsidP="00861CB1">
            <w:pPr>
              <w:contextualSpacing/>
              <w:jc w:val="center"/>
              <w:rPr>
                <w:rFonts w:ascii="Calibri" w:eastAsia="Calibri" w:hAnsi="Calibri" w:cs="Calibri"/>
                <w:bCs/>
              </w:rPr>
            </w:pPr>
          </w:p>
          <w:p w14:paraId="20FD50B9"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lastRenderedPageBreak/>
              <w:t>Annual work report of</w:t>
            </w:r>
          </w:p>
          <w:p w14:paraId="310E8BF8"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and Public Works Administration </w:t>
            </w:r>
          </w:p>
        </w:tc>
        <w:tc>
          <w:tcPr>
            <w:tcW w:w="1494" w:type="dxa"/>
            <w:gridSpan w:val="2"/>
          </w:tcPr>
          <w:p w14:paraId="161C7CDE"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lastRenderedPageBreak/>
              <w:t>Capital budget for 2022:</w:t>
            </w:r>
          </w:p>
          <w:p w14:paraId="5DEF06F8"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50,200.00 </w:t>
            </w:r>
          </w:p>
        </w:tc>
      </w:tr>
      <w:tr w:rsidR="00861CB1" w:rsidRPr="003C7CB1" w14:paraId="4BE95D7C" w14:textId="77777777" w:rsidTr="00861CB1">
        <w:trPr>
          <w:trHeight w:val="1501"/>
          <w:jc w:val="center"/>
        </w:trPr>
        <w:tc>
          <w:tcPr>
            <w:tcW w:w="2122" w:type="dxa"/>
            <w:vMerge/>
            <w:shd w:val="clear" w:color="auto" w:fill="FFFFFF"/>
          </w:tcPr>
          <w:p w14:paraId="1EDE21D9" w14:textId="77777777" w:rsidR="00861CB1" w:rsidRPr="003C7CB1" w:rsidRDefault="00861CB1" w:rsidP="00861CB1">
            <w:pPr>
              <w:contextualSpacing/>
              <w:rPr>
                <w:rFonts w:ascii="Calibri" w:eastAsia="Calibri" w:hAnsi="Calibri" w:cs="Calibri"/>
                <w:b/>
              </w:rPr>
            </w:pPr>
          </w:p>
        </w:tc>
        <w:tc>
          <w:tcPr>
            <w:tcW w:w="1417" w:type="dxa"/>
            <w:gridSpan w:val="2"/>
          </w:tcPr>
          <w:p w14:paraId="4AC537EE"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2.1.9 </w:t>
            </w:r>
          </w:p>
        </w:tc>
        <w:tc>
          <w:tcPr>
            <w:tcW w:w="3260" w:type="dxa"/>
            <w:gridSpan w:val="2"/>
          </w:tcPr>
          <w:p w14:paraId="0AFF84D9"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Reconstruction of the existing cable car / construction of a new cable car along the existing route at the “</w:t>
            </w:r>
            <w:proofErr w:type="spellStart"/>
            <w:r w:rsidRPr="003C7CB1">
              <w:rPr>
                <w:rFonts w:ascii="Calibri" w:eastAsia="Calibri" w:hAnsi="Calibri" w:cs="Calibri"/>
                <w:bCs/>
              </w:rPr>
              <w:t>Savin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kuk</w:t>
            </w:r>
            <w:proofErr w:type="spellEnd"/>
            <w:r w:rsidRPr="003C7CB1">
              <w:rPr>
                <w:rFonts w:ascii="Calibri" w:eastAsia="Calibri" w:hAnsi="Calibri" w:cs="Calibri"/>
                <w:bCs/>
              </w:rPr>
              <w:t xml:space="preserve">” ski resort in </w:t>
            </w:r>
            <w:proofErr w:type="spellStart"/>
            <w:r w:rsidRPr="003C7CB1">
              <w:rPr>
                <w:rFonts w:ascii="Calibri" w:eastAsia="Calibri" w:hAnsi="Calibri" w:cs="Calibri"/>
                <w:bCs/>
              </w:rPr>
              <w:t>Žabljak</w:t>
            </w:r>
            <w:proofErr w:type="spellEnd"/>
            <w:r w:rsidRPr="003C7CB1">
              <w:rPr>
                <w:rFonts w:ascii="Calibri" w:eastAsia="Calibri" w:hAnsi="Calibri" w:cs="Calibri"/>
                <w:bCs/>
              </w:rPr>
              <w:t xml:space="preserve"> </w:t>
            </w:r>
          </w:p>
          <w:p w14:paraId="07983514" w14:textId="77777777" w:rsidR="00861CB1" w:rsidRPr="003C7CB1" w:rsidRDefault="00861CB1" w:rsidP="00861CB1">
            <w:pPr>
              <w:contextualSpacing/>
              <w:rPr>
                <w:rFonts w:ascii="Calibri" w:eastAsia="Calibri" w:hAnsi="Calibri" w:cs="Calibri"/>
                <w:bCs/>
              </w:rPr>
            </w:pPr>
          </w:p>
          <w:p w14:paraId="7538F53D" w14:textId="77777777" w:rsidR="00861CB1" w:rsidRPr="003C7CB1" w:rsidRDefault="00861CB1" w:rsidP="00861CB1">
            <w:pPr>
              <w:contextualSpacing/>
              <w:rPr>
                <w:rFonts w:ascii="Calibri" w:eastAsia="Calibri" w:hAnsi="Calibri" w:cs="Calibri"/>
                <w:b/>
                <w:bCs/>
              </w:rPr>
            </w:pPr>
          </w:p>
        </w:tc>
        <w:tc>
          <w:tcPr>
            <w:tcW w:w="1843" w:type="dxa"/>
            <w:gridSpan w:val="3"/>
          </w:tcPr>
          <w:p w14:paraId="25250F1C"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LLC Ski Resorts of Montenegro </w:t>
            </w:r>
          </w:p>
        </w:tc>
        <w:tc>
          <w:tcPr>
            <w:tcW w:w="1703" w:type="dxa"/>
          </w:tcPr>
          <w:p w14:paraId="19C17905"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2E4C721C" w14:textId="77777777" w:rsidR="00861CB1" w:rsidRPr="003C7CB1" w:rsidRDefault="00861CB1" w:rsidP="00861CB1">
            <w:pPr>
              <w:spacing w:after="0" w:line="240" w:lineRule="auto"/>
              <w:jc w:val="center"/>
              <w:rPr>
                <w:rFonts w:ascii="Calibri" w:eastAsia="Calibri" w:hAnsi="Calibri" w:cs="Calibri"/>
                <w:bCs/>
              </w:rPr>
            </w:pPr>
          </w:p>
          <w:p w14:paraId="45C265FA"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4DCEFE70"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reconstruction of the existing and construction of the new cable car in “</w:t>
            </w:r>
            <w:proofErr w:type="spellStart"/>
            <w:r w:rsidRPr="003C7CB1">
              <w:rPr>
                <w:rFonts w:ascii="Calibri" w:eastAsia="Calibri" w:hAnsi="Calibri" w:cs="Calibri"/>
                <w:bCs/>
              </w:rPr>
              <w:t>Savin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kuk</w:t>
            </w:r>
            <w:proofErr w:type="spellEnd"/>
            <w:r w:rsidRPr="003C7CB1">
              <w:rPr>
                <w:rFonts w:ascii="Calibri" w:eastAsia="Calibri" w:hAnsi="Calibri" w:cs="Calibri"/>
                <w:bCs/>
              </w:rPr>
              <w:t xml:space="preserve">” </w:t>
            </w:r>
          </w:p>
          <w:p w14:paraId="1903E7A1" w14:textId="77777777" w:rsidR="00861CB1" w:rsidRPr="003C7CB1" w:rsidRDefault="00861CB1" w:rsidP="00861CB1">
            <w:pPr>
              <w:contextualSpacing/>
              <w:jc w:val="center"/>
              <w:rPr>
                <w:rFonts w:ascii="Calibri" w:eastAsia="Calibri" w:hAnsi="Calibri" w:cs="Calibri"/>
                <w:bCs/>
              </w:rPr>
            </w:pPr>
          </w:p>
          <w:p w14:paraId="45D9D644"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MED and Public Works Administration </w:t>
            </w:r>
          </w:p>
        </w:tc>
        <w:tc>
          <w:tcPr>
            <w:tcW w:w="1494" w:type="dxa"/>
            <w:gridSpan w:val="2"/>
          </w:tcPr>
          <w:p w14:paraId="50FDD32E"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349B7BCE"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900,100.00 </w:t>
            </w:r>
          </w:p>
        </w:tc>
      </w:tr>
      <w:tr w:rsidR="00861CB1" w:rsidRPr="003C7CB1" w14:paraId="2A9471E9" w14:textId="77777777" w:rsidTr="00861CB1">
        <w:trPr>
          <w:jc w:val="center"/>
        </w:trPr>
        <w:tc>
          <w:tcPr>
            <w:tcW w:w="2122" w:type="dxa"/>
            <w:vMerge/>
            <w:shd w:val="clear" w:color="auto" w:fill="FFFFFF"/>
          </w:tcPr>
          <w:p w14:paraId="52B43B1B" w14:textId="77777777" w:rsidR="00861CB1" w:rsidRPr="003C7CB1" w:rsidRDefault="00861CB1" w:rsidP="00861CB1">
            <w:pPr>
              <w:contextualSpacing/>
              <w:rPr>
                <w:rFonts w:ascii="Calibri" w:eastAsia="Calibri" w:hAnsi="Calibri" w:cs="Calibri"/>
                <w:b/>
              </w:rPr>
            </w:pPr>
          </w:p>
        </w:tc>
        <w:tc>
          <w:tcPr>
            <w:tcW w:w="1417" w:type="dxa"/>
            <w:gridSpan w:val="2"/>
          </w:tcPr>
          <w:p w14:paraId="674C6B93"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2.1.10 </w:t>
            </w:r>
          </w:p>
        </w:tc>
        <w:tc>
          <w:tcPr>
            <w:tcW w:w="3260" w:type="dxa"/>
            <w:gridSpan w:val="2"/>
          </w:tcPr>
          <w:p w14:paraId="79C7CE66" w14:textId="77777777" w:rsidR="00861CB1" w:rsidRPr="003C7CB1" w:rsidRDefault="00861CB1" w:rsidP="00861CB1">
            <w:pPr>
              <w:contextualSpacing/>
              <w:jc w:val="both"/>
              <w:rPr>
                <w:rFonts w:ascii="Calibri" w:eastAsia="Calibri" w:hAnsi="Calibri" w:cs="Calibri"/>
                <w:bCs/>
              </w:rPr>
            </w:pPr>
            <w:r w:rsidRPr="003C7CB1">
              <w:rPr>
                <w:rFonts w:ascii="Calibri" w:eastAsia="Calibri" w:hAnsi="Calibri" w:cs="Calibri"/>
                <w:bCs/>
              </w:rPr>
              <w:t>Construction of ski slopes within the “</w:t>
            </w:r>
            <w:proofErr w:type="spellStart"/>
            <w:r w:rsidRPr="003C7CB1">
              <w:rPr>
                <w:rFonts w:ascii="Calibri" w:eastAsia="Calibri" w:hAnsi="Calibri" w:cs="Calibri"/>
                <w:bCs/>
              </w:rPr>
              <w:t>Savin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kuk</w:t>
            </w:r>
            <w:proofErr w:type="spellEnd"/>
            <w:r w:rsidRPr="003C7CB1">
              <w:rPr>
                <w:rFonts w:ascii="Calibri" w:eastAsia="Calibri" w:hAnsi="Calibri" w:cs="Calibri"/>
                <w:bCs/>
              </w:rPr>
              <w:t xml:space="preserve">” ski resort </w:t>
            </w:r>
          </w:p>
          <w:p w14:paraId="014623C2" w14:textId="77777777" w:rsidR="00861CB1" w:rsidRPr="003C7CB1" w:rsidRDefault="00861CB1" w:rsidP="00861CB1">
            <w:pPr>
              <w:contextualSpacing/>
              <w:jc w:val="both"/>
              <w:rPr>
                <w:rFonts w:ascii="Calibri" w:eastAsia="Calibri" w:hAnsi="Calibri" w:cs="Calibri"/>
                <w:bCs/>
              </w:rPr>
            </w:pPr>
          </w:p>
          <w:p w14:paraId="7AD670F6" w14:textId="77777777" w:rsidR="00861CB1" w:rsidRPr="003C7CB1" w:rsidRDefault="00861CB1" w:rsidP="00861CB1">
            <w:pPr>
              <w:contextualSpacing/>
              <w:jc w:val="both"/>
              <w:rPr>
                <w:rFonts w:ascii="Calibri" w:eastAsia="Calibri" w:hAnsi="Calibri" w:cs="Calibri"/>
                <w:b/>
                <w:bCs/>
              </w:rPr>
            </w:pPr>
          </w:p>
        </w:tc>
        <w:tc>
          <w:tcPr>
            <w:tcW w:w="1843" w:type="dxa"/>
            <w:gridSpan w:val="3"/>
          </w:tcPr>
          <w:p w14:paraId="0FB88302"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LLC Ski Resorts of Montenegro </w:t>
            </w:r>
          </w:p>
        </w:tc>
        <w:tc>
          <w:tcPr>
            <w:tcW w:w="1703" w:type="dxa"/>
          </w:tcPr>
          <w:p w14:paraId="3486A97C"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2D20D802" w14:textId="77777777" w:rsidR="00861CB1" w:rsidRPr="003C7CB1" w:rsidRDefault="00861CB1" w:rsidP="00861CB1">
            <w:pPr>
              <w:spacing w:after="0" w:line="240" w:lineRule="auto"/>
              <w:jc w:val="center"/>
              <w:rPr>
                <w:rFonts w:ascii="Calibri" w:eastAsia="Calibri" w:hAnsi="Calibri" w:cs="Calibri"/>
                <w:bCs/>
              </w:rPr>
            </w:pPr>
          </w:p>
          <w:p w14:paraId="600B9606"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w:t>
            </w:r>
            <w:r w:rsidRPr="003C7CB1">
              <w:rPr>
                <w:rFonts w:ascii="Calibri" w:eastAsia="Calibri" w:hAnsi="Calibri" w:cs="Calibri"/>
                <w:b/>
                <w:bCs/>
              </w:rPr>
              <w:lastRenderedPageBreak/>
              <w:t xml:space="preserve">of the next AP Strategy </w:t>
            </w:r>
          </w:p>
        </w:tc>
        <w:tc>
          <w:tcPr>
            <w:tcW w:w="1841" w:type="dxa"/>
          </w:tcPr>
          <w:p w14:paraId="3787411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lastRenderedPageBreak/>
              <w:t xml:space="preserve">Number of activities that were implemented in the direction of construction of ski slopes within </w:t>
            </w:r>
            <w:r w:rsidRPr="003C7CB1">
              <w:rPr>
                <w:rFonts w:ascii="Calibri" w:eastAsia="Calibri" w:hAnsi="Calibri" w:cs="Calibri"/>
                <w:bCs/>
              </w:rPr>
              <w:lastRenderedPageBreak/>
              <w:t>the “</w:t>
            </w:r>
            <w:proofErr w:type="spellStart"/>
            <w:r w:rsidRPr="003C7CB1">
              <w:rPr>
                <w:rFonts w:ascii="Calibri" w:eastAsia="Calibri" w:hAnsi="Calibri" w:cs="Calibri"/>
                <w:bCs/>
              </w:rPr>
              <w:t>Savin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kuk</w:t>
            </w:r>
            <w:proofErr w:type="spellEnd"/>
            <w:r w:rsidRPr="003C7CB1">
              <w:rPr>
                <w:rFonts w:ascii="Calibri" w:eastAsia="Calibri" w:hAnsi="Calibri" w:cs="Calibri"/>
                <w:bCs/>
              </w:rPr>
              <w:t xml:space="preserve">” ski resort </w:t>
            </w:r>
          </w:p>
          <w:p w14:paraId="5AD8F22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MED and Public Works Administration </w:t>
            </w:r>
          </w:p>
        </w:tc>
        <w:tc>
          <w:tcPr>
            <w:tcW w:w="1494" w:type="dxa"/>
            <w:gridSpan w:val="2"/>
          </w:tcPr>
          <w:p w14:paraId="4FCFE551"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lastRenderedPageBreak/>
              <w:t>Capital budget for 2022:</w:t>
            </w:r>
          </w:p>
          <w:p w14:paraId="759D3202"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300,100.00 </w:t>
            </w:r>
          </w:p>
        </w:tc>
      </w:tr>
      <w:tr w:rsidR="00861CB1" w:rsidRPr="003C7CB1" w14:paraId="032C225F" w14:textId="77777777" w:rsidTr="00861CB1">
        <w:trPr>
          <w:jc w:val="center"/>
        </w:trPr>
        <w:tc>
          <w:tcPr>
            <w:tcW w:w="2122" w:type="dxa"/>
            <w:vMerge/>
            <w:shd w:val="clear" w:color="auto" w:fill="FFFFFF"/>
          </w:tcPr>
          <w:p w14:paraId="1BE2C2CD" w14:textId="77777777" w:rsidR="00861CB1" w:rsidRPr="003C7CB1" w:rsidRDefault="00861CB1" w:rsidP="00861CB1">
            <w:pPr>
              <w:contextualSpacing/>
              <w:rPr>
                <w:rFonts w:ascii="Calibri" w:eastAsia="Calibri" w:hAnsi="Calibri" w:cs="Calibri"/>
                <w:b/>
              </w:rPr>
            </w:pPr>
          </w:p>
        </w:tc>
        <w:tc>
          <w:tcPr>
            <w:tcW w:w="1417" w:type="dxa"/>
            <w:gridSpan w:val="2"/>
          </w:tcPr>
          <w:p w14:paraId="6557ED1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2.1.11 </w:t>
            </w:r>
          </w:p>
        </w:tc>
        <w:tc>
          <w:tcPr>
            <w:tcW w:w="3260" w:type="dxa"/>
            <w:gridSpan w:val="2"/>
          </w:tcPr>
          <w:p w14:paraId="792E80A9"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Construction of assembly/disassembly bobsleigh on rails at the “Kolašin 1600” ski center </w:t>
            </w:r>
          </w:p>
          <w:p w14:paraId="080ACB49" w14:textId="77777777" w:rsidR="00861CB1" w:rsidRPr="003C7CB1" w:rsidRDefault="00861CB1" w:rsidP="00861CB1">
            <w:pPr>
              <w:contextualSpacing/>
              <w:rPr>
                <w:rFonts w:ascii="Calibri" w:eastAsia="Calibri" w:hAnsi="Calibri" w:cs="Calibri"/>
                <w:bCs/>
              </w:rPr>
            </w:pPr>
          </w:p>
          <w:p w14:paraId="2125549C" w14:textId="77777777" w:rsidR="00861CB1" w:rsidRPr="003C7CB1" w:rsidRDefault="00861CB1" w:rsidP="00861CB1">
            <w:pPr>
              <w:contextualSpacing/>
              <w:rPr>
                <w:rFonts w:ascii="Calibri" w:eastAsia="Calibri" w:hAnsi="Calibri" w:cs="Calibri"/>
                <w:bCs/>
              </w:rPr>
            </w:pPr>
          </w:p>
          <w:p w14:paraId="302BBB24" w14:textId="77777777" w:rsidR="00861CB1" w:rsidRPr="003C7CB1" w:rsidRDefault="00861CB1" w:rsidP="00861CB1">
            <w:pPr>
              <w:contextualSpacing/>
              <w:rPr>
                <w:rFonts w:ascii="Calibri" w:eastAsia="Calibri" w:hAnsi="Calibri" w:cs="Calibri"/>
                <w:b/>
                <w:bCs/>
              </w:rPr>
            </w:pPr>
          </w:p>
        </w:tc>
        <w:tc>
          <w:tcPr>
            <w:tcW w:w="1843" w:type="dxa"/>
            <w:gridSpan w:val="3"/>
          </w:tcPr>
          <w:p w14:paraId="18B71F16"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MED  /  Public Works Administration / LLC Ski Resorts of Montenegro </w:t>
            </w:r>
          </w:p>
        </w:tc>
        <w:tc>
          <w:tcPr>
            <w:tcW w:w="1703" w:type="dxa"/>
          </w:tcPr>
          <w:p w14:paraId="44303BA6"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096D330A" w14:textId="77777777" w:rsidR="00861CB1" w:rsidRPr="003C7CB1" w:rsidRDefault="00861CB1" w:rsidP="00861CB1">
            <w:pPr>
              <w:spacing w:after="0" w:line="240" w:lineRule="auto"/>
              <w:jc w:val="center"/>
              <w:rPr>
                <w:rFonts w:ascii="Calibri" w:eastAsia="Calibri" w:hAnsi="Calibri" w:cs="Calibri"/>
                <w:bCs/>
              </w:rPr>
            </w:pPr>
          </w:p>
          <w:p w14:paraId="3D4BB10B" w14:textId="77777777" w:rsidR="00861CB1" w:rsidRPr="003C7CB1" w:rsidRDefault="00861CB1" w:rsidP="00861CB1">
            <w:pPr>
              <w:spacing w:after="0" w:line="240" w:lineRule="auto"/>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of the next AP Strategy </w:t>
            </w:r>
          </w:p>
        </w:tc>
        <w:tc>
          <w:tcPr>
            <w:tcW w:w="1841" w:type="dxa"/>
          </w:tcPr>
          <w:p w14:paraId="1BD3C57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construction of assembly/disassembly bobsleigh within the “</w:t>
            </w:r>
            <w:proofErr w:type="spellStart"/>
            <w:r w:rsidRPr="003C7CB1">
              <w:rPr>
                <w:rFonts w:ascii="Calibri" w:eastAsia="Calibri" w:hAnsi="Calibri" w:cs="Calibri"/>
                <w:bCs/>
              </w:rPr>
              <w:t>Savin</w:t>
            </w:r>
            <w:proofErr w:type="spellEnd"/>
            <w:r w:rsidRPr="003C7CB1">
              <w:rPr>
                <w:rFonts w:ascii="Calibri" w:eastAsia="Calibri" w:hAnsi="Calibri" w:cs="Calibri"/>
                <w:bCs/>
              </w:rPr>
              <w:t xml:space="preserve"> </w:t>
            </w:r>
            <w:proofErr w:type="spellStart"/>
            <w:r w:rsidRPr="003C7CB1">
              <w:rPr>
                <w:rFonts w:ascii="Calibri" w:eastAsia="Calibri" w:hAnsi="Calibri" w:cs="Calibri"/>
                <w:bCs/>
              </w:rPr>
              <w:t>kuk</w:t>
            </w:r>
            <w:proofErr w:type="spellEnd"/>
            <w:r w:rsidRPr="003C7CB1">
              <w:rPr>
                <w:rFonts w:ascii="Calibri" w:eastAsia="Calibri" w:hAnsi="Calibri" w:cs="Calibri"/>
                <w:bCs/>
              </w:rPr>
              <w:t xml:space="preserve">” ski resort </w:t>
            </w:r>
          </w:p>
          <w:p w14:paraId="264C4C17"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Annual work report of</w:t>
            </w:r>
          </w:p>
          <w:p w14:paraId="580FD59C"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Public Works Administration and LLC Ski Resorts of Montenegro </w:t>
            </w:r>
          </w:p>
        </w:tc>
        <w:tc>
          <w:tcPr>
            <w:tcW w:w="1494" w:type="dxa"/>
            <w:gridSpan w:val="2"/>
          </w:tcPr>
          <w:p w14:paraId="7282B7E8"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1BD63140"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510,000.00 </w:t>
            </w:r>
          </w:p>
        </w:tc>
      </w:tr>
      <w:tr w:rsidR="00861CB1" w:rsidRPr="003C7CB1" w14:paraId="4E917DDB" w14:textId="77777777" w:rsidTr="00861CB1">
        <w:trPr>
          <w:trHeight w:val="3422"/>
          <w:jc w:val="center"/>
        </w:trPr>
        <w:tc>
          <w:tcPr>
            <w:tcW w:w="2122" w:type="dxa"/>
            <w:vMerge/>
            <w:shd w:val="clear" w:color="auto" w:fill="FFFFFF"/>
          </w:tcPr>
          <w:p w14:paraId="4F2F39E1" w14:textId="77777777" w:rsidR="00861CB1" w:rsidRPr="003C7CB1" w:rsidRDefault="00861CB1" w:rsidP="00861CB1">
            <w:pPr>
              <w:contextualSpacing/>
              <w:rPr>
                <w:rFonts w:ascii="Calibri" w:eastAsia="Calibri" w:hAnsi="Calibri" w:cs="Calibri"/>
                <w:b/>
              </w:rPr>
            </w:pPr>
          </w:p>
        </w:tc>
        <w:tc>
          <w:tcPr>
            <w:tcW w:w="1417" w:type="dxa"/>
            <w:gridSpan w:val="2"/>
          </w:tcPr>
          <w:p w14:paraId="61CC3C63"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2.1.12 </w:t>
            </w:r>
          </w:p>
        </w:tc>
        <w:tc>
          <w:tcPr>
            <w:tcW w:w="3260" w:type="dxa"/>
            <w:gridSpan w:val="2"/>
          </w:tcPr>
          <w:p w14:paraId="73359607"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Continuation of construction on the speleological object of </w:t>
            </w:r>
            <w:proofErr w:type="spellStart"/>
            <w:r w:rsidRPr="003C7CB1">
              <w:rPr>
                <w:rFonts w:ascii="Calibri" w:eastAsia="Calibri" w:hAnsi="Calibri" w:cs="Calibri"/>
                <w:bCs/>
              </w:rPr>
              <w:t>Đalovića</w:t>
            </w:r>
            <w:proofErr w:type="spellEnd"/>
            <w:r w:rsidRPr="003C7CB1">
              <w:rPr>
                <w:rFonts w:ascii="Calibri" w:eastAsia="Calibri" w:hAnsi="Calibri" w:cs="Calibri"/>
                <w:bCs/>
              </w:rPr>
              <w:t xml:space="preserve"> cave </w:t>
            </w:r>
          </w:p>
          <w:p w14:paraId="69C9723E" w14:textId="77777777" w:rsidR="00861CB1" w:rsidRPr="003C7CB1" w:rsidRDefault="00861CB1" w:rsidP="00861CB1">
            <w:pPr>
              <w:contextualSpacing/>
              <w:rPr>
                <w:rFonts w:ascii="Calibri" w:eastAsia="Calibri" w:hAnsi="Calibri" w:cs="Calibri"/>
                <w:bCs/>
              </w:rPr>
            </w:pPr>
          </w:p>
          <w:p w14:paraId="70309D58" w14:textId="77777777" w:rsidR="00861CB1" w:rsidRPr="003C7CB1" w:rsidRDefault="00861CB1" w:rsidP="00861CB1">
            <w:pPr>
              <w:contextualSpacing/>
              <w:rPr>
                <w:rFonts w:ascii="Calibri" w:eastAsia="Calibri" w:hAnsi="Calibri" w:cs="Calibri"/>
                <w:b/>
                <w:bCs/>
              </w:rPr>
            </w:pPr>
          </w:p>
        </w:tc>
        <w:tc>
          <w:tcPr>
            <w:tcW w:w="1843" w:type="dxa"/>
            <w:gridSpan w:val="3"/>
          </w:tcPr>
          <w:p w14:paraId="14113D98"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bCs/>
              </w:rPr>
              <w:t xml:space="preserve">MED  /  Public Works Administration </w:t>
            </w:r>
          </w:p>
        </w:tc>
        <w:tc>
          <w:tcPr>
            <w:tcW w:w="1703" w:type="dxa"/>
          </w:tcPr>
          <w:p w14:paraId="7474B72C" w14:textId="77777777" w:rsidR="00861CB1" w:rsidRPr="003C7CB1" w:rsidRDefault="00861CB1" w:rsidP="00861CB1">
            <w:pPr>
              <w:spacing w:after="0" w:line="240" w:lineRule="auto"/>
              <w:jc w:val="center"/>
              <w:rPr>
                <w:rFonts w:ascii="Calibri" w:eastAsia="Calibri" w:hAnsi="Calibri" w:cs="Calibri"/>
                <w:bCs/>
              </w:rPr>
            </w:pPr>
            <w:r w:rsidRPr="003C7CB1">
              <w:rPr>
                <w:rFonts w:ascii="Calibri" w:eastAsia="Calibri" w:hAnsi="Calibri" w:cs="Calibri"/>
                <w:bCs/>
              </w:rPr>
              <w:t xml:space="preserve">I Q – IV Q 2022 </w:t>
            </w:r>
          </w:p>
          <w:p w14:paraId="3CA413B6" w14:textId="77777777" w:rsidR="00861CB1" w:rsidRPr="003C7CB1" w:rsidRDefault="00861CB1" w:rsidP="00861CB1">
            <w:pPr>
              <w:spacing w:after="0" w:line="240" w:lineRule="auto"/>
              <w:jc w:val="center"/>
              <w:rPr>
                <w:rFonts w:ascii="Calibri" w:eastAsia="Calibri" w:hAnsi="Calibri" w:cs="Calibri"/>
                <w:bCs/>
              </w:rPr>
            </w:pPr>
          </w:p>
          <w:p w14:paraId="7D95095A"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A multi-year project whose implementation continues after 2022 and will be the subject of the next AP Strategy </w:t>
            </w:r>
          </w:p>
        </w:tc>
        <w:tc>
          <w:tcPr>
            <w:tcW w:w="1841" w:type="dxa"/>
          </w:tcPr>
          <w:p w14:paraId="5994B289"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activities that were implemented in the direction of putting into operation the speleological object “</w:t>
            </w:r>
            <w:proofErr w:type="spellStart"/>
            <w:r w:rsidRPr="003C7CB1">
              <w:rPr>
                <w:rFonts w:ascii="Calibri" w:eastAsia="Calibri" w:hAnsi="Calibri" w:cs="Calibri"/>
                <w:bCs/>
              </w:rPr>
              <w:t>Đalovića</w:t>
            </w:r>
            <w:proofErr w:type="spellEnd"/>
            <w:r w:rsidRPr="003C7CB1">
              <w:rPr>
                <w:rFonts w:ascii="Calibri" w:eastAsia="Calibri" w:hAnsi="Calibri" w:cs="Calibri"/>
                <w:bCs/>
              </w:rPr>
              <w:t xml:space="preserve"> cave” </w:t>
            </w:r>
          </w:p>
          <w:p w14:paraId="389220E4" w14:textId="77777777" w:rsidR="00861CB1" w:rsidRPr="003C7CB1" w:rsidRDefault="00861CB1" w:rsidP="00861CB1">
            <w:pPr>
              <w:contextualSpacing/>
              <w:jc w:val="center"/>
              <w:rPr>
                <w:rFonts w:ascii="Calibri" w:eastAsia="Calibri" w:hAnsi="Calibri" w:cs="Calibri"/>
                <w:bCs/>
              </w:rPr>
            </w:pPr>
          </w:p>
          <w:p w14:paraId="59048C9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Annual work report of</w:t>
            </w:r>
          </w:p>
          <w:p w14:paraId="1E934F4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Public Works Administration and LLC Ski Resorts of Montenegro </w:t>
            </w:r>
          </w:p>
        </w:tc>
        <w:tc>
          <w:tcPr>
            <w:tcW w:w="1494" w:type="dxa"/>
            <w:gridSpan w:val="2"/>
          </w:tcPr>
          <w:p w14:paraId="14564F3C"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Capital budget for 2022:</w:t>
            </w:r>
          </w:p>
          <w:p w14:paraId="4E2A79DA"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3,010,500.00 </w:t>
            </w:r>
          </w:p>
        </w:tc>
      </w:tr>
      <w:tr w:rsidR="00861CB1" w:rsidRPr="003C7CB1" w14:paraId="3CE2E11B" w14:textId="77777777" w:rsidTr="00861CB1">
        <w:trPr>
          <w:jc w:val="center"/>
        </w:trPr>
        <w:tc>
          <w:tcPr>
            <w:tcW w:w="2122" w:type="dxa"/>
            <w:vMerge/>
            <w:shd w:val="clear" w:color="auto" w:fill="FFFFFF"/>
          </w:tcPr>
          <w:p w14:paraId="3E961659" w14:textId="77777777" w:rsidR="00861CB1" w:rsidRPr="003C7CB1" w:rsidRDefault="00861CB1" w:rsidP="00861CB1">
            <w:pPr>
              <w:contextualSpacing/>
              <w:rPr>
                <w:rFonts w:ascii="Calibri" w:eastAsia="Calibri" w:hAnsi="Calibri" w:cs="Calibri"/>
                <w:b/>
              </w:rPr>
            </w:pPr>
          </w:p>
        </w:tc>
        <w:tc>
          <w:tcPr>
            <w:tcW w:w="1417" w:type="dxa"/>
            <w:gridSpan w:val="2"/>
          </w:tcPr>
          <w:p w14:paraId="1EE41B5E"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2.1.13 </w:t>
            </w:r>
          </w:p>
        </w:tc>
        <w:tc>
          <w:tcPr>
            <w:tcW w:w="3260" w:type="dxa"/>
            <w:gridSpan w:val="2"/>
          </w:tcPr>
          <w:p w14:paraId="2FFAA01E"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Construction of the missing infrastructure for the needs of the project for the construction of the panoramic cable car Kotor – </w:t>
            </w:r>
            <w:proofErr w:type="spellStart"/>
            <w:r w:rsidRPr="003C7CB1">
              <w:rPr>
                <w:rFonts w:ascii="Calibri" w:eastAsia="Calibri" w:hAnsi="Calibri" w:cs="Calibri"/>
                <w:bCs/>
              </w:rPr>
              <w:t>Lovćen</w:t>
            </w:r>
            <w:proofErr w:type="spellEnd"/>
            <w:r w:rsidRPr="003C7CB1">
              <w:rPr>
                <w:rFonts w:ascii="Calibri" w:eastAsia="Calibri" w:hAnsi="Calibri" w:cs="Calibri"/>
                <w:bCs/>
              </w:rPr>
              <w:t xml:space="preserve"> </w:t>
            </w:r>
          </w:p>
          <w:p w14:paraId="3CDD76DD" w14:textId="77777777" w:rsidR="00861CB1" w:rsidRPr="003C7CB1" w:rsidRDefault="00861CB1" w:rsidP="00861CB1">
            <w:pPr>
              <w:contextualSpacing/>
              <w:rPr>
                <w:rFonts w:ascii="Calibri" w:eastAsia="Calibri" w:hAnsi="Calibri" w:cs="Calibri"/>
                <w:bCs/>
              </w:rPr>
            </w:pPr>
          </w:p>
          <w:p w14:paraId="1725DF91" w14:textId="77777777" w:rsidR="00861CB1" w:rsidRPr="003C7CB1" w:rsidRDefault="00861CB1" w:rsidP="00861CB1">
            <w:pPr>
              <w:contextualSpacing/>
              <w:rPr>
                <w:rFonts w:ascii="Calibri" w:eastAsia="Calibri" w:hAnsi="Calibri" w:cs="Calibri"/>
                <w:b/>
                <w:bCs/>
              </w:rPr>
            </w:pPr>
          </w:p>
        </w:tc>
        <w:tc>
          <w:tcPr>
            <w:tcW w:w="1843" w:type="dxa"/>
            <w:gridSpan w:val="3"/>
          </w:tcPr>
          <w:p w14:paraId="22FE8B0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Investment Agency / MED / Concessionaire </w:t>
            </w:r>
          </w:p>
        </w:tc>
        <w:tc>
          <w:tcPr>
            <w:tcW w:w="1703" w:type="dxa"/>
          </w:tcPr>
          <w:p w14:paraId="1A276A3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 IV Q 2022 </w:t>
            </w:r>
          </w:p>
          <w:p w14:paraId="7522E3C5" w14:textId="77777777" w:rsidR="00861CB1" w:rsidRPr="003C7CB1" w:rsidRDefault="00861CB1" w:rsidP="00861CB1">
            <w:pPr>
              <w:contextualSpacing/>
              <w:jc w:val="center"/>
              <w:rPr>
                <w:rFonts w:ascii="Calibri" w:eastAsia="Calibri" w:hAnsi="Calibri" w:cs="Calibri"/>
                <w:bCs/>
              </w:rPr>
            </w:pPr>
          </w:p>
          <w:p w14:paraId="5688FF51" w14:textId="77777777" w:rsidR="00861CB1" w:rsidRPr="003C7CB1" w:rsidRDefault="00861CB1" w:rsidP="00861CB1">
            <w:pPr>
              <w:contextualSpacing/>
              <w:jc w:val="center"/>
              <w:rPr>
                <w:rFonts w:ascii="Calibri" w:eastAsia="Calibri" w:hAnsi="Calibri" w:cs="Calibri"/>
                <w:b/>
                <w:bCs/>
              </w:rPr>
            </w:pPr>
            <w:r w:rsidRPr="003C7CB1">
              <w:rPr>
                <w:rFonts w:ascii="Calibri" w:eastAsia="Calibri" w:hAnsi="Calibri" w:cs="Calibri"/>
                <w:b/>
                <w:bCs/>
              </w:rPr>
              <w:t xml:space="preserve">A multi-year project whose implementation continues after 2022 and will be the subject </w:t>
            </w:r>
            <w:r w:rsidRPr="003C7CB1">
              <w:rPr>
                <w:rFonts w:ascii="Calibri" w:eastAsia="Calibri" w:hAnsi="Calibri" w:cs="Calibri"/>
                <w:b/>
                <w:bCs/>
              </w:rPr>
              <w:lastRenderedPageBreak/>
              <w:t xml:space="preserve">of the next AP Strategy </w:t>
            </w:r>
          </w:p>
        </w:tc>
        <w:tc>
          <w:tcPr>
            <w:tcW w:w="1841" w:type="dxa"/>
          </w:tcPr>
          <w:p w14:paraId="60B79EE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
                <w:bCs/>
              </w:rPr>
              <w:lastRenderedPageBreak/>
              <w:t>Number of activities that were implemented</w:t>
            </w:r>
            <w:r w:rsidRPr="003C7CB1">
              <w:rPr>
                <w:rFonts w:ascii="Calibri" w:eastAsia="Calibri" w:hAnsi="Calibri" w:cs="Calibri"/>
                <w:bCs/>
              </w:rPr>
              <w:t xml:space="preserve"> </w:t>
            </w:r>
            <w:r w:rsidRPr="003C7CB1">
              <w:rPr>
                <w:rFonts w:ascii="Calibri" w:eastAsia="Calibri" w:hAnsi="Calibri" w:cs="Calibri"/>
                <w:b/>
                <w:bCs/>
              </w:rPr>
              <w:t xml:space="preserve">in the direction of putting the panoramic cable </w:t>
            </w:r>
            <w:r w:rsidRPr="003C7CB1">
              <w:rPr>
                <w:rFonts w:ascii="Calibri" w:eastAsia="Calibri" w:hAnsi="Calibri" w:cs="Calibri"/>
                <w:b/>
                <w:bCs/>
              </w:rPr>
              <w:lastRenderedPageBreak/>
              <w:t xml:space="preserve">car into operation </w:t>
            </w:r>
          </w:p>
          <w:p w14:paraId="7F5864B3" w14:textId="77777777" w:rsidR="00861CB1" w:rsidRPr="003C7CB1" w:rsidRDefault="00861CB1" w:rsidP="00861CB1">
            <w:pPr>
              <w:contextualSpacing/>
              <w:jc w:val="center"/>
              <w:rPr>
                <w:rFonts w:ascii="Calibri" w:eastAsia="Calibri" w:hAnsi="Calibri" w:cs="Calibri"/>
                <w:bCs/>
              </w:rPr>
            </w:pPr>
          </w:p>
          <w:p w14:paraId="7D1C243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Annual work report of</w:t>
            </w:r>
          </w:p>
          <w:p w14:paraId="3BA6D95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competent institutions </w:t>
            </w:r>
          </w:p>
        </w:tc>
        <w:tc>
          <w:tcPr>
            <w:tcW w:w="1494" w:type="dxa"/>
            <w:gridSpan w:val="2"/>
          </w:tcPr>
          <w:p w14:paraId="0AED3D85"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lastRenderedPageBreak/>
              <w:t>Capital budget:</w:t>
            </w:r>
          </w:p>
          <w:p w14:paraId="4A5DD967"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4,155,000.00 </w:t>
            </w:r>
          </w:p>
          <w:p w14:paraId="0D6A2634" w14:textId="77777777" w:rsidR="00861CB1" w:rsidRPr="003C7CB1" w:rsidRDefault="00861CB1" w:rsidP="00861CB1">
            <w:pPr>
              <w:jc w:val="center"/>
              <w:rPr>
                <w:rFonts w:ascii="Calibri" w:eastAsia="Calibri" w:hAnsi="Calibri" w:cs="Calibri"/>
                <w:bCs/>
              </w:rPr>
            </w:pPr>
          </w:p>
          <w:p w14:paraId="3C484DF1"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Investor </w:t>
            </w:r>
          </w:p>
        </w:tc>
      </w:tr>
      <w:tr w:rsidR="00861CB1" w:rsidRPr="003C7CB1" w14:paraId="6DBACDBD" w14:textId="77777777" w:rsidTr="00861CB1">
        <w:trPr>
          <w:trHeight w:val="3202"/>
          <w:jc w:val="center"/>
        </w:trPr>
        <w:tc>
          <w:tcPr>
            <w:tcW w:w="2122" w:type="dxa"/>
            <w:vMerge/>
            <w:shd w:val="clear" w:color="auto" w:fill="FFFFFF"/>
          </w:tcPr>
          <w:p w14:paraId="66E29861" w14:textId="77777777" w:rsidR="00861CB1" w:rsidRPr="003C7CB1" w:rsidRDefault="00861CB1" w:rsidP="00861CB1">
            <w:pPr>
              <w:contextualSpacing/>
              <w:rPr>
                <w:rFonts w:ascii="Calibri" w:eastAsia="Calibri" w:hAnsi="Calibri" w:cs="Calibri"/>
                <w:b/>
              </w:rPr>
            </w:pPr>
          </w:p>
        </w:tc>
        <w:tc>
          <w:tcPr>
            <w:tcW w:w="1417" w:type="dxa"/>
            <w:gridSpan w:val="2"/>
          </w:tcPr>
          <w:p w14:paraId="1DFCBDB2"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2.1.14 </w:t>
            </w:r>
          </w:p>
        </w:tc>
        <w:tc>
          <w:tcPr>
            <w:tcW w:w="3260" w:type="dxa"/>
            <w:gridSpan w:val="2"/>
          </w:tcPr>
          <w:p w14:paraId="04062431"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Cs/>
              </w:rPr>
              <w:t xml:space="preserve">Implementation of measures and activities to improve the quality of infrastructure in the Coastal Zone </w:t>
            </w:r>
          </w:p>
        </w:tc>
        <w:tc>
          <w:tcPr>
            <w:tcW w:w="1843" w:type="dxa"/>
            <w:gridSpan w:val="3"/>
          </w:tcPr>
          <w:p w14:paraId="7AA72D0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rPr>
              <w:t>MESPU</w:t>
            </w:r>
            <w:r w:rsidRPr="003C7CB1">
              <w:rPr>
                <w:rFonts w:ascii="Calibri" w:eastAsia="Calibri" w:hAnsi="Calibri" w:cs="Calibri"/>
                <w:bCs/>
              </w:rPr>
              <w:t xml:space="preserve">, </w:t>
            </w:r>
          </w:p>
          <w:p w14:paraId="7A78A0A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PECZM /</w:t>
            </w:r>
          </w:p>
          <w:p w14:paraId="00B8A2A8"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w:t>
            </w:r>
          </w:p>
        </w:tc>
        <w:tc>
          <w:tcPr>
            <w:tcW w:w="1703" w:type="dxa"/>
          </w:tcPr>
          <w:p w14:paraId="4644B51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 IV Q 2022 </w:t>
            </w:r>
          </w:p>
          <w:p w14:paraId="54E4E836" w14:textId="77777777" w:rsidR="00861CB1" w:rsidRPr="003C7CB1" w:rsidRDefault="00861CB1" w:rsidP="00861CB1">
            <w:pPr>
              <w:contextualSpacing/>
              <w:jc w:val="center"/>
              <w:rPr>
                <w:rFonts w:ascii="Calibri" w:eastAsia="Calibri" w:hAnsi="Calibri" w:cs="Calibri"/>
                <w:bCs/>
              </w:rPr>
            </w:pPr>
          </w:p>
          <w:p w14:paraId="6CAD3A47" w14:textId="77777777" w:rsidR="00861CB1" w:rsidRPr="003C7CB1" w:rsidRDefault="00861CB1" w:rsidP="00861CB1">
            <w:pPr>
              <w:contextualSpacing/>
              <w:jc w:val="center"/>
              <w:rPr>
                <w:rFonts w:ascii="Calibri" w:eastAsia="Calibri" w:hAnsi="Calibri" w:cs="Calibri"/>
                <w:b/>
                <w:bCs/>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4CA1ADC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Number of new nautical anchorage zones</w:t>
            </w:r>
          </w:p>
          <w:p w14:paraId="7193979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Number of new anchorages </w:t>
            </w:r>
          </w:p>
          <w:p w14:paraId="462C14F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Number of coastal infrastructure development projects </w:t>
            </w:r>
          </w:p>
          <w:p w14:paraId="242DF52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competent institutions </w:t>
            </w:r>
          </w:p>
        </w:tc>
        <w:tc>
          <w:tcPr>
            <w:tcW w:w="1494" w:type="dxa"/>
            <w:gridSpan w:val="2"/>
          </w:tcPr>
          <w:p w14:paraId="1223427F"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Budget of PE for Coastal Zone </w:t>
            </w:r>
          </w:p>
        </w:tc>
      </w:tr>
      <w:tr w:rsidR="00861CB1" w:rsidRPr="003C7CB1" w14:paraId="163759B7" w14:textId="77777777" w:rsidTr="00861CB1">
        <w:trPr>
          <w:jc w:val="center"/>
        </w:trPr>
        <w:tc>
          <w:tcPr>
            <w:tcW w:w="2122" w:type="dxa"/>
            <w:vMerge/>
            <w:shd w:val="clear" w:color="auto" w:fill="FFFFFF"/>
          </w:tcPr>
          <w:p w14:paraId="3273B011" w14:textId="77777777" w:rsidR="00861CB1" w:rsidRPr="003C7CB1" w:rsidRDefault="00861CB1" w:rsidP="00861CB1">
            <w:pPr>
              <w:contextualSpacing/>
              <w:rPr>
                <w:rFonts w:ascii="Calibri" w:eastAsia="Calibri" w:hAnsi="Calibri" w:cs="Calibri"/>
                <w:b/>
              </w:rPr>
            </w:pPr>
          </w:p>
        </w:tc>
        <w:tc>
          <w:tcPr>
            <w:tcW w:w="1417" w:type="dxa"/>
            <w:gridSpan w:val="2"/>
          </w:tcPr>
          <w:p w14:paraId="1B363EF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2.1.15 </w:t>
            </w:r>
          </w:p>
        </w:tc>
        <w:tc>
          <w:tcPr>
            <w:tcW w:w="3260" w:type="dxa"/>
            <w:gridSpan w:val="2"/>
          </w:tcPr>
          <w:p w14:paraId="0B1950F6"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Implementation of measures and activities on maintenance of existing and installation of new tourist signs along main and regional roads </w:t>
            </w:r>
          </w:p>
        </w:tc>
        <w:tc>
          <w:tcPr>
            <w:tcW w:w="1843" w:type="dxa"/>
            <w:gridSpan w:val="3"/>
          </w:tcPr>
          <w:p w14:paraId="6543A3B0"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MED/</w:t>
            </w:r>
          </w:p>
          <w:p w14:paraId="6EEB8B39" w14:textId="14474ABC"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Local governments, Directorate for </w:t>
            </w:r>
            <w:r w:rsidR="00AE5C5F" w:rsidRPr="003C7CB1">
              <w:rPr>
                <w:rFonts w:ascii="Calibri" w:eastAsia="Calibri" w:hAnsi="Calibri" w:cs="Calibri"/>
                <w:bCs/>
              </w:rPr>
              <w:t>Transport,</w:t>
            </w:r>
          </w:p>
          <w:p w14:paraId="5D490650"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  PENPM </w:t>
            </w:r>
          </w:p>
        </w:tc>
        <w:tc>
          <w:tcPr>
            <w:tcW w:w="1703" w:type="dxa"/>
          </w:tcPr>
          <w:p w14:paraId="55840799"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 IV Q 2022 </w:t>
            </w:r>
          </w:p>
          <w:p w14:paraId="45245EEF" w14:textId="77777777" w:rsidR="00861CB1" w:rsidRPr="003C7CB1" w:rsidRDefault="00861CB1" w:rsidP="00861CB1">
            <w:pPr>
              <w:contextualSpacing/>
              <w:jc w:val="center"/>
              <w:rPr>
                <w:rFonts w:ascii="Calibri" w:eastAsia="Calibri" w:hAnsi="Calibri" w:cs="Calibri"/>
                <w:b/>
                <w:bCs/>
              </w:rPr>
            </w:pPr>
          </w:p>
          <w:p w14:paraId="1F5AD550"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
                <w:bCs/>
              </w:rPr>
              <w:t xml:space="preserve">The implementation of activities continues after </w:t>
            </w:r>
            <w:r w:rsidRPr="003C7CB1">
              <w:rPr>
                <w:rFonts w:ascii="Calibri" w:eastAsia="Calibri" w:hAnsi="Calibri" w:cs="Calibri"/>
                <w:b/>
                <w:bCs/>
              </w:rPr>
              <w:lastRenderedPageBreak/>
              <w:t xml:space="preserve">2022 and will be the subject of the next AP Strategy </w:t>
            </w:r>
          </w:p>
        </w:tc>
        <w:tc>
          <w:tcPr>
            <w:tcW w:w="1841" w:type="dxa"/>
          </w:tcPr>
          <w:p w14:paraId="7AB61368"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lastRenderedPageBreak/>
              <w:t xml:space="preserve">Number of existing (repaired) and new tourist signs </w:t>
            </w:r>
          </w:p>
          <w:p w14:paraId="36138993" w14:textId="77777777" w:rsidR="00861CB1" w:rsidRPr="003C7CB1" w:rsidRDefault="00861CB1" w:rsidP="00861CB1">
            <w:pPr>
              <w:contextualSpacing/>
              <w:jc w:val="center"/>
              <w:rPr>
                <w:rFonts w:ascii="Calibri" w:eastAsia="Calibri" w:hAnsi="Calibri" w:cs="Calibri"/>
                <w:bCs/>
              </w:rPr>
            </w:pPr>
          </w:p>
          <w:p w14:paraId="26918B92"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lastRenderedPageBreak/>
              <w:t xml:space="preserve">Contractor's report </w:t>
            </w:r>
          </w:p>
          <w:p w14:paraId="38A4183C" w14:textId="77777777" w:rsidR="00861CB1" w:rsidRPr="003C7CB1" w:rsidRDefault="00861CB1" w:rsidP="00861CB1">
            <w:pPr>
              <w:contextualSpacing/>
              <w:jc w:val="center"/>
              <w:rPr>
                <w:rFonts w:ascii="Calibri" w:eastAsia="Calibri" w:hAnsi="Calibri" w:cs="Calibri"/>
                <w:bCs/>
              </w:rPr>
            </w:pPr>
          </w:p>
          <w:p w14:paraId="0A42987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competent institutions </w:t>
            </w:r>
          </w:p>
        </w:tc>
        <w:tc>
          <w:tcPr>
            <w:tcW w:w="1494" w:type="dxa"/>
            <w:gridSpan w:val="2"/>
          </w:tcPr>
          <w:p w14:paraId="37E062A1"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lastRenderedPageBreak/>
              <w:t xml:space="preserve">€ 40,000.00 </w:t>
            </w:r>
          </w:p>
          <w:p w14:paraId="363479F4"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Budget of Montenegro </w:t>
            </w:r>
          </w:p>
        </w:tc>
      </w:tr>
      <w:tr w:rsidR="00861CB1" w:rsidRPr="003C7CB1" w14:paraId="37AAA86D" w14:textId="77777777" w:rsidTr="00861CB1">
        <w:trPr>
          <w:jc w:val="center"/>
        </w:trPr>
        <w:tc>
          <w:tcPr>
            <w:tcW w:w="2122" w:type="dxa"/>
            <w:vMerge/>
            <w:shd w:val="clear" w:color="auto" w:fill="FFFFFF"/>
          </w:tcPr>
          <w:p w14:paraId="64796D50" w14:textId="77777777" w:rsidR="00861CB1" w:rsidRPr="003C7CB1" w:rsidRDefault="00861CB1" w:rsidP="00861CB1">
            <w:pPr>
              <w:contextualSpacing/>
              <w:rPr>
                <w:rFonts w:ascii="Calibri" w:eastAsia="Calibri" w:hAnsi="Calibri" w:cs="Calibri"/>
                <w:b/>
              </w:rPr>
            </w:pPr>
          </w:p>
        </w:tc>
        <w:tc>
          <w:tcPr>
            <w:tcW w:w="1417" w:type="dxa"/>
            <w:gridSpan w:val="2"/>
          </w:tcPr>
          <w:p w14:paraId="216379D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2.1.16 </w:t>
            </w:r>
          </w:p>
        </w:tc>
        <w:tc>
          <w:tcPr>
            <w:tcW w:w="3260" w:type="dxa"/>
            <w:gridSpan w:val="2"/>
          </w:tcPr>
          <w:p w14:paraId="00471165"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Implementation of measures and activities to maintain and improve the quality of rest areas and lookouts along roads </w:t>
            </w:r>
          </w:p>
        </w:tc>
        <w:tc>
          <w:tcPr>
            <w:tcW w:w="1843" w:type="dxa"/>
            <w:gridSpan w:val="3"/>
          </w:tcPr>
          <w:p w14:paraId="4172F7B4"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Local governments </w:t>
            </w:r>
          </w:p>
        </w:tc>
        <w:tc>
          <w:tcPr>
            <w:tcW w:w="1703" w:type="dxa"/>
          </w:tcPr>
          <w:p w14:paraId="72958E14"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 IV Q 2022 </w:t>
            </w:r>
          </w:p>
          <w:p w14:paraId="6E788DBF" w14:textId="77777777" w:rsidR="00861CB1" w:rsidRPr="003C7CB1" w:rsidRDefault="00861CB1" w:rsidP="00861CB1">
            <w:pPr>
              <w:contextualSpacing/>
              <w:jc w:val="center"/>
              <w:rPr>
                <w:rFonts w:ascii="Calibri" w:eastAsia="Calibri" w:hAnsi="Calibri" w:cs="Calibri"/>
                <w:bCs/>
              </w:rPr>
            </w:pPr>
          </w:p>
          <w:p w14:paraId="21E2DB97" w14:textId="77777777" w:rsidR="00861CB1" w:rsidRPr="003C7CB1" w:rsidRDefault="00861CB1" w:rsidP="00861CB1">
            <w:pPr>
              <w:contextualSpacing/>
              <w:jc w:val="center"/>
              <w:rPr>
                <w:rFonts w:ascii="Calibri" w:eastAsia="Calibri" w:hAnsi="Calibri" w:cs="Calibri"/>
                <w:b/>
                <w:bCs/>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170EE56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Number of existing maintained and new rest areas and lookouts along the roads </w:t>
            </w:r>
          </w:p>
          <w:p w14:paraId="318481EE" w14:textId="77777777" w:rsidR="00861CB1" w:rsidRPr="003C7CB1" w:rsidRDefault="00861CB1" w:rsidP="00861CB1">
            <w:pPr>
              <w:contextualSpacing/>
              <w:jc w:val="center"/>
              <w:rPr>
                <w:rFonts w:ascii="Calibri" w:eastAsia="Calibri" w:hAnsi="Calibri" w:cs="Calibri"/>
                <w:bCs/>
              </w:rPr>
            </w:pPr>
          </w:p>
          <w:p w14:paraId="4379608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local government </w:t>
            </w:r>
          </w:p>
        </w:tc>
        <w:tc>
          <w:tcPr>
            <w:tcW w:w="1494" w:type="dxa"/>
            <w:gridSpan w:val="2"/>
          </w:tcPr>
          <w:p w14:paraId="2279D9F1"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Budget of local government </w:t>
            </w:r>
          </w:p>
        </w:tc>
      </w:tr>
      <w:tr w:rsidR="00861CB1" w:rsidRPr="003C7CB1" w14:paraId="4FB23638" w14:textId="77777777" w:rsidTr="00861CB1">
        <w:trPr>
          <w:jc w:val="center"/>
        </w:trPr>
        <w:tc>
          <w:tcPr>
            <w:tcW w:w="2122" w:type="dxa"/>
            <w:vMerge/>
            <w:shd w:val="clear" w:color="auto" w:fill="FFFFFF"/>
          </w:tcPr>
          <w:p w14:paraId="290C2814" w14:textId="77777777" w:rsidR="00861CB1" w:rsidRPr="003C7CB1" w:rsidRDefault="00861CB1" w:rsidP="00861CB1">
            <w:pPr>
              <w:contextualSpacing/>
              <w:rPr>
                <w:rFonts w:ascii="Calibri" w:eastAsia="Calibri" w:hAnsi="Calibri" w:cs="Calibri"/>
                <w:b/>
              </w:rPr>
            </w:pPr>
          </w:p>
        </w:tc>
        <w:tc>
          <w:tcPr>
            <w:tcW w:w="1417" w:type="dxa"/>
            <w:gridSpan w:val="2"/>
          </w:tcPr>
          <w:p w14:paraId="526A4FD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2.1.17 </w:t>
            </w:r>
          </w:p>
        </w:tc>
        <w:tc>
          <w:tcPr>
            <w:tcW w:w="3260" w:type="dxa"/>
            <w:gridSpan w:val="2"/>
          </w:tcPr>
          <w:p w14:paraId="5386F839"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Implementation of measures and activities on arranging and mapping mountain trails within the National Mountain Trail Networks </w:t>
            </w:r>
          </w:p>
        </w:tc>
        <w:tc>
          <w:tcPr>
            <w:tcW w:w="1843" w:type="dxa"/>
            <w:gridSpan w:val="3"/>
          </w:tcPr>
          <w:p w14:paraId="7BED9738"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MED/</w:t>
            </w:r>
          </w:p>
          <w:p w14:paraId="64CF2A7D"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Mountaineering Association of Montenegro, mountaineering clubs, LTO </w:t>
            </w:r>
          </w:p>
        </w:tc>
        <w:tc>
          <w:tcPr>
            <w:tcW w:w="1703" w:type="dxa"/>
          </w:tcPr>
          <w:p w14:paraId="7A9DF405"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 IV Q 2022 </w:t>
            </w:r>
          </w:p>
        </w:tc>
        <w:tc>
          <w:tcPr>
            <w:tcW w:w="1841" w:type="dxa"/>
          </w:tcPr>
          <w:p w14:paraId="18A75243"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Number of marked hiking trails </w:t>
            </w:r>
          </w:p>
          <w:p w14:paraId="660BA449" w14:textId="77777777" w:rsidR="00861CB1" w:rsidRPr="003C7CB1" w:rsidRDefault="00861CB1" w:rsidP="00861CB1">
            <w:pPr>
              <w:contextualSpacing/>
              <w:jc w:val="center"/>
              <w:rPr>
                <w:rFonts w:ascii="Calibri" w:eastAsia="Calibri" w:hAnsi="Calibri" w:cs="Calibri"/>
                <w:bCs/>
              </w:rPr>
            </w:pPr>
          </w:p>
          <w:p w14:paraId="67AA7D74"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competent institutions and organizations </w:t>
            </w:r>
          </w:p>
        </w:tc>
        <w:tc>
          <w:tcPr>
            <w:tcW w:w="1494" w:type="dxa"/>
            <w:gridSpan w:val="2"/>
          </w:tcPr>
          <w:p w14:paraId="129BAB6D" w14:textId="77777777" w:rsidR="00861CB1" w:rsidRPr="003C7CB1" w:rsidRDefault="00861CB1" w:rsidP="00861CB1">
            <w:pPr>
              <w:spacing w:after="0"/>
              <w:jc w:val="center"/>
              <w:rPr>
                <w:rFonts w:ascii="Calibri" w:eastAsia="Calibri" w:hAnsi="Calibri" w:cs="Calibri"/>
                <w:bCs/>
              </w:rPr>
            </w:pPr>
            <w:r w:rsidRPr="003C7CB1">
              <w:rPr>
                <w:rFonts w:ascii="Calibri" w:eastAsia="Calibri" w:hAnsi="Calibri" w:cs="Calibri"/>
                <w:bCs/>
              </w:rPr>
              <w:t xml:space="preserve">€ 50,000.00 </w:t>
            </w:r>
          </w:p>
          <w:p w14:paraId="790C37BB" w14:textId="77777777" w:rsidR="00861CB1" w:rsidRPr="003C7CB1" w:rsidRDefault="00861CB1" w:rsidP="00861CB1">
            <w:pPr>
              <w:spacing w:after="0"/>
              <w:jc w:val="center"/>
              <w:rPr>
                <w:rFonts w:ascii="Calibri" w:eastAsia="Calibri" w:hAnsi="Calibri" w:cs="Calibri"/>
                <w:bCs/>
              </w:rPr>
            </w:pPr>
            <w:r w:rsidRPr="003C7CB1">
              <w:rPr>
                <w:rFonts w:ascii="Calibri" w:eastAsia="Calibri" w:hAnsi="Calibri" w:cs="Calibri"/>
                <w:bCs/>
              </w:rPr>
              <w:t xml:space="preserve">Budget of Montenegro </w:t>
            </w:r>
          </w:p>
          <w:p w14:paraId="64C2F78B" w14:textId="77777777" w:rsidR="00861CB1" w:rsidRPr="003C7CB1" w:rsidRDefault="00861CB1" w:rsidP="00861CB1">
            <w:pPr>
              <w:spacing w:after="0"/>
              <w:jc w:val="center"/>
              <w:rPr>
                <w:rFonts w:ascii="Calibri" w:eastAsia="Calibri" w:hAnsi="Calibri" w:cs="Calibri"/>
                <w:bCs/>
              </w:rPr>
            </w:pPr>
          </w:p>
          <w:p w14:paraId="269F7E04" w14:textId="77777777" w:rsidR="00861CB1" w:rsidRPr="003C7CB1" w:rsidRDefault="00861CB1" w:rsidP="00861CB1">
            <w:pPr>
              <w:spacing w:after="0" w:line="240" w:lineRule="auto"/>
              <w:jc w:val="center"/>
              <w:rPr>
                <w:rFonts w:ascii="Calibri" w:eastAsia="Calibri" w:hAnsi="Calibri" w:cs="Calibri"/>
                <w:bCs/>
              </w:rPr>
            </w:pPr>
          </w:p>
        </w:tc>
      </w:tr>
      <w:tr w:rsidR="00861CB1" w:rsidRPr="003C7CB1" w14:paraId="4D64D30F" w14:textId="77777777" w:rsidTr="00861CB1">
        <w:trPr>
          <w:jc w:val="center"/>
        </w:trPr>
        <w:tc>
          <w:tcPr>
            <w:tcW w:w="2122" w:type="dxa"/>
            <w:vMerge/>
            <w:shd w:val="clear" w:color="auto" w:fill="FFFFFF"/>
          </w:tcPr>
          <w:p w14:paraId="02D6E939" w14:textId="77777777" w:rsidR="00861CB1" w:rsidRPr="003C7CB1" w:rsidRDefault="00861CB1" w:rsidP="00861CB1">
            <w:pPr>
              <w:contextualSpacing/>
              <w:rPr>
                <w:rFonts w:ascii="Calibri" w:eastAsia="Calibri" w:hAnsi="Calibri" w:cs="Calibri"/>
                <w:b/>
              </w:rPr>
            </w:pPr>
          </w:p>
        </w:tc>
        <w:tc>
          <w:tcPr>
            <w:tcW w:w="1417" w:type="dxa"/>
            <w:gridSpan w:val="2"/>
          </w:tcPr>
          <w:p w14:paraId="09BDF23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2.1.18 </w:t>
            </w:r>
          </w:p>
        </w:tc>
        <w:tc>
          <w:tcPr>
            <w:tcW w:w="3260" w:type="dxa"/>
            <w:gridSpan w:val="2"/>
          </w:tcPr>
          <w:p w14:paraId="570319C1"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Implementation of the Schengen Action Plan </w:t>
            </w:r>
          </w:p>
          <w:p w14:paraId="2CFFDACB" w14:textId="77777777" w:rsidR="00861CB1" w:rsidRPr="003C7CB1" w:rsidRDefault="00861CB1" w:rsidP="00861CB1">
            <w:pPr>
              <w:numPr>
                <w:ilvl w:val="0"/>
                <w:numId w:val="44"/>
              </w:numPr>
              <w:contextualSpacing/>
              <w:rPr>
                <w:rFonts w:ascii="Calibri" w:eastAsia="Calibri" w:hAnsi="Calibri" w:cs="Calibri"/>
                <w:bCs/>
              </w:rPr>
            </w:pPr>
            <w:r w:rsidRPr="003C7CB1">
              <w:rPr>
                <w:rFonts w:ascii="Calibri" w:eastAsia="Calibri" w:hAnsi="Calibri" w:cs="Calibri"/>
                <w:bCs/>
              </w:rPr>
              <w:t xml:space="preserve">Update Analysis of mountain tourism transport  with neighboring countries </w:t>
            </w:r>
          </w:p>
        </w:tc>
        <w:tc>
          <w:tcPr>
            <w:tcW w:w="1843" w:type="dxa"/>
            <w:gridSpan w:val="3"/>
          </w:tcPr>
          <w:p w14:paraId="6E79788F"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MED, </w:t>
            </w:r>
            <w:proofErr w:type="spellStart"/>
            <w:r w:rsidRPr="003C7CB1">
              <w:rPr>
                <w:rFonts w:ascii="Calibri" w:eastAsia="Calibri" w:hAnsi="Calibri" w:cs="Calibri"/>
                <w:bCs/>
              </w:rPr>
              <w:t>MoI</w:t>
            </w:r>
            <w:proofErr w:type="spellEnd"/>
            <w:r w:rsidRPr="003C7CB1">
              <w:rPr>
                <w:rFonts w:ascii="Calibri" w:eastAsia="Calibri" w:hAnsi="Calibri" w:cs="Calibri"/>
                <w:bCs/>
              </w:rPr>
              <w:t xml:space="preserve"> /</w:t>
            </w:r>
          </w:p>
          <w:p w14:paraId="4512E57C"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Mountaineering Association of Montenegro, LTO, mountaineering clubs </w:t>
            </w:r>
          </w:p>
        </w:tc>
        <w:tc>
          <w:tcPr>
            <w:tcW w:w="1703" w:type="dxa"/>
          </w:tcPr>
          <w:p w14:paraId="00FA904E"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–IV Q 2022 </w:t>
            </w:r>
          </w:p>
        </w:tc>
        <w:tc>
          <w:tcPr>
            <w:tcW w:w="1841" w:type="dxa"/>
          </w:tcPr>
          <w:p w14:paraId="277EB40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Analysis has been updated </w:t>
            </w:r>
          </w:p>
          <w:p w14:paraId="42CDA3D9" w14:textId="77777777" w:rsidR="00861CB1" w:rsidRPr="003C7CB1" w:rsidRDefault="00861CB1" w:rsidP="00861CB1">
            <w:pPr>
              <w:contextualSpacing/>
              <w:jc w:val="center"/>
              <w:rPr>
                <w:rFonts w:ascii="Calibri" w:eastAsia="Calibri" w:hAnsi="Calibri" w:cs="Calibri"/>
                <w:bCs/>
              </w:rPr>
            </w:pPr>
          </w:p>
          <w:p w14:paraId="6613945C"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competent institutions and organizations </w:t>
            </w:r>
          </w:p>
        </w:tc>
        <w:tc>
          <w:tcPr>
            <w:tcW w:w="1494" w:type="dxa"/>
            <w:gridSpan w:val="2"/>
          </w:tcPr>
          <w:p w14:paraId="182F6B62" w14:textId="77777777" w:rsidR="00861CB1" w:rsidRPr="003C7CB1" w:rsidRDefault="00861CB1" w:rsidP="00861CB1">
            <w:pPr>
              <w:spacing w:after="0"/>
              <w:jc w:val="center"/>
              <w:rPr>
                <w:rFonts w:ascii="Calibri" w:eastAsia="Calibri" w:hAnsi="Calibri" w:cs="Calibri"/>
                <w:bCs/>
              </w:rPr>
            </w:pPr>
            <w:r w:rsidRPr="003C7CB1">
              <w:rPr>
                <w:rFonts w:ascii="Calibri" w:eastAsia="Calibri" w:hAnsi="Calibri" w:cs="Calibri"/>
                <w:bCs/>
              </w:rPr>
              <w:t xml:space="preserve">€ 20,000.00 </w:t>
            </w:r>
          </w:p>
          <w:p w14:paraId="6E375FE5" w14:textId="77777777" w:rsidR="00861CB1" w:rsidRPr="003C7CB1" w:rsidRDefault="00861CB1" w:rsidP="00861CB1">
            <w:pPr>
              <w:spacing w:after="0"/>
              <w:jc w:val="center"/>
              <w:rPr>
                <w:rFonts w:ascii="Calibri" w:eastAsia="Calibri" w:hAnsi="Calibri" w:cs="Calibri"/>
                <w:bCs/>
              </w:rPr>
            </w:pPr>
          </w:p>
          <w:p w14:paraId="5D66D777" w14:textId="77777777" w:rsidR="00861CB1" w:rsidRPr="003C7CB1" w:rsidRDefault="00861CB1" w:rsidP="00861CB1">
            <w:pPr>
              <w:spacing w:after="0"/>
              <w:jc w:val="center"/>
              <w:rPr>
                <w:rFonts w:ascii="Calibri" w:eastAsia="Calibri" w:hAnsi="Calibri" w:cs="Calibri"/>
                <w:bCs/>
              </w:rPr>
            </w:pPr>
            <w:r w:rsidRPr="003C7CB1">
              <w:rPr>
                <w:rFonts w:ascii="Calibri" w:eastAsia="Calibri" w:hAnsi="Calibri" w:cs="Calibri"/>
                <w:bCs/>
              </w:rPr>
              <w:t xml:space="preserve">Budget of Montenegro </w:t>
            </w:r>
          </w:p>
        </w:tc>
      </w:tr>
      <w:tr w:rsidR="00861CB1" w:rsidRPr="003C7CB1" w14:paraId="1162B639" w14:textId="77777777" w:rsidTr="00861CB1">
        <w:trPr>
          <w:jc w:val="center"/>
        </w:trPr>
        <w:tc>
          <w:tcPr>
            <w:tcW w:w="2122" w:type="dxa"/>
            <w:vMerge/>
            <w:shd w:val="clear" w:color="auto" w:fill="FFFFFF"/>
          </w:tcPr>
          <w:p w14:paraId="3001D6B1" w14:textId="77777777" w:rsidR="00861CB1" w:rsidRPr="003C7CB1" w:rsidRDefault="00861CB1" w:rsidP="00861CB1">
            <w:pPr>
              <w:contextualSpacing/>
              <w:rPr>
                <w:rFonts w:ascii="Calibri" w:eastAsia="Calibri" w:hAnsi="Calibri" w:cs="Calibri"/>
                <w:b/>
              </w:rPr>
            </w:pPr>
          </w:p>
        </w:tc>
        <w:tc>
          <w:tcPr>
            <w:tcW w:w="1417" w:type="dxa"/>
            <w:gridSpan w:val="2"/>
          </w:tcPr>
          <w:p w14:paraId="519621E3"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2.1.19 </w:t>
            </w:r>
          </w:p>
        </w:tc>
        <w:tc>
          <w:tcPr>
            <w:tcW w:w="3260" w:type="dxa"/>
            <w:gridSpan w:val="2"/>
          </w:tcPr>
          <w:p w14:paraId="079ED64A"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bCs/>
              </w:rPr>
              <w:t xml:space="preserve">Implementation of the project “Valorization of new and insufficiently used tourist attractions” </w:t>
            </w:r>
          </w:p>
          <w:p w14:paraId="738F79AB" w14:textId="77777777" w:rsidR="00861CB1" w:rsidRPr="003C7CB1" w:rsidRDefault="00861CB1" w:rsidP="00861CB1">
            <w:pPr>
              <w:contextualSpacing/>
              <w:rPr>
                <w:rFonts w:ascii="Calibri" w:eastAsia="Calibri" w:hAnsi="Calibri" w:cs="Calibri"/>
                <w:bCs/>
              </w:rPr>
            </w:pPr>
          </w:p>
        </w:tc>
        <w:tc>
          <w:tcPr>
            <w:tcW w:w="1843" w:type="dxa"/>
            <w:gridSpan w:val="3"/>
          </w:tcPr>
          <w:p w14:paraId="623B9C7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MED / LTO, local government</w:t>
            </w:r>
          </w:p>
        </w:tc>
        <w:tc>
          <w:tcPr>
            <w:tcW w:w="1703" w:type="dxa"/>
          </w:tcPr>
          <w:p w14:paraId="23ED76B1"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I Q - IV Q 2022 </w:t>
            </w:r>
          </w:p>
        </w:tc>
        <w:tc>
          <w:tcPr>
            <w:tcW w:w="1841" w:type="dxa"/>
          </w:tcPr>
          <w:p w14:paraId="67EF1D65"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Number of tourism valorized attractions </w:t>
            </w:r>
          </w:p>
          <w:p w14:paraId="5B479544" w14:textId="77777777" w:rsidR="00861CB1" w:rsidRPr="003C7CB1" w:rsidRDefault="00861CB1" w:rsidP="00861CB1">
            <w:pPr>
              <w:contextualSpacing/>
              <w:jc w:val="center"/>
              <w:rPr>
                <w:rFonts w:ascii="Calibri" w:eastAsia="Calibri" w:hAnsi="Calibri" w:cs="Calibri"/>
                <w:bCs/>
              </w:rPr>
            </w:pPr>
          </w:p>
          <w:p w14:paraId="643628EB"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MED </w:t>
            </w:r>
          </w:p>
        </w:tc>
        <w:tc>
          <w:tcPr>
            <w:tcW w:w="1494" w:type="dxa"/>
            <w:gridSpan w:val="2"/>
          </w:tcPr>
          <w:p w14:paraId="0CCCA9B3"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€ 50,000.00 </w:t>
            </w:r>
          </w:p>
          <w:p w14:paraId="2296E1D7" w14:textId="77777777" w:rsidR="00861CB1" w:rsidRPr="003C7CB1" w:rsidRDefault="00861CB1" w:rsidP="00861CB1">
            <w:pPr>
              <w:spacing w:after="0"/>
              <w:jc w:val="center"/>
              <w:rPr>
                <w:rFonts w:ascii="Calibri" w:eastAsia="Calibri" w:hAnsi="Calibri" w:cs="Calibri"/>
                <w:bCs/>
              </w:rPr>
            </w:pPr>
            <w:r w:rsidRPr="003C7CB1">
              <w:rPr>
                <w:rFonts w:ascii="Calibri" w:eastAsia="Calibri" w:hAnsi="Calibri" w:cs="Calibri"/>
                <w:bCs/>
              </w:rPr>
              <w:t xml:space="preserve">Budget of Montenegro </w:t>
            </w:r>
          </w:p>
        </w:tc>
      </w:tr>
      <w:tr w:rsidR="00861CB1" w:rsidRPr="003C7CB1" w14:paraId="3904C83C" w14:textId="77777777" w:rsidTr="00861CB1">
        <w:trPr>
          <w:jc w:val="center"/>
        </w:trPr>
        <w:tc>
          <w:tcPr>
            <w:tcW w:w="2122" w:type="dxa"/>
            <w:vMerge w:val="restart"/>
            <w:shd w:val="clear" w:color="auto" w:fill="FFFFFF"/>
          </w:tcPr>
          <w:p w14:paraId="12F55644" w14:textId="77777777" w:rsidR="00861CB1" w:rsidRPr="003C7CB1" w:rsidRDefault="00861CB1" w:rsidP="00861CB1">
            <w:pPr>
              <w:contextualSpacing/>
              <w:rPr>
                <w:rFonts w:ascii="Calibri" w:eastAsia="Calibri" w:hAnsi="Calibri" w:cs="Calibri"/>
              </w:rPr>
            </w:pPr>
          </w:p>
          <w:p w14:paraId="68FB32F6"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
                <w:bCs/>
              </w:rPr>
              <w:t xml:space="preserve">2.2  Transport  infrastructure planned through “cross cutting” documents </w:t>
            </w:r>
          </w:p>
        </w:tc>
        <w:tc>
          <w:tcPr>
            <w:tcW w:w="1417" w:type="dxa"/>
            <w:gridSpan w:val="2"/>
          </w:tcPr>
          <w:p w14:paraId="07DEF36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2.2.1 </w:t>
            </w:r>
          </w:p>
        </w:tc>
        <w:tc>
          <w:tcPr>
            <w:tcW w:w="3260" w:type="dxa"/>
            <w:gridSpan w:val="2"/>
          </w:tcPr>
          <w:p w14:paraId="0F2D0081"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to maintain and improve the quality and capacity of airports in Montenegro </w:t>
            </w:r>
          </w:p>
          <w:p w14:paraId="4C7903EB" w14:textId="77777777" w:rsidR="00861CB1" w:rsidRPr="003C7CB1" w:rsidRDefault="00861CB1" w:rsidP="00861CB1">
            <w:pPr>
              <w:contextualSpacing/>
              <w:rPr>
                <w:rFonts w:ascii="Calibri" w:eastAsia="Calibri" w:hAnsi="Calibri" w:cs="Calibri"/>
              </w:rPr>
            </w:pPr>
          </w:p>
        </w:tc>
        <w:tc>
          <w:tcPr>
            <w:tcW w:w="1843" w:type="dxa"/>
            <w:gridSpan w:val="3"/>
          </w:tcPr>
          <w:p w14:paraId="59982AE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MCI / </w:t>
            </w:r>
          </w:p>
          <w:p w14:paraId="3DB2ECA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JSC Airports of Montenegro </w:t>
            </w:r>
          </w:p>
        </w:tc>
        <w:tc>
          <w:tcPr>
            <w:tcW w:w="1703" w:type="dxa"/>
          </w:tcPr>
          <w:p w14:paraId="142CE15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18CD7BF5" w14:textId="77777777" w:rsidR="00861CB1" w:rsidRPr="003C7CB1" w:rsidRDefault="00861CB1" w:rsidP="00861CB1">
            <w:pPr>
              <w:contextualSpacing/>
              <w:jc w:val="center"/>
              <w:rPr>
                <w:rFonts w:ascii="Calibri" w:eastAsia="Calibri" w:hAnsi="Calibri" w:cs="Calibri"/>
              </w:rPr>
            </w:pPr>
          </w:p>
          <w:p w14:paraId="1E192612"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bCs/>
              </w:rPr>
              <w:t>The implementation of activities continues after 2022 and will be the subject of the next AP Strategy</w:t>
            </w:r>
          </w:p>
        </w:tc>
        <w:tc>
          <w:tcPr>
            <w:tcW w:w="1841" w:type="dxa"/>
          </w:tcPr>
          <w:p w14:paraId="45D63FA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projects / activities implemented in order to maintain / improve the quality and capacity of airports in Montenegro </w:t>
            </w:r>
          </w:p>
          <w:p w14:paraId="4753DB14" w14:textId="77777777" w:rsidR="00861CB1" w:rsidRPr="003C7CB1" w:rsidRDefault="00861CB1" w:rsidP="00861CB1">
            <w:pPr>
              <w:contextualSpacing/>
              <w:jc w:val="center"/>
              <w:rPr>
                <w:rFonts w:ascii="Calibri" w:eastAsia="Calibri" w:hAnsi="Calibri" w:cs="Calibri"/>
              </w:rPr>
            </w:pPr>
          </w:p>
          <w:p w14:paraId="7708751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Cs/>
              </w:rPr>
              <w:t xml:space="preserve">Annual work report of  </w:t>
            </w:r>
            <w:r w:rsidRPr="003C7CB1">
              <w:rPr>
                <w:rFonts w:ascii="Calibri" w:eastAsia="Calibri" w:hAnsi="Calibri" w:cs="Calibri"/>
              </w:rPr>
              <w:t xml:space="preserve">MCI / </w:t>
            </w:r>
            <w:r w:rsidRPr="003C7CB1">
              <w:rPr>
                <w:rFonts w:ascii="Calibri" w:eastAsia="Calibri" w:hAnsi="Calibri" w:cs="Calibri"/>
              </w:rPr>
              <w:lastRenderedPageBreak/>
              <w:t xml:space="preserve">JSC Airports of Montenegro </w:t>
            </w:r>
          </w:p>
        </w:tc>
        <w:tc>
          <w:tcPr>
            <w:tcW w:w="1494" w:type="dxa"/>
            <w:gridSpan w:val="2"/>
          </w:tcPr>
          <w:p w14:paraId="1A7FEF1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Budget of competent institutions </w:t>
            </w:r>
          </w:p>
        </w:tc>
      </w:tr>
      <w:tr w:rsidR="00861CB1" w:rsidRPr="003C7CB1" w14:paraId="79CBEFAB" w14:textId="77777777" w:rsidTr="00861CB1">
        <w:trPr>
          <w:jc w:val="center"/>
        </w:trPr>
        <w:tc>
          <w:tcPr>
            <w:tcW w:w="2122" w:type="dxa"/>
            <w:vMerge/>
            <w:shd w:val="clear" w:color="auto" w:fill="FFFFFF"/>
          </w:tcPr>
          <w:p w14:paraId="07826F15" w14:textId="77777777" w:rsidR="00861CB1" w:rsidRPr="003C7CB1" w:rsidRDefault="00861CB1" w:rsidP="00861CB1">
            <w:pPr>
              <w:contextualSpacing/>
              <w:rPr>
                <w:rFonts w:ascii="Calibri" w:eastAsia="Calibri" w:hAnsi="Calibri" w:cs="Calibri"/>
                <w:sz w:val="24"/>
                <w:szCs w:val="24"/>
              </w:rPr>
            </w:pPr>
          </w:p>
        </w:tc>
        <w:tc>
          <w:tcPr>
            <w:tcW w:w="1417" w:type="dxa"/>
            <w:gridSpan w:val="2"/>
          </w:tcPr>
          <w:p w14:paraId="31EC1E7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2.2.2 </w:t>
            </w:r>
          </w:p>
        </w:tc>
        <w:tc>
          <w:tcPr>
            <w:tcW w:w="3260" w:type="dxa"/>
            <w:gridSpan w:val="2"/>
          </w:tcPr>
          <w:p w14:paraId="4A59B104"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to improve the air transport accessibility of Montenegro </w:t>
            </w:r>
          </w:p>
        </w:tc>
        <w:tc>
          <w:tcPr>
            <w:tcW w:w="1843" w:type="dxa"/>
            <w:gridSpan w:val="3"/>
          </w:tcPr>
          <w:p w14:paraId="6DE8D4F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MCI / </w:t>
            </w:r>
          </w:p>
          <w:p w14:paraId="183F2B3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Airports of Montenegro </w:t>
            </w:r>
          </w:p>
        </w:tc>
        <w:tc>
          <w:tcPr>
            <w:tcW w:w="1703" w:type="dxa"/>
          </w:tcPr>
          <w:p w14:paraId="4A6A10B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6210CCC5" w14:textId="77777777" w:rsidR="00861CB1" w:rsidRPr="003C7CB1" w:rsidRDefault="00861CB1" w:rsidP="00861CB1">
            <w:pPr>
              <w:contextualSpacing/>
              <w:jc w:val="center"/>
              <w:rPr>
                <w:rFonts w:ascii="Calibri" w:eastAsia="Calibri" w:hAnsi="Calibri" w:cs="Calibri"/>
              </w:rPr>
            </w:pPr>
          </w:p>
          <w:p w14:paraId="398C7E8E"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5DDFD10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new direct airlines, frequency of flights </w:t>
            </w:r>
          </w:p>
          <w:p w14:paraId="6E6298EF" w14:textId="77777777" w:rsidR="00861CB1" w:rsidRPr="003C7CB1" w:rsidRDefault="00861CB1" w:rsidP="00861CB1">
            <w:pPr>
              <w:contextualSpacing/>
              <w:jc w:val="center"/>
              <w:rPr>
                <w:rFonts w:ascii="Calibri" w:eastAsia="Calibri" w:hAnsi="Calibri" w:cs="Calibri"/>
              </w:rPr>
            </w:pPr>
          </w:p>
          <w:p w14:paraId="57920D25" w14:textId="42EEED16" w:rsidR="00861CB1" w:rsidRPr="003C7CB1" w:rsidRDefault="00861CB1" w:rsidP="00861CB1">
            <w:pPr>
              <w:contextualSpacing/>
              <w:jc w:val="center"/>
              <w:rPr>
                <w:rFonts w:ascii="Calibri" w:eastAsia="Calibri" w:hAnsi="Calibri" w:cs="Calibri"/>
              </w:rPr>
            </w:pPr>
            <w:r w:rsidRPr="003C7CB1">
              <w:rPr>
                <w:rFonts w:ascii="Calibri" w:eastAsia="Calibri" w:hAnsi="Calibri" w:cs="Calibri"/>
                <w:bCs/>
              </w:rPr>
              <w:t xml:space="preserve">Annual work report </w:t>
            </w:r>
            <w:r w:rsidR="00AE5C5F" w:rsidRPr="003C7CB1">
              <w:rPr>
                <w:rFonts w:ascii="Calibri" w:eastAsia="Calibri" w:hAnsi="Calibri" w:cs="Calibri"/>
                <w:bCs/>
              </w:rPr>
              <w:t>of MCI</w:t>
            </w:r>
            <w:r w:rsidRPr="003C7CB1">
              <w:rPr>
                <w:rFonts w:ascii="Calibri" w:eastAsia="Calibri" w:hAnsi="Calibri" w:cs="Calibri"/>
              </w:rPr>
              <w:t xml:space="preserve"> / JSC Airports of Montenegro / </w:t>
            </w:r>
            <w:proofErr w:type="spellStart"/>
            <w:r w:rsidRPr="003C7CB1">
              <w:rPr>
                <w:rFonts w:ascii="Calibri" w:eastAsia="Calibri" w:hAnsi="Calibri" w:cs="Calibri"/>
              </w:rPr>
              <w:t>ToMontenegro</w:t>
            </w:r>
            <w:proofErr w:type="spellEnd"/>
            <w:r w:rsidRPr="003C7CB1">
              <w:rPr>
                <w:rFonts w:ascii="Calibri" w:eastAsia="Calibri" w:hAnsi="Calibri" w:cs="Calibri"/>
              </w:rPr>
              <w:t xml:space="preserve"> </w:t>
            </w:r>
          </w:p>
          <w:p w14:paraId="190F3C41" w14:textId="77777777" w:rsidR="00861CB1" w:rsidRPr="003C7CB1" w:rsidRDefault="00861CB1" w:rsidP="00861CB1">
            <w:pPr>
              <w:contextualSpacing/>
              <w:jc w:val="center"/>
              <w:rPr>
                <w:rFonts w:ascii="Calibri" w:eastAsia="Calibri" w:hAnsi="Calibri" w:cs="Calibri"/>
              </w:rPr>
            </w:pPr>
          </w:p>
        </w:tc>
        <w:tc>
          <w:tcPr>
            <w:tcW w:w="1494" w:type="dxa"/>
            <w:gridSpan w:val="2"/>
          </w:tcPr>
          <w:p w14:paraId="78874E18" w14:textId="77777777" w:rsidR="00861CB1" w:rsidRPr="003C7CB1" w:rsidRDefault="00861CB1" w:rsidP="00861CB1">
            <w:pPr>
              <w:contextualSpacing/>
              <w:jc w:val="center"/>
              <w:rPr>
                <w:rFonts w:ascii="Calibri" w:eastAsia="Calibri" w:hAnsi="Calibri" w:cs="Calibri"/>
                <w:highlight w:val="yellow"/>
              </w:rPr>
            </w:pPr>
            <w:r w:rsidRPr="003C7CB1">
              <w:rPr>
                <w:rFonts w:ascii="Calibri" w:eastAsia="Calibri" w:hAnsi="Calibri" w:cs="Calibri"/>
              </w:rPr>
              <w:t xml:space="preserve">No financial resources are required </w:t>
            </w:r>
          </w:p>
        </w:tc>
      </w:tr>
      <w:tr w:rsidR="00861CB1" w:rsidRPr="003C7CB1" w14:paraId="23896FE2" w14:textId="77777777" w:rsidTr="00861CB1">
        <w:trPr>
          <w:jc w:val="center"/>
        </w:trPr>
        <w:tc>
          <w:tcPr>
            <w:tcW w:w="2122" w:type="dxa"/>
            <w:vMerge/>
            <w:shd w:val="clear" w:color="auto" w:fill="FFFFFF"/>
          </w:tcPr>
          <w:p w14:paraId="1FB66431"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332E630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2.2.3 </w:t>
            </w:r>
          </w:p>
        </w:tc>
        <w:tc>
          <w:tcPr>
            <w:tcW w:w="3260" w:type="dxa"/>
            <w:gridSpan w:val="2"/>
          </w:tcPr>
          <w:p w14:paraId="1599B200" w14:textId="77777777" w:rsidR="00861CB1" w:rsidRPr="003C7CB1" w:rsidRDefault="00861CB1" w:rsidP="00861CB1">
            <w:pPr>
              <w:rPr>
                <w:rFonts w:ascii="Calibri" w:eastAsia="Calibri" w:hAnsi="Calibri" w:cs="Calibri"/>
              </w:rPr>
            </w:pPr>
            <w:r w:rsidRPr="003C7CB1">
              <w:rPr>
                <w:rFonts w:ascii="Calibri" w:eastAsia="Calibri" w:hAnsi="Calibri" w:cs="Calibri"/>
              </w:rPr>
              <w:t xml:space="preserve">Implementation of measures and activities on maintenance of existing and construction of new infrastructure in road transport </w:t>
            </w:r>
          </w:p>
        </w:tc>
        <w:tc>
          <w:tcPr>
            <w:tcW w:w="1843" w:type="dxa"/>
            <w:gridSpan w:val="3"/>
          </w:tcPr>
          <w:p w14:paraId="444E752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MCI / </w:t>
            </w:r>
          </w:p>
          <w:p w14:paraId="10F13A2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Directorate for Transport , local governments </w:t>
            </w:r>
          </w:p>
        </w:tc>
        <w:tc>
          <w:tcPr>
            <w:tcW w:w="1703" w:type="dxa"/>
          </w:tcPr>
          <w:p w14:paraId="114FB91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3A7D5F0F" w14:textId="77777777" w:rsidR="00861CB1" w:rsidRPr="003C7CB1" w:rsidRDefault="00861CB1" w:rsidP="00861CB1">
            <w:pPr>
              <w:contextualSpacing/>
              <w:jc w:val="center"/>
              <w:rPr>
                <w:rFonts w:ascii="Calibri" w:eastAsia="Calibri" w:hAnsi="Calibri" w:cs="Calibri"/>
                <w:b/>
              </w:rPr>
            </w:pPr>
          </w:p>
          <w:p w14:paraId="76B48DE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07B4AD6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Number of roads that have been improved / built</w:t>
            </w:r>
          </w:p>
          <w:p w14:paraId="396C7A1E" w14:textId="77777777" w:rsidR="00861CB1" w:rsidRPr="003C7CB1" w:rsidRDefault="00861CB1" w:rsidP="00861CB1">
            <w:pPr>
              <w:contextualSpacing/>
              <w:jc w:val="center"/>
              <w:rPr>
                <w:rFonts w:ascii="Calibri" w:eastAsia="Calibri" w:hAnsi="Calibri" w:cs="Calibri"/>
              </w:rPr>
            </w:pPr>
          </w:p>
          <w:p w14:paraId="1195B1D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report on the work of competent institutions </w:t>
            </w:r>
          </w:p>
        </w:tc>
        <w:tc>
          <w:tcPr>
            <w:tcW w:w="1494" w:type="dxa"/>
            <w:gridSpan w:val="2"/>
          </w:tcPr>
          <w:p w14:paraId="36D4FA0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tc>
      </w:tr>
      <w:tr w:rsidR="00861CB1" w:rsidRPr="003C7CB1" w14:paraId="4B0F90A5" w14:textId="77777777" w:rsidTr="00861CB1">
        <w:trPr>
          <w:jc w:val="center"/>
        </w:trPr>
        <w:tc>
          <w:tcPr>
            <w:tcW w:w="2122" w:type="dxa"/>
            <w:vMerge/>
            <w:shd w:val="clear" w:color="auto" w:fill="FFFFFF"/>
          </w:tcPr>
          <w:p w14:paraId="6A95FC8D"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1706AA0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2.2.4 </w:t>
            </w:r>
          </w:p>
        </w:tc>
        <w:tc>
          <w:tcPr>
            <w:tcW w:w="3260" w:type="dxa"/>
            <w:gridSpan w:val="2"/>
          </w:tcPr>
          <w:p w14:paraId="75B6A616"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to improve the quality and capacity of border crossings </w:t>
            </w:r>
          </w:p>
        </w:tc>
        <w:tc>
          <w:tcPr>
            <w:tcW w:w="1843" w:type="dxa"/>
            <w:gridSpan w:val="3"/>
          </w:tcPr>
          <w:p w14:paraId="7B0E935F" w14:textId="77777777" w:rsidR="00861CB1" w:rsidRPr="003C7CB1" w:rsidRDefault="00861CB1" w:rsidP="00861CB1">
            <w:pPr>
              <w:contextualSpacing/>
              <w:jc w:val="center"/>
              <w:rPr>
                <w:rFonts w:ascii="Calibri" w:eastAsia="Calibri" w:hAnsi="Calibri" w:cs="Calibri"/>
              </w:rPr>
            </w:pPr>
            <w:proofErr w:type="spellStart"/>
            <w:r w:rsidRPr="003C7CB1">
              <w:rPr>
                <w:rFonts w:ascii="Calibri" w:eastAsia="Calibri" w:hAnsi="Calibri" w:cs="Calibri"/>
              </w:rPr>
              <w:t>MoI</w:t>
            </w:r>
            <w:proofErr w:type="spellEnd"/>
            <w:r w:rsidRPr="003C7CB1">
              <w:rPr>
                <w:rFonts w:ascii="Calibri" w:eastAsia="Calibri" w:hAnsi="Calibri" w:cs="Calibri"/>
              </w:rPr>
              <w:t xml:space="preserve"> /</w:t>
            </w:r>
          </w:p>
          <w:p w14:paraId="7938AD9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MCI </w:t>
            </w:r>
          </w:p>
        </w:tc>
        <w:tc>
          <w:tcPr>
            <w:tcW w:w="1703" w:type="dxa"/>
          </w:tcPr>
          <w:p w14:paraId="0E68E42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6905AC12"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bCs/>
              </w:rPr>
              <w:t xml:space="preserve">The implementation of activities </w:t>
            </w:r>
            <w:r w:rsidRPr="003C7CB1">
              <w:rPr>
                <w:rFonts w:ascii="Calibri" w:eastAsia="Calibri" w:hAnsi="Calibri" w:cs="Calibri"/>
                <w:b/>
                <w:bCs/>
              </w:rPr>
              <w:lastRenderedPageBreak/>
              <w:t xml:space="preserve">continues after 2022 and will be the subject of the next AP Strategy </w:t>
            </w:r>
          </w:p>
        </w:tc>
        <w:tc>
          <w:tcPr>
            <w:tcW w:w="1841" w:type="dxa"/>
          </w:tcPr>
          <w:p w14:paraId="19A70AB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Number of border crossings with improved </w:t>
            </w:r>
            <w:r w:rsidRPr="003C7CB1">
              <w:rPr>
                <w:rFonts w:ascii="Calibri" w:eastAsia="Calibri" w:hAnsi="Calibri" w:cs="Calibri"/>
              </w:rPr>
              <w:lastRenderedPageBreak/>
              <w:t xml:space="preserve">quality and / or capacity </w:t>
            </w:r>
          </w:p>
        </w:tc>
        <w:tc>
          <w:tcPr>
            <w:tcW w:w="1494" w:type="dxa"/>
            <w:gridSpan w:val="2"/>
          </w:tcPr>
          <w:p w14:paraId="38525EE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Budget of the competent institution </w:t>
            </w:r>
          </w:p>
        </w:tc>
      </w:tr>
      <w:tr w:rsidR="00861CB1" w:rsidRPr="003C7CB1" w14:paraId="4E2B6AAC" w14:textId="77777777" w:rsidTr="00861CB1">
        <w:trPr>
          <w:jc w:val="center"/>
        </w:trPr>
        <w:tc>
          <w:tcPr>
            <w:tcW w:w="2122" w:type="dxa"/>
            <w:vMerge/>
            <w:shd w:val="clear" w:color="auto" w:fill="FFFFFF"/>
          </w:tcPr>
          <w:p w14:paraId="2F2CE3C8"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682B415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2.2.5 </w:t>
            </w:r>
          </w:p>
        </w:tc>
        <w:tc>
          <w:tcPr>
            <w:tcW w:w="3260" w:type="dxa"/>
            <w:gridSpan w:val="2"/>
          </w:tcPr>
          <w:p w14:paraId="5E760CE7"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on maintenance and improvement of railway infrastructure </w:t>
            </w:r>
          </w:p>
        </w:tc>
        <w:tc>
          <w:tcPr>
            <w:tcW w:w="1843" w:type="dxa"/>
            <w:gridSpan w:val="3"/>
          </w:tcPr>
          <w:p w14:paraId="71D9EE8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caps/>
              </w:rPr>
              <w:t>MCI</w:t>
            </w:r>
            <w:r w:rsidRPr="003C7CB1">
              <w:rPr>
                <w:rFonts w:ascii="Calibri" w:eastAsia="Calibri" w:hAnsi="Calibri" w:cs="Calibri"/>
              </w:rPr>
              <w:t xml:space="preserve"> / </w:t>
            </w:r>
          </w:p>
          <w:p w14:paraId="509FBCF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RIM </w:t>
            </w:r>
          </w:p>
        </w:tc>
        <w:tc>
          <w:tcPr>
            <w:tcW w:w="1703" w:type="dxa"/>
          </w:tcPr>
          <w:p w14:paraId="1B21B53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7732A6A5" w14:textId="77777777" w:rsidR="00861CB1" w:rsidRPr="003C7CB1" w:rsidRDefault="00861CB1" w:rsidP="00861CB1">
            <w:pPr>
              <w:contextualSpacing/>
              <w:jc w:val="center"/>
              <w:rPr>
                <w:rFonts w:ascii="Calibri" w:eastAsia="Calibri" w:hAnsi="Calibri" w:cs="Calibri"/>
              </w:rPr>
            </w:pPr>
          </w:p>
          <w:p w14:paraId="6D2FFEB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654B157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implemented activities on maintenance and improvement of railway infrastructure </w:t>
            </w:r>
          </w:p>
          <w:p w14:paraId="0C8404A6" w14:textId="77777777" w:rsidR="00861CB1" w:rsidRPr="003C7CB1" w:rsidRDefault="00861CB1" w:rsidP="00861CB1">
            <w:pPr>
              <w:contextualSpacing/>
              <w:jc w:val="center"/>
              <w:rPr>
                <w:rFonts w:ascii="Calibri" w:eastAsia="Calibri" w:hAnsi="Calibri" w:cs="Calibri"/>
              </w:rPr>
            </w:pPr>
          </w:p>
          <w:p w14:paraId="3FB31C8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555A918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p w14:paraId="0E8CE49F" w14:textId="77777777" w:rsidR="00861CB1" w:rsidRPr="003C7CB1" w:rsidRDefault="00861CB1" w:rsidP="00861CB1">
            <w:pPr>
              <w:contextualSpacing/>
              <w:jc w:val="center"/>
              <w:rPr>
                <w:rFonts w:ascii="Calibri" w:eastAsia="Calibri" w:hAnsi="Calibri" w:cs="Calibri"/>
              </w:rPr>
            </w:pPr>
          </w:p>
        </w:tc>
      </w:tr>
      <w:tr w:rsidR="00861CB1" w:rsidRPr="003C7CB1" w14:paraId="6BA267E6" w14:textId="77777777" w:rsidTr="00861CB1">
        <w:trPr>
          <w:trHeight w:val="650"/>
          <w:jc w:val="center"/>
        </w:trPr>
        <w:tc>
          <w:tcPr>
            <w:tcW w:w="2122" w:type="dxa"/>
            <w:vMerge/>
            <w:shd w:val="clear" w:color="auto" w:fill="FFFFFF"/>
          </w:tcPr>
          <w:p w14:paraId="72A82A30"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38676E3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2.2.6 </w:t>
            </w:r>
          </w:p>
        </w:tc>
        <w:tc>
          <w:tcPr>
            <w:tcW w:w="3260" w:type="dxa"/>
            <w:gridSpan w:val="2"/>
          </w:tcPr>
          <w:p w14:paraId="72FD35A2"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Establishment of local marine transport as an integral part of local transport (emphasis on the Bay of Kotor), in order to combat bottlenecks in road transport. </w:t>
            </w:r>
          </w:p>
          <w:p w14:paraId="76FF8461" w14:textId="77777777" w:rsidR="00861CB1" w:rsidRPr="003C7CB1" w:rsidRDefault="00861CB1" w:rsidP="00861CB1">
            <w:pPr>
              <w:contextualSpacing/>
              <w:rPr>
                <w:rFonts w:ascii="Calibri" w:eastAsia="Calibri" w:hAnsi="Calibri" w:cs="Calibri"/>
              </w:rPr>
            </w:pPr>
          </w:p>
          <w:p w14:paraId="4386793F"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w:t>
            </w:r>
            <w:r w:rsidRPr="003C7CB1">
              <w:rPr>
                <w:rFonts w:ascii="Calibri" w:eastAsia="Calibri" w:hAnsi="Calibri" w:cs="Calibri"/>
                <w:color w:val="281E1E"/>
                <w:shd w:val="clear" w:color="auto" w:fill="FFFFFF"/>
              </w:rPr>
              <w:t xml:space="preserve">  Defining waterways for local maritime transport within the Bay of Kotor with berths for ships </w:t>
            </w:r>
            <w:r w:rsidRPr="003C7CB1">
              <w:rPr>
                <w:rFonts w:ascii="Calibri" w:eastAsia="Calibri" w:hAnsi="Calibri" w:cs="Calibri"/>
                <w:color w:val="281E1E"/>
                <w:shd w:val="clear" w:color="auto" w:fill="FFFFFF"/>
              </w:rPr>
              <w:lastRenderedPageBreak/>
              <w:t xml:space="preserve">(water buses) and access parking lots. </w:t>
            </w:r>
          </w:p>
        </w:tc>
        <w:tc>
          <w:tcPr>
            <w:tcW w:w="1843" w:type="dxa"/>
            <w:gridSpan w:val="3"/>
          </w:tcPr>
          <w:p w14:paraId="18E6310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caps/>
              </w:rPr>
              <w:lastRenderedPageBreak/>
              <w:t>MCI</w:t>
            </w:r>
            <w:r w:rsidRPr="003C7CB1">
              <w:rPr>
                <w:rFonts w:ascii="Calibri" w:eastAsia="Calibri" w:hAnsi="Calibri" w:cs="Calibri"/>
              </w:rPr>
              <w:t>, Administration for Maritime Safety and Port Management, local governments /</w:t>
            </w:r>
          </w:p>
          <w:p w14:paraId="51F42D9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PECZM </w:t>
            </w:r>
          </w:p>
        </w:tc>
        <w:tc>
          <w:tcPr>
            <w:tcW w:w="1703" w:type="dxa"/>
          </w:tcPr>
          <w:p w14:paraId="1F85D55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6C56627D" w14:textId="77777777" w:rsidR="00861CB1" w:rsidRPr="003C7CB1" w:rsidRDefault="00861CB1" w:rsidP="00861CB1">
            <w:pPr>
              <w:contextualSpacing/>
              <w:rPr>
                <w:rFonts w:ascii="Calibri" w:eastAsia="Calibri" w:hAnsi="Calibri" w:cs="Calibri"/>
              </w:rPr>
            </w:pPr>
          </w:p>
          <w:p w14:paraId="490D473A"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1D72529D" w14:textId="77777777" w:rsidR="00861CB1" w:rsidRPr="003C7CB1" w:rsidRDefault="00861CB1" w:rsidP="00861CB1">
            <w:pPr>
              <w:contextualSpacing/>
              <w:rPr>
                <w:rFonts w:ascii="Calibri" w:eastAsia="Calibri" w:hAnsi="Calibri" w:cs="Calibri"/>
              </w:rPr>
            </w:pPr>
          </w:p>
          <w:p w14:paraId="45D82302" w14:textId="77777777" w:rsidR="00861CB1" w:rsidRPr="003C7CB1" w:rsidRDefault="00861CB1" w:rsidP="00861CB1">
            <w:pPr>
              <w:contextualSpacing/>
              <w:jc w:val="center"/>
              <w:rPr>
                <w:rFonts w:ascii="Calibri" w:eastAsia="Calibri" w:hAnsi="Calibri" w:cs="Calibri"/>
                <w:color w:val="281E1E"/>
                <w:shd w:val="clear" w:color="auto" w:fill="FFFFFF"/>
              </w:rPr>
            </w:pPr>
            <w:r w:rsidRPr="003C7CB1">
              <w:rPr>
                <w:rFonts w:ascii="Calibri" w:eastAsia="Calibri" w:hAnsi="Calibri" w:cs="Calibri"/>
              </w:rPr>
              <w:t xml:space="preserve">Number of established local marine transport lines </w:t>
            </w:r>
          </w:p>
          <w:p w14:paraId="0FC3D2A1" w14:textId="77777777" w:rsidR="00861CB1" w:rsidRPr="003C7CB1" w:rsidRDefault="00861CB1" w:rsidP="00861CB1">
            <w:pPr>
              <w:contextualSpacing/>
              <w:rPr>
                <w:rFonts w:ascii="Calibri" w:eastAsia="Calibri" w:hAnsi="Calibri" w:cs="Calibri"/>
                <w:color w:val="281E1E"/>
                <w:shd w:val="clear" w:color="auto" w:fill="FFFFFF"/>
              </w:rPr>
            </w:pPr>
          </w:p>
          <w:p w14:paraId="6674283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color w:val="281E1E"/>
                <w:shd w:val="clear" w:color="auto" w:fill="FFFFFF"/>
              </w:rPr>
              <w:t xml:space="preserve">Annual work report  of competent institutions </w:t>
            </w:r>
          </w:p>
        </w:tc>
        <w:tc>
          <w:tcPr>
            <w:tcW w:w="1494" w:type="dxa"/>
            <w:gridSpan w:val="2"/>
          </w:tcPr>
          <w:p w14:paraId="11382CB0" w14:textId="77777777" w:rsidR="00861CB1" w:rsidRPr="003C7CB1" w:rsidRDefault="00861CB1" w:rsidP="00861CB1">
            <w:pPr>
              <w:contextualSpacing/>
              <w:jc w:val="both"/>
              <w:rPr>
                <w:rFonts w:ascii="Calibri" w:eastAsia="Calibri" w:hAnsi="Calibri" w:cs="Calibri"/>
              </w:rPr>
            </w:pPr>
          </w:p>
          <w:p w14:paraId="331719D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institutions </w:t>
            </w:r>
          </w:p>
          <w:p w14:paraId="1846B535" w14:textId="77777777" w:rsidR="00861CB1" w:rsidRPr="003C7CB1" w:rsidRDefault="00861CB1" w:rsidP="00861CB1">
            <w:pPr>
              <w:contextualSpacing/>
              <w:jc w:val="center"/>
              <w:rPr>
                <w:rFonts w:ascii="Calibri" w:eastAsia="Calibri" w:hAnsi="Calibri" w:cs="Calibri"/>
              </w:rPr>
            </w:pPr>
          </w:p>
        </w:tc>
      </w:tr>
      <w:tr w:rsidR="00861CB1" w:rsidRPr="003C7CB1" w14:paraId="3D1DDEC6" w14:textId="77777777" w:rsidTr="00861CB1">
        <w:trPr>
          <w:jc w:val="center"/>
        </w:trPr>
        <w:tc>
          <w:tcPr>
            <w:tcW w:w="2122" w:type="dxa"/>
            <w:vMerge w:val="restart"/>
            <w:shd w:val="clear" w:color="auto" w:fill="FFFFFF"/>
          </w:tcPr>
          <w:p w14:paraId="5078E4DB" w14:textId="77777777" w:rsidR="00861CB1" w:rsidRPr="003C7CB1" w:rsidRDefault="00861CB1" w:rsidP="00861CB1">
            <w:pPr>
              <w:contextualSpacing/>
              <w:rPr>
                <w:rFonts w:ascii="Calibri" w:eastAsia="Calibri" w:hAnsi="Calibri" w:cs="Calibri"/>
                <w:b/>
              </w:rPr>
            </w:pPr>
          </w:p>
          <w:p w14:paraId="48F07A9A"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
                <w:bCs/>
              </w:rPr>
              <w:t>2.3 Community</w:t>
            </w:r>
          </w:p>
          <w:p w14:paraId="4C9C4601" w14:textId="77777777" w:rsidR="00861CB1" w:rsidRPr="003C7CB1" w:rsidRDefault="00861CB1" w:rsidP="00861CB1">
            <w:pPr>
              <w:contextualSpacing/>
              <w:rPr>
                <w:rFonts w:ascii="Calibri" w:eastAsia="Calibri" w:hAnsi="Calibri" w:cs="Calibri"/>
                <w:b/>
                <w:sz w:val="24"/>
                <w:szCs w:val="24"/>
              </w:rPr>
            </w:pPr>
            <w:r w:rsidRPr="003C7CB1">
              <w:rPr>
                <w:rFonts w:ascii="Calibri" w:eastAsia="Calibri" w:hAnsi="Calibri" w:cs="Calibri"/>
                <w:b/>
                <w:bCs/>
              </w:rPr>
              <w:t xml:space="preserve">infrastructure planned through cross-cutting documents </w:t>
            </w:r>
          </w:p>
        </w:tc>
        <w:tc>
          <w:tcPr>
            <w:tcW w:w="1417" w:type="dxa"/>
            <w:gridSpan w:val="2"/>
          </w:tcPr>
          <w:p w14:paraId="223668F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2.3.1 </w:t>
            </w:r>
          </w:p>
        </w:tc>
        <w:tc>
          <w:tcPr>
            <w:tcW w:w="3260" w:type="dxa"/>
            <w:gridSpan w:val="2"/>
          </w:tcPr>
          <w:p w14:paraId="1C655B9E"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for maintenance and improvement of water supply </w:t>
            </w:r>
          </w:p>
          <w:p w14:paraId="7778835A"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 </w:t>
            </w:r>
          </w:p>
        </w:tc>
        <w:tc>
          <w:tcPr>
            <w:tcW w:w="1843" w:type="dxa"/>
            <w:gridSpan w:val="3"/>
          </w:tcPr>
          <w:p w14:paraId="6554146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MAFWM / local government </w:t>
            </w:r>
          </w:p>
        </w:tc>
        <w:tc>
          <w:tcPr>
            <w:tcW w:w="1703" w:type="dxa"/>
          </w:tcPr>
          <w:p w14:paraId="65A04F7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52159F6F" w14:textId="77777777" w:rsidR="00861CB1" w:rsidRPr="003C7CB1" w:rsidRDefault="00861CB1" w:rsidP="00861CB1">
            <w:pPr>
              <w:contextualSpacing/>
              <w:jc w:val="center"/>
              <w:rPr>
                <w:rFonts w:ascii="Calibri" w:eastAsia="Calibri" w:hAnsi="Calibri" w:cs="Calibri"/>
              </w:rPr>
            </w:pPr>
          </w:p>
          <w:p w14:paraId="2292544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62B89B7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projects / activities to improve water supply </w:t>
            </w:r>
          </w:p>
          <w:p w14:paraId="5F30CC04" w14:textId="77777777" w:rsidR="00861CB1" w:rsidRPr="003C7CB1" w:rsidRDefault="00861CB1" w:rsidP="00861CB1">
            <w:pPr>
              <w:contextualSpacing/>
              <w:jc w:val="center"/>
              <w:rPr>
                <w:rFonts w:ascii="Calibri" w:eastAsia="Calibri" w:hAnsi="Calibri" w:cs="Calibri"/>
              </w:rPr>
            </w:pPr>
          </w:p>
          <w:p w14:paraId="6E0FA09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6891040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institutions </w:t>
            </w:r>
          </w:p>
          <w:p w14:paraId="1E54FA95" w14:textId="77777777" w:rsidR="00861CB1" w:rsidRPr="003C7CB1" w:rsidRDefault="00861CB1" w:rsidP="00861CB1">
            <w:pPr>
              <w:contextualSpacing/>
              <w:jc w:val="both"/>
              <w:rPr>
                <w:rFonts w:ascii="Calibri" w:eastAsia="Calibri" w:hAnsi="Calibri" w:cs="Calibri"/>
                <w:sz w:val="24"/>
                <w:szCs w:val="24"/>
              </w:rPr>
            </w:pPr>
          </w:p>
        </w:tc>
      </w:tr>
      <w:tr w:rsidR="00861CB1" w:rsidRPr="003C7CB1" w14:paraId="6370C3DB" w14:textId="77777777" w:rsidTr="00861CB1">
        <w:trPr>
          <w:jc w:val="center"/>
        </w:trPr>
        <w:tc>
          <w:tcPr>
            <w:tcW w:w="2122" w:type="dxa"/>
            <w:vMerge/>
            <w:shd w:val="clear" w:color="auto" w:fill="FFFFFF"/>
          </w:tcPr>
          <w:p w14:paraId="3DF8380F"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768B610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2.3.2 </w:t>
            </w:r>
          </w:p>
        </w:tc>
        <w:tc>
          <w:tcPr>
            <w:tcW w:w="3260" w:type="dxa"/>
            <w:gridSpan w:val="2"/>
          </w:tcPr>
          <w:p w14:paraId="5C16319E"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measures and activities of national waste management plans </w:t>
            </w:r>
          </w:p>
        </w:tc>
        <w:tc>
          <w:tcPr>
            <w:tcW w:w="1843" w:type="dxa"/>
            <w:gridSpan w:val="3"/>
          </w:tcPr>
          <w:p w14:paraId="5A7A5FC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MESPU / local governments </w:t>
            </w:r>
          </w:p>
        </w:tc>
        <w:tc>
          <w:tcPr>
            <w:tcW w:w="1703" w:type="dxa"/>
          </w:tcPr>
          <w:p w14:paraId="23B925E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10F06CEF" w14:textId="77777777" w:rsidR="00861CB1" w:rsidRPr="003C7CB1" w:rsidRDefault="00861CB1" w:rsidP="00861CB1">
            <w:pPr>
              <w:contextualSpacing/>
              <w:jc w:val="center"/>
              <w:rPr>
                <w:rFonts w:ascii="Calibri" w:eastAsia="Calibri" w:hAnsi="Calibri" w:cs="Calibri"/>
              </w:rPr>
            </w:pPr>
          </w:p>
          <w:p w14:paraId="728FC804"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bCs/>
              </w:rPr>
              <w:t xml:space="preserve">The implementation of activities continues after 2022 and will be the subject of the next AP Strategy </w:t>
            </w:r>
          </w:p>
        </w:tc>
        <w:tc>
          <w:tcPr>
            <w:tcW w:w="1841" w:type="dxa"/>
          </w:tcPr>
          <w:p w14:paraId="10F92E5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implemented project activities to improve waste management </w:t>
            </w:r>
          </w:p>
          <w:p w14:paraId="4272FD25" w14:textId="77777777" w:rsidR="00861CB1" w:rsidRPr="003C7CB1" w:rsidRDefault="00861CB1" w:rsidP="00861CB1">
            <w:pPr>
              <w:contextualSpacing/>
              <w:jc w:val="center"/>
              <w:rPr>
                <w:rFonts w:ascii="Calibri" w:eastAsia="Calibri" w:hAnsi="Calibri" w:cs="Calibri"/>
              </w:rPr>
            </w:pPr>
          </w:p>
          <w:p w14:paraId="506649D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7F2C5974" w14:textId="77777777" w:rsidR="00861CB1" w:rsidRPr="003C7CB1" w:rsidRDefault="00861CB1" w:rsidP="00861CB1">
            <w:pPr>
              <w:contextualSpacing/>
              <w:jc w:val="both"/>
              <w:rPr>
                <w:rFonts w:ascii="Calibri" w:eastAsia="Calibri" w:hAnsi="Calibri" w:cs="Calibri"/>
              </w:rPr>
            </w:pPr>
            <w:r w:rsidRPr="003C7CB1">
              <w:rPr>
                <w:rFonts w:ascii="Calibri" w:eastAsia="Calibri" w:hAnsi="Calibri" w:cs="Calibri"/>
              </w:rPr>
              <w:t xml:space="preserve">Budget of the competent institutions </w:t>
            </w:r>
          </w:p>
        </w:tc>
      </w:tr>
      <w:tr w:rsidR="00861CB1" w:rsidRPr="003C7CB1" w14:paraId="0C67FB03" w14:textId="77777777" w:rsidTr="00861CB1">
        <w:trPr>
          <w:trHeight w:val="3334"/>
          <w:jc w:val="center"/>
        </w:trPr>
        <w:tc>
          <w:tcPr>
            <w:tcW w:w="2122" w:type="dxa"/>
            <w:vMerge/>
            <w:shd w:val="clear" w:color="auto" w:fill="FFFFFF"/>
          </w:tcPr>
          <w:p w14:paraId="78168731"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134D4C7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2.3.3 </w:t>
            </w:r>
          </w:p>
        </w:tc>
        <w:tc>
          <w:tcPr>
            <w:tcW w:w="3260" w:type="dxa"/>
            <w:gridSpan w:val="2"/>
          </w:tcPr>
          <w:p w14:paraId="177AB61D"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Solving the problem of insufficient number of parking spaces in tourist places </w:t>
            </w:r>
          </w:p>
        </w:tc>
        <w:tc>
          <w:tcPr>
            <w:tcW w:w="1843" w:type="dxa"/>
            <w:gridSpan w:val="3"/>
          </w:tcPr>
          <w:p w14:paraId="59A9444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local government </w:t>
            </w:r>
          </w:p>
        </w:tc>
        <w:tc>
          <w:tcPr>
            <w:tcW w:w="1703" w:type="dxa"/>
          </w:tcPr>
          <w:p w14:paraId="4DAE795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3972EFDA" w14:textId="77777777" w:rsidR="00861CB1" w:rsidRPr="003C7CB1" w:rsidRDefault="00861CB1" w:rsidP="00861CB1">
            <w:pPr>
              <w:contextualSpacing/>
              <w:jc w:val="center"/>
              <w:rPr>
                <w:rFonts w:ascii="Calibri" w:eastAsia="Calibri" w:hAnsi="Calibri" w:cs="Calibri"/>
              </w:rPr>
            </w:pPr>
          </w:p>
          <w:p w14:paraId="09685CD5"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 multi-year project whose implementation continues after 2022 and will be the subject of the next AP Strategy </w:t>
            </w:r>
          </w:p>
          <w:p w14:paraId="03BE1AAB" w14:textId="77777777" w:rsidR="00861CB1" w:rsidRPr="003C7CB1" w:rsidRDefault="00861CB1" w:rsidP="00861CB1">
            <w:pPr>
              <w:contextualSpacing/>
              <w:jc w:val="center"/>
              <w:rPr>
                <w:rFonts w:ascii="Calibri" w:eastAsia="Calibri" w:hAnsi="Calibri" w:cs="Calibri"/>
              </w:rPr>
            </w:pPr>
          </w:p>
        </w:tc>
        <w:tc>
          <w:tcPr>
            <w:tcW w:w="1841" w:type="dxa"/>
          </w:tcPr>
          <w:p w14:paraId="2F11C9F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new parking spaces by municipalities </w:t>
            </w:r>
          </w:p>
          <w:p w14:paraId="587D08C0" w14:textId="77777777" w:rsidR="00861CB1" w:rsidRPr="003C7CB1" w:rsidRDefault="00861CB1" w:rsidP="00861CB1">
            <w:pPr>
              <w:contextualSpacing/>
              <w:jc w:val="center"/>
              <w:rPr>
                <w:rFonts w:ascii="Calibri" w:eastAsia="Calibri" w:hAnsi="Calibri" w:cs="Calibri"/>
              </w:rPr>
            </w:pPr>
          </w:p>
          <w:p w14:paraId="4FC5A4A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local governments </w:t>
            </w:r>
          </w:p>
        </w:tc>
        <w:tc>
          <w:tcPr>
            <w:tcW w:w="1494" w:type="dxa"/>
            <w:gridSpan w:val="2"/>
          </w:tcPr>
          <w:p w14:paraId="6C4ACB59" w14:textId="77777777" w:rsidR="00861CB1" w:rsidRPr="003C7CB1" w:rsidRDefault="00861CB1" w:rsidP="00861CB1">
            <w:pPr>
              <w:contextualSpacing/>
              <w:jc w:val="center"/>
              <w:rPr>
                <w:rFonts w:ascii="Calibri" w:eastAsia="Calibri" w:hAnsi="Calibri" w:cs="Calibri"/>
                <w:sz w:val="24"/>
                <w:szCs w:val="24"/>
              </w:rPr>
            </w:pPr>
            <w:r w:rsidRPr="003C7CB1">
              <w:rPr>
                <w:rFonts w:ascii="Calibri" w:eastAsia="Calibri" w:hAnsi="Calibri" w:cs="Calibri"/>
              </w:rPr>
              <w:t>Local government budget</w:t>
            </w:r>
          </w:p>
        </w:tc>
      </w:tr>
      <w:tr w:rsidR="00861CB1" w:rsidRPr="003C7CB1" w14:paraId="4CE3B79B" w14:textId="77777777" w:rsidTr="00861CB1">
        <w:trPr>
          <w:trHeight w:val="253"/>
          <w:jc w:val="center"/>
        </w:trPr>
        <w:tc>
          <w:tcPr>
            <w:tcW w:w="2122" w:type="dxa"/>
            <w:shd w:val="clear" w:color="auto" w:fill="FFFFFF"/>
          </w:tcPr>
          <w:p w14:paraId="0C15684D"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2C4F0D0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2.3.4 </w:t>
            </w:r>
          </w:p>
        </w:tc>
        <w:tc>
          <w:tcPr>
            <w:tcW w:w="3260" w:type="dxa"/>
            <w:gridSpan w:val="2"/>
          </w:tcPr>
          <w:p w14:paraId="6FB33162"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the “Clean and green step” project - Reduction of illegal landfills in attractive tourist locations </w:t>
            </w:r>
          </w:p>
        </w:tc>
        <w:tc>
          <w:tcPr>
            <w:tcW w:w="1843" w:type="dxa"/>
            <w:gridSpan w:val="3"/>
          </w:tcPr>
          <w:p w14:paraId="487A822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1EDED37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local government, NTO, private sector </w:t>
            </w:r>
          </w:p>
        </w:tc>
        <w:tc>
          <w:tcPr>
            <w:tcW w:w="1703" w:type="dxa"/>
          </w:tcPr>
          <w:p w14:paraId="6563BE9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2022 </w:t>
            </w:r>
          </w:p>
          <w:p w14:paraId="3E93ADCD" w14:textId="77777777" w:rsidR="00861CB1" w:rsidRPr="003C7CB1" w:rsidRDefault="00861CB1" w:rsidP="00861CB1">
            <w:pPr>
              <w:contextualSpacing/>
              <w:jc w:val="center"/>
              <w:rPr>
                <w:rFonts w:ascii="Calibri" w:eastAsia="Calibri" w:hAnsi="Calibri" w:cs="Calibri"/>
              </w:rPr>
            </w:pPr>
          </w:p>
        </w:tc>
        <w:tc>
          <w:tcPr>
            <w:tcW w:w="1841" w:type="dxa"/>
          </w:tcPr>
          <w:p w14:paraId="427F707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tourist sites from which illegal waste has been removed </w:t>
            </w:r>
          </w:p>
          <w:p w14:paraId="2E0B04D0" w14:textId="77777777" w:rsidR="00861CB1" w:rsidRPr="003C7CB1" w:rsidRDefault="00861CB1" w:rsidP="00861CB1">
            <w:pPr>
              <w:contextualSpacing/>
              <w:jc w:val="center"/>
              <w:rPr>
                <w:rFonts w:ascii="Calibri" w:eastAsia="Calibri" w:hAnsi="Calibri" w:cs="Calibri"/>
              </w:rPr>
            </w:pPr>
          </w:p>
          <w:p w14:paraId="77C4692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45027227"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€ 100,000.00 </w:t>
            </w:r>
          </w:p>
          <w:p w14:paraId="09E2278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p w14:paraId="4413F67B" w14:textId="77777777" w:rsidR="00861CB1" w:rsidRPr="003C7CB1" w:rsidRDefault="00861CB1" w:rsidP="00861CB1">
            <w:pPr>
              <w:contextualSpacing/>
              <w:rPr>
                <w:rFonts w:ascii="Calibri" w:eastAsia="Calibri" w:hAnsi="Calibri" w:cs="Calibri"/>
              </w:rPr>
            </w:pPr>
          </w:p>
        </w:tc>
      </w:tr>
      <w:tr w:rsidR="00861CB1" w:rsidRPr="003C7CB1" w14:paraId="371DBDBA" w14:textId="77777777" w:rsidTr="00861CB1">
        <w:trPr>
          <w:jc w:val="center"/>
        </w:trPr>
        <w:tc>
          <w:tcPr>
            <w:tcW w:w="2122" w:type="dxa"/>
            <w:vMerge w:val="restart"/>
            <w:shd w:val="clear" w:color="auto" w:fill="FFFFFF"/>
          </w:tcPr>
          <w:p w14:paraId="570796DD" w14:textId="77777777" w:rsidR="00861CB1" w:rsidRPr="003C7CB1" w:rsidRDefault="00861CB1" w:rsidP="00861CB1">
            <w:pPr>
              <w:contextualSpacing/>
              <w:rPr>
                <w:rFonts w:ascii="Calibri" w:eastAsia="Calibri" w:hAnsi="Calibri" w:cs="Calibri"/>
                <w:b/>
              </w:rPr>
            </w:pPr>
            <w:r w:rsidRPr="003C7CB1">
              <w:rPr>
                <w:rFonts w:ascii="Calibri" w:eastAsia="Calibri" w:hAnsi="Calibri" w:cs="Calibri"/>
                <w:b/>
              </w:rPr>
              <w:t xml:space="preserve">2.4 </w:t>
            </w:r>
            <w:r w:rsidRPr="003C7CB1">
              <w:rPr>
                <w:rFonts w:ascii="Calibri" w:eastAsia="Calibri" w:hAnsi="Calibri" w:cs="Calibri"/>
                <w:b/>
                <w:bCs/>
              </w:rPr>
              <w:t xml:space="preserve">Energy infrastructure planned through "cross cutting" documents </w:t>
            </w:r>
          </w:p>
        </w:tc>
        <w:tc>
          <w:tcPr>
            <w:tcW w:w="1417" w:type="dxa"/>
            <w:gridSpan w:val="2"/>
          </w:tcPr>
          <w:p w14:paraId="5933892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2.4.1 </w:t>
            </w:r>
          </w:p>
        </w:tc>
        <w:tc>
          <w:tcPr>
            <w:tcW w:w="3260" w:type="dxa"/>
            <w:gridSpan w:val="2"/>
          </w:tcPr>
          <w:p w14:paraId="29219A73"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activities to improve electricity supply </w:t>
            </w:r>
          </w:p>
        </w:tc>
        <w:tc>
          <w:tcPr>
            <w:tcW w:w="1843" w:type="dxa"/>
            <w:gridSpan w:val="3"/>
          </w:tcPr>
          <w:p w14:paraId="092EFC3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caps/>
              </w:rPr>
              <w:t>MCI</w:t>
            </w:r>
            <w:r w:rsidRPr="003C7CB1">
              <w:rPr>
                <w:rFonts w:ascii="Calibri" w:eastAsia="Calibri" w:hAnsi="Calibri" w:cs="Calibri"/>
              </w:rPr>
              <w:t xml:space="preserve"> / CGES </w:t>
            </w:r>
          </w:p>
        </w:tc>
        <w:tc>
          <w:tcPr>
            <w:tcW w:w="1703" w:type="dxa"/>
          </w:tcPr>
          <w:p w14:paraId="6A8F1DB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0F744E8D"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 multi-year project whose implementation continues after 2022 and will be the subject </w:t>
            </w:r>
            <w:r w:rsidRPr="003C7CB1">
              <w:rPr>
                <w:rFonts w:ascii="Calibri" w:eastAsia="Calibri" w:hAnsi="Calibri" w:cs="Calibri"/>
                <w:b/>
              </w:rPr>
              <w:lastRenderedPageBreak/>
              <w:t xml:space="preserve">of the next AP Strategy </w:t>
            </w:r>
          </w:p>
        </w:tc>
        <w:tc>
          <w:tcPr>
            <w:tcW w:w="1841" w:type="dxa"/>
          </w:tcPr>
          <w:p w14:paraId="7BF632D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Number of implemented project activities to improve electricity supply </w:t>
            </w:r>
          </w:p>
          <w:p w14:paraId="2F0A389B" w14:textId="77777777" w:rsidR="00861CB1" w:rsidRPr="003C7CB1" w:rsidRDefault="00861CB1" w:rsidP="00861CB1">
            <w:pPr>
              <w:contextualSpacing/>
              <w:jc w:val="center"/>
              <w:rPr>
                <w:rFonts w:ascii="Calibri" w:eastAsia="Calibri" w:hAnsi="Calibri" w:cs="Calibri"/>
              </w:rPr>
            </w:pPr>
          </w:p>
          <w:p w14:paraId="362A5093" w14:textId="22DFBC83"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Annual work </w:t>
            </w:r>
            <w:r w:rsidR="00AE5C5F" w:rsidRPr="003C7CB1">
              <w:rPr>
                <w:rFonts w:ascii="Calibri" w:eastAsia="Calibri" w:hAnsi="Calibri" w:cs="Calibri"/>
              </w:rPr>
              <w:t>report of</w:t>
            </w:r>
            <w:r w:rsidRPr="003C7CB1">
              <w:rPr>
                <w:rFonts w:ascii="Calibri" w:eastAsia="Calibri" w:hAnsi="Calibri" w:cs="Calibri"/>
              </w:rPr>
              <w:t xml:space="preserve"> competent institutions </w:t>
            </w:r>
          </w:p>
          <w:p w14:paraId="1061EF12" w14:textId="77777777" w:rsidR="00861CB1" w:rsidRPr="003C7CB1" w:rsidRDefault="00861CB1" w:rsidP="00861CB1">
            <w:pPr>
              <w:contextualSpacing/>
              <w:jc w:val="center"/>
              <w:rPr>
                <w:rFonts w:ascii="Calibri" w:eastAsia="Calibri" w:hAnsi="Calibri" w:cs="Calibri"/>
              </w:rPr>
            </w:pPr>
          </w:p>
        </w:tc>
        <w:tc>
          <w:tcPr>
            <w:tcW w:w="1494" w:type="dxa"/>
            <w:gridSpan w:val="2"/>
          </w:tcPr>
          <w:p w14:paraId="181D4CF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Budget of competent institutions </w:t>
            </w:r>
          </w:p>
        </w:tc>
      </w:tr>
      <w:tr w:rsidR="00861CB1" w:rsidRPr="003C7CB1" w14:paraId="3A30859B" w14:textId="77777777" w:rsidTr="00861CB1">
        <w:trPr>
          <w:jc w:val="center"/>
        </w:trPr>
        <w:tc>
          <w:tcPr>
            <w:tcW w:w="2122" w:type="dxa"/>
            <w:vMerge/>
            <w:shd w:val="clear" w:color="auto" w:fill="FFFFFF"/>
          </w:tcPr>
          <w:p w14:paraId="0B044BEF" w14:textId="77777777" w:rsidR="00861CB1" w:rsidRPr="003C7CB1" w:rsidRDefault="00861CB1" w:rsidP="00861CB1">
            <w:pPr>
              <w:contextualSpacing/>
              <w:jc w:val="both"/>
              <w:rPr>
                <w:rFonts w:ascii="Calibri" w:eastAsia="Calibri" w:hAnsi="Calibri" w:cs="Calibri"/>
                <w:b/>
              </w:rPr>
            </w:pPr>
          </w:p>
        </w:tc>
        <w:tc>
          <w:tcPr>
            <w:tcW w:w="1417" w:type="dxa"/>
            <w:gridSpan w:val="2"/>
          </w:tcPr>
          <w:p w14:paraId="3EE1CE9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2.4.2 </w:t>
            </w:r>
          </w:p>
        </w:tc>
        <w:tc>
          <w:tcPr>
            <w:tcW w:w="3260" w:type="dxa"/>
            <w:gridSpan w:val="2"/>
          </w:tcPr>
          <w:p w14:paraId="77C03F1D"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activities to improve the electricity distribution network </w:t>
            </w:r>
          </w:p>
        </w:tc>
        <w:tc>
          <w:tcPr>
            <w:tcW w:w="1843" w:type="dxa"/>
            <w:gridSpan w:val="3"/>
          </w:tcPr>
          <w:p w14:paraId="254232D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caps/>
              </w:rPr>
              <w:t>MCI</w:t>
            </w:r>
            <w:r w:rsidRPr="003C7CB1">
              <w:rPr>
                <w:rFonts w:ascii="Calibri" w:eastAsia="Calibri" w:hAnsi="Calibri" w:cs="Calibri"/>
              </w:rPr>
              <w:t xml:space="preserve"> / CEDIS </w:t>
            </w:r>
          </w:p>
        </w:tc>
        <w:tc>
          <w:tcPr>
            <w:tcW w:w="1703" w:type="dxa"/>
          </w:tcPr>
          <w:p w14:paraId="77A482B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7D37C447" w14:textId="77777777" w:rsidR="00861CB1" w:rsidRPr="003C7CB1" w:rsidRDefault="00861CB1" w:rsidP="00861CB1">
            <w:pPr>
              <w:contextualSpacing/>
              <w:jc w:val="center"/>
              <w:rPr>
                <w:rFonts w:ascii="Calibri" w:eastAsia="Calibri" w:hAnsi="Calibri" w:cs="Calibri"/>
              </w:rPr>
            </w:pPr>
          </w:p>
          <w:p w14:paraId="5F71C65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 multi-year project whose implementation continues after 2022 and will be the subject of the next AP Strategy </w:t>
            </w:r>
          </w:p>
          <w:p w14:paraId="2AD1C1E8" w14:textId="77777777" w:rsidR="00861CB1" w:rsidRPr="003C7CB1" w:rsidRDefault="00861CB1" w:rsidP="00861CB1">
            <w:pPr>
              <w:contextualSpacing/>
              <w:jc w:val="center"/>
              <w:rPr>
                <w:rFonts w:ascii="Calibri" w:eastAsia="Calibri" w:hAnsi="Calibri" w:cs="Calibri"/>
              </w:rPr>
            </w:pPr>
          </w:p>
        </w:tc>
        <w:tc>
          <w:tcPr>
            <w:tcW w:w="1841" w:type="dxa"/>
          </w:tcPr>
          <w:p w14:paraId="4C08A8C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implemented project activities to improve the electricity distribution network </w:t>
            </w:r>
          </w:p>
          <w:p w14:paraId="033F259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w:t>
            </w:r>
          </w:p>
          <w:p w14:paraId="2893040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2B0D598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competent institutions </w:t>
            </w:r>
          </w:p>
        </w:tc>
      </w:tr>
      <w:tr w:rsidR="00861CB1" w:rsidRPr="003C7CB1" w14:paraId="6D69C81C" w14:textId="77777777" w:rsidTr="00861CB1">
        <w:trPr>
          <w:trHeight w:val="308"/>
          <w:jc w:val="center"/>
        </w:trPr>
        <w:tc>
          <w:tcPr>
            <w:tcW w:w="5098" w:type="dxa"/>
            <w:gridSpan w:val="4"/>
            <w:vMerge w:val="restart"/>
            <w:shd w:val="clear" w:color="auto" w:fill="DEEAF6"/>
          </w:tcPr>
          <w:p w14:paraId="728264E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Total amount of funds for the implementation of the Operational goal 2: € 24,262,583.65 </w:t>
            </w:r>
          </w:p>
        </w:tc>
        <w:tc>
          <w:tcPr>
            <w:tcW w:w="8582" w:type="dxa"/>
            <w:gridSpan w:val="8"/>
            <w:shd w:val="clear" w:color="auto" w:fill="EDEDED"/>
          </w:tcPr>
          <w:p w14:paraId="0F6694DE"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(capital): € 24,002,583.65 </w:t>
            </w:r>
          </w:p>
        </w:tc>
      </w:tr>
      <w:tr w:rsidR="00861CB1" w:rsidRPr="003C7CB1" w14:paraId="324EC869" w14:textId="77777777" w:rsidTr="00861CB1">
        <w:trPr>
          <w:trHeight w:val="307"/>
          <w:jc w:val="center"/>
        </w:trPr>
        <w:tc>
          <w:tcPr>
            <w:tcW w:w="5098" w:type="dxa"/>
            <w:gridSpan w:val="4"/>
            <w:vMerge/>
            <w:shd w:val="clear" w:color="auto" w:fill="DEEAF6"/>
          </w:tcPr>
          <w:p w14:paraId="0E2ED49C" w14:textId="77777777" w:rsidR="00861CB1" w:rsidRPr="003C7CB1" w:rsidRDefault="00861CB1" w:rsidP="00861CB1">
            <w:pPr>
              <w:contextualSpacing/>
              <w:jc w:val="center"/>
              <w:rPr>
                <w:rFonts w:ascii="Calibri" w:eastAsia="Calibri" w:hAnsi="Calibri" w:cs="Calibri"/>
                <w:b/>
              </w:rPr>
            </w:pPr>
          </w:p>
        </w:tc>
        <w:tc>
          <w:tcPr>
            <w:tcW w:w="8582" w:type="dxa"/>
            <w:gridSpan w:val="8"/>
            <w:shd w:val="clear" w:color="auto" w:fill="EDEDED"/>
          </w:tcPr>
          <w:p w14:paraId="359F10A8"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(current): € 260,000.00 </w:t>
            </w:r>
          </w:p>
        </w:tc>
      </w:tr>
      <w:tr w:rsidR="00861CB1" w:rsidRPr="003C7CB1" w14:paraId="7ADA2ED2" w14:textId="77777777" w:rsidTr="00861CB1">
        <w:trPr>
          <w:jc w:val="center"/>
        </w:trPr>
        <w:tc>
          <w:tcPr>
            <w:tcW w:w="13680" w:type="dxa"/>
            <w:gridSpan w:val="12"/>
            <w:shd w:val="clear" w:color="auto" w:fill="FFFFFF"/>
          </w:tcPr>
          <w:p w14:paraId="136B33A6" w14:textId="77777777" w:rsidR="00861CB1" w:rsidRPr="003C7CB1" w:rsidRDefault="00861CB1" w:rsidP="00861CB1">
            <w:pPr>
              <w:contextualSpacing/>
              <w:rPr>
                <w:rFonts w:ascii="Calibri" w:eastAsia="Calibri" w:hAnsi="Calibri" w:cs="Calibri"/>
              </w:rPr>
            </w:pPr>
          </w:p>
          <w:p w14:paraId="46ABB5A7" w14:textId="77777777" w:rsidR="00861CB1" w:rsidRDefault="00861CB1" w:rsidP="00861CB1">
            <w:pPr>
              <w:contextualSpacing/>
              <w:rPr>
                <w:rFonts w:ascii="Calibri" w:eastAsia="Calibri" w:hAnsi="Calibri" w:cs="Calibri"/>
              </w:rPr>
            </w:pPr>
          </w:p>
          <w:p w14:paraId="643E6244" w14:textId="77777777" w:rsidR="00C867B7" w:rsidRDefault="00C867B7" w:rsidP="00861CB1">
            <w:pPr>
              <w:contextualSpacing/>
              <w:rPr>
                <w:rFonts w:ascii="Calibri" w:eastAsia="Calibri" w:hAnsi="Calibri" w:cs="Calibri"/>
              </w:rPr>
            </w:pPr>
          </w:p>
          <w:p w14:paraId="430E6F1A" w14:textId="77777777" w:rsidR="00C867B7" w:rsidRDefault="00C867B7" w:rsidP="00861CB1">
            <w:pPr>
              <w:contextualSpacing/>
              <w:rPr>
                <w:rFonts w:ascii="Calibri" w:eastAsia="Calibri" w:hAnsi="Calibri" w:cs="Calibri"/>
              </w:rPr>
            </w:pPr>
          </w:p>
          <w:p w14:paraId="0D0E5DD7" w14:textId="77777777" w:rsidR="00C867B7" w:rsidRDefault="00C867B7" w:rsidP="00861CB1">
            <w:pPr>
              <w:contextualSpacing/>
              <w:rPr>
                <w:rFonts w:ascii="Calibri" w:eastAsia="Calibri" w:hAnsi="Calibri" w:cs="Calibri"/>
              </w:rPr>
            </w:pPr>
          </w:p>
          <w:p w14:paraId="63A56588" w14:textId="77777777" w:rsidR="00C867B7" w:rsidRDefault="00C867B7" w:rsidP="00861CB1">
            <w:pPr>
              <w:contextualSpacing/>
              <w:rPr>
                <w:rFonts w:ascii="Calibri" w:eastAsia="Calibri" w:hAnsi="Calibri" w:cs="Calibri"/>
              </w:rPr>
            </w:pPr>
          </w:p>
          <w:p w14:paraId="12A91012" w14:textId="7B32B70D" w:rsidR="00C867B7" w:rsidRPr="003C7CB1" w:rsidRDefault="00C867B7" w:rsidP="00861CB1">
            <w:pPr>
              <w:contextualSpacing/>
              <w:rPr>
                <w:rFonts w:ascii="Calibri" w:eastAsia="Calibri" w:hAnsi="Calibri" w:cs="Calibri"/>
              </w:rPr>
            </w:pPr>
          </w:p>
        </w:tc>
      </w:tr>
      <w:tr w:rsidR="00861CB1" w:rsidRPr="003C7CB1" w14:paraId="3AF21479" w14:textId="77777777" w:rsidTr="00861CB1">
        <w:trPr>
          <w:jc w:val="center"/>
        </w:trPr>
        <w:tc>
          <w:tcPr>
            <w:tcW w:w="13680" w:type="dxa"/>
            <w:gridSpan w:val="12"/>
            <w:shd w:val="clear" w:color="auto" w:fill="BDD6EE"/>
          </w:tcPr>
          <w:p w14:paraId="1F43158B" w14:textId="77777777" w:rsidR="00861CB1" w:rsidRPr="003C7CB1" w:rsidRDefault="00861CB1" w:rsidP="00861CB1">
            <w:pPr>
              <w:contextualSpacing/>
              <w:jc w:val="center"/>
              <w:rPr>
                <w:rFonts w:ascii="Calibri" w:eastAsia="Calibri" w:hAnsi="Calibri" w:cs="Calibri"/>
                <w:b/>
                <w:sz w:val="24"/>
                <w:szCs w:val="24"/>
              </w:rPr>
            </w:pPr>
          </w:p>
          <w:p w14:paraId="6B9E34A9"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rPr>
              <w:t>Operational goal</w:t>
            </w:r>
            <w:r w:rsidRPr="003C7CB1">
              <w:rPr>
                <w:rFonts w:ascii="Calibri" w:eastAsia="Calibri" w:hAnsi="Calibri" w:cs="Calibri"/>
                <w:b/>
                <w:sz w:val="24"/>
                <w:szCs w:val="24"/>
              </w:rPr>
              <w:t xml:space="preserve"> 3: Improved quality and quantity of accommodation capacities </w:t>
            </w:r>
          </w:p>
          <w:p w14:paraId="2F5715F5" w14:textId="77777777" w:rsidR="00861CB1" w:rsidRPr="003C7CB1" w:rsidRDefault="00861CB1" w:rsidP="00861CB1">
            <w:pPr>
              <w:contextualSpacing/>
              <w:jc w:val="center"/>
              <w:rPr>
                <w:rFonts w:ascii="Calibri" w:eastAsia="Calibri" w:hAnsi="Calibri" w:cs="Calibri"/>
                <w:sz w:val="24"/>
                <w:szCs w:val="24"/>
              </w:rPr>
            </w:pPr>
          </w:p>
        </w:tc>
      </w:tr>
      <w:tr w:rsidR="00861CB1" w:rsidRPr="003C7CB1" w14:paraId="16B1906A" w14:textId="77777777" w:rsidTr="00861CB1">
        <w:trPr>
          <w:jc w:val="center"/>
        </w:trPr>
        <w:tc>
          <w:tcPr>
            <w:tcW w:w="3539" w:type="dxa"/>
            <w:gridSpan w:val="3"/>
            <w:shd w:val="clear" w:color="auto" w:fill="auto"/>
          </w:tcPr>
          <w:p w14:paraId="74082FD5"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260" w:type="dxa"/>
            <w:gridSpan w:val="2"/>
            <w:shd w:val="clear" w:color="auto" w:fill="auto"/>
          </w:tcPr>
          <w:p w14:paraId="79200253"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Initial value for 2019 </w:t>
            </w:r>
          </w:p>
        </w:tc>
        <w:tc>
          <w:tcPr>
            <w:tcW w:w="3546" w:type="dxa"/>
            <w:gridSpan w:val="4"/>
            <w:shd w:val="clear" w:color="auto" w:fill="auto"/>
          </w:tcPr>
          <w:p w14:paraId="5C062568"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2023 </w:t>
            </w:r>
          </w:p>
        </w:tc>
        <w:tc>
          <w:tcPr>
            <w:tcW w:w="3335" w:type="dxa"/>
            <w:gridSpan w:val="3"/>
            <w:shd w:val="clear" w:color="auto" w:fill="auto"/>
          </w:tcPr>
          <w:p w14:paraId="72D5FF57"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43679DEC" w14:textId="77777777" w:rsidTr="00861CB1">
        <w:trPr>
          <w:trHeight w:val="384"/>
          <w:jc w:val="center"/>
        </w:trPr>
        <w:tc>
          <w:tcPr>
            <w:tcW w:w="3539" w:type="dxa"/>
            <w:gridSpan w:val="3"/>
            <w:shd w:val="clear" w:color="auto" w:fill="auto"/>
          </w:tcPr>
          <w:p w14:paraId="34FDE3E3"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260" w:type="dxa"/>
            <w:gridSpan w:val="2"/>
            <w:shd w:val="clear" w:color="auto" w:fill="auto"/>
          </w:tcPr>
          <w:p w14:paraId="0B1C49D8" w14:textId="77777777" w:rsidR="00861CB1" w:rsidRPr="003C7CB1" w:rsidRDefault="00861CB1" w:rsidP="00861CB1">
            <w:pPr>
              <w:spacing w:after="0" w:line="240" w:lineRule="auto"/>
              <w:rPr>
                <w:rFonts w:ascii="Calibri" w:eastAsia="Calibri" w:hAnsi="Calibri" w:cs="Calibri"/>
              </w:rPr>
            </w:pPr>
          </w:p>
          <w:p w14:paraId="574996CB" w14:textId="77777777" w:rsidR="00861CB1" w:rsidRPr="003C7CB1" w:rsidRDefault="00861CB1" w:rsidP="00861CB1">
            <w:pPr>
              <w:spacing w:after="0" w:line="240" w:lineRule="auto"/>
              <w:rPr>
                <w:rFonts w:ascii="Calibri" w:eastAsia="Calibri" w:hAnsi="Calibri" w:cs="Calibri"/>
              </w:rPr>
            </w:pPr>
          </w:p>
        </w:tc>
        <w:tc>
          <w:tcPr>
            <w:tcW w:w="3546" w:type="dxa"/>
            <w:gridSpan w:val="4"/>
            <w:shd w:val="clear" w:color="auto" w:fill="auto"/>
          </w:tcPr>
          <w:p w14:paraId="3D2AD3D8" w14:textId="77777777" w:rsidR="00861CB1" w:rsidRPr="003C7CB1" w:rsidRDefault="00861CB1" w:rsidP="00861CB1">
            <w:pPr>
              <w:spacing w:after="0" w:line="240" w:lineRule="auto"/>
              <w:rPr>
                <w:rFonts w:ascii="Calibri" w:eastAsia="Calibri" w:hAnsi="Calibri" w:cs="Calibri"/>
              </w:rPr>
            </w:pPr>
          </w:p>
        </w:tc>
        <w:tc>
          <w:tcPr>
            <w:tcW w:w="3335" w:type="dxa"/>
            <w:gridSpan w:val="3"/>
            <w:shd w:val="clear" w:color="auto" w:fill="auto"/>
          </w:tcPr>
          <w:p w14:paraId="2F0DE71A" w14:textId="77777777" w:rsidR="00861CB1" w:rsidRPr="003C7CB1" w:rsidRDefault="00861CB1" w:rsidP="00861CB1">
            <w:pPr>
              <w:spacing w:after="0" w:line="240" w:lineRule="auto"/>
              <w:rPr>
                <w:rFonts w:ascii="Calibri" w:eastAsia="Calibri" w:hAnsi="Calibri" w:cs="Calibri"/>
              </w:rPr>
            </w:pPr>
          </w:p>
        </w:tc>
      </w:tr>
      <w:tr w:rsidR="00861CB1" w:rsidRPr="003C7CB1" w14:paraId="02171707" w14:textId="77777777" w:rsidTr="00861CB1">
        <w:trPr>
          <w:jc w:val="center"/>
        </w:trPr>
        <w:tc>
          <w:tcPr>
            <w:tcW w:w="3539" w:type="dxa"/>
            <w:gridSpan w:val="3"/>
            <w:shd w:val="clear" w:color="auto" w:fill="auto"/>
          </w:tcPr>
          <w:p w14:paraId="79223987"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Number of beds in 4 and 5* hotels and similar facilities </w:t>
            </w:r>
          </w:p>
        </w:tc>
        <w:tc>
          <w:tcPr>
            <w:tcW w:w="3260" w:type="dxa"/>
            <w:gridSpan w:val="2"/>
            <w:shd w:val="clear" w:color="auto" w:fill="auto"/>
          </w:tcPr>
          <w:p w14:paraId="3105E53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24,598 </w:t>
            </w:r>
          </w:p>
        </w:tc>
        <w:tc>
          <w:tcPr>
            <w:tcW w:w="3546" w:type="dxa"/>
            <w:gridSpan w:val="4"/>
            <w:shd w:val="clear" w:color="auto" w:fill="auto"/>
          </w:tcPr>
          <w:p w14:paraId="4A37E592"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34,700 </w:t>
            </w:r>
          </w:p>
        </w:tc>
        <w:tc>
          <w:tcPr>
            <w:tcW w:w="3335" w:type="dxa"/>
            <w:gridSpan w:val="3"/>
            <w:shd w:val="clear" w:color="auto" w:fill="auto"/>
          </w:tcPr>
          <w:p w14:paraId="5D6EE369"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40,200 </w:t>
            </w:r>
          </w:p>
        </w:tc>
      </w:tr>
      <w:tr w:rsidR="00861CB1" w:rsidRPr="003C7CB1" w14:paraId="2D7C0C33" w14:textId="77777777" w:rsidTr="00861CB1">
        <w:trPr>
          <w:jc w:val="center"/>
        </w:trPr>
        <w:tc>
          <w:tcPr>
            <w:tcW w:w="3539" w:type="dxa"/>
            <w:gridSpan w:val="3"/>
            <w:shd w:val="clear" w:color="auto" w:fill="auto"/>
          </w:tcPr>
          <w:p w14:paraId="4ADB1FE4"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2: </w:t>
            </w:r>
          </w:p>
        </w:tc>
        <w:tc>
          <w:tcPr>
            <w:tcW w:w="3260" w:type="dxa"/>
            <w:gridSpan w:val="2"/>
            <w:shd w:val="clear" w:color="auto" w:fill="auto"/>
          </w:tcPr>
          <w:p w14:paraId="53633815" w14:textId="77777777" w:rsidR="00861CB1" w:rsidRPr="003C7CB1" w:rsidRDefault="00861CB1" w:rsidP="00861CB1">
            <w:pPr>
              <w:tabs>
                <w:tab w:val="left" w:pos="2003"/>
              </w:tabs>
              <w:spacing w:after="0" w:line="240" w:lineRule="auto"/>
              <w:rPr>
                <w:rFonts w:ascii="Calibri" w:eastAsia="Calibri" w:hAnsi="Calibri" w:cs="Calibri"/>
              </w:rPr>
            </w:pPr>
            <w:r w:rsidRPr="003C7CB1">
              <w:rPr>
                <w:rFonts w:ascii="Calibri" w:eastAsia="Calibri" w:hAnsi="Calibri" w:cs="Calibri"/>
              </w:rPr>
              <w:tab/>
              <w:t xml:space="preserve"> </w:t>
            </w:r>
          </w:p>
        </w:tc>
        <w:tc>
          <w:tcPr>
            <w:tcW w:w="3546" w:type="dxa"/>
            <w:gridSpan w:val="4"/>
            <w:shd w:val="clear" w:color="auto" w:fill="auto"/>
          </w:tcPr>
          <w:p w14:paraId="206B6EB3"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w:t>
            </w:r>
          </w:p>
        </w:tc>
        <w:tc>
          <w:tcPr>
            <w:tcW w:w="3335" w:type="dxa"/>
            <w:gridSpan w:val="3"/>
            <w:shd w:val="clear" w:color="auto" w:fill="auto"/>
          </w:tcPr>
          <w:p w14:paraId="5482802C" w14:textId="77777777" w:rsidR="00861CB1" w:rsidRPr="003C7CB1" w:rsidRDefault="00861CB1" w:rsidP="00861CB1">
            <w:pPr>
              <w:spacing w:after="0" w:line="240" w:lineRule="auto"/>
              <w:jc w:val="center"/>
              <w:rPr>
                <w:rFonts w:ascii="Calibri" w:eastAsia="Calibri" w:hAnsi="Calibri" w:cs="Calibri"/>
              </w:rPr>
            </w:pPr>
          </w:p>
        </w:tc>
      </w:tr>
      <w:tr w:rsidR="00861CB1" w:rsidRPr="003C7CB1" w14:paraId="7BB7C869" w14:textId="77777777" w:rsidTr="00861CB1">
        <w:trPr>
          <w:jc w:val="center"/>
        </w:trPr>
        <w:tc>
          <w:tcPr>
            <w:tcW w:w="3539" w:type="dxa"/>
            <w:gridSpan w:val="3"/>
            <w:shd w:val="clear" w:color="auto" w:fill="auto"/>
          </w:tcPr>
          <w:p w14:paraId="0AECCFCE"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Number of beds in 3* hotels and similar facilities  </w:t>
            </w:r>
          </w:p>
        </w:tc>
        <w:tc>
          <w:tcPr>
            <w:tcW w:w="3260" w:type="dxa"/>
            <w:gridSpan w:val="2"/>
            <w:shd w:val="clear" w:color="auto" w:fill="auto"/>
          </w:tcPr>
          <w:p w14:paraId="39ECCC0E"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9,210 </w:t>
            </w:r>
          </w:p>
        </w:tc>
        <w:tc>
          <w:tcPr>
            <w:tcW w:w="3546" w:type="dxa"/>
            <w:gridSpan w:val="4"/>
            <w:shd w:val="clear" w:color="auto" w:fill="auto"/>
          </w:tcPr>
          <w:p w14:paraId="4C5D1418"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10,000  </w:t>
            </w:r>
          </w:p>
        </w:tc>
        <w:tc>
          <w:tcPr>
            <w:tcW w:w="3335" w:type="dxa"/>
            <w:gridSpan w:val="3"/>
            <w:shd w:val="clear" w:color="auto" w:fill="auto"/>
          </w:tcPr>
          <w:p w14:paraId="29D8C2D9"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11,000 </w:t>
            </w:r>
          </w:p>
        </w:tc>
      </w:tr>
      <w:tr w:rsidR="00861CB1" w:rsidRPr="003C7CB1" w14:paraId="460475ED" w14:textId="77777777" w:rsidTr="00861CB1">
        <w:trPr>
          <w:jc w:val="center"/>
        </w:trPr>
        <w:tc>
          <w:tcPr>
            <w:tcW w:w="2122" w:type="dxa"/>
            <w:shd w:val="clear" w:color="auto" w:fill="BDD6EE"/>
          </w:tcPr>
          <w:p w14:paraId="54904C38"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Measure </w:t>
            </w:r>
          </w:p>
        </w:tc>
        <w:tc>
          <w:tcPr>
            <w:tcW w:w="4677" w:type="dxa"/>
            <w:gridSpan w:val="4"/>
            <w:shd w:val="clear" w:color="auto" w:fill="BDD6EE"/>
          </w:tcPr>
          <w:p w14:paraId="3EC8E5B9"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Activity </w:t>
            </w:r>
          </w:p>
        </w:tc>
        <w:tc>
          <w:tcPr>
            <w:tcW w:w="1843" w:type="dxa"/>
            <w:gridSpan w:val="3"/>
            <w:tcBorders>
              <w:bottom w:val="single" w:sz="4" w:space="0" w:color="auto"/>
            </w:tcBorders>
            <w:shd w:val="clear" w:color="auto" w:fill="BDD6EE"/>
          </w:tcPr>
          <w:p w14:paraId="3C21BAD5"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Holder / partners </w:t>
            </w:r>
          </w:p>
        </w:tc>
        <w:tc>
          <w:tcPr>
            <w:tcW w:w="1703" w:type="dxa"/>
            <w:shd w:val="clear" w:color="auto" w:fill="BDD6EE"/>
          </w:tcPr>
          <w:p w14:paraId="750941EF"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Deadline </w:t>
            </w:r>
          </w:p>
        </w:tc>
        <w:tc>
          <w:tcPr>
            <w:tcW w:w="1841" w:type="dxa"/>
            <w:shd w:val="clear" w:color="auto" w:fill="BDD6EE"/>
          </w:tcPr>
          <w:p w14:paraId="7F3375BE"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Indicator / verification source </w:t>
            </w:r>
          </w:p>
        </w:tc>
        <w:tc>
          <w:tcPr>
            <w:tcW w:w="1494" w:type="dxa"/>
            <w:gridSpan w:val="2"/>
            <w:shd w:val="clear" w:color="auto" w:fill="BDD6EE"/>
          </w:tcPr>
          <w:p w14:paraId="7438E70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Funds (in €) / source </w:t>
            </w:r>
          </w:p>
        </w:tc>
      </w:tr>
      <w:tr w:rsidR="00861CB1" w:rsidRPr="003C7CB1" w14:paraId="5903D698" w14:textId="77777777" w:rsidTr="00861CB1">
        <w:trPr>
          <w:jc w:val="center"/>
        </w:trPr>
        <w:tc>
          <w:tcPr>
            <w:tcW w:w="2122" w:type="dxa"/>
            <w:vMerge w:val="restart"/>
            <w:shd w:val="clear" w:color="auto" w:fill="FFFFFF"/>
          </w:tcPr>
          <w:p w14:paraId="342CD25A"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b/>
                <w:sz w:val="24"/>
                <w:szCs w:val="24"/>
              </w:rPr>
              <w:t>3</w:t>
            </w:r>
            <w:r w:rsidRPr="003C7CB1">
              <w:rPr>
                <w:rFonts w:ascii="Calibri" w:eastAsia="Calibri" w:hAnsi="Calibri" w:cs="Calibri"/>
                <w:b/>
              </w:rPr>
              <w:t xml:space="preserve">.1 Hotels and similar accommodation </w:t>
            </w:r>
          </w:p>
          <w:p w14:paraId="368E8496"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   Increasing the     share of hotel capacities in total capacities for accommodation  </w:t>
            </w:r>
          </w:p>
          <w:p w14:paraId="148149AF" w14:textId="77777777" w:rsidR="00861CB1" w:rsidRPr="003C7CB1" w:rsidRDefault="00861CB1" w:rsidP="00861CB1">
            <w:pPr>
              <w:contextualSpacing/>
              <w:rPr>
                <w:rFonts w:ascii="Calibri" w:eastAsia="Calibri" w:hAnsi="Calibri" w:cs="Calibri"/>
                <w:b/>
                <w:sz w:val="24"/>
                <w:szCs w:val="24"/>
              </w:rPr>
            </w:pPr>
          </w:p>
        </w:tc>
        <w:tc>
          <w:tcPr>
            <w:tcW w:w="1417" w:type="dxa"/>
            <w:gridSpan w:val="2"/>
          </w:tcPr>
          <w:p w14:paraId="3EF4743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3.1.1 </w:t>
            </w:r>
          </w:p>
        </w:tc>
        <w:tc>
          <w:tcPr>
            <w:tcW w:w="3260" w:type="dxa"/>
            <w:gridSpan w:val="2"/>
          </w:tcPr>
          <w:p w14:paraId="431B8AA5"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Conducting monitoring of the implementation of contractual obligations for hotels from priority tourism projects </w:t>
            </w:r>
          </w:p>
        </w:tc>
        <w:tc>
          <w:tcPr>
            <w:tcW w:w="1843" w:type="dxa"/>
            <w:gridSpan w:val="3"/>
          </w:tcPr>
          <w:p w14:paraId="12A2B0EA" w14:textId="77777777" w:rsidR="00861CB1" w:rsidRPr="003C7CB1" w:rsidRDefault="00861CB1" w:rsidP="00861CB1">
            <w:pPr>
              <w:contextualSpacing/>
              <w:rPr>
                <w:rFonts w:ascii="Calibri" w:eastAsia="Calibri" w:hAnsi="Calibri" w:cs="Calibri"/>
              </w:rPr>
            </w:pPr>
          </w:p>
          <w:p w14:paraId="0669B3B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p w14:paraId="20210C04" w14:textId="77777777" w:rsidR="00861CB1" w:rsidRPr="003C7CB1" w:rsidRDefault="00861CB1" w:rsidP="00861CB1">
            <w:pPr>
              <w:contextualSpacing/>
              <w:jc w:val="center"/>
              <w:rPr>
                <w:rFonts w:ascii="Calibri" w:eastAsia="Calibri" w:hAnsi="Calibri" w:cs="Calibri"/>
              </w:rPr>
            </w:pPr>
          </w:p>
        </w:tc>
        <w:tc>
          <w:tcPr>
            <w:tcW w:w="1703" w:type="dxa"/>
          </w:tcPr>
          <w:p w14:paraId="2ED6AB54"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 Q – IV Q 2022 </w:t>
            </w:r>
          </w:p>
          <w:p w14:paraId="7C777FFE" w14:textId="77777777" w:rsidR="00861CB1" w:rsidRPr="003C7CB1" w:rsidRDefault="00861CB1" w:rsidP="00861CB1">
            <w:pPr>
              <w:spacing w:after="0" w:line="240" w:lineRule="auto"/>
              <w:jc w:val="center"/>
              <w:rPr>
                <w:rFonts w:ascii="Calibri" w:eastAsia="Calibri" w:hAnsi="Calibri" w:cs="Calibri"/>
              </w:rPr>
            </w:pPr>
          </w:p>
          <w:p w14:paraId="0F76223F"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A multi-year project whose implementation continues after 2022 and will be the subject of the next AP Strategy </w:t>
            </w:r>
          </w:p>
        </w:tc>
        <w:tc>
          <w:tcPr>
            <w:tcW w:w="1841" w:type="dxa"/>
          </w:tcPr>
          <w:p w14:paraId="420C7ED0" w14:textId="77777777" w:rsidR="00861CB1" w:rsidRPr="003C7CB1" w:rsidRDefault="00861CB1" w:rsidP="00861CB1">
            <w:pPr>
              <w:spacing w:after="0" w:line="240" w:lineRule="auto"/>
              <w:jc w:val="center"/>
              <w:rPr>
                <w:rFonts w:ascii="Calibri" w:eastAsia="Calibri" w:hAnsi="Calibri" w:cs="Calibri"/>
              </w:rPr>
            </w:pPr>
          </w:p>
          <w:p w14:paraId="7469C6AE"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Report has been prepared </w:t>
            </w:r>
          </w:p>
          <w:p w14:paraId="18F7E83D" w14:textId="77777777" w:rsidR="00861CB1" w:rsidRPr="003C7CB1" w:rsidRDefault="00861CB1" w:rsidP="00861CB1">
            <w:pPr>
              <w:spacing w:after="0" w:line="240" w:lineRule="auto"/>
              <w:jc w:val="center"/>
              <w:rPr>
                <w:rFonts w:ascii="Calibri" w:eastAsia="Calibri" w:hAnsi="Calibri" w:cs="Calibri"/>
              </w:rPr>
            </w:pPr>
          </w:p>
          <w:p w14:paraId="79953CB4" w14:textId="77777777" w:rsidR="00861CB1" w:rsidRPr="003C7CB1" w:rsidRDefault="00861CB1" w:rsidP="00861CB1">
            <w:pPr>
              <w:spacing w:after="0" w:line="240" w:lineRule="auto"/>
              <w:jc w:val="center"/>
              <w:rPr>
                <w:rFonts w:ascii="Calibri" w:eastAsia="Calibri" w:hAnsi="Calibri" w:cs="Calibri"/>
              </w:rPr>
            </w:pPr>
          </w:p>
          <w:p w14:paraId="6D46CFB5"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509B3895" w14:textId="77777777" w:rsidR="00861CB1" w:rsidRPr="003C7CB1" w:rsidRDefault="00861CB1" w:rsidP="00861CB1">
            <w:pPr>
              <w:contextualSpacing/>
              <w:rPr>
                <w:rFonts w:ascii="Calibri" w:eastAsia="Calibri" w:hAnsi="Calibri" w:cs="Calibri"/>
                <w:sz w:val="24"/>
                <w:szCs w:val="24"/>
              </w:rPr>
            </w:pPr>
          </w:p>
          <w:p w14:paraId="6DD68045"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Budget of Montenegro for 2022 (€ 144,890 - Consulting services in the field of monitoring investment projects) </w:t>
            </w:r>
          </w:p>
        </w:tc>
      </w:tr>
      <w:tr w:rsidR="00861CB1" w:rsidRPr="003C7CB1" w14:paraId="6040E802" w14:textId="77777777" w:rsidTr="00861CB1">
        <w:trPr>
          <w:jc w:val="center"/>
        </w:trPr>
        <w:tc>
          <w:tcPr>
            <w:tcW w:w="2122" w:type="dxa"/>
            <w:vMerge/>
            <w:shd w:val="clear" w:color="auto" w:fill="FFFFFF"/>
          </w:tcPr>
          <w:p w14:paraId="034C650E" w14:textId="77777777" w:rsidR="00861CB1" w:rsidRPr="003C7CB1" w:rsidRDefault="00861CB1" w:rsidP="00861CB1">
            <w:pPr>
              <w:contextualSpacing/>
              <w:rPr>
                <w:rFonts w:ascii="Calibri" w:eastAsia="Calibri" w:hAnsi="Calibri" w:cs="Calibri"/>
                <w:b/>
                <w:sz w:val="24"/>
                <w:szCs w:val="24"/>
              </w:rPr>
            </w:pPr>
          </w:p>
        </w:tc>
        <w:tc>
          <w:tcPr>
            <w:tcW w:w="1417" w:type="dxa"/>
            <w:gridSpan w:val="2"/>
          </w:tcPr>
          <w:p w14:paraId="24CD89C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3.1.2 </w:t>
            </w:r>
          </w:p>
        </w:tc>
        <w:tc>
          <w:tcPr>
            <w:tcW w:w="3260" w:type="dxa"/>
            <w:gridSpan w:val="2"/>
          </w:tcPr>
          <w:p w14:paraId="7C2B59E7"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Conducting monitoring of the implementation of contractual </w:t>
            </w:r>
            <w:r w:rsidRPr="003C7CB1">
              <w:rPr>
                <w:rFonts w:ascii="Calibri" w:eastAsia="Calibri" w:hAnsi="Calibri" w:cs="Calibri"/>
              </w:rPr>
              <w:lastRenderedPageBreak/>
              <w:t xml:space="preserve">obligations for hotels from the Economic Citizenship project  </w:t>
            </w:r>
          </w:p>
        </w:tc>
        <w:tc>
          <w:tcPr>
            <w:tcW w:w="1843" w:type="dxa"/>
            <w:gridSpan w:val="3"/>
          </w:tcPr>
          <w:p w14:paraId="2624F61F" w14:textId="77777777" w:rsidR="00861CB1" w:rsidRPr="003C7CB1" w:rsidRDefault="00861CB1" w:rsidP="00861CB1">
            <w:pPr>
              <w:contextualSpacing/>
              <w:jc w:val="center"/>
              <w:rPr>
                <w:rFonts w:ascii="Calibri" w:eastAsia="Calibri" w:hAnsi="Calibri" w:cs="Calibri"/>
              </w:rPr>
            </w:pPr>
          </w:p>
          <w:p w14:paraId="7302B8D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1703" w:type="dxa"/>
          </w:tcPr>
          <w:p w14:paraId="4A79BEB6"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 Q – IV Q 2022 </w:t>
            </w:r>
          </w:p>
          <w:p w14:paraId="3B96255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lastRenderedPageBreak/>
              <w:t xml:space="preserve">A multi-year project whose implementation continues after 2022 and will be the subject of the next AP Strategy </w:t>
            </w:r>
          </w:p>
        </w:tc>
        <w:tc>
          <w:tcPr>
            <w:tcW w:w="1841" w:type="dxa"/>
          </w:tcPr>
          <w:p w14:paraId="0A23FAB7"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lastRenderedPageBreak/>
              <w:t xml:space="preserve">Report has been prepared </w:t>
            </w:r>
          </w:p>
          <w:p w14:paraId="2155EC1D" w14:textId="77777777" w:rsidR="00861CB1" w:rsidRPr="003C7CB1" w:rsidRDefault="00861CB1" w:rsidP="00861CB1">
            <w:pPr>
              <w:spacing w:after="0" w:line="240" w:lineRule="auto"/>
              <w:jc w:val="center"/>
              <w:rPr>
                <w:rFonts w:ascii="Calibri" w:eastAsia="Calibri" w:hAnsi="Calibri" w:cs="Calibri"/>
              </w:rPr>
            </w:pPr>
          </w:p>
          <w:p w14:paraId="784FDFC3" w14:textId="77777777" w:rsidR="00861CB1" w:rsidRPr="003C7CB1" w:rsidRDefault="00861CB1" w:rsidP="00861CB1">
            <w:pPr>
              <w:spacing w:after="0" w:line="240" w:lineRule="auto"/>
              <w:jc w:val="center"/>
              <w:rPr>
                <w:rFonts w:ascii="Calibri" w:eastAsia="Calibri" w:hAnsi="Calibri" w:cs="Calibri"/>
              </w:rPr>
            </w:pPr>
          </w:p>
          <w:p w14:paraId="2B4823C4"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0990EDA6" w14:textId="77777777" w:rsidR="00861CB1" w:rsidRPr="003C7CB1" w:rsidRDefault="00861CB1" w:rsidP="00861CB1">
            <w:pPr>
              <w:contextualSpacing/>
              <w:rPr>
                <w:rFonts w:ascii="Calibri" w:eastAsia="Calibri" w:hAnsi="Calibri" w:cs="Calibri"/>
              </w:rPr>
            </w:pPr>
          </w:p>
          <w:p w14:paraId="17F9ABC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No financial resources are required </w:t>
            </w:r>
          </w:p>
        </w:tc>
      </w:tr>
      <w:tr w:rsidR="00861CB1" w:rsidRPr="003C7CB1" w14:paraId="3EFF7681" w14:textId="77777777" w:rsidTr="00861CB1">
        <w:trPr>
          <w:jc w:val="center"/>
        </w:trPr>
        <w:tc>
          <w:tcPr>
            <w:tcW w:w="2122" w:type="dxa"/>
            <w:vMerge/>
            <w:shd w:val="clear" w:color="auto" w:fill="FFFFFF"/>
          </w:tcPr>
          <w:p w14:paraId="35117D54" w14:textId="77777777" w:rsidR="00861CB1" w:rsidRPr="003C7CB1" w:rsidRDefault="00861CB1" w:rsidP="00861CB1">
            <w:pPr>
              <w:contextualSpacing/>
              <w:rPr>
                <w:rFonts w:ascii="Calibri" w:eastAsia="Calibri" w:hAnsi="Calibri" w:cs="Calibri"/>
                <w:b/>
                <w:sz w:val="24"/>
                <w:szCs w:val="24"/>
              </w:rPr>
            </w:pPr>
          </w:p>
        </w:tc>
        <w:tc>
          <w:tcPr>
            <w:tcW w:w="1417" w:type="dxa"/>
            <w:gridSpan w:val="2"/>
          </w:tcPr>
          <w:p w14:paraId="7B01C8D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3.1.3 </w:t>
            </w:r>
          </w:p>
        </w:tc>
        <w:tc>
          <w:tcPr>
            <w:tcW w:w="3260" w:type="dxa"/>
            <w:gridSpan w:val="2"/>
          </w:tcPr>
          <w:p w14:paraId="0E83E62F"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Conducting monitoring of the implementation of contractual obligations for hotels that were privatized in the previous period </w:t>
            </w:r>
          </w:p>
        </w:tc>
        <w:tc>
          <w:tcPr>
            <w:tcW w:w="1843" w:type="dxa"/>
            <w:gridSpan w:val="3"/>
          </w:tcPr>
          <w:p w14:paraId="75226486" w14:textId="77777777" w:rsidR="00861CB1" w:rsidRPr="003C7CB1" w:rsidRDefault="00861CB1" w:rsidP="00861CB1">
            <w:pPr>
              <w:contextualSpacing/>
              <w:jc w:val="center"/>
              <w:rPr>
                <w:rFonts w:ascii="Calibri" w:eastAsia="Calibri" w:hAnsi="Calibri" w:cs="Calibri"/>
              </w:rPr>
            </w:pPr>
          </w:p>
          <w:p w14:paraId="4377658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1703" w:type="dxa"/>
          </w:tcPr>
          <w:p w14:paraId="567E1DB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3F47E2F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 multi-year project whose implementation continues after 2022 and will be the subject of the next AP Strategy </w:t>
            </w:r>
          </w:p>
        </w:tc>
        <w:tc>
          <w:tcPr>
            <w:tcW w:w="1841" w:type="dxa"/>
          </w:tcPr>
          <w:p w14:paraId="43DB92AC"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Report has been prepared </w:t>
            </w:r>
          </w:p>
          <w:p w14:paraId="5996A201" w14:textId="77777777" w:rsidR="00861CB1" w:rsidRPr="003C7CB1" w:rsidRDefault="00861CB1" w:rsidP="00861CB1">
            <w:pPr>
              <w:spacing w:after="0" w:line="240" w:lineRule="auto"/>
              <w:jc w:val="center"/>
              <w:rPr>
                <w:rFonts w:ascii="Calibri" w:eastAsia="Calibri" w:hAnsi="Calibri" w:cs="Calibri"/>
              </w:rPr>
            </w:pPr>
          </w:p>
          <w:p w14:paraId="02D1F22F" w14:textId="77777777" w:rsidR="00861CB1" w:rsidRPr="003C7CB1" w:rsidRDefault="00861CB1" w:rsidP="00861CB1">
            <w:pPr>
              <w:spacing w:after="0" w:line="240" w:lineRule="auto"/>
              <w:jc w:val="center"/>
              <w:rPr>
                <w:rFonts w:ascii="Calibri" w:eastAsia="Calibri" w:hAnsi="Calibri" w:cs="Calibri"/>
              </w:rPr>
            </w:pPr>
          </w:p>
          <w:p w14:paraId="4B44A52E"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2381A0B8"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Budget of Montenegro for 2022 (€ 35,000.00 - Consulting services in the field of monitoring investment projects) </w:t>
            </w:r>
          </w:p>
        </w:tc>
      </w:tr>
      <w:tr w:rsidR="00861CB1" w:rsidRPr="003C7CB1" w14:paraId="5076EA50" w14:textId="77777777" w:rsidTr="00861CB1">
        <w:trPr>
          <w:jc w:val="center"/>
        </w:trPr>
        <w:tc>
          <w:tcPr>
            <w:tcW w:w="2122" w:type="dxa"/>
            <w:vMerge/>
            <w:shd w:val="clear" w:color="auto" w:fill="FFFFFF"/>
          </w:tcPr>
          <w:p w14:paraId="69720D86"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577DC5A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3.1.4 </w:t>
            </w:r>
          </w:p>
        </w:tc>
        <w:tc>
          <w:tcPr>
            <w:tcW w:w="3260" w:type="dxa"/>
            <w:gridSpan w:val="2"/>
          </w:tcPr>
          <w:p w14:paraId="0F13F701" w14:textId="08D4EE01" w:rsidR="00861CB1" w:rsidRPr="003C7CB1" w:rsidRDefault="00035384" w:rsidP="00861CB1">
            <w:pPr>
              <w:spacing w:after="0" w:line="240" w:lineRule="auto"/>
              <w:contextualSpacing/>
              <w:rPr>
                <w:rFonts w:ascii="Calibri" w:eastAsia="Calibri" w:hAnsi="Calibri" w:cs="Calibri"/>
              </w:rPr>
            </w:pPr>
            <w:r>
              <w:rPr>
                <w:rFonts w:ascii="Calibri" w:eastAsia="Calibri" w:hAnsi="Calibri" w:cs="Calibri"/>
              </w:rPr>
              <w:t>D</w:t>
            </w:r>
            <w:r w:rsidRPr="00035384">
              <w:rPr>
                <w:rFonts w:ascii="Calibri" w:eastAsia="Calibri" w:hAnsi="Calibri" w:cs="Calibri"/>
              </w:rPr>
              <w:t>efining project activities within the</w:t>
            </w:r>
            <w:r w:rsidR="00861CB1" w:rsidRPr="003C7CB1">
              <w:rPr>
                <w:rFonts w:ascii="Calibri" w:eastAsia="Calibri" w:hAnsi="Calibri" w:cs="Calibri"/>
              </w:rPr>
              <w:t xml:space="preserve"> Program for Improving the Competitiveness</w:t>
            </w:r>
            <w:r w:rsidRPr="00035384">
              <w:rPr>
                <w:rFonts w:ascii="Calibri" w:eastAsia="Calibri" w:hAnsi="Calibri" w:cs="Calibri"/>
              </w:rPr>
              <w:t xml:space="preserve"> of the economy</w:t>
            </w:r>
            <w:r w:rsidR="00861CB1" w:rsidRPr="003C7CB1">
              <w:rPr>
                <w:rFonts w:ascii="Calibri" w:eastAsia="Calibri" w:hAnsi="Calibri" w:cs="Calibri"/>
              </w:rPr>
              <w:t xml:space="preserve"> </w:t>
            </w:r>
            <w:r w:rsidR="007B77B6">
              <w:rPr>
                <w:rFonts w:ascii="Calibri" w:eastAsia="Calibri" w:hAnsi="Calibri" w:cs="Calibri"/>
              </w:rPr>
              <w:t>in 2022</w:t>
            </w:r>
            <w:r w:rsidR="00861CB1" w:rsidRPr="003C7CB1">
              <w:rPr>
                <w:rFonts w:ascii="Calibri" w:eastAsia="Calibri" w:hAnsi="Calibri" w:cs="Calibri"/>
              </w:rPr>
              <w:t>:</w:t>
            </w:r>
          </w:p>
          <w:p w14:paraId="0BF78D5A" w14:textId="77777777" w:rsidR="00861CB1" w:rsidRPr="003C7CB1" w:rsidRDefault="00861CB1" w:rsidP="00861CB1">
            <w:pPr>
              <w:spacing w:after="0" w:line="240" w:lineRule="auto"/>
              <w:contextualSpacing/>
              <w:rPr>
                <w:rFonts w:ascii="Calibri" w:eastAsia="Calibri" w:hAnsi="Calibri" w:cs="Calibri"/>
              </w:rPr>
            </w:pPr>
            <w:r w:rsidRPr="003C7CB1">
              <w:rPr>
                <w:rFonts w:ascii="Calibri" w:eastAsia="Calibri" w:hAnsi="Calibri" w:cs="Calibri"/>
              </w:rPr>
              <w:t xml:space="preserve">Incentive measures for the development of green / eco types of hospitality facilities for accommodation - stimulating decarbonization and introduction of new environmentally friendly </w:t>
            </w:r>
            <w:r w:rsidRPr="003C7CB1">
              <w:rPr>
                <w:rFonts w:ascii="Calibri" w:eastAsia="Calibri" w:hAnsi="Calibri" w:cs="Calibri"/>
              </w:rPr>
              <w:lastRenderedPageBreak/>
              <w:t xml:space="preserve">technologies (green transition / circular economy) in hospitality facilities, as well as for the development of types of hospitality facilities with new innovative technological offers S3 strategy: Sustainable and health tourism) </w:t>
            </w:r>
          </w:p>
        </w:tc>
        <w:tc>
          <w:tcPr>
            <w:tcW w:w="1843" w:type="dxa"/>
            <w:gridSpan w:val="3"/>
          </w:tcPr>
          <w:p w14:paraId="32F65AB6" w14:textId="77777777" w:rsidR="00861CB1" w:rsidRPr="003C7CB1" w:rsidRDefault="00861CB1" w:rsidP="00861CB1">
            <w:pPr>
              <w:contextualSpacing/>
              <w:jc w:val="center"/>
              <w:rPr>
                <w:rFonts w:ascii="Calibri" w:eastAsia="Calibri" w:hAnsi="Calibri" w:cs="Calibri"/>
              </w:rPr>
            </w:pPr>
          </w:p>
          <w:p w14:paraId="3002C79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75B0C78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Donors, IDF, commercial banks </w:t>
            </w:r>
          </w:p>
        </w:tc>
        <w:tc>
          <w:tcPr>
            <w:tcW w:w="1703" w:type="dxa"/>
          </w:tcPr>
          <w:p w14:paraId="19E3325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2022 </w:t>
            </w:r>
          </w:p>
        </w:tc>
        <w:tc>
          <w:tcPr>
            <w:tcW w:w="1841" w:type="dxa"/>
          </w:tcPr>
          <w:p w14:paraId="3C0E817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has been adopted and number of projects have been supported through incentive measures </w:t>
            </w:r>
          </w:p>
          <w:p w14:paraId="138A11AB" w14:textId="77777777" w:rsidR="00861CB1" w:rsidRPr="003C7CB1" w:rsidRDefault="00861CB1" w:rsidP="00861CB1">
            <w:pPr>
              <w:contextualSpacing/>
              <w:jc w:val="center"/>
              <w:rPr>
                <w:rFonts w:ascii="Calibri" w:eastAsia="Calibri" w:hAnsi="Calibri" w:cs="Calibri"/>
              </w:rPr>
            </w:pPr>
          </w:p>
          <w:p w14:paraId="32D499A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Annual work report of MED </w:t>
            </w:r>
          </w:p>
        </w:tc>
        <w:tc>
          <w:tcPr>
            <w:tcW w:w="1494" w:type="dxa"/>
            <w:gridSpan w:val="2"/>
          </w:tcPr>
          <w:p w14:paraId="21165410"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lastRenderedPageBreak/>
              <w:t xml:space="preserve">€ 1,000,000.00 </w:t>
            </w:r>
          </w:p>
          <w:p w14:paraId="70A3A17B"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Budget of Montenegro / Donor / EU funds / Credit funds IDF, commercial banks) </w:t>
            </w:r>
          </w:p>
        </w:tc>
      </w:tr>
      <w:tr w:rsidR="00861CB1" w:rsidRPr="003C7CB1" w14:paraId="5261A690" w14:textId="77777777" w:rsidTr="00861CB1">
        <w:trPr>
          <w:jc w:val="center"/>
        </w:trPr>
        <w:tc>
          <w:tcPr>
            <w:tcW w:w="2122" w:type="dxa"/>
            <w:vMerge w:val="restart"/>
            <w:shd w:val="clear" w:color="auto" w:fill="FFFFFF"/>
          </w:tcPr>
          <w:p w14:paraId="7D07D800"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30F6692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3.1.5 </w:t>
            </w:r>
          </w:p>
        </w:tc>
        <w:tc>
          <w:tcPr>
            <w:tcW w:w="3260" w:type="dxa"/>
            <w:gridSpan w:val="2"/>
          </w:tcPr>
          <w:p w14:paraId="782C6EB4"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an analysis of the existing regulatory framework in the tourism industry with a proposal of measures to improve the business environment for investment in tourism and hospitality </w:t>
            </w:r>
          </w:p>
        </w:tc>
        <w:tc>
          <w:tcPr>
            <w:tcW w:w="1843" w:type="dxa"/>
            <w:gridSpan w:val="3"/>
          </w:tcPr>
          <w:p w14:paraId="5B9FED6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1703" w:type="dxa"/>
          </w:tcPr>
          <w:p w14:paraId="21640FCB" w14:textId="77777777" w:rsidR="00861CB1" w:rsidRPr="003C7CB1" w:rsidRDefault="00861CB1" w:rsidP="00861CB1">
            <w:pPr>
              <w:contextualSpacing/>
              <w:jc w:val="center"/>
              <w:rPr>
                <w:rFonts w:ascii="Calibri" w:eastAsia="Calibri" w:hAnsi="Calibri" w:cs="Calibri"/>
                <w:color w:val="FF0000"/>
              </w:rPr>
            </w:pPr>
            <w:r w:rsidRPr="003C7CB1">
              <w:rPr>
                <w:rFonts w:ascii="Calibri" w:eastAsia="Calibri" w:hAnsi="Calibri" w:cs="Calibri"/>
              </w:rPr>
              <w:t xml:space="preserve">I Q - IV Q 2022 </w:t>
            </w:r>
          </w:p>
        </w:tc>
        <w:tc>
          <w:tcPr>
            <w:tcW w:w="1841" w:type="dxa"/>
          </w:tcPr>
          <w:p w14:paraId="16BEA42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Analysis has been conducted </w:t>
            </w:r>
          </w:p>
          <w:p w14:paraId="2AAB6779" w14:textId="77777777" w:rsidR="00861CB1" w:rsidRPr="003C7CB1" w:rsidRDefault="00861CB1" w:rsidP="00861CB1">
            <w:pPr>
              <w:contextualSpacing/>
              <w:jc w:val="center"/>
              <w:rPr>
                <w:rFonts w:ascii="Calibri" w:eastAsia="Calibri" w:hAnsi="Calibri" w:cs="Calibri"/>
              </w:rPr>
            </w:pPr>
          </w:p>
          <w:p w14:paraId="0CAD4C8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6F5C7F2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€ 70,000.00 </w:t>
            </w:r>
          </w:p>
          <w:p w14:paraId="4A87AF6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48A52FEE" w14:textId="77777777" w:rsidTr="00861CB1">
        <w:trPr>
          <w:jc w:val="center"/>
        </w:trPr>
        <w:tc>
          <w:tcPr>
            <w:tcW w:w="2122" w:type="dxa"/>
            <w:vMerge/>
            <w:shd w:val="clear" w:color="auto" w:fill="FFFFFF"/>
          </w:tcPr>
          <w:p w14:paraId="073FC479"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3461077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3.1.6 </w:t>
            </w:r>
          </w:p>
        </w:tc>
        <w:tc>
          <w:tcPr>
            <w:tcW w:w="3260" w:type="dxa"/>
            <w:gridSpan w:val="2"/>
          </w:tcPr>
          <w:p w14:paraId="0968FC5D"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Development and selection of bidders for printing brochures on incentive measures available through various support programs for domestic and foreign investors </w:t>
            </w:r>
          </w:p>
        </w:tc>
        <w:tc>
          <w:tcPr>
            <w:tcW w:w="1843" w:type="dxa"/>
            <w:gridSpan w:val="3"/>
          </w:tcPr>
          <w:p w14:paraId="1BA626D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502DFD7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Montenegrin Investments Agency </w:t>
            </w:r>
          </w:p>
        </w:tc>
        <w:tc>
          <w:tcPr>
            <w:tcW w:w="1703" w:type="dxa"/>
          </w:tcPr>
          <w:p w14:paraId="0F62CBBA" w14:textId="77777777" w:rsidR="00861CB1" w:rsidRPr="003C7CB1" w:rsidRDefault="00861CB1" w:rsidP="00861CB1">
            <w:pPr>
              <w:contextualSpacing/>
              <w:jc w:val="center"/>
              <w:rPr>
                <w:rFonts w:ascii="Calibri" w:eastAsia="Calibri" w:hAnsi="Calibri" w:cs="Calibri"/>
                <w:color w:val="FF0000"/>
              </w:rPr>
            </w:pPr>
            <w:r w:rsidRPr="003C7CB1">
              <w:rPr>
                <w:rFonts w:ascii="Calibri" w:eastAsia="Calibri" w:hAnsi="Calibri" w:cs="Calibri"/>
              </w:rPr>
              <w:t xml:space="preserve">I Q -IV Q 2022 </w:t>
            </w:r>
          </w:p>
        </w:tc>
        <w:tc>
          <w:tcPr>
            <w:tcW w:w="1841" w:type="dxa"/>
          </w:tcPr>
          <w:p w14:paraId="5C2E693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printed brochures for potential investors </w:t>
            </w:r>
          </w:p>
          <w:p w14:paraId="7B86A011" w14:textId="77777777" w:rsidR="00861CB1" w:rsidRPr="003C7CB1" w:rsidRDefault="00861CB1" w:rsidP="00861CB1">
            <w:pPr>
              <w:contextualSpacing/>
              <w:jc w:val="center"/>
              <w:rPr>
                <w:rFonts w:ascii="Calibri" w:eastAsia="Calibri" w:hAnsi="Calibri" w:cs="Calibri"/>
              </w:rPr>
            </w:pPr>
          </w:p>
          <w:p w14:paraId="76B7A48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7E2F04A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€ 10,000.00 </w:t>
            </w:r>
          </w:p>
          <w:p w14:paraId="6CD1D35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2F082749" w14:textId="77777777" w:rsidTr="00861CB1">
        <w:trPr>
          <w:jc w:val="center"/>
        </w:trPr>
        <w:tc>
          <w:tcPr>
            <w:tcW w:w="2122" w:type="dxa"/>
            <w:vMerge/>
            <w:shd w:val="clear" w:color="auto" w:fill="FFFFFF"/>
          </w:tcPr>
          <w:p w14:paraId="042CA564" w14:textId="77777777" w:rsidR="00861CB1" w:rsidRPr="003C7CB1" w:rsidRDefault="00861CB1" w:rsidP="00861CB1">
            <w:pPr>
              <w:contextualSpacing/>
              <w:jc w:val="both"/>
              <w:rPr>
                <w:rFonts w:ascii="Calibri" w:eastAsia="Calibri" w:hAnsi="Calibri" w:cs="Calibri"/>
                <w:b/>
                <w:sz w:val="24"/>
                <w:szCs w:val="24"/>
              </w:rPr>
            </w:pPr>
          </w:p>
        </w:tc>
        <w:tc>
          <w:tcPr>
            <w:tcW w:w="1417" w:type="dxa"/>
            <w:gridSpan w:val="2"/>
          </w:tcPr>
          <w:p w14:paraId="3FD19E5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3.1.7 </w:t>
            </w:r>
          </w:p>
        </w:tc>
        <w:tc>
          <w:tcPr>
            <w:tcW w:w="3260" w:type="dxa"/>
            <w:gridSpan w:val="2"/>
          </w:tcPr>
          <w:p w14:paraId="67B3F4C6"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international and domestic investment promotional activities, study trips and professional trainings </w:t>
            </w:r>
          </w:p>
        </w:tc>
        <w:tc>
          <w:tcPr>
            <w:tcW w:w="1843" w:type="dxa"/>
            <w:gridSpan w:val="3"/>
          </w:tcPr>
          <w:p w14:paraId="7DC23E3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1703" w:type="dxa"/>
          </w:tcPr>
          <w:p w14:paraId="1FD9F8EF" w14:textId="77777777" w:rsidR="00861CB1" w:rsidRPr="003C7CB1" w:rsidRDefault="00861CB1" w:rsidP="00861CB1">
            <w:pPr>
              <w:contextualSpacing/>
              <w:jc w:val="center"/>
              <w:rPr>
                <w:rFonts w:ascii="Calibri" w:eastAsia="Calibri" w:hAnsi="Calibri" w:cs="Calibri"/>
                <w:color w:val="FF0000"/>
              </w:rPr>
            </w:pPr>
            <w:r w:rsidRPr="003C7CB1">
              <w:rPr>
                <w:rFonts w:ascii="Calibri" w:eastAsia="Calibri" w:hAnsi="Calibri" w:cs="Calibri"/>
              </w:rPr>
              <w:t xml:space="preserve">I Q - IV Q 2022 </w:t>
            </w:r>
          </w:p>
        </w:tc>
        <w:tc>
          <w:tcPr>
            <w:tcW w:w="1841" w:type="dxa"/>
          </w:tcPr>
          <w:p w14:paraId="082FB5C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Implementation of promotional activities, number of study trips and </w:t>
            </w:r>
            <w:r w:rsidRPr="003C7CB1">
              <w:rPr>
                <w:rFonts w:ascii="Calibri" w:eastAsia="Calibri" w:hAnsi="Calibri" w:cs="Calibri"/>
              </w:rPr>
              <w:lastRenderedPageBreak/>
              <w:t xml:space="preserve">professional trainings </w:t>
            </w:r>
          </w:p>
          <w:p w14:paraId="295D5BAD" w14:textId="77777777" w:rsidR="00861CB1" w:rsidRPr="003C7CB1" w:rsidRDefault="00861CB1" w:rsidP="00861CB1">
            <w:pPr>
              <w:contextualSpacing/>
              <w:jc w:val="center"/>
              <w:rPr>
                <w:rFonts w:ascii="Calibri" w:eastAsia="Calibri" w:hAnsi="Calibri" w:cs="Calibri"/>
              </w:rPr>
            </w:pPr>
          </w:p>
          <w:p w14:paraId="7D92C12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0208F60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150.000,00€</w:t>
            </w:r>
          </w:p>
          <w:p w14:paraId="2CD3EE05" w14:textId="77777777" w:rsidR="00861CB1" w:rsidRPr="003C7CB1" w:rsidRDefault="00861CB1" w:rsidP="00861CB1">
            <w:pPr>
              <w:contextualSpacing/>
              <w:jc w:val="center"/>
              <w:rPr>
                <w:rFonts w:ascii="Calibri" w:eastAsia="Calibri" w:hAnsi="Calibri" w:cs="Calibri"/>
              </w:rPr>
            </w:pPr>
          </w:p>
          <w:p w14:paraId="595F107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292742AC" w14:textId="77777777" w:rsidTr="00861CB1">
        <w:trPr>
          <w:jc w:val="center"/>
        </w:trPr>
        <w:tc>
          <w:tcPr>
            <w:tcW w:w="2122" w:type="dxa"/>
            <w:shd w:val="clear" w:color="auto" w:fill="FFFFFF"/>
          </w:tcPr>
          <w:p w14:paraId="66D7E4DF" w14:textId="77777777" w:rsidR="00861CB1" w:rsidRPr="003C7CB1" w:rsidRDefault="00861CB1" w:rsidP="00861CB1">
            <w:pPr>
              <w:contextualSpacing/>
              <w:rPr>
                <w:rFonts w:ascii="Calibri" w:eastAsia="Calibri" w:hAnsi="Calibri" w:cs="Calibri"/>
                <w:b/>
              </w:rPr>
            </w:pPr>
            <w:r w:rsidRPr="003C7CB1">
              <w:rPr>
                <w:rFonts w:ascii="Calibri" w:eastAsia="Calibri" w:hAnsi="Calibri" w:cs="Calibri"/>
                <w:b/>
              </w:rPr>
              <w:t xml:space="preserve">3.2 Raising the level of security in tourism </w:t>
            </w:r>
          </w:p>
        </w:tc>
        <w:tc>
          <w:tcPr>
            <w:tcW w:w="1417" w:type="dxa"/>
            <w:gridSpan w:val="2"/>
          </w:tcPr>
          <w:p w14:paraId="0374388D" w14:textId="77777777" w:rsidR="00861CB1" w:rsidRPr="003C7CB1" w:rsidRDefault="00861CB1" w:rsidP="00861CB1">
            <w:pPr>
              <w:contextualSpacing/>
              <w:jc w:val="center"/>
              <w:rPr>
                <w:rFonts w:ascii="Calibri" w:eastAsia="Calibri" w:hAnsi="Calibri" w:cs="Calibri"/>
                <w:sz w:val="24"/>
                <w:szCs w:val="24"/>
              </w:rPr>
            </w:pPr>
            <w:r w:rsidRPr="003C7CB1">
              <w:rPr>
                <w:rFonts w:ascii="Calibri" w:eastAsia="Calibri" w:hAnsi="Calibri" w:cs="Calibri"/>
                <w:sz w:val="24"/>
                <w:szCs w:val="24"/>
              </w:rPr>
              <w:t xml:space="preserve">3.2.1 </w:t>
            </w:r>
          </w:p>
        </w:tc>
        <w:tc>
          <w:tcPr>
            <w:tcW w:w="3260" w:type="dxa"/>
            <w:gridSpan w:val="2"/>
          </w:tcPr>
          <w:p w14:paraId="1CAA1E2A"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the project of “Safety in tourism - Be safe”- Introduction of a national certificate for tourism and hospitality companies in order to strengthen the destination brand </w:t>
            </w:r>
          </w:p>
        </w:tc>
        <w:tc>
          <w:tcPr>
            <w:tcW w:w="1843" w:type="dxa"/>
            <w:gridSpan w:val="3"/>
          </w:tcPr>
          <w:p w14:paraId="4553F9C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41A28DA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ISME, CEM, </w:t>
            </w:r>
          </w:p>
          <w:p w14:paraId="14202BC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tourism industry, business and tourism associations </w:t>
            </w:r>
          </w:p>
        </w:tc>
        <w:tc>
          <w:tcPr>
            <w:tcW w:w="1703" w:type="dxa"/>
          </w:tcPr>
          <w:p w14:paraId="313B9C4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II Q – IV Q 2022  </w:t>
            </w:r>
          </w:p>
        </w:tc>
        <w:tc>
          <w:tcPr>
            <w:tcW w:w="1841" w:type="dxa"/>
          </w:tcPr>
          <w:p w14:paraId="56E616D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Standard has been made </w:t>
            </w:r>
          </w:p>
          <w:p w14:paraId="540837C3" w14:textId="77777777" w:rsidR="00861CB1" w:rsidRPr="003C7CB1" w:rsidRDefault="00861CB1" w:rsidP="00861CB1">
            <w:pPr>
              <w:contextualSpacing/>
              <w:jc w:val="center"/>
              <w:rPr>
                <w:rFonts w:ascii="Calibri" w:eastAsia="Calibri" w:hAnsi="Calibri" w:cs="Calibri"/>
              </w:rPr>
            </w:pPr>
          </w:p>
          <w:p w14:paraId="5A500A0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4B9CC43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€ 50,000.00 </w:t>
            </w:r>
          </w:p>
          <w:p w14:paraId="58207BD9" w14:textId="77777777" w:rsidR="00861CB1" w:rsidRPr="003C7CB1" w:rsidRDefault="00861CB1" w:rsidP="00861CB1">
            <w:pPr>
              <w:contextualSpacing/>
              <w:jc w:val="center"/>
              <w:rPr>
                <w:rFonts w:ascii="Calibri" w:eastAsia="Calibri" w:hAnsi="Calibri" w:cs="Calibri"/>
              </w:rPr>
            </w:pPr>
          </w:p>
          <w:p w14:paraId="713C160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763CD32A" w14:textId="77777777" w:rsidTr="00861CB1">
        <w:trPr>
          <w:trHeight w:val="308"/>
          <w:jc w:val="center"/>
        </w:trPr>
        <w:tc>
          <w:tcPr>
            <w:tcW w:w="5098" w:type="dxa"/>
            <w:gridSpan w:val="4"/>
            <w:vMerge w:val="restart"/>
            <w:shd w:val="clear" w:color="auto" w:fill="DEEAF6"/>
          </w:tcPr>
          <w:p w14:paraId="623598D3"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Total amount of funds for implementation of</w:t>
            </w:r>
          </w:p>
          <w:p w14:paraId="3D34B669"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Operational goal 3:  € 1,459,890.00 </w:t>
            </w:r>
          </w:p>
        </w:tc>
        <w:tc>
          <w:tcPr>
            <w:tcW w:w="8582" w:type="dxa"/>
            <w:gridSpan w:val="8"/>
            <w:shd w:val="clear" w:color="auto" w:fill="EDEDED"/>
          </w:tcPr>
          <w:p w14:paraId="2A46B93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(current): € 459,890.00 </w:t>
            </w:r>
          </w:p>
        </w:tc>
      </w:tr>
      <w:tr w:rsidR="00861CB1" w:rsidRPr="003C7CB1" w14:paraId="03F56723" w14:textId="77777777" w:rsidTr="00861CB1">
        <w:trPr>
          <w:trHeight w:val="307"/>
          <w:jc w:val="center"/>
        </w:trPr>
        <w:tc>
          <w:tcPr>
            <w:tcW w:w="5098" w:type="dxa"/>
            <w:gridSpan w:val="4"/>
            <w:vMerge/>
            <w:shd w:val="clear" w:color="auto" w:fill="DEEAF6"/>
          </w:tcPr>
          <w:p w14:paraId="167DDE15" w14:textId="77777777" w:rsidR="00861CB1" w:rsidRPr="003C7CB1" w:rsidRDefault="00861CB1" w:rsidP="00861CB1">
            <w:pPr>
              <w:contextualSpacing/>
              <w:jc w:val="center"/>
              <w:rPr>
                <w:rFonts w:ascii="Calibri" w:eastAsia="Calibri" w:hAnsi="Calibri" w:cs="Calibri"/>
                <w:b/>
              </w:rPr>
            </w:pPr>
          </w:p>
        </w:tc>
        <w:tc>
          <w:tcPr>
            <w:tcW w:w="8582" w:type="dxa"/>
            <w:gridSpan w:val="8"/>
            <w:shd w:val="clear" w:color="auto" w:fill="EDEDED"/>
          </w:tcPr>
          <w:p w14:paraId="75BD8DCA"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Donor / EU / Credit funds (IDF, commercial banks): € 1,000,000.00  </w:t>
            </w:r>
          </w:p>
        </w:tc>
      </w:tr>
      <w:tr w:rsidR="00861CB1" w:rsidRPr="003C7CB1" w14:paraId="66BEA8FE" w14:textId="77777777" w:rsidTr="00861CB1">
        <w:trPr>
          <w:trHeight w:val="307"/>
          <w:jc w:val="center"/>
        </w:trPr>
        <w:tc>
          <w:tcPr>
            <w:tcW w:w="13680" w:type="dxa"/>
            <w:gridSpan w:val="12"/>
            <w:shd w:val="clear" w:color="auto" w:fill="FFFFFF"/>
          </w:tcPr>
          <w:p w14:paraId="78825ACA" w14:textId="77777777" w:rsidR="00861CB1" w:rsidRPr="003C7CB1" w:rsidRDefault="00861CB1" w:rsidP="00861CB1">
            <w:pPr>
              <w:contextualSpacing/>
              <w:rPr>
                <w:rFonts w:ascii="Calibri" w:eastAsia="Calibri" w:hAnsi="Calibri" w:cs="Calibri"/>
                <w:b/>
              </w:rPr>
            </w:pPr>
          </w:p>
          <w:p w14:paraId="3B671D3B" w14:textId="77777777" w:rsidR="00861CB1" w:rsidRDefault="00861CB1" w:rsidP="00861CB1">
            <w:pPr>
              <w:contextualSpacing/>
              <w:rPr>
                <w:rFonts w:ascii="Calibri" w:eastAsia="Calibri" w:hAnsi="Calibri" w:cs="Calibri"/>
                <w:b/>
              </w:rPr>
            </w:pPr>
          </w:p>
          <w:p w14:paraId="12721789" w14:textId="77777777" w:rsidR="00AE56A4" w:rsidRDefault="00AE56A4" w:rsidP="00861CB1">
            <w:pPr>
              <w:contextualSpacing/>
              <w:rPr>
                <w:rFonts w:ascii="Calibri" w:eastAsia="Calibri" w:hAnsi="Calibri" w:cs="Calibri"/>
                <w:b/>
              </w:rPr>
            </w:pPr>
          </w:p>
          <w:p w14:paraId="44B33DF9" w14:textId="77777777" w:rsidR="00AE56A4" w:rsidRDefault="00AE56A4" w:rsidP="00861CB1">
            <w:pPr>
              <w:contextualSpacing/>
              <w:rPr>
                <w:rFonts w:ascii="Calibri" w:eastAsia="Calibri" w:hAnsi="Calibri" w:cs="Calibri"/>
                <w:b/>
              </w:rPr>
            </w:pPr>
          </w:p>
          <w:p w14:paraId="3565A6E3" w14:textId="77777777" w:rsidR="00AE56A4" w:rsidRDefault="00AE56A4" w:rsidP="00861CB1">
            <w:pPr>
              <w:contextualSpacing/>
              <w:rPr>
                <w:rFonts w:ascii="Calibri" w:eastAsia="Calibri" w:hAnsi="Calibri" w:cs="Calibri"/>
                <w:b/>
              </w:rPr>
            </w:pPr>
          </w:p>
          <w:p w14:paraId="41458B75" w14:textId="77777777" w:rsidR="00AE56A4" w:rsidRDefault="00AE56A4" w:rsidP="00861CB1">
            <w:pPr>
              <w:contextualSpacing/>
              <w:rPr>
                <w:rFonts w:ascii="Calibri" w:eastAsia="Calibri" w:hAnsi="Calibri" w:cs="Calibri"/>
                <w:b/>
              </w:rPr>
            </w:pPr>
          </w:p>
          <w:p w14:paraId="44D47409" w14:textId="77777777" w:rsidR="00AE56A4" w:rsidRDefault="00AE56A4" w:rsidP="00861CB1">
            <w:pPr>
              <w:contextualSpacing/>
              <w:rPr>
                <w:rFonts w:ascii="Calibri" w:eastAsia="Calibri" w:hAnsi="Calibri" w:cs="Calibri"/>
                <w:b/>
              </w:rPr>
            </w:pPr>
          </w:p>
          <w:p w14:paraId="7C4712F1" w14:textId="77777777" w:rsidR="00AE56A4" w:rsidRDefault="00AE56A4" w:rsidP="00861CB1">
            <w:pPr>
              <w:contextualSpacing/>
              <w:rPr>
                <w:rFonts w:ascii="Calibri" w:eastAsia="Calibri" w:hAnsi="Calibri" w:cs="Calibri"/>
                <w:b/>
              </w:rPr>
            </w:pPr>
          </w:p>
          <w:p w14:paraId="4101A1E0" w14:textId="77777777" w:rsidR="00AE56A4" w:rsidRDefault="00AE56A4" w:rsidP="00861CB1">
            <w:pPr>
              <w:contextualSpacing/>
              <w:rPr>
                <w:rFonts w:ascii="Calibri" w:eastAsia="Calibri" w:hAnsi="Calibri" w:cs="Calibri"/>
                <w:b/>
              </w:rPr>
            </w:pPr>
          </w:p>
          <w:p w14:paraId="3E179F36" w14:textId="77777777" w:rsidR="00AE56A4" w:rsidRDefault="00AE56A4" w:rsidP="00861CB1">
            <w:pPr>
              <w:contextualSpacing/>
              <w:rPr>
                <w:rFonts w:ascii="Calibri" w:eastAsia="Calibri" w:hAnsi="Calibri" w:cs="Calibri"/>
                <w:b/>
              </w:rPr>
            </w:pPr>
          </w:p>
          <w:p w14:paraId="5DA2D2DE" w14:textId="77777777" w:rsidR="00AE56A4" w:rsidRDefault="00AE56A4" w:rsidP="00861CB1">
            <w:pPr>
              <w:contextualSpacing/>
              <w:rPr>
                <w:rFonts w:ascii="Calibri" w:eastAsia="Calibri" w:hAnsi="Calibri" w:cs="Calibri"/>
                <w:b/>
              </w:rPr>
            </w:pPr>
          </w:p>
          <w:p w14:paraId="3BE1F69D" w14:textId="2B43A878" w:rsidR="00AE56A4" w:rsidRPr="003C7CB1" w:rsidRDefault="00AE56A4" w:rsidP="00861CB1">
            <w:pPr>
              <w:contextualSpacing/>
              <w:rPr>
                <w:rFonts w:ascii="Calibri" w:eastAsia="Calibri" w:hAnsi="Calibri" w:cs="Calibri"/>
                <w:b/>
              </w:rPr>
            </w:pPr>
          </w:p>
        </w:tc>
      </w:tr>
      <w:tr w:rsidR="00861CB1" w:rsidRPr="003C7CB1" w14:paraId="6C9A7AC4" w14:textId="77777777" w:rsidTr="00861CB1">
        <w:trPr>
          <w:jc w:val="center"/>
        </w:trPr>
        <w:tc>
          <w:tcPr>
            <w:tcW w:w="13680" w:type="dxa"/>
            <w:gridSpan w:val="12"/>
            <w:shd w:val="clear" w:color="auto" w:fill="B4C6E7"/>
          </w:tcPr>
          <w:p w14:paraId="3B660ED0" w14:textId="77777777" w:rsidR="00861CB1" w:rsidRPr="003C7CB1" w:rsidRDefault="00861CB1" w:rsidP="00861CB1">
            <w:pPr>
              <w:spacing w:before="120" w:after="240"/>
              <w:contextualSpacing/>
              <w:jc w:val="center"/>
              <w:rPr>
                <w:rFonts w:ascii="Calibri" w:eastAsia="Calibri" w:hAnsi="Calibri" w:cs="Calibri"/>
                <w:b/>
                <w:bCs/>
                <w:sz w:val="24"/>
                <w:szCs w:val="24"/>
              </w:rPr>
            </w:pPr>
            <w:r w:rsidRPr="003C7CB1">
              <w:rPr>
                <w:rFonts w:ascii="Calibri" w:eastAsia="Calibri" w:hAnsi="Calibri" w:cs="Calibri"/>
                <w:b/>
                <w:bCs/>
                <w:sz w:val="24"/>
                <w:szCs w:val="24"/>
              </w:rPr>
              <w:lastRenderedPageBreak/>
              <w:t>Operational goal 4: Improved quality of diversified tourism product</w:t>
            </w:r>
          </w:p>
          <w:p w14:paraId="555302AD" w14:textId="77777777" w:rsidR="00861CB1" w:rsidRPr="003C7CB1" w:rsidRDefault="00861CB1" w:rsidP="00861CB1">
            <w:pPr>
              <w:spacing w:before="120" w:after="240"/>
              <w:contextualSpacing/>
              <w:jc w:val="center"/>
              <w:rPr>
                <w:rFonts w:ascii="Calibri" w:eastAsia="Calibri" w:hAnsi="Calibri" w:cs="Calibri"/>
                <w:b/>
                <w:bCs/>
                <w:sz w:val="24"/>
                <w:szCs w:val="24"/>
              </w:rPr>
            </w:pPr>
          </w:p>
        </w:tc>
      </w:tr>
      <w:tr w:rsidR="00861CB1" w:rsidRPr="003C7CB1" w14:paraId="208A6C94" w14:textId="77777777" w:rsidTr="00861CB1">
        <w:trPr>
          <w:jc w:val="center"/>
        </w:trPr>
        <w:tc>
          <w:tcPr>
            <w:tcW w:w="3539" w:type="dxa"/>
            <w:gridSpan w:val="3"/>
            <w:shd w:val="clear" w:color="auto" w:fill="auto"/>
          </w:tcPr>
          <w:p w14:paraId="7D649BD3"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260" w:type="dxa"/>
            <w:gridSpan w:val="2"/>
            <w:shd w:val="clear" w:color="auto" w:fill="auto"/>
          </w:tcPr>
          <w:p w14:paraId="17BAD9C7"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Initial value for 2021 </w:t>
            </w:r>
          </w:p>
        </w:tc>
        <w:tc>
          <w:tcPr>
            <w:tcW w:w="3546" w:type="dxa"/>
            <w:gridSpan w:val="4"/>
            <w:shd w:val="clear" w:color="auto" w:fill="auto"/>
          </w:tcPr>
          <w:p w14:paraId="76415EF6"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2023 </w:t>
            </w:r>
          </w:p>
        </w:tc>
        <w:tc>
          <w:tcPr>
            <w:tcW w:w="3335" w:type="dxa"/>
            <w:gridSpan w:val="3"/>
            <w:shd w:val="clear" w:color="auto" w:fill="auto"/>
          </w:tcPr>
          <w:p w14:paraId="44E501FF"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12530DD6" w14:textId="77777777" w:rsidTr="00861CB1">
        <w:trPr>
          <w:jc w:val="center"/>
        </w:trPr>
        <w:tc>
          <w:tcPr>
            <w:tcW w:w="3539" w:type="dxa"/>
            <w:gridSpan w:val="3"/>
            <w:shd w:val="clear" w:color="auto" w:fill="auto"/>
          </w:tcPr>
          <w:p w14:paraId="7974348A"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260" w:type="dxa"/>
            <w:gridSpan w:val="2"/>
            <w:shd w:val="clear" w:color="auto" w:fill="auto"/>
          </w:tcPr>
          <w:p w14:paraId="7A109CF9"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 </w:t>
            </w:r>
          </w:p>
        </w:tc>
        <w:tc>
          <w:tcPr>
            <w:tcW w:w="3546" w:type="dxa"/>
            <w:gridSpan w:val="4"/>
            <w:shd w:val="clear" w:color="auto" w:fill="auto"/>
          </w:tcPr>
          <w:p w14:paraId="6A62EC9F" w14:textId="77777777" w:rsidR="00861CB1" w:rsidRPr="003C7CB1" w:rsidRDefault="00861CB1" w:rsidP="00861CB1">
            <w:pPr>
              <w:spacing w:after="0" w:line="240" w:lineRule="auto"/>
              <w:rPr>
                <w:rFonts w:ascii="Calibri" w:eastAsia="Calibri" w:hAnsi="Calibri" w:cs="Calibri"/>
              </w:rPr>
            </w:pPr>
          </w:p>
        </w:tc>
        <w:tc>
          <w:tcPr>
            <w:tcW w:w="3335" w:type="dxa"/>
            <w:gridSpan w:val="3"/>
            <w:shd w:val="clear" w:color="auto" w:fill="auto"/>
          </w:tcPr>
          <w:p w14:paraId="701C8CD0" w14:textId="77777777" w:rsidR="00861CB1" w:rsidRPr="003C7CB1" w:rsidRDefault="00861CB1" w:rsidP="00861CB1">
            <w:pPr>
              <w:spacing w:after="0" w:line="240" w:lineRule="auto"/>
              <w:rPr>
                <w:rFonts w:ascii="Calibri" w:eastAsia="Calibri" w:hAnsi="Calibri" w:cs="Calibri"/>
              </w:rPr>
            </w:pPr>
          </w:p>
        </w:tc>
      </w:tr>
      <w:tr w:rsidR="00861CB1" w:rsidRPr="003C7CB1" w14:paraId="001B0342" w14:textId="77777777" w:rsidTr="00861CB1">
        <w:trPr>
          <w:jc w:val="center"/>
        </w:trPr>
        <w:tc>
          <w:tcPr>
            <w:tcW w:w="3539" w:type="dxa"/>
            <w:gridSpan w:val="3"/>
            <w:shd w:val="clear" w:color="auto" w:fill="auto"/>
          </w:tcPr>
          <w:p w14:paraId="17469167" w14:textId="77777777" w:rsidR="00861CB1" w:rsidRPr="003C7CB1" w:rsidRDefault="00861CB1" w:rsidP="00861CB1">
            <w:pPr>
              <w:rPr>
                <w:rFonts w:ascii="Calibri" w:eastAsia="Calibri" w:hAnsi="Calibri" w:cs="Calibri"/>
              </w:rPr>
            </w:pPr>
            <w:r w:rsidRPr="003C7CB1">
              <w:rPr>
                <w:rFonts w:ascii="Calibri" w:eastAsia="Calibri" w:hAnsi="Calibri" w:cs="Calibri"/>
              </w:rPr>
              <w:t xml:space="preserve">Number of new tourism products </w:t>
            </w:r>
          </w:p>
        </w:tc>
        <w:tc>
          <w:tcPr>
            <w:tcW w:w="3260" w:type="dxa"/>
            <w:gridSpan w:val="2"/>
            <w:shd w:val="clear" w:color="auto" w:fill="auto"/>
          </w:tcPr>
          <w:p w14:paraId="0944DAE9"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1 </w:t>
            </w:r>
          </w:p>
        </w:tc>
        <w:tc>
          <w:tcPr>
            <w:tcW w:w="3546" w:type="dxa"/>
            <w:gridSpan w:val="4"/>
            <w:shd w:val="clear" w:color="auto" w:fill="auto"/>
          </w:tcPr>
          <w:p w14:paraId="318EE2D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+ 2 </w:t>
            </w:r>
          </w:p>
        </w:tc>
        <w:tc>
          <w:tcPr>
            <w:tcW w:w="3335" w:type="dxa"/>
            <w:gridSpan w:val="3"/>
            <w:shd w:val="clear" w:color="auto" w:fill="auto"/>
          </w:tcPr>
          <w:p w14:paraId="51A1A69A"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+ 1 </w:t>
            </w:r>
          </w:p>
          <w:p w14:paraId="418140E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(in comparison to 2023) </w:t>
            </w:r>
          </w:p>
          <w:p w14:paraId="16A2D6E6" w14:textId="77777777" w:rsidR="00861CB1" w:rsidRPr="003C7CB1" w:rsidRDefault="00861CB1" w:rsidP="00861CB1">
            <w:pPr>
              <w:spacing w:after="0" w:line="240" w:lineRule="auto"/>
              <w:jc w:val="center"/>
              <w:rPr>
                <w:rFonts w:ascii="Calibri" w:eastAsia="Calibri" w:hAnsi="Calibri" w:cs="Calibri"/>
              </w:rPr>
            </w:pPr>
          </w:p>
        </w:tc>
      </w:tr>
      <w:tr w:rsidR="00861CB1" w:rsidRPr="003C7CB1" w14:paraId="0E1EC076" w14:textId="77777777" w:rsidTr="00861CB1">
        <w:trPr>
          <w:jc w:val="center"/>
        </w:trPr>
        <w:tc>
          <w:tcPr>
            <w:tcW w:w="2122" w:type="dxa"/>
            <w:shd w:val="clear" w:color="auto" w:fill="BDD6EE"/>
          </w:tcPr>
          <w:p w14:paraId="2758BC51"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Measure </w:t>
            </w:r>
          </w:p>
        </w:tc>
        <w:tc>
          <w:tcPr>
            <w:tcW w:w="4677" w:type="dxa"/>
            <w:gridSpan w:val="4"/>
            <w:shd w:val="clear" w:color="auto" w:fill="BDD6EE"/>
          </w:tcPr>
          <w:p w14:paraId="123D31E4"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Activity </w:t>
            </w:r>
          </w:p>
        </w:tc>
        <w:tc>
          <w:tcPr>
            <w:tcW w:w="1843" w:type="dxa"/>
            <w:gridSpan w:val="3"/>
            <w:tcBorders>
              <w:bottom w:val="single" w:sz="4" w:space="0" w:color="auto"/>
            </w:tcBorders>
            <w:shd w:val="clear" w:color="auto" w:fill="BDD6EE"/>
          </w:tcPr>
          <w:p w14:paraId="50AFBE1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Holder / partners </w:t>
            </w:r>
          </w:p>
        </w:tc>
        <w:tc>
          <w:tcPr>
            <w:tcW w:w="1703" w:type="dxa"/>
            <w:shd w:val="clear" w:color="auto" w:fill="BDD6EE"/>
          </w:tcPr>
          <w:p w14:paraId="011D208D"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Deadline </w:t>
            </w:r>
          </w:p>
        </w:tc>
        <w:tc>
          <w:tcPr>
            <w:tcW w:w="1841" w:type="dxa"/>
            <w:shd w:val="clear" w:color="auto" w:fill="BDD6EE"/>
          </w:tcPr>
          <w:p w14:paraId="557675A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Indicator / verification source </w:t>
            </w:r>
          </w:p>
        </w:tc>
        <w:tc>
          <w:tcPr>
            <w:tcW w:w="1494" w:type="dxa"/>
            <w:gridSpan w:val="2"/>
            <w:shd w:val="clear" w:color="auto" w:fill="BDD6EE"/>
          </w:tcPr>
          <w:p w14:paraId="3C8D2705"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Funds (in €) / source </w:t>
            </w:r>
          </w:p>
        </w:tc>
      </w:tr>
      <w:tr w:rsidR="00861CB1" w:rsidRPr="003C7CB1" w14:paraId="302256C6" w14:textId="77777777" w:rsidTr="00861CB1">
        <w:trPr>
          <w:jc w:val="center"/>
        </w:trPr>
        <w:tc>
          <w:tcPr>
            <w:tcW w:w="2122" w:type="dxa"/>
            <w:shd w:val="clear" w:color="auto" w:fill="FFFFFF"/>
          </w:tcPr>
          <w:p w14:paraId="4CCA39F2" w14:textId="77777777" w:rsidR="00861CB1" w:rsidRPr="003C7CB1" w:rsidRDefault="00861CB1" w:rsidP="00861CB1">
            <w:pPr>
              <w:contextualSpacing/>
              <w:jc w:val="both"/>
              <w:rPr>
                <w:rFonts w:ascii="Calibri" w:eastAsia="Calibri" w:hAnsi="Calibri" w:cs="Calibri"/>
                <w:b/>
                <w:bCs/>
              </w:rPr>
            </w:pPr>
            <w:r w:rsidRPr="003C7CB1">
              <w:rPr>
                <w:rFonts w:ascii="Calibri" w:eastAsia="Calibri" w:hAnsi="Calibri" w:cs="Calibri"/>
                <w:b/>
                <w:bCs/>
              </w:rPr>
              <w:t xml:space="preserve">4.1 Improving the quality of the offer </w:t>
            </w:r>
          </w:p>
          <w:p w14:paraId="051DD2E8" w14:textId="77777777" w:rsidR="00861CB1" w:rsidRPr="003C7CB1" w:rsidRDefault="00861CB1" w:rsidP="00861CB1">
            <w:pPr>
              <w:contextualSpacing/>
              <w:jc w:val="both"/>
              <w:rPr>
                <w:rFonts w:ascii="Calibri" w:eastAsia="Calibri" w:hAnsi="Calibri" w:cs="Calibri"/>
                <w:b/>
                <w:bCs/>
              </w:rPr>
            </w:pPr>
          </w:p>
          <w:p w14:paraId="6430C786" w14:textId="77777777" w:rsidR="00861CB1" w:rsidRPr="003C7CB1" w:rsidRDefault="00861CB1" w:rsidP="00861CB1">
            <w:pPr>
              <w:contextualSpacing/>
              <w:jc w:val="both"/>
              <w:rPr>
                <w:rFonts w:ascii="Calibri" w:eastAsia="Calibri" w:hAnsi="Calibri" w:cs="Calibri"/>
                <w:b/>
                <w:bCs/>
              </w:rPr>
            </w:pPr>
          </w:p>
          <w:p w14:paraId="3E635731" w14:textId="77777777" w:rsidR="00861CB1" w:rsidRPr="003C7CB1" w:rsidRDefault="00861CB1" w:rsidP="00861CB1">
            <w:pPr>
              <w:contextualSpacing/>
              <w:jc w:val="both"/>
              <w:rPr>
                <w:rFonts w:ascii="Calibri" w:eastAsia="Calibri" w:hAnsi="Calibri" w:cs="Calibri"/>
                <w:b/>
                <w:bCs/>
              </w:rPr>
            </w:pPr>
          </w:p>
          <w:p w14:paraId="0414C1C7" w14:textId="77777777" w:rsidR="00861CB1" w:rsidRPr="003C7CB1" w:rsidRDefault="00861CB1" w:rsidP="00861CB1">
            <w:pPr>
              <w:contextualSpacing/>
              <w:jc w:val="both"/>
              <w:rPr>
                <w:rFonts w:ascii="Calibri" w:eastAsia="Calibri" w:hAnsi="Calibri" w:cs="Calibri"/>
                <w:b/>
                <w:bCs/>
              </w:rPr>
            </w:pPr>
          </w:p>
          <w:p w14:paraId="2B5AB401" w14:textId="77777777" w:rsidR="00861CB1" w:rsidRPr="003C7CB1" w:rsidRDefault="00861CB1" w:rsidP="00861CB1">
            <w:pPr>
              <w:contextualSpacing/>
              <w:jc w:val="both"/>
              <w:rPr>
                <w:rFonts w:ascii="Calibri" w:eastAsia="Calibri" w:hAnsi="Calibri" w:cs="Calibri"/>
                <w:b/>
                <w:bCs/>
              </w:rPr>
            </w:pPr>
          </w:p>
        </w:tc>
        <w:tc>
          <w:tcPr>
            <w:tcW w:w="1417" w:type="dxa"/>
            <w:gridSpan w:val="2"/>
          </w:tcPr>
          <w:p w14:paraId="51B8537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4.1.1 </w:t>
            </w:r>
          </w:p>
        </w:tc>
        <w:tc>
          <w:tcPr>
            <w:tcW w:w="3260" w:type="dxa"/>
            <w:gridSpan w:val="2"/>
          </w:tcPr>
          <w:p w14:paraId="2767ED67"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incentive measures in the field of tourism - Strengthening the tourism market </w:t>
            </w:r>
          </w:p>
          <w:p w14:paraId="590B6015"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(Public call for co-financing of projects in the field of event tourism, cultural, camping and other types of tourism) </w:t>
            </w:r>
          </w:p>
        </w:tc>
        <w:tc>
          <w:tcPr>
            <w:tcW w:w="1843" w:type="dxa"/>
            <w:gridSpan w:val="3"/>
          </w:tcPr>
          <w:p w14:paraId="2471F36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1703" w:type="dxa"/>
          </w:tcPr>
          <w:p w14:paraId="42936DD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2CEAA103" w14:textId="77777777" w:rsidR="00861CB1" w:rsidRPr="003C7CB1" w:rsidRDefault="00861CB1" w:rsidP="00861CB1">
            <w:pPr>
              <w:contextualSpacing/>
              <w:jc w:val="center"/>
              <w:rPr>
                <w:rFonts w:ascii="Calibri" w:eastAsia="Calibri" w:hAnsi="Calibri" w:cs="Calibri"/>
              </w:rPr>
            </w:pPr>
          </w:p>
          <w:p w14:paraId="402FAEE1" w14:textId="77777777" w:rsidR="00861CB1" w:rsidRPr="003C7CB1" w:rsidRDefault="00861CB1" w:rsidP="00861CB1">
            <w:pPr>
              <w:contextualSpacing/>
              <w:jc w:val="center"/>
              <w:rPr>
                <w:rFonts w:ascii="Calibri" w:eastAsia="Calibri" w:hAnsi="Calibri" w:cs="Calibri"/>
              </w:rPr>
            </w:pPr>
          </w:p>
        </w:tc>
        <w:tc>
          <w:tcPr>
            <w:tcW w:w="1841" w:type="dxa"/>
          </w:tcPr>
          <w:p w14:paraId="0054CFD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projects supported through public calls </w:t>
            </w:r>
          </w:p>
          <w:p w14:paraId="50B57C36" w14:textId="77777777" w:rsidR="00861CB1" w:rsidRPr="003C7CB1" w:rsidRDefault="00861CB1" w:rsidP="00861CB1">
            <w:pPr>
              <w:contextualSpacing/>
              <w:jc w:val="center"/>
              <w:rPr>
                <w:rFonts w:ascii="Calibri" w:eastAsia="Calibri" w:hAnsi="Calibri" w:cs="Calibri"/>
              </w:rPr>
            </w:pPr>
          </w:p>
          <w:p w14:paraId="5D6B040D" w14:textId="77777777" w:rsidR="00861CB1" w:rsidRPr="003C7CB1" w:rsidRDefault="00861CB1" w:rsidP="00861CB1">
            <w:pPr>
              <w:contextualSpacing/>
              <w:jc w:val="center"/>
              <w:rPr>
                <w:rFonts w:ascii="Calibri" w:eastAsia="Calibri" w:hAnsi="Calibri" w:cs="Calibri"/>
              </w:rPr>
            </w:pPr>
          </w:p>
          <w:p w14:paraId="6D87462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report of MED </w:t>
            </w:r>
          </w:p>
        </w:tc>
        <w:tc>
          <w:tcPr>
            <w:tcW w:w="1494" w:type="dxa"/>
            <w:gridSpan w:val="2"/>
          </w:tcPr>
          <w:p w14:paraId="799C3C4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€ 500,000.00 </w:t>
            </w:r>
          </w:p>
          <w:p w14:paraId="79C193CF" w14:textId="77777777" w:rsidR="00861CB1" w:rsidRPr="003C7CB1" w:rsidRDefault="00861CB1" w:rsidP="00861CB1">
            <w:pPr>
              <w:contextualSpacing/>
              <w:jc w:val="center"/>
              <w:rPr>
                <w:rFonts w:ascii="Calibri" w:eastAsia="Calibri" w:hAnsi="Calibri" w:cs="Calibri"/>
              </w:rPr>
            </w:pPr>
          </w:p>
          <w:p w14:paraId="12505D9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Budget of Montenegro</w:t>
            </w:r>
          </w:p>
        </w:tc>
      </w:tr>
      <w:tr w:rsidR="00861CB1" w:rsidRPr="003C7CB1" w14:paraId="2320E09A" w14:textId="77777777" w:rsidTr="00861CB1">
        <w:trPr>
          <w:jc w:val="center"/>
        </w:trPr>
        <w:tc>
          <w:tcPr>
            <w:tcW w:w="2122" w:type="dxa"/>
            <w:vMerge w:val="restart"/>
            <w:shd w:val="clear" w:color="auto" w:fill="FFFFFF"/>
          </w:tcPr>
          <w:p w14:paraId="3067AE44"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
                <w:bCs/>
              </w:rPr>
              <w:t xml:space="preserve">4.2 Diversification of the tourism product </w:t>
            </w:r>
          </w:p>
        </w:tc>
        <w:tc>
          <w:tcPr>
            <w:tcW w:w="1417" w:type="dxa"/>
            <w:gridSpan w:val="2"/>
          </w:tcPr>
          <w:p w14:paraId="1495335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4.2.1 </w:t>
            </w:r>
          </w:p>
        </w:tc>
        <w:tc>
          <w:tcPr>
            <w:tcW w:w="3260" w:type="dxa"/>
            <w:gridSpan w:val="2"/>
          </w:tcPr>
          <w:p w14:paraId="3ADFFCEE"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Preparation of the Nautical Tourism Development Program of Montenegro</w:t>
            </w:r>
            <w:r w:rsidRPr="003C7CB1">
              <w:rPr>
                <w:rFonts w:ascii="Calibri" w:eastAsia="Calibri" w:hAnsi="Calibri" w:cs="Calibri"/>
                <w:color w:val="FF0000"/>
              </w:rPr>
              <w:t xml:space="preserve"> </w:t>
            </w:r>
            <w:r w:rsidRPr="003C7CB1">
              <w:rPr>
                <w:rFonts w:ascii="Calibri" w:eastAsia="Calibri" w:hAnsi="Calibri" w:cs="Calibri"/>
              </w:rPr>
              <w:t xml:space="preserve">2023-2025 with the Action Plan </w:t>
            </w:r>
          </w:p>
        </w:tc>
        <w:tc>
          <w:tcPr>
            <w:tcW w:w="1843" w:type="dxa"/>
            <w:gridSpan w:val="3"/>
          </w:tcPr>
          <w:p w14:paraId="3DF70C4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p w14:paraId="499DF2A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w:t>
            </w:r>
            <w:r w:rsidRPr="003C7CB1">
              <w:rPr>
                <w:rFonts w:ascii="Calibri" w:eastAsia="Calibri" w:hAnsi="Calibri" w:cs="Calibri"/>
                <w:caps/>
              </w:rPr>
              <w:t>MCI</w:t>
            </w:r>
            <w:r w:rsidRPr="003C7CB1">
              <w:rPr>
                <w:rFonts w:ascii="Calibri" w:eastAsia="Calibri" w:hAnsi="Calibri" w:cs="Calibri"/>
              </w:rPr>
              <w:t xml:space="preserve">, tourism industry, local governments, NTO </w:t>
            </w:r>
          </w:p>
        </w:tc>
        <w:tc>
          <w:tcPr>
            <w:tcW w:w="1703" w:type="dxa"/>
          </w:tcPr>
          <w:p w14:paraId="4B71DC3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6A1ACA2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has been adopted </w:t>
            </w:r>
          </w:p>
          <w:p w14:paraId="20CA2AA3" w14:textId="77777777" w:rsidR="00861CB1" w:rsidRPr="003C7CB1" w:rsidRDefault="00861CB1" w:rsidP="00861CB1">
            <w:pPr>
              <w:contextualSpacing/>
              <w:jc w:val="center"/>
              <w:rPr>
                <w:rFonts w:ascii="Calibri" w:eastAsia="Calibri" w:hAnsi="Calibri" w:cs="Calibri"/>
              </w:rPr>
            </w:pPr>
          </w:p>
          <w:p w14:paraId="06D27B5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53D2A76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€ 80,000.00 </w:t>
            </w:r>
          </w:p>
          <w:p w14:paraId="536DCCE0" w14:textId="77777777" w:rsidR="00861CB1" w:rsidRPr="003C7CB1" w:rsidRDefault="00861CB1" w:rsidP="00861CB1">
            <w:pPr>
              <w:contextualSpacing/>
              <w:jc w:val="center"/>
              <w:rPr>
                <w:rFonts w:ascii="Calibri" w:eastAsia="Calibri" w:hAnsi="Calibri" w:cs="Calibri"/>
              </w:rPr>
            </w:pPr>
          </w:p>
          <w:p w14:paraId="365983C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5F7ADA3B" w14:textId="77777777" w:rsidTr="00861CB1">
        <w:trPr>
          <w:jc w:val="center"/>
        </w:trPr>
        <w:tc>
          <w:tcPr>
            <w:tcW w:w="2122" w:type="dxa"/>
            <w:vMerge/>
            <w:shd w:val="clear" w:color="auto" w:fill="FFFFFF"/>
          </w:tcPr>
          <w:p w14:paraId="3F554B16" w14:textId="77777777" w:rsidR="00861CB1" w:rsidRPr="003C7CB1" w:rsidRDefault="00861CB1" w:rsidP="00861CB1">
            <w:pPr>
              <w:contextualSpacing/>
              <w:rPr>
                <w:rFonts w:ascii="Calibri" w:eastAsia="Calibri" w:hAnsi="Calibri" w:cs="Calibri"/>
                <w:b/>
                <w:bCs/>
              </w:rPr>
            </w:pPr>
          </w:p>
        </w:tc>
        <w:tc>
          <w:tcPr>
            <w:tcW w:w="1417" w:type="dxa"/>
            <w:gridSpan w:val="2"/>
          </w:tcPr>
          <w:p w14:paraId="462E6E5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4.2.2 </w:t>
            </w:r>
          </w:p>
        </w:tc>
        <w:tc>
          <w:tcPr>
            <w:tcW w:w="3260" w:type="dxa"/>
            <w:gridSpan w:val="2"/>
          </w:tcPr>
          <w:p w14:paraId="7E4C209F"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the Health Tourism Development Program of Montenegro 2023-2025 with the Action Plan </w:t>
            </w:r>
          </w:p>
        </w:tc>
        <w:tc>
          <w:tcPr>
            <w:tcW w:w="1843" w:type="dxa"/>
            <w:gridSpan w:val="3"/>
          </w:tcPr>
          <w:p w14:paraId="498C813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 </w:t>
            </w:r>
          </w:p>
          <w:p w14:paraId="2E46658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MESCS, CEM,</w:t>
            </w:r>
          </w:p>
          <w:p w14:paraId="5DB12B7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tourism industry, local governments, NTO </w:t>
            </w:r>
          </w:p>
        </w:tc>
        <w:tc>
          <w:tcPr>
            <w:tcW w:w="1703" w:type="dxa"/>
          </w:tcPr>
          <w:p w14:paraId="70DCEB5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663C44A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has been adopted </w:t>
            </w:r>
          </w:p>
          <w:p w14:paraId="3122F71D" w14:textId="77777777" w:rsidR="00861CB1" w:rsidRPr="003C7CB1" w:rsidRDefault="00861CB1" w:rsidP="00861CB1">
            <w:pPr>
              <w:contextualSpacing/>
              <w:jc w:val="center"/>
              <w:rPr>
                <w:rFonts w:ascii="Calibri" w:eastAsia="Calibri" w:hAnsi="Calibri" w:cs="Calibri"/>
              </w:rPr>
            </w:pPr>
          </w:p>
          <w:p w14:paraId="256EE6B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2A95790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€ 40,000.00 </w:t>
            </w:r>
          </w:p>
          <w:p w14:paraId="4351FCFB" w14:textId="77777777" w:rsidR="00861CB1" w:rsidRPr="003C7CB1" w:rsidRDefault="00861CB1" w:rsidP="00861CB1">
            <w:pPr>
              <w:contextualSpacing/>
              <w:jc w:val="center"/>
              <w:rPr>
                <w:rFonts w:ascii="Calibri" w:eastAsia="Calibri" w:hAnsi="Calibri" w:cs="Calibri"/>
              </w:rPr>
            </w:pPr>
          </w:p>
          <w:p w14:paraId="3B62FC6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776D991D" w14:textId="77777777" w:rsidTr="00861CB1">
        <w:trPr>
          <w:jc w:val="center"/>
        </w:trPr>
        <w:tc>
          <w:tcPr>
            <w:tcW w:w="2122" w:type="dxa"/>
            <w:vMerge/>
            <w:shd w:val="clear" w:color="auto" w:fill="FFFFFF"/>
          </w:tcPr>
          <w:p w14:paraId="0712F436" w14:textId="77777777" w:rsidR="00861CB1" w:rsidRPr="003C7CB1" w:rsidRDefault="00861CB1" w:rsidP="00861CB1">
            <w:pPr>
              <w:contextualSpacing/>
              <w:rPr>
                <w:rFonts w:ascii="Calibri" w:eastAsia="Calibri" w:hAnsi="Calibri" w:cs="Calibri"/>
                <w:b/>
                <w:bCs/>
              </w:rPr>
            </w:pPr>
          </w:p>
        </w:tc>
        <w:tc>
          <w:tcPr>
            <w:tcW w:w="1417" w:type="dxa"/>
            <w:gridSpan w:val="2"/>
          </w:tcPr>
          <w:p w14:paraId="7D2F68D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4.2.3 </w:t>
            </w:r>
          </w:p>
        </w:tc>
        <w:tc>
          <w:tcPr>
            <w:tcW w:w="3260" w:type="dxa"/>
            <w:gridSpan w:val="2"/>
          </w:tcPr>
          <w:p w14:paraId="1ED72821"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Participation in specialized international fairs and conferences and presentation of the offer of health tourism in Montenegro </w:t>
            </w:r>
          </w:p>
          <w:p w14:paraId="3F2B29DE" w14:textId="77777777" w:rsidR="00861CB1" w:rsidRPr="003C7CB1" w:rsidRDefault="00861CB1" w:rsidP="00861CB1">
            <w:pPr>
              <w:contextualSpacing/>
              <w:rPr>
                <w:rFonts w:ascii="Calibri" w:eastAsia="Calibri" w:hAnsi="Calibri" w:cs="Calibri"/>
              </w:rPr>
            </w:pPr>
          </w:p>
          <w:p w14:paraId="75F2061B" w14:textId="77777777" w:rsidR="00861CB1" w:rsidRPr="003C7CB1" w:rsidRDefault="00861CB1" w:rsidP="00861CB1">
            <w:pPr>
              <w:contextualSpacing/>
              <w:rPr>
                <w:rFonts w:ascii="Calibri" w:eastAsia="Calibri" w:hAnsi="Calibri" w:cs="Calibri"/>
              </w:rPr>
            </w:pPr>
          </w:p>
        </w:tc>
        <w:tc>
          <w:tcPr>
            <w:tcW w:w="1843" w:type="dxa"/>
            <w:gridSpan w:val="3"/>
          </w:tcPr>
          <w:p w14:paraId="60E13F8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roofErr w:type="spellStart"/>
            <w:r w:rsidRPr="003C7CB1">
              <w:rPr>
                <w:rFonts w:ascii="Calibri" w:eastAsia="Calibri" w:hAnsi="Calibri" w:cs="Calibri"/>
              </w:rPr>
              <w:t>MoH</w:t>
            </w:r>
            <w:proofErr w:type="spellEnd"/>
            <w:r w:rsidRPr="003C7CB1">
              <w:rPr>
                <w:rFonts w:ascii="Calibri" w:eastAsia="Calibri" w:hAnsi="Calibri" w:cs="Calibri"/>
              </w:rPr>
              <w:t xml:space="preserve"> /</w:t>
            </w:r>
          </w:p>
          <w:p w14:paraId="3C500D4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Health tourism cluster, private sector, NTO, LTO, CEM, MESCS, FTH-UCG </w:t>
            </w:r>
          </w:p>
        </w:tc>
        <w:tc>
          <w:tcPr>
            <w:tcW w:w="1703" w:type="dxa"/>
          </w:tcPr>
          <w:p w14:paraId="6619CC0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06B44E8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fairs and conferences have been attended and number of presentations have been held </w:t>
            </w:r>
          </w:p>
        </w:tc>
        <w:tc>
          <w:tcPr>
            <w:tcW w:w="1494" w:type="dxa"/>
            <w:gridSpan w:val="2"/>
          </w:tcPr>
          <w:p w14:paraId="4E3671A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€ 15,000.00 </w:t>
            </w:r>
          </w:p>
          <w:p w14:paraId="19B30C3B" w14:textId="77777777" w:rsidR="00861CB1" w:rsidRPr="003C7CB1" w:rsidRDefault="00861CB1" w:rsidP="00861CB1">
            <w:pPr>
              <w:contextualSpacing/>
              <w:jc w:val="center"/>
              <w:rPr>
                <w:rFonts w:ascii="Calibri" w:eastAsia="Calibri" w:hAnsi="Calibri" w:cs="Calibri"/>
              </w:rPr>
            </w:pPr>
          </w:p>
          <w:p w14:paraId="04E8F0E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494A8A40" w14:textId="77777777" w:rsidTr="00861CB1">
        <w:trPr>
          <w:jc w:val="center"/>
        </w:trPr>
        <w:tc>
          <w:tcPr>
            <w:tcW w:w="2122" w:type="dxa"/>
            <w:vMerge/>
            <w:shd w:val="clear" w:color="auto" w:fill="FFFFFF"/>
          </w:tcPr>
          <w:p w14:paraId="4297E246" w14:textId="77777777" w:rsidR="00861CB1" w:rsidRPr="003C7CB1" w:rsidRDefault="00861CB1" w:rsidP="00861CB1">
            <w:pPr>
              <w:contextualSpacing/>
              <w:rPr>
                <w:rFonts w:ascii="Calibri" w:eastAsia="Calibri" w:hAnsi="Calibri" w:cs="Calibri"/>
                <w:b/>
                <w:bCs/>
              </w:rPr>
            </w:pPr>
          </w:p>
        </w:tc>
        <w:tc>
          <w:tcPr>
            <w:tcW w:w="1417" w:type="dxa"/>
            <w:gridSpan w:val="2"/>
          </w:tcPr>
          <w:p w14:paraId="57D0714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4.2.4 </w:t>
            </w:r>
          </w:p>
        </w:tc>
        <w:tc>
          <w:tcPr>
            <w:tcW w:w="3260" w:type="dxa"/>
            <w:gridSpan w:val="2"/>
          </w:tcPr>
          <w:p w14:paraId="729635BC"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Organizing conferences, fairs and educational seminars in Montenegro on the topic of health tourism, as well as affirmation and strengthening of health tourism associations </w:t>
            </w:r>
          </w:p>
          <w:p w14:paraId="07986D0E" w14:textId="77777777" w:rsidR="00861CB1" w:rsidRPr="003C7CB1" w:rsidRDefault="00861CB1" w:rsidP="00861CB1">
            <w:pPr>
              <w:contextualSpacing/>
              <w:rPr>
                <w:rFonts w:ascii="Calibri" w:eastAsia="Calibri" w:hAnsi="Calibri" w:cs="Calibri"/>
              </w:rPr>
            </w:pPr>
          </w:p>
          <w:p w14:paraId="7D9C5A05" w14:textId="77777777" w:rsidR="00861CB1" w:rsidRPr="003C7CB1" w:rsidRDefault="00861CB1" w:rsidP="00861CB1">
            <w:pPr>
              <w:contextualSpacing/>
              <w:rPr>
                <w:rFonts w:ascii="Calibri" w:eastAsia="Calibri" w:hAnsi="Calibri" w:cs="Calibri"/>
              </w:rPr>
            </w:pPr>
          </w:p>
        </w:tc>
        <w:tc>
          <w:tcPr>
            <w:tcW w:w="1843" w:type="dxa"/>
            <w:gridSpan w:val="3"/>
          </w:tcPr>
          <w:p w14:paraId="72366AE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MOH,</w:t>
            </w:r>
          </w:p>
          <w:p w14:paraId="2CAFE7C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Health tourism cluster / MESCS, FTH-UCG, MF, “Dr S. </w:t>
            </w:r>
            <w:proofErr w:type="spellStart"/>
            <w:r w:rsidRPr="003C7CB1">
              <w:rPr>
                <w:rFonts w:ascii="Calibri" w:eastAsia="Calibri" w:hAnsi="Calibri" w:cs="Calibri"/>
              </w:rPr>
              <w:t>Milošević</w:t>
            </w:r>
            <w:proofErr w:type="spellEnd"/>
            <w:r w:rsidRPr="003C7CB1">
              <w:rPr>
                <w:rFonts w:ascii="Calibri" w:eastAsia="Calibri" w:hAnsi="Calibri" w:cs="Calibri"/>
              </w:rPr>
              <w:t xml:space="preserve">” Institute, CEM </w:t>
            </w:r>
          </w:p>
        </w:tc>
        <w:tc>
          <w:tcPr>
            <w:tcW w:w="1703" w:type="dxa"/>
          </w:tcPr>
          <w:p w14:paraId="735B784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17217A4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organizational conferences, fairs and seminars of health tourism </w:t>
            </w:r>
          </w:p>
        </w:tc>
        <w:tc>
          <w:tcPr>
            <w:tcW w:w="1494" w:type="dxa"/>
            <w:gridSpan w:val="2"/>
          </w:tcPr>
          <w:p w14:paraId="7A5DE5C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€ 15,000.00 </w:t>
            </w:r>
          </w:p>
          <w:p w14:paraId="7F446B76" w14:textId="77777777" w:rsidR="00861CB1" w:rsidRPr="003C7CB1" w:rsidRDefault="00861CB1" w:rsidP="00861CB1">
            <w:pPr>
              <w:contextualSpacing/>
              <w:jc w:val="center"/>
              <w:rPr>
                <w:rFonts w:ascii="Calibri" w:eastAsia="Calibri" w:hAnsi="Calibri" w:cs="Calibri"/>
              </w:rPr>
            </w:pPr>
          </w:p>
          <w:p w14:paraId="7EDB975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3AA1EB8A" w14:textId="77777777" w:rsidTr="00861CB1">
        <w:trPr>
          <w:jc w:val="center"/>
        </w:trPr>
        <w:tc>
          <w:tcPr>
            <w:tcW w:w="2122" w:type="dxa"/>
            <w:vMerge/>
            <w:shd w:val="clear" w:color="auto" w:fill="FFFFFF"/>
          </w:tcPr>
          <w:p w14:paraId="4BA68D65" w14:textId="77777777" w:rsidR="00861CB1" w:rsidRPr="003C7CB1" w:rsidRDefault="00861CB1" w:rsidP="00861CB1">
            <w:pPr>
              <w:contextualSpacing/>
              <w:rPr>
                <w:rFonts w:ascii="Calibri" w:eastAsia="Calibri" w:hAnsi="Calibri" w:cs="Calibri"/>
                <w:b/>
                <w:bCs/>
              </w:rPr>
            </w:pPr>
          </w:p>
        </w:tc>
        <w:tc>
          <w:tcPr>
            <w:tcW w:w="1417" w:type="dxa"/>
            <w:gridSpan w:val="2"/>
          </w:tcPr>
          <w:p w14:paraId="4F8B34D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4.2.5 </w:t>
            </w:r>
          </w:p>
        </w:tc>
        <w:tc>
          <w:tcPr>
            <w:tcW w:w="3260" w:type="dxa"/>
            <w:gridSpan w:val="2"/>
          </w:tcPr>
          <w:p w14:paraId="2A77953E"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Adoption of business model proposals for the introduction of smart tourism (guidelines and recommendations for the adoption of strategic policies) </w:t>
            </w:r>
          </w:p>
          <w:p w14:paraId="48A543A4" w14:textId="77777777" w:rsidR="00861CB1" w:rsidRPr="003C7CB1" w:rsidRDefault="00861CB1" w:rsidP="00861CB1">
            <w:pPr>
              <w:contextualSpacing/>
              <w:rPr>
                <w:rFonts w:ascii="Calibri" w:eastAsia="Calibri" w:hAnsi="Calibri" w:cs="Calibri"/>
              </w:rPr>
            </w:pPr>
          </w:p>
          <w:p w14:paraId="0720B56F" w14:textId="77777777" w:rsidR="00861CB1" w:rsidRPr="003C7CB1" w:rsidRDefault="00861CB1" w:rsidP="00861CB1">
            <w:pPr>
              <w:contextualSpacing/>
              <w:rPr>
                <w:rFonts w:ascii="Calibri" w:eastAsia="Calibri" w:hAnsi="Calibri" w:cs="Calibri"/>
              </w:rPr>
            </w:pPr>
          </w:p>
          <w:p w14:paraId="0CDD2869" w14:textId="77777777" w:rsidR="00861CB1" w:rsidRPr="003C7CB1" w:rsidRDefault="00861CB1" w:rsidP="00861CB1">
            <w:pPr>
              <w:contextualSpacing/>
              <w:rPr>
                <w:rFonts w:ascii="Calibri" w:eastAsia="Calibri" w:hAnsi="Calibri" w:cs="Calibri"/>
              </w:rPr>
            </w:pPr>
          </w:p>
        </w:tc>
        <w:tc>
          <w:tcPr>
            <w:tcW w:w="1843" w:type="dxa"/>
            <w:gridSpan w:val="3"/>
          </w:tcPr>
          <w:p w14:paraId="1B6409C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MED /</w:t>
            </w:r>
          </w:p>
          <w:p w14:paraId="67D7012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International partners </w:t>
            </w:r>
          </w:p>
        </w:tc>
        <w:tc>
          <w:tcPr>
            <w:tcW w:w="1703" w:type="dxa"/>
          </w:tcPr>
          <w:p w14:paraId="3E53754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22C61AC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Smart Tourism Business Model (</w:t>
            </w:r>
            <w:proofErr w:type="spellStart"/>
            <w:r w:rsidRPr="003C7CB1">
              <w:rPr>
                <w:rFonts w:ascii="Calibri" w:eastAsia="Calibri" w:hAnsi="Calibri" w:cs="Calibri"/>
              </w:rPr>
              <w:t>Smartmed</w:t>
            </w:r>
            <w:proofErr w:type="spellEnd"/>
            <w:r w:rsidRPr="003C7CB1">
              <w:rPr>
                <w:rFonts w:ascii="Calibri" w:eastAsia="Calibri" w:hAnsi="Calibri" w:cs="Calibri"/>
              </w:rPr>
              <w:t xml:space="preserve"> Project) has been adopted</w:t>
            </w:r>
          </w:p>
          <w:p w14:paraId="24FE07CE" w14:textId="77777777" w:rsidR="00861CB1" w:rsidRPr="003C7CB1" w:rsidRDefault="00861CB1" w:rsidP="00861CB1">
            <w:pPr>
              <w:contextualSpacing/>
              <w:jc w:val="center"/>
              <w:rPr>
                <w:rFonts w:ascii="Calibri" w:eastAsia="Calibri" w:hAnsi="Calibri" w:cs="Calibri"/>
              </w:rPr>
            </w:pPr>
          </w:p>
          <w:p w14:paraId="407E369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45000C2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€ 15,000.00 </w:t>
            </w:r>
          </w:p>
          <w:p w14:paraId="2DDF05D7" w14:textId="77777777" w:rsidR="00861CB1" w:rsidRPr="003C7CB1" w:rsidRDefault="00861CB1" w:rsidP="00861CB1">
            <w:pPr>
              <w:contextualSpacing/>
              <w:jc w:val="center"/>
              <w:rPr>
                <w:rFonts w:ascii="Calibri" w:eastAsia="Calibri" w:hAnsi="Calibri" w:cs="Calibri"/>
              </w:rPr>
            </w:pPr>
          </w:p>
          <w:p w14:paraId="5FEFE27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Donor funds</w:t>
            </w:r>
          </w:p>
          <w:p w14:paraId="10D0F05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(Project </w:t>
            </w:r>
            <w:proofErr w:type="spellStart"/>
            <w:r w:rsidRPr="003C7CB1">
              <w:rPr>
                <w:rFonts w:ascii="Calibri" w:eastAsia="Calibri" w:hAnsi="Calibri" w:cs="Calibri"/>
              </w:rPr>
              <w:t>Smartmed</w:t>
            </w:r>
            <w:proofErr w:type="spellEnd"/>
            <w:r w:rsidRPr="003C7CB1">
              <w:rPr>
                <w:rFonts w:ascii="Calibri" w:eastAsia="Calibri" w:hAnsi="Calibri" w:cs="Calibri"/>
              </w:rPr>
              <w:t xml:space="preserve"> </w:t>
            </w:r>
            <w:r w:rsidRPr="003C7CB1">
              <w:rPr>
                <w:rFonts w:ascii="Calibri" w:eastAsia="Calibri" w:hAnsi="Calibri" w:cs="Calibri"/>
              </w:rPr>
              <w:lastRenderedPageBreak/>
              <w:t xml:space="preserve">Interreg Med Program) </w:t>
            </w:r>
          </w:p>
        </w:tc>
      </w:tr>
      <w:tr w:rsidR="00861CB1" w:rsidRPr="003C7CB1" w14:paraId="4FE530D2" w14:textId="77777777" w:rsidTr="00861CB1">
        <w:trPr>
          <w:trHeight w:val="263"/>
          <w:jc w:val="center"/>
        </w:trPr>
        <w:tc>
          <w:tcPr>
            <w:tcW w:w="5098" w:type="dxa"/>
            <w:gridSpan w:val="4"/>
            <w:vMerge w:val="restart"/>
            <w:shd w:val="clear" w:color="auto" w:fill="DEEAF6"/>
          </w:tcPr>
          <w:p w14:paraId="70D5D91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lastRenderedPageBreak/>
              <w:t>Total amount of funds for implementation of</w:t>
            </w:r>
          </w:p>
          <w:p w14:paraId="56F6E80E"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Operational goal 4:  € 665,000.00 </w:t>
            </w:r>
          </w:p>
        </w:tc>
        <w:tc>
          <w:tcPr>
            <w:tcW w:w="8582" w:type="dxa"/>
            <w:gridSpan w:val="8"/>
            <w:shd w:val="clear" w:color="auto" w:fill="EDEDED"/>
            <w:vAlign w:val="center"/>
          </w:tcPr>
          <w:p w14:paraId="593135AE"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(current): € 650,000.00 </w:t>
            </w:r>
          </w:p>
        </w:tc>
      </w:tr>
      <w:tr w:rsidR="00861CB1" w:rsidRPr="003C7CB1" w14:paraId="7C5FE15A" w14:textId="77777777" w:rsidTr="00861CB1">
        <w:trPr>
          <w:trHeight w:val="263"/>
          <w:jc w:val="center"/>
        </w:trPr>
        <w:tc>
          <w:tcPr>
            <w:tcW w:w="5098" w:type="dxa"/>
            <w:gridSpan w:val="4"/>
            <w:vMerge/>
            <w:shd w:val="clear" w:color="auto" w:fill="DEEAF6"/>
          </w:tcPr>
          <w:p w14:paraId="268ED59C" w14:textId="77777777" w:rsidR="00861CB1" w:rsidRPr="003C7CB1" w:rsidRDefault="00861CB1" w:rsidP="00861CB1">
            <w:pPr>
              <w:contextualSpacing/>
              <w:jc w:val="center"/>
              <w:rPr>
                <w:rFonts w:ascii="Calibri" w:eastAsia="Calibri" w:hAnsi="Calibri" w:cs="Calibri"/>
                <w:b/>
              </w:rPr>
            </w:pPr>
          </w:p>
        </w:tc>
        <w:tc>
          <w:tcPr>
            <w:tcW w:w="8582" w:type="dxa"/>
            <w:gridSpan w:val="8"/>
            <w:shd w:val="clear" w:color="auto" w:fill="EDEDED"/>
            <w:vAlign w:val="center"/>
          </w:tcPr>
          <w:p w14:paraId="50A59C09"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Donor funds: € 15,000.00 </w:t>
            </w:r>
          </w:p>
        </w:tc>
      </w:tr>
      <w:tr w:rsidR="00861CB1" w:rsidRPr="003C7CB1" w14:paraId="32F6CE94" w14:textId="77777777" w:rsidTr="00861CB1">
        <w:trPr>
          <w:trHeight w:val="263"/>
          <w:jc w:val="center"/>
        </w:trPr>
        <w:tc>
          <w:tcPr>
            <w:tcW w:w="13680" w:type="dxa"/>
            <w:gridSpan w:val="12"/>
            <w:shd w:val="clear" w:color="auto" w:fill="auto"/>
          </w:tcPr>
          <w:p w14:paraId="70C9CB9C" w14:textId="77777777" w:rsidR="00861CB1" w:rsidRDefault="00861CB1" w:rsidP="00861CB1">
            <w:pPr>
              <w:contextualSpacing/>
              <w:rPr>
                <w:rFonts w:ascii="Calibri" w:eastAsia="Calibri" w:hAnsi="Calibri" w:cs="Calibri"/>
                <w:b/>
              </w:rPr>
            </w:pPr>
          </w:p>
          <w:p w14:paraId="57B05744" w14:textId="77777777" w:rsidR="00DD160F" w:rsidRDefault="00DD160F" w:rsidP="00861CB1">
            <w:pPr>
              <w:contextualSpacing/>
              <w:rPr>
                <w:rFonts w:ascii="Calibri" w:eastAsia="Calibri" w:hAnsi="Calibri" w:cs="Calibri"/>
                <w:b/>
              </w:rPr>
            </w:pPr>
          </w:p>
          <w:p w14:paraId="509D37D0" w14:textId="77777777" w:rsidR="00DD160F" w:rsidRDefault="00DD160F" w:rsidP="00861CB1">
            <w:pPr>
              <w:contextualSpacing/>
              <w:rPr>
                <w:rFonts w:ascii="Calibri" w:eastAsia="Calibri" w:hAnsi="Calibri" w:cs="Calibri"/>
                <w:b/>
              </w:rPr>
            </w:pPr>
          </w:p>
          <w:p w14:paraId="6BE87E4C" w14:textId="77777777" w:rsidR="00DD160F" w:rsidRDefault="00DD160F" w:rsidP="00861CB1">
            <w:pPr>
              <w:contextualSpacing/>
              <w:rPr>
                <w:rFonts w:ascii="Calibri" w:eastAsia="Calibri" w:hAnsi="Calibri" w:cs="Calibri"/>
                <w:b/>
              </w:rPr>
            </w:pPr>
          </w:p>
          <w:p w14:paraId="72D1FC4E" w14:textId="77777777" w:rsidR="00DD160F" w:rsidRDefault="00DD160F" w:rsidP="00861CB1">
            <w:pPr>
              <w:contextualSpacing/>
              <w:rPr>
                <w:rFonts w:ascii="Calibri" w:eastAsia="Calibri" w:hAnsi="Calibri" w:cs="Calibri"/>
                <w:b/>
              </w:rPr>
            </w:pPr>
          </w:p>
          <w:p w14:paraId="4B221A20" w14:textId="77777777" w:rsidR="00DD160F" w:rsidRDefault="00DD160F" w:rsidP="00861CB1">
            <w:pPr>
              <w:contextualSpacing/>
              <w:rPr>
                <w:rFonts w:ascii="Calibri" w:eastAsia="Calibri" w:hAnsi="Calibri" w:cs="Calibri"/>
                <w:b/>
              </w:rPr>
            </w:pPr>
          </w:p>
          <w:p w14:paraId="1E491590" w14:textId="77777777" w:rsidR="00DD160F" w:rsidRDefault="00DD160F" w:rsidP="00861CB1">
            <w:pPr>
              <w:contextualSpacing/>
              <w:rPr>
                <w:rFonts w:ascii="Calibri" w:eastAsia="Calibri" w:hAnsi="Calibri" w:cs="Calibri"/>
                <w:b/>
              </w:rPr>
            </w:pPr>
          </w:p>
          <w:p w14:paraId="75E2C9D8" w14:textId="77777777" w:rsidR="00DD160F" w:rsidRDefault="00DD160F" w:rsidP="00861CB1">
            <w:pPr>
              <w:contextualSpacing/>
              <w:rPr>
                <w:rFonts w:ascii="Calibri" w:eastAsia="Calibri" w:hAnsi="Calibri" w:cs="Calibri"/>
                <w:b/>
              </w:rPr>
            </w:pPr>
          </w:p>
          <w:p w14:paraId="2772B89E" w14:textId="77777777" w:rsidR="00DD160F" w:rsidRDefault="00DD160F" w:rsidP="00861CB1">
            <w:pPr>
              <w:contextualSpacing/>
              <w:rPr>
                <w:rFonts w:ascii="Calibri" w:eastAsia="Calibri" w:hAnsi="Calibri" w:cs="Calibri"/>
                <w:b/>
              </w:rPr>
            </w:pPr>
          </w:p>
          <w:p w14:paraId="53B1B6F7" w14:textId="77777777" w:rsidR="00DD160F" w:rsidRDefault="00DD160F" w:rsidP="00861CB1">
            <w:pPr>
              <w:contextualSpacing/>
              <w:rPr>
                <w:rFonts w:ascii="Calibri" w:eastAsia="Calibri" w:hAnsi="Calibri" w:cs="Calibri"/>
                <w:b/>
              </w:rPr>
            </w:pPr>
          </w:p>
          <w:p w14:paraId="1710A06C" w14:textId="77777777" w:rsidR="00DD160F" w:rsidRDefault="00DD160F" w:rsidP="00861CB1">
            <w:pPr>
              <w:contextualSpacing/>
              <w:rPr>
                <w:rFonts w:ascii="Calibri" w:eastAsia="Calibri" w:hAnsi="Calibri" w:cs="Calibri"/>
                <w:b/>
              </w:rPr>
            </w:pPr>
          </w:p>
          <w:p w14:paraId="7FE1577A" w14:textId="77777777" w:rsidR="00DD160F" w:rsidRDefault="00DD160F" w:rsidP="00861CB1">
            <w:pPr>
              <w:contextualSpacing/>
              <w:rPr>
                <w:rFonts w:ascii="Calibri" w:eastAsia="Calibri" w:hAnsi="Calibri" w:cs="Calibri"/>
                <w:b/>
              </w:rPr>
            </w:pPr>
          </w:p>
          <w:p w14:paraId="46B8700D" w14:textId="77777777" w:rsidR="00DD160F" w:rsidRDefault="00DD160F" w:rsidP="00861CB1">
            <w:pPr>
              <w:contextualSpacing/>
              <w:rPr>
                <w:rFonts w:ascii="Calibri" w:eastAsia="Calibri" w:hAnsi="Calibri" w:cs="Calibri"/>
                <w:b/>
              </w:rPr>
            </w:pPr>
          </w:p>
          <w:p w14:paraId="6136C0E9" w14:textId="77777777" w:rsidR="00DD160F" w:rsidRDefault="00DD160F" w:rsidP="00861CB1">
            <w:pPr>
              <w:contextualSpacing/>
              <w:rPr>
                <w:rFonts w:ascii="Calibri" w:eastAsia="Calibri" w:hAnsi="Calibri" w:cs="Calibri"/>
                <w:b/>
              </w:rPr>
            </w:pPr>
          </w:p>
          <w:p w14:paraId="15E63156" w14:textId="77777777" w:rsidR="00DD160F" w:rsidRDefault="00DD160F" w:rsidP="00861CB1">
            <w:pPr>
              <w:contextualSpacing/>
              <w:rPr>
                <w:rFonts w:ascii="Calibri" w:eastAsia="Calibri" w:hAnsi="Calibri" w:cs="Calibri"/>
                <w:b/>
              </w:rPr>
            </w:pPr>
          </w:p>
          <w:p w14:paraId="7627F2E7" w14:textId="77777777" w:rsidR="00DD160F" w:rsidRDefault="00DD160F" w:rsidP="00861CB1">
            <w:pPr>
              <w:contextualSpacing/>
              <w:rPr>
                <w:rFonts w:ascii="Calibri" w:eastAsia="Calibri" w:hAnsi="Calibri" w:cs="Calibri"/>
                <w:b/>
              </w:rPr>
            </w:pPr>
          </w:p>
          <w:p w14:paraId="5F544DF0" w14:textId="77777777" w:rsidR="00DD160F" w:rsidRDefault="00DD160F" w:rsidP="00861CB1">
            <w:pPr>
              <w:contextualSpacing/>
              <w:rPr>
                <w:rFonts w:ascii="Calibri" w:eastAsia="Calibri" w:hAnsi="Calibri" w:cs="Calibri"/>
                <w:b/>
              </w:rPr>
            </w:pPr>
          </w:p>
          <w:p w14:paraId="43CDC0BB" w14:textId="77777777" w:rsidR="00DD160F" w:rsidRDefault="00DD160F" w:rsidP="00861CB1">
            <w:pPr>
              <w:contextualSpacing/>
              <w:rPr>
                <w:rFonts w:ascii="Calibri" w:eastAsia="Calibri" w:hAnsi="Calibri" w:cs="Calibri"/>
                <w:b/>
              </w:rPr>
            </w:pPr>
          </w:p>
          <w:p w14:paraId="6FD064EC" w14:textId="77777777" w:rsidR="00DD160F" w:rsidRDefault="00DD160F" w:rsidP="00861CB1">
            <w:pPr>
              <w:contextualSpacing/>
              <w:rPr>
                <w:rFonts w:ascii="Calibri" w:eastAsia="Calibri" w:hAnsi="Calibri" w:cs="Calibri"/>
                <w:b/>
              </w:rPr>
            </w:pPr>
          </w:p>
          <w:p w14:paraId="6A0315EF" w14:textId="77777777" w:rsidR="00DD160F" w:rsidRDefault="00DD160F" w:rsidP="00861CB1">
            <w:pPr>
              <w:contextualSpacing/>
              <w:rPr>
                <w:rFonts w:ascii="Calibri" w:eastAsia="Calibri" w:hAnsi="Calibri" w:cs="Calibri"/>
                <w:b/>
              </w:rPr>
            </w:pPr>
          </w:p>
          <w:p w14:paraId="055542F8" w14:textId="28BCB1F0" w:rsidR="00DD160F" w:rsidRPr="003C7CB1" w:rsidRDefault="00DD160F" w:rsidP="00861CB1">
            <w:pPr>
              <w:contextualSpacing/>
              <w:rPr>
                <w:rFonts w:ascii="Calibri" w:eastAsia="Calibri" w:hAnsi="Calibri" w:cs="Calibri"/>
                <w:b/>
              </w:rPr>
            </w:pPr>
          </w:p>
        </w:tc>
      </w:tr>
      <w:tr w:rsidR="00861CB1" w:rsidRPr="003C7CB1" w14:paraId="5C71169D" w14:textId="77777777" w:rsidTr="00861CB1">
        <w:trPr>
          <w:jc w:val="center"/>
        </w:trPr>
        <w:tc>
          <w:tcPr>
            <w:tcW w:w="13680" w:type="dxa"/>
            <w:gridSpan w:val="12"/>
            <w:shd w:val="clear" w:color="auto" w:fill="BDD6EE"/>
          </w:tcPr>
          <w:p w14:paraId="415FDD3B" w14:textId="77777777" w:rsidR="00861CB1" w:rsidRPr="003C7CB1" w:rsidRDefault="00861CB1" w:rsidP="00861CB1">
            <w:pPr>
              <w:contextualSpacing/>
              <w:jc w:val="center"/>
              <w:rPr>
                <w:rFonts w:ascii="Calibri" w:eastAsia="Calibri" w:hAnsi="Calibri" w:cs="Calibri"/>
                <w:b/>
                <w:bCs/>
                <w:sz w:val="24"/>
                <w:szCs w:val="24"/>
              </w:rPr>
            </w:pPr>
          </w:p>
          <w:p w14:paraId="15B6F5A1"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Operational goal 5: Improved human resources, knowledge and skills in tourism </w:t>
            </w:r>
          </w:p>
          <w:p w14:paraId="26F9E91F" w14:textId="77777777" w:rsidR="00861CB1" w:rsidRPr="003C7CB1" w:rsidRDefault="00861CB1" w:rsidP="00861CB1">
            <w:pPr>
              <w:contextualSpacing/>
              <w:jc w:val="center"/>
              <w:rPr>
                <w:rFonts w:ascii="Calibri" w:eastAsia="Calibri" w:hAnsi="Calibri" w:cs="Calibri"/>
                <w:b/>
                <w:bCs/>
                <w:sz w:val="24"/>
                <w:szCs w:val="24"/>
              </w:rPr>
            </w:pPr>
          </w:p>
        </w:tc>
      </w:tr>
      <w:tr w:rsidR="00861CB1" w:rsidRPr="003C7CB1" w14:paraId="32A8D7CF" w14:textId="77777777" w:rsidTr="00861CB1">
        <w:trPr>
          <w:jc w:val="center"/>
        </w:trPr>
        <w:tc>
          <w:tcPr>
            <w:tcW w:w="3539" w:type="dxa"/>
            <w:gridSpan w:val="3"/>
            <w:shd w:val="clear" w:color="auto" w:fill="auto"/>
          </w:tcPr>
          <w:p w14:paraId="797D6265"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260" w:type="dxa"/>
            <w:gridSpan w:val="2"/>
            <w:shd w:val="clear" w:color="auto" w:fill="auto"/>
          </w:tcPr>
          <w:p w14:paraId="5A34A2F8"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Initial value for 2021 </w:t>
            </w:r>
          </w:p>
        </w:tc>
        <w:tc>
          <w:tcPr>
            <w:tcW w:w="3546" w:type="dxa"/>
            <w:gridSpan w:val="4"/>
            <w:shd w:val="clear" w:color="auto" w:fill="auto"/>
          </w:tcPr>
          <w:p w14:paraId="305CDBB0"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2023 </w:t>
            </w:r>
          </w:p>
        </w:tc>
        <w:tc>
          <w:tcPr>
            <w:tcW w:w="3335" w:type="dxa"/>
            <w:gridSpan w:val="3"/>
            <w:shd w:val="clear" w:color="auto" w:fill="auto"/>
          </w:tcPr>
          <w:p w14:paraId="7564AF5F"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7355B6AF" w14:textId="77777777" w:rsidTr="00861CB1">
        <w:trPr>
          <w:jc w:val="center"/>
        </w:trPr>
        <w:tc>
          <w:tcPr>
            <w:tcW w:w="3539" w:type="dxa"/>
            <w:gridSpan w:val="3"/>
            <w:shd w:val="clear" w:color="auto" w:fill="auto"/>
          </w:tcPr>
          <w:p w14:paraId="126BE343"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260" w:type="dxa"/>
            <w:gridSpan w:val="2"/>
            <w:shd w:val="clear" w:color="auto" w:fill="auto"/>
          </w:tcPr>
          <w:p w14:paraId="4FFA4A9E" w14:textId="77777777" w:rsidR="00861CB1" w:rsidRPr="003C7CB1" w:rsidRDefault="00861CB1" w:rsidP="00861CB1">
            <w:pPr>
              <w:spacing w:after="0" w:line="240" w:lineRule="auto"/>
              <w:rPr>
                <w:rFonts w:ascii="Calibri" w:eastAsia="Calibri" w:hAnsi="Calibri" w:cs="Calibri"/>
              </w:rPr>
            </w:pPr>
          </w:p>
        </w:tc>
        <w:tc>
          <w:tcPr>
            <w:tcW w:w="3546" w:type="dxa"/>
            <w:gridSpan w:val="4"/>
            <w:shd w:val="clear" w:color="auto" w:fill="auto"/>
          </w:tcPr>
          <w:p w14:paraId="500D81F7" w14:textId="77777777" w:rsidR="00861CB1" w:rsidRPr="003C7CB1" w:rsidRDefault="00861CB1" w:rsidP="00861CB1">
            <w:pPr>
              <w:spacing w:after="0" w:line="240" w:lineRule="auto"/>
              <w:rPr>
                <w:rFonts w:ascii="Calibri" w:eastAsia="Calibri" w:hAnsi="Calibri" w:cs="Calibri"/>
              </w:rPr>
            </w:pPr>
          </w:p>
        </w:tc>
        <w:tc>
          <w:tcPr>
            <w:tcW w:w="3335" w:type="dxa"/>
            <w:gridSpan w:val="3"/>
            <w:shd w:val="clear" w:color="auto" w:fill="auto"/>
          </w:tcPr>
          <w:p w14:paraId="313FB028" w14:textId="77777777" w:rsidR="00861CB1" w:rsidRPr="003C7CB1" w:rsidRDefault="00861CB1" w:rsidP="00861CB1">
            <w:pPr>
              <w:spacing w:after="0" w:line="240" w:lineRule="auto"/>
              <w:rPr>
                <w:rFonts w:ascii="Calibri" w:eastAsia="Calibri" w:hAnsi="Calibri" w:cs="Calibri"/>
              </w:rPr>
            </w:pPr>
          </w:p>
        </w:tc>
      </w:tr>
      <w:tr w:rsidR="00861CB1" w:rsidRPr="003C7CB1" w14:paraId="3AD12B71" w14:textId="77777777" w:rsidTr="00861CB1">
        <w:trPr>
          <w:trHeight w:val="507"/>
          <w:jc w:val="center"/>
        </w:trPr>
        <w:tc>
          <w:tcPr>
            <w:tcW w:w="3539" w:type="dxa"/>
            <w:gridSpan w:val="3"/>
            <w:shd w:val="clear" w:color="auto" w:fill="auto"/>
          </w:tcPr>
          <w:p w14:paraId="3A4E54B5"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Number of trainings and additional trainings for staff in tourism </w:t>
            </w:r>
          </w:p>
        </w:tc>
        <w:tc>
          <w:tcPr>
            <w:tcW w:w="3260" w:type="dxa"/>
            <w:gridSpan w:val="2"/>
            <w:shd w:val="clear" w:color="auto" w:fill="auto"/>
          </w:tcPr>
          <w:p w14:paraId="6A14646A"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0 </w:t>
            </w:r>
          </w:p>
        </w:tc>
        <w:tc>
          <w:tcPr>
            <w:tcW w:w="3546" w:type="dxa"/>
            <w:gridSpan w:val="4"/>
            <w:shd w:val="clear" w:color="auto" w:fill="auto"/>
          </w:tcPr>
          <w:p w14:paraId="2B5D2D58"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10 </w:t>
            </w:r>
          </w:p>
        </w:tc>
        <w:tc>
          <w:tcPr>
            <w:tcW w:w="3335" w:type="dxa"/>
            <w:gridSpan w:val="3"/>
            <w:shd w:val="clear" w:color="auto" w:fill="auto"/>
          </w:tcPr>
          <w:p w14:paraId="30A165F5"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15 </w:t>
            </w:r>
          </w:p>
        </w:tc>
      </w:tr>
      <w:tr w:rsidR="00861CB1" w:rsidRPr="003C7CB1" w14:paraId="1C8FBC6B" w14:textId="77777777" w:rsidTr="00861CB1">
        <w:trPr>
          <w:jc w:val="center"/>
        </w:trPr>
        <w:tc>
          <w:tcPr>
            <w:tcW w:w="3539" w:type="dxa"/>
            <w:gridSpan w:val="3"/>
            <w:shd w:val="clear" w:color="auto" w:fill="BDD6EE"/>
          </w:tcPr>
          <w:p w14:paraId="057C53D0"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Measure </w:t>
            </w:r>
          </w:p>
        </w:tc>
        <w:tc>
          <w:tcPr>
            <w:tcW w:w="3260" w:type="dxa"/>
            <w:gridSpan w:val="2"/>
            <w:shd w:val="clear" w:color="auto" w:fill="BDD6EE"/>
          </w:tcPr>
          <w:p w14:paraId="0DA80A2A"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Activity </w:t>
            </w:r>
          </w:p>
        </w:tc>
        <w:tc>
          <w:tcPr>
            <w:tcW w:w="1843" w:type="dxa"/>
            <w:gridSpan w:val="3"/>
            <w:shd w:val="clear" w:color="auto" w:fill="BDD6EE"/>
          </w:tcPr>
          <w:p w14:paraId="029A9832"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Holder / partners </w:t>
            </w:r>
          </w:p>
        </w:tc>
        <w:tc>
          <w:tcPr>
            <w:tcW w:w="1703" w:type="dxa"/>
            <w:shd w:val="clear" w:color="auto" w:fill="BDD6EE"/>
          </w:tcPr>
          <w:p w14:paraId="7FCD6CB5"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Deadline </w:t>
            </w:r>
          </w:p>
        </w:tc>
        <w:tc>
          <w:tcPr>
            <w:tcW w:w="1841" w:type="dxa"/>
            <w:shd w:val="clear" w:color="auto" w:fill="BDD6EE"/>
          </w:tcPr>
          <w:p w14:paraId="06D064F4"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Indicator / verification source </w:t>
            </w:r>
          </w:p>
        </w:tc>
        <w:tc>
          <w:tcPr>
            <w:tcW w:w="1494" w:type="dxa"/>
            <w:gridSpan w:val="2"/>
            <w:shd w:val="clear" w:color="auto" w:fill="BDD6EE"/>
          </w:tcPr>
          <w:p w14:paraId="03BD9F2A" w14:textId="77777777" w:rsidR="00861CB1" w:rsidRPr="003C7CB1" w:rsidRDefault="00861CB1" w:rsidP="00861CB1">
            <w:pPr>
              <w:contextualSpacing/>
              <w:jc w:val="center"/>
              <w:rPr>
                <w:rFonts w:ascii="Calibri" w:eastAsia="Calibri" w:hAnsi="Calibri" w:cs="Calibri"/>
                <w:b/>
                <w:bCs/>
                <w:sz w:val="24"/>
                <w:szCs w:val="24"/>
              </w:rPr>
            </w:pPr>
            <w:r w:rsidRPr="003C7CB1">
              <w:rPr>
                <w:rFonts w:ascii="Calibri" w:eastAsia="Calibri" w:hAnsi="Calibri" w:cs="Calibri"/>
                <w:b/>
                <w:bCs/>
                <w:sz w:val="24"/>
                <w:szCs w:val="24"/>
              </w:rPr>
              <w:t xml:space="preserve">Funds (in €) / source </w:t>
            </w:r>
          </w:p>
        </w:tc>
      </w:tr>
      <w:tr w:rsidR="00861CB1" w:rsidRPr="003C7CB1" w14:paraId="1A2D8424" w14:textId="77777777" w:rsidTr="00861CB1">
        <w:trPr>
          <w:jc w:val="center"/>
        </w:trPr>
        <w:tc>
          <w:tcPr>
            <w:tcW w:w="2122" w:type="dxa"/>
            <w:vMerge w:val="restart"/>
            <w:shd w:val="clear" w:color="auto" w:fill="FFFFFF"/>
          </w:tcPr>
          <w:p w14:paraId="513C0426"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
                <w:bCs/>
              </w:rPr>
              <w:t xml:space="preserve">5.1 Development of a program for lifelong education of staff in tourism </w:t>
            </w:r>
          </w:p>
        </w:tc>
        <w:tc>
          <w:tcPr>
            <w:tcW w:w="1417" w:type="dxa"/>
            <w:gridSpan w:val="2"/>
          </w:tcPr>
          <w:p w14:paraId="0678174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5.1.1 </w:t>
            </w:r>
          </w:p>
        </w:tc>
        <w:tc>
          <w:tcPr>
            <w:tcW w:w="3260" w:type="dxa"/>
            <w:gridSpan w:val="2"/>
          </w:tcPr>
          <w:p w14:paraId="4820A5E0"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Establishment of a Working Group for the preparation of a Plan for the improvement of educational programs with the aim of increasing the competitiveness of competencies and skills of staff in tourism / Dual education (based on best practices) as well as for further training of unemployed people in tourism </w:t>
            </w:r>
          </w:p>
        </w:tc>
        <w:tc>
          <w:tcPr>
            <w:tcW w:w="1843" w:type="dxa"/>
            <w:gridSpan w:val="3"/>
          </w:tcPr>
          <w:p w14:paraId="278861FC"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MED / MESCS , CSO, Faculties of Tourism, CEM, tourism industry </w:t>
            </w:r>
          </w:p>
        </w:tc>
        <w:tc>
          <w:tcPr>
            <w:tcW w:w="1703" w:type="dxa"/>
          </w:tcPr>
          <w:p w14:paraId="3623D1B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173068A4" w14:textId="77777777" w:rsidR="00861CB1" w:rsidRPr="003C7CB1" w:rsidRDefault="00861CB1" w:rsidP="00861CB1">
            <w:pPr>
              <w:contextualSpacing/>
              <w:jc w:val="center"/>
              <w:rPr>
                <w:rFonts w:ascii="Calibri" w:eastAsia="Calibri" w:hAnsi="Calibri" w:cs="Calibri"/>
              </w:rPr>
            </w:pPr>
          </w:p>
          <w:p w14:paraId="372B204A" w14:textId="77777777" w:rsidR="00861CB1" w:rsidRPr="003C7CB1" w:rsidRDefault="00861CB1" w:rsidP="00861CB1">
            <w:pPr>
              <w:contextualSpacing/>
              <w:jc w:val="center"/>
              <w:rPr>
                <w:rFonts w:ascii="Calibri" w:eastAsia="Calibri" w:hAnsi="Calibri" w:cs="Calibri"/>
                <w:b/>
              </w:rPr>
            </w:pPr>
          </w:p>
        </w:tc>
        <w:tc>
          <w:tcPr>
            <w:tcW w:w="1841" w:type="dxa"/>
          </w:tcPr>
          <w:p w14:paraId="0C82800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Working group has been established </w:t>
            </w:r>
          </w:p>
          <w:p w14:paraId="0575D7B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Plan has been adopted </w:t>
            </w:r>
          </w:p>
          <w:p w14:paraId="14E1858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w:t>
            </w:r>
          </w:p>
          <w:p w14:paraId="2ACBBA0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64AB497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4C4A3785" w14:textId="77777777" w:rsidTr="00861CB1">
        <w:trPr>
          <w:jc w:val="center"/>
        </w:trPr>
        <w:tc>
          <w:tcPr>
            <w:tcW w:w="2122" w:type="dxa"/>
            <w:vMerge/>
            <w:shd w:val="clear" w:color="auto" w:fill="FFFFFF"/>
          </w:tcPr>
          <w:p w14:paraId="5F3317DE" w14:textId="77777777" w:rsidR="00861CB1" w:rsidRPr="003C7CB1" w:rsidRDefault="00861CB1" w:rsidP="00861CB1">
            <w:pPr>
              <w:contextualSpacing/>
              <w:jc w:val="both"/>
              <w:rPr>
                <w:rFonts w:ascii="Calibri" w:eastAsia="Calibri" w:hAnsi="Calibri" w:cs="Calibri"/>
              </w:rPr>
            </w:pPr>
          </w:p>
        </w:tc>
        <w:tc>
          <w:tcPr>
            <w:tcW w:w="1417" w:type="dxa"/>
            <w:gridSpan w:val="2"/>
          </w:tcPr>
          <w:p w14:paraId="462781B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5.1.2 </w:t>
            </w:r>
          </w:p>
        </w:tc>
        <w:tc>
          <w:tcPr>
            <w:tcW w:w="3260" w:type="dxa"/>
            <w:gridSpan w:val="2"/>
          </w:tcPr>
          <w:p w14:paraId="74A8B3DA"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Establishment of a Working Group for the preparation of a Plan for the improvement of the system of employment of students and young people in </w:t>
            </w:r>
            <w:r w:rsidRPr="003C7CB1">
              <w:rPr>
                <w:rFonts w:ascii="Calibri" w:eastAsia="Calibri" w:hAnsi="Calibri" w:cs="Calibri"/>
              </w:rPr>
              <w:lastRenderedPageBreak/>
              <w:t xml:space="preserve">tourism, with the aim of meeting the needs of the tourism industry for highly educated staff </w:t>
            </w:r>
          </w:p>
        </w:tc>
        <w:tc>
          <w:tcPr>
            <w:tcW w:w="1843" w:type="dxa"/>
            <w:gridSpan w:val="3"/>
          </w:tcPr>
          <w:p w14:paraId="0708B8F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MESCS, EAM / MED, CEM </w:t>
            </w:r>
          </w:p>
        </w:tc>
        <w:tc>
          <w:tcPr>
            <w:tcW w:w="1703" w:type="dxa"/>
          </w:tcPr>
          <w:p w14:paraId="74ADB96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47AF3335" w14:textId="77777777" w:rsidR="00861CB1" w:rsidRPr="003C7CB1" w:rsidRDefault="00861CB1" w:rsidP="00861CB1">
            <w:pPr>
              <w:contextualSpacing/>
              <w:jc w:val="center"/>
              <w:rPr>
                <w:rFonts w:ascii="Calibri" w:eastAsia="Calibri" w:hAnsi="Calibri" w:cs="Calibri"/>
                <w:b/>
              </w:rPr>
            </w:pPr>
          </w:p>
        </w:tc>
        <w:tc>
          <w:tcPr>
            <w:tcW w:w="1841" w:type="dxa"/>
          </w:tcPr>
          <w:p w14:paraId="274C637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Working group has been established </w:t>
            </w:r>
          </w:p>
          <w:p w14:paraId="3891166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Plan has been adopted </w:t>
            </w:r>
          </w:p>
          <w:p w14:paraId="3114B05A" w14:textId="77777777" w:rsidR="00861CB1" w:rsidRPr="003C7CB1" w:rsidRDefault="00861CB1" w:rsidP="00861CB1">
            <w:pPr>
              <w:contextualSpacing/>
              <w:jc w:val="center"/>
              <w:rPr>
                <w:rFonts w:ascii="Calibri" w:eastAsia="Calibri" w:hAnsi="Calibri" w:cs="Calibri"/>
              </w:rPr>
            </w:pPr>
          </w:p>
          <w:p w14:paraId="01BE451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7B6E29E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Budget of the competent institutions  </w:t>
            </w:r>
          </w:p>
        </w:tc>
      </w:tr>
      <w:tr w:rsidR="00861CB1" w:rsidRPr="003C7CB1" w14:paraId="1320C8CE" w14:textId="77777777" w:rsidTr="00861CB1">
        <w:trPr>
          <w:jc w:val="center"/>
        </w:trPr>
        <w:tc>
          <w:tcPr>
            <w:tcW w:w="2122" w:type="dxa"/>
            <w:vMerge/>
            <w:shd w:val="clear" w:color="auto" w:fill="FFFFFF"/>
          </w:tcPr>
          <w:p w14:paraId="5640C780" w14:textId="77777777" w:rsidR="00861CB1" w:rsidRPr="003C7CB1" w:rsidRDefault="00861CB1" w:rsidP="00861CB1">
            <w:pPr>
              <w:contextualSpacing/>
              <w:jc w:val="both"/>
              <w:rPr>
                <w:rFonts w:ascii="Calibri" w:eastAsia="Calibri" w:hAnsi="Calibri" w:cs="Calibri"/>
              </w:rPr>
            </w:pPr>
          </w:p>
        </w:tc>
        <w:tc>
          <w:tcPr>
            <w:tcW w:w="1417" w:type="dxa"/>
            <w:gridSpan w:val="2"/>
          </w:tcPr>
          <w:p w14:paraId="0E325FB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5.1.3  </w:t>
            </w:r>
          </w:p>
        </w:tc>
        <w:tc>
          <w:tcPr>
            <w:tcW w:w="3260" w:type="dxa"/>
            <w:gridSpan w:val="2"/>
          </w:tcPr>
          <w:p w14:paraId="3D8E4CF0"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Participation in the Youth Forum – “Connecting youth with the tourism sector” with the aim of promoting the national Student League UNWTO 2022 (Sorrento, Italy, June 27 – July 3, 2022) </w:t>
            </w:r>
          </w:p>
        </w:tc>
        <w:tc>
          <w:tcPr>
            <w:tcW w:w="1843" w:type="dxa"/>
            <w:gridSpan w:val="3"/>
          </w:tcPr>
          <w:p w14:paraId="172A7725"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MESCS, MED /</w:t>
            </w:r>
          </w:p>
          <w:p w14:paraId="532985C1"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UNWTO </w:t>
            </w:r>
          </w:p>
        </w:tc>
        <w:tc>
          <w:tcPr>
            <w:tcW w:w="1703" w:type="dxa"/>
          </w:tcPr>
          <w:p w14:paraId="7AFD299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III Q 2022 </w:t>
            </w:r>
          </w:p>
        </w:tc>
        <w:tc>
          <w:tcPr>
            <w:tcW w:w="1841" w:type="dxa"/>
          </w:tcPr>
          <w:p w14:paraId="5D32201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Participation in the Forum </w:t>
            </w:r>
          </w:p>
          <w:p w14:paraId="6706B54D" w14:textId="77777777" w:rsidR="00861CB1" w:rsidRPr="003C7CB1" w:rsidRDefault="00861CB1" w:rsidP="00861CB1">
            <w:pPr>
              <w:contextualSpacing/>
              <w:jc w:val="center"/>
              <w:rPr>
                <w:rFonts w:ascii="Calibri" w:eastAsia="Calibri" w:hAnsi="Calibri" w:cs="Calibri"/>
              </w:rPr>
            </w:pPr>
          </w:p>
          <w:p w14:paraId="076630B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76681CA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Donor funds – UNWTO </w:t>
            </w:r>
          </w:p>
        </w:tc>
      </w:tr>
      <w:tr w:rsidR="00861CB1" w:rsidRPr="003C7CB1" w14:paraId="69827694" w14:textId="77777777" w:rsidTr="00861CB1">
        <w:trPr>
          <w:jc w:val="center"/>
        </w:trPr>
        <w:tc>
          <w:tcPr>
            <w:tcW w:w="2122" w:type="dxa"/>
            <w:vMerge/>
            <w:shd w:val="clear" w:color="auto" w:fill="FFFFFF"/>
          </w:tcPr>
          <w:p w14:paraId="6BC443E6" w14:textId="77777777" w:rsidR="00861CB1" w:rsidRPr="003C7CB1" w:rsidRDefault="00861CB1" w:rsidP="00861CB1">
            <w:pPr>
              <w:contextualSpacing/>
              <w:jc w:val="both"/>
              <w:rPr>
                <w:rFonts w:ascii="Calibri" w:eastAsia="Calibri" w:hAnsi="Calibri" w:cs="Calibri"/>
              </w:rPr>
            </w:pPr>
          </w:p>
        </w:tc>
        <w:tc>
          <w:tcPr>
            <w:tcW w:w="1417" w:type="dxa"/>
            <w:gridSpan w:val="2"/>
          </w:tcPr>
          <w:p w14:paraId="636DD02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5.1.4 </w:t>
            </w:r>
          </w:p>
        </w:tc>
        <w:tc>
          <w:tcPr>
            <w:tcW w:w="3260" w:type="dxa"/>
            <w:gridSpan w:val="2"/>
          </w:tcPr>
          <w:p w14:paraId="06D857D8"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Preparation of a guide for more efficient use of available EU funds in the field of tourism </w:t>
            </w:r>
          </w:p>
          <w:p w14:paraId="34AEB8DC" w14:textId="77777777" w:rsidR="00861CB1" w:rsidRPr="003C7CB1" w:rsidRDefault="00861CB1" w:rsidP="00861CB1">
            <w:pPr>
              <w:rPr>
                <w:rFonts w:ascii="Calibri" w:eastAsia="Calibri" w:hAnsi="Calibri" w:cs="Calibri"/>
              </w:rPr>
            </w:pPr>
          </w:p>
        </w:tc>
        <w:tc>
          <w:tcPr>
            <w:tcW w:w="1843" w:type="dxa"/>
            <w:gridSpan w:val="3"/>
          </w:tcPr>
          <w:p w14:paraId="2DF69D0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European Integration Office </w:t>
            </w:r>
          </w:p>
        </w:tc>
        <w:tc>
          <w:tcPr>
            <w:tcW w:w="1703" w:type="dxa"/>
          </w:tcPr>
          <w:p w14:paraId="68F2C57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II Q 2022 </w:t>
            </w:r>
          </w:p>
          <w:p w14:paraId="448F7C91" w14:textId="77777777" w:rsidR="00861CB1" w:rsidRPr="003C7CB1" w:rsidRDefault="00861CB1" w:rsidP="00861CB1">
            <w:pPr>
              <w:contextualSpacing/>
              <w:jc w:val="center"/>
              <w:rPr>
                <w:rFonts w:ascii="Calibri" w:eastAsia="Calibri" w:hAnsi="Calibri" w:cs="Calibri"/>
              </w:rPr>
            </w:pPr>
          </w:p>
          <w:p w14:paraId="4FAAA1F0" w14:textId="77777777" w:rsidR="00861CB1" w:rsidRPr="003C7CB1" w:rsidRDefault="00861CB1" w:rsidP="00861CB1">
            <w:pPr>
              <w:contextualSpacing/>
              <w:jc w:val="center"/>
              <w:rPr>
                <w:rFonts w:ascii="Calibri" w:eastAsia="Calibri" w:hAnsi="Calibri" w:cs="Calibri"/>
              </w:rPr>
            </w:pPr>
          </w:p>
        </w:tc>
        <w:tc>
          <w:tcPr>
            <w:tcW w:w="1841" w:type="dxa"/>
          </w:tcPr>
          <w:p w14:paraId="6013572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 guide for users of EU funds from the tourism industry and LTO have been developed </w:t>
            </w:r>
          </w:p>
          <w:p w14:paraId="6103E46F" w14:textId="77777777" w:rsidR="00861CB1" w:rsidRPr="003C7CB1" w:rsidRDefault="00861CB1" w:rsidP="00861CB1">
            <w:pPr>
              <w:contextualSpacing/>
              <w:jc w:val="center"/>
              <w:rPr>
                <w:rFonts w:ascii="Calibri" w:eastAsia="Calibri" w:hAnsi="Calibri" w:cs="Calibri"/>
              </w:rPr>
            </w:pPr>
          </w:p>
          <w:p w14:paraId="6D5F720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01A6727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competent institution </w:t>
            </w:r>
          </w:p>
        </w:tc>
      </w:tr>
      <w:tr w:rsidR="00861CB1" w:rsidRPr="003C7CB1" w14:paraId="5D2809BC" w14:textId="77777777" w:rsidTr="00861CB1">
        <w:trPr>
          <w:jc w:val="center"/>
        </w:trPr>
        <w:tc>
          <w:tcPr>
            <w:tcW w:w="2122" w:type="dxa"/>
            <w:vMerge w:val="restart"/>
            <w:shd w:val="clear" w:color="auto" w:fill="FFFFFF"/>
          </w:tcPr>
          <w:p w14:paraId="4D0BF7D0" w14:textId="77777777" w:rsidR="00861CB1" w:rsidRPr="003C7CB1" w:rsidRDefault="00861CB1" w:rsidP="00861CB1">
            <w:pPr>
              <w:contextualSpacing/>
              <w:rPr>
                <w:rFonts w:ascii="Calibri" w:eastAsia="Calibri" w:hAnsi="Calibri" w:cs="Calibri"/>
                <w:b/>
                <w:bCs/>
              </w:rPr>
            </w:pPr>
            <w:bookmarkStart w:id="485" w:name="_Hlk89616991"/>
            <w:r w:rsidRPr="003C7CB1">
              <w:rPr>
                <w:rFonts w:ascii="Calibri" w:eastAsia="Calibri" w:hAnsi="Calibri" w:cs="Calibri"/>
                <w:b/>
                <w:bCs/>
              </w:rPr>
              <w:t xml:space="preserve">5.2 Improving the knowledge and skills of employees in tourism </w:t>
            </w:r>
          </w:p>
          <w:p w14:paraId="5F2EC904" w14:textId="77777777" w:rsidR="00861CB1" w:rsidRPr="003C7CB1" w:rsidRDefault="00861CB1" w:rsidP="00861CB1">
            <w:pPr>
              <w:contextualSpacing/>
              <w:rPr>
                <w:rFonts w:ascii="Calibri" w:eastAsia="Calibri" w:hAnsi="Calibri" w:cs="Calibri"/>
                <w:b/>
                <w:bCs/>
              </w:rPr>
            </w:pPr>
          </w:p>
          <w:p w14:paraId="20E29238" w14:textId="77777777" w:rsidR="00861CB1" w:rsidRPr="003C7CB1" w:rsidRDefault="00861CB1" w:rsidP="00861CB1">
            <w:pPr>
              <w:contextualSpacing/>
              <w:rPr>
                <w:rFonts w:ascii="Calibri" w:eastAsia="Calibri" w:hAnsi="Calibri" w:cs="Calibri"/>
                <w:b/>
                <w:bCs/>
              </w:rPr>
            </w:pPr>
          </w:p>
          <w:p w14:paraId="2F103A2C" w14:textId="77777777" w:rsidR="00861CB1" w:rsidRPr="003C7CB1" w:rsidRDefault="00861CB1" w:rsidP="00861CB1">
            <w:pPr>
              <w:contextualSpacing/>
              <w:rPr>
                <w:rFonts w:ascii="Calibri" w:eastAsia="Calibri" w:hAnsi="Calibri" w:cs="Calibri"/>
                <w:b/>
                <w:bCs/>
              </w:rPr>
            </w:pPr>
          </w:p>
          <w:p w14:paraId="1C947CEF" w14:textId="77777777" w:rsidR="00861CB1" w:rsidRPr="003C7CB1" w:rsidRDefault="00861CB1" w:rsidP="00861CB1">
            <w:pPr>
              <w:contextualSpacing/>
              <w:rPr>
                <w:rFonts w:ascii="Calibri" w:eastAsia="Calibri" w:hAnsi="Calibri" w:cs="Calibri"/>
                <w:b/>
                <w:bCs/>
              </w:rPr>
            </w:pPr>
          </w:p>
          <w:p w14:paraId="0789933A" w14:textId="77777777" w:rsidR="00861CB1" w:rsidRPr="003C7CB1" w:rsidRDefault="00861CB1" w:rsidP="00861CB1">
            <w:pPr>
              <w:contextualSpacing/>
              <w:rPr>
                <w:rFonts w:ascii="Calibri" w:eastAsia="Calibri" w:hAnsi="Calibri" w:cs="Calibri"/>
                <w:b/>
                <w:bCs/>
              </w:rPr>
            </w:pPr>
          </w:p>
          <w:p w14:paraId="43E1C69A" w14:textId="77777777" w:rsidR="00861CB1" w:rsidRPr="003C7CB1" w:rsidRDefault="00861CB1" w:rsidP="00861CB1">
            <w:pPr>
              <w:contextualSpacing/>
              <w:rPr>
                <w:rFonts w:ascii="Calibri" w:eastAsia="Calibri" w:hAnsi="Calibri" w:cs="Calibri"/>
                <w:b/>
                <w:bCs/>
              </w:rPr>
            </w:pPr>
          </w:p>
          <w:p w14:paraId="478CD411" w14:textId="77777777" w:rsidR="00861CB1" w:rsidRPr="003C7CB1" w:rsidRDefault="00861CB1" w:rsidP="00861CB1">
            <w:pPr>
              <w:contextualSpacing/>
              <w:rPr>
                <w:rFonts w:ascii="Calibri" w:eastAsia="Calibri" w:hAnsi="Calibri" w:cs="Calibri"/>
                <w:b/>
                <w:bCs/>
              </w:rPr>
            </w:pPr>
          </w:p>
          <w:p w14:paraId="00B06D04" w14:textId="77777777" w:rsidR="00861CB1" w:rsidRPr="003C7CB1" w:rsidRDefault="00861CB1" w:rsidP="00861CB1">
            <w:pPr>
              <w:contextualSpacing/>
              <w:rPr>
                <w:rFonts w:ascii="Calibri" w:eastAsia="Calibri" w:hAnsi="Calibri" w:cs="Calibri"/>
                <w:b/>
                <w:bCs/>
              </w:rPr>
            </w:pPr>
          </w:p>
          <w:p w14:paraId="0B52E7F5" w14:textId="77777777" w:rsidR="00861CB1" w:rsidRPr="003C7CB1" w:rsidRDefault="00861CB1" w:rsidP="00861CB1">
            <w:pPr>
              <w:contextualSpacing/>
              <w:rPr>
                <w:rFonts w:ascii="Calibri" w:eastAsia="Calibri" w:hAnsi="Calibri" w:cs="Calibri"/>
                <w:b/>
                <w:bCs/>
              </w:rPr>
            </w:pPr>
          </w:p>
          <w:p w14:paraId="069949A5" w14:textId="77777777" w:rsidR="00861CB1" w:rsidRPr="003C7CB1" w:rsidRDefault="00861CB1" w:rsidP="00861CB1">
            <w:pPr>
              <w:contextualSpacing/>
              <w:rPr>
                <w:rFonts w:ascii="Calibri" w:eastAsia="Calibri" w:hAnsi="Calibri" w:cs="Calibri"/>
                <w:b/>
                <w:bCs/>
              </w:rPr>
            </w:pPr>
          </w:p>
          <w:p w14:paraId="41AB014A" w14:textId="77777777" w:rsidR="00861CB1" w:rsidRPr="003C7CB1" w:rsidRDefault="00861CB1" w:rsidP="00861CB1">
            <w:pPr>
              <w:contextualSpacing/>
              <w:rPr>
                <w:rFonts w:ascii="Calibri" w:eastAsia="Calibri" w:hAnsi="Calibri" w:cs="Calibri"/>
                <w:b/>
                <w:bCs/>
              </w:rPr>
            </w:pPr>
          </w:p>
          <w:p w14:paraId="585D5ADF" w14:textId="77777777" w:rsidR="00861CB1" w:rsidRPr="003C7CB1" w:rsidRDefault="00861CB1" w:rsidP="00861CB1">
            <w:pPr>
              <w:contextualSpacing/>
              <w:rPr>
                <w:rFonts w:ascii="Calibri" w:eastAsia="Calibri" w:hAnsi="Calibri" w:cs="Calibri"/>
                <w:b/>
                <w:bCs/>
              </w:rPr>
            </w:pPr>
          </w:p>
          <w:p w14:paraId="1073FD39" w14:textId="77777777" w:rsidR="00861CB1" w:rsidRPr="003C7CB1" w:rsidRDefault="00861CB1" w:rsidP="00861CB1">
            <w:pPr>
              <w:contextualSpacing/>
              <w:rPr>
                <w:rFonts w:ascii="Calibri" w:eastAsia="Calibri" w:hAnsi="Calibri" w:cs="Calibri"/>
                <w:b/>
                <w:bCs/>
              </w:rPr>
            </w:pPr>
          </w:p>
        </w:tc>
        <w:tc>
          <w:tcPr>
            <w:tcW w:w="1417" w:type="dxa"/>
            <w:gridSpan w:val="2"/>
          </w:tcPr>
          <w:p w14:paraId="4CC62FE0" w14:textId="77777777" w:rsidR="00861CB1" w:rsidRPr="003C7CB1" w:rsidRDefault="00861CB1" w:rsidP="00861CB1">
            <w:pPr>
              <w:contextualSpacing/>
              <w:jc w:val="center"/>
              <w:rPr>
                <w:rFonts w:ascii="Calibri" w:eastAsia="Calibri" w:hAnsi="Calibri" w:cs="Calibri"/>
              </w:rPr>
            </w:pPr>
          </w:p>
          <w:p w14:paraId="6A2778B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5.2.1 </w:t>
            </w:r>
          </w:p>
        </w:tc>
        <w:tc>
          <w:tcPr>
            <w:tcW w:w="3260" w:type="dxa"/>
            <w:gridSpan w:val="2"/>
          </w:tcPr>
          <w:p w14:paraId="074FFF19"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a plan for organizing trainings / courses for LTO employees </w:t>
            </w:r>
          </w:p>
        </w:tc>
        <w:tc>
          <w:tcPr>
            <w:tcW w:w="1843" w:type="dxa"/>
            <w:gridSpan w:val="3"/>
          </w:tcPr>
          <w:p w14:paraId="22FA0F0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MED, LTO</w:t>
            </w:r>
          </w:p>
          <w:p w14:paraId="6E1FCBDF"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w:t>
            </w:r>
          </w:p>
          <w:p w14:paraId="54DD10AA"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Human Resources Department </w:t>
            </w:r>
          </w:p>
          <w:p w14:paraId="3FD51DE7" w14:textId="77777777" w:rsidR="00861CB1" w:rsidRPr="003C7CB1" w:rsidRDefault="00861CB1" w:rsidP="00861CB1">
            <w:pPr>
              <w:contextualSpacing/>
              <w:jc w:val="both"/>
              <w:rPr>
                <w:rFonts w:ascii="Calibri" w:eastAsia="Calibri" w:hAnsi="Calibri" w:cs="Calibri"/>
              </w:rPr>
            </w:pPr>
          </w:p>
        </w:tc>
        <w:tc>
          <w:tcPr>
            <w:tcW w:w="1703" w:type="dxa"/>
          </w:tcPr>
          <w:p w14:paraId="6DE90015"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 Q - IV Q 2022 </w:t>
            </w:r>
          </w:p>
          <w:p w14:paraId="1EB50551" w14:textId="77777777" w:rsidR="00861CB1" w:rsidRPr="003C7CB1" w:rsidRDefault="00861CB1" w:rsidP="00861CB1">
            <w:pPr>
              <w:spacing w:after="0" w:line="240" w:lineRule="auto"/>
              <w:jc w:val="center"/>
              <w:rPr>
                <w:rFonts w:ascii="Calibri" w:eastAsia="Calibri" w:hAnsi="Calibri" w:cs="Calibri"/>
              </w:rPr>
            </w:pPr>
          </w:p>
          <w:p w14:paraId="2199A641" w14:textId="77777777" w:rsidR="00861CB1" w:rsidRPr="003C7CB1" w:rsidRDefault="00861CB1" w:rsidP="00861CB1">
            <w:pPr>
              <w:spacing w:after="0" w:line="240" w:lineRule="auto"/>
              <w:jc w:val="center"/>
              <w:rPr>
                <w:rFonts w:ascii="Calibri" w:eastAsia="Calibri" w:hAnsi="Calibri" w:cs="Calibri"/>
                <w:b/>
              </w:rPr>
            </w:pPr>
          </w:p>
        </w:tc>
        <w:tc>
          <w:tcPr>
            <w:tcW w:w="1841" w:type="dxa"/>
          </w:tcPr>
          <w:p w14:paraId="1E8BDD7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Plan has been adopted  </w:t>
            </w:r>
          </w:p>
          <w:p w14:paraId="76BAD2A6" w14:textId="77777777" w:rsidR="00861CB1" w:rsidRPr="003C7CB1" w:rsidRDefault="00861CB1" w:rsidP="00861CB1">
            <w:pPr>
              <w:contextualSpacing/>
              <w:jc w:val="center"/>
              <w:rPr>
                <w:rFonts w:ascii="Calibri" w:eastAsia="Calibri" w:hAnsi="Calibri" w:cs="Calibri"/>
              </w:rPr>
            </w:pPr>
          </w:p>
          <w:p w14:paraId="783016A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w:t>
            </w:r>
            <w:r w:rsidRPr="003C7CB1">
              <w:rPr>
                <w:rFonts w:ascii="Calibri" w:eastAsia="Calibri" w:hAnsi="Calibri" w:cs="Calibri"/>
              </w:rPr>
              <w:lastRenderedPageBreak/>
              <w:t xml:space="preserve">competent institutions </w:t>
            </w:r>
          </w:p>
        </w:tc>
        <w:tc>
          <w:tcPr>
            <w:tcW w:w="1494" w:type="dxa"/>
            <w:gridSpan w:val="2"/>
          </w:tcPr>
          <w:p w14:paraId="67E1D15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No financial resources are required  </w:t>
            </w:r>
          </w:p>
        </w:tc>
      </w:tr>
      <w:bookmarkEnd w:id="485"/>
      <w:tr w:rsidR="00861CB1" w:rsidRPr="003C7CB1" w14:paraId="2E6975A0" w14:textId="77777777" w:rsidTr="00861CB1">
        <w:trPr>
          <w:jc w:val="center"/>
        </w:trPr>
        <w:tc>
          <w:tcPr>
            <w:tcW w:w="2122" w:type="dxa"/>
            <w:vMerge/>
            <w:shd w:val="clear" w:color="auto" w:fill="FFFFFF"/>
          </w:tcPr>
          <w:p w14:paraId="640A4E0E" w14:textId="77777777" w:rsidR="00861CB1" w:rsidRPr="003C7CB1" w:rsidRDefault="00861CB1" w:rsidP="00861CB1">
            <w:pPr>
              <w:contextualSpacing/>
              <w:rPr>
                <w:rFonts w:ascii="Calibri" w:eastAsia="Calibri" w:hAnsi="Calibri" w:cs="Calibri"/>
                <w:b/>
                <w:bCs/>
              </w:rPr>
            </w:pPr>
          </w:p>
        </w:tc>
        <w:tc>
          <w:tcPr>
            <w:tcW w:w="1417" w:type="dxa"/>
            <w:gridSpan w:val="2"/>
          </w:tcPr>
          <w:p w14:paraId="7A616A57" w14:textId="77777777" w:rsidR="00861CB1" w:rsidRPr="003C7CB1" w:rsidRDefault="00861CB1" w:rsidP="00861CB1">
            <w:pPr>
              <w:contextualSpacing/>
              <w:jc w:val="center"/>
              <w:rPr>
                <w:rFonts w:ascii="Calibri" w:eastAsia="Calibri" w:hAnsi="Calibri" w:cs="Calibri"/>
              </w:rPr>
            </w:pPr>
          </w:p>
          <w:p w14:paraId="0639841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5.2.2 </w:t>
            </w:r>
          </w:p>
        </w:tc>
        <w:tc>
          <w:tcPr>
            <w:tcW w:w="3260" w:type="dxa"/>
            <w:gridSpan w:val="2"/>
          </w:tcPr>
          <w:p w14:paraId="678D4331"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a plan for organizing educational seminars for the tourism industry </w:t>
            </w:r>
          </w:p>
        </w:tc>
        <w:tc>
          <w:tcPr>
            <w:tcW w:w="1843" w:type="dxa"/>
            <w:gridSpan w:val="3"/>
          </w:tcPr>
          <w:p w14:paraId="31578AAA" w14:textId="27C5BDF1"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MED, MESCS / CSO, </w:t>
            </w:r>
            <w:r w:rsidR="00A904A4" w:rsidRPr="003C7CB1">
              <w:rPr>
                <w:rFonts w:ascii="Calibri" w:eastAsia="Calibri" w:hAnsi="Calibri" w:cs="Calibri"/>
              </w:rPr>
              <w:t>EAM,</w:t>
            </w:r>
            <w:r w:rsidRPr="003C7CB1">
              <w:rPr>
                <w:rFonts w:ascii="Calibri" w:eastAsia="Calibri" w:hAnsi="Calibri" w:cs="Calibri"/>
              </w:rPr>
              <w:t xml:space="preserve"> Faculties of Tourism, CEM </w:t>
            </w:r>
          </w:p>
          <w:p w14:paraId="066F69C3" w14:textId="77777777" w:rsidR="00861CB1" w:rsidRPr="003C7CB1" w:rsidRDefault="00861CB1" w:rsidP="00861CB1">
            <w:pPr>
              <w:contextualSpacing/>
              <w:jc w:val="both"/>
              <w:rPr>
                <w:rFonts w:ascii="Calibri" w:eastAsia="Calibri" w:hAnsi="Calibri" w:cs="Calibri"/>
              </w:rPr>
            </w:pPr>
          </w:p>
        </w:tc>
        <w:tc>
          <w:tcPr>
            <w:tcW w:w="1703" w:type="dxa"/>
          </w:tcPr>
          <w:p w14:paraId="7B3914AF"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 Q - IV Q 2022  </w:t>
            </w:r>
          </w:p>
          <w:p w14:paraId="57DB7C47" w14:textId="77777777" w:rsidR="00861CB1" w:rsidRPr="003C7CB1" w:rsidRDefault="00861CB1" w:rsidP="00861CB1">
            <w:pPr>
              <w:contextualSpacing/>
              <w:jc w:val="both"/>
              <w:rPr>
                <w:rFonts w:ascii="Calibri" w:eastAsia="Calibri" w:hAnsi="Calibri" w:cs="Calibri"/>
              </w:rPr>
            </w:pPr>
          </w:p>
          <w:p w14:paraId="1A3B8FA1" w14:textId="77777777" w:rsidR="00861CB1" w:rsidRPr="003C7CB1" w:rsidRDefault="00861CB1" w:rsidP="00861CB1">
            <w:pPr>
              <w:contextualSpacing/>
              <w:jc w:val="center"/>
              <w:rPr>
                <w:rFonts w:ascii="Calibri" w:eastAsia="Calibri" w:hAnsi="Calibri" w:cs="Calibri"/>
                <w:b/>
              </w:rPr>
            </w:pPr>
          </w:p>
        </w:tc>
        <w:tc>
          <w:tcPr>
            <w:tcW w:w="1841" w:type="dxa"/>
          </w:tcPr>
          <w:p w14:paraId="7A01D32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Plan has been adopted </w:t>
            </w:r>
          </w:p>
          <w:p w14:paraId="330F4E53" w14:textId="77777777" w:rsidR="00861CB1" w:rsidRPr="003C7CB1" w:rsidRDefault="00861CB1" w:rsidP="00861CB1">
            <w:pPr>
              <w:contextualSpacing/>
              <w:jc w:val="center"/>
              <w:rPr>
                <w:rFonts w:ascii="Calibri" w:eastAsia="Calibri" w:hAnsi="Calibri" w:cs="Calibri"/>
              </w:rPr>
            </w:pPr>
          </w:p>
          <w:p w14:paraId="6D3C8C0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46D60759" w14:textId="77777777" w:rsidR="00861CB1" w:rsidRPr="003C7CB1" w:rsidRDefault="00861CB1" w:rsidP="00861CB1">
            <w:pPr>
              <w:spacing w:after="0" w:line="240" w:lineRule="auto"/>
              <w:rPr>
                <w:rFonts w:ascii="Calibri" w:eastAsia="Calibri" w:hAnsi="Calibri" w:cs="Calibri"/>
              </w:rPr>
            </w:pPr>
          </w:p>
          <w:p w14:paraId="1BE4AA6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72CA7E1F" w14:textId="77777777" w:rsidTr="00861CB1">
        <w:trPr>
          <w:jc w:val="center"/>
        </w:trPr>
        <w:tc>
          <w:tcPr>
            <w:tcW w:w="2122" w:type="dxa"/>
            <w:vMerge/>
            <w:shd w:val="clear" w:color="auto" w:fill="FFFFFF"/>
          </w:tcPr>
          <w:p w14:paraId="1ED256EA" w14:textId="77777777" w:rsidR="00861CB1" w:rsidRPr="003C7CB1" w:rsidRDefault="00861CB1" w:rsidP="00861CB1">
            <w:pPr>
              <w:contextualSpacing/>
              <w:rPr>
                <w:rFonts w:ascii="Calibri" w:eastAsia="Calibri" w:hAnsi="Calibri" w:cs="Calibri"/>
                <w:b/>
                <w:bCs/>
                <w:sz w:val="24"/>
                <w:szCs w:val="24"/>
              </w:rPr>
            </w:pPr>
          </w:p>
        </w:tc>
        <w:tc>
          <w:tcPr>
            <w:tcW w:w="1417" w:type="dxa"/>
            <w:gridSpan w:val="2"/>
          </w:tcPr>
          <w:p w14:paraId="065D160B" w14:textId="77777777" w:rsidR="00861CB1" w:rsidRPr="003C7CB1" w:rsidRDefault="00861CB1" w:rsidP="00861CB1">
            <w:pPr>
              <w:contextualSpacing/>
              <w:jc w:val="center"/>
              <w:rPr>
                <w:rFonts w:ascii="Calibri" w:eastAsia="Calibri" w:hAnsi="Calibri" w:cs="Calibri"/>
              </w:rPr>
            </w:pPr>
          </w:p>
          <w:p w14:paraId="3C235EF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5.2.3 </w:t>
            </w:r>
          </w:p>
        </w:tc>
        <w:tc>
          <w:tcPr>
            <w:tcW w:w="3260" w:type="dxa"/>
            <w:gridSpan w:val="2"/>
          </w:tcPr>
          <w:p w14:paraId="33FF01B3"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Establishment of a working group for the preparation of a plan for organizing seminars with the aim of improving the knowledge of tourist guides (special emphasis on non-valorized segments of cultural heritage, as well as cultural and natural assets on the UNESCO World Heritage List) </w:t>
            </w:r>
          </w:p>
        </w:tc>
        <w:tc>
          <w:tcPr>
            <w:tcW w:w="1843" w:type="dxa"/>
            <w:gridSpan w:val="3"/>
          </w:tcPr>
          <w:p w14:paraId="58F0ECF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MESCS, experts in the field of cultural heritage, CSO Faculties of Tourism / MED, CEM </w:t>
            </w:r>
          </w:p>
          <w:p w14:paraId="2DBECD3E" w14:textId="77777777" w:rsidR="00861CB1" w:rsidRPr="003C7CB1" w:rsidRDefault="00861CB1" w:rsidP="00861CB1">
            <w:pPr>
              <w:contextualSpacing/>
              <w:jc w:val="both"/>
              <w:rPr>
                <w:rFonts w:ascii="Calibri" w:eastAsia="Calibri" w:hAnsi="Calibri" w:cs="Calibri"/>
              </w:rPr>
            </w:pPr>
          </w:p>
        </w:tc>
        <w:tc>
          <w:tcPr>
            <w:tcW w:w="1703" w:type="dxa"/>
          </w:tcPr>
          <w:p w14:paraId="0BD48863"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 Q – IV Q 2022 </w:t>
            </w:r>
          </w:p>
          <w:p w14:paraId="7380EEAA" w14:textId="77777777" w:rsidR="00861CB1" w:rsidRPr="003C7CB1" w:rsidRDefault="00861CB1" w:rsidP="00861CB1">
            <w:pPr>
              <w:spacing w:after="0" w:line="240" w:lineRule="auto"/>
              <w:jc w:val="center"/>
              <w:rPr>
                <w:rFonts w:ascii="Calibri" w:eastAsia="Calibri" w:hAnsi="Calibri" w:cs="Calibri"/>
              </w:rPr>
            </w:pPr>
          </w:p>
          <w:p w14:paraId="3450F282" w14:textId="77777777" w:rsidR="00861CB1" w:rsidRPr="003C7CB1" w:rsidRDefault="00861CB1" w:rsidP="00861CB1">
            <w:pPr>
              <w:spacing w:after="0" w:line="240" w:lineRule="auto"/>
              <w:jc w:val="center"/>
              <w:rPr>
                <w:rFonts w:ascii="Calibri" w:eastAsia="Calibri" w:hAnsi="Calibri" w:cs="Calibri"/>
              </w:rPr>
            </w:pPr>
          </w:p>
        </w:tc>
        <w:tc>
          <w:tcPr>
            <w:tcW w:w="1841" w:type="dxa"/>
          </w:tcPr>
          <w:p w14:paraId="20743DB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Working group has been established </w:t>
            </w:r>
          </w:p>
          <w:p w14:paraId="2670832D" w14:textId="77777777" w:rsidR="00861CB1" w:rsidRPr="003C7CB1" w:rsidRDefault="00861CB1" w:rsidP="00861CB1">
            <w:pPr>
              <w:contextualSpacing/>
              <w:jc w:val="center"/>
              <w:rPr>
                <w:rFonts w:ascii="Calibri" w:eastAsia="Calibri" w:hAnsi="Calibri" w:cs="Calibri"/>
              </w:rPr>
            </w:pPr>
          </w:p>
          <w:p w14:paraId="45652C3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Plan has been adopted </w:t>
            </w:r>
          </w:p>
          <w:p w14:paraId="555D1B48" w14:textId="77777777" w:rsidR="00861CB1" w:rsidRPr="003C7CB1" w:rsidRDefault="00861CB1" w:rsidP="00861CB1">
            <w:pPr>
              <w:contextualSpacing/>
              <w:jc w:val="center"/>
              <w:rPr>
                <w:rFonts w:ascii="Calibri" w:eastAsia="Calibri" w:hAnsi="Calibri" w:cs="Calibri"/>
              </w:rPr>
            </w:pPr>
          </w:p>
          <w:p w14:paraId="6FEC7DE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5EA81F6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48C1358D" w14:textId="77777777" w:rsidTr="00861CB1">
        <w:trPr>
          <w:jc w:val="center"/>
        </w:trPr>
        <w:tc>
          <w:tcPr>
            <w:tcW w:w="2122" w:type="dxa"/>
            <w:vMerge/>
            <w:shd w:val="clear" w:color="auto" w:fill="FFFFFF"/>
          </w:tcPr>
          <w:p w14:paraId="5D55702F" w14:textId="77777777" w:rsidR="00861CB1" w:rsidRPr="003C7CB1" w:rsidRDefault="00861CB1" w:rsidP="00861CB1">
            <w:pPr>
              <w:contextualSpacing/>
              <w:jc w:val="both"/>
              <w:rPr>
                <w:rFonts w:ascii="Calibri" w:eastAsia="Calibri" w:hAnsi="Calibri" w:cs="Calibri"/>
                <w:sz w:val="24"/>
                <w:szCs w:val="24"/>
              </w:rPr>
            </w:pPr>
          </w:p>
        </w:tc>
        <w:tc>
          <w:tcPr>
            <w:tcW w:w="1417" w:type="dxa"/>
            <w:gridSpan w:val="2"/>
          </w:tcPr>
          <w:p w14:paraId="31BD9DE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5.2.4.</w:t>
            </w:r>
          </w:p>
        </w:tc>
        <w:tc>
          <w:tcPr>
            <w:tcW w:w="3260" w:type="dxa"/>
            <w:gridSpan w:val="2"/>
          </w:tcPr>
          <w:p w14:paraId="525F9729"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Establishment of a working group for the preparation of a plan for organizing staff training in order to obtain licenses for mountain guides, canyoning guides, speleological guides, etc. </w:t>
            </w:r>
          </w:p>
        </w:tc>
        <w:tc>
          <w:tcPr>
            <w:tcW w:w="1843" w:type="dxa"/>
            <w:gridSpan w:val="3"/>
          </w:tcPr>
          <w:p w14:paraId="3836DD7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MESCS, CSO Faculty of Tourism / MED , CEM </w:t>
            </w:r>
          </w:p>
        </w:tc>
        <w:tc>
          <w:tcPr>
            <w:tcW w:w="1703" w:type="dxa"/>
          </w:tcPr>
          <w:p w14:paraId="2BDB8C8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20A9FC05" w14:textId="77777777" w:rsidR="00861CB1" w:rsidRPr="003C7CB1" w:rsidRDefault="00861CB1" w:rsidP="00861CB1">
            <w:pPr>
              <w:contextualSpacing/>
              <w:rPr>
                <w:rFonts w:ascii="Calibri" w:eastAsia="Calibri" w:hAnsi="Calibri" w:cs="Calibri"/>
              </w:rPr>
            </w:pPr>
          </w:p>
          <w:p w14:paraId="34360669" w14:textId="77777777" w:rsidR="00861CB1" w:rsidRPr="003C7CB1" w:rsidRDefault="00861CB1" w:rsidP="00861CB1">
            <w:pPr>
              <w:contextualSpacing/>
              <w:jc w:val="center"/>
              <w:rPr>
                <w:rFonts w:ascii="Calibri" w:eastAsia="Calibri" w:hAnsi="Calibri" w:cs="Calibri"/>
                <w:b/>
              </w:rPr>
            </w:pPr>
          </w:p>
        </w:tc>
        <w:tc>
          <w:tcPr>
            <w:tcW w:w="1841" w:type="dxa"/>
          </w:tcPr>
          <w:p w14:paraId="17A0C5A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Plan has been adopted </w:t>
            </w:r>
          </w:p>
          <w:p w14:paraId="0DCAA960" w14:textId="77777777" w:rsidR="00861CB1" w:rsidRPr="003C7CB1" w:rsidRDefault="00861CB1" w:rsidP="00861CB1">
            <w:pPr>
              <w:contextualSpacing/>
              <w:jc w:val="center"/>
              <w:rPr>
                <w:rFonts w:ascii="Calibri" w:eastAsia="Calibri" w:hAnsi="Calibri" w:cs="Calibri"/>
              </w:rPr>
            </w:pPr>
          </w:p>
          <w:p w14:paraId="32D0935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06B0D3F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2DD159FF" w14:textId="77777777" w:rsidTr="00861CB1">
        <w:trPr>
          <w:jc w:val="center"/>
        </w:trPr>
        <w:tc>
          <w:tcPr>
            <w:tcW w:w="2122" w:type="dxa"/>
            <w:vMerge/>
            <w:shd w:val="clear" w:color="auto" w:fill="FFFFFF"/>
          </w:tcPr>
          <w:p w14:paraId="3730353E" w14:textId="77777777" w:rsidR="00861CB1" w:rsidRPr="003C7CB1" w:rsidRDefault="00861CB1" w:rsidP="00861CB1">
            <w:pPr>
              <w:contextualSpacing/>
              <w:jc w:val="both"/>
              <w:rPr>
                <w:rFonts w:ascii="Calibri" w:eastAsia="Calibri" w:hAnsi="Calibri" w:cs="Calibri"/>
                <w:sz w:val="24"/>
                <w:szCs w:val="24"/>
              </w:rPr>
            </w:pPr>
          </w:p>
        </w:tc>
        <w:tc>
          <w:tcPr>
            <w:tcW w:w="1417" w:type="dxa"/>
            <w:gridSpan w:val="2"/>
          </w:tcPr>
          <w:p w14:paraId="4F776F4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5.2.5</w:t>
            </w:r>
          </w:p>
        </w:tc>
        <w:tc>
          <w:tcPr>
            <w:tcW w:w="3260" w:type="dxa"/>
            <w:gridSpan w:val="2"/>
          </w:tcPr>
          <w:p w14:paraId="33F3E163"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Organizing training of staff in tourism in cooperation with the UNWTO </w:t>
            </w:r>
          </w:p>
        </w:tc>
        <w:tc>
          <w:tcPr>
            <w:tcW w:w="1843" w:type="dxa"/>
            <w:gridSpan w:val="3"/>
          </w:tcPr>
          <w:p w14:paraId="2E1A6576"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MED /</w:t>
            </w:r>
          </w:p>
          <w:p w14:paraId="45B3392F"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UNWTO </w:t>
            </w:r>
          </w:p>
        </w:tc>
        <w:tc>
          <w:tcPr>
            <w:tcW w:w="1703" w:type="dxa"/>
          </w:tcPr>
          <w:p w14:paraId="07A5875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II Q -IV Q 2022 </w:t>
            </w:r>
          </w:p>
          <w:p w14:paraId="744597C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The implementation of activities will continue after 2022, if necessary </w:t>
            </w:r>
          </w:p>
        </w:tc>
        <w:tc>
          <w:tcPr>
            <w:tcW w:w="1841" w:type="dxa"/>
          </w:tcPr>
          <w:p w14:paraId="2CDB92B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completed trainings / certified participants </w:t>
            </w:r>
          </w:p>
          <w:p w14:paraId="7E985AF5" w14:textId="77777777" w:rsidR="00861CB1" w:rsidRPr="003C7CB1" w:rsidRDefault="00861CB1" w:rsidP="00861CB1">
            <w:pPr>
              <w:contextualSpacing/>
              <w:jc w:val="center"/>
              <w:rPr>
                <w:rFonts w:ascii="Calibri" w:eastAsia="Calibri" w:hAnsi="Calibri" w:cs="Calibri"/>
              </w:rPr>
            </w:pPr>
          </w:p>
          <w:p w14:paraId="35E6591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60F4E3B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4419E513" w14:textId="77777777" w:rsidTr="00861CB1">
        <w:trPr>
          <w:jc w:val="center"/>
        </w:trPr>
        <w:tc>
          <w:tcPr>
            <w:tcW w:w="2122" w:type="dxa"/>
            <w:vMerge/>
            <w:shd w:val="clear" w:color="auto" w:fill="FFFFFF"/>
          </w:tcPr>
          <w:p w14:paraId="5376560A" w14:textId="77777777" w:rsidR="00861CB1" w:rsidRPr="003C7CB1" w:rsidRDefault="00861CB1" w:rsidP="00861CB1">
            <w:pPr>
              <w:contextualSpacing/>
              <w:jc w:val="both"/>
              <w:rPr>
                <w:rFonts w:ascii="Calibri" w:eastAsia="Calibri" w:hAnsi="Calibri" w:cs="Calibri"/>
                <w:sz w:val="24"/>
                <w:szCs w:val="24"/>
              </w:rPr>
            </w:pPr>
          </w:p>
        </w:tc>
        <w:tc>
          <w:tcPr>
            <w:tcW w:w="1417" w:type="dxa"/>
            <w:gridSpan w:val="2"/>
          </w:tcPr>
          <w:p w14:paraId="7DCFA5A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5.2.6 </w:t>
            </w:r>
          </w:p>
        </w:tc>
        <w:tc>
          <w:tcPr>
            <w:tcW w:w="3260" w:type="dxa"/>
            <w:gridSpan w:val="2"/>
          </w:tcPr>
          <w:p w14:paraId="22121630"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Organizing training of staff in tourism in cooperation with other international and national tourism partners </w:t>
            </w:r>
          </w:p>
        </w:tc>
        <w:tc>
          <w:tcPr>
            <w:tcW w:w="1843" w:type="dxa"/>
            <w:gridSpan w:val="3"/>
          </w:tcPr>
          <w:p w14:paraId="2AE9FD4A"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MED /</w:t>
            </w:r>
          </w:p>
          <w:p w14:paraId="6DA6CF28"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international tourism organizations </w:t>
            </w:r>
          </w:p>
        </w:tc>
        <w:tc>
          <w:tcPr>
            <w:tcW w:w="1703" w:type="dxa"/>
          </w:tcPr>
          <w:p w14:paraId="3366121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II Q – IV Q 2022 </w:t>
            </w:r>
          </w:p>
          <w:p w14:paraId="6DD1C19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The implementation of activities will continue after 2022, if necessary </w:t>
            </w:r>
          </w:p>
        </w:tc>
        <w:tc>
          <w:tcPr>
            <w:tcW w:w="1841" w:type="dxa"/>
          </w:tcPr>
          <w:p w14:paraId="22FDB77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Number of completed trainings / certified participants</w:t>
            </w:r>
          </w:p>
          <w:p w14:paraId="7A754898" w14:textId="77777777" w:rsidR="00861CB1" w:rsidRPr="003C7CB1" w:rsidRDefault="00861CB1" w:rsidP="00861CB1">
            <w:pPr>
              <w:contextualSpacing/>
              <w:jc w:val="center"/>
              <w:rPr>
                <w:rFonts w:ascii="Calibri" w:eastAsia="Calibri" w:hAnsi="Calibri" w:cs="Calibri"/>
              </w:rPr>
            </w:pPr>
          </w:p>
          <w:p w14:paraId="006ED7A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Annual work report of MED</w:t>
            </w:r>
          </w:p>
        </w:tc>
        <w:tc>
          <w:tcPr>
            <w:tcW w:w="1494" w:type="dxa"/>
            <w:gridSpan w:val="2"/>
          </w:tcPr>
          <w:p w14:paraId="37549D0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31F1F7D7" w14:textId="77777777" w:rsidTr="00861CB1">
        <w:trPr>
          <w:jc w:val="center"/>
        </w:trPr>
        <w:tc>
          <w:tcPr>
            <w:tcW w:w="2122" w:type="dxa"/>
            <w:vMerge w:val="restart"/>
            <w:shd w:val="clear" w:color="auto" w:fill="FFFFFF"/>
          </w:tcPr>
          <w:p w14:paraId="3075D7AE" w14:textId="77777777" w:rsidR="00861CB1" w:rsidRPr="003C7CB1" w:rsidRDefault="00861CB1" w:rsidP="00861CB1">
            <w:pPr>
              <w:spacing w:after="0"/>
              <w:rPr>
                <w:rFonts w:ascii="Calibri" w:eastAsia="Calibri" w:hAnsi="Calibri" w:cs="Calibri"/>
                <w:b/>
              </w:rPr>
            </w:pPr>
            <w:r w:rsidRPr="003C7CB1">
              <w:rPr>
                <w:rFonts w:ascii="Calibri" w:eastAsia="Calibri" w:hAnsi="Calibri" w:cs="Calibri"/>
                <w:b/>
              </w:rPr>
              <w:t xml:space="preserve">5.3 Training and certification – GSTC Global Sustainable Tourism Training Program (STTP) </w:t>
            </w:r>
          </w:p>
        </w:tc>
        <w:tc>
          <w:tcPr>
            <w:tcW w:w="1417" w:type="dxa"/>
            <w:gridSpan w:val="2"/>
          </w:tcPr>
          <w:p w14:paraId="33DFF685" w14:textId="77777777" w:rsidR="00861CB1" w:rsidRPr="003C7CB1" w:rsidRDefault="00861CB1" w:rsidP="00861CB1">
            <w:pPr>
              <w:contextualSpacing/>
              <w:jc w:val="center"/>
              <w:rPr>
                <w:rFonts w:ascii="Calibri" w:eastAsia="Calibri" w:hAnsi="Calibri" w:cs="Calibri"/>
              </w:rPr>
            </w:pPr>
          </w:p>
          <w:p w14:paraId="32010AA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5.3.1 </w:t>
            </w:r>
          </w:p>
        </w:tc>
        <w:tc>
          <w:tcPr>
            <w:tcW w:w="3260" w:type="dxa"/>
            <w:gridSpan w:val="2"/>
          </w:tcPr>
          <w:p w14:paraId="6D02ADAA"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bCs/>
              </w:rPr>
              <w:t xml:space="preserve">Organizing workshops - education, certification and continuous international networking in sustainable destination management </w:t>
            </w:r>
          </w:p>
        </w:tc>
        <w:tc>
          <w:tcPr>
            <w:tcW w:w="1843" w:type="dxa"/>
            <w:gridSpan w:val="3"/>
          </w:tcPr>
          <w:p w14:paraId="1ACD3C69" w14:textId="77777777" w:rsidR="00861CB1" w:rsidRPr="003C7CB1" w:rsidRDefault="00861CB1" w:rsidP="00861CB1">
            <w:pPr>
              <w:spacing w:after="0"/>
              <w:jc w:val="center"/>
              <w:rPr>
                <w:rFonts w:ascii="Calibri" w:eastAsia="Calibri" w:hAnsi="Calibri" w:cs="Calibri"/>
              </w:rPr>
            </w:pPr>
            <w:r w:rsidRPr="003C7CB1">
              <w:rPr>
                <w:rFonts w:ascii="Calibri" w:eastAsia="Calibri" w:hAnsi="Calibri" w:cs="Calibri"/>
              </w:rPr>
              <w:t xml:space="preserve">NTO MNE / </w:t>
            </w:r>
          </w:p>
          <w:p w14:paraId="4E93401E" w14:textId="77777777" w:rsidR="00861CB1" w:rsidRPr="003C7CB1" w:rsidRDefault="00861CB1" w:rsidP="00861CB1">
            <w:pPr>
              <w:spacing w:after="0"/>
              <w:jc w:val="center"/>
              <w:rPr>
                <w:rFonts w:ascii="Calibri" w:eastAsia="Calibri" w:hAnsi="Calibri" w:cs="Calibri"/>
              </w:rPr>
            </w:pPr>
            <w:r w:rsidRPr="003C7CB1">
              <w:rPr>
                <w:rFonts w:ascii="Calibri" w:eastAsia="Calibri" w:hAnsi="Calibri" w:cs="Calibri"/>
              </w:rPr>
              <w:t xml:space="preserve">MED, GSTC, Green Destinations </w:t>
            </w:r>
          </w:p>
        </w:tc>
        <w:tc>
          <w:tcPr>
            <w:tcW w:w="1703" w:type="dxa"/>
          </w:tcPr>
          <w:p w14:paraId="020F8CA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II Q - IV Q 2022 </w:t>
            </w:r>
          </w:p>
        </w:tc>
        <w:tc>
          <w:tcPr>
            <w:tcW w:w="1841" w:type="dxa"/>
          </w:tcPr>
          <w:p w14:paraId="2994912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4 certified representatives </w:t>
            </w:r>
          </w:p>
          <w:p w14:paraId="439169E0" w14:textId="77777777" w:rsidR="00861CB1" w:rsidRPr="003C7CB1" w:rsidRDefault="00861CB1" w:rsidP="00861CB1">
            <w:pPr>
              <w:contextualSpacing/>
              <w:rPr>
                <w:rFonts w:ascii="Calibri" w:eastAsia="Calibri" w:hAnsi="Calibri" w:cs="Calibri"/>
              </w:rPr>
            </w:pPr>
          </w:p>
          <w:p w14:paraId="3C9785A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and NTO </w:t>
            </w:r>
          </w:p>
        </w:tc>
        <w:tc>
          <w:tcPr>
            <w:tcW w:w="1494" w:type="dxa"/>
            <w:gridSpan w:val="2"/>
          </w:tcPr>
          <w:p w14:paraId="1BEF11E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2,100.00</w:t>
            </w:r>
          </w:p>
          <w:p w14:paraId="3D8E107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(400,00 one workshop and</w:t>
            </w:r>
          </w:p>
          <w:p w14:paraId="0E1AD81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1,700.00</w:t>
            </w:r>
          </w:p>
          <w:p w14:paraId="36E08D9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for 4 certifications)</w:t>
            </w:r>
          </w:p>
          <w:p w14:paraId="5FA4021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5A6B2B78" w14:textId="77777777" w:rsidTr="00861CB1">
        <w:trPr>
          <w:jc w:val="center"/>
        </w:trPr>
        <w:tc>
          <w:tcPr>
            <w:tcW w:w="2122" w:type="dxa"/>
            <w:vMerge/>
            <w:shd w:val="clear" w:color="auto" w:fill="FFFFFF"/>
          </w:tcPr>
          <w:p w14:paraId="2ABDBCC3" w14:textId="77777777" w:rsidR="00861CB1" w:rsidRPr="003C7CB1" w:rsidRDefault="00861CB1" w:rsidP="00861CB1">
            <w:pPr>
              <w:spacing w:after="0" w:line="240" w:lineRule="auto"/>
              <w:rPr>
                <w:rFonts w:ascii="Calibri" w:eastAsia="Calibri" w:hAnsi="Calibri" w:cs="Calibri"/>
                <w:b/>
              </w:rPr>
            </w:pPr>
          </w:p>
        </w:tc>
        <w:tc>
          <w:tcPr>
            <w:tcW w:w="1417" w:type="dxa"/>
            <w:gridSpan w:val="2"/>
          </w:tcPr>
          <w:p w14:paraId="4BFF4D8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5.3.2 </w:t>
            </w:r>
          </w:p>
        </w:tc>
        <w:tc>
          <w:tcPr>
            <w:tcW w:w="3260" w:type="dxa"/>
            <w:gridSpan w:val="2"/>
          </w:tcPr>
          <w:p w14:paraId="1C4DC880" w14:textId="77777777" w:rsidR="00861CB1" w:rsidRPr="003C7CB1" w:rsidRDefault="00861CB1" w:rsidP="00861CB1">
            <w:pPr>
              <w:spacing w:after="0" w:line="240" w:lineRule="auto"/>
              <w:rPr>
                <w:rFonts w:ascii="Calibri" w:eastAsia="Calibri" w:hAnsi="Calibri" w:cs="Calibri"/>
                <w:bCs/>
              </w:rPr>
            </w:pPr>
            <w:r w:rsidRPr="003C7CB1">
              <w:rPr>
                <w:rFonts w:ascii="Calibri" w:eastAsia="Calibri" w:hAnsi="Calibri" w:cs="Calibri"/>
                <w:bCs/>
              </w:rPr>
              <w:t xml:space="preserve">Implementation of activities on joining the relevant Ministry of Tourism in the GSTC </w:t>
            </w:r>
          </w:p>
        </w:tc>
        <w:tc>
          <w:tcPr>
            <w:tcW w:w="1843" w:type="dxa"/>
            <w:gridSpan w:val="3"/>
          </w:tcPr>
          <w:p w14:paraId="6F11A087"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MED / </w:t>
            </w:r>
          </w:p>
          <w:p w14:paraId="1248469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GSTC </w:t>
            </w:r>
          </w:p>
        </w:tc>
        <w:tc>
          <w:tcPr>
            <w:tcW w:w="1703" w:type="dxa"/>
          </w:tcPr>
          <w:p w14:paraId="79C7F55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II Q 2022 </w:t>
            </w:r>
          </w:p>
        </w:tc>
        <w:tc>
          <w:tcPr>
            <w:tcW w:w="1841" w:type="dxa"/>
          </w:tcPr>
          <w:p w14:paraId="071B6A6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Membership in the GSTC </w:t>
            </w:r>
          </w:p>
          <w:p w14:paraId="41CD2DE8" w14:textId="77777777" w:rsidR="00861CB1" w:rsidRPr="003C7CB1" w:rsidRDefault="00861CB1" w:rsidP="00861CB1">
            <w:pPr>
              <w:contextualSpacing/>
              <w:jc w:val="center"/>
              <w:rPr>
                <w:rFonts w:ascii="Calibri" w:eastAsia="Calibri" w:hAnsi="Calibri" w:cs="Calibri"/>
              </w:rPr>
            </w:pPr>
          </w:p>
          <w:p w14:paraId="7767043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Annual work report of MED </w:t>
            </w:r>
          </w:p>
        </w:tc>
        <w:tc>
          <w:tcPr>
            <w:tcW w:w="1494" w:type="dxa"/>
            <w:gridSpan w:val="2"/>
          </w:tcPr>
          <w:p w14:paraId="461A3B4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Membership fee in the amount of </w:t>
            </w:r>
            <w:r w:rsidRPr="003C7CB1">
              <w:rPr>
                <w:rFonts w:ascii="Calibri" w:eastAsia="Calibri" w:hAnsi="Calibri" w:cs="Calibri"/>
              </w:rPr>
              <w:lastRenderedPageBreak/>
              <w:t xml:space="preserve">3,100.00 (annually) </w:t>
            </w:r>
          </w:p>
          <w:p w14:paraId="7761DA27" w14:textId="77777777" w:rsidR="00861CB1" w:rsidRPr="003C7CB1" w:rsidRDefault="00861CB1" w:rsidP="00861CB1">
            <w:pPr>
              <w:contextualSpacing/>
              <w:jc w:val="center"/>
              <w:rPr>
                <w:rFonts w:ascii="Calibri" w:eastAsia="Calibri" w:hAnsi="Calibri" w:cs="Calibri"/>
              </w:rPr>
            </w:pPr>
          </w:p>
          <w:p w14:paraId="7FFAFA8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7888E649" w14:textId="77777777" w:rsidTr="00861CB1">
        <w:trPr>
          <w:trHeight w:val="628"/>
          <w:jc w:val="center"/>
        </w:trPr>
        <w:tc>
          <w:tcPr>
            <w:tcW w:w="5098" w:type="dxa"/>
            <w:gridSpan w:val="4"/>
            <w:shd w:val="clear" w:color="auto" w:fill="DEEAF6"/>
          </w:tcPr>
          <w:p w14:paraId="5C6F8D9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lastRenderedPageBreak/>
              <w:t xml:space="preserve">Total amount of funds for the implementation of the Operational goal 5: € 5,200.00   </w:t>
            </w:r>
          </w:p>
        </w:tc>
        <w:tc>
          <w:tcPr>
            <w:tcW w:w="8582" w:type="dxa"/>
            <w:gridSpan w:val="8"/>
            <w:shd w:val="clear" w:color="auto" w:fill="EDEDED"/>
            <w:vAlign w:val="center"/>
          </w:tcPr>
          <w:p w14:paraId="3E986C8B"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(current): € 5,200.00   </w:t>
            </w:r>
          </w:p>
        </w:tc>
      </w:tr>
      <w:tr w:rsidR="00861CB1" w:rsidRPr="003C7CB1" w14:paraId="4FA5B24D" w14:textId="77777777" w:rsidTr="00861CB1">
        <w:trPr>
          <w:jc w:val="center"/>
        </w:trPr>
        <w:tc>
          <w:tcPr>
            <w:tcW w:w="13680" w:type="dxa"/>
            <w:gridSpan w:val="12"/>
            <w:shd w:val="clear" w:color="auto" w:fill="FFFFFF"/>
          </w:tcPr>
          <w:p w14:paraId="63F69F2D" w14:textId="77777777" w:rsidR="00861CB1" w:rsidRDefault="00861CB1" w:rsidP="00861CB1">
            <w:pPr>
              <w:contextualSpacing/>
              <w:rPr>
                <w:rFonts w:ascii="Calibri" w:eastAsia="Calibri" w:hAnsi="Calibri" w:cs="Calibri"/>
              </w:rPr>
            </w:pPr>
          </w:p>
          <w:p w14:paraId="0E79C791" w14:textId="77777777" w:rsidR="00DD160F" w:rsidRDefault="00DD160F" w:rsidP="00861CB1">
            <w:pPr>
              <w:contextualSpacing/>
              <w:rPr>
                <w:rFonts w:ascii="Calibri" w:eastAsia="Calibri" w:hAnsi="Calibri" w:cs="Calibri"/>
              </w:rPr>
            </w:pPr>
          </w:p>
          <w:p w14:paraId="4F68963F" w14:textId="77777777" w:rsidR="00DD160F" w:rsidRDefault="00DD160F" w:rsidP="00861CB1">
            <w:pPr>
              <w:contextualSpacing/>
              <w:rPr>
                <w:rFonts w:ascii="Calibri" w:eastAsia="Calibri" w:hAnsi="Calibri" w:cs="Calibri"/>
              </w:rPr>
            </w:pPr>
          </w:p>
          <w:p w14:paraId="3D977C88" w14:textId="77777777" w:rsidR="00DD160F" w:rsidRDefault="00DD160F" w:rsidP="00861CB1">
            <w:pPr>
              <w:contextualSpacing/>
              <w:rPr>
                <w:rFonts w:ascii="Calibri" w:eastAsia="Calibri" w:hAnsi="Calibri" w:cs="Calibri"/>
              </w:rPr>
            </w:pPr>
          </w:p>
          <w:p w14:paraId="1C360440" w14:textId="77777777" w:rsidR="00DD160F" w:rsidRDefault="00DD160F" w:rsidP="00861CB1">
            <w:pPr>
              <w:contextualSpacing/>
              <w:rPr>
                <w:rFonts w:ascii="Calibri" w:eastAsia="Calibri" w:hAnsi="Calibri" w:cs="Calibri"/>
              </w:rPr>
            </w:pPr>
          </w:p>
          <w:p w14:paraId="4616262C" w14:textId="77777777" w:rsidR="00DD160F" w:rsidRDefault="00DD160F" w:rsidP="00861CB1">
            <w:pPr>
              <w:contextualSpacing/>
              <w:rPr>
                <w:rFonts w:ascii="Calibri" w:eastAsia="Calibri" w:hAnsi="Calibri" w:cs="Calibri"/>
              </w:rPr>
            </w:pPr>
          </w:p>
          <w:p w14:paraId="0E5AA000" w14:textId="77777777" w:rsidR="00DD160F" w:rsidRDefault="00DD160F" w:rsidP="00861CB1">
            <w:pPr>
              <w:contextualSpacing/>
              <w:rPr>
                <w:rFonts w:ascii="Calibri" w:eastAsia="Calibri" w:hAnsi="Calibri" w:cs="Calibri"/>
              </w:rPr>
            </w:pPr>
          </w:p>
          <w:p w14:paraId="618C9ED9" w14:textId="77777777" w:rsidR="00DD160F" w:rsidRDefault="00DD160F" w:rsidP="00861CB1">
            <w:pPr>
              <w:contextualSpacing/>
              <w:rPr>
                <w:rFonts w:ascii="Calibri" w:eastAsia="Calibri" w:hAnsi="Calibri" w:cs="Calibri"/>
              </w:rPr>
            </w:pPr>
          </w:p>
          <w:p w14:paraId="04416284" w14:textId="77777777" w:rsidR="00DD160F" w:rsidRDefault="00DD160F" w:rsidP="00861CB1">
            <w:pPr>
              <w:contextualSpacing/>
              <w:rPr>
                <w:rFonts w:ascii="Calibri" w:eastAsia="Calibri" w:hAnsi="Calibri" w:cs="Calibri"/>
              </w:rPr>
            </w:pPr>
          </w:p>
          <w:p w14:paraId="05265441" w14:textId="77777777" w:rsidR="00DD160F" w:rsidRDefault="00DD160F" w:rsidP="00861CB1">
            <w:pPr>
              <w:contextualSpacing/>
              <w:rPr>
                <w:rFonts w:ascii="Calibri" w:eastAsia="Calibri" w:hAnsi="Calibri" w:cs="Calibri"/>
              </w:rPr>
            </w:pPr>
          </w:p>
          <w:p w14:paraId="4A86801D" w14:textId="77777777" w:rsidR="00DD160F" w:rsidRDefault="00DD160F" w:rsidP="00861CB1">
            <w:pPr>
              <w:contextualSpacing/>
              <w:rPr>
                <w:rFonts w:ascii="Calibri" w:eastAsia="Calibri" w:hAnsi="Calibri" w:cs="Calibri"/>
              </w:rPr>
            </w:pPr>
          </w:p>
          <w:p w14:paraId="4D56E4C1" w14:textId="77777777" w:rsidR="00DD160F" w:rsidRDefault="00DD160F" w:rsidP="00861CB1">
            <w:pPr>
              <w:contextualSpacing/>
              <w:rPr>
                <w:rFonts w:ascii="Calibri" w:eastAsia="Calibri" w:hAnsi="Calibri" w:cs="Calibri"/>
              </w:rPr>
            </w:pPr>
          </w:p>
          <w:p w14:paraId="28FDADBE" w14:textId="77777777" w:rsidR="00DD160F" w:rsidRDefault="00DD160F" w:rsidP="00861CB1">
            <w:pPr>
              <w:contextualSpacing/>
              <w:rPr>
                <w:rFonts w:ascii="Calibri" w:eastAsia="Calibri" w:hAnsi="Calibri" w:cs="Calibri"/>
              </w:rPr>
            </w:pPr>
          </w:p>
          <w:p w14:paraId="267C0C5F" w14:textId="77777777" w:rsidR="00DD160F" w:rsidRDefault="00DD160F" w:rsidP="00861CB1">
            <w:pPr>
              <w:contextualSpacing/>
              <w:rPr>
                <w:rFonts w:ascii="Calibri" w:eastAsia="Calibri" w:hAnsi="Calibri" w:cs="Calibri"/>
              </w:rPr>
            </w:pPr>
          </w:p>
          <w:p w14:paraId="388B02F9" w14:textId="77777777" w:rsidR="00DD160F" w:rsidRDefault="00DD160F" w:rsidP="00861CB1">
            <w:pPr>
              <w:contextualSpacing/>
              <w:rPr>
                <w:rFonts w:ascii="Calibri" w:eastAsia="Calibri" w:hAnsi="Calibri" w:cs="Calibri"/>
              </w:rPr>
            </w:pPr>
          </w:p>
          <w:p w14:paraId="710116BA" w14:textId="77777777" w:rsidR="00DD160F" w:rsidRDefault="00DD160F" w:rsidP="00861CB1">
            <w:pPr>
              <w:contextualSpacing/>
              <w:rPr>
                <w:rFonts w:ascii="Calibri" w:eastAsia="Calibri" w:hAnsi="Calibri" w:cs="Calibri"/>
              </w:rPr>
            </w:pPr>
          </w:p>
          <w:p w14:paraId="7C217C12" w14:textId="77777777" w:rsidR="00DD160F" w:rsidRDefault="00DD160F" w:rsidP="00861CB1">
            <w:pPr>
              <w:contextualSpacing/>
              <w:rPr>
                <w:rFonts w:ascii="Calibri" w:eastAsia="Calibri" w:hAnsi="Calibri" w:cs="Calibri"/>
              </w:rPr>
            </w:pPr>
          </w:p>
          <w:p w14:paraId="73735AFB" w14:textId="77777777" w:rsidR="00DD160F" w:rsidRDefault="00DD160F" w:rsidP="00861CB1">
            <w:pPr>
              <w:contextualSpacing/>
              <w:rPr>
                <w:rFonts w:ascii="Calibri" w:eastAsia="Calibri" w:hAnsi="Calibri" w:cs="Calibri"/>
              </w:rPr>
            </w:pPr>
          </w:p>
          <w:p w14:paraId="7579F327" w14:textId="77777777" w:rsidR="00DD160F" w:rsidRDefault="00DD160F" w:rsidP="00861CB1">
            <w:pPr>
              <w:contextualSpacing/>
              <w:rPr>
                <w:rFonts w:ascii="Calibri" w:eastAsia="Calibri" w:hAnsi="Calibri" w:cs="Calibri"/>
              </w:rPr>
            </w:pPr>
          </w:p>
          <w:p w14:paraId="36F77DE6" w14:textId="2B7653CF" w:rsidR="00DD160F" w:rsidRPr="003C7CB1" w:rsidRDefault="00DD160F" w:rsidP="00861CB1">
            <w:pPr>
              <w:contextualSpacing/>
              <w:rPr>
                <w:rFonts w:ascii="Calibri" w:eastAsia="Calibri" w:hAnsi="Calibri" w:cs="Calibri"/>
              </w:rPr>
            </w:pPr>
          </w:p>
        </w:tc>
      </w:tr>
      <w:tr w:rsidR="00861CB1" w:rsidRPr="003C7CB1" w14:paraId="7FE5424D" w14:textId="77777777" w:rsidTr="00861CB1">
        <w:trPr>
          <w:jc w:val="center"/>
        </w:trPr>
        <w:tc>
          <w:tcPr>
            <w:tcW w:w="13680" w:type="dxa"/>
            <w:gridSpan w:val="12"/>
            <w:shd w:val="clear" w:color="auto" w:fill="BDD6EE"/>
          </w:tcPr>
          <w:p w14:paraId="22B61455" w14:textId="77777777" w:rsidR="00861CB1" w:rsidRPr="003C7CB1" w:rsidRDefault="00861CB1" w:rsidP="00861CB1">
            <w:pPr>
              <w:contextualSpacing/>
              <w:jc w:val="center"/>
              <w:rPr>
                <w:rFonts w:ascii="Calibri" w:eastAsia="Calibri" w:hAnsi="Calibri" w:cs="Calibri"/>
                <w:b/>
                <w:sz w:val="24"/>
                <w:szCs w:val="24"/>
              </w:rPr>
            </w:pPr>
          </w:p>
          <w:p w14:paraId="3E36CAFC"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rPr>
              <w:t xml:space="preserve">Operational goal </w:t>
            </w:r>
            <w:r w:rsidRPr="003C7CB1">
              <w:rPr>
                <w:rFonts w:ascii="Calibri" w:eastAsia="Calibri" w:hAnsi="Calibri" w:cs="Calibri"/>
                <w:b/>
                <w:sz w:val="24"/>
                <w:szCs w:val="24"/>
              </w:rPr>
              <w:t xml:space="preserve">6: Development of digital, innovative solutions and new technologies in tourism </w:t>
            </w:r>
          </w:p>
          <w:p w14:paraId="5715F1AC" w14:textId="77777777" w:rsidR="00861CB1" w:rsidRPr="003C7CB1" w:rsidRDefault="00861CB1" w:rsidP="00861CB1">
            <w:pPr>
              <w:contextualSpacing/>
              <w:jc w:val="center"/>
              <w:rPr>
                <w:rFonts w:ascii="Calibri" w:eastAsia="Calibri" w:hAnsi="Calibri" w:cs="Calibri"/>
                <w:b/>
                <w:sz w:val="24"/>
                <w:szCs w:val="24"/>
              </w:rPr>
            </w:pPr>
          </w:p>
        </w:tc>
      </w:tr>
      <w:tr w:rsidR="00861CB1" w:rsidRPr="003C7CB1" w14:paraId="29ABBB71" w14:textId="77777777" w:rsidTr="00861CB1">
        <w:trPr>
          <w:jc w:val="center"/>
        </w:trPr>
        <w:tc>
          <w:tcPr>
            <w:tcW w:w="3539" w:type="dxa"/>
            <w:gridSpan w:val="3"/>
            <w:shd w:val="clear" w:color="auto" w:fill="auto"/>
          </w:tcPr>
          <w:p w14:paraId="192D769E"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260" w:type="dxa"/>
            <w:gridSpan w:val="2"/>
            <w:shd w:val="clear" w:color="auto" w:fill="auto"/>
          </w:tcPr>
          <w:p w14:paraId="002C3B95"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Initial value for 2021 </w:t>
            </w:r>
          </w:p>
        </w:tc>
        <w:tc>
          <w:tcPr>
            <w:tcW w:w="3546" w:type="dxa"/>
            <w:gridSpan w:val="4"/>
            <w:shd w:val="clear" w:color="auto" w:fill="auto"/>
          </w:tcPr>
          <w:p w14:paraId="3BF66EBD"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2023 </w:t>
            </w:r>
          </w:p>
        </w:tc>
        <w:tc>
          <w:tcPr>
            <w:tcW w:w="3335" w:type="dxa"/>
            <w:gridSpan w:val="3"/>
            <w:shd w:val="clear" w:color="auto" w:fill="auto"/>
          </w:tcPr>
          <w:p w14:paraId="7803178F"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7785FE3A" w14:textId="77777777" w:rsidTr="00861CB1">
        <w:trPr>
          <w:jc w:val="center"/>
        </w:trPr>
        <w:tc>
          <w:tcPr>
            <w:tcW w:w="3539" w:type="dxa"/>
            <w:gridSpan w:val="3"/>
            <w:shd w:val="clear" w:color="auto" w:fill="auto"/>
          </w:tcPr>
          <w:p w14:paraId="3C42A682"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260" w:type="dxa"/>
            <w:gridSpan w:val="2"/>
            <w:shd w:val="clear" w:color="auto" w:fill="auto"/>
          </w:tcPr>
          <w:p w14:paraId="63FA9580" w14:textId="77777777" w:rsidR="00861CB1" w:rsidRPr="003C7CB1" w:rsidRDefault="00861CB1" w:rsidP="00861CB1">
            <w:pPr>
              <w:spacing w:after="0" w:line="240" w:lineRule="auto"/>
              <w:rPr>
                <w:rFonts w:ascii="Calibri" w:eastAsia="Calibri" w:hAnsi="Calibri" w:cs="Calibri"/>
              </w:rPr>
            </w:pPr>
          </w:p>
        </w:tc>
        <w:tc>
          <w:tcPr>
            <w:tcW w:w="3546" w:type="dxa"/>
            <w:gridSpan w:val="4"/>
            <w:shd w:val="clear" w:color="auto" w:fill="auto"/>
          </w:tcPr>
          <w:p w14:paraId="1F464C42"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 </w:t>
            </w:r>
          </w:p>
        </w:tc>
        <w:tc>
          <w:tcPr>
            <w:tcW w:w="3335" w:type="dxa"/>
            <w:gridSpan w:val="3"/>
            <w:shd w:val="clear" w:color="auto" w:fill="auto"/>
          </w:tcPr>
          <w:p w14:paraId="66E84402" w14:textId="77777777" w:rsidR="00861CB1" w:rsidRPr="003C7CB1" w:rsidRDefault="00861CB1" w:rsidP="00861CB1">
            <w:pPr>
              <w:spacing w:after="0" w:line="240" w:lineRule="auto"/>
              <w:rPr>
                <w:rFonts w:ascii="Calibri" w:eastAsia="Calibri" w:hAnsi="Calibri" w:cs="Calibri"/>
              </w:rPr>
            </w:pPr>
          </w:p>
        </w:tc>
      </w:tr>
      <w:tr w:rsidR="00861CB1" w:rsidRPr="003C7CB1" w14:paraId="551A90DB" w14:textId="77777777" w:rsidTr="00861CB1">
        <w:trPr>
          <w:trHeight w:val="507"/>
          <w:jc w:val="center"/>
        </w:trPr>
        <w:tc>
          <w:tcPr>
            <w:tcW w:w="3539" w:type="dxa"/>
            <w:gridSpan w:val="3"/>
            <w:shd w:val="clear" w:color="auto" w:fill="auto"/>
          </w:tcPr>
          <w:p w14:paraId="6A7700C9"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Number of implemented innovative / digital projects </w:t>
            </w:r>
          </w:p>
        </w:tc>
        <w:tc>
          <w:tcPr>
            <w:tcW w:w="3260" w:type="dxa"/>
            <w:gridSpan w:val="2"/>
            <w:shd w:val="clear" w:color="auto" w:fill="auto"/>
          </w:tcPr>
          <w:p w14:paraId="726619D3"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0 </w:t>
            </w:r>
          </w:p>
        </w:tc>
        <w:tc>
          <w:tcPr>
            <w:tcW w:w="3546" w:type="dxa"/>
            <w:gridSpan w:val="4"/>
            <w:shd w:val="clear" w:color="auto" w:fill="auto"/>
          </w:tcPr>
          <w:p w14:paraId="51F9A8B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3 </w:t>
            </w:r>
          </w:p>
        </w:tc>
        <w:tc>
          <w:tcPr>
            <w:tcW w:w="3335" w:type="dxa"/>
            <w:gridSpan w:val="3"/>
            <w:shd w:val="clear" w:color="auto" w:fill="auto"/>
          </w:tcPr>
          <w:p w14:paraId="71C95DA6"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5 </w:t>
            </w:r>
          </w:p>
        </w:tc>
      </w:tr>
      <w:tr w:rsidR="00861CB1" w:rsidRPr="003C7CB1" w14:paraId="2EB8064A" w14:textId="77777777" w:rsidTr="00861CB1">
        <w:trPr>
          <w:jc w:val="center"/>
        </w:trPr>
        <w:tc>
          <w:tcPr>
            <w:tcW w:w="2122" w:type="dxa"/>
            <w:shd w:val="clear" w:color="auto" w:fill="BDD6EE"/>
          </w:tcPr>
          <w:p w14:paraId="7733FC98"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Measure </w:t>
            </w:r>
          </w:p>
        </w:tc>
        <w:tc>
          <w:tcPr>
            <w:tcW w:w="4677" w:type="dxa"/>
            <w:gridSpan w:val="4"/>
            <w:shd w:val="clear" w:color="auto" w:fill="BDD6EE"/>
          </w:tcPr>
          <w:p w14:paraId="206E47A9"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Activity </w:t>
            </w:r>
          </w:p>
        </w:tc>
        <w:tc>
          <w:tcPr>
            <w:tcW w:w="1843" w:type="dxa"/>
            <w:gridSpan w:val="3"/>
            <w:shd w:val="clear" w:color="auto" w:fill="BDD6EE"/>
          </w:tcPr>
          <w:p w14:paraId="41BFDC5C"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Holder / Partners </w:t>
            </w:r>
          </w:p>
        </w:tc>
        <w:tc>
          <w:tcPr>
            <w:tcW w:w="1703" w:type="dxa"/>
            <w:shd w:val="clear" w:color="auto" w:fill="BDD6EE"/>
          </w:tcPr>
          <w:p w14:paraId="78759793"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Deadline </w:t>
            </w:r>
          </w:p>
        </w:tc>
        <w:tc>
          <w:tcPr>
            <w:tcW w:w="1841" w:type="dxa"/>
            <w:shd w:val="clear" w:color="auto" w:fill="BDD6EE"/>
          </w:tcPr>
          <w:p w14:paraId="5244E0A8"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rPr>
              <w:t xml:space="preserve">Indicator / verification source </w:t>
            </w:r>
          </w:p>
        </w:tc>
        <w:tc>
          <w:tcPr>
            <w:tcW w:w="1494" w:type="dxa"/>
            <w:gridSpan w:val="2"/>
            <w:shd w:val="clear" w:color="auto" w:fill="BDD6EE"/>
          </w:tcPr>
          <w:p w14:paraId="376B696B"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Funds (in €) / source </w:t>
            </w:r>
          </w:p>
        </w:tc>
      </w:tr>
      <w:tr w:rsidR="00861CB1" w:rsidRPr="003C7CB1" w14:paraId="150196B4" w14:textId="77777777" w:rsidTr="00861CB1">
        <w:trPr>
          <w:jc w:val="center"/>
        </w:trPr>
        <w:tc>
          <w:tcPr>
            <w:tcW w:w="2122" w:type="dxa"/>
            <w:vMerge w:val="restart"/>
            <w:shd w:val="clear" w:color="auto" w:fill="FFFFFF"/>
          </w:tcPr>
          <w:p w14:paraId="64D6053F" w14:textId="77777777" w:rsidR="00861CB1" w:rsidRPr="003C7CB1" w:rsidRDefault="00861CB1" w:rsidP="00861CB1">
            <w:pPr>
              <w:numPr>
                <w:ilvl w:val="1"/>
                <w:numId w:val="45"/>
              </w:numPr>
              <w:spacing w:after="0" w:line="240" w:lineRule="auto"/>
              <w:contextualSpacing/>
              <w:rPr>
                <w:rFonts w:ascii="Calibri" w:eastAsia="Calibri" w:hAnsi="Calibri" w:cs="Calibri"/>
                <w:b/>
              </w:rPr>
            </w:pPr>
            <w:r w:rsidRPr="003C7CB1">
              <w:rPr>
                <w:rFonts w:ascii="Calibri" w:eastAsia="Calibri" w:hAnsi="Calibri" w:cs="Calibri"/>
                <w:b/>
              </w:rPr>
              <w:t>Digital business transformation</w:t>
            </w:r>
          </w:p>
          <w:p w14:paraId="01941CDB" w14:textId="77777777" w:rsidR="00861CB1" w:rsidRPr="003C7CB1" w:rsidRDefault="00861CB1" w:rsidP="00861CB1">
            <w:pPr>
              <w:spacing w:after="0" w:line="240" w:lineRule="auto"/>
              <w:contextualSpacing/>
              <w:rPr>
                <w:rFonts w:ascii="Calibri" w:eastAsia="Calibri" w:hAnsi="Calibri" w:cs="Calibri"/>
                <w:b/>
              </w:rPr>
            </w:pPr>
            <w:r w:rsidRPr="003C7CB1">
              <w:rPr>
                <w:rFonts w:ascii="Calibri" w:eastAsia="Calibri" w:hAnsi="Calibri" w:cs="Calibri"/>
                <w:b/>
              </w:rPr>
              <w:t xml:space="preserve">in tourism </w:t>
            </w:r>
          </w:p>
        </w:tc>
        <w:tc>
          <w:tcPr>
            <w:tcW w:w="1366" w:type="dxa"/>
          </w:tcPr>
          <w:p w14:paraId="2A239E4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6.1.1 </w:t>
            </w:r>
          </w:p>
        </w:tc>
        <w:tc>
          <w:tcPr>
            <w:tcW w:w="3311" w:type="dxa"/>
            <w:gridSpan w:val="3"/>
          </w:tcPr>
          <w:p w14:paraId="337CD846" w14:textId="6915FDC2" w:rsidR="00861CB1" w:rsidRPr="003C7CB1" w:rsidRDefault="00861CB1" w:rsidP="00861CB1">
            <w:pPr>
              <w:contextualSpacing/>
              <w:rPr>
                <w:rFonts w:ascii="Calibri" w:eastAsia="Calibri" w:hAnsi="Calibri" w:cs="Calibri"/>
              </w:rPr>
            </w:pPr>
            <w:r w:rsidRPr="003C7CB1">
              <w:rPr>
                <w:rFonts w:ascii="Calibri" w:eastAsia="Calibri" w:hAnsi="Calibri" w:cs="Calibri"/>
              </w:rPr>
              <w:t>Development of an integrated information system with a mobile application that will connect all the necessary institutions and organizations whose data will contribute to the quality and accurate calculation of touris</w:t>
            </w:r>
            <w:r w:rsidR="009F5A67">
              <w:rPr>
                <w:rFonts w:ascii="Calibri" w:eastAsia="Calibri" w:hAnsi="Calibri" w:cs="Calibri"/>
              </w:rPr>
              <w:t>m turnover</w:t>
            </w:r>
            <w:r w:rsidRPr="003C7CB1">
              <w:rPr>
                <w:rFonts w:ascii="Calibri" w:eastAsia="Calibri" w:hAnsi="Calibri" w:cs="Calibri"/>
              </w:rPr>
              <w:t xml:space="preserve"> </w:t>
            </w:r>
          </w:p>
        </w:tc>
        <w:tc>
          <w:tcPr>
            <w:tcW w:w="1843" w:type="dxa"/>
            <w:gridSpan w:val="3"/>
          </w:tcPr>
          <w:p w14:paraId="5781D4C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 MUP</w:t>
            </w:r>
          </w:p>
          <w:p w14:paraId="2ACCA23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MFSW, MPADSM, MONSTAT, Directorate for Inspection Affairs, Revenue and Customs Administration, NTO </w:t>
            </w:r>
          </w:p>
        </w:tc>
        <w:tc>
          <w:tcPr>
            <w:tcW w:w="1703" w:type="dxa"/>
          </w:tcPr>
          <w:p w14:paraId="0778A1F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39EAC6E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Information system has been developed </w:t>
            </w:r>
          </w:p>
          <w:p w14:paraId="7EDDE9B4" w14:textId="77777777" w:rsidR="00861CB1" w:rsidRPr="003C7CB1" w:rsidRDefault="00861CB1" w:rsidP="00861CB1">
            <w:pPr>
              <w:contextualSpacing/>
              <w:jc w:val="center"/>
              <w:rPr>
                <w:rFonts w:ascii="Calibri" w:eastAsia="Calibri" w:hAnsi="Calibri" w:cs="Calibri"/>
              </w:rPr>
            </w:pPr>
          </w:p>
          <w:p w14:paraId="225B916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2DE615B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€ 400,000.00 </w:t>
            </w:r>
          </w:p>
          <w:p w14:paraId="6EDC5D54" w14:textId="77777777" w:rsidR="00861CB1" w:rsidRPr="003C7CB1" w:rsidRDefault="00861CB1" w:rsidP="00861CB1">
            <w:pPr>
              <w:contextualSpacing/>
              <w:jc w:val="center"/>
              <w:rPr>
                <w:rFonts w:ascii="Calibri" w:eastAsia="Calibri" w:hAnsi="Calibri" w:cs="Calibri"/>
              </w:rPr>
            </w:pPr>
          </w:p>
          <w:p w14:paraId="16F55AC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p w14:paraId="5DA83020" w14:textId="77777777" w:rsidR="00861CB1" w:rsidRPr="003C7CB1" w:rsidRDefault="00861CB1" w:rsidP="00861CB1">
            <w:pPr>
              <w:contextualSpacing/>
              <w:jc w:val="center"/>
              <w:rPr>
                <w:rFonts w:ascii="Calibri" w:eastAsia="Calibri" w:hAnsi="Calibri" w:cs="Calibri"/>
              </w:rPr>
            </w:pPr>
          </w:p>
          <w:p w14:paraId="184B1F6F" w14:textId="77777777" w:rsidR="00861CB1" w:rsidRPr="003C7CB1" w:rsidRDefault="00861CB1" w:rsidP="00861CB1">
            <w:pPr>
              <w:contextualSpacing/>
              <w:jc w:val="center"/>
              <w:rPr>
                <w:rFonts w:ascii="Calibri" w:eastAsia="Calibri" w:hAnsi="Calibri" w:cs="Calibri"/>
              </w:rPr>
            </w:pPr>
          </w:p>
        </w:tc>
      </w:tr>
      <w:tr w:rsidR="00861CB1" w:rsidRPr="003C7CB1" w14:paraId="74FB333E" w14:textId="77777777" w:rsidTr="00861CB1">
        <w:trPr>
          <w:trHeight w:val="1340"/>
          <w:jc w:val="center"/>
        </w:trPr>
        <w:tc>
          <w:tcPr>
            <w:tcW w:w="2122" w:type="dxa"/>
            <w:vMerge/>
            <w:shd w:val="clear" w:color="auto" w:fill="FFFFFF"/>
          </w:tcPr>
          <w:p w14:paraId="78FF45C3" w14:textId="77777777" w:rsidR="00861CB1" w:rsidRPr="003C7CB1" w:rsidRDefault="00861CB1" w:rsidP="00861CB1">
            <w:pPr>
              <w:contextualSpacing/>
              <w:jc w:val="both"/>
              <w:rPr>
                <w:rFonts w:ascii="Calibri" w:eastAsia="Calibri" w:hAnsi="Calibri" w:cs="Calibri"/>
              </w:rPr>
            </w:pPr>
          </w:p>
        </w:tc>
        <w:tc>
          <w:tcPr>
            <w:tcW w:w="1366" w:type="dxa"/>
          </w:tcPr>
          <w:p w14:paraId="742449E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6.1.2 </w:t>
            </w:r>
          </w:p>
        </w:tc>
        <w:tc>
          <w:tcPr>
            <w:tcW w:w="3311" w:type="dxa"/>
            <w:gridSpan w:val="3"/>
          </w:tcPr>
          <w:p w14:paraId="2F339A01"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the Go Digital Montenegro project - Digitization in tourism </w:t>
            </w:r>
          </w:p>
        </w:tc>
        <w:tc>
          <w:tcPr>
            <w:tcW w:w="1843" w:type="dxa"/>
            <w:gridSpan w:val="3"/>
          </w:tcPr>
          <w:p w14:paraId="69A7DAA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677CEF2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MPADSM </w:t>
            </w:r>
          </w:p>
        </w:tc>
        <w:tc>
          <w:tcPr>
            <w:tcW w:w="1703" w:type="dxa"/>
          </w:tcPr>
          <w:p w14:paraId="3EF03A0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20EF36F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Digital platform has been created </w:t>
            </w:r>
          </w:p>
          <w:p w14:paraId="141BCD4A" w14:textId="77777777" w:rsidR="00861CB1" w:rsidRPr="003C7CB1" w:rsidRDefault="00861CB1" w:rsidP="00861CB1">
            <w:pPr>
              <w:contextualSpacing/>
              <w:jc w:val="center"/>
              <w:rPr>
                <w:rFonts w:ascii="Calibri" w:eastAsia="Calibri" w:hAnsi="Calibri" w:cs="Calibri"/>
              </w:rPr>
            </w:pPr>
          </w:p>
          <w:p w14:paraId="099F4E8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and MPADSM </w:t>
            </w:r>
          </w:p>
        </w:tc>
        <w:tc>
          <w:tcPr>
            <w:tcW w:w="1494" w:type="dxa"/>
            <w:gridSpan w:val="2"/>
          </w:tcPr>
          <w:p w14:paraId="3F943ED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€ 200,000.00 </w:t>
            </w:r>
          </w:p>
          <w:p w14:paraId="353AFDD1" w14:textId="77777777" w:rsidR="00861CB1" w:rsidRPr="003C7CB1" w:rsidRDefault="00861CB1" w:rsidP="00861CB1">
            <w:pPr>
              <w:contextualSpacing/>
              <w:jc w:val="center"/>
              <w:rPr>
                <w:rFonts w:ascii="Calibri" w:eastAsia="Calibri" w:hAnsi="Calibri" w:cs="Calibri"/>
              </w:rPr>
            </w:pPr>
          </w:p>
          <w:p w14:paraId="33281A9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p w14:paraId="2491AACA" w14:textId="77777777" w:rsidR="00861CB1" w:rsidRPr="003C7CB1" w:rsidRDefault="00861CB1" w:rsidP="00861CB1">
            <w:pPr>
              <w:contextualSpacing/>
              <w:jc w:val="center"/>
              <w:rPr>
                <w:rFonts w:ascii="Calibri" w:eastAsia="Calibri" w:hAnsi="Calibri" w:cs="Calibri"/>
              </w:rPr>
            </w:pPr>
          </w:p>
          <w:p w14:paraId="0351D23D" w14:textId="77777777" w:rsidR="00861CB1" w:rsidRPr="003C7CB1" w:rsidRDefault="00861CB1" w:rsidP="00861CB1">
            <w:pPr>
              <w:contextualSpacing/>
              <w:jc w:val="center"/>
              <w:rPr>
                <w:rFonts w:ascii="Calibri" w:eastAsia="Calibri" w:hAnsi="Calibri" w:cs="Calibri"/>
              </w:rPr>
            </w:pPr>
          </w:p>
        </w:tc>
      </w:tr>
      <w:tr w:rsidR="00861CB1" w:rsidRPr="003C7CB1" w14:paraId="3B357932" w14:textId="77777777" w:rsidTr="00861CB1">
        <w:trPr>
          <w:jc w:val="center"/>
        </w:trPr>
        <w:tc>
          <w:tcPr>
            <w:tcW w:w="2122" w:type="dxa"/>
            <w:vMerge/>
            <w:shd w:val="clear" w:color="auto" w:fill="FFFFFF"/>
          </w:tcPr>
          <w:p w14:paraId="63E9BD7F" w14:textId="77777777" w:rsidR="00861CB1" w:rsidRPr="003C7CB1" w:rsidRDefault="00861CB1" w:rsidP="00861CB1">
            <w:pPr>
              <w:contextualSpacing/>
              <w:jc w:val="both"/>
              <w:rPr>
                <w:rFonts w:ascii="Calibri" w:eastAsia="Calibri" w:hAnsi="Calibri" w:cs="Calibri"/>
              </w:rPr>
            </w:pPr>
          </w:p>
        </w:tc>
        <w:tc>
          <w:tcPr>
            <w:tcW w:w="1366" w:type="dxa"/>
          </w:tcPr>
          <w:p w14:paraId="1917982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6.1.3</w:t>
            </w:r>
          </w:p>
        </w:tc>
        <w:tc>
          <w:tcPr>
            <w:tcW w:w="3311" w:type="dxa"/>
            <w:gridSpan w:val="3"/>
          </w:tcPr>
          <w:p w14:paraId="393553BB"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Development of software solutions for the purpose of </w:t>
            </w:r>
            <w:r w:rsidRPr="003C7CB1">
              <w:rPr>
                <w:rFonts w:ascii="Calibri" w:eastAsia="Calibri" w:hAnsi="Calibri" w:cs="Calibri"/>
              </w:rPr>
              <w:lastRenderedPageBreak/>
              <w:t xml:space="preserve">promotion and analysis for policy making in the field of tourism </w:t>
            </w:r>
          </w:p>
        </w:tc>
        <w:tc>
          <w:tcPr>
            <w:tcW w:w="1843" w:type="dxa"/>
            <w:gridSpan w:val="3"/>
          </w:tcPr>
          <w:p w14:paraId="4DDA09E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MED /</w:t>
            </w:r>
          </w:p>
          <w:p w14:paraId="40BB662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International partners </w:t>
            </w:r>
          </w:p>
        </w:tc>
        <w:tc>
          <w:tcPr>
            <w:tcW w:w="1703" w:type="dxa"/>
          </w:tcPr>
          <w:p w14:paraId="704B6BB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I Q - IV Q 2022 </w:t>
            </w:r>
          </w:p>
        </w:tc>
        <w:tc>
          <w:tcPr>
            <w:tcW w:w="1841" w:type="dxa"/>
          </w:tcPr>
          <w:p w14:paraId="187135F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Digital platform has been created </w:t>
            </w:r>
            <w:r w:rsidRPr="003C7CB1">
              <w:rPr>
                <w:rFonts w:ascii="Calibri" w:eastAsia="Calibri" w:hAnsi="Calibri" w:cs="Calibri"/>
              </w:rPr>
              <w:lastRenderedPageBreak/>
              <w:t xml:space="preserve">(Due Mari project) </w:t>
            </w:r>
          </w:p>
          <w:p w14:paraId="4A30D5FE" w14:textId="77777777" w:rsidR="00861CB1" w:rsidRPr="003C7CB1" w:rsidRDefault="00861CB1" w:rsidP="00861CB1">
            <w:pPr>
              <w:contextualSpacing/>
              <w:jc w:val="center"/>
              <w:rPr>
                <w:rFonts w:ascii="Calibri" w:eastAsia="Calibri" w:hAnsi="Calibri" w:cs="Calibri"/>
              </w:rPr>
            </w:pPr>
          </w:p>
          <w:p w14:paraId="4E8E5C1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4" w:type="dxa"/>
            <w:gridSpan w:val="2"/>
          </w:tcPr>
          <w:p w14:paraId="4670EBD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€ 30,000.00 </w:t>
            </w:r>
          </w:p>
          <w:p w14:paraId="7514D4D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Donor funding (IPA CBC Interreg Program Italy, Albania, Montenegro) </w:t>
            </w:r>
          </w:p>
        </w:tc>
      </w:tr>
      <w:tr w:rsidR="00861CB1" w:rsidRPr="003C7CB1" w14:paraId="287DBB08" w14:textId="77777777" w:rsidTr="00861CB1">
        <w:trPr>
          <w:trHeight w:val="308"/>
          <w:jc w:val="center"/>
        </w:trPr>
        <w:tc>
          <w:tcPr>
            <w:tcW w:w="5098" w:type="dxa"/>
            <w:gridSpan w:val="4"/>
            <w:vMerge w:val="restart"/>
            <w:shd w:val="clear" w:color="auto" w:fill="DEEAF6"/>
          </w:tcPr>
          <w:p w14:paraId="0D774537"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lastRenderedPageBreak/>
              <w:t xml:space="preserve">Total amount of funds for the implementation of the Operational goal 6: €  630,000.00 </w:t>
            </w:r>
          </w:p>
        </w:tc>
        <w:tc>
          <w:tcPr>
            <w:tcW w:w="8582" w:type="dxa"/>
            <w:gridSpan w:val="8"/>
            <w:shd w:val="clear" w:color="auto" w:fill="EDEDED"/>
          </w:tcPr>
          <w:p w14:paraId="33A6FE7C"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Budget of Montenegro (current): € 600,000.00 </w:t>
            </w:r>
          </w:p>
        </w:tc>
      </w:tr>
      <w:tr w:rsidR="00861CB1" w:rsidRPr="003C7CB1" w14:paraId="1F7DCCBD" w14:textId="77777777" w:rsidTr="00861CB1">
        <w:trPr>
          <w:trHeight w:val="307"/>
          <w:jc w:val="center"/>
        </w:trPr>
        <w:tc>
          <w:tcPr>
            <w:tcW w:w="5098" w:type="dxa"/>
            <w:gridSpan w:val="4"/>
            <w:vMerge/>
            <w:shd w:val="clear" w:color="auto" w:fill="DEEAF6"/>
          </w:tcPr>
          <w:p w14:paraId="7A7CEF87" w14:textId="77777777" w:rsidR="00861CB1" w:rsidRPr="003C7CB1" w:rsidRDefault="00861CB1" w:rsidP="00861CB1">
            <w:pPr>
              <w:contextualSpacing/>
              <w:jc w:val="center"/>
              <w:rPr>
                <w:rFonts w:ascii="Calibri" w:eastAsia="Calibri" w:hAnsi="Calibri" w:cs="Calibri"/>
                <w:b/>
              </w:rPr>
            </w:pPr>
          </w:p>
        </w:tc>
        <w:tc>
          <w:tcPr>
            <w:tcW w:w="8582" w:type="dxa"/>
            <w:gridSpan w:val="8"/>
            <w:shd w:val="clear" w:color="auto" w:fill="EDEDED"/>
          </w:tcPr>
          <w:p w14:paraId="25FE1524"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Donor / Credit funds (IDF, commercial banks): € 30,000.00 </w:t>
            </w:r>
          </w:p>
        </w:tc>
      </w:tr>
      <w:tr w:rsidR="00861CB1" w:rsidRPr="003C7CB1" w14:paraId="5EE4F760" w14:textId="77777777" w:rsidTr="00861CB1">
        <w:trPr>
          <w:trHeight w:val="307"/>
          <w:jc w:val="center"/>
        </w:trPr>
        <w:tc>
          <w:tcPr>
            <w:tcW w:w="13680" w:type="dxa"/>
            <w:gridSpan w:val="12"/>
            <w:shd w:val="clear" w:color="auto" w:fill="auto"/>
          </w:tcPr>
          <w:p w14:paraId="4F3E706D" w14:textId="77777777" w:rsidR="00861CB1" w:rsidRDefault="00861CB1" w:rsidP="00861CB1">
            <w:pPr>
              <w:tabs>
                <w:tab w:val="left" w:pos="12568"/>
              </w:tabs>
              <w:contextualSpacing/>
              <w:rPr>
                <w:rFonts w:ascii="Calibri" w:eastAsia="Calibri" w:hAnsi="Calibri" w:cs="Calibri"/>
                <w:b/>
              </w:rPr>
            </w:pPr>
            <w:r w:rsidRPr="003C7CB1">
              <w:rPr>
                <w:rFonts w:ascii="Calibri" w:eastAsia="Calibri" w:hAnsi="Calibri" w:cs="Calibri"/>
                <w:b/>
              </w:rPr>
              <w:t xml:space="preserve">                  </w:t>
            </w:r>
          </w:p>
          <w:p w14:paraId="2DDA15A8" w14:textId="77777777" w:rsidR="00DD160F" w:rsidRDefault="00DD160F" w:rsidP="00861CB1">
            <w:pPr>
              <w:tabs>
                <w:tab w:val="left" w:pos="12568"/>
              </w:tabs>
              <w:contextualSpacing/>
              <w:rPr>
                <w:rFonts w:ascii="Calibri" w:eastAsia="Calibri" w:hAnsi="Calibri" w:cs="Calibri"/>
                <w:b/>
              </w:rPr>
            </w:pPr>
          </w:p>
          <w:p w14:paraId="49AC4709" w14:textId="77777777" w:rsidR="00DD160F" w:rsidRDefault="00DD160F" w:rsidP="00861CB1">
            <w:pPr>
              <w:tabs>
                <w:tab w:val="left" w:pos="12568"/>
              </w:tabs>
              <w:contextualSpacing/>
              <w:rPr>
                <w:rFonts w:ascii="Calibri" w:eastAsia="Calibri" w:hAnsi="Calibri" w:cs="Calibri"/>
                <w:b/>
              </w:rPr>
            </w:pPr>
          </w:p>
          <w:p w14:paraId="0F124BF9" w14:textId="77777777" w:rsidR="00DD160F" w:rsidRDefault="00DD160F" w:rsidP="00861CB1">
            <w:pPr>
              <w:tabs>
                <w:tab w:val="left" w:pos="12568"/>
              </w:tabs>
              <w:contextualSpacing/>
              <w:rPr>
                <w:rFonts w:ascii="Calibri" w:eastAsia="Calibri" w:hAnsi="Calibri" w:cs="Calibri"/>
                <w:b/>
              </w:rPr>
            </w:pPr>
          </w:p>
          <w:p w14:paraId="358C50DC" w14:textId="77777777" w:rsidR="00DD160F" w:rsidRDefault="00DD160F" w:rsidP="00861CB1">
            <w:pPr>
              <w:tabs>
                <w:tab w:val="left" w:pos="12568"/>
              </w:tabs>
              <w:contextualSpacing/>
              <w:rPr>
                <w:rFonts w:ascii="Calibri" w:eastAsia="Calibri" w:hAnsi="Calibri" w:cs="Calibri"/>
                <w:b/>
              </w:rPr>
            </w:pPr>
          </w:p>
          <w:p w14:paraId="16277485" w14:textId="77777777" w:rsidR="00DD160F" w:rsidRDefault="00DD160F" w:rsidP="00861CB1">
            <w:pPr>
              <w:tabs>
                <w:tab w:val="left" w:pos="12568"/>
              </w:tabs>
              <w:contextualSpacing/>
              <w:rPr>
                <w:rFonts w:ascii="Calibri" w:eastAsia="Calibri" w:hAnsi="Calibri" w:cs="Calibri"/>
                <w:b/>
              </w:rPr>
            </w:pPr>
          </w:p>
          <w:p w14:paraId="61ABF5D8" w14:textId="77777777" w:rsidR="00DD160F" w:rsidRDefault="00DD160F" w:rsidP="00861CB1">
            <w:pPr>
              <w:tabs>
                <w:tab w:val="left" w:pos="12568"/>
              </w:tabs>
              <w:contextualSpacing/>
              <w:rPr>
                <w:rFonts w:ascii="Calibri" w:eastAsia="Calibri" w:hAnsi="Calibri" w:cs="Calibri"/>
                <w:b/>
              </w:rPr>
            </w:pPr>
          </w:p>
          <w:p w14:paraId="230D4E18" w14:textId="77777777" w:rsidR="00DD160F" w:rsidRDefault="00DD160F" w:rsidP="00861CB1">
            <w:pPr>
              <w:tabs>
                <w:tab w:val="left" w:pos="12568"/>
              </w:tabs>
              <w:contextualSpacing/>
              <w:rPr>
                <w:rFonts w:ascii="Calibri" w:eastAsia="Calibri" w:hAnsi="Calibri" w:cs="Calibri"/>
                <w:b/>
              </w:rPr>
            </w:pPr>
          </w:p>
          <w:p w14:paraId="6ACDCA98" w14:textId="77777777" w:rsidR="00DD160F" w:rsidRDefault="00DD160F" w:rsidP="00861CB1">
            <w:pPr>
              <w:tabs>
                <w:tab w:val="left" w:pos="12568"/>
              </w:tabs>
              <w:contextualSpacing/>
              <w:rPr>
                <w:rFonts w:ascii="Calibri" w:eastAsia="Calibri" w:hAnsi="Calibri" w:cs="Calibri"/>
                <w:b/>
              </w:rPr>
            </w:pPr>
          </w:p>
          <w:p w14:paraId="433FA9E1" w14:textId="77777777" w:rsidR="00DD160F" w:rsidRDefault="00DD160F" w:rsidP="00861CB1">
            <w:pPr>
              <w:tabs>
                <w:tab w:val="left" w:pos="12568"/>
              </w:tabs>
              <w:contextualSpacing/>
              <w:rPr>
                <w:rFonts w:ascii="Calibri" w:eastAsia="Calibri" w:hAnsi="Calibri" w:cs="Calibri"/>
                <w:b/>
              </w:rPr>
            </w:pPr>
          </w:p>
          <w:p w14:paraId="48F55632" w14:textId="77777777" w:rsidR="00DD160F" w:rsidRDefault="00DD160F" w:rsidP="00861CB1">
            <w:pPr>
              <w:tabs>
                <w:tab w:val="left" w:pos="12568"/>
              </w:tabs>
              <w:contextualSpacing/>
              <w:rPr>
                <w:rFonts w:ascii="Calibri" w:eastAsia="Calibri" w:hAnsi="Calibri" w:cs="Calibri"/>
                <w:b/>
              </w:rPr>
            </w:pPr>
          </w:p>
          <w:p w14:paraId="097CF797" w14:textId="77777777" w:rsidR="00DD160F" w:rsidRDefault="00DD160F" w:rsidP="00861CB1">
            <w:pPr>
              <w:tabs>
                <w:tab w:val="left" w:pos="12568"/>
              </w:tabs>
              <w:contextualSpacing/>
              <w:rPr>
                <w:rFonts w:ascii="Calibri" w:eastAsia="Calibri" w:hAnsi="Calibri" w:cs="Calibri"/>
                <w:b/>
              </w:rPr>
            </w:pPr>
          </w:p>
          <w:p w14:paraId="35782F30" w14:textId="77777777" w:rsidR="00DD160F" w:rsidRDefault="00DD160F" w:rsidP="00861CB1">
            <w:pPr>
              <w:tabs>
                <w:tab w:val="left" w:pos="12568"/>
              </w:tabs>
              <w:contextualSpacing/>
              <w:rPr>
                <w:rFonts w:ascii="Calibri" w:eastAsia="Calibri" w:hAnsi="Calibri" w:cs="Calibri"/>
                <w:b/>
              </w:rPr>
            </w:pPr>
          </w:p>
          <w:p w14:paraId="308A6D0E" w14:textId="77777777" w:rsidR="00DD160F" w:rsidRDefault="00DD160F" w:rsidP="00861CB1">
            <w:pPr>
              <w:tabs>
                <w:tab w:val="left" w:pos="12568"/>
              </w:tabs>
              <w:contextualSpacing/>
              <w:rPr>
                <w:rFonts w:ascii="Calibri" w:eastAsia="Calibri" w:hAnsi="Calibri" w:cs="Calibri"/>
                <w:b/>
              </w:rPr>
            </w:pPr>
          </w:p>
          <w:p w14:paraId="4762AF69" w14:textId="77777777" w:rsidR="00DD160F" w:rsidRDefault="00DD160F" w:rsidP="00861CB1">
            <w:pPr>
              <w:tabs>
                <w:tab w:val="left" w:pos="12568"/>
              </w:tabs>
              <w:contextualSpacing/>
              <w:rPr>
                <w:rFonts w:ascii="Calibri" w:eastAsia="Calibri" w:hAnsi="Calibri" w:cs="Calibri"/>
                <w:b/>
              </w:rPr>
            </w:pPr>
          </w:p>
          <w:p w14:paraId="2C0D9576" w14:textId="77777777" w:rsidR="00DD160F" w:rsidRDefault="00DD160F" w:rsidP="00861CB1">
            <w:pPr>
              <w:tabs>
                <w:tab w:val="left" w:pos="12568"/>
              </w:tabs>
              <w:contextualSpacing/>
              <w:rPr>
                <w:rFonts w:ascii="Calibri" w:eastAsia="Calibri" w:hAnsi="Calibri" w:cs="Calibri"/>
                <w:b/>
              </w:rPr>
            </w:pPr>
          </w:p>
          <w:p w14:paraId="4379B4B0" w14:textId="77777777" w:rsidR="00DD160F" w:rsidRDefault="00DD160F" w:rsidP="00861CB1">
            <w:pPr>
              <w:tabs>
                <w:tab w:val="left" w:pos="12568"/>
              </w:tabs>
              <w:contextualSpacing/>
              <w:rPr>
                <w:rFonts w:ascii="Calibri" w:eastAsia="Calibri" w:hAnsi="Calibri" w:cs="Calibri"/>
                <w:b/>
              </w:rPr>
            </w:pPr>
          </w:p>
          <w:p w14:paraId="38242D27" w14:textId="202B982D" w:rsidR="00DD160F" w:rsidRPr="003C7CB1" w:rsidRDefault="00DD160F" w:rsidP="00861CB1">
            <w:pPr>
              <w:tabs>
                <w:tab w:val="left" w:pos="12568"/>
              </w:tabs>
              <w:contextualSpacing/>
              <w:rPr>
                <w:rFonts w:ascii="Calibri" w:eastAsia="Calibri" w:hAnsi="Calibri" w:cs="Calibri"/>
                <w:b/>
              </w:rPr>
            </w:pPr>
          </w:p>
        </w:tc>
      </w:tr>
      <w:tr w:rsidR="00861CB1" w:rsidRPr="003C7CB1" w14:paraId="0963AEA8" w14:textId="77777777" w:rsidTr="00861CB1">
        <w:trPr>
          <w:jc w:val="center"/>
        </w:trPr>
        <w:tc>
          <w:tcPr>
            <w:tcW w:w="13680" w:type="dxa"/>
            <w:gridSpan w:val="12"/>
            <w:shd w:val="clear" w:color="auto" w:fill="BDD6EE"/>
          </w:tcPr>
          <w:p w14:paraId="10F2FF49" w14:textId="77777777" w:rsidR="00861CB1" w:rsidRPr="003C7CB1" w:rsidRDefault="00861CB1" w:rsidP="00861CB1">
            <w:pPr>
              <w:contextualSpacing/>
              <w:jc w:val="center"/>
              <w:rPr>
                <w:rFonts w:ascii="Calibri" w:eastAsia="Calibri" w:hAnsi="Calibri" w:cs="Calibri"/>
                <w:b/>
                <w:sz w:val="24"/>
                <w:szCs w:val="24"/>
              </w:rPr>
            </w:pPr>
          </w:p>
          <w:p w14:paraId="55384C17" w14:textId="77777777" w:rsidR="00861CB1" w:rsidRPr="003C7CB1" w:rsidRDefault="00861CB1" w:rsidP="00861CB1">
            <w:pPr>
              <w:contextualSpacing/>
              <w:jc w:val="center"/>
              <w:rPr>
                <w:rFonts w:ascii="Calibri" w:eastAsia="Calibri" w:hAnsi="Calibri" w:cs="Calibri"/>
                <w:b/>
                <w:sz w:val="24"/>
                <w:szCs w:val="24"/>
              </w:rPr>
            </w:pPr>
            <w:r w:rsidRPr="003C7CB1">
              <w:rPr>
                <w:rFonts w:ascii="Calibri" w:eastAsia="Calibri" w:hAnsi="Calibri" w:cs="Calibri"/>
                <w:b/>
                <w:sz w:val="24"/>
                <w:szCs w:val="24"/>
              </w:rPr>
              <w:t xml:space="preserve">Operational goal 7: Globally recognized tourist destination </w:t>
            </w:r>
          </w:p>
          <w:p w14:paraId="6BCBED83" w14:textId="77777777" w:rsidR="00861CB1" w:rsidRPr="003C7CB1" w:rsidRDefault="00861CB1" w:rsidP="00861CB1">
            <w:pPr>
              <w:contextualSpacing/>
              <w:jc w:val="center"/>
              <w:rPr>
                <w:rFonts w:ascii="Calibri" w:eastAsia="Calibri" w:hAnsi="Calibri" w:cs="Calibri"/>
                <w:b/>
                <w:sz w:val="24"/>
                <w:szCs w:val="24"/>
              </w:rPr>
            </w:pPr>
          </w:p>
        </w:tc>
      </w:tr>
      <w:tr w:rsidR="00861CB1" w:rsidRPr="003C7CB1" w14:paraId="02C17778" w14:textId="77777777" w:rsidTr="00861CB1">
        <w:trPr>
          <w:jc w:val="center"/>
        </w:trPr>
        <w:tc>
          <w:tcPr>
            <w:tcW w:w="3539" w:type="dxa"/>
            <w:gridSpan w:val="3"/>
            <w:shd w:val="clear" w:color="auto" w:fill="auto"/>
          </w:tcPr>
          <w:p w14:paraId="50302471"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w:t>
            </w:r>
          </w:p>
        </w:tc>
        <w:tc>
          <w:tcPr>
            <w:tcW w:w="3351" w:type="dxa"/>
            <w:gridSpan w:val="3"/>
            <w:shd w:val="clear" w:color="auto" w:fill="auto"/>
          </w:tcPr>
          <w:p w14:paraId="61F2F2D8"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Initial value for 2019</w:t>
            </w:r>
            <w:r w:rsidRPr="003C7CB1">
              <w:rPr>
                <w:rFonts w:ascii="Calibri" w:eastAsia="Calibri" w:hAnsi="Calibri" w:cs="Calibri"/>
                <w:b/>
                <w:vertAlign w:val="superscript"/>
              </w:rPr>
              <w:footnoteReference w:id="72"/>
            </w:r>
            <w:r w:rsidRPr="003C7CB1">
              <w:rPr>
                <w:rFonts w:ascii="Calibri" w:eastAsia="Calibri" w:hAnsi="Calibri" w:cs="Calibri"/>
                <w:b/>
              </w:rPr>
              <w:t xml:space="preserve"> </w:t>
            </w:r>
          </w:p>
        </w:tc>
        <w:tc>
          <w:tcPr>
            <w:tcW w:w="3455" w:type="dxa"/>
            <w:gridSpan w:val="3"/>
            <w:shd w:val="clear" w:color="auto" w:fill="auto"/>
          </w:tcPr>
          <w:p w14:paraId="405B229C"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2023 </w:t>
            </w:r>
          </w:p>
        </w:tc>
        <w:tc>
          <w:tcPr>
            <w:tcW w:w="3335" w:type="dxa"/>
            <w:gridSpan w:val="3"/>
            <w:shd w:val="clear" w:color="auto" w:fill="auto"/>
          </w:tcPr>
          <w:p w14:paraId="034B81DC" w14:textId="77777777" w:rsidR="00861CB1" w:rsidRPr="003C7CB1" w:rsidRDefault="00861CB1" w:rsidP="00861CB1">
            <w:pPr>
              <w:spacing w:after="0" w:line="240" w:lineRule="auto"/>
              <w:jc w:val="center"/>
              <w:rPr>
                <w:rFonts w:ascii="Calibri" w:eastAsia="Calibri" w:hAnsi="Calibri" w:cs="Calibri"/>
                <w:b/>
              </w:rPr>
            </w:pPr>
            <w:r w:rsidRPr="003C7CB1">
              <w:rPr>
                <w:rFonts w:ascii="Calibri" w:eastAsia="Calibri" w:hAnsi="Calibri" w:cs="Calibri"/>
                <w:b/>
              </w:rPr>
              <w:t xml:space="preserve">Target value for 2025 </w:t>
            </w:r>
          </w:p>
        </w:tc>
      </w:tr>
      <w:tr w:rsidR="00861CB1" w:rsidRPr="003C7CB1" w14:paraId="336147F6" w14:textId="77777777" w:rsidTr="00861CB1">
        <w:trPr>
          <w:jc w:val="center"/>
        </w:trPr>
        <w:tc>
          <w:tcPr>
            <w:tcW w:w="3539" w:type="dxa"/>
            <w:gridSpan w:val="3"/>
            <w:shd w:val="clear" w:color="auto" w:fill="auto"/>
          </w:tcPr>
          <w:p w14:paraId="5310DFF5" w14:textId="77777777" w:rsidR="00861CB1" w:rsidRPr="003C7CB1" w:rsidRDefault="00861CB1" w:rsidP="00861CB1">
            <w:pPr>
              <w:spacing w:after="0" w:line="240" w:lineRule="auto"/>
              <w:rPr>
                <w:rFonts w:ascii="Calibri" w:eastAsia="Calibri" w:hAnsi="Calibri" w:cs="Calibri"/>
                <w:b/>
                <w:i/>
              </w:rPr>
            </w:pPr>
            <w:r w:rsidRPr="003C7CB1">
              <w:rPr>
                <w:rFonts w:ascii="Calibri" w:eastAsia="Calibri" w:hAnsi="Calibri" w:cs="Calibri"/>
                <w:b/>
                <w:i/>
              </w:rPr>
              <w:t xml:space="preserve">Impact indicator 1: </w:t>
            </w:r>
          </w:p>
        </w:tc>
        <w:tc>
          <w:tcPr>
            <w:tcW w:w="3351" w:type="dxa"/>
            <w:gridSpan w:val="3"/>
            <w:shd w:val="clear" w:color="auto" w:fill="auto"/>
          </w:tcPr>
          <w:p w14:paraId="496C8EAB" w14:textId="77777777" w:rsidR="00861CB1" w:rsidRPr="003C7CB1" w:rsidRDefault="00861CB1" w:rsidP="00861CB1">
            <w:pPr>
              <w:spacing w:after="0" w:line="240" w:lineRule="auto"/>
              <w:rPr>
                <w:rFonts w:ascii="Calibri" w:eastAsia="Calibri" w:hAnsi="Calibri" w:cs="Calibri"/>
              </w:rPr>
            </w:pPr>
          </w:p>
        </w:tc>
        <w:tc>
          <w:tcPr>
            <w:tcW w:w="3455" w:type="dxa"/>
            <w:gridSpan w:val="3"/>
            <w:shd w:val="clear" w:color="auto" w:fill="auto"/>
          </w:tcPr>
          <w:p w14:paraId="64AA120E" w14:textId="77777777" w:rsidR="00861CB1" w:rsidRPr="003C7CB1" w:rsidRDefault="00861CB1" w:rsidP="00861CB1">
            <w:pPr>
              <w:spacing w:after="0" w:line="240" w:lineRule="auto"/>
              <w:rPr>
                <w:rFonts w:ascii="Calibri" w:eastAsia="Calibri" w:hAnsi="Calibri" w:cs="Calibri"/>
              </w:rPr>
            </w:pPr>
          </w:p>
        </w:tc>
        <w:tc>
          <w:tcPr>
            <w:tcW w:w="3335" w:type="dxa"/>
            <w:gridSpan w:val="3"/>
            <w:shd w:val="clear" w:color="auto" w:fill="auto"/>
          </w:tcPr>
          <w:p w14:paraId="6B839E6A" w14:textId="77777777" w:rsidR="00861CB1" w:rsidRPr="003C7CB1" w:rsidRDefault="00861CB1" w:rsidP="00861CB1">
            <w:pPr>
              <w:spacing w:after="0" w:line="240" w:lineRule="auto"/>
              <w:rPr>
                <w:rFonts w:ascii="Calibri" w:eastAsia="Calibri" w:hAnsi="Calibri" w:cs="Calibri"/>
              </w:rPr>
            </w:pPr>
          </w:p>
        </w:tc>
      </w:tr>
      <w:tr w:rsidR="00861CB1" w:rsidRPr="003C7CB1" w14:paraId="27255D34" w14:textId="77777777" w:rsidTr="00861CB1">
        <w:trPr>
          <w:jc w:val="center"/>
        </w:trPr>
        <w:tc>
          <w:tcPr>
            <w:tcW w:w="3539" w:type="dxa"/>
            <w:gridSpan w:val="3"/>
            <w:shd w:val="clear" w:color="auto" w:fill="auto"/>
          </w:tcPr>
          <w:p w14:paraId="36128128" w14:textId="77777777" w:rsidR="00861CB1" w:rsidRPr="003C7CB1" w:rsidRDefault="00861CB1" w:rsidP="00861CB1">
            <w:pPr>
              <w:spacing w:after="0" w:line="240" w:lineRule="auto"/>
              <w:rPr>
                <w:rFonts w:ascii="Calibri" w:eastAsia="Calibri" w:hAnsi="Calibri" w:cs="Calibri"/>
              </w:rPr>
            </w:pPr>
            <w:r w:rsidRPr="003C7CB1">
              <w:rPr>
                <w:rFonts w:ascii="Calibri" w:eastAsia="Calibri" w:hAnsi="Calibri" w:cs="Calibri"/>
              </w:rPr>
              <w:t xml:space="preserve">Increasing the number of tourist overnight stays from priority markets </w:t>
            </w:r>
          </w:p>
        </w:tc>
        <w:tc>
          <w:tcPr>
            <w:tcW w:w="3351" w:type="dxa"/>
            <w:gridSpan w:val="3"/>
            <w:shd w:val="clear" w:color="auto" w:fill="auto"/>
          </w:tcPr>
          <w:p w14:paraId="7EF1BEBC"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Data for priority markets (to be defined) from official statistics for 2019 </w:t>
            </w:r>
          </w:p>
        </w:tc>
        <w:tc>
          <w:tcPr>
            <w:tcW w:w="3455" w:type="dxa"/>
            <w:gridSpan w:val="3"/>
            <w:shd w:val="clear" w:color="auto" w:fill="auto"/>
          </w:tcPr>
          <w:p w14:paraId="1B2F1F05" w14:textId="77777777" w:rsidR="00861CB1" w:rsidRPr="003C7CB1" w:rsidRDefault="00861CB1" w:rsidP="00861CB1">
            <w:pPr>
              <w:spacing w:after="0" w:line="240" w:lineRule="auto"/>
              <w:jc w:val="center"/>
              <w:rPr>
                <w:rFonts w:ascii="Calibri" w:eastAsia="Calibri" w:hAnsi="Calibri" w:cs="Calibri"/>
              </w:rPr>
            </w:pPr>
          </w:p>
          <w:p w14:paraId="79C5CBDE"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+ 3%  </w:t>
            </w:r>
          </w:p>
        </w:tc>
        <w:tc>
          <w:tcPr>
            <w:tcW w:w="3335" w:type="dxa"/>
            <w:gridSpan w:val="3"/>
            <w:shd w:val="clear" w:color="auto" w:fill="auto"/>
          </w:tcPr>
          <w:p w14:paraId="342B07AC" w14:textId="77777777" w:rsidR="00861CB1" w:rsidRPr="003C7CB1" w:rsidRDefault="00861CB1" w:rsidP="00861CB1">
            <w:pPr>
              <w:spacing w:after="0" w:line="240" w:lineRule="auto"/>
              <w:jc w:val="center"/>
              <w:rPr>
                <w:rFonts w:ascii="Calibri" w:eastAsia="Calibri" w:hAnsi="Calibri" w:cs="Calibri"/>
              </w:rPr>
            </w:pPr>
          </w:p>
          <w:p w14:paraId="71D22D6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+ 5% </w:t>
            </w:r>
          </w:p>
        </w:tc>
      </w:tr>
      <w:tr w:rsidR="00861CB1" w:rsidRPr="003C7CB1" w14:paraId="14F3AE46" w14:textId="77777777" w:rsidTr="00861CB1">
        <w:trPr>
          <w:jc w:val="center"/>
        </w:trPr>
        <w:tc>
          <w:tcPr>
            <w:tcW w:w="2122" w:type="dxa"/>
            <w:shd w:val="clear" w:color="auto" w:fill="BDD6EE"/>
          </w:tcPr>
          <w:p w14:paraId="5F756D21"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Measure </w:t>
            </w:r>
          </w:p>
        </w:tc>
        <w:tc>
          <w:tcPr>
            <w:tcW w:w="4768" w:type="dxa"/>
            <w:gridSpan w:val="5"/>
            <w:shd w:val="clear" w:color="auto" w:fill="BDD6EE"/>
          </w:tcPr>
          <w:p w14:paraId="36E871A4"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Activity </w:t>
            </w:r>
          </w:p>
        </w:tc>
        <w:tc>
          <w:tcPr>
            <w:tcW w:w="1752" w:type="dxa"/>
            <w:gridSpan w:val="2"/>
            <w:shd w:val="clear" w:color="auto" w:fill="BDD6EE"/>
          </w:tcPr>
          <w:p w14:paraId="0E5C7493"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Holder / partners </w:t>
            </w:r>
          </w:p>
        </w:tc>
        <w:tc>
          <w:tcPr>
            <w:tcW w:w="1703" w:type="dxa"/>
            <w:shd w:val="clear" w:color="auto" w:fill="BDD6EE"/>
          </w:tcPr>
          <w:p w14:paraId="0BF0F6A2"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Deadline </w:t>
            </w:r>
          </w:p>
        </w:tc>
        <w:tc>
          <w:tcPr>
            <w:tcW w:w="1841" w:type="dxa"/>
            <w:shd w:val="clear" w:color="auto" w:fill="BDD6EE"/>
          </w:tcPr>
          <w:p w14:paraId="3632666A"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Indicator / verification source </w:t>
            </w:r>
          </w:p>
        </w:tc>
        <w:tc>
          <w:tcPr>
            <w:tcW w:w="1494" w:type="dxa"/>
            <w:gridSpan w:val="2"/>
            <w:shd w:val="clear" w:color="auto" w:fill="BDD6EE"/>
          </w:tcPr>
          <w:p w14:paraId="468FC7E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Funds (in €) / source </w:t>
            </w:r>
          </w:p>
        </w:tc>
      </w:tr>
      <w:tr w:rsidR="00861CB1" w:rsidRPr="003C7CB1" w14:paraId="38AB6E00" w14:textId="77777777" w:rsidTr="00861CB1">
        <w:trPr>
          <w:jc w:val="center"/>
        </w:trPr>
        <w:tc>
          <w:tcPr>
            <w:tcW w:w="2122" w:type="dxa"/>
            <w:vMerge w:val="restart"/>
          </w:tcPr>
          <w:p w14:paraId="63717B5C"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
                <w:bCs/>
              </w:rPr>
              <w:t xml:space="preserve">7.1 Improving the positioning of the destination on the international market </w:t>
            </w:r>
          </w:p>
        </w:tc>
        <w:tc>
          <w:tcPr>
            <w:tcW w:w="1417" w:type="dxa"/>
            <w:gridSpan w:val="2"/>
          </w:tcPr>
          <w:p w14:paraId="139660A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7.1.1 </w:t>
            </w:r>
          </w:p>
        </w:tc>
        <w:tc>
          <w:tcPr>
            <w:tcW w:w="3351" w:type="dxa"/>
            <w:gridSpan w:val="3"/>
          </w:tcPr>
          <w:p w14:paraId="0B068D2F"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Improving destination management and establishing an inter-ministerial working group </w:t>
            </w:r>
          </w:p>
        </w:tc>
        <w:tc>
          <w:tcPr>
            <w:tcW w:w="1752" w:type="dxa"/>
            <w:gridSpan w:val="2"/>
          </w:tcPr>
          <w:p w14:paraId="1563057D" w14:textId="77777777" w:rsidR="00861CB1" w:rsidRPr="003C7CB1" w:rsidRDefault="00861CB1" w:rsidP="00861CB1">
            <w:pPr>
              <w:contextualSpacing/>
              <w:jc w:val="center"/>
              <w:rPr>
                <w:rFonts w:ascii="Calibri" w:eastAsia="Calibri" w:hAnsi="Calibri" w:cs="Calibri"/>
              </w:rPr>
            </w:pPr>
          </w:p>
          <w:p w14:paraId="12D655D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NTO/</w:t>
            </w:r>
          </w:p>
          <w:p w14:paraId="43A7F33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Inter-ministerial WG, LTO, private sector </w:t>
            </w:r>
          </w:p>
        </w:tc>
        <w:tc>
          <w:tcPr>
            <w:tcW w:w="1703" w:type="dxa"/>
          </w:tcPr>
          <w:p w14:paraId="1D2B7F1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28B69E7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Inter-ministerial working group has been established </w:t>
            </w:r>
          </w:p>
          <w:p w14:paraId="00E94B24" w14:textId="77777777" w:rsidR="00861CB1" w:rsidRPr="003C7CB1" w:rsidRDefault="00861CB1" w:rsidP="00861CB1">
            <w:pPr>
              <w:contextualSpacing/>
              <w:jc w:val="center"/>
              <w:rPr>
                <w:rFonts w:ascii="Calibri" w:eastAsia="Calibri" w:hAnsi="Calibri" w:cs="Calibri"/>
              </w:rPr>
            </w:pPr>
          </w:p>
          <w:p w14:paraId="10F461B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4" w:type="dxa"/>
            <w:gridSpan w:val="2"/>
          </w:tcPr>
          <w:p w14:paraId="0A56A2A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5F302015" w14:textId="77777777" w:rsidTr="00861CB1">
        <w:trPr>
          <w:jc w:val="center"/>
        </w:trPr>
        <w:tc>
          <w:tcPr>
            <w:tcW w:w="2122" w:type="dxa"/>
            <w:vMerge/>
          </w:tcPr>
          <w:p w14:paraId="23A7B91A" w14:textId="77777777" w:rsidR="00861CB1" w:rsidRPr="003C7CB1" w:rsidRDefault="00861CB1" w:rsidP="00861CB1">
            <w:pPr>
              <w:contextualSpacing/>
              <w:rPr>
                <w:rFonts w:ascii="Calibri" w:eastAsia="Calibri" w:hAnsi="Calibri" w:cs="Calibri"/>
                <w:b/>
                <w:bCs/>
              </w:rPr>
            </w:pPr>
          </w:p>
        </w:tc>
        <w:tc>
          <w:tcPr>
            <w:tcW w:w="1417" w:type="dxa"/>
            <w:gridSpan w:val="2"/>
          </w:tcPr>
          <w:p w14:paraId="7474D3F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7.1.2 </w:t>
            </w:r>
          </w:p>
        </w:tc>
        <w:tc>
          <w:tcPr>
            <w:tcW w:w="3351" w:type="dxa"/>
            <w:gridSpan w:val="3"/>
          </w:tcPr>
          <w:p w14:paraId="40F57DEE"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Defining priority markets, preparing and implementing promotion programs </w:t>
            </w:r>
          </w:p>
        </w:tc>
        <w:tc>
          <w:tcPr>
            <w:tcW w:w="1752" w:type="dxa"/>
            <w:gridSpan w:val="2"/>
          </w:tcPr>
          <w:p w14:paraId="24ECF86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NTO</w:t>
            </w:r>
          </w:p>
          <w:p w14:paraId="3201E18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private sector, LTO </w:t>
            </w:r>
          </w:p>
        </w:tc>
        <w:tc>
          <w:tcPr>
            <w:tcW w:w="1703" w:type="dxa"/>
          </w:tcPr>
          <w:p w14:paraId="0D34EF2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42C7641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for different markets has been adopted and implemented </w:t>
            </w:r>
          </w:p>
          <w:p w14:paraId="7658882B" w14:textId="77777777" w:rsidR="00861CB1" w:rsidRPr="003C7CB1" w:rsidRDefault="00861CB1" w:rsidP="00861CB1">
            <w:pPr>
              <w:contextualSpacing/>
              <w:jc w:val="center"/>
              <w:rPr>
                <w:rFonts w:ascii="Calibri" w:eastAsia="Calibri" w:hAnsi="Calibri" w:cs="Calibri"/>
              </w:rPr>
            </w:pPr>
          </w:p>
          <w:p w14:paraId="3D6CDF7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NTO </w:t>
            </w:r>
          </w:p>
        </w:tc>
        <w:tc>
          <w:tcPr>
            <w:tcW w:w="1494" w:type="dxa"/>
            <w:gridSpan w:val="2"/>
          </w:tcPr>
          <w:p w14:paraId="14C4DBC7" w14:textId="77777777" w:rsidR="00861CB1" w:rsidRPr="003C7CB1" w:rsidRDefault="00861CB1" w:rsidP="00861CB1">
            <w:pPr>
              <w:contextualSpacing/>
              <w:jc w:val="center"/>
              <w:rPr>
                <w:rFonts w:ascii="Calibri" w:eastAsia="Calibri" w:hAnsi="Calibri" w:cs="Calibri"/>
                <w:highlight w:val="yellow"/>
              </w:rPr>
            </w:pPr>
            <w:r w:rsidRPr="003C7CB1">
              <w:rPr>
                <w:rFonts w:ascii="Calibri" w:eastAsia="Calibri" w:hAnsi="Calibri" w:cs="Calibri"/>
              </w:rPr>
              <w:lastRenderedPageBreak/>
              <w:t xml:space="preserve">Budget of the competent institution </w:t>
            </w:r>
          </w:p>
        </w:tc>
      </w:tr>
      <w:tr w:rsidR="00861CB1" w:rsidRPr="003C7CB1" w14:paraId="1FE6D67F" w14:textId="77777777" w:rsidTr="00861CB1">
        <w:trPr>
          <w:jc w:val="center"/>
        </w:trPr>
        <w:tc>
          <w:tcPr>
            <w:tcW w:w="2122" w:type="dxa"/>
            <w:vMerge/>
          </w:tcPr>
          <w:p w14:paraId="544BA7B6" w14:textId="77777777" w:rsidR="00861CB1" w:rsidRPr="003C7CB1" w:rsidRDefault="00861CB1" w:rsidP="00861CB1">
            <w:pPr>
              <w:contextualSpacing/>
              <w:rPr>
                <w:rFonts w:ascii="Calibri" w:eastAsia="Calibri" w:hAnsi="Calibri" w:cs="Calibri"/>
                <w:b/>
                <w:bCs/>
              </w:rPr>
            </w:pPr>
          </w:p>
        </w:tc>
        <w:tc>
          <w:tcPr>
            <w:tcW w:w="1417" w:type="dxa"/>
            <w:gridSpan w:val="2"/>
          </w:tcPr>
          <w:p w14:paraId="756DC20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7.1.3 </w:t>
            </w:r>
          </w:p>
        </w:tc>
        <w:tc>
          <w:tcPr>
            <w:tcW w:w="3351" w:type="dxa"/>
            <w:gridSpan w:val="3"/>
          </w:tcPr>
          <w:p w14:paraId="0EB9DA12"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Establishing a new destination management model (Destination Management) </w:t>
            </w:r>
          </w:p>
        </w:tc>
        <w:tc>
          <w:tcPr>
            <w:tcW w:w="1752" w:type="dxa"/>
            <w:gridSpan w:val="2"/>
          </w:tcPr>
          <w:p w14:paraId="0AEF8F5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NTO</w:t>
            </w:r>
          </w:p>
          <w:p w14:paraId="235A322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5641E0B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LTO, local government, tourism industry </w:t>
            </w:r>
          </w:p>
        </w:tc>
        <w:tc>
          <w:tcPr>
            <w:tcW w:w="1703" w:type="dxa"/>
          </w:tcPr>
          <w:p w14:paraId="3855FC2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55B76F29" w14:textId="77777777" w:rsidR="00861CB1" w:rsidRPr="003C7CB1" w:rsidRDefault="00861CB1" w:rsidP="00861CB1">
            <w:pPr>
              <w:contextualSpacing/>
              <w:jc w:val="center"/>
              <w:rPr>
                <w:rFonts w:ascii="Calibri" w:eastAsia="Calibri" w:hAnsi="Calibri" w:cs="Calibri"/>
              </w:rPr>
            </w:pPr>
          </w:p>
          <w:p w14:paraId="79304F8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 multi-year project whose implementation continues after 2022 and will be the subject of the next AP Strategy </w:t>
            </w:r>
          </w:p>
        </w:tc>
        <w:tc>
          <w:tcPr>
            <w:tcW w:w="1841" w:type="dxa"/>
          </w:tcPr>
          <w:p w14:paraId="4D690EB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Destination management model has been established</w:t>
            </w:r>
          </w:p>
          <w:p w14:paraId="526686BA" w14:textId="77777777" w:rsidR="00861CB1" w:rsidRPr="003C7CB1" w:rsidRDefault="00861CB1" w:rsidP="00861CB1">
            <w:pPr>
              <w:contextualSpacing/>
              <w:jc w:val="center"/>
              <w:rPr>
                <w:rFonts w:ascii="Calibri" w:eastAsia="Calibri" w:hAnsi="Calibri" w:cs="Calibri"/>
              </w:rPr>
            </w:pPr>
          </w:p>
          <w:p w14:paraId="424B7E4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NTO </w:t>
            </w:r>
          </w:p>
        </w:tc>
        <w:tc>
          <w:tcPr>
            <w:tcW w:w="1494" w:type="dxa"/>
            <w:gridSpan w:val="2"/>
          </w:tcPr>
          <w:p w14:paraId="6537B15F" w14:textId="77777777" w:rsidR="00861CB1" w:rsidRPr="003C7CB1" w:rsidRDefault="00861CB1" w:rsidP="00861CB1">
            <w:pPr>
              <w:contextualSpacing/>
              <w:jc w:val="center"/>
              <w:rPr>
                <w:rFonts w:ascii="Calibri" w:eastAsia="Calibri" w:hAnsi="Calibri" w:cs="Calibri"/>
              </w:rPr>
            </w:pPr>
          </w:p>
          <w:p w14:paraId="249C6BF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0FEB1AD3" w14:textId="77777777" w:rsidTr="00861CB1">
        <w:trPr>
          <w:jc w:val="center"/>
        </w:trPr>
        <w:tc>
          <w:tcPr>
            <w:tcW w:w="2122" w:type="dxa"/>
            <w:vMerge/>
          </w:tcPr>
          <w:p w14:paraId="75BF91F6" w14:textId="77777777" w:rsidR="00861CB1" w:rsidRPr="003C7CB1" w:rsidRDefault="00861CB1" w:rsidP="00861CB1">
            <w:pPr>
              <w:contextualSpacing/>
              <w:rPr>
                <w:rFonts w:ascii="Calibri" w:eastAsia="Calibri" w:hAnsi="Calibri" w:cs="Calibri"/>
                <w:b/>
                <w:bCs/>
              </w:rPr>
            </w:pPr>
          </w:p>
        </w:tc>
        <w:tc>
          <w:tcPr>
            <w:tcW w:w="1417" w:type="dxa"/>
            <w:gridSpan w:val="2"/>
          </w:tcPr>
          <w:p w14:paraId="514F83A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7.1.4 </w:t>
            </w:r>
          </w:p>
        </w:tc>
        <w:tc>
          <w:tcPr>
            <w:tcW w:w="3351" w:type="dxa"/>
            <w:gridSpan w:val="3"/>
          </w:tcPr>
          <w:p w14:paraId="727B60AE" w14:textId="77777777" w:rsidR="00861CB1" w:rsidRPr="003C7CB1" w:rsidRDefault="00861CB1" w:rsidP="00861CB1">
            <w:pPr>
              <w:spacing w:after="0" w:line="240" w:lineRule="auto"/>
              <w:contextualSpacing/>
              <w:rPr>
                <w:rFonts w:ascii="Calibri" w:eastAsia="Calibri" w:hAnsi="Calibri" w:cs="Calibri"/>
              </w:rPr>
            </w:pPr>
            <w:r w:rsidRPr="003C7CB1">
              <w:rPr>
                <w:rFonts w:ascii="Calibri" w:eastAsia="Calibri" w:hAnsi="Calibri" w:cs="Calibri"/>
              </w:rPr>
              <w:t>Defining a new framework for destination management partnerships</w:t>
            </w:r>
          </w:p>
          <w:p w14:paraId="0238F571" w14:textId="77777777" w:rsidR="00861CB1" w:rsidRPr="003C7CB1" w:rsidRDefault="00861CB1" w:rsidP="00861CB1">
            <w:pPr>
              <w:numPr>
                <w:ilvl w:val="0"/>
                <w:numId w:val="44"/>
              </w:numPr>
              <w:spacing w:after="0" w:line="240" w:lineRule="auto"/>
              <w:contextualSpacing/>
              <w:rPr>
                <w:rFonts w:ascii="Calibri" w:eastAsia="Calibri" w:hAnsi="Calibri" w:cs="Calibri"/>
              </w:rPr>
            </w:pPr>
            <w:r w:rsidRPr="003C7CB1">
              <w:rPr>
                <w:rFonts w:ascii="Calibri" w:eastAsia="Calibri" w:hAnsi="Calibri" w:cs="Calibri"/>
              </w:rPr>
              <w:t xml:space="preserve">Networking (creating partnerships) at national and local level </w:t>
            </w:r>
          </w:p>
        </w:tc>
        <w:tc>
          <w:tcPr>
            <w:tcW w:w="1752" w:type="dxa"/>
            <w:gridSpan w:val="2"/>
          </w:tcPr>
          <w:p w14:paraId="5E2C97D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NTO, LTO, local government /</w:t>
            </w:r>
          </w:p>
          <w:p w14:paraId="6FC9D7E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tourism industry</w:t>
            </w:r>
          </w:p>
        </w:tc>
        <w:tc>
          <w:tcPr>
            <w:tcW w:w="1703" w:type="dxa"/>
          </w:tcPr>
          <w:p w14:paraId="2D6C2CE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tc>
        <w:tc>
          <w:tcPr>
            <w:tcW w:w="1841" w:type="dxa"/>
          </w:tcPr>
          <w:p w14:paraId="2A047DE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 new framework for destination management partnerships has been defined </w:t>
            </w:r>
          </w:p>
          <w:p w14:paraId="095EDFC9" w14:textId="77777777" w:rsidR="00861CB1" w:rsidRPr="003C7CB1" w:rsidRDefault="00861CB1" w:rsidP="00861CB1">
            <w:pPr>
              <w:contextualSpacing/>
              <w:jc w:val="center"/>
              <w:rPr>
                <w:rFonts w:ascii="Calibri" w:eastAsia="Calibri" w:hAnsi="Calibri" w:cs="Calibri"/>
              </w:rPr>
            </w:pPr>
          </w:p>
          <w:p w14:paraId="17BBE5D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5 Acts on cooperation </w:t>
            </w:r>
          </w:p>
          <w:p w14:paraId="1E6CDE9E" w14:textId="77777777" w:rsidR="00861CB1" w:rsidRPr="003C7CB1" w:rsidRDefault="00861CB1" w:rsidP="00861CB1">
            <w:pPr>
              <w:contextualSpacing/>
              <w:jc w:val="center"/>
              <w:rPr>
                <w:rFonts w:ascii="Calibri" w:eastAsia="Calibri" w:hAnsi="Calibri" w:cs="Calibri"/>
              </w:rPr>
            </w:pPr>
          </w:p>
          <w:p w14:paraId="51A51CC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NTO </w:t>
            </w:r>
          </w:p>
        </w:tc>
        <w:tc>
          <w:tcPr>
            <w:tcW w:w="1494" w:type="dxa"/>
            <w:gridSpan w:val="2"/>
          </w:tcPr>
          <w:p w14:paraId="464CEB4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No financial resources are required </w:t>
            </w:r>
          </w:p>
        </w:tc>
      </w:tr>
      <w:tr w:rsidR="00861CB1" w:rsidRPr="003C7CB1" w14:paraId="1803C21A" w14:textId="77777777" w:rsidTr="00861CB1">
        <w:trPr>
          <w:jc w:val="center"/>
        </w:trPr>
        <w:tc>
          <w:tcPr>
            <w:tcW w:w="2122" w:type="dxa"/>
          </w:tcPr>
          <w:p w14:paraId="4970D92F" w14:textId="77777777" w:rsidR="00861CB1" w:rsidRPr="003C7CB1" w:rsidRDefault="00861CB1" w:rsidP="00861CB1">
            <w:pPr>
              <w:contextualSpacing/>
              <w:rPr>
                <w:rFonts w:ascii="Calibri" w:eastAsia="Calibri" w:hAnsi="Calibri" w:cs="Calibri"/>
                <w:b/>
                <w:bCs/>
              </w:rPr>
            </w:pPr>
            <w:r w:rsidRPr="003C7CB1">
              <w:rPr>
                <w:rFonts w:ascii="Calibri" w:eastAsia="Calibri" w:hAnsi="Calibri" w:cs="Calibri"/>
                <w:b/>
                <w:bCs/>
              </w:rPr>
              <w:t xml:space="preserve">  </w:t>
            </w:r>
          </w:p>
        </w:tc>
        <w:tc>
          <w:tcPr>
            <w:tcW w:w="1417" w:type="dxa"/>
            <w:gridSpan w:val="2"/>
          </w:tcPr>
          <w:p w14:paraId="0948B35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7.1.5 </w:t>
            </w:r>
          </w:p>
        </w:tc>
        <w:tc>
          <w:tcPr>
            <w:tcW w:w="3351" w:type="dxa"/>
            <w:gridSpan w:val="3"/>
          </w:tcPr>
          <w:p w14:paraId="4514230F"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Development of a program of research in tourism and their implementation </w:t>
            </w:r>
          </w:p>
        </w:tc>
        <w:tc>
          <w:tcPr>
            <w:tcW w:w="1752" w:type="dxa"/>
            <w:gridSpan w:val="2"/>
          </w:tcPr>
          <w:p w14:paraId="3091E13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NTO </w:t>
            </w:r>
          </w:p>
        </w:tc>
        <w:tc>
          <w:tcPr>
            <w:tcW w:w="1703" w:type="dxa"/>
          </w:tcPr>
          <w:p w14:paraId="677A1B5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2022 </w:t>
            </w:r>
          </w:p>
          <w:p w14:paraId="5277344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 multi-year project whose </w:t>
            </w:r>
            <w:r w:rsidRPr="003C7CB1">
              <w:rPr>
                <w:rFonts w:ascii="Calibri" w:eastAsia="Calibri" w:hAnsi="Calibri" w:cs="Calibri"/>
              </w:rPr>
              <w:lastRenderedPageBreak/>
              <w:t xml:space="preserve">implementation continues after 2022 and will be the subject of the next AP Strategy </w:t>
            </w:r>
          </w:p>
        </w:tc>
        <w:tc>
          <w:tcPr>
            <w:tcW w:w="1841" w:type="dxa"/>
          </w:tcPr>
          <w:p w14:paraId="421CEAD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Number of research </w:t>
            </w:r>
          </w:p>
          <w:p w14:paraId="6A6B4281" w14:textId="77777777" w:rsidR="00861CB1" w:rsidRPr="003C7CB1" w:rsidRDefault="00861CB1" w:rsidP="00861CB1">
            <w:pPr>
              <w:contextualSpacing/>
              <w:jc w:val="center"/>
              <w:rPr>
                <w:rFonts w:ascii="Calibri" w:eastAsia="Calibri" w:hAnsi="Calibri" w:cs="Calibri"/>
              </w:rPr>
            </w:pPr>
          </w:p>
          <w:p w14:paraId="2FE3325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Annual work report of NTO </w:t>
            </w:r>
          </w:p>
        </w:tc>
        <w:tc>
          <w:tcPr>
            <w:tcW w:w="1494" w:type="dxa"/>
            <w:gridSpan w:val="2"/>
          </w:tcPr>
          <w:p w14:paraId="3A10226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NTO Budget </w:t>
            </w:r>
          </w:p>
        </w:tc>
      </w:tr>
      <w:tr w:rsidR="00861CB1" w:rsidRPr="003C7CB1" w14:paraId="5E6C8A93" w14:textId="77777777" w:rsidTr="00861CB1">
        <w:trPr>
          <w:trHeight w:val="628"/>
          <w:jc w:val="center"/>
        </w:trPr>
        <w:tc>
          <w:tcPr>
            <w:tcW w:w="13680" w:type="dxa"/>
            <w:gridSpan w:val="12"/>
            <w:shd w:val="clear" w:color="auto" w:fill="DEEAF6"/>
            <w:vAlign w:val="center"/>
          </w:tcPr>
          <w:p w14:paraId="633A1145" w14:textId="77777777" w:rsidR="00861CB1" w:rsidRPr="003C7CB1" w:rsidRDefault="00861CB1" w:rsidP="00861CB1">
            <w:pPr>
              <w:contextualSpacing/>
              <w:jc w:val="center"/>
              <w:rPr>
                <w:rFonts w:ascii="Calibri" w:eastAsia="Calibri" w:hAnsi="Calibri" w:cs="Calibri"/>
                <w:b/>
              </w:rPr>
            </w:pPr>
          </w:p>
          <w:p w14:paraId="45B57C40" w14:textId="77777777" w:rsidR="00861CB1" w:rsidRPr="003C7CB1" w:rsidRDefault="00861CB1" w:rsidP="00861CB1">
            <w:pPr>
              <w:contextualSpacing/>
              <w:jc w:val="center"/>
              <w:rPr>
                <w:rFonts w:ascii="Calibri" w:eastAsia="Calibri" w:hAnsi="Calibri" w:cs="Calibri"/>
                <w:b/>
              </w:rPr>
            </w:pPr>
            <w:r w:rsidRPr="003C7CB1">
              <w:rPr>
                <w:rFonts w:ascii="Calibri" w:eastAsia="Calibri" w:hAnsi="Calibri" w:cs="Calibri"/>
                <w:b/>
              </w:rPr>
              <w:t xml:space="preserve">Total amount of funds for the implementation of the Operational goal 7: € 0.00 </w:t>
            </w:r>
          </w:p>
        </w:tc>
      </w:tr>
    </w:tbl>
    <w:p w14:paraId="050D15C1" w14:textId="77777777" w:rsidR="00861CB1" w:rsidRPr="003C7CB1" w:rsidRDefault="00861CB1" w:rsidP="00861CB1">
      <w:pPr>
        <w:spacing w:after="120"/>
        <w:rPr>
          <w:rFonts w:ascii="Calibri" w:eastAsia="Calibri" w:hAnsi="Calibri" w:cs="Calibri"/>
          <w:b/>
          <w:color w:val="000000"/>
        </w:rPr>
      </w:pPr>
    </w:p>
    <w:p w14:paraId="62083340" w14:textId="77777777" w:rsidR="00861CB1" w:rsidRPr="003C7CB1" w:rsidRDefault="00861CB1" w:rsidP="00861CB1">
      <w:pPr>
        <w:spacing w:after="120"/>
        <w:jc w:val="both"/>
        <w:rPr>
          <w:rFonts w:ascii="Calibri" w:eastAsia="Calibri" w:hAnsi="Calibri" w:cs="Calibri"/>
          <w:color w:val="000000"/>
        </w:rPr>
      </w:pPr>
      <w:r w:rsidRPr="003C7CB1">
        <w:rPr>
          <w:rFonts w:ascii="Calibri" w:eastAsia="Calibri" w:hAnsi="Calibri" w:cs="Calibri"/>
          <w:color w:val="000000"/>
        </w:rPr>
        <w:t xml:space="preserve">The previous presentation of the Action Plan for 2022 provides a detailed description of activities, amounts and sources of funds for their implementation. Please note that a number of activities, as indicated in the implementation deadlines, will be the subject of Action Plans for the next years of implementation of the Strategy, because these are continuous or multi-year projects. </w:t>
      </w:r>
    </w:p>
    <w:p w14:paraId="6FA3098B" w14:textId="77777777" w:rsidR="00861CB1" w:rsidRPr="003C7CB1" w:rsidRDefault="00861CB1" w:rsidP="00861CB1">
      <w:pPr>
        <w:spacing w:after="120"/>
        <w:jc w:val="both"/>
        <w:rPr>
          <w:rFonts w:ascii="Calibri" w:eastAsia="Calibri" w:hAnsi="Calibri" w:cs="Calibri"/>
          <w:color w:val="000000"/>
        </w:rPr>
      </w:pPr>
      <w:r w:rsidRPr="003C7CB1">
        <w:rPr>
          <w:rFonts w:ascii="Calibri" w:eastAsia="Calibri" w:hAnsi="Calibri" w:cs="Calibri"/>
          <w:color w:val="000000"/>
        </w:rPr>
        <w:t xml:space="preserve">In addition to the above, in order to implement the Strategy, in the period 2023-2025, the following is the Framework Plan of Activities with an estimate of the financial resources needed for their implementation, based on the information currently available: </w:t>
      </w:r>
    </w:p>
    <w:p w14:paraId="5CB21DE5" w14:textId="77777777" w:rsidR="00861CB1" w:rsidRPr="003C7CB1" w:rsidRDefault="00861CB1" w:rsidP="00861CB1">
      <w:pPr>
        <w:spacing w:after="120"/>
        <w:jc w:val="both"/>
        <w:rPr>
          <w:rFonts w:ascii="Calibri" w:eastAsia="Calibri" w:hAnsi="Calibri" w:cs="Calibri"/>
          <w:color w:val="000000"/>
        </w:rPr>
      </w:pPr>
    </w:p>
    <w:p w14:paraId="3831B288"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Framework plan - activities with estimated financial resources for the period 2023-2025 of implementation of the Strategy </w:t>
      </w:r>
    </w:p>
    <w:tbl>
      <w:tblPr>
        <w:tblStyle w:val="TableGrid31"/>
        <w:tblW w:w="13767" w:type="dxa"/>
        <w:jc w:val="center"/>
        <w:tblLayout w:type="fixed"/>
        <w:tblLook w:val="04A0" w:firstRow="1" w:lastRow="0" w:firstColumn="1" w:lastColumn="0" w:noHBand="0" w:noVBand="1"/>
      </w:tblPr>
      <w:tblGrid>
        <w:gridCol w:w="1980"/>
        <w:gridCol w:w="3932"/>
        <w:gridCol w:w="2367"/>
        <w:gridCol w:w="35"/>
        <w:gridCol w:w="1695"/>
        <w:gridCol w:w="2226"/>
        <w:gridCol w:w="35"/>
        <w:gridCol w:w="1497"/>
      </w:tblGrid>
      <w:tr w:rsidR="00861CB1" w:rsidRPr="003C7CB1" w14:paraId="79C9E408" w14:textId="77777777" w:rsidTr="00A45D9A">
        <w:trPr>
          <w:trHeight w:val="807"/>
          <w:jc w:val="center"/>
        </w:trPr>
        <w:tc>
          <w:tcPr>
            <w:tcW w:w="1980" w:type="dxa"/>
            <w:shd w:val="clear" w:color="auto" w:fill="BDD6EE"/>
          </w:tcPr>
          <w:p w14:paraId="659AEB2A"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Operational goal </w:t>
            </w:r>
          </w:p>
        </w:tc>
        <w:tc>
          <w:tcPr>
            <w:tcW w:w="3932" w:type="dxa"/>
            <w:shd w:val="clear" w:color="auto" w:fill="BDD6EE"/>
          </w:tcPr>
          <w:p w14:paraId="033C8959"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Indicative overview of activities by operational goal </w:t>
            </w:r>
          </w:p>
        </w:tc>
        <w:tc>
          <w:tcPr>
            <w:tcW w:w="2367" w:type="dxa"/>
            <w:tcBorders>
              <w:bottom w:val="single" w:sz="4" w:space="0" w:color="auto"/>
            </w:tcBorders>
            <w:shd w:val="clear" w:color="auto" w:fill="BDD6EE"/>
          </w:tcPr>
          <w:p w14:paraId="446DBBB3"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Holder / partners </w:t>
            </w:r>
          </w:p>
        </w:tc>
        <w:tc>
          <w:tcPr>
            <w:tcW w:w="1730" w:type="dxa"/>
            <w:gridSpan w:val="2"/>
            <w:shd w:val="clear" w:color="auto" w:fill="BDD6EE"/>
          </w:tcPr>
          <w:p w14:paraId="40C6ADDA"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Deadline </w:t>
            </w:r>
          </w:p>
        </w:tc>
        <w:tc>
          <w:tcPr>
            <w:tcW w:w="2226" w:type="dxa"/>
            <w:shd w:val="clear" w:color="auto" w:fill="BDD6EE"/>
          </w:tcPr>
          <w:p w14:paraId="21085D4A"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Indicator / verification source </w:t>
            </w:r>
          </w:p>
        </w:tc>
        <w:tc>
          <w:tcPr>
            <w:tcW w:w="1532" w:type="dxa"/>
            <w:gridSpan w:val="2"/>
            <w:shd w:val="clear" w:color="auto" w:fill="BDD6EE"/>
          </w:tcPr>
          <w:p w14:paraId="58EF923C" w14:textId="77777777" w:rsidR="00861CB1" w:rsidRPr="003C7CB1" w:rsidRDefault="00861CB1" w:rsidP="00861CB1">
            <w:pPr>
              <w:spacing w:after="120"/>
              <w:jc w:val="center"/>
              <w:rPr>
                <w:rFonts w:ascii="Calibri" w:eastAsia="Calibri" w:hAnsi="Calibri" w:cs="Calibri"/>
                <w:b/>
                <w:color w:val="000000"/>
              </w:rPr>
            </w:pPr>
            <w:r w:rsidRPr="003C7CB1">
              <w:rPr>
                <w:rFonts w:ascii="Calibri" w:eastAsia="Calibri" w:hAnsi="Calibri" w:cs="Calibri"/>
                <w:b/>
                <w:color w:val="000000"/>
              </w:rPr>
              <w:t xml:space="preserve">Funds (in €) / source </w:t>
            </w:r>
          </w:p>
        </w:tc>
      </w:tr>
      <w:tr w:rsidR="00861CB1" w:rsidRPr="003C7CB1" w14:paraId="07AEAFF4" w14:textId="77777777" w:rsidTr="00A45D9A">
        <w:trPr>
          <w:trHeight w:val="1721"/>
          <w:jc w:val="center"/>
        </w:trPr>
        <w:tc>
          <w:tcPr>
            <w:tcW w:w="1980" w:type="dxa"/>
            <w:vMerge w:val="restart"/>
            <w:shd w:val="clear" w:color="auto" w:fill="DEEAF6"/>
          </w:tcPr>
          <w:p w14:paraId="513DF7BF" w14:textId="41ABCD49"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color w:val="000000"/>
              </w:rPr>
              <w:t xml:space="preserve">Operational goal 1: </w:t>
            </w:r>
            <w:r w:rsidRPr="003C7CB1">
              <w:rPr>
                <w:rFonts w:ascii="Calibri" w:eastAsia="Calibri" w:hAnsi="Calibri" w:cs="Calibri"/>
                <w:b/>
              </w:rPr>
              <w:t xml:space="preserve">Improved regulatory framework in tourism with </w:t>
            </w:r>
            <w:r w:rsidRPr="003C7CB1">
              <w:rPr>
                <w:rFonts w:ascii="Calibri" w:eastAsia="Calibri" w:hAnsi="Calibri" w:cs="Calibri"/>
                <w:b/>
              </w:rPr>
              <w:lastRenderedPageBreak/>
              <w:t>formalization of touris</w:t>
            </w:r>
            <w:r w:rsidR="00337E1A">
              <w:rPr>
                <w:rFonts w:ascii="Calibri" w:eastAsia="Calibri" w:hAnsi="Calibri" w:cs="Calibri"/>
                <w:b/>
              </w:rPr>
              <w:t>m turnover</w:t>
            </w:r>
            <w:r w:rsidRPr="003C7CB1">
              <w:rPr>
                <w:rFonts w:ascii="Calibri" w:eastAsia="Calibri" w:hAnsi="Calibri" w:cs="Calibri"/>
                <w:b/>
              </w:rPr>
              <w:t xml:space="preserve"> </w:t>
            </w:r>
          </w:p>
        </w:tc>
        <w:tc>
          <w:tcPr>
            <w:tcW w:w="3932" w:type="dxa"/>
            <w:shd w:val="clear" w:color="auto" w:fill="auto"/>
          </w:tcPr>
          <w:p w14:paraId="51564981" w14:textId="77777777" w:rsidR="00861CB1" w:rsidRPr="003C7CB1" w:rsidRDefault="00861CB1" w:rsidP="00861CB1">
            <w:pPr>
              <w:spacing w:after="120"/>
              <w:jc w:val="both"/>
              <w:rPr>
                <w:rFonts w:ascii="Calibri" w:eastAsia="Calibri" w:hAnsi="Calibri" w:cs="Calibri"/>
                <w:color w:val="000000"/>
              </w:rPr>
            </w:pPr>
            <w:r w:rsidRPr="003C7CB1">
              <w:rPr>
                <w:rFonts w:ascii="Calibri" w:eastAsia="Calibri" w:hAnsi="Calibri" w:cs="Calibri"/>
              </w:rPr>
              <w:lastRenderedPageBreak/>
              <w:t xml:space="preserve">Drafting of the Law on Tourism </w:t>
            </w:r>
          </w:p>
        </w:tc>
        <w:tc>
          <w:tcPr>
            <w:tcW w:w="2402" w:type="dxa"/>
            <w:gridSpan w:val="2"/>
            <w:shd w:val="clear" w:color="auto" w:fill="auto"/>
          </w:tcPr>
          <w:p w14:paraId="764EC203" w14:textId="77777777" w:rsidR="00861CB1" w:rsidRPr="003C7CB1" w:rsidRDefault="00861CB1" w:rsidP="00861CB1">
            <w:pPr>
              <w:spacing w:after="120"/>
              <w:jc w:val="center"/>
              <w:rPr>
                <w:rFonts w:ascii="Calibri" w:eastAsia="Calibri" w:hAnsi="Calibri" w:cs="Calibri"/>
                <w:color w:val="000000"/>
              </w:rPr>
            </w:pPr>
            <w:r w:rsidRPr="003C7CB1">
              <w:rPr>
                <w:rFonts w:ascii="Calibri" w:eastAsia="Calibri" w:hAnsi="Calibri" w:cs="Calibri"/>
              </w:rPr>
              <w:t xml:space="preserve">MED / WG </w:t>
            </w:r>
          </w:p>
        </w:tc>
        <w:tc>
          <w:tcPr>
            <w:tcW w:w="1695" w:type="dxa"/>
            <w:shd w:val="clear" w:color="auto" w:fill="auto"/>
          </w:tcPr>
          <w:p w14:paraId="4675D95C" w14:textId="77777777" w:rsidR="00861CB1" w:rsidRPr="003C7CB1" w:rsidRDefault="00861CB1" w:rsidP="00861CB1">
            <w:pPr>
              <w:spacing w:after="120"/>
              <w:jc w:val="center"/>
              <w:rPr>
                <w:rFonts w:ascii="Calibri" w:eastAsia="Calibri" w:hAnsi="Calibri" w:cs="Calibri"/>
                <w:color w:val="000000"/>
              </w:rPr>
            </w:pPr>
            <w:r w:rsidRPr="003C7CB1">
              <w:rPr>
                <w:rFonts w:ascii="Calibri" w:eastAsia="Calibri" w:hAnsi="Calibri" w:cs="Calibri"/>
              </w:rPr>
              <w:t xml:space="preserve">I Q – IV Q 2023 </w:t>
            </w:r>
          </w:p>
        </w:tc>
        <w:tc>
          <w:tcPr>
            <w:tcW w:w="2261" w:type="dxa"/>
            <w:gridSpan w:val="2"/>
            <w:shd w:val="clear" w:color="auto" w:fill="auto"/>
          </w:tcPr>
          <w:p w14:paraId="32208A6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Adaptation of the Law </w:t>
            </w:r>
          </w:p>
          <w:p w14:paraId="256A14B7" w14:textId="77777777" w:rsidR="00861CB1" w:rsidRPr="003C7CB1" w:rsidRDefault="00861CB1" w:rsidP="00861CB1">
            <w:pPr>
              <w:contextualSpacing/>
              <w:jc w:val="center"/>
              <w:rPr>
                <w:rFonts w:ascii="Calibri" w:eastAsia="Calibri" w:hAnsi="Calibri" w:cs="Calibri"/>
              </w:rPr>
            </w:pPr>
          </w:p>
          <w:p w14:paraId="71A98A04" w14:textId="77777777" w:rsidR="00861CB1" w:rsidRPr="003C7CB1" w:rsidRDefault="00861CB1" w:rsidP="00861CB1">
            <w:pPr>
              <w:spacing w:after="120"/>
              <w:jc w:val="both"/>
              <w:rPr>
                <w:rFonts w:ascii="Calibri" w:eastAsia="Calibri" w:hAnsi="Calibri" w:cs="Calibri"/>
                <w:color w:val="000000"/>
              </w:rPr>
            </w:pPr>
            <w:r w:rsidRPr="003C7CB1">
              <w:rPr>
                <w:rFonts w:ascii="Calibri" w:eastAsia="Calibri" w:hAnsi="Calibri" w:cs="Calibri"/>
              </w:rPr>
              <w:t xml:space="preserve">Annual work report of MED </w:t>
            </w:r>
          </w:p>
        </w:tc>
        <w:tc>
          <w:tcPr>
            <w:tcW w:w="1497" w:type="dxa"/>
            <w:shd w:val="clear" w:color="auto" w:fill="auto"/>
          </w:tcPr>
          <w:p w14:paraId="1020BDFB"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€ 5,000.00 </w:t>
            </w:r>
          </w:p>
          <w:p w14:paraId="532509D8" w14:textId="77777777" w:rsidR="00861CB1" w:rsidRPr="003C7CB1" w:rsidRDefault="00861CB1" w:rsidP="00861CB1">
            <w:pPr>
              <w:spacing w:after="0" w:line="240" w:lineRule="auto"/>
              <w:contextualSpacing/>
              <w:jc w:val="center"/>
              <w:rPr>
                <w:rFonts w:ascii="Calibri" w:eastAsia="Calibri" w:hAnsi="Calibri" w:cs="Calibri"/>
              </w:rPr>
            </w:pPr>
          </w:p>
          <w:p w14:paraId="4EF77E22" w14:textId="77777777" w:rsidR="00861CB1" w:rsidRPr="003C7CB1" w:rsidRDefault="00861CB1" w:rsidP="00861CB1">
            <w:pPr>
              <w:spacing w:after="120"/>
              <w:jc w:val="center"/>
              <w:rPr>
                <w:rFonts w:ascii="Calibri" w:eastAsia="Calibri" w:hAnsi="Calibri" w:cs="Calibri"/>
                <w:color w:val="000000"/>
              </w:rPr>
            </w:pPr>
            <w:r w:rsidRPr="003C7CB1">
              <w:rPr>
                <w:rFonts w:ascii="Calibri" w:eastAsia="Calibri" w:hAnsi="Calibri" w:cs="Calibri"/>
              </w:rPr>
              <w:t xml:space="preserve">Budget of Montenegro </w:t>
            </w:r>
          </w:p>
        </w:tc>
      </w:tr>
      <w:tr w:rsidR="00861CB1" w:rsidRPr="003C7CB1" w14:paraId="58C19488" w14:textId="77777777" w:rsidTr="00A45D9A">
        <w:trPr>
          <w:trHeight w:val="1721"/>
          <w:jc w:val="center"/>
        </w:trPr>
        <w:tc>
          <w:tcPr>
            <w:tcW w:w="1980" w:type="dxa"/>
            <w:vMerge/>
            <w:shd w:val="clear" w:color="auto" w:fill="FFFFFF"/>
          </w:tcPr>
          <w:p w14:paraId="53A0CFB3"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5B4CD85F"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Drafting of the Law on Hospitality </w:t>
            </w:r>
          </w:p>
        </w:tc>
        <w:tc>
          <w:tcPr>
            <w:tcW w:w="2402" w:type="dxa"/>
            <w:gridSpan w:val="2"/>
            <w:shd w:val="clear" w:color="auto" w:fill="auto"/>
          </w:tcPr>
          <w:p w14:paraId="2E15A64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 WG </w:t>
            </w:r>
          </w:p>
        </w:tc>
        <w:tc>
          <w:tcPr>
            <w:tcW w:w="1695" w:type="dxa"/>
            <w:shd w:val="clear" w:color="auto" w:fill="auto"/>
          </w:tcPr>
          <w:p w14:paraId="0F97DB1E"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auto"/>
          </w:tcPr>
          <w:p w14:paraId="4FBDB6A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Adaptation of the Law </w:t>
            </w:r>
          </w:p>
          <w:p w14:paraId="3C15440A" w14:textId="77777777" w:rsidR="00861CB1" w:rsidRPr="003C7CB1" w:rsidRDefault="00861CB1" w:rsidP="00861CB1">
            <w:pPr>
              <w:contextualSpacing/>
              <w:rPr>
                <w:rFonts w:ascii="Calibri" w:eastAsia="Calibri" w:hAnsi="Calibri" w:cs="Calibri"/>
              </w:rPr>
            </w:pPr>
          </w:p>
          <w:p w14:paraId="16E01AE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7" w:type="dxa"/>
            <w:shd w:val="clear" w:color="auto" w:fill="auto"/>
          </w:tcPr>
          <w:p w14:paraId="2E74357B" w14:textId="77777777" w:rsidR="00861CB1" w:rsidRPr="003C7CB1" w:rsidRDefault="00861CB1" w:rsidP="00861CB1">
            <w:pPr>
              <w:spacing w:after="0" w:line="240" w:lineRule="auto"/>
              <w:contextualSpacing/>
              <w:jc w:val="center"/>
              <w:rPr>
                <w:rFonts w:ascii="Calibri" w:eastAsia="Calibri" w:hAnsi="Calibri" w:cs="Calibri"/>
              </w:rPr>
            </w:pPr>
            <w:r w:rsidRPr="003C7CB1">
              <w:rPr>
                <w:rFonts w:ascii="Calibri" w:eastAsia="Calibri" w:hAnsi="Calibri" w:cs="Calibri"/>
              </w:rPr>
              <w:t xml:space="preserve">€ 5,000.00 </w:t>
            </w:r>
          </w:p>
          <w:p w14:paraId="3B34804F" w14:textId="77777777" w:rsidR="00861CB1" w:rsidRPr="003C7CB1" w:rsidRDefault="00861CB1" w:rsidP="00861CB1">
            <w:pPr>
              <w:spacing w:after="0" w:line="240" w:lineRule="auto"/>
              <w:contextualSpacing/>
              <w:jc w:val="center"/>
              <w:rPr>
                <w:rFonts w:ascii="Calibri" w:eastAsia="Calibri" w:hAnsi="Calibri" w:cs="Calibri"/>
              </w:rPr>
            </w:pPr>
          </w:p>
          <w:p w14:paraId="682B1B4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6AB68550" w14:textId="77777777" w:rsidTr="00A45D9A">
        <w:trPr>
          <w:trHeight w:val="1721"/>
          <w:jc w:val="center"/>
        </w:trPr>
        <w:tc>
          <w:tcPr>
            <w:tcW w:w="1980" w:type="dxa"/>
            <w:vMerge/>
            <w:shd w:val="clear" w:color="auto" w:fill="FFFFFF"/>
          </w:tcPr>
          <w:p w14:paraId="156C1248"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6E0604B5"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Drafting secondary legislation </w:t>
            </w:r>
          </w:p>
        </w:tc>
        <w:tc>
          <w:tcPr>
            <w:tcW w:w="2402" w:type="dxa"/>
            <w:gridSpan w:val="2"/>
            <w:shd w:val="clear" w:color="auto" w:fill="auto"/>
          </w:tcPr>
          <w:p w14:paraId="77EF889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 WG </w:t>
            </w:r>
          </w:p>
        </w:tc>
        <w:tc>
          <w:tcPr>
            <w:tcW w:w="1695" w:type="dxa"/>
            <w:shd w:val="clear" w:color="auto" w:fill="auto"/>
          </w:tcPr>
          <w:p w14:paraId="3B570369"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2023 – IV Q 2025 </w:t>
            </w:r>
          </w:p>
        </w:tc>
        <w:tc>
          <w:tcPr>
            <w:tcW w:w="2261" w:type="dxa"/>
            <w:gridSpan w:val="2"/>
            <w:shd w:val="clear" w:color="auto" w:fill="auto"/>
          </w:tcPr>
          <w:p w14:paraId="142A99C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adopted secondary legislation </w:t>
            </w:r>
          </w:p>
          <w:p w14:paraId="415B3254" w14:textId="77777777" w:rsidR="00861CB1" w:rsidRPr="003C7CB1" w:rsidRDefault="00861CB1" w:rsidP="00861CB1">
            <w:pPr>
              <w:contextualSpacing/>
              <w:jc w:val="center"/>
              <w:rPr>
                <w:rFonts w:ascii="Calibri" w:eastAsia="Calibri" w:hAnsi="Calibri" w:cs="Calibri"/>
              </w:rPr>
            </w:pPr>
          </w:p>
          <w:p w14:paraId="62A686B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7" w:type="dxa"/>
            <w:shd w:val="clear" w:color="auto" w:fill="auto"/>
          </w:tcPr>
          <w:p w14:paraId="298B489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€ 6,000.00 </w:t>
            </w:r>
          </w:p>
          <w:p w14:paraId="5F6D8DF8" w14:textId="77777777" w:rsidR="00861CB1" w:rsidRPr="003C7CB1" w:rsidRDefault="00861CB1" w:rsidP="00861CB1">
            <w:pPr>
              <w:contextualSpacing/>
              <w:jc w:val="center"/>
              <w:rPr>
                <w:rFonts w:ascii="Calibri" w:eastAsia="Calibri" w:hAnsi="Calibri" w:cs="Calibri"/>
              </w:rPr>
            </w:pPr>
          </w:p>
          <w:p w14:paraId="08EC424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33076958" w14:textId="77777777" w:rsidTr="00A45D9A">
        <w:trPr>
          <w:trHeight w:val="1721"/>
          <w:jc w:val="center"/>
        </w:trPr>
        <w:tc>
          <w:tcPr>
            <w:tcW w:w="1980" w:type="dxa"/>
            <w:vMerge/>
            <w:shd w:val="clear" w:color="auto" w:fill="FFFFFF"/>
          </w:tcPr>
          <w:p w14:paraId="772535C3"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698C62AA" w14:textId="1AD98330"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Implementation of the Plan for organizing education,</w:t>
            </w:r>
            <w:r w:rsidR="005353BF">
              <w:rPr>
                <w:rFonts w:ascii="Calibri" w:eastAsia="Calibri" w:hAnsi="Calibri" w:cs="Calibri"/>
              </w:rPr>
              <w:t xml:space="preserve"> </w:t>
            </w:r>
            <w:r w:rsidRPr="003C7CB1">
              <w:rPr>
                <w:rFonts w:ascii="Calibri" w:eastAsia="Calibri" w:hAnsi="Calibri" w:cs="Calibri"/>
              </w:rPr>
              <w:t>apprenticeship, training of employees in local tourism organizations in the part related to the collection of data on tourism t</w:t>
            </w:r>
            <w:r w:rsidR="00337E1A">
              <w:rPr>
                <w:rFonts w:ascii="Calibri" w:eastAsia="Calibri" w:hAnsi="Calibri" w:cs="Calibri"/>
              </w:rPr>
              <w:t>urnover</w:t>
            </w:r>
            <w:r w:rsidRPr="003C7CB1">
              <w:rPr>
                <w:rFonts w:ascii="Calibri" w:eastAsia="Calibri" w:hAnsi="Calibri" w:cs="Calibri"/>
              </w:rPr>
              <w:t xml:space="preserve"> </w:t>
            </w:r>
          </w:p>
        </w:tc>
        <w:tc>
          <w:tcPr>
            <w:tcW w:w="2402" w:type="dxa"/>
            <w:gridSpan w:val="2"/>
            <w:shd w:val="clear" w:color="auto" w:fill="auto"/>
          </w:tcPr>
          <w:p w14:paraId="49B1F21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LTO,</w:t>
            </w:r>
          </w:p>
          <w:p w14:paraId="4AA1507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Local governments / MONSTAT, MED </w:t>
            </w:r>
          </w:p>
        </w:tc>
        <w:tc>
          <w:tcPr>
            <w:tcW w:w="1695" w:type="dxa"/>
            <w:shd w:val="clear" w:color="auto" w:fill="auto"/>
          </w:tcPr>
          <w:p w14:paraId="2999E072"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IV Q 2023 </w:t>
            </w:r>
          </w:p>
        </w:tc>
        <w:tc>
          <w:tcPr>
            <w:tcW w:w="2261" w:type="dxa"/>
            <w:gridSpan w:val="2"/>
            <w:shd w:val="clear" w:color="auto" w:fill="auto"/>
          </w:tcPr>
          <w:p w14:paraId="0F4433C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trainings / workshops / participants </w:t>
            </w:r>
          </w:p>
          <w:p w14:paraId="468251BF" w14:textId="77777777" w:rsidR="00861CB1" w:rsidRPr="003C7CB1" w:rsidRDefault="00861CB1" w:rsidP="00861CB1">
            <w:pPr>
              <w:contextualSpacing/>
              <w:jc w:val="center"/>
              <w:rPr>
                <w:rFonts w:ascii="Calibri" w:eastAsia="Calibri" w:hAnsi="Calibri" w:cs="Calibri"/>
              </w:rPr>
            </w:pPr>
          </w:p>
          <w:p w14:paraId="1086F60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and organizations </w:t>
            </w:r>
          </w:p>
        </w:tc>
        <w:tc>
          <w:tcPr>
            <w:tcW w:w="1497" w:type="dxa"/>
            <w:shd w:val="clear" w:color="auto" w:fill="auto"/>
          </w:tcPr>
          <w:p w14:paraId="2499957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Local government and LTO </w:t>
            </w:r>
          </w:p>
        </w:tc>
      </w:tr>
      <w:tr w:rsidR="00861CB1" w:rsidRPr="003C7CB1" w14:paraId="284322EC" w14:textId="77777777" w:rsidTr="00A45D9A">
        <w:trPr>
          <w:trHeight w:val="1721"/>
          <w:jc w:val="center"/>
        </w:trPr>
        <w:tc>
          <w:tcPr>
            <w:tcW w:w="1980" w:type="dxa"/>
            <w:vMerge w:val="restart"/>
            <w:shd w:val="clear" w:color="auto" w:fill="DEEAF6"/>
          </w:tcPr>
          <w:p w14:paraId="3E612584" w14:textId="74EF21B6"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color w:val="000000"/>
              </w:rPr>
              <w:t xml:space="preserve">Operational goal 2: Improved tourism and supporting infrastructure and </w:t>
            </w:r>
            <w:proofErr w:type="spellStart"/>
            <w:r w:rsidRPr="003C7CB1">
              <w:rPr>
                <w:rFonts w:ascii="Calibri" w:eastAsia="Calibri" w:hAnsi="Calibri" w:cs="Calibri"/>
                <w:b/>
                <w:color w:val="000000"/>
              </w:rPr>
              <w:t>sup</w:t>
            </w:r>
            <w:r w:rsidR="00F90E5A">
              <w:rPr>
                <w:rFonts w:ascii="Calibri" w:eastAsia="Calibri" w:hAnsi="Calibri" w:cs="Calibri"/>
                <w:b/>
                <w:color w:val="000000"/>
              </w:rPr>
              <w:t>ra</w:t>
            </w:r>
            <w:r w:rsidRPr="003C7CB1">
              <w:rPr>
                <w:rFonts w:ascii="Calibri" w:eastAsia="Calibri" w:hAnsi="Calibri" w:cs="Calibri"/>
                <w:b/>
                <w:color w:val="000000"/>
              </w:rPr>
              <w:t>structure</w:t>
            </w:r>
            <w:proofErr w:type="spellEnd"/>
            <w:r w:rsidRPr="003C7CB1">
              <w:rPr>
                <w:rFonts w:ascii="Calibri" w:eastAsia="Calibri" w:hAnsi="Calibri" w:cs="Calibri"/>
                <w:b/>
                <w:color w:val="000000"/>
              </w:rPr>
              <w:t xml:space="preserve"> </w:t>
            </w:r>
          </w:p>
        </w:tc>
        <w:tc>
          <w:tcPr>
            <w:tcW w:w="3932" w:type="dxa"/>
            <w:shd w:val="clear" w:color="auto" w:fill="auto"/>
          </w:tcPr>
          <w:p w14:paraId="2FE91CE9"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Implementation of the project of water supply and drainage of wastewater, Bay of Kotor - Construction of sewerage system for the settlements of </w:t>
            </w:r>
            <w:proofErr w:type="spellStart"/>
            <w:r w:rsidRPr="003C7CB1">
              <w:rPr>
                <w:rFonts w:ascii="Calibri" w:eastAsia="Calibri" w:hAnsi="Calibri" w:cs="Calibri"/>
              </w:rPr>
              <w:t>Risan</w:t>
            </w:r>
            <w:proofErr w:type="spellEnd"/>
            <w:r w:rsidRPr="003C7CB1">
              <w:rPr>
                <w:rFonts w:ascii="Calibri" w:eastAsia="Calibri" w:hAnsi="Calibri" w:cs="Calibri"/>
              </w:rPr>
              <w:t xml:space="preserve">, </w:t>
            </w:r>
            <w:proofErr w:type="spellStart"/>
            <w:r w:rsidRPr="003C7CB1">
              <w:rPr>
                <w:rFonts w:ascii="Calibri" w:eastAsia="Calibri" w:hAnsi="Calibri" w:cs="Calibri"/>
              </w:rPr>
              <w:t>Perast</w:t>
            </w:r>
            <w:proofErr w:type="spellEnd"/>
            <w:r w:rsidRPr="003C7CB1">
              <w:rPr>
                <w:rFonts w:ascii="Calibri" w:eastAsia="Calibri" w:hAnsi="Calibri" w:cs="Calibri"/>
              </w:rPr>
              <w:t xml:space="preserve">, </w:t>
            </w:r>
            <w:proofErr w:type="spellStart"/>
            <w:r w:rsidRPr="003C7CB1">
              <w:rPr>
                <w:rFonts w:ascii="Calibri" w:eastAsia="Calibri" w:hAnsi="Calibri" w:cs="Calibri"/>
              </w:rPr>
              <w:t>Stoliv</w:t>
            </w:r>
            <w:proofErr w:type="spellEnd"/>
            <w:r w:rsidRPr="003C7CB1">
              <w:rPr>
                <w:rFonts w:ascii="Calibri" w:eastAsia="Calibri" w:hAnsi="Calibri" w:cs="Calibri"/>
              </w:rPr>
              <w:t xml:space="preserve"> and </w:t>
            </w:r>
            <w:proofErr w:type="spellStart"/>
            <w:r w:rsidRPr="003C7CB1">
              <w:rPr>
                <w:rFonts w:ascii="Calibri" w:eastAsia="Calibri" w:hAnsi="Calibri" w:cs="Calibri"/>
              </w:rPr>
              <w:t>Prčanj</w:t>
            </w:r>
            <w:proofErr w:type="spellEnd"/>
            <w:r w:rsidRPr="003C7CB1">
              <w:rPr>
                <w:rFonts w:ascii="Calibri" w:eastAsia="Calibri" w:hAnsi="Calibri" w:cs="Calibri"/>
              </w:rPr>
              <w:t xml:space="preserve"> </w:t>
            </w:r>
          </w:p>
        </w:tc>
        <w:tc>
          <w:tcPr>
            <w:tcW w:w="2402" w:type="dxa"/>
            <w:gridSpan w:val="2"/>
            <w:shd w:val="clear" w:color="auto" w:fill="auto"/>
          </w:tcPr>
          <w:p w14:paraId="1D06D5F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Vodacom LTD, Local governments /</w:t>
            </w:r>
            <w:r w:rsidRPr="003C7CB1">
              <w:rPr>
                <w:rFonts w:ascii="Calibri" w:eastAsia="Calibri" w:hAnsi="Calibri" w:cs="Calibri"/>
                <w:caps/>
              </w:rPr>
              <w:t>MCI</w:t>
            </w:r>
            <w:r w:rsidRPr="003C7CB1">
              <w:rPr>
                <w:rFonts w:ascii="Calibri" w:eastAsia="Calibri" w:hAnsi="Calibri" w:cs="Calibri"/>
              </w:rPr>
              <w:t xml:space="preserve">, MED </w:t>
            </w:r>
          </w:p>
        </w:tc>
        <w:tc>
          <w:tcPr>
            <w:tcW w:w="1695" w:type="dxa"/>
            <w:shd w:val="clear" w:color="auto" w:fill="auto"/>
          </w:tcPr>
          <w:p w14:paraId="2A4B0480"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2024 - IV Q 2025 </w:t>
            </w:r>
          </w:p>
        </w:tc>
        <w:tc>
          <w:tcPr>
            <w:tcW w:w="2261" w:type="dxa"/>
            <w:gridSpan w:val="2"/>
            <w:shd w:val="clear" w:color="auto" w:fill="auto"/>
          </w:tcPr>
          <w:p w14:paraId="1AF87CF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Sewerage network has been installed and connected to the central collector system of the municipality of Kotor </w:t>
            </w:r>
          </w:p>
        </w:tc>
        <w:tc>
          <w:tcPr>
            <w:tcW w:w="1497" w:type="dxa"/>
            <w:shd w:val="clear" w:color="auto" w:fill="auto"/>
          </w:tcPr>
          <w:p w14:paraId="49DDE63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€ 5,000,000.00  </w:t>
            </w:r>
          </w:p>
          <w:p w14:paraId="60D6B74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Municipal budget </w:t>
            </w:r>
          </w:p>
        </w:tc>
      </w:tr>
      <w:tr w:rsidR="00861CB1" w:rsidRPr="003C7CB1" w14:paraId="34313237" w14:textId="77777777" w:rsidTr="00A45D9A">
        <w:trPr>
          <w:trHeight w:val="1721"/>
          <w:jc w:val="center"/>
        </w:trPr>
        <w:tc>
          <w:tcPr>
            <w:tcW w:w="1980" w:type="dxa"/>
            <w:vMerge/>
            <w:shd w:val="clear" w:color="auto" w:fill="DEEAF6"/>
          </w:tcPr>
          <w:p w14:paraId="329F8DAE"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2E0B0CCD"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Continuation of the implementation of multi-year projects from the Capital Budget: </w:t>
            </w:r>
          </w:p>
          <w:p w14:paraId="78F6DDF9"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 xml:space="preserve">Construction of the “Kolašin 1600” ski center, Kolašin </w:t>
            </w:r>
          </w:p>
          <w:p w14:paraId="31AEA0EE"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Construction of the “</w:t>
            </w:r>
            <w:proofErr w:type="spellStart"/>
            <w:r w:rsidRPr="003C7CB1">
              <w:rPr>
                <w:rFonts w:ascii="Calibri" w:eastAsia="Calibri" w:hAnsi="Calibri" w:cs="Calibri"/>
              </w:rPr>
              <w:t>Žarski</w:t>
            </w:r>
            <w:proofErr w:type="spellEnd"/>
            <w:r w:rsidRPr="003C7CB1">
              <w:rPr>
                <w:rFonts w:ascii="Calibri" w:eastAsia="Calibri" w:hAnsi="Calibri" w:cs="Calibri"/>
              </w:rPr>
              <w:t xml:space="preserve">” ski center, Mojkovac </w:t>
            </w:r>
          </w:p>
          <w:p w14:paraId="13608D86"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Construction of the “</w:t>
            </w:r>
            <w:proofErr w:type="spellStart"/>
            <w:r w:rsidRPr="003C7CB1">
              <w:rPr>
                <w:rFonts w:ascii="Calibri" w:eastAsia="Calibri" w:hAnsi="Calibri" w:cs="Calibri"/>
              </w:rPr>
              <w:t>Cmiljača</w:t>
            </w:r>
            <w:proofErr w:type="spellEnd"/>
            <w:r w:rsidRPr="003C7CB1">
              <w:rPr>
                <w:rFonts w:ascii="Calibri" w:eastAsia="Calibri" w:hAnsi="Calibri" w:cs="Calibri"/>
              </w:rPr>
              <w:t xml:space="preserve">” ski center, Bijelo Polje </w:t>
            </w:r>
          </w:p>
          <w:p w14:paraId="7A2216F5"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Construction of the “</w:t>
            </w:r>
            <w:proofErr w:type="spellStart"/>
            <w:r w:rsidRPr="003C7CB1">
              <w:rPr>
                <w:rFonts w:ascii="Calibri" w:eastAsia="Calibri" w:hAnsi="Calibri" w:cs="Calibri"/>
              </w:rPr>
              <w:t>Hajla-Štedim</w:t>
            </w:r>
            <w:proofErr w:type="spellEnd"/>
            <w:r w:rsidRPr="003C7CB1">
              <w:rPr>
                <w:rFonts w:ascii="Calibri" w:eastAsia="Calibri" w:hAnsi="Calibri" w:cs="Calibri"/>
              </w:rPr>
              <w:t xml:space="preserve">” ski center, Rožaje </w:t>
            </w:r>
          </w:p>
          <w:p w14:paraId="08D7A793"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Construction of the “</w:t>
            </w:r>
            <w:proofErr w:type="spellStart"/>
            <w:r w:rsidRPr="003C7CB1">
              <w:rPr>
                <w:rFonts w:ascii="Calibri" w:eastAsia="Calibri" w:hAnsi="Calibri" w:cs="Calibri"/>
              </w:rPr>
              <w:t>Savin</w:t>
            </w:r>
            <w:proofErr w:type="spellEnd"/>
            <w:r w:rsidRPr="003C7CB1">
              <w:rPr>
                <w:rFonts w:ascii="Calibri" w:eastAsia="Calibri" w:hAnsi="Calibri" w:cs="Calibri"/>
              </w:rPr>
              <w:t xml:space="preserve"> Kuk” ski resort, </w:t>
            </w:r>
            <w:proofErr w:type="spellStart"/>
            <w:r w:rsidRPr="003C7CB1">
              <w:rPr>
                <w:rFonts w:ascii="Calibri" w:eastAsia="Calibri" w:hAnsi="Calibri" w:cs="Calibri"/>
              </w:rPr>
              <w:t>Žabljak</w:t>
            </w:r>
            <w:proofErr w:type="spellEnd"/>
            <w:r w:rsidRPr="003C7CB1">
              <w:rPr>
                <w:rFonts w:ascii="Calibri" w:eastAsia="Calibri" w:hAnsi="Calibri" w:cs="Calibri"/>
              </w:rPr>
              <w:t xml:space="preserve"> </w:t>
            </w:r>
          </w:p>
          <w:p w14:paraId="54445B89"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 xml:space="preserve">Construction of hydro-technical infrastructure for the needs of the “Kolašin 1600” ski center </w:t>
            </w:r>
          </w:p>
          <w:p w14:paraId="5D788C41"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Construction of infrastructure for the needs of connecting two ski centers - “</w:t>
            </w:r>
            <w:proofErr w:type="spellStart"/>
            <w:r w:rsidRPr="003C7CB1">
              <w:rPr>
                <w:rFonts w:ascii="Calibri" w:eastAsia="Calibri" w:hAnsi="Calibri" w:cs="Calibri"/>
              </w:rPr>
              <w:t>Cmiljača</w:t>
            </w:r>
            <w:proofErr w:type="spellEnd"/>
            <w:r w:rsidRPr="003C7CB1">
              <w:rPr>
                <w:rFonts w:ascii="Calibri" w:eastAsia="Calibri" w:hAnsi="Calibri" w:cs="Calibri"/>
              </w:rPr>
              <w:t xml:space="preserve"> and </w:t>
            </w:r>
            <w:proofErr w:type="spellStart"/>
            <w:r w:rsidRPr="003C7CB1">
              <w:rPr>
                <w:rFonts w:ascii="Calibri" w:eastAsia="Calibri" w:hAnsi="Calibri" w:cs="Calibri"/>
              </w:rPr>
              <w:t>Žarski</w:t>
            </w:r>
            <w:proofErr w:type="spellEnd"/>
            <w:r w:rsidRPr="003C7CB1">
              <w:rPr>
                <w:rFonts w:ascii="Calibri" w:eastAsia="Calibri" w:hAnsi="Calibri" w:cs="Calibri"/>
              </w:rPr>
              <w:t xml:space="preserve">” </w:t>
            </w:r>
          </w:p>
          <w:p w14:paraId="74A9929F"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Works on the reconstruction of the existing / construction of a new cable car with the existing route on the “</w:t>
            </w:r>
            <w:proofErr w:type="spellStart"/>
            <w:r w:rsidRPr="003C7CB1">
              <w:rPr>
                <w:rFonts w:ascii="Calibri" w:eastAsia="Calibri" w:hAnsi="Calibri" w:cs="Calibri"/>
              </w:rPr>
              <w:t>Savin</w:t>
            </w:r>
            <w:proofErr w:type="spellEnd"/>
            <w:r w:rsidRPr="003C7CB1">
              <w:rPr>
                <w:rFonts w:ascii="Calibri" w:eastAsia="Calibri" w:hAnsi="Calibri" w:cs="Calibri"/>
              </w:rPr>
              <w:t xml:space="preserve"> Kuk” ski resort, </w:t>
            </w:r>
            <w:proofErr w:type="spellStart"/>
            <w:r w:rsidRPr="003C7CB1">
              <w:rPr>
                <w:rFonts w:ascii="Calibri" w:eastAsia="Calibri" w:hAnsi="Calibri" w:cs="Calibri"/>
              </w:rPr>
              <w:t>Žabljak</w:t>
            </w:r>
            <w:proofErr w:type="spellEnd"/>
            <w:r w:rsidRPr="003C7CB1">
              <w:rPr>
                <w:rFonts w:ascii="Calibri" w:eastAsia="Calibri" w:hAnsi="Calibri" w:cs="Calibri"/>
              </w:rPr>
              <w:t xml:space="preserve"> </w:t>
            </w:r>
          </w:p>
          <w:p w14:paraId="286AC504"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Construction of ski slopes within the “</w:t>
            </w:r>
            <w:proofErr w:type="spellStart"/>
            <w:r w:rsidRPr="003C7CB1">
              <w:rPr>
                <w:rFonts w:ascii="Calibri" w:eastAsia="Calibri" w:hAnsi="Calibri" w:cs="Calibri"/>
              </w:rPr>
              <w:t>Savin</w:t>
            </w:r>
            <w:proofErr w:type="spellEnd"/>
            <w:r w:rsidRPr="003C7CB1">
              <w:rPr>
                <w:rFonts w:ascii="Calibri" w:eastAsia="Calibri" w:hAnsi="Calibri" w:cs="Calibri"/>
              </w:rPr>
              <w:t xml:space="preserve"> </w:t>
            </w:r>
            <w:proofErr w:type="spellStart"/>
            <w:r w:rsidRPr="003C7CB1">
              <w:rPr>
                <w:rFonts w:ascii="Calibri" w:eastAsia="Calibri" w:hAnsi="Calibri" w:cs="Calibri"/>
              </w:rPr>
              <w:t>kuk</w:t>
            </w:r>
            <w:proofErr w:type="spellEnd"/>
            <w:r w:rsidRPr="003C7CB1">
              <w:rPr>
                <w:rFonts w:ascii="Calibri" w:eastAsia="Calibri" w:hAnsi="Calibri" w:cs="Calibri"/>
              </w:rPr>
              <w:t xml:space="preserve">” ski resort, </w:t>
            </w:r>
            <w:proofErr w:type="spellStart"/>
            <w:r w:rsidRPr="003C7CB1">
              <w:rPr>
                <w:rFonts w:ascii="Calibri" w:eastAsia="Calibri" w:hAnsi="Calibri" w:cs="Calibri"/>
              </w:rPr>
              <w:t>Žabljak</w:t>
            </w:r>
            <w:proofErr w:type="spellEnd"/>
            <w:r w:rsidRPr="003C7CB1">
              <w:rPr>
                <w:rFonts w:ascii="Calibri" w:eastAsia="Calibri" w:hAnsi="Calibri" w:cs="Calibri"/>
              </w:rPr>
              <w:t xml:space="preserve"> </w:t>
            </w:r>
          </w:p>
          <w:p w14:paraId="2314E99F"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lastRenderedPageBreak/>
              <w:t xml:space="preserve">Construction of assembly / disassembly bobsleigh on the “Kolašin 1600” ski center </w:t>
            </w:r>
          </w:p>
          <w:p w14:paraId="745330F4"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 xml:space="preserve">Continuation of construction on the speleological object of </w:t>
            </w:r>
            <w:proofErr w:type="spellStart"/>
            <w:r w:rsidRPr="003C7CB1">
              <w:rPr>
                <w:rFonts w:ascii="Calibri" w:eastAsia="Calibri" w:hAnsi="Calibri" w:cs="Calibri"/>
              </w:rPr>
              <w:t>Đalovića</w:t>
            </w:r>
            <w:proofErr w:type="spellEnd"/>
            <w:r w:rsidRPr="003C7CB1">
              <w:rPr>
                <w:rFonts w:ascii="Calibri" w:eastAsia="Calibri" w:hAnsi="Calibri" w:cs="Calibri"/>
              </w:rPr>
              <w:t xml:space="preserve"> cave </w:t>
            </w:r>
          </w:p>
          <w:p w14:paraId="368A09AF" w14:textId="77777777" w:rsidR="00861CB1" w:rsidRPr="003C7CB1" w:rsidRDefault="00861CB1" w:rsidP="00861CB1">
            <w:pPr>
              <w:numPr>
                <w:ilvl w:val="0"/>
                <w:numId w:val="62"/>
              </w:numPr>
              <w:spacing w:after="120"/>
              <w:contextualSpacing/>
              <w:rPr>
                <w:rFonts w:ascii="Calibri" w:eastAsia="Calibri" w:hAnsi="Calibri" w:cs="Calibri"/>
              </w:rPr>
            </w:pPr>
            <w:r w:rsidRPr="003C7CB1">
              <w:rPr>
                <w:rFonts w:ascii="Calibri" w:eastAsia="Calibri" w:hAnsi="Calibri" w:cs="Calibri"/>
              </w:rPr>
              <w:t xml:space="preserve">Construction of infrastructure for the needs of the project for the construction of the panoramic cable car Kotor – </w:t>
            </w:r>
            <w:proofErr w:type="spellStart"/>
            <w:r w:rsidRPr="003C7CB1">
              <w:rPr>
                <w:rFonts w:ascii="Calibri" w:eastAsia="Calibri" w:hAnsi="Calibri" w:cs="Calibri"/>
              </w:rPr>
              <w:t>Lovćen</w:t>
            </w:r>
            <w:proofErr w:type="spellEnd"/>
            <w:r w:rsidRPr="003C7CB1">
              <w:rPr>
                <w:rFonts w:ascii="Calibri" w:eastAsia="Calibri" w:hAnsi="Calibri" w:cs="Calibri"/>
              </w:rPr>
              <w:t xml:space="preserve"> </w:t>
            </w:r>
          </w:p>
        </w:tc>
        <w:tc>
          <w:tcPr>
            <w:tcW w:w="2402" w:type="dxa"/>
            <w:gridSpan w:val="2"/>
            <w:shd w:val="clear" w:color="auto" w:fill="auto"/>
          </w:tcPr>
          <w:p w14:paraId="68A260F4" w14:textId="7A8767F9" w:rsidR="00861CB1" w:rsidRPr="003C7CB1" w:rsidRDefault="00AE5C5F" w:rsidP="00861CB1">
            <w:pPr>
              <w:contextualSpacing/>
              <w:jc w:val="center"/>
              <w:rPr>
                <w:rFonts w:ascii="Calibri" w:eastAsia="Calibri" w:hAnsi="Calibri" w:cs="Calibri"/>
              </w:rPr>
            </w:pPr>
            <w:r w:rsidRPr="003C7CB1">
              <w:rPr>
                <w:rFonts w:ascii="Calibri" w:eastAsia="Calibri" w:hAnsi="Calibri" w:cs="Calibri"/>
              </w:rPr>
              <w:lastRenderedPageBreak/>
              <w:t>MED /</w:t>
            </w:r>
          </w:p>
          <w:p w14:paraId="386E5D7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competent institutions </w:t>
            </w:r>
          </w:p>
        </w:tc>
        <w:tc>
          <w:tcPr>
            <w:tcW w:w="1695" w:type="dxa"/>
            <w:shd w:val="clear" w:color="auto" w:fill="auto"/>
          </w:tcPr>
          <w:p w14:paraId="7D0361A2"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2023 – III Q 2025 </w:t>
            </w:r>
          </w:p>
        </w:tc>
        <w:tc>
          <w:tcPr>
            <w:tcW w:w="2261" w:type="dxa"/>
            <w:gridSpan w:val="2"/>
            <w:shd w:val="clear" w:color="auto" w:fill="auto"/>
          </w:tcPr>
          <w:p w14:paraId="05C57CC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activities have been implemented in order to complete the project </w:t>
            </w:r>
          </w:p>
        </w:tc>
        <w:tc>
          <w:tcPr>
            <w:tcW w:w="1497" w:type="dxa"/>
            <w:shd w:val="clear" w:color="auto" w:fill="auto"/>
          </w:tcPr>
          <w:p w14:paraId="04510B7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Capital budget of Montenegro </w:t>
            </w:r>
          </w:p>
        </w:tc>
      </w:tr>
      <w:tr w:rsidR="00861CB1" w:rsidRPr="003C7CB1" w14:paraId="5E30B331" w14:textId="77777777" w:rsidTr="00A45D9A">
        <w:trPr>
          <w:trHeight w:val="1721"/>
          <w:jc w:val="center"/>
        </w:trPr>
        <w:tc>
          <w:tcPr>
            <w:tcW w:w="1980" w:type="dxa"/>
            <w:vMerge/>
            <w:shd w:val="clear" w:color="auto" w:fill="DEEAF6"/>
          </w:tcPr>
          <w:p w14:paraId="5E602FFC"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2B1DC5BE" w14:textId="77777777" w:rsidR="00861CB1" w:rsidRPr="003C7CB1" w:rsidRDefault="00861CB1" w:rsidP="00861CB1">
            <w:pPr>
              <w:spacing w:after="120"/>
              <w:ind w:left="720"/>
              <w:contextualSpacing/>
              <w:rPr>
                <w:rFonts w:ascii="Calibri" w:eastAsia="Calibri" w:hAnsi="Calibri" w:cs="Calibri"/>
              </w:rPr>
            </w:pPr>
            <w:r w:rsidRPr="003C7CB1">
              <w:rPr>
                <w:rFonts w:ascii="Calibri" w:eastAsia="Calibri" w:hAnsi="Calibri" w:cs="Calibri"/>
                <w:bCs/>
              </w:rPr>
              <w:t xml:space="preserve">Implementation of measures and activities to maintain and improve the quality of existing and construction of new pedestrian and bicycle paths outside the city center </w:t>
            </w:r>
          </w:p>
        </w:tc>
        <w:tc>
          <w:tcPr>
            <w:tcW w:w="2402" w:type="dxa"/>
            <w:gridSpan w:val="2"/>
            <w:shd w:val="clear" w:color="auto" w:fill="auto"/>
          </w:tcPr>
          <w:p w14:paraId="3037D2C8"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MED /</w:t>
            </w:r>
          </w:p>
          <w:p w14:paraId="689E047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Cs/>
              </w:rPr>
              <w:t xml:space="preserve">Montenegro Cycling Federation, Mountaineering Association of Montenegro, cycling clubs, LTO </w:t>
            </w:r>
          </w:p>
        </w:tc>
        <w:tc>
          <w:tcPr>
            <w:tcW w:w="1695" w:type="dxa"/>
            <w:shd w:val="clear" w:color="auto" w:fill="auto"/>
          </w:tcPr>
          <w:p w14:paraId="111D4F53"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bCs/>
              </w:rPr>
              <w:t xml:space="preserve">I Q 2023– IV Q 2024 </w:t>
            </w:r>
          </w:p>
        </w:tc>
        <w:tc>
          <w:tcPr>
            <w:tcW w:w="2261" w:type="dxa"/>
            <w:gridSpan w:val="2"/>
            <w:shd w:val="clear" w:color="auto" w:fill="auto"/>
          </w:tcPr>
          <w:p w14:paraId="2C78E8B0"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Number of marked bike trails </w:t>
            </w:r>
          </w:p>
          <w:p w14:paraId="358370FE" w14:textId="77777777" w:rsidR="00861CB1" w:rsidRPr="003C7CB1" w:rsidRDefault="00861CB1" w:rsidP="00861CB1">
            <w:pPr>
              <w:contextualSpacing/>
              <w:jc w:val="center"/>
              <w:rPr>
                <w:rFonts w:ascii="Calibri" w:eastAsia="Calibri" w:hAnsi="Calibri" w:cs="Calibri"/>
                <w:bCs/>
              </w:rPr>
            </w:pPr>
          </w:p>
          <w:p w14:paraId="0E929DF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Cs/>
              </w:rPr>
              <w:t xml:space="preserve">Annual work report of competent institutions and organizations </w:t>
            </w:r>
          </w:p>
        </w:tc>
        <w:tc>
          <w:tcPr>
            <w:tcW w:w="1497" w:type="dxa"/>
            <w:shd w:val="clear" w:color="auto" w:fill="auto"/>
          </w:tcPr>
          <w:p w14:paraId="29C1B59D"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€ 20,000.00 </w:t>
            </w:r>
          </w:p>
          <w:p w14:paraId="07610F12" w14:textId="77777777" w:rsidR="00861CB1" w:rsidRPr="003C7CB1" w:rsidRDefault="00861CB1" w:rsidP="00861CB1">
            <w:pPr>
              <w:jc w:val="center"/>
              <w:rPr>
                <w:rFonts w:ascii="Calibri" w:eastAsia="Calibri" w:hAnsi="Calibri" w:cs="Calibri"/>
                <w:bCs/>
              </w:rPr>
            </w:pPr>
            <w:r w:rsidRPr="003C7CB1">
              <w:rPr>
                <w:rFonts w:ascii="Calibri" w:eastAsia="Calibri" w:hAnsi="Calibri" w:cs="Calibri"/>
                <w:bCs/>
              </w:rPr>
              <w:t xml:space="preserve">Budget of Montenegro </w:t>
            </w:r>
          </w:p>
          <w:p w14:paraId="318BE08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Cs/>
              </w:rPr>
              <w:t xml:space="preserve">Donor funding sources </w:t>
            </w:r>
          </w:p>
        </w:tc>
      </w:tr>
      <w:tr w:rsidR="00861CB1" w:rsidRPr="003C7CB1" w14:paraId="4267F27D" w14:textId="77777777" w:rsidTr="00A45D9A">
        <w:trPr>
          <w:trHeight w:val="1721"/>
          <w:jc w:val="center"/>
        </w:trPr>
        <w:tc>
          <w:tcPr>
            <w:tcW w:w="1980" w:type="dxa"/>
            <w:vMerge/>
            <w:shd w:val="clear" w:color="auto" w:fill="DEEAF6"/>
          </w:tcPr>
          <w:p w14:paraId="0D574216"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678EECF4" w14:textId="77777777" w:rsidR="00861CB1" w:rsidRPr="003C7CB1" w:rsidRDefault="00861CB1" w:rsidP="00861CB1">
            <w:pPr>
              <w:contextualSpacing/>
              <w:rPr>
                <w:rFonts w:ascii="Calibri" w:eastAsia="Calibri" w:hAnsi="Calibri" w:cs="Calibri"/>
                <w:color w:val="000000"/>
                <w:spacing w:val="3"/>
                <w:shd w:val="clear" w:color="auto" w:fill="F8F8F8"/>
              </w:rPr>
            </w:pPr>
            <w:r w:rsidRPr="003C7CB1">
              <w:rPr>
                <w:rFonts w:ascii="Calibri" w:eastAsia="Calibri" w:hAnsi="Calibri" w:cs="Calibri"/>
                <w:color w:val="000000"/>
                <w:spacing w:val="3"/>
                <w:shd w:val="clear" w:color="auto" w:fill="F8F8F8"/>
              </w:rPr>
              <w:t>Development and improvement</w:t>
            </w:r>
          </w:p>
          <w:p w14:paraId="712537DC" w14:textId="77777777" w:rsidR="00861CB1" w:rsidRPr="003C7CB1" w:rsidRDefault="00861CB1" w:rsidP="00861CB1">
            <w:pPr>
              <w:spacing w:after="120"/>
              <w:rPr>
                <w:rFonts w:ascii="Calibri" w:eastAsia="Calibri" w:hAnsi="Calibri" w:cs="Calibri"/>
                <w:color w:val="000000"/>
              </w:rPr>
            </w:pPr>
            <w:r w:rsidRPr="003C7CB1">
              <w:rPr>
                <w:rFonts w:ascii="Calibri" w:eastAsia="Calibri" w:hAnsi="Calibri" w:cs="Calibri"/>
                <w:color w:val="000000"/>
                <w:spacing w:val="3"/>
                <w:shd w:val="clear" w:color="auto" w:fill="F8F8F8"/>
              </w:rPr>
              <w:t xml:space="preserve">e-mobility in the tourism sector in Montenegro </w:t>
            </w:r>
          </w:p>
          <w:p w14:paraId="3BDCF05A" w14:textId="77777777" w:rsidR="00861CB1" w:rsidRPr="003C7CB1" w:rsidRDefault="00861CB1" w:rsidP="00861CB1">
            <w:pPr>
              <w:spacing w:after="120"/>
              <w:rPr>
                <w:rFonts w:ascii="Calibri" w:eastAsia="Calibri" w:hAnsi="Calibri" w:cs="Calibri"/>
                <w:bCs/>
              </w:rPr>
            </w:pPr>
            <w:r w:rsidRPr="003C7CB1">
              <w:rPr>
                <w:rFonts w:ascii="Calibri" w:eastAsia="Calibri" w:hAnsi="Calibri" w:cs="Calibri"/>
                <w:color w:val="000000"/>
              </w:rPr>
              <w:t xml:space="preserve">Introduction of Incentive Measure / co-financing for the procurement of battery electric vehicles in the public sector and tourism industry </w:t>
            </w:r>
          </w:p>
        </w:tc>
        <w:tc>
          <w:tcPr>
            <w:tcW w:w="2402" w:type="dxa"/>
            <w:gridSpan w:val="2"/>
            <w:shd w:val="clear" w:color="auto" w:fill="auto"/>
          </w:tcPr>
          <w:p w14:paraId="25FD893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MESPU, Eco Fund MNE /</w:t>
            </w:r>
          </w:p>
          <w:p w14:paraId="0A8682CA"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rPr>
              <w:t xml:space="preserve">MED </w:t>
            </w:r>
          </w:p>
        </w:tc>
        <w:tc>
          <w:tcPr>
            <w:tcW w:w="1695" w:type="dxa"/>
            <w:shd w:val="clear" w:color="auto" w:fill="auto"/>
          </w:tcPr>
          <w:p w14:paraId="65543781" w14:textId="77777777" w:rsidR="00861CB1" w:rsidRPr="003C7CB1" w:rsidRDefault="00861CB1" w:rsidP="00861CB1">
            <w:pPr>
              <w:spacing w:after="120"/>
              <w:jc w:val="center"/>
              <w:rPr>
                <w:rFonts w:ascii="Calibri" w:eastAsia="Calibri" w:hAnsi="Calibri" w:cs="Calibri"/>
                <w:bCs/>
              </w:rPr>
            </w:pPr>
            <w:r w:rsidRPr="003C7CB1">
              <w:rPr>
                <w:rFonts w:ascii="Calibri" w:eastAsia="Calibri" w:hAnsi="Calibri" w:cs="Calibri"/>
              </w:rPr>
              <w:t xml:space="preserve">I Q – IV Q 2023 </w:t>
            </w:r>
          </w:p>
        </w:tc>
        <w:tc>
          <w:tcPr>
            <w:tcW w:w="2261" w:type="dxa"/>
            <w:gridSpan w:val="2"/>
            <w:shd w:val="clear" w:color="auto" w:fill="auto"/>
          </w:tcPr>
          <w:p w14:paraId="6AE22B9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Incentive measures have been implemented as well as a number of co-financed e-vehicle procurement projects in the tourism industry </w:t>
            </w:r>
          </w:p>
          <w:p w14:paraId="01AE8CD5" w14:textId="77777777" w:rsidR="00861CB1" w:rsidRPr="003C7CB1" w:rsidRDefault="00861CB1" w:rsidP="00861CB1">
            <w:pPr>
              <w:contextualSpacing/>
              <w:jc w:val="center"/>
              <w:rPr>
                <w:rFonts w:ascii="Calibri" w:eastAsia="Calibri" w:hAnsi="Calibri" w:cs="Calibri"/>
              </w:rPr>
            </w:pPr>
          </w:p>
          <w:p w14:paraId="205D868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Number of e-vehicles in the public sector and tourism industry </w:t>
            </w:r>
          </w:p>
          <w:p w14:paraId="3EFF610F" w14:textId="77777777" w:rsidR="00861CB1" w:rsidRPr="003C7CB1" w:rsidRDefault="00861CB1" w:rsidP="00861CB1">
            <w:pPr>
              <w:contextualSpacing/>
              <w:jc w:val="center"/>
              <w:rPr>
                <w:rFonts w:ascii="Calibri" w:eastAsia="Calibri" w:hAnsi="Calibri" w:cs="Calibri"/>
              </w:rPr>
            </w:pPr>
          </w:p>
          <w:p w14:paraId="663B4FC4" w14:textId="77777777" w:rsidR="00861CB1" w:rsidRPr="003C7CB1" w:rsidRDefault="00861CB1" w:rsidP="00861CB1">
            <w:pPr>
              <w:contextualSpacing/>
              <w:jc w:val="center"/>
              <w:rPr>
                <w:rFonts w:ascii="Calibri" w:eastAsia="Calibri" w:hAnsi="Calibri" w:cs="Calibri"/>
                <w:bCs/>
              </w:rPr>
            </w:pPr>
            <w:r w:rsidRPr="003C7CB1">
              <w:rPr>
                <w:rFonts w:ascii="Calibri" w:eastAsia="Calibri" w:hAnsi="Calibri" w:cs="Calibri"/>
                <w:bCs/>
              </w:rPr>
              <w:t xml:space="preserve">Annual work report of competent institutions </w:t>
            </w:r>
          </w:p>
        </w:tc>
        <w:tc>
          <w:tcPr>
            <w:tcW w:w="1497" w:type="dxa"/>
            <w:shd w:val="clear" w:color="auto" w:fill="auto"/>
          </w:tcPr>
          <w:p w14:paraId="0C7011C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Budget of Montenegro, Donor funding sources (Green Climate Fund GCF) co-financing </w:t>
            </w:r>
            <w:r w:rsidRPr="003C7CB1">
              <w:rPr>
                <w:rFonts w:ascii="Calibri" w:eastAsia="Calibri" w:hAnsi="Calibri" w:cs="Calibri"/>
              </w:rPr>
              <w:lastRenderedPageBreak/>
              <w:t xml:space="preserve">from the Budget - assessment according to the Study on the introduction of e-mobility - UNDP: € 7,500 per vehicle - 50 vehicles in the first year of implementation of incentive measures </w:t>
            </w:r>
          </w:p>
        </w:tc>
      </w:tr>
      <w:tr w:rsidR="00861CB1" w:rsidRPr="003C7CB1" w14:paraId="71EFEE31" w14:textId="77777777" w:rsidTr="00A45D9A">
        <w:trPr>
          <w:trHeight w:val="792"/>
          <w:jc w:val="center"/>
        </w:trPr>
        <w:tc>
          <w:tcPr>
            <w:tcW w:w="1980" w:type="dxa"/>
            <w:vMerge/>
            <w:shd w:val="clear" w:color="auto" w:fill="DEEAF6"/>
          </w:tcPr>
          <w:p w14:paraId="28CE7968"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14145603"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Preparation of the Analysis of the possibility of building promenades along riverbeds as part of the tourist offer in municipalities where it can be implemented </w:t>
            </w:r>
          </w:p>
        </w:tc>
        <w:tc>
          <w:tcPr>
            <w:tcW w:w="2402" w:type="dxa"/>
            <w:gridSpan w:val="2"/>
            <w:shd w:val="clear" w:color="auto" w:fill="auto"/>
          </w:tcPr>
          <w:p w14:paraId="6B3472A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Local governments /LTO, MESPU </w:t>
            </w:r>
          </w:p>
        </w:tc>
        <w:tc>
          <w:tcPr>
            <w:tcW w:w="1695" w:type="dxa"/>
            <w:shd w:val="clear" w:color="auto" w:fill="auto"/>
          </w:tcPr>
          <w:p w14:paraId="561F4809"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auto"/>
          </w:tcPr>
          <w:p w14:paraId="091B535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analyzes have been conducted </w:t>
            </w:r>
          </w:p>
          <w:p w14:paraId="7858204A" w14:textId="77777777" w:rsidR="00861CB1" w:rsidRPr="003C7CB1" w:rsidRDefault="00861CB1" w:rsidP="00861CB1">
            <w:pPr>
              <w:contextualSpacing/>
              <w:jc w:val="center"/>
              <w:rPr>
                <w:rFonts w:ascii="Calibri" w:eastAsia="Calibri" w:hAnsi="Calibri" w:cs="Calibri"/>
              </w:rPr>
            </w:pPr>
          </w:p>
          <w:p w14:paraId="67DBBD3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bCs/>
              </w:rPr>
              <w:t xml:space="preserve">Annual work report of </w:t>
            </w:r>
            <w:r w:rsidRPr="003C7CB1">
              <w:rPr>
                <w:rFonts w:ascii="Calibri" w:eastAsia="Calibri" w:hAnsi="Calibri" w:cs="Calibri"/>
              </w:rPr>
              <w:t xml:space="preserve">local governments </w:t>
            </w:r>
          </w:p>
        </w:tc>
        <w:tc>
          <w:tcPr>
            <w:tcW w:w="1497" w:type="dxa"/>
            <w:shd w:val="clear" w:color="auto" w:fill="auto"/>
          </w:tcPr>
          <w:p w14:paraId="73F74E2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 Local government budget </w:t>
            </w:r>
          </w:p>
          <w:p w14:paraId="717D560D" w14:textId="77777777" w:rsidR="00861CB1" w:rsidRPr="003C7CB1" w:rsidRDefault="00861CB1" w:rsidP="00861CB1">
            <w:pPr>
              <w:contextualSpacing/>
              <w:jc w:val="center"/>
              <w:rPr>
                <w:rFonts w:ascii="Calibri" w:eastAsia="Calibri" w:hAnsi="Calibri" w:cs="Calibri"/>
              </w:rPr>
            </w:pPr>
          </w:p>
          <w:p w14:paraId="705B198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Donor funds </w:t>
            </w:r>
          </w:p>
        </w:tc>
      </w:tr>
      <w:tr w:rsidR="00861CB1" w:rsidRPr="003C7CB1" w14:paraId="1ECCE2CE" w14:textId="77777777" w:rsidTr="00861CB1">
        <w:trPr>
          <w:trHeight w:val="476"/>
          <w:jc w:val="center"/>
        </w:trPr>
        <w:tc>
          <w:tcPr>
            <w:tcW w:w="13767" w:type="dxa"/>
            <w:gridSpan w:val="8"/>
            <w:shd w:val="clear" w:color="auto" w:fill="FFFFFF"/>
          </w:tcPr>
          <w:p w14:paraId="1C91C204" w14:textId="77777777" w:rsidR="00861CB1" w:rsidRPr="003C7CB1" w:rsidRDefault="00861CB1" w:rsidP="00861CB1">
            <w:pPr>
              <w:contextualSpacing/>
              <w:jc w:val="both"/>
              <w:rPr>
                <w:rFonts w:ascii="Calibri" w:eastAsia="Calibri" w:hAnsi="Calibri" w:cs="Calibri"/>
              </w:rPr>
            </w:pPr>
          </w:p>
        </w:tc>
      </w:tr>
      <w:tr w:rsidR="00861CB1" w:rsidRPr="003C7CB1" w14:paraId="0840ADFF" w14:textId="77777777" w:rsidTr="00A45D9A">
        <w:trPr>
          <w:trHeight w:val="1721"/>
          <w:jc w:val="center"/>
        </w:trPr>
        <w:tc>
          <w:tcPr>
            <w:tcW w:w="1980" w:type="dxa"/>
            <w:shd w:val="clear" w:color="auto" w:fill="DEEAF6"/>
          </w:tcPr>
          <w:p w14:paraId="3525BA06" w14:textId="77777777"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color w:val="000000"/>
              </w:rPr>
              <w:lastRenderedPageBreak/>
              <w:t xml:space="preserve">Operational goal 3: Improved quality and quantity of accommodation capacities </w:t>
            </w:r>
          </w:p>
        </w:tc>
        <w:tc>
          <w:tcPr>
            <w:tcW w:w="3932" w:type="dxa"/>
            <w:shd w:val="clear" w:color="auto" w:fill="auto"/>
          </w:tcPr>
          <w:p w14:paraId="035E5312"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activities to increase standards in registered individual accommodation </w:t>
            </w:r>
          </w:p>
          <w:p w14:paraId="54A599AD" w14:textId="77777777" w:rsidR="00861CB1" w:rsidRPr="003C7CB1" w:rsidRDefault="00861CB1" w:rsidP="00861CB1">
            <w:pPr>
              <w:contextualSpacing/>
              <w:rPr>
                <w:rFonts w:ascii="Calibri" w:eastAsia="Calibri" w:hAnsi="Calibri" w:cs="Calibri"/>
              </w:rPr>
            </w:pPr>
          </w:p>
          <w:p w14:paraId="70056E44"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Incentive measures and certification </w:t>
            </w:r>
          </w:p>
        </w:tc>
        <w:tc>
          <w:tcPr>
            <w:tcW w:w="2402" w:type="dxa"/>
            <w:gridSpan w:val="2"/>
            <w:shd w:val="clear" w:color="auto" w:fill="auto"/>
          </w:tcPr>
          <w:p w14:paraId="1B64208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6B410F1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Chamber of Economy, private sector,</w:t>
            </w:r>
          </w:p>
          <w:p w14:paraId="39ECF81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IDF, ISMA </w:t>
            </w:r>
          </w:p>
        </w:tc>
        <w:tc>
          <w:tcPr>
            <w:tcW w:w="1695" w:type="dxa"/>
            <w:shd w:val="clear" w:color="auto" w:fill="auto"/>
          </w:tcPr>
          <w:p w14:paraId="52F570D4"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2023-IV Q 2024 </w:t>
            </w:r>
          </w:p>
        </w:tc>
        <w:tc>
          <w:tcPr>
            <w:tcW w:w="2261" w:type="dxa"/>
            <w:gridSpan w:val="2"/>
            <w:shd w:val="clear" w:color="auto" w:fill="auto"/>
          </w:tcPr>
          <w:p w14:paraId="2CF647E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high quality registered individual accommodation </w:t>
            </w:r>
          </w:p>
        </w:tc>
        <w:tc>
          <w:tcPr>
            <w:tcW w:w="1497" w:type="dxa"/>
            <w:shd w:val="clear" w:color="auto" w:fill="auto"/>
          </w:tcPr>
          <w:p w14:paraId="7F30A54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57968F2C" w14:textId="77777777" w:rsidTr="00861CB1">
        <w:trPr>
          <w:trHeight w:val="553"/>
          <w:jc w:val="center"/>
        </w:trPr>
        <w:tc>
          <w:tcPr>
            <w:tcW w:w="13767" w:type="dxa"/>
            <w:gridSpan w:val="8"/>
            <w:shd w:val="clear" w:color="auto" w:fill="FFFFFF"/>
          </w:tcPr>
          <w:p w14:paraId="345FBB05" w14:textId="77777777" w:rsidR="00861CB1" w:rsidRPr="003C7CB1" w:rsidRDefault="00861CB1" w:rsidP="006B2751"/>
        </w:tc>
      </w:tr>
      <w:tr w:rsidR="00861CB1" w:rsidRPr="003C7CB1" w14:paraId="6E073275" w14:textId="77777777" w:rsidTr="00A45D9A">
        <w:trPr>
          <w:trHeight w:val="1721"/>
          <w:jc w:val="center"/>
        </w:trPr>
        <w:tc>
          <w:tcPr>
            <w:tcW w:w="1980" w:type="dxa"/>
            <w:vMerge w:val="restart"/>
            <w:shd w:val="clear" w:color="auto" w:fill="DEEAF6"/>
          </w:tcPr>
          <w:p w14:paraId="45FF7B74" w14:textId="77777777"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color w:val="000000"/>
              </w:rPr>
              <w:t xml:space="preserve">Operational goal 4: Improved quality of diversified tourism product </w:t>
            </w:r>
          </w:p>
        </w:tc>
        <w:tc>
          <w:tcPr>
            <w:tcW w:w="3932" w:type="dxa"/>
            <w:shd w:val="clear" w:color="auto" w:fill="auto"/>
          </w:tcPr>
          <w:p w14:paraId="752FDD44"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Adoption of international ISO standards (their introduction into the national framework and implementation in the economy) </w:t>
            </w:r>
          </w:p>
        </w:tc>
        <w:tc>
          <w:tcPr>
            <w:tcW w:w="2402" w:type="dxa"/>
            <w:gridSpan w:val="2"/>
            <w:shd w:val="clear" w:color="auto" w:fill="auto"/>
          </w:tcPr>
          <w:p w14:paraId="48486886"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ISME /</w:t>
            </w:r>
          </w:p>
          <w:p w14:paraId="1CDEA90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 tourism industry </w:t>
            </w:r>
          </w:p>
        </w:tc>
        <w:tc>
          <w:tcPr>
            <w:tcW w:w="1695" w:type="dxa"/>
            <w:shd w:val="clear" w:color="auto" w:fill="auto"/>
          </w:tcPr>
          <w:p w14:paraId="25077545"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auto"/>
          </w:tcPr>
          <w:p w14:paraId="2A2A97F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Number of standards have been adopted</w:t>
            </w:r>
          </w:p>
          <w:p w14:paraId="3F154FB3" w14:textId="77777777" w:rsidR="00861CB1" w:rsidRPr="003C7CB1" w:rsidRDefault="00861CB1" w:rsidP="00861CB1">
            <w:pPr>
              <w:spacing w:after="0" w:line="240" w:lineRule="auto"/>
              <w:jc w:val="center"/>
              <w:rPr>
                <w:rFonts w:ascii="Calibri" w:eastAsia="Calibri" w:hAnsi="Calibri" w:cs="Calibri"/>
              </w:rPr>
            </w:pPr>
          </w:p>
          <w:p w14:paraId="2F9F65D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7" w:type="dxa"/>
            <w:shd w:val="clear" w:color="auto" w:fill="auto"/>
          </w:tcPr>
          <w:p w14:paraId="11138EFA"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€ 10,000.00 </w:t>
            </w:r>
          </w:p>
          <w:p w14:paraId="3660CF6F" w14:textId="77777777" w:rsidR="00861CB1" w:rsidRPr="003C7CB1" w:rsidRDefault="00861CB1" w:rsidP="00861CB1">
            <w:pPr>
              <w:spacing w:after="0" w:line="240" w:lineRule="auto"/>
              <w:rPr>
                <w:rFonts w:ascii="Calibri" w:eastAsia="Calibri" w:hAnsi="Calibri" w:cs="Calibri"/>
              </w:rPr>
            </w:pPr>
          </w:p>
          <w:p w14:paraId="3B029B2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7F9B1507" w14:textId="77777777" w:rsidTr="00A45D9A">
        <w:trPr>
          <w:trHeight w:val="1721"/>
          <w:jc w:val="center"/>
        </w:trPr>
        <w:tc>
          <w:tcPr>
            <w:tcW w:w="1980" w:type="dxa"/>
            <w:vMerge/>
            <w:shd w:val="clear" w:color="auto" w:fill="DEEAF6"/>
          </w:tcPr>
          <w:p w14:paraId="2527A60C"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7D19D16E" w14:textId="77777777" w:rsidR="00861CB1" w:rsidRPr="003C7CB1" w:rsidRDefault="00861CB1" w:rsidP="00861CB1">
            <w:pPr>
              <w:spacing w:after="120"/>
              <w:rPr>
                <w:rFonts w:ascii="Calibri" w:eastAsia="Calibri" w:hAnsi="Calibri" w:cs="Calibri"/>
              </w:rPr>
            </w:pPr>
            <w:r w:rsidRPr="003C7CB1">
              <w:rPr>
                <w:rFonts w:ascii="Calibri" w:eastAsia="Calibri" w:hAnsi="Calibri" w:cs="Calibri"/>
              </w:rPr>
              <w:t xml:space="preserve">Support for the implementation of environmental certificates for accommodation facilities in order to improve the quality of services and encourage efficient use of resources (Ecolabel, </w:t>
            </w:r>
            <w:proofErr w:type="spellStart"/>
            <w:r w:rsidRPr="003C7CB1">
              <w:rPr>
                <w:rFonts w:ascii="Calibri" w:eastAsia="Calibri" w:hAnsi="Calibri" w:cs="Calibri"/>
              </w:rPr>
              <w:t>Travelife</w:t>
            </w:r>
            <w:proofErr w:type="spellEnd"/>
            <w:r w:rsidRPr="003C7CB1">
              <w:rPr>
                <w:rFonts w:ascii="Calibri" w:eastAsia="Calibri" w:hAnsi="Calibri" w:cs="Calibri"/>
              </w:rPr>
              <w:t>)</w:t>
            </w:r>
            <w:r w:rsidRPr="003C7CB1">
              <w:rPr>
                <w:rFonts w:ascii="Calibri" w:eastAsia="Calibri" w:hAnsi="Calibri" w:cs="Calibri"/>
                <w:color w:val="0A0A0A"/>
                <w:spacing w:val="3"/>
                <w:sz w:val="25"/>
                <w:szCs w:val="25"/>
                <w:shd w:val="clear" w:color="auto" w:fill="F8F8F8"/>
              </w:rPr>
              <w:t xml:space="preserve"> </w:t>
            </w:r>
          </w:p>
        </w:tc>
        <w:tc>
          <w:tcPr>
            <w:tcW w:w="2402" w:type="dxa"/>
            <w:gridSpan w:val="2"/>
            <w:shd w:val="clear" w:color="auto" w:fill="auto"/>
          </w:tcPr>
          <w:p w14:paraId="6284563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09EC02C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Donors </w:t>
            </w:r>
          </w:p>
          <w:p w14:paraId="3E343A41"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 </w:t>
            </w:r>
          </w:p>
        </w:tc>
        <w:tc>
          <w:tcPr>
            <w:tcW w:w="1695" w:type="dxa"/>
            <w:shd w:val="clear" w:color="auto" w:fill="auto"/>
          </w:tcPr>
          <w:p w14:paraId="74ABA9E6"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auto"/>
          </w:tcPr>
          <w:p w14:paraId="78A1D80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Number of accommodation facilities were awarded an eco-certificate</w:t>
            </w:r>
          </w:p>
          <w:p w14:paraId="73E9B84B" w14:textId="77777777" w:rsidR="00861CB1" w:rsidRPr="003C7CB1" w:rsidRDefault="00861CB1" w:rsidP="00861CB1">
            <w:pPr>
              <w:contextualSpacing/>
              <w:jc w:val="center"/>
              <w:rPr>
                <w:rFonts w:ascii="Calibri" w:eastAsia="Calibri" w:hAnsi="Calibri" w:cs="Calibri"/>
              </w:rPr>
            </w:pPr>
          </w:p>
          <w:p w14:paraId="68500C28"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Annual work report of MED </w:t>
            </w:r>
          </w:p>
        </w:tc>
        <w:tc>
          <w:tcPr>
            <w:tcW w:w="1497" w:type="dxa"/>
            <w:shd w:val="clear" w:color="auto" w:fill="auto"/>
          </w:tcPr>
          <w:p w14:paraId="61EF3E8F" w14:textId="77777777" w:rsidR="00861CB1" w:rsidRPr="003C7CB1" w:rsidRDefault="00861CB1" w:rsidP="00861CB1">
            <w:pPr>
              <w:contextualSpacing/>
              <w:jc w:val="center"/>
              <w:rPr>
                <w:rFonts w:ascii="Calibri" w:eastAsia="Calibri" w:hAnsi="Calibri" w:cs="Calibri"/>
                <w:color w:val="000000"/>
              </w:rPr>
            </w:pPr>
            <w:r w:rsidRPr="003C7CB1">
              <w:rPr>
                <w:rFonts w:ascii="Calibri" w:eastAsia="Calibri" w:hAnsi="Calibri" w:cs="Calibri"/>
                <w:color w:val="000000"/>
              </w:rPr>
              <w:t xml:space="preserve">Budget of Montenegro </w:t>
            </w:r>
          </w:p>
          <w:p w14:paraId="323FE099" w14:textId="77777777" w:rsidR="00861CB1" w:rsidRPr="003C7CB1" w:rsidRDefault="00861CB1" w:rsidP="00861CB1">
            <w:pPr>
              <w:contextualSpacing/>
              <w:jc w:val="center"/>
              <w:rPr>
                <w:rFonts w:ascii="Calibri" w:eastAsia="Calibri" w:hAnsi="Calibri" w:cs="Calibri"/>
                <w:color w:val="000000"/>
              </w:rPr>
            </w:pPr>
          </w:p>
          <w:p w14:paraId="57980F98"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color w:val="000000"/>
              </w:rPr>
              <w:t xml:space="preserve">Donor funds </w:t>
            </w:r>
          </w:p>
        </w:tc>
      </w:tr>
      <w:tr w:rsidR="00861CB1" w:rsidRPr="003C7CB1" w14:paraId="0F759048" w14:textId="77777777" w:rsidTr="00A45D9A">
        <w:trPr>
          <w:trHeight w:val="1721"/>
          <w:jc w:val="center"/>
        </w:trPr>
        <w:tc>
          <w:tcPr>
            <w:tcW w:w="1980" w:type="dxa"/>
            <w:vMerge/>
            <w:shd w:val="clear" w:color="auto" w:fill="DEEAF6"/>
          </w:tcPr>
          <w:p w14:paraId="7B82B370"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602AC04E"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Introduction of national certificates in the tourism industry (hospitality and accommodation facilities) </w:t>
            </w:r>
          </w:p>
          <w:p w14:paraId="63204A79"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-Analysis of the situation and examples of good practice (certificate for rural tourism, accommodation facilities, etc.) </w:t>
            </w:r>
          </w:p>
          <w:p w14:paraId="68D5F180" w14:textId="77777777" w:rsidR="00861CB1" w:rsidRPr="003C7CB1" w:rsidRDefault="00861CB1" w:rsidP="00861CB1">
            <w:pPr>
              <w:spacing w:after="120"/>
              <w:jc w:val="both"/>
              <w:rPr>
                <w:rFonts w:ascii="Calibri" w:eastAsia="Calibri" w:hAnsi="Calibri" w:cs="Calibri"/>
              </w:rPr>
            </w:pPr>
          </w:p>
        </w:tc>
        <w:tc>
          <w:tcPr>
            <w:tcW w:w="2402" w:type="dxa"/>
            <w:gridSpan w:val="2"/>
            <w:shd w:val="clear" w:color="auto" w:fill="auto"/>
          </w:tcPr>
          <w:p w14:paraId="729EAAC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MED /</w:t>
            </w:r>
          </w:p>
          <w:p w14:paraId="4C0A174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Donors</w:t>
            </w:r>
          </w:p>
          <w:p w14:paraId="3A2C55EA"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NTO, ISME </w:t>
            </w:r>
          </w:p>
        </w:tc>
        <w:tc>
          <w:tcPr>
            <w:tcW w:w="1695" w:type="dxa"/>
            <w:shd w:val="clear" w:color="auto" w:fill="auto"/>
          </w:tcPr>
          <w:p w14:paraId="51E8B84A"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auto"/>
          </w:tcPr>
          <w:p w14:paraId="67F2D74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national certificates have been established </w:t>
            </w:r>
          </w:p>
          <w:p w14:paraId="6A38D9CA" w14:textId="77777777" w:rsidR="00861CB1" w:rsidRPr="003C7CB1" w:rsidRDefault="00861CB1" w:rsidP="00861CB1">
            <w:pPr>
              <w:contextualSpacing/>
              <w:jc w:val="center"/>
              <w:rPr>
                <w:rFonts w:ascii="Calibri" w:eastAsia="Calibri" w:hAnsi="Calibri" w:cs="Calibri"/>
              </w:rPr>
            </w:pPr>
          </w:p>
          <w:p w14:paraId="2207F9EB"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lastRenderedPageBreak/>
              <w:t xml:space="preserve">Annual work report of competent institutions and MED </w:t>
            </w:r>
          </w:p>
        </w:tc>
        <w:tc>
          <w:tcPr>
            <w:tcW w:w="1497" w:type="dxa"/>
            <w:shd w:val="clear" w:color="auto" w:fill="auto"/>
          </w:tcPr>
          <w:p w14:paraId="270B768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lastRenderedPageBreak/>
              <w:t xml:space="preserve">Budget of Montenegro </w:t>
            </w:r>
          </w:p>
          <w:p w14:paraId="7DCFD251" w14:textId="77777777" w:rsidR="00861CB1" w:rsidRPr="003C7CB1" w:rsidRDefault="00861CB1" w:rsidP="00861CB1">
            <w:pPr>
              <w:contextualSpacing/>
              <w:jc w:val="center"/>
              <w:rPr>
                <w:rFonts w:ascii="Calibri" w:eastAsia="Calibri" w:hAnsi="Calibri" w:cs="Calibri"/>
              </w:rPr>
            </w:pPr>
          </w:p>
          <w:p w14:paraId="28C45820"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Donor funds </w:t>
            </w:r>
          </w:p>
        </w:tc>
      </w:tr>
      <w:tr w:rsidR="00861CB1" w:rsidRPr="003C7CB1" w14:paraId="7FB47254" w14:textId="77777777" w:rsidTr="00A45D9A">
        <w:trPr>
          <w:trHeight w:val="1721"/>
          <w:jc w:val="center"/>
        </w:trPr>
        <w:tc>
          <w:tcPr>
            <w:tcW w:w="1980" w:type="dxa"/>
            <w:vMerge/>
            <w:shd w:val="clear" w:color="auto" w:fill="DEEAF6"/>
          </w:tcPr>
          <w:p w14:paraId="2C2CC6AA" w14:textId="77777777" w:rsidR="00861CB1" w:rsidRPr="003C7CB1" w:rsidRDefault="00861CB1" w:rsidP="00861CB1">
            <w:pPr>
              <w:spacing w:after="120"/>
              <w:rPr>
                <w:rFonts w:ascii="Calibri" w:eastAsia="Calibri" w:hAnsi="Calibri" w:cs="Calibri"/>
                <w:b/>
                <w:color w:val="000000"/>
              </w:rPr>
            </w:pPr>
          </w:p>
        </w:tc>
        <w:tc>
          <w:tcPr>
            <w:tcW w:w="3932" w:type="dxa"/>
          </w:tcPr>
          <w:p w14:paraId="4CCE3D8D"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the Rural Tourism Development Program of Montenegro with the Action Plan for 2023-2025 </w:t>
            </w:r>
          </w:p>
        </w:tc>
        <w:tc>
          <w:tcPr>
            <w:tcW w:w="2402" w:type="dxa"/>
            <w:gridSpan w:val="2"/>
          </w:tcPr>
          <w:p w14:paraId="1F1C233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1580ACE9" w14:textId="4193D9F6" w:rsidR="00861CB1" w:rsidRPr="003C7CB1" w:rsidRDefault="00AE5C5F" w:rsidP="00861CB1">
            <w:pPr>
              <w:contextualSpacing/>
              <w:jc w:val="center"/>
              <w:rPr>
                <w:rFonts w:ascii="Calibri" w:eastAsia="Calibri" w:hAnsi="Calibri" w:cs="Calibri"/>
              </w:rPr>
            </w:pPr>
            <w:r w:rsidRPr="003C7CB1">
              <w:rPr>
                <w:rFonts w:ascii="Calibri" w:eastAsia="Calibri" w:hAnsi="Calibri" w:cs="Calibri"/>
              </w:rPr>
              <w:t>MAFWM, CEM</w:t>
            </w:r>
          </w:p>
          <w:p w14:paraId="047620A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tourism industry, local government, NTO </w:t>
            </w:r>
          </w:p>
        </w:tc>
        <w:tc>
          <w:tcPr>
            <w:tcW w:w="1695" w:type="dxa"/>
          </w:tcPr>
          <w:p w14:paraId="42CEFDAF"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III Q 2023 </w:t>
            </w:r>
          </w:p>
        </w:tc>
        <w:tc>
          <w:tcPr>
            <w:tcW w:w="2261" w:type="dxa"/>
            <w:gridSpan w:val="2"/>
          </w:tcPr>
          <w:p w14:paraId="19E6EEB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Program has been adopted</w:t>
            </w:r>
          </w:p>
          <w:p w14:paraId="4B6037D9" w14:textId="77777777" w:rsidR="00861CB1" w:rsidRPr="003C7CB1" w:rsidRDefault="00861CB1" w:rsidP="00861CB1">
            <w:pPr>
              <w:contextualSpacing/>
              <w:jc w:val="center"/>
              <w:rPr>
                <w:rFonts w:ascii="Calibri" w:eastAsia="Calibri" w:hAnsi="Calibri" w:cs="Calibri"/>
              </w:rPr>
            </w:pPr>
          </w:p>
          <w:p w14:paraId="454B4C1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Annual work report of competent institutions</w:t>
            </w:r>
          </w:p>
        </w:tc>
        <w:tc>
          <w:tcPr>
            <w:tcW w:w="1497" w:type="dxa"/>
          </w:tcPr>
          <w:p w14:paraId="74B3A49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€ 10,000.00  </w:t>
            </w:r>
          </w:p>
          <w:p w14:paraId="2ABD12B6" w14:textId="77777777" w:rsidR="00861CB1" w:rsidRPr="003C7CB1" w:rsidRDefault="00861CB1" w:rsidP="00861CB1">
            <w:pPr>
              <w:contextualSpacing/>
              <w:jc w:val="center"/>
              <w:rPr>
                <w:rFonts w:ascii="Calibri" w:eastAsia="Calibri" w:hAnsi="Calibri" w:cs="Calibri"/>
              </w:rPr>
            </w:pPr>
          </w:p>
          <w:p w14:paraId="3283A74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54D36D79" w14:textId="77777777" w:rsidTr="00A45D9A">
        <w:trPr>
          <w:trHeight w:val="1721"/>
          <w:jc w:val="center"/>
        </w:trPr>
        <w:tc>
          <w:tcPr>
            <w:tcW w:w="1980" w:type="dxa"/>
            <w:vMerge/>
            <w:shd w:val="clear" w:color="auto" w:fill="DEEAF6"/>
          </w:tcPr>
          <w:p w14:paraId="4892FB2C" w14:textId="77777777" w:rsidR="00861CB1" w:rsidRPr="003C7CB1" w:rsidRDefault="00861CB1" w:rsidP="00861CB1">
            <w:pPr>
              <w:spacing w:after="120"/>
              <w:rPr>
                <w:rFonts w:ascii="Calibri" w:eastAsia="Calibri" w:hAnsi="Calibri" w:cs="Calibri"/>
                <w:b/>
                <w:color w:val="000000"/>
              </w:rPr>
            </w:pPr>
          </w:p>
        </w:tc>
        <w:tc>
          <w:tcPr>
            <w:tcW w:w="3932" w:type="dxa"/>
          </w:tcPr>
          <w:p w14:paraId="49BAAE29"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the Cultural Tourism Development Program of Montenegro with the Action Plan for 2023-2025 </w:t>
            </w:r>
          </w:p>
        </w:tc>
        <w:tc>
          <w:tcPr>
            <w:tcW w:w="2402" w:type="dxa"/>
            <w:gridSpan w:val="2"/>
          </w:tcPr>
          <w:p w14:paraId="19B8394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4B7B3A1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MESCS, CEM local government, NTO </w:t>
            </w:r>
          </w:p>
        </w:tc>
        <w:tc>
          <w:tcPr>
            <w:tcW w:w="1695" w:type="dxa"/>
          </w:tcPr>
          <w:p w14:paraId="516FFBD0"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III Q 2023 </w:t>
            </w:r>
          </w:p>
        </w:tc>
        <w:tc>
          <w:tcPr>
            <w:tcW w:w="2261" w:type="dxa"/>
            <w:gridSpan w:val="2"/>
          </w:tcPr>
          <w:p w14:paraId="501C3FA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has been adopted </w:t>
            </w:r>
          </w:p>
          <w:p w14:paraId="66C251B0" w14:textId="77777777" w:rsidR="00861CB1" w:rsidRPr="003C7CB1" w:rsidRDefault="00861CB1" w:rsidP="00861CB1">
            <w:pPr>
              <w:contextualSpacing/>
              <w:jc w:val="center"/>
              <w:rPr>
                <w:rFonts w:ascii="Calibri" w:eastAsia="Calibri" w:hAnsi="Calibri" w:cs="Calibri"/>
              </w:rPr>
            </w:pPr>
          </w:p>
          <w:p w14:paraId="47C4C85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7" w:type="dxa"/>
          </w:tcPr>
          <w:p w14:paraId="6346B80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€ 10,000.00 </w:t>
            </w:r>
          </w:p>
          <w:p w14:paraId="2B0EB923" w14:textId="77777777" w:rsidR="00861CB1" w:rsidRPr="003C7CB1" w:rsidRDefault="00861CB1" w:rsidP="00861CB1">
            <w:pPr>
              <w:contextualSpacing/>
              <w:jc w:val="center"/>
              <w:rPr>
                <w:rFonts w:ascii="Calibri" w:eastAsia="Calibri" w:hAnsi="Calibri" w:cs="Calibri"/>
              </w:rPr>
            </w:pPr>
          </w:p>
          <w:p w14:paraId="6EE1505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40FA4360" w14:textId="77777777" w:rsidTr="00A45D9A">
        <w:trPr>
          <w:trHeight w:val="1721"/>
          <w:jc w:val="center"/>
        </w:trPr>
        <w:tc>
          <w:tcPr>
            <w:tcW w:w="1980" w:type="dxa"/>
            <w:vMerge/>
            <w:shd w:val="clear" w:color="auto" w:fill="DEEAF6"/>
          </w:tcPr>
          <w:p w14:paraId="4E1B9565"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133F26C0"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the Health Tourism Development Program of Montenegro with the Action Plan for 2024-2026 </w:t>
            </w:r>
          </w:p>
        </w:tc>
        <w:tc>
          <w:tcPr>
            <w:tcW w:w="2402" w:type="dxa"/>
            <w:gridSpan w:val="2"/>
            <w:shd w:val="clear" w:color="auto" w:fill="auto"/>
          </w:tcPr>
          <w:p w14:paraId="78BE4C2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377D0535" w14:textId="2A78B466" w:rsidR="00861CB1" w:rsidRPr="003C7CB1" w:rsidRDefault="00AE5C5F" w:rsidP="00861CB1">
            <w:pPr>
              <w:contextualSpacing/>
              <w:jc w:val="center"/>
              <w:rPr>
                <w:rFonts w:ascii="Calibri" w:eastAsia="Calibri" w:hAnsi="Calibri" w:cs="Calibri"/>
              </w:rPr>
            </w:pPr>
            <w:r w:rsidRPr="003C7CB1">
              <w:rPr>
                <w:rFonts w:ascii="Calibri" w:eastAsia="Calibri" w:hAnsi="Calibri" w:cs="Calibri"/>
              </w:rPr>
              <w:t>MOH, CEM</w:t>
            </w:r>
            <w:r w:rsidR="00861CB1" w:rsidRPr="003C7CB1">
              <w:rPr>
                <w:rFonts w:ascii="Calibri" w:eastAsia="Calibri" w:hAnsi="Calibri" w:cs="Calibri"/>
              </w:rPr>
              <w:t>,</w:t>
            </w:r>
          </w:p>
          <w:p w14:paraId="523D983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tourism industry, local government, NTO </w:t>
            </w:r>
          </w:p>
        </w:tc>
        <w:tc>
          <w:tcPr>
            <w:tcW w:w="1695" w:type="dxa"/>
            <w:shd w:val="clear" w:color="auto" w:fill="auto"/>
          </w:tcPr>
          <w:p w14:paraId="20049D1E"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auto"/>
          </w:tcPr>
          <w:p w14:paraId="6C0C516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has been adopted </w:t>
            </w:r>
          </w:p>
          <w:p w14:paraId="2F9BBD87"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7" w:type="dxa"/>
            <w:shd w:val="clear" w:color="auto" w:fill="auto"/>
          </w:tcPr>
          <w:p w14:paraId="04C2A71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€ 10,000.00 </w:t>
            </w:r>
          </w:p>
          <w:p w14:paraId="3A918017" w14:textId="77777777" w:rsidR="00861CB1" w:rsidRPr="003C7CB1" w:rsidRDefault="00861CB1" w:rsidP="00861CB1">
            <w:pPr>
              <w:contextualSpacing/>
              <w:jc w:val="center"/>
              <w:rPr>
                <w:rFonts w:ascii="Calibri" w:eastAsia="Calibri" w:hAnsi="Calibri" w:cs="Calibri"/>
              </w:rPr>
            </w:pPr>
          </w:p>
          <w:p w14:paraId="7AEBBE8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6EE546ED" w14:textId="77777777" w:rsidTr="00A45D9A">
        <w:trPr>
          <w:trHeight w:val="1721"/>
          <w:jc w:val="center"/>
        </w:trPr>
        <w:tc>
          <w:tcPr>
            <w:tcW w:w="1980" w:type="dxa"/>
            <w:vMerge/>
            <w:shd w:val="clear" w:color="auto" w:fill="DEEAF6"/>
          </w:tcPr>
          <w:p w14:paraId="5BF78208"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auto"/>
          </w:tcPr>
          <w:p w14:paraId="414443AC"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the Tourism Development Program in Protected Areas of Montenegro with the Action Plan for 2025-2027 </w:t>
            </w:r>
          </w:p>
        </w:tc>
        <w:tc>
          <w:tcPr>
            <w:tcW w:w="2402" w:type="dxa"/>
            <w:gridSpan w:val="2"/>
            <w:shd w:val="clear" w:color="auto" w:fill="auto"/>
          </w:tcPr>
          <w:p w14:paraId="72E5045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56E5265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MESPU,</w:t>
            </w:r>
          </w:p>
          <w:p w14:paraId="2FFBFD0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PENPM, local government,</w:t>
            </w:r>
          </w:p>
          <w:p w14:paraId="71266B8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Nature parks </w:t>
            </w:r>
          </w:p>
        </w:tc>
        <w:tc>
          <w:tcPr>
            <w:tcW w:w="1695" w:type="dxa"/>
            <w:shd w:val="clear" w:color="auto" w:fill="auto"/>
          </w:tcPr>
          <w:p w14:paraId="69F700AA"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-IV Q 2024 </w:t>
            </w:r>
          </w:p>
        </w:tc>
        <w:tc>
          <w:tcPr>
            <w:tcW w:w="2261" w:type="dxa"/>
            <w:gridSpan w:val="2"/>
            <w:shd w:val="clear" w:color="auto" w:fill="auto"/>
          </w:tcPr>
          <w:p w14:paraId="43E15AA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Program has been adopted </w:t>
            </w:r>
          </w:p>
          <w:p w14:paraId="375F1A1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7" w:type="dxa"/>
            <w:shd w:val="clear" w:color="auto" w:fill="auto"/>
          </w:tcPr>
          <w:p w14:paraId="567906B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€ 50,000.00 </w:t>
            </w:r>
          </w:p>
          <w:p w14:paraId="7C03D8A5" w14:textId="77777777" w:rsidR="00861CB1" w:rsidRPr="003C7CB1" w:rsidRDefault="00861CB1" w:rsidP="00861CB1">
            <w:pPr>
              <w:contextualSpacing/>
              <w:jc w:val="center"/>
              <w:rPr>
                <w:rFonts w:ascii="Calibri" w:eastAsia="Calibri" w:hAnsi="Calibri" w:cs="Calibri"/>
              </w:rPr>
            </w:pPr>
          </w:p>
          <w:p w14:paraId="3A9B324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283BD595" w14:textId="77777777" w:rsidTr="00A45D9A">
        <w:trPr>
          <w:trHeight w:val="362"/>
          <w:jc w:val="center"/>
        </w:trPr>
        <w:tc>
          <w:tcPr>
            <w:tcW w:w="1980" w:type="dxa"/>
            <w:shd w:val="clear" w:color="auto" w:fill="FFFFFF"/>
          </w:tcPr>
          <w:p w14:paraId="6CDEF093"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FFFFFF"/>
          </w:tcPr>
          <w:p w14:paraId="3FC0289F" w14:textId="77777777" w:rsidR="00861CB1" w:rsidRPr="003C7CB1" w:rsidRDefault="00861CB1" w:rsidP="00861CB1">
            <w:pPr>
              <w:contextualSpacing/>
              <w:rPr>
                <w:rFonts w:ascii="Calibri" w:eastAsia="Calibri" w:hAnsi="Calibri" w:cs="Calibri"/>
              </w:rPr>
            </w:pPr>
          </w:p>
        </w:tc>
        <w:tc>
          <w:tcPr>
            <w:tcW w:w="2402" w:type="dxa"/>
            <w:gridSpan w:val="2"/>
            <w:shd w:val="clear" w:color="auto" w:fill="FFFFFF"/>
          </w:tcPr>
          <w:p w14:paraId="49E320EC" w14:textId="77777777" w:rsidR="00861CB1" w:rsidRPr="003C7CB1" w:rsidRDefault="00861CB1" w:rsidP="00861CB1">
            <w:pPr>
              <w:contextualSpacing/>
              <w:jc w:val="center"/>
              <w:rPr>
                <w:rFonts w:ascii="Calibri" w:eastAsia="Calibri" w:hAnsi="Calibri" w:cs="Calibri"/>
              </w:rPr>
            </w:pPr>
          </w:p>
        </w:tc>
        <w:tc>
          <w:tcPr>
            <w:tcW w:w="1695" w:type="dxa"/>
            <w:shd w:val="clear" w:color="auto" w:fill="FFFFFF"/>
          </w:tcPr>
          <w:p w14:paraId="2972CA50" w14:textId="77777777" w:rsidR="00861CB1" w:rsidRPr="003C7CB1" w:rsidRDefault="00861CB1" w:rsidP="00861CB1">
            <w:pPr>
              <w:spacing w:after="120"/>
              <w:jc w:val="center"/>
              <w:rPr>
                <w:rFonts w:ascii="Calibri" w:eastAsia="Calibri" w:hAnsi="Calibri" w:cs="Calibri"/>
              </w:rPr>
            </w:pPr>
          </w:p>
        </w:tc>
        <w:tc>
          <w:tcPr>
            <w:tcW w:w="2261" w:type="dxa"/>
            <w:gridSpan w:val="2"/>
            <w:shd w:val="clear" w:color="auto" w:fill="FFFFFF"/>
          </w:tcPr>
          <w:p w14:paraId="33C82AF7" w14:textId="77777777" w:rsidR="00861CB1" w:rsidRPr="003C7CB1" w:rsidRDefault="00861CB1" w:rsidP="00861CB1">
            <w:pPr>
              <w:contextualSpacing/>
              <w:jc w:val="center"/>
              <w:rPr>
                <w:rFonts w:ascii="Calibri" w:eastAsia="Calibri" w:hAnsi="Calibri" w:cs="Calibri"/>
              </w:rPr>
            </w:pPr>
          </w:p>
        </w:tc>
        <w:tc>
          <w:tcPr>
            <w:tcW w:w="1497" w:type="dxa"/>
            <w:shd w:val="clear" w:color="auto" w:fill="FFFFFF"/>
          </w:tcPr>
          <w:p w14:paraId="21251FA6" w14:textId="77777777" w:rsidR="00861CB1" w:rsidRPr="003C7CB1" w:rsidRDefault="00861CB1" w:rsidP="00861CB1">
            <w:pPr>
              <w:contextualSpacing/>
              <w:jc w:val="center"/>
              <w:rPr>
                <w:rFonts w:ascii="Calibri" w:eastAsia="Calibri" w:hAnsi="Calibri" w:cs="Calibri"/>
              </w:rPr>
            </w:pPr>
          </w:p>
        </w:tc>
      </w:tr>
      <w:tr w:rsidR="00861CB1" w:rsidRPr="003C7CB1" w14:paraId="63F4A4B6" w14:textId="77777777" w:rsidTr="00A45D9A">
        <w:trPr>
          <w:trHeight w:val="503"/>
          <w:jc w:val="center"/>
        </w:trPr>
        <w:tc>
          <w:tcPr>
            <w:tcW w:w="1980" w:type="dxa"/>
            <w:vMerge w:val="restart"/>
            <w:shd w:val="clear" w:color="auto" w:fill="DEEAF6"/>
          </w:tcPr>
          <w:p w14:paraId="1A7D8A66" w14:textId="77777777" w:rsidR="00861CB1" w:rsidRPr="006B2751" w:rsidRDefault="00861CB1" w:rsidP="006B2751">
            <w:pPr>
              <w:rPr>
                <w:b/>
              </w:rPr>
            </w:pPr>
            <w:r w:rsidRPr="006B2751">
              <w:rPr>
                <w:b/>
              </w:rPr>
              <w:t xml:space="preserve">Operational goal 5: Improved human resources, knowledge and skills in tourism </w:t>
            </w:r>
          </w:p>
        </w:tc>
        <w:tc>
          <w:tcPr>
            <w:tcW w:w="3932" w:type="dxa"/>
            <w:shd w:val="clear" w:color="auto" w:fill="FFFFFF"/>
          </w:tcPr>
          <w:p w14:paraId="5D3339A7"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Preparation of the Strategy for Human Resources Development in Tourism with the Action Plan for 2024-2027 </w:t>
            </w:r>
          </w:p>
        </w:tc>
        <w:tc>
          <w:tcPr>
            <w:tcW w:w="2402" w:type="dxa"/>
            <w:gridSpan w:val="2"/>
            <w:shd w:val="clear" w:color="auto" w:fill="FFFFFF"/>
          </w:tcPr>
          <w:p w14:paraId="1137AA4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MED /</w:t>
            </w:r>
          </w:p>
          <w:p w14:paraId="1F8BAA14"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MESCS , CEM tourism industry </w:t>
            </w:r>
          </w:p>
        </w:tc>
        <w:tc>
          <w:tcPr>
            <w:tcW w:w="1695" w:type="dxa"/>
            <w:shd w:val="clear" w:color="auto" w:fill="FFFFFF"/>
          </w:tcPr>
          <w:p w14:paraId="4C087DA8"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FFFFFF"/>
          </w:tcPr>
          <w:p w14:paraId="7CC97F4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Strategy</w:t>
            </w:r>
            <w:r w:rsidRPr="003C7CB1">
              <w:rPr>
                <w:rFonts w:ascii="Arial" w:eastAsia="Calibri" w:hAnsi="Arial" w:cs="Times New Roman"/>
              </w:rPr>
              <w:t xml:space="preserve"> </w:t>
            </w:r>
            <w:r w:rsidRPr="003C7CB1">
              <w:rPr>
                <w:rFonts w:ascii="Calibri" w:eastAsia="Calibri" w:hAnsi="Calibri" w:cs="Calibri"/>
              </w:rPr>
              <w:t xml:space="preserve">has been adopted </w:t>
            </w:r>
          </w:p>
          <w:p w14:paraId="5925B50B" w14:textId="77777777" w:rsidR="00861CB1" w:rsidRPr="003C7CB1" w:rsidRDefault="00861CB1" w:rsidP="00861CB1">
            <w:pPr>
              <w:contextualSpacing/>
              <w:jc w:val="center"/>
              <w:rPr>
                <w:rFonts w:ascii="Calibri" w:eastAsia="Calibri" w:hAnsi="Calibri" w:cs="Calibri"/>
              </w:rPr>
            </w:pPr>
          </w:p>
          <w:p w14:paraId="169F3B7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7" w:type="dxa"/>
            <w:shd w:val="clear" w:color="auto" w:fill="FFFFFF"/>
          </w:tcPr>
          <w:p w14:paraId="75B82CB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€ 50,000.00 </w:t>
            </w:r>
          </w:p>
          <w:p w14:paraId="3598AAC5" w14:textId="77777777" w:rsidR="00861CB1" w:rsidRPr="003C7CB1" w:rsidRDefault="00861CB1" w:rsidP="00861CB1">
            <w:pPr>
              <w:contextualSpacing/>
              <w:jc w:val="center"/>
              <w:rPr>
                <w:rFonts w:ascii="Calibri" w:eastAsia="Calibri" w:hAnsi="Calibri" w:cs="Calibri"/>
              </w:rPr>
            </w:pPr>
          </w:p>
          <w:p w14:paraId="3CDC214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the Government of Montenegro </w:t>
            </w:r>
          </w:p>
        </w:tc>
      </w:tr>
      <w:tr w:rsidR="00861CB1" w:rsidRPr="003C7CB1" w14:paraId="5044BCD2" w14:textId="77777777" w:rsidTr="00A45D9A">
        <w:trPr>
          <w:trHeight w:val="503"/>
          <w:jc w:val="center"/>
        </w:trPr>
        <w:tc>
          <w:tcPr>
            <w:tcW w:w="1980" w:type="dxa"/>
            <w:vMerge/>
            <w:shd w:val="clear" w:color="auto" w:fill="DEEAF6"/>
          </w:tcPr>
          <w:p w14:paraId="3B5FBBC0"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FFFFFF"/>
          </w:tcPr>
          <w:p w14:paraId="62B28239"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Organizing the Conference in cooperation with the UNWTO and / or WTTC </w:t>
            </w:r>
          </w:p>
        </w:tc>
        <w:tc>
          <w:tcPr>
            <w:tcW w:w="2402" w:type="dxa"/>
            <w:gridSpan w:val="2"/>
            <w:shd w:val="clear" w:color="auto" w:fill="FFFFFF"/>
          </w:tcPr>
          <w:p w14:paraId="753ABDDD"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MED /</w:t>
            </w:r>
          </w:p>
          <w:p w14:paraId="6992BC79"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UNWTO/WTTC </w:t>
            </w:r>
          </w:p>
        </w:tc>
        <w:tc>
          <w:tcPr>
            <w:tcW w:w="1695" w:type="dxa"/>
            <w:shd w:val="clear" w:color="auto" w:fill="FFFFFF"/>
          </w:tcPr>
          <w:p w14:paraId="3D554B18"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 I Q - IV Q 2023 </w:t>
            </w:r>
          </w:p>
        </w:tc>
        <w:tc>
          <w:tcPr>
            <w:tcW w:w="2261" w:type="dxa"/>
            <w:gridSpan w:val="2"/>
            <w:shd w:val="clear" w:color="auto" w:fill="FFFFFF"/>
          </w:tcPr>
          <w:p w14:paraId="0C2EA91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Conference was held </w:t>
            </w:r>
          </w:p>
          <w:p w14:paraId="7519BB3B" w14:textId="77777777" w:rsidR="00861CB1" w:rsidRPr="003C7CB1" w:rsidRDefault="00861CB1" w:rsidP="00861CB1">
            <w:pPr>
              <w:contextualSpacing/>
              <w:jc w:val="center"/>
              <w:rPr>
                <w:rFonts w:ascii="Calibri" w:eastAsia="Calibri" w:hAnsi="Calibri" w:cs="Calibri"/>
              </w:rPr>
            </w:pPr>
          </w:p>
          <w:p w14:paraId="7730CB8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MED  </w:t>
            </w:r>
          </w:p>
        </w:tc>
        <w:tc>
          <w:tcPr>
            <w:tcW w:w="1497" w:type="dxa"/>
            <w:shd w:val="clear" w:color="auto" w:fill="FFFFFF"/>
          </w:tcPr>
          <w:p w14:paraId="25FC047C"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r w:rsidR="00861CB1" w:rsidRPr="003C7CB1" w14:paraId="0E63E42A" w14:textId="77777777" w:rsidTr="00A45D9A">
        <w:trPr>
          <w:trHeight w:val="503"/>
          <w:jc w:val="center"/>
        </w:trPr>
        <w:tc>
          <w:tcPr>
            <w:tcW w:w="1980" w:type="dxa"/>
            <w:vMerge/>
            <w:shd w:val="clear" w:color="auto" w:fill="DEEAF6"/>
          </w:tcPr>
          <w:p w14:paraId="780CB1D5"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FFFFFF"/>
          </w:tcPr>
          <w:p w14:paraId="1A0F27A6"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bCs/>
              </w:rPr>
              <w:t xml:space="preserve">Organizing trainings and certification of LTO representatives, municipalities by GSTC </w:t>
            </w:r>
          </w:p>
        </w:tc>
        <w:tc>
          <w:tcPr>
            <w:tcW w:w="2402" w:type="dxa"/>
            <w:gridSpan w:val="2"/>
            <w:shd w:val="clear" w:color="auto" w:fill="FFFFFF"/>
          </w:tcPr>
          <w:p w14:paraId="5270DB1A"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LTO, local government / GSTC, Green Destinations </w:t>
            </w:r>
          </w:p>
        </w:tc>
        <w:tc>
          <w:tcPr>
            <w:tcW w:w="1695" w:type="dxa"/>
            <w:shd w:val="clear" w:color="auto" w:fill="FFFFFF"/>
          </w:tcPr>
          <w:p w14:paraId="4E925F71"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FFFFFF"/>
          </w:tcPr>
          <w:p w14:paraId="60645A93"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certificates have been awarded </w:t>
            </w:r>
          </w:p>
          <w:p w14:paraId="04F3A22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(Green Destinations, Good Travel Seal trained representatives LTO </w:t>
            </w:r>
          </w:p>
          <w:p w14:paraId="11A0897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LTO </w:t>
            </w:r>
          </w:p>
        </w:tc>
        <w:tc>
          <w:tcPr>
            <w:tcW w:w="1497" w:type="dxa"/>
            <w:shd w:val="clear" w:color="auto" w:fill="FFFFFF"/>
          </w:tcPr>
          <w:p w14:paraId="56C63EC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Local government budget </w:t>
            </w:r>
          </w:p>
        </w:tc>
      </w:tr>
      <w:tr w:rsidR="00861CB1" w:rsidRPr="003C7CB1" w14:paraId="6C9ECFC8" w14:textId="77777777" w:rsidTr="00861CB1">
        <w:trPr>
          <w:trHeight w:val="503"/>
          <w:jc w:val="center"/>
        </w:trPr>
        <w:tc>
          <w:tcPr>
            <w:tcW w:w="13767" w:type="dxa"/>
            <w:gridSpan w:val="8"/>
            <w:shd w:val="clear" w:color="auto" w:fill="FFFFFF"/>
          </w:tcPr>
          <w:p w14:paraId="2934E0BF" w14:textId="77777777" w:rsidR="00861CB1" w:rsidRPr="003C7CB1" w:rsidRDefault="00861CB1" w:rsidP="00861CB1">
            <w:pPr>
              <w:contextualSpacing/>
              <w:jc w:val="center"/>
              <w:rPr>
                <w:rFonts w:ascii="Calibri" w:eastAsia="Calibri" w:hAnsi="Calibri" w:cs="Calibri"/>
              </w:rPr>
            </w:pPr>
          </w:p>
        </w:tc>
      </w:tr>
      <w:tr w:rsidR="00861CB1" w:rsidRPr="003C7CB1" w14:paraId="5726A2DA" w14:textId="77777777" w:rsidTr="00A45D9A">
        <w:trPr>
          <w:trHeight w:val="503"/>
          <w:jc w:val="center"/>
        </w:trPr>
        <w:tc>
          <w:tcPr>
            <w:tcW w:w="1980" w:type="dxa"/>
            <w:vMerge w:val="restart"/>
            <w:shd w:val="clear" w:color="auto" w:fill="DEEAF6"/>
          </w:tcPr>
          <w:p w14:paraId="2396280A" w14:textId="77777777"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color w:val="000000"/>
              </w:rPr>
              <w:lastRenderedPageBreak/>
              <w:t xml:space="preserve">Operational goal 6: Development of digital, innovative solutions and new technologies in tourism </w:t>
            </w:r>
          </w:p>
        </w:tc>
        <w:tc>
          <w:tcPr>
            <w:tcW w:w="3932" w:type="dxa"/>
            <w:shd w:val="clear" w:color="auto" w:fill="FFFFFF"/>
          </w:tcPr>
          <w:p w14:paraId="528ACF30" w14:textId="77777777" w:rsidR="00861CB1" w:rsidRPr="003C7CB1" w:rsidRDefault="00861CB1" w:rsidP="00861CB1">
            <w:pPr>
              <w:contextualSpacing/>
              <w:rPr>
                <w:rFonts w:ascii="Calibri" w:eastAsia="Calibri" w:hAnsi="Calibri" w:cs="Calibri"/>
                <w:bCs/>
              </w:rPr>
            </w:pPr>
            <w:r w:rsidRPr="003C7CB1">
              <w:rPr>
                <w:rFonts w:ascii="Calibri" w:eastAsia="Calibri" w:hAnsi="Calibri" w:cs="Calibri"/>
              </w:rPr>
              <w:t xml:space="preserve">Introduction of incentive measures for the application of e-business in tourism companies </w:t>
            </w:r>
          </w:p>
        </w:tc>
        <w:tc>
          <w:tcPr>
            <w:tcW w:w="2402" w:type="dxa"/>
            <w:gridSpan w:val="2"/>
            <w:shd w:val="clear" w:color="auto" w:fill="FFFFFF"/>
          </w:tcPr>
          <w:p w14:paraId="323B5030"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Tourism industry / NTO, LTO, MED  </w:t>
            </w:r>
          </w:p>
        </w:tc>
        <w:tc>
          <w:tcPr>
            <w:tcW w:w="1695" w:type="dxa"/>
            <w:shd w:val="clear" w:color="auto" w:fill="FFFFFF"/>
          </w:tcPr>
          <w:p w14:paraId="287FFC8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–IV Q 2023 </w:t>
            </w:r>
          </w:p>
        </w:tc>
        <w:tc>
          <w:tcPr>
            <w:tcW w:w="2261" w:type="dxa"/>
            <w:gridSpan w:val="2"/>
            <w:shd w:val="clear" w:color="auto" w:fill="FFFFFF"/>
          </w:tcPr>
          <w:p w14:paraId="5108B97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Number of companies implementing e-business </w:t>
            </w:r>
          </w:p>
          <w:p w14:paraId="56C0CB72" w14:textId="77777777" w:rsidR="00861CB1" w:rsidRPr="003C7CB1" w:rsidRDefault="00861CB1" w:rsidP="00861CB1">
            <w:pPr>
              <w:contextualSpacing/>
              <w:jc w:val="center"/>
              <w:rPr>
                <w:rFonts w:ascii="Calibri" w:eastAsia="Calibri" w:hAnsi="Calibri" w:cs="Calibri"/>
              </w:rPr>
            </w:pPr>
          </w:p>
          <w:p w14:paraId="3D49C8D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NTO, MED </w:t>
            </w:r>
          </w:p>
        </w:tc>
        <w:tc>
          <w:tcPr>
            <w:tcW w:w="1497" w:type="dxa"/>
            <w:shd w:val="clear" w:color="auto" w:fill="FFFFFF"/>
          </w:tcPr>
          <w:p w14:paraId="52AB3760" w14:textId="77777777" w:rsidR="00861CB1" w:rsidRPr="003C7CB1" w:rsidRDefault="00861CB1" w:rsidP="00861CB1">
            <w:pPr>
              <w:contextualSpacing/>
              <w:jc w:val="center"/>
              <w:rPr>
                <w:rFonts w:ascii="Calibri" w:eastAsia="Calibri" w:hAnsi="Calibri" w:cs="Calibri"/>
              </w:rPr>
            </w:pPr>
          </w:p>
          <w:p w14:paraId="0D783219"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Innovation Fund </w:t>
            </w:r>
          </w:p>
        </w:tc>
      </w:tr>
      <w:tr w:rsidR="00861CB1" w:rsidRPr="003C7CB1" w14:paraId="70B408B8" w14:textId="77777777" w:rsidTr="00A45D9A">
        <w:trPr>
          <w:trHeight w:val="503"/>
          <w:jc w:val="center"/>
        </w:trPr>
        <w:tc>
          <w:tcPr>
            <w:tcW w:w="1980" w:type="dxa"/>
            <w:vMerge/>
            <w:shd w:val="clear" w:color="auto" w:fill="DEEAF6"/>
          </w:tcPr>
          <w:p w14:paraId="004260C3" w14:textId="77777777" w:rsidR="00861CB1" w:rsidRPr="003C7CB1" w:rsidRDefault="00861CB1" w:rsidP="00861CB1">
            <w:pPr>
              <w:spacing w:after="120"/>
              <w:rPr>
                <w:rFonts w:ascii="Calibri" w:eastAsia="Calibri" w:hAnsi="Calibri" w:cs="Calibri"/>
                <w:b/>
                <w:color w:val="000000"/>
              </w:rPr>
            </w:pPr>
          </w:p>
        </w:tc>
        <w:tc>
          <w:tcPr>
            <w:tcW w:w="3932" w:type="dxa"/>
            <w:shd w:val="clear" w:color="auto" w:fill="FFFFFF"/>
          </w:tcPr>
          <w:p w14:paraId="0D86CAF8"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Implementation of the Project for the Introduction of Tourism Satellite Accounting (TSA) in Montenegro </w:t>
            </w:r>
          </w:p>
        </w:tc>
        <w:tc>
          <w:tcPr>
            <w:tcW w:w="2402" w:type="dxa"/>
            <w:gridSpan w:val="2"/>
            <w:shd w:val="clear" w:color="auto" w:fill="FFFFFF"/>
          </w:tcPr>
          <w:p w14:paraId="0725536E"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MONSTAT/</w:t>
            </w:r>
          </w:p>
          <w:p w14:paraId="3DFE61CF" w14:textId="77777777" w:rsidR="00861CB1" w:rsidRPr="003C7CB1" w:rsidRDefault="00861CB1" w:rsidP="00861CB1">
            <w:pPr>
              <w:spacing w:after="0" w:line="240" w:lineRule="auto"/>
              <w:jc w:val="center"/>
              <w:rPr>
                <w:rFonts w:ascii="Calibri" w:eastAsia="Calibri" w:hAnsi="Calibri" w:cs="Calibri"/>
              </w:rPr>
            </w:pPr>
            <w:r w:rsidRPr="003C7CB1">
              <w:rPr>
                <w:rFonts w:ascii="Calibri" w:eastAsia="Calibri" w:hAnsi="Calibri" w:cs="Calibri"/>
              </w:rPr>
              <w:t xml:space="preserve">MED , NTO, CBM </w:t>
            </w:r>
          </w:p>
        </w:tc>
        <w:tc>
          <w:tcPr>
            <w:tcW w:w="1695" w:type="dxa"/>
            <w:shd w:val="clear" w:color="auto" w:fill="FFFFFF"/>
          </w:tcPr>
          <w:p w14:paraId="62FB0CB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FFFFFF"/>
          </w:tcPr>
          <w:p w14:paraId="54245FBD" w14:textId="1DB3AD31"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System of tourism </w:t>
            </w:r>
            <w:r w:rsidR="00AE5C5F" w:rsidRPr="003C7CB1">
              <w:rPr>
                <w:rFonts w:ascii="Calibri" w:eastAsia="Calibri" w:hAnsi="Calibri" w:cs="Calibri"/>
              </w:rPr>
              <w:t>satellite accounting</w:t>
            </w:r>
            <w:r w:rsidRPr="003C7CB1">
              <w:rPr>
                <w:rFonts w:ascii="Calibri" w:eastAsia="Calibri" w:hAnsi="Calibri" w:cs="Calibri"/>
              </w:rPr>
              <w:t xml:space="preserve"> in tourism has been developed </w:t>
            </w:r>
          </w:p>
          <w:p w14:paraId="1279AE87" w14:textId="77777777" w:rsidR="00861CB1" w:rsidRPr="003C7CB1" w:rsidRDefault="00861CB1" w:rsidP="00861CB1">
            <w:pPr>
              <w:contextualSpacing/>
              <w:jc w:val="center"/>
              <w:rPr>
                <w:rFonts w:ascii="Calibri" w:eastAsia="Calibri" w:hAnsi="Calibri" w:cs="Calibri"/>
              </w:rPr>
            </w:pPr>
          </w:p>
          <w:p w14:paraId="612934DA"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competent institutions </w:t>
            </w:r>
          </w:p>
        </w:tc>
        <w:tc>
          <w:tcPr>
            <w:tcW w:w="1497" w:type="dxa"/>
            <w:shd w:val="clear" w:color="auto" w:fill="FFFFFF"/>
          </w:tcPr>
          <w:p w14:paraId="04DD77CD"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p w14:paraId="3F499677" w14:textId="77777777" w:rsidR="00861CB1" w:rsidRPr="003C7CB1" w:rsidRDefault="00861CB1" w:rsidP="00861CB1">
            <w:pPr>
              <w:contextualSpacing/>
              <w:jc w:val="center"/>
              <w:rPr>
                <w:rFonts w:ascii="Calibri" w:eastAsia="Calibri" w:hAnsi="Calibri" w:cs="Calibri"/>
              </w:rPr>
            </w:pPr>
          </w:p>
          <w:p w14:paraId="051E266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Donors </w:t>
            </w:r>
          </w:p>
        </w:tc>
      </w:tr>
      <w:tr w:rsidR="00861CB1" w:rsidRPr="003C7CB1" w14:paraId="5B484AE7" w14:textId="77777777" w:rsidTr="00861CB1">
        <w:trPr>
          <w:trHeight w:val="503"/>
          <w:jc w:val="center"/>
        </w:trPr>
        <w:tc>
          <w:tcPr>
            <w:tcW w:w="13767" w:type="dxa"/>
            <w:gridSpan w:val="8"/>
            <w:shd w:val="clear" w:color="auto" w:fill="FFFFFF"/>
          </w:tcPr>
          <w:p w14:paraId="45BF69BD" w14:textId="77777777" w:rsidR="00861CB1" w:rsidRPr="003C7CB1" w:rsidRDefault="00861CB1" w:rsidP="00861CB1">
            <w:pPr>
              <w:contextualSpacing/>
              <w:jc w:val="center"/>
              <w:rPr>
                <w:rFonts w:ascii="Calibri" w:eastAsia="Calibri" w:hAnsi="Calibri" w:cs="Calibri"/>
              </w:rPr>
            </w:pPr>
          </w:p>
        </w:tc>
      </w:tr>
      <w:tr w:rsidR="00861CB1" w:rsidRPr="003C7CB1" w14:paraId="731F67D4" w14:textId="77777777" w:rsidTr="00A45D9A">
        <w:trPr>
          <w:trHeight w:val="503"/>
          <w:jc w:val="center"/>
        </w:trPr>
        <w:tc>
          <w:tcPr>
            <w:tcW w:w="1980" w:type="dxa"/>
            <w:shd w:val="clear" w:color="auto" w:fill="DEEAF6"/>
          </w:tcPr>
          <w:p w14:paraId="7F6E788D" w14:textId="77777777"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color w:val="000000"/>
              </w:rPr>
              <w:t xml:space="preserve">Operational goal 7: Globally recognized tourist destination  </w:t>
            </w:r>
          </w:p>
        </w:tc>
        <w:tc>
          <w:tcPr>
            <w:tcW w:w="3932" w:type="dxa"/>
            <w:shd w:val="clear" w:color="auto" w:fill="FFFFFF"/>
          </w:tcPr>
          <w:p w14:paraId="4C13A3FF" w14:textId="77777777" w:rsidR="00861CB1" w:rsidRPr="003C7CB1" w:rsidRDefault="00861CB1" w:rsidP="00861CB1">
            <w:pPr>
              <w:contextualSpacing/>
              <w:rPr>
                <w:rFonts w:ascii="Calibri" w:eastAsia="Calibri" w:hAnsi="Calibri" w:cs="Calibri"/>
              </w:rPr>
            </w:pPr>
            <w:r w:rsidRPr="003C7CB1">
              <w:rPr>
                <w:rFonts w:ascii="Calibri" w:eastAsia="Calibri" w:hAnsi="Calibri" w:cs="Calibri"/>
              </w:rPr>
              <w:t xml:space="preserve">Re-branding destinations - Preparation of a Montenegrin brand study for selected priority markets, with revision of the current brand and visual aspect, taking into account guidelines for defining visual identities of sub-brands arising from the visual identity of the national (umbrella) brand </w:t>
            </w:r>
          </w:p>
        </w:tc>
        <w:tc>
          <w:tcPr>
            <w:tcW w:w="2402" w:type="dxa"/>
            <w:gridSpan w:val="2"/>
            <w:shd w:val="clear" w:color="auto" w:fill="FFFFFF"/>
          </w:tcPr>
          <w:p w14:paraId="28874155" w14:textId="0D1F0C80" w:rsidR="00861CB1" w:rsidRPr="003C7CB1" w:rsidRDefault="00AE5C5F" w:rsidP="00861CB1">
            <w:pPr>
              <w:contextualSpacing/>
              <w:jc w:val="center"/>
              <w:rPr>
                <w:rFonts w:ascii="Calibri" w:eastAsia="Calibri" w:hAnsi="Calibri" w:cs="Calibri"/>
              </w:rPr>
            </w:pPr>
            <w:r w:rsidRPr="003C7CB1">
              <w:rPr>
                <w:rFonts w:ascii="Calibri" w:eastAsia="Calibri" w:hAnsi="Calibri" w:cs="Calibri"/>
              </w:rPr>
              <w:t>MED,</w:t>
            </w:r>
            <w:r w:rsidR="00861CB1" w:rsidRPr="003C7CB1">
              <w:rPr>
                <w:rFonts w:ascii="Calibri" w:eastAsia="Calibri" w:hAnsi="Calibri" w:cs="Calibri"/>
              </w:rPr>
              <w:t xml:space="preserve"> NTO/</w:t>
            </w:r>
          </w:p>
          <w:p w14:paraId="67E22F9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LTO,</w:t>
            </w:r>
          </w:p>
          <w:p w14:paraId="6B48D2A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tourism industry </w:t>
            </w:r>
          </w:p>
        </w:tc>
        <w:tc>
          <w:tcPr>
            <w:tcW w:w="1695" w:type="dxa"/>
            <w:shd w:val="clear" w:color="auto" w:fill="FFFFFF"/>
          </w:tcPr>
          <w:p w14:paraId="63C5405B"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I Q – IV Q 2023 </w:t>
            </w:r>
          </w:p>
        </w:tc>
        <w:tc>
          <w:tcPr>
            <w:tcW w:w="2261" w:type="dxa"/>
            <w:gridSpan w:val="2"/>
            <w:shd w:val="clear" w:color="auto" w:fill="FFFFFF"/>
          </w:tcPr>
          <w:p w14:paraId="2142C332"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Study has been prepared </w:t>
            </w:r>
          </w:p>
          <w:p w14:paraId="19470A5E" w14:textId="77777777" w:rsidR="00861CB1" w:rsidRPr="003C7CB1" w:rsidRDefault="00861CB1" w:rsidP="00861CB1">
            <w:pPr>
              <w:contextualSpacing/>
              <w:jc w:val="center"/>
              <w:rPr>
                <w:rFonts w:ascii="Calibri" w:eastAsia="Calibri" w:hAnsi="Calibri" w:cs="Calibri"/>
              </w:rPr>
            </w:pPr>
          </w:p>
          <w:p w14:paraId="55656A4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Annual work report of NTO </w:t>
            </w:r>
          </w:p>
        </w:tc>
        <w:tc>
          <w:tcPr>
            <w:tcW w:w="1497" w:type="dxa"/>
            <w:shd w:val="clear" w:color="auto" w:fill="FFFFFF"/>
          </w:tcPr>
          <w:p w14:paraId="2EAAED20"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p w14:paraId="6E57BB77" w14:textId="77777777" w:rsidR="00861CB1" w:rsidRPr="003C7CB1" w:rsidRDefault="00861CB1" w:rsidP="00861CB1">
            <w:pPr>
              <w:contextualSpacing/>
              <w:jc w:val="center"/>
              <w:rPr>
                <w:rFonts w:ascii="Calibri" w:eastAsia="Calibri" w:hAnsi="Calibri" w:cs="Calibri"/>
              </w:rPr>
            </w:pPr>
          </w:p>
          <w:p w14:paraId="36BFB214" w14:textId="77777777" w:rsidR="00861CB1" w:rsidRPr="003C7CB1" w:rsidRDefault="00861CB1" w:rsidP="00861CB1">
            <w:pPr>
              <w:contextualSpacing/>
              <w:jc w:val="center"/>
              <w:rPr>
                <w:rFonts w:ascii="Calibri" w:eastAsia="Calibri" w:hAnsi="Calibri" w:cs="Calibri"/>
              </w:rPr>
            </w:pPr>
          </w:p>
        </w:tc>
      </w:tr>
      <w:tr w:rsidR="00861CB1" w:rsidRPr="003C7CB1" w14:paraId="425F36D7" w14:textId="77777777" w:rsidTr="00A45D9A">
        <w:trPr>
          <w:trHeight w:val="1721"/>
          <w:jc w:val="center"/>
        </w:trPr>
        <w:tc>
          <w:tcPr>
            <w:tcW w:w="1980" w:type="dxa"/>
            <w:shd w:val="clear" w:color="auto" w:fill="DEEAF6"/>
          </w:tcPr>
          <w:p w14:paraId="16DF238F" w14:textId="77777777" w:rsidR="00861CB1" w:rsidRPr="003C7CB1" w:rsidRDefault="00861CB1" w:rsidP="00861CB1">
            <w:pPr>
              <w:spacing w:after="120"/>
              <w:rPr>
                <w:rFonts w:ascii="Calibri" w:eastAsia="Calibri" w:hAnsi="Calibri" w:cs="Calibri"/>
                <w:b/>
                <w:color w:val="000000"/>
              </w:rPr>
            </w:pPr>
            <w:r w:rsidRPr="003C7CB1">
              <w:rPr>
                <w:rFonts w:ascii="Calibri" w:eastAsia="Calibri" w:hAnsi="Calibri" w:cs="Calibri"/>
                <w:b/>
              </w:rPr>
              <w:lastRenderedPageBreak/>
              <w:t xml:space="preserve">External Evaluation </w:t>
            </w:r>
          </w:p>
        </w:tc>
        <w:tc>
          <w:tcPr>
            <w:tcW w:w="3932" w:type="dxa"/>
            <w:shd w:val="clear" w:color="auto" w:fill="auto"/>
          </w:tcPr>
          <w:p w14:paraId="0963DC06"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Announcing a public call for evaluation </w:t>
            </w:r>
          </w:p>
          <w:p w14:paraId="56FC9910" w14:textId="77777777" w:rsidR="00861CB1" w:rsidRPr="003C7CB1" w:rsidRDefault="00861CB1" w:rsidP="00861CB1">
            <w:pPr>
              <w:spacing w:after="120"/>
              <w:jc w:val="both"/>
              <w:rPr>
                <w:rFonts w:ascii="Calibri" w:eastAsia="Calibri" w:hAnsi="Calibri" w:cs="Calibri"/>
              </w:rPr>
            </w:pPr>
            <w:r w:rsidRPr="003C7CB1">
              <w:rPr>
                <w:rFonts w:ascii="Calibri" w:eastAsia="Calibri" w:hAnsi="Calibri" w:cs="Calibri"/>
              </w:rPr>
              <w:t xml:space="preserve">Selection of the most favorable bidder </w:t>
            </w:r>
          </w:p>
        </w:tc>
        <w:tc>
          <w:tcPr>
            <w:tcW w:w="2402" w:type="dxa"/>
            <w:gridSpan w:val="2"/>
            <w:tcBorders>
              <w:bottom w:val="single" w:sz="4" w:space="0" w:color="auto"/>
            </w:tcBorders>
            <w:shd w:val="clear" w:color="auto" w:fill="auto"/>
          </w:tcPr>
          <w:p w14:paraId="3388CE35"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MED </w:t>
            </w:r>
          </w:p>
        </w:tc>
        <w:tc>
          <w:tcPr>
            <w:tcW w:w="1695" w:type="dxa"/>
            <w:shd w:val="clear" w:color="auto" w:fill="auto"/>
          </w:tcPr>
          <w:p w14:paraId="225BA777" w14:textId="77777777" w:rsidR="00861CB1" w:rsidRPr="003C7CB1" w:rsidRDefault="00861CB1" w:rsidP="00861CB1">
            <w:pPr>
              <w:spacing w:after="120"/>
              <w:jc w:val="center"/>
              <w:rPr>
                <w:rFonts w:ascii="Calibri" w:eastAsia="Calibri" w:hAnsi="Calibri" w:cs="Calibri"/>
              </w:rPr>
            </w:pPr>
            <w:r w:rsidRPr="003C7CB1">
              <w:rPr>
                <w:rFonts w:ascii="Calibri" w:eastAsia="Calibri" w:hAnsi="Calibri" w:cs="Calibri"/>
              </w:rPr>
              <w:t xml:space="preserve">I Q – IV Q 2025 </w:t>
            </w:r>
          </w:p>
        </w:tc>
        <w:tc>
          <w:tcPr>
            <w:tcW w:w="2261" w:type="dxa"/>
            <w:gridSpan w:val="2"/>
            <w:shd w:val="clear" w:color="auto" w:fill="auto"/>
          </w:tcPr>
          <w:p w14:paraId="31343C66"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External Evaluation </w:t>
            </w:r>
          </w:p>
          <w:p w14:paraId="3BFDE96D" w14:textId="77777777" w:rsidR="00861CB1" w:rsidRPr="003C7CB1" w:rsidRDefault="00861CB1" w:rsidP="00861CB1">
            <w:pPr>
              <w:contextualSpacing/>
              <w:jc w:val="center"/>
              <w:rPr>
                <w:rFonts w:ascii="Calibri" w:eastAsia="Calibri" w:hAnsi="Calibri" w:cs="Calibri"/>
              </w:rPr>
            </w:pPr>
          </w:p>
          <w:p w14:paraId="16F0C24F"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Report has been prepared </w:t>
            </w:r>
          </w:p>
        </w:tc>
        <w:tc>
          <w:tcPr>
            <w:tcW w:w="1497" w:type="dxa"/>
            <w:shd w:val="clear" w:color="auto" w:fill="auto"/>
          </w:tcPr>
          <w:p w14:paraId="2D5AFDA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€ 5,000.00 </w:t>
            </w:r>
          </w:p>
          <w:p w14:paraId="16C1EF46" w14:textId="77777777" w:rsidR="00861CB1" w:rsidRPr="003C7CB1" w:rsidRDefault="00861CB1" w:rsidP="00861CB1">
            <w:pPr>
              <w:contextualSpacing/>
              <w:jc w:val="center"/>
              <w:rPr>
                <w:rFonts w:ascii="Calibri" w:eastAsia="Calibri" w:hAnsi="Calibri" w:cs="Calibri"/>
              </w:rPr>
            </w:pPr>
          </w:p>
          <w:p w14:paraId="290510B8" w14:textId="77777777" w:rsidR="00861CB1" w:rsidRPr="003C7CB1" w:rsidRDefault="00861CB1" w:rsidP="00861CB1">
            <w:pPr>
              <w:contextualSpacing/>
              <w:jc w:val="center"/>
              <w:rPr>
                <w:rFonts w:ascii="Calibri" w:eastAsia="Calibri" w:hAnsi="Calibri" w:cs="Calibri"/>
              </w:rPr>
            </w:pPr>
            <w:r w:rsidRPr="003C7CB1">
              <w:rPr>
                <w:rFonts w:ascii="Calibri" w:eastAsia="Calibri" w:hAnsi="Calibri" w:cs="Calibri"/>
              </w:rPr>
              <w:t xml:space="preserve">Budget of Montenegro </w:t>
            </w:r>
          </w:p>
        </w:tc>
      </w:tr>
    </w:tbl>
    <w:p w14:paraId="59C7A155" w14:textId="77777777" w:rsidR="00861CB1" w:rsidRPr="003C7CB1" w:rsidRDefault="00861CB1" w:rsidP="00861CB1">
      <w:pPr>
        <w:spacing w:after="120"/>
        <w:jc w:val="both"/>
        <w:rPr>
          <w:rFonts w:ascii="Calibri" w:eastAsia="Calibri" w:hAnsi="Calibri" w:cs="Calibri"/>
          <w:color w:val="000000"/>
        </w:rPr>
        <w:sectPr w:rsidR="00861CB1" w:rsidRPr="003C7CB1" w:rsidSect="00861CB1">
          <w:pgSz w:w="16840" w:h="11907" w:orient="landscape" w:code="9"/>
          <w:pgMar w:top="1134" w:right="1134" w:bottom="1134" w:left="1134" w:header="720" w:footer="720" w:gutter="0"/>
          <w:cols w:space="720"/>
          <w:docGrid w:linePitch="360"/>
        </w:sectPr>
      </w:pPr>
    </w:p>
    <w:p w14:paraId="5A8521CE" w14:textId="77777777" w:rsidR="00861CB1" w:rsidRPr="003C7CB1" w:rsidRDefault="00861CB1" w:rsidP="00861CB1">
      <w:pPr>
        <w:keepNext/>
        <w:keepLines/>
        <w:spacing w:after="120"/>
        <w:outlineLvl w:val="0"/>
        <w:rPr>
          <w:rFonts w:ascii="Calibri" w:eastAsia="Times New Roman" w:hAnsi="Calibri" w:cs="Calibri"/>
          <w:b/>
          <w:color w:val="2E74B5"/>
          <w:sz w:val="28"/>
          <w:szCs w:val="32"/>
        </w:rPr>
      </w:pPr>
      <w:bookmarkStart w:id="486" w:name="_Toc88772671"/>
      <w:bookmarkStart w:id="487" w:name="_Toc95303091"/>
      <w:bookmarkStart w:id="488" w:name="_Toc97902555"/>
      <w:bookmarkStart w:id="489" w:name="_Toc104544228"/>
      <w:r w:rsidRPr="003C7CB1">
        <w:rPr>
          <w:rFonts w:ascii="Calibri" w:eastAsia="Times New Roman" w:hAnsi="Calibri" w:cs="Calibri"/>
          <w:b/>
          <w:color w:val="2E74B5"/>
          <w:sz w:val="28"/>
          <w:szCs w:val="32"/>
        </w:rPr>
        <w:lastRenderedPageBreak/>
        <w:t xml:space="preserve">20. </w:t>
      </w:r>
      <w:bookmarkEnd w:id="486"/>
      <w:bookmarkEnd w:id="487"/>
      <w:bookmarkEnd w:id="488"/>
      <w:r w:rsidRPr="003C7CB1">
        <w:rPr>
          <w:rFonts w:ascii="Calibri" w:eastAsia="Times New Roman" w:hAnsi="Calibri" w:cs="Calibri"/>
          <w:b/>
          <w:color w:val="2E74B5"/>
          <w:sz w:val="28"/>
          <w:szCs w:val="32"/>
        </w:rPr>
        <w:t>COMMUNICATION PLAN</w:t>
      </w:r>
      <w:bookmarkEnd w:id="489"/>
      <w:r w:rsidRPr="003C7CB1">
        <w:rPr>
          <w:rFonts w:ascii="Calibri" w:eastAsia="Times New Roman" w:hAnsi="Calibri" w:cs="Calibri"/>
          <w:b/>
          <w:color w:val="2E74B5"/>
          <w:sz w:val="28"/>
          <w:szCs w:val="32"/>
        </w:rPr>
        <w:t xml:space="preserve"> </w:t>
      </w:r>
    </w:p>
    <w:p w14:paraId="406EB334" w14:textId="77777777" w:rsidR="00861CB1" w:rsidRPr="003C7CB1" w:rsidRDefault="00861CB1" w:rsidP="00861CB1">
      <w:pPr>
        <w:spacing w:after="120"/>
        <w:jc w:val="both"/>
        <w:rPr>
          <w:rFonts w:ascii="Calibri" w:eastAsia="Times New Roman" w:hAnsi="Calibri" w:cs="Calibri"/>
          <w:sz w:val="24"/>
          <w:szCs w:val="24"/>
          <w:lang w:eastAsia="de-DE"/>
        </w:rPr>
      </w:pPr>
      <w:r w:rsidRPr="003C7CB1">
        <w:rPr>
          <w:rFonts w:ascii="Calibri" w:eastAsia="Times New Roman" w:hAnsi="Calibri" w:cs="Calibri"/>
          <w:sz w:val="24"/>
          <w:szCs w:val="24"/>
          <w:lang w:eastAsia="de-DE"/>
        </w:rPr>
        <w:t xml:space="preserve">While recognizing the need for public policies to be further affirmed, in order to increase the interest of professional and other segments of the public, and emphasize the importance of specific activities for the general benefit and quality of life of citizens, it is necessary to prepare appropriate information for the public. The Communication Strategy emphasizes the need for communication with citizens to be aimed at presenting the vision, goals and results achieved by the Government in terms of improving the quality of life in Montenegro, in a way that is easily understood and adapted to the needs and interests of the public. </w:t>
      </w:r>
    </w:p>
    <w:p w14:paraId="71DDA3C9" w14:textId="7C32ED18" w:rsidR="00861CB1" w:rsidRPr="003C7CB1" w:rsidRDefault="00861CB1" w:rsidP="00861CB1">
      <w:pPr>
        <w:spacing w:after="120"/>
        <w:jc w:val="both"/>
        <w:rPr>
          <w:rFonts w:ascii="Calibri" w:eastAsia="Times New Roman" w:hAnsi="Calibri" w:cs="Calibri"/>
          <w:sz w:val="24"/>
          <w:szCs w:val="24"/>
          <w:lang w:eastAsia="de-DE"/>
        </w:rPr>
      </w:pPr>
      <w:r w:rsidRPr="003C7CB1">
        <w:rPr>
          <w:rFonts w:ascii="Calibri" w:eastAsia="Times New Roman" w:hAnsi="Calibri" w:cs="Calibri"/>
          <w:sz w:val="24"/>
          <w:szCs w:val="24"/>
          <w:lang w:eastAsia="de-DE"/>
        </w:rPr>
        <w:t xml:space="preserve">The implementation of the key </w:t>
      </w:r>
      <w:r w:rsidR="00C65FFD">
        <w:rPr>
          <w:rFonts w:ascii="Calibri" w:eastAsia="Times New Roman" w:hAnsi="Calibri" w:cs="Calibri"/>
          <w:sz w:val="24"/>
          <w:szCs w:val="24"/>
          <w:lang w:eastAsia="de-DE"/>
        </w:rPr>
        <w:t>goal</w:t>
      </w:r>
      <w:r w:rsidRPr="003C7CB1">
        <w:rPr>
          <w:rFonts w:ascii="Calibri" w:eastAsia="Times New Roman" w:hAnsi="Calibri" w:cs="Calibri"/>
          <w:sz w:val="24"/>
          <w:szCs w:val="24"/>
          <w:lang w:eastAsia="de-DE"/>
        </w:rPr>
        <w:t xml:space="preserve">s of the Strategy largely depends on the relevant institutions and organizations responsible for its implementation, on the one hand, and the tourism industry, on the other. In this sense, in order for the implementation of the Strategy to be successful, the involvement and active participation of a significant number of stakeholders is necessary, as well as the strengthening of public-private partnerships. In this regard, the target public has been identified who are the direct holders of the implementation of activities within the Strategy - internal public or public that are targeted as those that can contribute to more efficient implementation - external public. The internal public consists of employees in state administration and local self-government, while the external target public consists of: representatives of the tourism industry, NGO sector, academic community, international organizations / donors, media, etc. </w:t>
      </w:r>
    </w:p>
    <w:p w14:paraId="5EE14450" w14:textId="09DBE6A1" w:rsidR="00861CB1" w:rsidRPr="003C7CB1" w:rsidRDefault="00861CB1" w:rsidP="00861CB1">
      <w:pPr>
        <w:spacing w:after="120"/>
        <w:jc w:val="both"/>
        <w:rPr>
          <w:rFonts w:ascii="Calibri" w:eastAsia="Times New Roman" w:hAnsi="Calibri" w:cs="Calibri"/>
          <w:sz w:val="24"/>
          <w:szCs w:val="24"/>
          <w:lang w:eastAsia="de-DE"/>
        </w:rPr>
      </w:pPr>
      <w:r w:rsidRPr="003C7CB1">
        <w:rPr>
          <w:rFonts w:ascii="Calibri" w:eastAsia="Times New Roman" w:hAnsi="Calibri" w:cs="Calibri"/>
          <w:sz w:val="24"/>
          <w:szCs w:val="24"/>
          <w:lang w:eastAsia="de-DE"/>
        </w:rPr>
        <w:t xml:space="preserve">Communication activities in the direction of reporting on the implementation of the key </w:t>
      </w:r>
      <w:r w:rsidR="00C65FFD">
        <w:rPr>
          <w:rFonts w:ascii="Calibri" w:eastAsia="Times New Roman" w:hAnsi="Calibri" w:cs="Calibri"/>
          <w:sz w:val="24"/>
          <w:szCs w:val="24"/>
          <w:lang w:eastAsia="de-DE"/>
        </w:rPr>
        <w:t>goal</w:t>
      </w:r>
      <w:r w:rsidRPr="003C7CB1">
        <w:rPr>
          <w:rFonts w:ascii="Calibri" w:eastAsia="Times New Roman" w:hAnsi="Calibri" w:cs="Calibri"/>
          <w:sz w:val="24"/>
          <w:szCs w:val="24"/>
          <w:lang w:eastAsia="de-DE"/>
        </w:rPr>
        <w:t xml:space="preserve">s of the Strategy will be focused on media relations and integrated communication channels. </w:t>
      </w:r>
    </w:p>
    <w:p w14:paraId="0306994B" w14:textId="77777777" w:rsidR="00861CB1" w:rsidRPr="003C7CB1" w:rsidRDefault="00861CB1" w:rsidP="00861CB1">
      <w:pPr>
        <w:spacing w:after="0" w:line="240" w:lineRule="auto"/>
        <w:rPr>
          <w:rFonts w:ascii="Calibri" w:eastAsia="Times New Roman" w:hAnsi="Calibri" w:cs="Calibri"/>
          <w:sz w:val="24"/>
          <w:szCs w:val="24"/>
          <w:lang w:eastAsia="de-DE"/>
        </w:rPr>
      </w:pPr>
    </w:p>
    <w:p w14:paraId="2F3378C3"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64AC9241"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4B73A80C"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2F02A56F"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13915B55"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4A6994B5"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4F7AD2DF"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35F89D2A"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1DB21A2B"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54A2A927"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7F402C95"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5BFB5427"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53D8381B"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28ED38C7"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2FA80362"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5B969F51" w14:textId="77777777" w:rsidR="00861CB1" w:rsidRPr="003C7CB1" w:rsidRDefault="00861CB1" w:rsidP="00861CB1">
      <w:pPr>
        <w:spacing w:after="0" w:line="240" w:lineRule="auto"/>
        <w:rPr>
          <w:rFonts w:ascii="Calibri" w:eastAsia="Calibri" w:hAnsi="Calibri" w:cs="Calibri"/>
          <w:b/>
          <w:color w:val="2E74B5"/>
          <w:sz w:val="28"/>
          <w:szCs w:val="26"/>
          <w:lang w:eastAsia="hr-HR"/>
        </w:rPr>
      </w:pPr>
    </w:p>
    <w:p w14:paraId="66BABE3C" w14:textId="27C9722C" w:rsidR="00861CB1" w:rsidRDefault="00861CB1" w:rsidP="00861CB1">
      <w:pPr>
        <w:keepNext/>
        <w:keepLines/>
        <w:spacing w:before="40" w:after="0"/>
        <w:outlineLvl w:val="4"/>
        <w:rPr>
          <w:rFonts w:ascii="Calibri" w:eastAsia="Calibri" w:hAnsi="Calibri" w:cs="Calibri"/>
          <w:b/>
          <w:color w:val="2E74B5"/>
          <w:sz w:val="28"/>
          <w:szCs w:val="26"/>
          <w:lang w:eastAsia="hr-HR"/>
        </w:rPr>
      </w:pPr>
    </w:p>
    <w:p w14:paraId="762DBD8D" w14:textId="77777777" w:rsidR="006B2751" w:rsidRPr="003C7CB1" w:rsidRDefault="006B2751" w:rsidP="006B2751">
      <w:pPr>
        <w:rPr>
          <w:lang w:eastAsia="hr-HR"/>
        </w:rPr>
      </w:pPr>
    </w:p>
    <w:p w14:paraId="2520F2C5" w14:textId="77777777" w:rsidR="00861CB1" w:rsidRPr="003C7CB1" w:rsidRDefault="00861CB1" w:rsidP="006B2751">
      <w:pPr>
        <w:pStyle w:val="Heading1"/>
        <w:rPr>
          <w:rFonts w:eastAsia="Times New Roman"/>
          <w:lang w:eastAsia="hr-HR"/>
        </w:rPr>
      </w:pPr>
      <w:bookmarkStart w:id="490" w:name="_Toc104544229"/>
      <w:r w:rsidRPr="003C7CB1">
        <w:rPr>
          <w:rFonts w:eastAsia="Times New Roman"/>
          <w:lang w:eastAsia="hr-HR"/>
        </w:rPr>
        <w:lastRenderedPageBreak/>
        <w:t>Annex I: Partnerships in tourism</w:t>
      </w:r>
      <w:bookmarkEnd w:id="490"/>
      <w:r w:rsidRPr="003C7CB1">
        <w:rPr>
          <w:rFonts w:eastAsia="Times New Roman"/>
          <w:lang w:eastAsia="hr-HR"/>
        </w:rPr>
        <w:t xml:space="preserve"> </w:t>
      </w:r>
    </w:p>
    <w:p w14:paraId="7C0E236A" w14:textId="77777777" w:rsidR="00861CB1" w:rsidRPr="003C7CB1" w:rsidRDefault="00861CB1" w:rsidP="00861CB1">
      <w:pPr>
        <w:spacing w:after="0" w:line="240" w:lineRule="auto"/>
        <w:rPr>
          <w:rFonts w:ascii="Calibri" w:eastAsia="Times New Roman" w:hAnsi="Calibri" w:cs="Calibri"/>
          <w:sz w:val="24"/>
          <w:szCs w:val="24"/>
          <w:lang w:eastAsia="de-DE"/>
        </w:rPr>
      </w:pPr>
      <w:r w:rsidRPr="003C7CB1">
        <w:rPr>
          <w:rFonts w:ascii="Calibri" w:eastAsia="Calibri" w:hAnsi="Calibri" w:cs="Calibri"/>
          <w:b/>
          <w:bCs/>
        </w:rPr>
        <w:t xml:space="preserve"> </w:t>
      </w:r>
    </w:p>
    <w:p w14:paraId="45718E05" w14:textId="77777777" w:rsidR="00861CB1" w:rsidRPr="003C7CB1" w:rsidRDefault="00861CB1" w:rsidP="00861CB1">
      <w:pPr>
        <w:rPr>
          <w:rFonts w:ascii="Calibri" w:eastAsia="Calibri" w:hAnsi="Calibri" w:cs="Calibri"/>
          <w:bCs/>
        </w:rPr>
      </w:pPr>
      <w:r w:rsidRPr="003C7CB1">
        <w:rPr>
          <w:rFonts w:ascii="Calibri" w:eastAsia="Calibri" w:hAnsi="Calibri" w:cs="Calibri"/>
          <w:bCs/>
        </w:rPr>
        <w:t xml:space="preserve">Grades 1 to 5 are given for “Interest” and “Influence / Strength”: </w:t>
      </w:r>
    </w:p>
    <w:p w14:paraId="3062410A" w14:textId="77777777" w:rsidR="00861CB1" w:rsidRPr="003C7CB1" w:rsidRDefault="00861CB1" w:rsidP="00861CB1">
      <w:pPr>
        <w:jc w:val="both"/>
        <w:rPr>
          <w:rFonts w:ascii="Calibri" w:eastAsia="Calibri" w:hAnsi="Calibri" w:cs="Calibri"/>
          <w:bCs/>
        </w:rPr>
      </w:pPr>
      <w:r w:rsidRPr="003C7CB1">
        <w:rPr>
          <w:rFonts w:ascii="Calibri" w:eastAsia="Calibri" w:hAnsi="Calibri" w:cs="Calibri"/>
          <w:bCs/>
        </w:rPr>
        <w:t>-</w:t>
      </w:r>
      <w:r w:rsidRPr="003C7CB1">
        <w:rPr>
          <w:rFonts w:ascii="Calibri" w:eastAsia="Calibri" w:hAnsi="Calibri" w:cs="Calibri"/>
          <w:bCs/>
        </w:rPr>
        <w:tab/>
        <w:t xml:space="preserve">1 represents the least interest of stakeholders in the implementation of the strategic document, as well as the least influence (strength) of stakeholders on the implementation of the strategic document. </w:t>
      </w:r>
    </w:p>
    <w:p w14:paraId="4465F3B3" w14:textId="77777777" w:rsidR="00861CB1" w:rsidRPr="003C7CB1" w:rsidRDefault="00861CB1" w:rsidP="00861CB1">
      <w:pPr>
        <w:jc w:val="both"/>
        <w:rPr>
          <w:rFonts w:ascii="Calibri" w:eastAsia="Calibri" w:hAnsi="Calibri" w:cs="Calibri"/>
          <w:bCs/>
        </w:rPr>
      </w:pPr>
      <w:r w:rsidRPr="003C7CB1">
        <w:rPr>
          <w:rFonts w:ascii="Calibri" w:eastAsia="Calibri" w:hAnsi="Calibri" w:cs="Calibri"/>
          <w:bCs/>
        </w:rPr>
        <w:t>-</w:t>
      </w:r>
      <w:r w:rsidRPr="003C7CB1">
        <w:rPr>
          <w:rFonts w:ascii="Calibri" w:eastAsia="Calibri" w:hAnsi="Calibri" w:cs="Calibri"/>
          <w:bCs/>
        </w:rPr>
        <w:tab/>
        <w:t xml:space="preserve">5 represents the greatest interest of stakeholders for the implementation of the strategic document, as well as the greatest influence (strength) of stakeholders on the implementation of the strategic document. </w:t>
      </w:r>
    </w:p>
    <w:p w14:paraId="1642F66B" w14:textId="77777777" w:rsidR="00861CB1" w:rsidRPr="003C7CB1" w:rsidRDefault="00861CB1" w:rsidP="00861CB1">
      <w:pPr>
        <w:rPr>
          <w:rFonts w:ascii="Calibri" w:eastAsia="Calibri" w:hAnsi="Calibri" w:cs="Calibri"/>
        </w:rPr>
      </w:pPr>
      <w:r w:rsidRPr="003C7CB1">
        <w:rPr>
          <w:rFonts w:ascii="Calibri" w:eastAsia="Calibri" w:hAnsi="Calibri" w:cs="Calibri"/>
          <w:b/>
          <w:bCs/>
        </w:rPr>
        <w:t xml:space="preserve">Table - </w:t>
      </w:r>
      <w:r w:rsidRPr="003C7CB1">
        <w:rPr>
          <w:rFonts w:ascii="Calibri" w:eastAsia="Calibri" w:hAnsi="Calibri" w:cs="Calibri"/>
        </w:rPr>
        <w:t xml:space="preserve">Stakeholders and their influence and interest / </w:t>
      </w:r>
      <w:r w:rsidRPr="003C7CB1">
        <w:rPr>
          <w:rFonts w:ascii="Calibri" w:eastAsia="Calibri" w:hAnsi="Calibri" w:cs="Calibri"/>
          <w:bCs/>
        </w:rPr>
        <w:t>strength</w:t>
      </w:r>
      <w:r w:rsidRPr="003C7CB1">
        <w:rPr>
          <w:rFonts w:ascii="Calibri" w:eastAsia="Calibri" w:hAnsi="Calibri" w:cs="Calibri"/>
        </w:rPr>
        <w:t xml:space="preserve">, proposal </w:t>
      </w:r>
    </w:p>
    <w:tbl>
      <w:tblPr>
        <w:tblStyle w:val="GridTable5Dark-Accent112"/>
        <w:tblW w:w="5444" w:type="pct"/>
        <w:tblInd w:w="-289" w:type="dxa"/>
        <w:tblLayout w:type="fixed"/>
        <w:tblLook w:val="0420" w:firstRow="1" w:lastRow="0" w:firstColumn="0" w:lastColumn="0" w:noHBand="0" w:noVBand="1"/>
      </w:tblPr>
      <w:tblGrid>
        <w:gridCol w:w="2089"/>
        <w:gridCol w:w="5785"/>
        <w:gridCol w:w="1304"/>
        <w:gridCol w:w="1306"/>
      </w:tblGrid>
      <w:tr w:rsidR="00861CB1" w:rsidRPr="003C7CB1" w14:paraId="6677379B" w14:textId="77777777" w:rsidTr="00861CB1">
        <w:trPr>
          <w:cnfStyle w:val="100000000000" w:firstRow="1" w:lastRow="0" w:firstColumn="0" w:lastColumn="0" w:oddVBand="0" w:evenVBand="0" w:oddHBand="0" w:evenHBand="0" w:firstRowFirstColumn="0" w:firstRowLastColumn="0" w:lastRowFirstColumn="0" w:lastRowLastColumn="0"/>
          <w:trHeight w:val="1236"/>
        </w:trPr>
        <w:tc>
          <w:tcPr>
            <w:tcW w:w="996" w:type="pct"/>
          </w:tcPr>
          <w:p w14:paraId="21F418ED" w14:textId="77777777" w:rsidR="00861CB1" w:rsidRPr="003C7CB1" w:rsidRDefault="00861CB1" w:rsidP="00861CB1">
            <w:pPr>
              <w:rPr>
                <w:rFonts w:ascii="Calibri" w:eastAsia="Times New Roman" w:hAnsi="Calibri" w:cs="Calibri"/>
              </w:rPr>
            </w:pPr>
            <w:r w:rsidRPr="003C7CB1">
              <w:rPr>
                <w:rFonts w:ascii="Calibri" w:eastAsia="Times New Roman" w:hAnsi="Calibri" w:cs="Calibri"/>
              </w:rPr>
              <w:t xml:space="preserve">Stakeholder </w:t>
            </w:r>
          </w:p>
        </w:tc>
        <w:tc>
          <w:tcPr>
            <w:tcW w:w="2759" w:type="pct"/>
          </w:tcPr>
          <w:p w14:paraId="2C6CFC76"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 xml:space="preserve">Relation to the strategic document </w:t>
            </w:r>
          </w:p>
        </w:tc>
        <w:tc>
          <w:tcPr>
            <w:tcW w:w="622" w:type="pct"/>
          </w:tcPr>
          <w:p w14:paraId="6C1E15D4"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 xml:space="preserve">Interest </w:t>
            </w:r>
          </w:p>
          <w:p w14:paraId="5938537C"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(grade from 1</w:t>
            </w:r>
          </w:p>
          <w:p w14:paraId="60E7A46C"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 xml:space="preserve">up to 5) </w:t>
            </w:r>
          </w:p>
        </w:tc>
        <w:tc>
          <w:tcPr>
            <w:tcW w:w="623" w:type="pct"/>
          </w:tcPr>
          <w:p w14:paraId="319B9E0C"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 xml:space="preserve">Influence / </w:t>
            </w:r>
            <w:r w:rsidRPr="003C7CB1">
              <w:rPr>
                <w:rFonts w:ascii="Calibri" w:eastAsia="Calibri" w:hAnsi="Calibri" w:cs="Calibri"/>
              </w:rPr>
              <w:t xml:space="preserve">strength </w:t>
            </w:r>
          </w:p>
          <w:p w14:paraId="3A0B11E5"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(grade</w:t>
            </w:r>
          </w:p>
          <w:p w14:paraId="55BA485F" w14:textId="77777777" w:rsidR="00861CB1" w:rsidRPr="003C7CB1" w:rsidRDefault="00861CB1" w:rsidP="00861CB1">
            <w:pPr>
              <w:jc w:val="center"/>
              <w:rPr>
                <w:rFonts w:ascii="Calibri" w:eastAsia="Times New Roman" w:hAnsi="Calibri" w:cs="Calibri"/>
              </w:rPr>
            </w:pPr>
            <w:r w:rsidRPr="003C7CB1">
              <w:rPr>
                <w:rFonts w:ascii="Calibri" w:eastAsia="Times New Roman" w:hAnsi="Calibri" w:cs="Calibri"/>
              </w:rPr>
              <w:t xml:space="preserve">from 1 to 5) </w:t>
            </w:r>
          </w:p>
        </w:tc>
      </w:tr>
      <w:tr w:rsidR="00861CB1" w:rsidRPr="003C7CB1" w14:paraId="12C340D3" w14:textId="77777777" w:rsidTr="00861CB1">
        <w:trPr>
          <w:cnfStyle w:val="000000100000" w:firstRow="0" w:lastRow="0" w:firstColumn="0" w:lastColumn="0" w:oddVBand="0" w:evenVBand="0" w:oddHBand="1" w:evenHBand="0" w:firstRowFirstColumn="0" w:firstRowLastColumn="0" w:lastRowFirstColumn="0" w:lastRowLastColumn="0"/>
          <w:trHeight w:val="301"/>
        </w:trPr>
        <w:tc>
          <w:tcPr>
            <w:tcW w:w="996" w:type="pct"/>
          </w:tcPr>
          <w:p w14:paraId="069D2003" w14:textId="77777777" w:rsidR="00861CB1" w:rsidRPr="003C7CB1" w:rsidRDefault="00861CB1" w:rsidP="00861CB1">
            <w:pPr>
              <w:rPr>
                <w:rFonts w:ascii="Calibri" w:eastAsia="Times New Roman" w:hAnsi="Calibri" w:cs="Calibri"/>
                <w:b/>
                <w:color w:val="2E74B5"/>
              </w:rPr>
            </w:pPr>
          </w:p>
        </w:tc>
        <w:tc>
          <w:tcPr>
            <w:tcW w:w="2759" w:type="pct"/>
          </w:tcPr>
          <w:p w14:paraId="54E1B961" w14:textId="77777777" w:rsidR="00861CB1" w:rsidRPr="003C7CB1" w:rsidRDefault="00861CB1" w:rsidP="00861CB1">
            <w:pPr>
              <w:rPr>
                <w:rFonts w:ascii="Calibri" w:eastAsia="Times New Roman" w:hAnsi="Calibri" w:cs="Calibri"/>
                <w:b/>
                <w:color w:val="2E74B5"/>
              </w:rPr>
            </w:pPr>
          </w:p>
        </w:tc>
        <w:tc>
          <w:tcPr>
            <w:tcW w:w="622" w:type="pct"/>
          </w:tcPr>
          <w:p w14:paraId="7291911B" w14:textId="77777777" w:rsidR="00861CB1" w:rsidRPr="003C7CB1" w:rsidRDefault="00861CB1" w:rsidP="00861CB1">
            <w:pPr>
              <w:jc w:val="center"/>
              <w:rPr>
                <w:rFonts w:ascii="Calibri" w:eastAsia="Times New Roman" w:hAnsi="Calibri" w:cs="Calibri"/>
                <w:b/>
                <w:color w:val="2E74B5"/>
              </w:rPr>
            </w:pPr>
          </w:p>
        </w:tc>
        <w:tc>
          <w:tcPr>
            <w:tcW w:w="623" w:type="pct"/>
          </w:tcPr>
          <w:p w14:paraId="5578B4F7" w14:textId="77777777" w:rsidR="00861CB1" w:rsidRPr="003C7CB1" w:rsidRDefault="00861CB1" w:rsidP="00861CB1">
            <w:pPr>
              <w:jc w:val="center"/>
              <w:rPr>
                <w:rFonts w:ascii="Calibri" w:eastAsia="Times New Roman" w:hAnsi="Calibri" w:cs="Calibri"/>
                <w:b/>
                <w:color w:val="2E74B5"/>
              </w:rPr>
            </w:pPr>
          </w:p>
        </w:tc>
      </w:tr>
      <w:tr w:rsidR="00861CB1" w:rsidRPr="003C7CB1" w14:paraId="6F84441A" w14:textId="77777777" w:rsidTr="00861CB1">
        <w:trPr>
          <w:trHeight w:val="618"/>
        </w:trPr>
        <w:tc>
          <w:tcPr>
            <w:tcW w:w="996" w:type="pct"/>
          </w:tcPr>
          <w:p w14:paraId="679A9101"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Economic Development </w:t>
            </w:r>
          </w:p>
        </w:tc>
        <w:tc>
          <w:tcPr>
            <w:tcW w:w="2759" w:type="pct"/>
          </w:tcPr>
          <w:p w14:paraId="2FB9AF9A" w14:textId="77777777" w:rsidR="00861CB1" w:rsidRPr="003C7CB1" w:rsidRDefault="00861CB1" w:rsidP="00861CB1">
            <w:pPr>
              <w:rPr>
                <w:rFonts w:ascii="Calibri" w:eastAsia="Times New Roman" w:hAnsi="Calibri" w:cs="Calibri"/>
                <w:bCs/>
                <w:color w:val="2E74B5"/>
              </w:rPr>
            </w:pPr>
            <w:r w:rsidRPr="003C7CB1">
              <w:rPr>
                <w:rFonts w:ascii="Calibri" w:eastAsia="Times New Roman" w:hAnsi="Calibri" w:cs="Calibri"/>
                <w:bCs/>
                <w:color w:val="2E74B5"/>
              </w:rPr>
              <w:t xml:space="preserve">Holder and responsible institution for the implementation of the Strategy </w:t>
            </w:r>
          </w:p>
        </w:tc>
        <w:tc>
          <w:tcPr>
            <w:tcW w:w="622" w:type="pct"/>
          </w:tcPr>
          <w:p w14:paraId="0192716E"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6A162B33"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20C6031E" w14:textId="77777777" w:rsidTr="00861CB1">
        <w:trPr>
          <w:cnfStyle w:val="000000100000" w:firstRow="0" w:lastRow="0" w:firstColumn="0" w:lastColumn="0" w:oddVBand="0" w:evenVBand="0" w:oddHBand="1" w:evenHBand="0" w:firstRowFirstColumn="0" w:firstRowLastColumn="0" w:lastRowFirstColumn="0" w:lastRowLastColumn="0"/>
          <w:trHeight w:val="2472"/>
        </w:trPr>
        <w:tc>
          <w:tcPr>
            <w:tcW w:w="996" w:type="pct"/>
          </w:tcPr>
          <w:p w14:paraId="4035996C"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Ecology, Spatial Planning and Urbanism </w:t>
            </w:r>
          </w:p>
        </w:tc>
        <w:tc>
          <w:tcPr>
            <w:tcW w:w="2759" w:type="pct"/>
          </w:tcPr>
          <w:p w14:paraId="634BA75D"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Competent for the development of the tourist offer by prescribing business conditions in tourism, sustainable valorization of potentials and ecological advantages of national parks and protected nature areas from the aspect of tourism development, connecting coastal and continental tourism, formation of tourist places and areas, categorization and classification of tourist facilities </w:t>
            </w:r>
          </w:p>
        </w:tc>
        <w:tc>
          <w:tcPr>
            <w:tcW w:w="622" w:type="pct"/>
          </w:tcPr>
          <w:p w14:paraId="68608089"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592FFB3C"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026DD6E8" w14:textId="77777777" w:rsidTr="00861CB1">
        <w:trPr>
          <w:trHeight w:val="935"/>
        </w:trPr>
        <w:tc>
          <w:tcPr>
            <w:tcW w:w="996" w:type="pct"/>
          </w:tcPr>
          <w:p w14:paraId="677252F7"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Interior </w:t>
            </w:r>
          </w:p>
        </w:tc>
        <w:tc>
          <w:tcPr>
            <w:tcW w:w="2759" w:type="pct"/>
          </w:tcPr>
          <w:p w14:paraId="27E5A8FF"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Responsible for keeping the register of residence RB90, based on the Law on Foreigners </w:t>
            </w:r>
          </w:p>
          <w:p w14:paraId="3090FB41" w14:textId="77777777" w:rsidR="00861CB1" w:rsidRPr="003C7CB1" w:rsidRDefault="00861CB1" w:rsidP="00861CB1">
            <w:pPr>
              <w:jc w:val="both"/>
              <w:rPr>
                <w:rFonts w:ascii="Calibri" w:eastAsia="Times New Roman" w:hAnsi="Calibri" w:cs="Calibri"/>
                <w:b/>
                <w:color w:val="2E74B5"/>
              </w:rPr>
            </w:pPr>
            <w:r w:rsidRPr="003C7CB1">
              <w:rPr>
                <w:rFonts w:ascii="Calibri" w:eastAsia="Times New Roman" w:hAnsi="Calibri" w:cs="Calibri"/>
                <w:bCs/>
                <w:color w:val="2E74B5"/>
              </w:rPr>
              <w:t xml:space="preserve">Administrative database of tourists </w:t>
            </w:r>
          </w:p>
        </w:tc>
        <w:tc>
          <w:tcPr>
            <w:tcW w:w="622" w:type="pct"/>
          </w:tcPr>
          <w:p w14:paraId="4503C46E"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3 </w:t>
            </w:r>
          </w:p>
        </w:tc>
        <w:tc>
          <w:tcPr>
            <w:tcW w:w="623" w:type="pct"/>
          </w:tcPr>
          <w:p w14:paraId="3C93854E"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4F47006E" w14:textId="77777777" w:rsidTr="00861CB1">
        <w:trPr>
          <w:cnfStyle w:val="000000100000" w:firstRow="0" w:lastRow="0" w:firstColumn="0" w:lastColumn="0" w:oddVBand="0" w:evenVBand="0" w:oddHBand="1" w:evenHBand="0" w:firstRowFirstColumn="0" w:firstRowLastColumn="0" w:lastRowFirstColumn="0" w:lastRowLastColumn="0"/>
          <w:trHeight w:val="935"/>
        </w:trPr>
        <w:tc>
          <w:tcPr>
            <w:tcW w:w="996" w:type="pct"/>
          </w:tcPr>
          <w:p w14:paraId="4ADA4664" w14:textId="77777777" w:rsidR="00861CB1" w:rsidRPr="003C7CB1" w:rsidRDefault="00861CB1" w:rsidP="00861CB1">
            <w:pPr>
              <w:rPr>
                <w:rFonts w:ascii="Calibri" w:eastAsia="Calibri" w:hAnsi="Calibri" w:cs="Calibri"/>
                <w:b/>
                <w:color w:val="1F4E79"/>
              </w:rPr>
            </w:pPr>
            <w:r w:rsidRPr="003C7CB1">
              <w:rPr>
                <w:rFonts w:ascii="Calibri" w:eastAsia="Calibri" w:hAnsi="Calibri" w:cs="Calibri"/>
                <w:b/>
                <w:color w:val="2E74B5"/>
              </w:rPr>
              <w:t xml:space="preserve">Ministry of Agriculture, Forestry and Water Management </w:t>
            </w:r>
          </w:p>
        </w:tc>
        <w:tc>
          <w:tcPr>
            <w:tcW w:w="2759" w:type="pct"/>
          </w:tcPr>
          <w:p w14:paraId="32CB4871" w14:textId="77777777" w:rsidR="00861CB1" w:rsidRPr="003C7CB1" w:rsidRDefault="00861CB1" w:rsidP="00861CB1">
            <w:pPr>
              <w:rPr>
                <w:rFonts w:ascii="Calibri" w:eastAsia="Calibri" w:hAnsi="Calibri" w:cs="Calibri"/>
                <w:color w:val="1F4E79"/>
              </w:rPr>
            </w:pPr>
            <w:r w:rsidRPr="003C7CB1">
              <w:rPr>
                <w:rFonts w:ascii="Calibri" w:eastAsia="Calibri" w:hAnsi="Calibri" w:cs="Calibri"/>
                <w:color w:val="2E74B5"/>
              </w:rPr>
              <w:t xml:space="preserve">Performs activities related to the development of rural areas in Montenegro, according to which cooperation is established from the aspect of tourism in terms of development and improvement of rural tourism </w:t>
            </w:r>
          </w:p>
        </w:tc>
        <w:tc>
          <w:tcPr>
            <w:tcW w:w="622" w:type="pct"/>
          </w:tcPr>
          <w:p w14:paraId="3BA6E6ED" w14:textId="77777777" w:rsidR="00861CB1" w:rsidRPr="003C7CB1" w:rsidRDefault="00861CB1" w:rsidP="00861CB1">
            <w:pPr>
              <w:jc w:val="center"/>
              <w:rPr>
                <w:rFonts w:ascii="Calibri" w:eastAsia="Calibri" w:hAnsi="Calibri" w:cs="Calibri"/>
                <w:b/>
                <w:color w:val="1F4E79"/>
              </w:rPr>
            </w:pPr>
            <w:r w:rsidRPr="003C7CB1">
              <w:rPr>
                <w:rFonts w:ascii="Calibri" w:eastAsia="Calibri" w:hAnsi="Calibri" w:cs="Calibri"/>
                <w:b/>
                <w:color w:val="1F4E79"/>
              </w:rPr>
              <w:t xml:space="preserve">5 </w:t>
            </w:r>
          </w:p>
        </w:tc>
        <w:tc>
          <w:tcPr>
            <w:tcW w:w="623" w:type="pct"/>
          </w:tcPr>
          <w:p w14:paraId="0CF5DDB4" w14:textId="77777777" w:rsidR="00861CB1" w:rsidRPr="003C7CB1" w:rsidRDefault="00861CB1" w:rsidP="00861CB1">
            <w:pPr>
              <w:jc w:val="center"/>
              <w:rPr>
                <w:rFonts w:ascii="Calibri" w:eastAsia="Calibri" w:hAnsi="Calibri" w:cs="Calibri"/>
                <w:b/>
                <w:color w:val="1F4E79"/>
              </w:rPr>
            </w:pPr>
            <w:r w:rsidRPr="003C7CB1">
              <w:rPr>
                <w:rFonts w:ascii="Calibri" w:eastAsia="Calibri" w:hAnsi="Calibri" w:cs="Calibri"/>
                <w:b/>
                <w:color w:val="1F4E79"/>
              </w:rPr>
              <w:t xml:space="preserve">5 </w:t>
            </w:r>
          </w:p>
        </w:tc>
      </w:tr>
      <w:tr w:rsidR="00861CB1" w:rsidRPr="003C7CB1" w14:paraId="166328FE" w14:textId="77777777" w:rsidTr="00861CB1">
        <w:trPr>
          <w:trHeight w:val="935"/>
        </w:trPr>
        <w:tc>
          <w:tcPr>
            <w:tcW w:w="996" w:type="pct"/>
          </w:tcPr>
          <w:p w14:paraId="71E86515"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Education, Science, Culture and Sports </w:t>
            </w:r>
          </w:p>
        </w:tc>
        <w:tc>
          <w:tcPr>
            <w:tcW w:w="2759" w:type="pct"/>
          </w:tcPr>
          <w:p w14:paraId="7B7AD0C2"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Responsible for education, science, culture and sports - cooperation in terms of contributing to the quality of tourist </w:t>
            </w:r>
            <w:r w:rsidRPr="003C7CB1">
              <w:rPr>
                <w:rFonts w:ascii="Calibri" w:eastAsia="Times New Roman" w:hAnsi="Calibri" w:cs="Calibri"/>
                <w:bCs/>
                <w:color w:val="2E74B5"/>
              </w:rPr>
              <w:lastRenderedPageBreak/>
              <w:t xml:space="preserve">valorization and improving the quality of tourist offer in all segments of the competencies of this Ministry </w:t>
            </w:r>
          </w:p>
        </w:tc>
        <w:tc>
          <w:tcPr>
            <w:tcW w:w="622" w:type="pct"/>
          </w:tcPr>
          <w:p w14:paraId="31A7A5AD"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lastRenderedPageBreak/>
              <w:t xml:space="preserve">5 </w:t>
            </w:r>
          </w:p>
        </w:tc>
        <w:tc>
          <w:tcPr>
            <w:tcW w:w="623" w:type="pct"/>
          </w:tcPr>
          <w:p w14:paraId="078BB9CA"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126BFCC3" w14:textId="77777777" w:rsidTr="00861CB1">
        <w:trPr>
          <w:cnfStyle w:val="000000100000" w:firstRow="0" w:lastRow="0" w:firstColumn="0" w:lastColumn="0" w:oddVBand="0" w:evenVBand="0" w:oddHBand="1" w:evenHBand="0" w:firstRowFirstColumn="0" w:firstRowLastColumn="0" w:lastRowFirstColumn="0" w:lastRowLastColumn="0"/>
          <w:trHeight w:val="935"/>
        </w:trPr>
        <w:tc>
          <w:tcPr>
            <w:tcW w:w="996" w:type="pct"/>
          </w:tcPr>
          <w:p w14:paraId="75284AFF"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Public cultural institutions </w:t>
            </w:r>
          </w:p>
        </w:tc>
        <w:tc>
          <w:tcPr>
            <w:tcW w:w="2759" w:type="pct"/>
          </w:tcPr>
          <w:p w14:paraId="25D217B8"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PI National Museum of Montenegro and PI Maritime Museum of Montenegro, participate in the tourist offer, and generate significant revenues from tourism. Also, other museums, both national and municipal and private, carry out activities that are in the function of improving the tourist offer  </w:t>
            </w:r>
          </w:p>
        </w:tc>
        <w:tc>
          <w:tcPr>
            <w:tcW w:w="622" w:type="pct"/>
          </w:tcPr>
          <w:p w14:paraId="07E4A3B9"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4 </w:t>
            </w:r>
          </w:p>
        </w:tc>
        <w:tc>
          <w:tcPr>
            <w:tcW w:w="623" w:type="pct"/>
          </w:tcPr>
          <w:p w14:paraId="69699452"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5C102286" w14:textId="77777777" w:rsidTr="00861CB1">
        <w:trPr>
          <w:trHeight w:val="2171"/>
        </w:trPr>
        <w:tc>
          <w:tcPr>
            <w:tcW w:w="996" w:type="pct"/>
          </w:tcPr>
          <w:p w14:paraId="53CC78B0"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Finance </w:t>
            </w:r>
          </w:p>
        </w:tc>
        <w:tc>
          <w:tcPr>
            <w:tcW w:w="2759" w:type="pct"/>
          </w:tcPr>
          <w:p w14:paraId="663EEC73"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Preparation of proposals for the current economic policy of Montenegro and monitoring of its implementation; preparation, planning, drafting and execution of the budget of Montenegro </w:t>
            </w:r>
          </w:p>
          <w:p w14:paraId="1701E2ED" w14:textId="77777777" w:rsidR="00861CB1" w:rsidRPr="003C7CB1" w:rsidRDefault="00861CB1" w:rsidP="00861CB1">
            <w:pPr>
              <w:jc w:val="both"/>
              <w:rPr>
                <w:rFonts w:ascii="Calibri" w:eastAsia="Times New Roman" w:hAnsi="Calibri" w:cs="Calibri"/>
                <w:b/>
                <w:color w:val="2E74B5"/>
              </w:rPr>
            </w:pPr>
            <w:r w:rsidRPr="003C7CB1">
              <w:rPr>
                <w:rFonts w:ascii="Calibri" w:eastAsia="Times New Roman" w:hAnsi="Calibri" w:cs="Calibri"/>
                <w:bCs/>
                <w:color w:val="2E74B5"/>
              </w:rPr>
              <w:t xml:space="preserve">Planning of strategic goals (Tourism Development Strategy 2021-2025) in accordance with the medium-term plan of the Ministry of Finance </w:t>
            </w:r>
          </w:p>
        </w:tc>
        <w:tc>
          <w:tcPr>
            <w:tcW w:w="622" w:type="pct"/>
          </w:tcPr>
          <w:p w14:paraId="3E6B6E32"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3A6F54AC"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5B178DDA" w14:textId="77777777" w:rsidTr="00861CB1">
        <w:trPr>
          <w:cnfStyle w:val="000000100000" w:firstRow="0" w:lastRow="0" w:firstColumn="0" w:lastColumn="0" w:oddVBand="0" w:evenVBand="0" w:oddHBand="1" w:evenHBand="0" w:firstRowFirstColumn="0" w:firstRowLastColumn="0" w:lastRowFirstColumn="0" w:lastRowLastColumn="0"/>
          <w:trHeight w:val="1538"/>
        </w:trPr>
        <w:tc>
          <w:tcPr>
            <w:tcW w:w="996" w:type="pct"/>
          </w:tcPr>
          <w:p w14:paraId="720958ED"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Capital Investments </w:t>
            </w:r>
          </w:p>
        </w:tc>
        <w:tc>
          <w:tcPr>
            <w:tcW w:w="2759" w:type="pct"/>
          </w:tcPr>
          <w:p w14:paraId="6BA56BAA"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Cs/>
                <w:color w:val="2E74B5"/>
              </w:rPr>
              <w:t xml:space="preserve">Performs tasks related to the preparation and evaluation of development investment projects of interest to Montenegro in the field of energy, mining, transport and maritime affairs, as well as conducting development policy, monitoring the situation and taking measures </w:t>
            </w:r>
          </w:p>
        </w:tc>
        <w:tc>
          <w:tcPr>
            <w:tcW w:w="622" w:type="pct"/>
          </w:tcPr>
          <w:p w14:paraId="4420446E"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24EE0A8D"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0099FF75" w14:textId="77777777" w:rsidTr="00861CB1">
        <w:trPr>
          <w:trHeight w:val="2804"/>
        </w:trPr>
        <w:tc>
          <w:tcPr>
            <w:tcW w:w="996" w:type="pct"/>
          </w:tcPr>
          <w:p w14:paraId="31A9BABD"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Ministry of Health </w:t>
            </w:r>
          </w:p>
        </w:tc>
        <w:tc>
          <w:tcPr>
            <w:tcW w:w="2759" w:type="pct"/>
          </w:tcPr>
          <w:p w14:paraId="576DB6A1"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Institution that monitors the development of health services, improving the health status and health needs of the population, improving the health care of patients, as well as monitoring the development of health standards. It is also responsible for monitoring the implementation of resolutions, declarations, conventions and protocols in the field of health care, i.e., preparation of drafts and proposals of laws and other regulations in the field of health care, health insurance and other areas of public health in accordance with international standards. </w:t>
            </w:r>
          </w:p>
          <w:p w14:paraId="270433C1"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In relation to the Tourism Development Strategy, this Ministry has a special influence when it comes to health tourism, which is described in detail in the Health Tourism Development Program, but also when it comes to measures in terms of safety / health security (especially during a pandemic) which affects tourism. </w:t>
            </w:r>
          </w:p>
        </w:tc>
        <w:tc>
          <w:tcPr>
            <w:tcW w:w="622" w:type="pct"/>
          </w:tcPr>
          <w:p w14:paraId="674230DA"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71590ECF"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0EA51827" w14:textId="77777777" w:rsidTr="00861CB1">
        <w:trPr>
          <w:cnfStyle w:val="000000100000" w:firstRow="0" w:lastRow="0" w:firstColumn="0" w:lastColumn="0" w:oddVBand="0" w:evenVBand="0" w:oddHBand="1" w:evenHBand="0" w:firstRowFirstColumn="0" w:firstRowLastColumn="0" w:lastRowFirstColumn="0" w:lastRowLastColumn="0"/>
          <w:trHeight w:val="145"/>
        </w:trPr>
        <w:tc>
          <w:tcPr>
            <w:tcW w:w="996" w:type="pct"/>
          </w:tcPr>
          <w:p w14:paraId="2EE9E07B"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lastRenderedPageBreak/>
              <w:t xml:space="preserve">National Tourism Organization of Montenegro </w:t>
            </w:r>
          </w:p>
        </w:tc>
        <w:tc>
          <w:tcPr>
            <w:tcW w:w="2759" w:type="pct"/>
          </w:tcPr>
          <w:p w14:paraId="5D559245"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NTO plans, organizes and implements the general tourist and propaganda activity of Montenegro in the country and abroad, adopts annual programs of tourist and propaganda activity; monitors, analyzes, organizes research on domestic and foreign tourism market; creates conditions and provides funds to promote tourist values and opportunities of Montenegro. Participates in the establishment and development of a unique information system in tourism in Montenegro and ensures its connection with other information systems; coordinates and integrates information and promotional activities of all entities in the field of tourism and cooperates with tourism organizations in the country and abroad. </w:t>
            </w:r>
          </w:p>
        </w:tc>
        <w:tc>
          <w:tcPr>
            <w:tcW w:w="622" w:type="pct"/>
          </w:tcPr>
          <w:p w14:paraId="36D94044"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47832EBE"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61A41047" w14:textId="77777777" w:rsidTr="00861CB1">
        <w:trPr>
          <w:trHeight w:val="145"/>
        </w:trPr>
        <w:tc>
          <w:tcPr>
            <w:tcW w:w="996" w:type="pct"/>
          </w:tcPr>
          <w:p w14:paraId="6E9C3D92"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Local tourism organizations </w:t>
            </w:r>
          </w:p>
        </w:tc>
        <w:tc>
          <w:tcPr>
            <w:tcW w:w="2759" w:type="pct"/>
          </w:tcPr>
          <w:p w14:paraId="7AF30D16"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Local tourism organizations improve and promote the original values of the municipality for which they were established; participate in the implementation of projects for development and diversification of tourist offer as well as in creating conditions for activating tourist resources in the municipality; encourage, coordinate and organize cultural, artistic, entertainment, economic, sports and other events, which contribute to the enrichment of the tourist offer; also provide information to guests on available accommodation facilities in primary and complementary hospitality facilities, hospitality facilities that are preparing and serving food and  beverages and private accommodation facilities, cultural events, happenings and other service information on tourist services in the municipality, etc. </w:t>
            </w:r>
          </w:p>
        </w:tc>
        <w:tc>
          <w:tcPr>
            <w:tcW w:w="622" w:type="pct"/>
          </w:tcPr>
          <w:p w14:paraId="5949F95B"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05EFF559"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2391E2BF" w14:textId="77777777" w:rsidTr="00861CB1">
        <w:trPr>
          <w:cnfStyle w:val="000000100000" w:firstRow="0" w:lastRow="0" w:firstColumn="0" w:lastColumn="0" w:oddVBand="0" w:evenVBand="0" w:oddHBand="1" w:evenHBand="0" w:firstRowFirstColumn="0" w:firstRowLastColumn="0" w:lastRowFirstColumn="0" w:lastRowLastColumn="0"/>
          <w:trHeight w:val="145"/>
        </w:trPr>
        <w:tc>
          <w:tcPr>
            <w:tcW w:w="996" w:type="pct"/>
          </w:tcPr>
          <w:p w14:paraId="6E114F6E"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Local communities </w:t>
            </w:r>
          </w:p>
        </w:tc>
        <w:tc>
          <w:tcPr>
            <w:tcW w:w="2759" w:type="pct"/>
          </w:tcPr>
          <w:p w14:paraId="29210E6C"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The municipality regulates and ensures the performance and development of communal activities, maintenance of community infrastructure and communal order; regulates and ensures the performance of construction, reconstruction, maintenance and protection of municipal roads; regulates and provides passenger transport in urban and suburban regular transport and taxi transport; regulates transport; arranges construction land; regulates and provides conditions for the development of entrepreneurship; provides conditions and takes care of the protection of the environment and its individual parts (air quality, noise protection, waste management, etc.); regulates, provides and creates conditions for the development of culture and protection of cultural property; regulates, organizes and creates conditions and takes care of the development of tourism, as well as the </w:t>
            </w:r>
            <w:r w:rsidRPr="003C7CB1">
              <w:rPr>
                <w:rFonts w:ascii="Calibri" w:eastAsia="Times New Roman" w:hAnsi="Calibri" w:cs="Calibri"/>
                <w:bCs/>
                <w:color w:val="2E74B5"/>
              </w:rPr>
              <w:lastRenderedPageBreak/>
              <w:t xml:space="preserve">development of activities that improve the development of tourism; creates conditions for the development and improvement of sports for children, youth and citizens, as well as the development of inter-municipal sports cooperation; in accordance with the possibilities, regulates and provides for the solution of housing needs of persons in a state of social need and persons with disabilities and assists the work of humanitarian and non-governmental organizations in these areas, etc. </w:t>
            </w:r>
          </w:p>
        </w:tc>
        <w:tc>
          <w:tcPr>
            <w:tcW w:w="622" w:type="pct"/>
          </w:tcPr>
          <w:p w14:paraId="74330898"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lastRenderedPageBreak/>
              <w:t xml:space="preserve">5 </w:t>
            </w:r>
          </w:p>
        </w:tc>
        <w:tc>
          <w:tcPr>
            <w:tcW w:w="623" w:type="pct"/>
          </w:tcPr>
          <w:p w14:paraId="64DD945F"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57A677D8" w14:textId="77777777" w:rsidTr="00861CB1">
        <w:trPr>
          <w:trHeight w:val="145"/>
        </w:trPr>
        <w:tc>
          <w:tcPr>
            <w:tcW w:w="996" w:type="pct"/>
          </w:tcPr>
          <w:p w14:paraId="2EB471E2"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National parks </w:t>
            </w:r>
          </w:p>
        </w:tc>
        <w:tc>
          <w:tcPr>
            <w:tcW w:w="2759" w:type="pct"/>
          </w:tcPr>
          <w:p w14:paraId="5B81C34A"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National parks are areas of special beauty and significant and rare natural phenomena. They form an ecological and geographical unit that is separated and protected by a special law. Each national park is characterized by a specific natural and cultural heritage. National parks are responsible for the protection and management, preparation and implementation of protection programs, control of the use of natural resources, establishment of internal rules and promotion, in accordance with relevant laws and acts. </w:t>
            </w:r>
          </w:p>
        </w:tc>
        <w:tc>
          <w:tcPr>
            <w:tcW w:w="622" w:type="pct"/>
          </w:tcPr>
          <w:p w14:paraId="1C2DE612"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27E00181"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28A203E5" w14:textId="77777777" w:rsidTr="00861CB1">
        <w:trPr>
          <w:cnfStyle w:val="000000100000" w:firstRow="0" w:lastRow="0" w:firstColumn="0" w:lastColumn="0" w:oddVBand="0" w:evenVBand="0" w:oddHBand="1" w:evenHBand="0" w:firstRowFirstColumn="0" w:firstRowLastColumn="0" w:lastRowFirstColumn="0" w:lastRowLastColumn="0"/>
          <w:trHeight w:val="145"/>
        </w:trPr>
        <w:tc>
          <w:tcPr>
            <w:tcW w:w="996" w:type="pct"/>
          </w:tcPr>
          <w:p w14:paraId="28508C56"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Statistical Office – MONSTAT </w:t>
            </w:r>
          </w:p>
        </w:tc>
        <w:tc>
          <w:tcPr>
            <w:tcW w:w="2759" w:type="pct"/>
          </w:tcPr>
          <w:p w14:paraId="3524842D" w14:textId="77777777" w:rsidR="00861CB1" w:rsidRPr="003C7CB1" w:rsidRDefault="00861CB1" w:rsidP="00861CB1">
            <w:pPr>
              <w:autoSpaceDE w:val="0"/>
              <w:autoSpaceDN w:val="0"/>
              <w:adjustRightInd w:val="0"/>
              <w:spacing w:after="0" w:line="240" w:lineRule="auto"/>
              <w:jc w:val="both"/>
              <w:rPr>
                <w:rFonts w:ascii="Calibri" w:eastAsia="Times New Roman" w:hAnsi="Calibri" w:cs="Calibri"/>
                <w:bCs/>
                <w:color w:val="2E74B5"/>
              </w:rPr>
            </w:pPr>
            <w:r w:rsidRPr="003C7CB1">
              <w:rPr>
                <w:rFonts w:ascii="Calibri" w:eastAsia="Times New Roman" w:hAnsi="Calibri" w:cs="Calibri"/>
                <w:bCs/>
                <w:color w:val="2E74B5"/>
              </w:rPr>
              <w:t xml:space="preserve">The Statistical Office of Montenegro - </w:t>
            </w:r>
            <w:proofErr w:type="spellStart"/>
            <w:r w:rsidRPr="003C7CB1">
              <w:rPr>
                <w:rFonts w:ascii="Calibri" w:eastAsia="Times New Roman" w:hAnsi="Calibri" w:cs="Calibri"/>
                <w:bCs/>
                <w:color w:val="2E74B5"/>
              </w:rPr>
              <w:t>Monstat</w:t>
            </w:r>
            <w:proofErr w:type="spellEnd"/>
            <w:r w:rsidRPr="003C7CB1">
              <w:rPr>
                <w:rFonts w:ascii="Calibri" w:eastAsia="Times New Roman" w:hAnsi="Calibri" w:cs="Calibri"/>
                <w:bCs/>
                <w:color w:val="2E74B5"/>
              </w:rPr>
              <w:t xml:space="preserve"> is the competent body for the production of official statistics, and as such it is recognized by the domestic and international public. </w:t>
            </w:r>
          </w:p>
          <w:p w14:paraId="54EF9062" w14:textId="77777777" w:rsidR="00861CB1" w:rsidRPr="003C7CB1" w:rsidRDefault="00861CB1" w:rsidP="00861CB1">
            <w:pPr>
              <w:rPr>
                <w:rFonts w:ascii="Calibri" w:eastAsia="Times New Roman" w:hAnsi="Calibri" w:cs="Calibri"/>
                <w:bCs/>
                <w:color w:val="2E74B5"/>
              </w:rPr>
            </w:pPr>
            <w:r w:rsidRPr="003C7CB1">
              <w:rPr>
                <w:rFonts w:ascii="Calibri" w:eastAsia="Times New Roman" w:hAnsi="Calibri" w:cs="Calibri"/>
                <w:bCs/>
                <w:color w:val="2E74B5"/>
              </w:rPr>
              <w:t xml:space="preserve">Examination of possibilities, as well as planning the production of missing data in the field of tourism, as well as the development of TSA. </w:t>
            </w:r>
          </w:p>
        </w:tc>
        <w:tc>
          <w:tcPr>
            <w:tcW w:w="622" w:type="pct"/>
          </w:tcPr>
          <w:p w14:paraId="0582D7DF"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4 </w:t>
            </w:r>
          </w:p>
        </w:tc>
        <w:tc>
          <w:tcPr>
            <w:tcW w:w="623" w:type="pct"/>
          </w:tcPr>
          <w:p w14:paraId="07A03871"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147702D0" w14:textId="77777777" w:rsidTr="00861CB1">
        <w:trPr>
          <w:trHeight w:val="145"/>
        </w:trPr>
        <w:tc>
          <w:tcPr>
            <w:tcW w:w="996" w:type="pct"/>
          </w:tcPr>
          <w:p w14:paraId="6A7C2E8C"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Chamber of Economy </w:t>
            </w:r>
          </w:p>
        </w:tc>
        <w:tc>
          <w:tcPr>
            <w:tcW w:w="2759" w:type="pct"/>
          </w:tcPr>
          <w:p w14:paraId="3912A034"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The efforts of the Chamber of Economy are aimed at successfully representing the interests of Montenegrin companies and creating favorable conditions for improving their competitiveness in the global economic environment. The activities of the Chamber are primarily aimed at creating the most favorable business environment. </w:t>
            </w:r>
          </w:p>
          <w:p w14:paraId="1A98C196"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The planning of the Strategy and its implementation will certainly have an impact on economic entities and their opinion needs to be taken into account - where they see the problems, how they see the way to solve them, the vision of development, etc. </w:t>
            </w:r>
          </w:p>
        </w:tc>
        <w:tc>
          <w:tcPr>
            <w:tcW w:w="622" w:type="pct"/>
          </w:tcPr>
          <w:p w14:paraId="71475109"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57FCB34A"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6147D580" w14:textId="77777777" w:rsidTr="00861CB1">
        <w:trPr>
          <w:cnfStyle w:val="000000100000" w:firstRow="0" w:lastRow="0" w:firstColumn="0" w:lastColumn="0" w:oddVBand="0" w:evenVBand="0" w:oddHBand="1" w:evenHBand="0" w:firstRowFirstColumn="0" w:firstRowLastColumn="0" w:lastRowFirstColumn="0" w:lastRowLastColumn="0"/>
          <w:trHeight w:val="145"/>
        </w:trPr>
        <w:tc>
          <w:tcPr>
            <w:tcW w:w="996" w:type="pct"/>
          </w:tcPr>
          <w:p w14:paraId="34B3B2BD"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Montenegro Business Alliance </w:t>
            </w:r>
          </w:p>
        </w:tc>
        <w:tc>
          <w:tcPr>
            <w:tcW w:w="2759" w:type="pct"/>
          </w:tcPr>
          <w:p w14:paraId="6CDCD9F2"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Montenegro Business Alliance is a business association that brings together entrepreneurs, domestic and foreign investors. It was established in September 2001 by ten Montenegrin companies. Since its establishment, it has been working to promote the development of the private sector and point out </w:t>
            </w:r>
            <w:r w:rsidRPr="003C7CB1">
              <w:rPr>
                <w:rFonts w:ascii="Calibri" w:eastAsia="Times New Roman" w:hAnsi="Calibri" w:cs="Calibri"/>
                <w:bCs/>
                <w:color w:val="2E74B5"/>
              </w:rPr>
              <w:lastRenderedPageBreak/>
              <w:t xml:space="preserve">the problems in the existing legislation, with the intention of contributing to the removal of existing barriers and improving the overall business environment in Montenegro. Today, the Montenegro Business Alliance brings together about 500 of the most successful companies in Montenegro. </w:t>
            </w:r>
          </w:p>
        </w:tc>
        <w:tc>
          <w:tcPr>
            <w:tcW w:w="622" w:type="pct"/>
          </w:tcPr>
          <w:p w14:paraId="6FA1F838"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lastRenderedPageBreak/>
              <w:t xml:space="preserve">5 </w:t>
            </w:r>
          </w:p>
        </w:tc>
        <w:tc>
          <w:tcPr>
            <w:tcW w:w="623" w:type="pct"/>
          </w:tcPr>
          <w:p w14:paraId="33BC7E58"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79628F32" w14:textId="77777777" w:rsidTr="00861CB1">
        <w:trPr>
          <w:trHeight w:val="145"/>
        </w:trPr>
        <w:tc>
          <w:tcPr>
            <w:tcW w:w="996" w:type="pct"/>
          </w:tcPr>
          <w:p w14:paraId="1BD6800B"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Tourism associations - Montenegrin tourism association </w:t>
            </w:r>
          </w:p>
        </w:tc>
        <w:tc>
          <w:tcPr>
            <w:tcW w:w="2759" w:type="pct"/>
          </w:tcPr>
          <w:p w14:paraId="0EFAF918"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The Montenegrin Tourism Association consists of the Association of Hoteliers and Restaurateurs of Montenegro, the Montenegrin Hotel Association and the Association of Travel Agencies. It was founded as a non-governmental organization in 2006. The key activities of this organization are: representing the interests of the tourism profession, developing dialogue and negotiation on issues relevant to the interests of the tourism industry, active participation in drafting regulations related to the tourism industry, engaging in promotion and quality of Montenegro as a tourist destination, providing services to its members in order to improve their business, cooperation at the domestic and international level, in accordance with international standards and recommendations and an active role in the governing bodies of LTO and NTO and other public sector institutions to develop the tourism economy of Montenegro (Public Private Partnership). </w:t>
            </w:r>
          </w:p>
          <w:p w14:paraId="4D32D20E"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With the opinion / experience of the entities that make up this association, or their representatives, problems in the tourism sector can be seen more realistically and goals and measures can be better planned. </w:t>
            </w:r>
          </w:p>
        </w:tc>
        <w:tc>
          <w:tcPr>
            <w:tcW w:w="622" w:type="pct"/>
          </w:tcPr>
          <w:p w14:paraId="31B12FBD"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c>
          <w:tcPr>
            <w:tcW w:w="623" w:type="pct"/>
          </w:tcPr>
          <w:p w14:paraId="75813887"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5 </w:t>
            </w:r>
          </w:p>
        </w:tc>
      </w:tr>
      <w:tr w:rsidR="00861CB1" w:rsidRPr="003C7CB1" w14:paraId="79ED94F3" w14:textId="77777777" w:rsidTr="00861CB1">
        <w:trPr>
          <w:cnfStyle w:val="000000100000" w:firstRow="0" w:lastRow="0" w:firstColumn="0" w:lastColumn="0" w:oddVBand="0" w:evenVBand="0" w:oddHBand="1" w:evenHBand="0" w:firstRowFirstColumn="0" w:firstRowLastColumn="0" w:lastRowFirstColumn="0" w:lastRowLastColumn="0"/>
          <w:trHeight w:val="145"/>
        </w:trPr>
        <w:tc>
          <w:tcPr>
            <w:tcW w:w="996" w:type="pct"/>
          </w:tcPr>
          <w:p w14:paraId="551C709E"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Research centers </w:t>
            </w:r>
          </w:p>
        </w:tc>
        <w:tc>
          <w:tcPr>
            <w:tcW w:w="2759" w:type="pct"/>
          </w:tcPr>
          <w:p w14:paraId="3F193630"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Research centers / agencies / institutes have conducted various research in the field of tourism. In the absence of official statistics, or in order to obtain new ones through projections / estimates, they can be planned through research centers. </w:t>
            </w:r>
          </w:p>
        </w:tc>
        <w:tc>
          <w:tcPr>
            <w:tcW w:w="622" w:type="pct"/>
          </w:tcPr>
          <w:p w14:paraId="4540B2A4"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2 </w:t>
            </w:r>
          </w:p>
        </w:tc>
        <w:tc>
          <w:tcPr>
            <w:tcW w:w="623" w:type="pct"/>
          </w:tcPr>
          <w:p w14:paraId="5E122A4C"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2 </w:t>
            </w:r>
          </w:p>
        </w:tc>
      </w:tr>
      <w:tr w:rsidR="00861CB1" w:rsidRPr="003C7CB1" w14:paraId="28EEB8D3" w14:textId="77777777" w:rsidTr="00861CB1">
        <w:trPr>
          <w:trHeight w:val="145"/>
        </w:trPr>
        <w:tc>
          <w:tcPr>
            <w:tcW w:w="996" w:type="pct"/>
          </w:tcPr>
          <w:p w14:paraId="2A782B56"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t xml:space="preserve">Academic community </w:t>
            </w:r>
          </w:p>
        </w:tc>
        <w:tc>
          <w:tcPr>
            <w:tcW w:w="2759" w:type="pct"/>
          </w:tcPr>
          <w:p w14:paraId="5F233BDC"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The faculties that include the field of tourism in their educational program significantly contribute to the quality of the Strategy itself. Specifically, through various professional and scientific papers, projects, research and analysis, which are partly presented in this analysis, the academic community can significantly contribute to the quality of the Strategy, and later to the implementation of planned activities through scientific projects (e.g., gray economy assessment in tourism). </w:t>
            </w:r>
          </w:p>
        </w:tc>
        <w:tc>
          <w:tcPr>
            <w:tcW w:w="622" w:type="pct"/>
          </w:tcPr>
          <w:p w14:paraId="65BC5AE9"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2 </w:t>
            </w:r>
          </w:p>
        </w:tc>
        <w:tc>
          <w:tcPr>
            <w:tcW w:w="623" w:type="pct"/>
          </w:tcPr>
          <w:p w14:paraId="05F87D61"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4 </w:t>
            </w:r>
          </w:p>
        </w:tc>
      </w:tr>
      <w:tr w:rsidR="00861CB1" w:rsidRPr="003C7CB1" w14:paraId="3B3C6891" w14:textId="77777777" w:rsidTr="00861CB1">
        <w:trPr>
          <w:cnfStyle w:val="000000100000" w:firstRow="0" w:lastRow="0" w:firstColumn="0" w:lastColumn="0" w:oddVBand="0" w:evenVBand="0" w:oddHBand="1" w:evenHBand="0" w:firstRowFirstColumn="0" w:firstRowLastColumn="0" w:lastRowFirstColumn="0" w:lastRowLastColumn="0"/>
          <w:trHeight w:val="145"/>
        </w:trPr>
        <w:tc>
          <w:tcPr>
            <w:tcW w:w="996" w:type="pct"/>
          </w:tcPr>
          <w:p w14:paraId="69352E2C" w14:textId="77777777" w:rsidR="00861CB1" w:rsidRPr="003C7CB1" w:rsidRDefault="00861CB1" w:rsidP="00861CB1">
            <w:pPr>
              <w:rPr>
                <w:rFonts w:ascii="Calibri" w:eastAsia="Times New Roman" w:hAnsi="Calibri" w:cs="Calibri"/>
                <w:b/>
                <w:color w:val="2E74B5"/>
              </w:rPr>
            </w:pPr>
            <w:r w:rsidRPr="003C7CB1">
              <w:rPr>
                <w:rFonts w:ascii="Calibri" w:eastAsia="Times New Roman" w:hAnsi="Calibri" w:cs="Calibri"/>
                <w:b/>
                <w:color w:val="2E74B5"/>
              </w:rPr>
              <w:lastRenderedPageBreak/>
              <w:t xml:space="preserve">NGOs from the tourism sector </w:t>
            </w:r>
          </w:p>
        </w:tc>
        <w:tc>
          <w:tcPr>
            <w:tcW w:w="2759" w:type="pct"/>
          </w:tcPr>
          <w:p w14:paraId="38393EAD" w14:textId="77777777" w:rsidR="00861CB1" w:rsidRPr="003C7CB1" w:rsidRDefault="00861CB1" w:rsidP="00861CB1">
            <w:pPr>
              <w:jc w:val="both"/>
              <w:rPr>
                <w:rFonts w:ascii="Calibri" w:eastAsia="Times New Roman" w:hAnsi="Calibri" w:cs="Calibri"/>
                <w:bCs/>
                <w:color w:val="2E74B5"/>
              </w:rPr>
            </w:pPr>
            <w:r w:rsidRPr="003C7CB1">
              <w:rPr>
                <w:rFonts w:ascii="Calibri" w:eastAsia="Times New Roman" w:hAnsi="Calibri" w:cs="Calibri"/>
                <w:bCs/>
                <w:color w:val="2E74B5"/>
              </w:rPr>
              <w:t xml:space="preserve">Cooperation between the Government and civil society has de facto become an integral part of the political criteria for full EU membership for the countries of the Western Balkans. The partnership between the Government and NGOs has been confirmed in the development of a large number of national and local strategies, reform programs and laws. NGOs, through various forms of pre-accession assistance and other funds, can contribute to the achievement of strategic goals. </w:t>
            </w:r>
          </w:p>
        </w:tc>
        <w:tc>
          <w:tcPr>
            <w:tcW w:w="622" w:type="pct"/>
          </w:tcPr>
          <w:p w14:paraId="072653E2"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3 </w:t>
            </w:r>
          </w:p>
        </w:tc>
        <w:tc>
          <w:tcPr>
            <w:tcW w:w="623" w:type="pct"/>
          </w:tcPr>
          <w:p w14:paraId="646CC131" w14:textId="77777777" w:rsidR="00861CB1" w:rsidRPr="003C7CB1" w:rsidRDefault="00861CB1" w:rsidP="00861CB1">
            <w:pPr>
              <w:jc w:val="center"/>
              <w:rPr>
                <w:rFonts w:ascii="Calibri" w:eastAsia="Times New Roman" w:hAnsi="Calibri" w:cs="Calibri"/>
                <w:b/>
                <w:color w:val="2E74B5"/>
              </w:rPr>
            </w:pPr>
            <w:r w:rsidRPr="003C7CB1">
              <w:rPr>
                <w:rFonts w:ascii="Calibri" w:eastAsia="Times New Roman" w:hAnsi="Calibri" w:cs="Calibri"/>
                <w:b/>
                <w:color w:val="2E74B5"/>
              </w:rPr>
              <w:t xml:space="preserve">3 </w:t>
            </w:r>
          </w:p>
        </w:tc>
      </w:tr>
    </w:tbl>
    <w:p w14:paraId="6F9FA075" w14:textId="2F15A293" w:rsidR="00861CB1" w:rsidRDefault="00861CB1" w:rsidP="00861CB1">
      <w:pPr>
        <w:spacing w:after="0" w:line="240" w:lineRule="auto"/>
        <w:rPr>
          <w:rFonts w:ascii="Calibri" w:eastAsia="Calibri" w:hAnsi="Calibri" w:cs="Calibri"/>
          <w:b/>
          <w:sz w:val="28"/>
          <w:szCs w:val="28"/>
        </w:rPr>
      </w:pPr>
    </w:p>
    <w:p w14:paraId="6C0AA4B0" w14:textId="6F5CD21F" w:rsidR="00DD160F" w:rsidRDefault="00DD160F" w:rsidP="00861CB1">
      <w:pPr>
        <w:spacing w:after="0" w:line="240" w:lineRule="auto"/>
        <w:rPr>
          <w:rFonts w:ascii="Calibri" w:eastAsia="Calibri" w:hAnsi="Calibri" w:cs="Calibri"/>
          <w:b/>
          <w:sz w:val="28"/>
          <w:szCs w:val="28"/>
        </w:rPr>
      </w:pPr>
    </w:p>
    <w:p w14:paraId="56F5D58A" w14:textId="1846E4A9" w:rsidR="00DD160F" w:rsidRDefault="00DD160F" w:rsidP="00861CB1">
      <w:pPr>
        <w:spacing w:after="0" w:line="240" w:lineRule="auto"/>
        <w:rPr>
          <w:rFonts w:ascii="Calibri" w:eastAsia="Calibri" w:hAnsi="Calibri" w:cs="Calibri"/>
          <w:b/>
          <w:sz w:val="28"/>
          <w:szCs w:val="28"/>
        </w:rPr>
      </w:pPr>
    </w:p>
    <w:p w14:paraId="72BEEA61" w14:textId="336A73CD" w:rsidR="00DD160F" w:rsidRDefault="00DD160F" w:rsidP="00861CB1">
      <w:pPr>
        <w:spacing w:after="0" w:line="240" w:lineRule="auto"/>
        <w:rPr>
          <w:rFonts w:ascii="Calibri" w:eastAsia="Calibri" w:hAnsi="Calibri" w:cs="Calibri"/>
          <w:b/>
          <w:sz w:val="28"/>
          <w:szCs w:val="28"/>
        </w:rPr>
      </w:pPr>
    </w:p>
    <w:p w14:paraId="15E94708" w14:textId="49B608B0" w:rsidR="00DD160F" w:rsidRDefault="00DD160F" w:rsidP="00861CB1">
      <w:pPr>
        <w:spacing w:after="0" w:line="240" w:lineRule="auto"/>
        <w:rPr>
          <w:rFonts w:ascii="Calibri" w:eastAsia="Calibri" w:hAnsi="Calibri" w:cs="Calibri"/>
          <w:b/>
          <w:sz w:val="28"/>
          <w:szCs w:val="28"/>
        </w:rPr>
      </w:pPr>
    </w:p>
    <w:p w14:paraId="677822F9" w14:textId="15B35FBC" w:rsidR="00DD160F" w:rsidRDefault="00DD160F" w:rsidP="00861CB1">
      <w:pPr>
        <w:spacing w:after="0" w:line="240" w:lineRule="auto"/>
        <w:rPr>
          <w:rFonts w:ascii="Calibri" w:eastAsia="Calibri" w:hAnsi="Calibri" w:cs="Calibri"/>
          <w:b/>
          <w:sz w:val="28"/>
          <w:szCs w:val="28"/>
        </w:rPr>
      </w:pPr>
    </w:p>
    <w:p w14:paraId="1D6C6912" w14:textId="5CB22A80" w:rsidR="00DD160F" w:rsidRDefault="00DD160F" w:rsidP="00861CB1">
      <w:pPr>
        <w:spacing w:after="0" w:line="240" w:lineRule="auto"/>
        <w:rPr>
          <w:rFonts w:ascii="Calibri" w:eastAsia="Calibri" w:hAnsi="Calibri" w:cs="Calibri"/>
          <w:b/>
          <w:sz w:val="28"/>
          <w:szCs w:val="28"/>
        </w:rPr>
      </w:pPr>
    </w:p>
    <w:p w14:paraId="3A154758" w14:textId="70741F30" w:rsidR="00DD160F" w:rsidRDefault="00DD160F" w:rsidP="00861CB1">
      <w:pPr>
        <w:spacing w:after="0" w:line="240" w:lineRule="auto"/>
        <w:rPr>
          <w:rFonts w:ascii="Calibri" w:eastAsia="Calibri" w:hAnsi="Calibri" w:cs="Calibri"/>
          <w:b/>
          <w:sz w:val="28"/>
          <w:szCs w:val="28"/>
        </w:rPr>
      </w:pPr>
    </w:p>
    <w:p w14:paraId="31DD59F7" w14:textId="7DF38481" w:rsidR="00DD160F" w:rsidRDefault="00DD160F" w:rsidP="00861CB1">
      <w:pPr>
        <w:spacing w:after="0" w:line="240" w:lineRule="auto"/>
        <w:rPr>
          <w:rFonts w:ascii="Calibri" w:eastAsia="Calibri" w:hAnsi="Calibri" w:cs="Calibri"/>
          <w:b/>
          <w:sz w:val="28"/>
          <w:szCs w:val="28"/>
        </w:rPr>
      </w:pPr>
    </w:p>
    <w:p w14:paraId="022F556F" w14:textId="7761B977" w:rsidR="00DD160F" w:rsidRDefault="00DD160F" w:rsidP="00861CB1">
      <w:pPr>
        <w:spacing w:after="0" w:line="240" w:lineRule="auto"/>
        <w:rPr>
          <w:rFonts w:ascii="Calibri" w:eastAsia="Calibri" w:hAnsi="Calibri" w:cs="Calibri"/>
          <w:b/>
          <w:sz w:val="28"/>
          <w:szCs w:val="28"/>
        </w:rPr>
      </w:pPr>
    </w:p>
    <w:p w14:paraId="7B14F4A0" w14:textId="3B7DDCB6" w:rsidR="00DD160F" w:rsidRDefault="00DD160F" w:rsidP="00861CB1">
      <w:pPr>
        <w:spacing w:after="0" w:line="240" w:lineRule="auto"/>
        <w:rPr>
          <w:rFonts w:ascii="Calibri" w:eastAsia="Calibri" w:hAnsi="Calibri" w:cs="Calibri"/>
          <w:b/>
          <w:sz w:val="28"/>
          <w:szCs w:val="28"/>
        </w:rPr>
      </w:pPr>
    </w:p>
    <w:p w14:paraId="6688F5B3" w14:textId="6B97D329" w:rsidR="00DD160F" w:rsidRDefault="00DD160F" w:rsidP="00861CB1">
      <w:pPr>
        <w:spacing w:after="0" w:line="240" w:lineRule="auto"/>
        <w:rPr>
          <w:rFonts w:ascii="Calibri" w:eastAsia="Calibri" w:hAnsi="Calibri" w:cs="Calibri"/>
          <w:b/>
          <w:sz w:val="28"/>
          <w:szCs w:val="28"/>
        </w:rPr>
      </w:pPr>
    </w:p>
    <w:p w14:paraId="3A8CC820" w14:textId="0CBBF920" w:rsidR="00DD160F" w:rsidRDefault="00DD160F" w:rsidP="00861CB1">
      <w:pPr>
        <w:spacing w:after="0" w:line="240" w:lineRule="auto"/>
        <w:rPr>
          <w:rFonts w:ascii="Calibri" w:eastAsia="Calibri" w:hAnsi="Calibri" w:cs="Calibri"/>
          <w:b/>
          <w:sz w:val="28"/>
          <w:szCs w:val="28"/>
        </w:rPr>
      </w:pPr>
    </w:p>
    <w:p w14:paraId="225107F5" w14:textId="13E355D8" w:rsidR="00DD160F" w:rsidRDefault="00DD160F" w:rsidP="00861CB1">
      <w:pPr>
        <w:spacing w:after="0" w:line="240" w:lineRule="auto"/>
        <w:rPr>
          <w:rFonts w:ascii="Calibri" w:eastAsia="Calibri" w:hAnsi="Calibri" w:cs="Calibri"/>
          <w:b/>
          <w:sz w:val="28"/>
          <w:szCs w:val="28"/>
        </w:rPr>
      </w:pPr>
    </w:p>
    <w:p w14:paraId="1360FEB6" w14:textId="10223A2A" w:rsidR="00DD160F" w:rsidRDefault="00DD160F" w:rsidP="00861CB1">
      <w:pPr>
        <w:spacing w:after="0" w:line="240" w:lineRule="auto"/>
        <w:rPr>
          <w:rFonts w:ascii="Calibri" w:eastAsia="Calibri" w:hAnsi="Calibri" w:cs="Calibri"/>
          <w:b/>
          <w:sz w:val="28"/>
          <w:szCs w:val="28"/>
        </w:rPr>
      </w:pPr>
    </w:p>
    <w:p w14:paraId="0C1E1934" w14:textId="1F79D656" w:rsidR="00DD160F" w:rsidRDefault="00DD160F" w:rsidP="00861CB1">
      <w:pPr>
        <w:spacing w:after="0" w:line="240" w:lineRule="auto"/>
        <w:rPr>
          <w:rFonts w:ascii="Calibri" w:eastAsia="Calibri" w:hAnsi="Calibri" w:cs="Calibri"/>
          <w:b/>
          <w:sz w:val="28"/>
          <w:szCs w:val="28"/>
        </w:rPr>
      </w:pPr>
    </w:p>
    <w:p w14:paraId="20206C9F" w14:textId="48BE93E0" w:rsidR="00DD160F" w:rsidRDefault="00DD160F" w:rsidP="00861CB1">
      <w:pPr>
        <w:spacing w:after="0" w:line="240" w:lineRule="auto"/>
        <w:rPr>
          <w:rFonts w:ascii="Calibri" w:eastAsia="Calibri" w:hAnsi="Calibri" w:cs="Calibri"/>
          <w:b/>
          <w:sz w:val="28"/>
          <w:szCs w:val="28"/>
        </w:rPr>
      </w:pPr>
    </w:p>
    <w:p w14:paraId="523BDFA0" w14:textId="534462F8" w:rsidR="00DD160F" w:rsidRDefault="00DD160F" w:rsidP="00861CB1">
      <w:pPr>
        <w:spacing w:after="0" w:line="240" w:lineRule="auto"/>
        <w:rPr>
          <w:rFonts w:ascii="Calibri" w:eastAsia="Calibri" w:hAnsi="Calibri" w:cs="Calibri"/>
          <w:b/>
          <w:sz w:val="28"/>
          <w:szCs w:val="28"/>
        </w:rPr>
      </w:pPr>
    </w:p>
    <w:p w14:paraId="0195A5A8" w14:textId="752D599D" w:rsidR="00DD160F" w:rsidRDefault="00DD160F" w:rsidP="00861CB1">
      <w:pPr>
        <w:spacing w:after="0" w:line="240" w:lineRule="auto"/>
        <w:rPr>
          <w:rFonts w:ascii="Calibri" w:eastAsia="Calibri" w:hAnsi="Calibri" w:cs="Calibri"/>
          <w:b/>
          <w:sz w:val="28"/>
          <w:szCs w:val="28"/>
        </w:rPr>
      </w:pPr>
    </w:p>
    <w:p w14:paraId="67D3DB09" w14:textId="7D28976F" w:rsidR="00DD160F" w:rsidRDefault="00DD160F" w:rsidP="00861CB1">
      <w:pPr>
        <w:spacing w:after="0" w:line="240" w:lineRule="auto"/>
        <w:rPr>
          <w:rFonts w:ascii="Calibri" w:eastAsia="Calibri" w:hAnsi="Calibri" w:cs="Calibri"/>
          <w:b/>
          <w:sz w:val="28"/>
          <w:szCs w:val="28"/>
        </w:rPr>
      </w:pPr>
    </w:p>
    <w:p w14:paraId="194681CD" w14:textId="6CE202CB" w:rsidR="00DD160F" w:rsidRDefault="00DD160F" w:rsidP="00861CB1">
      <w:pPr>
        <w:spacing w:after="0" w:line="240" w:lineRule="auto"/>
        <w:rPr>
          <w:rFonts w:ascii="Calibri" w:eastAsia="Calibri" w:hAnsi="Calibri" w:cs="Calibri"/>
          <w:b/>
          <w:sz w:val="28"/>
          <w:szCs w:val="28"/>
        </w:rPr>
      </w:pPr>
    </w:p>
    <w:p w14:paraId="35920EF2" w14:textId="4672A319" w:rsidR="00DD160F" w:rsidRDefault="00DD160F" w:rsidP="00861CB1">
      <w:pPr>
        <w:spacing w:after="0" w:line="240" w:lineRule="auto"/>
        <w:rPr>
          <w:rFonts w:ascii="Calibri" w:eastAsia="Calibri" w:hAnsi="Calibri" w:cs="Calibri"/>
          <w:b/>
          <w:sz w:val="28"/>
          <w:szCs w:val="28"/>
        </w:rPr>
      </w:pPr>
    </w:p>
    <w:p w14:paraId="36E7C8CE" w14:textId="3956E819" w:rsidR="00DD160F" w:rsidRDefault="00DD160F" w:rsidP="00861CB1">
      <w:pPr>
        <w:spacing w:after="0" w:line="240" w:lineRule="auto"/>
        <w:rPr>
          <w:rFonts w:ascii="Calibri" w:eastAsia="Calibri" w:hAnsi="Calibri" w:cs="Calibri"/>
          <w:b/>
          <w:sz w:val="28"/>
          <w:szCs w:val="28"/>
        </w:rPr>
      </w:pPr>
    </w:p>
    <w:p w14:paraId="5612D60E" w14:textId="588E92CF" w:rsidR="00DD160F" w:rsidRDefault="00DD160F" w:rsidP="00861CB1">
      <w:pPr>
        <w:spacing w:after="0" w:line="240" w:lineRule="auto"/>
        <w:rPr>
          <w:rFonts w:ascii="Calibri" w:eastAsia="Calibri" w:hAnsi="Calibri" w:cs="Calibri"/>
          <w:b/>
          <w:sz w:val="28"/>
          <w:szCs w:val="28"/>
        </w:rPr>
      </w:pPr>
    </w:p>
    <w:p w14:paraId="70A2E6DD" w14:textId="7B0762C8" w:rsidR="00DD160F" w:rsidRDefault="00DD160F" w:rsidP="00861CB1">
      <w:pPr>
        <w:spacing w:after="0" w:line="240" w:lineRule="auto"/>
        <w:rPr>
          <w:rFonts w:ascii="Calibri" w:eastAsia="Calibri" w:hAnsi="Calibri" w:cs="Calibri"/>
          <w:b/>
          <w:sz w:val="28"/>
          <w:szCs w:val="28"/>
        </w:rPr>
      </w:pPr>
    </w:p>
    <w:p w14:paraId="65659A0D" w14:textId="321D7741" w:rsidR="00DD160F" w:rsidRDefault="00DD160F" w:rsidP="00861CB1">
      <w:pPr>
        <w:spacing w:after="0" w:line="240" w:lineRule="auto"/>
        <w:rPr>
          <w:rFonts w:ascii="Calibri" w:eastAsia="Calibri" w:hAnsi="Calibri" w:cs="Calibri"/>
          <w:b/>
          <w:sz w:val="28"/>
          <w:szCs w:val="28"/>
        </w:rPr>
      </w:pPr>
    </w:p>
    <w:p w14:paraId="2F74CBEF" w14:textId="4E8CB639" w:rsidR="00DD160F" w:rsidRDefault="00DD160F" w:rsidP="00861CB1">
      <w:pPr>
        <w:spacing w:after="0" w:line="240" w:lineRule="auto"/>
        <w:rPr>
          <w:rFonts w:ascii="Calibri" w:eastAsia="Calibri" w:hAnsi="Calibri" w:cs="Calibri"/>
          <w:b/>
          <w:sz w:val="28"/>
          <w:szCs w:val="28"/>
        </w:rPr>
      </w:pPr>
    </w:p>
    <w:p w14:paraId="07379A4D" w14:textId="172378C4" w:rsidR="00DD160F" w:rsidRDefault="00DD160F" w:rsidP="00861CB1">
      <w:pPr>
        <w:spacing w:after="0" w:line="240" w:lineRule="auto"/>
        <w:rPr>
          <w:rFonts w:ascii="Calibri" w:eastAsia="Calibri" w:hAnsi="Calibri" w:cs="Calibri"/>
          <w:b/>
          <w:sz w:val="28"/>
          <w:szCs w:val="28"/>
        </w:rPr>
      </w:pPr>
    </w:p>
    <w:p w14:paraId="46DCA6B5" w14:textId="77777777" w:rsidR="00DD160F" w:rsidRPr="003C7CB1" w:rsidRDefault="00DD160F" w:rsidP="00861CB1">
      <w:pPr>
        <w:spacing w:after="0" w:line="240" w:lineRule="auto"/>
        <w:rPr>
          <w:rFonts w:ascii="Calibri" w:eastAsia="Calibri" w:hAnsi="Calibri" w:cs="Calibri"/>
          <w:b/>
          <w:sz w:val="28"/>
          <w:szCs w:val="28"/>
        </w:rPr>
      </w:pPr>
    </w:p>
    <w:p w14:paraId="59DBABB4" w14:textId="77777777" w:rsidR="00861CB1" w:rsidRPr="003C7CB1" w:rsidRDefault="00861CB1" w:rsidP="006B2751">
      <w:pPr>
        <w:pStyle w:val="Heading1"/>
        <w:rPr>
          <w:rFonts w:eastAsia="Times New Roman"/>
          <w:sz w:val="24"/>
          <w:szCs w:val="24"/>
          <w:lang w:eastAsia="de-DE"/>
        </w:rPr>
      </w:pPr>
      <w:bookmarkStart w:id="491" w:name="_Toc104544230"/>
      <w:r w:rsidRPr="003C7CB1">
        <w:rPr>
          <w:rFonts w:eastAsia="Calibri"/>
        </w:rPr>
        <w:lastRenderedPageBreak/>
        <w:t>Annex II: Investment activities in the tourism sector</w:t>
      </w:r>
      <w:bookmarkEnd w:id="491"/>
      <w:r w:rsidRPr="003C7CB1">
        <w:rPr>
          <w:rFonts w:eastAsia="Calibri"/>
        </w:rPr>
        <w:t xml:space="preserve"> </w:t>
      </w:r>
    </w:p>
    <w:p w14:paraId="5B56F454" w14:textId="77777777" w:rsidR="00861CB1" w:rsidRPr="003C7CB1" w:rsidRDefault="00861CB1" w:rsidP="00861CB1">
      <w:pPr>
        <w:spacing w:after="0" w:line="240" w:lineRule="auto"/>
        <w:jc w:val="both"/>
        <w:rPr>
          <w:rFonts w:ascii="Calibri" w:eastAsia="Calibri" w:hAnsi="Calibri" w:cs="Calibri"/>
          <w:b/>
          <w:bCs/>
          <w:sz w:val="24"/>
          <w:szCs w:val="24"/>
          <w:u w:val="single"/>
        </w:rPr>
      </w:pPr>
    </w:p>
    <w:p w14:paraId="31E80F7C" w14:textId="77777777" w:rsidR="00861CB1" w:rsidRPr="003C7CB1" w:rsidRDefault="00861CB1" w:rsidP="00861CB1">
      <w:pPr>
        <w:numPr>
          <w:ilvl w:val="0"/>
          <w:numId w:val="60"/>
        </w:numPr>
        <w:spacing w:after="0" w:line="240" w:lineRule="auto"/>
        <w:contextualSpacing/>
        <w:jc w:val="both"/>
        <w:rPr>
          <w:rFonts w:ascii="Calibri" w:eastAsia="Calibri" w:hAnsi="Calibri" w:cs="Calibri"/>
          <w:b/>
          <w:bCs/>
          <w:sz w:val="24"/>
          <w:szCs w:val="24"/>
        </w:rPr>
      </w:pPr>
      <w:r w:rsidRPr="003C7CB1">
        <w:rPr>
          <w:rFonts w:ascii="Calibri" w:eastAsia="Calibri" w:hAnsi="Calibri" w:cs="Calibri"/>
          <w:b/>
          <w:bCs/>
          <w:sz w:val="24"/>
          <w:szCs w:val="24"/>
        </w:rPr>
        <w:t xml:space="preserve">Implementation of priority projects in the field of tourism </w:t>
      </w:r>
    </w:p>
    <w:p w14:paraId="2EA6E123" w14:textId="77777777" w:rsidR="00861CB1" w:rsidRPr="003C7CB1" w:rsidRDefault="00861CB1" w:rsidP="00861CB1">
      <w:pPr>
        <w:spacing w:after="0" w:line="240" w:lineRule="auto"/>
        <w:ind w:left="720"/>
        <w:contextualSpacing/>
        <w:jc w:val="both"/>
        <w:rPr>
          <w:rFonts w:ascii="Calibri" w:eastAsia="Calibri" w:hAnsi="Calibri" w:cs="Calibri"/>
          <w:b/>
          <w:bCs/>
          <w:sz w:val="24"/>
          <w:szCs w:val="24"/>
        </w:rPr>
      </w:pPr>
    </w:p>
    <w:p w14:paraId="5317D46E"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The implementation of </w:t>
      </w:r>
      <w:r w:rsidRPr="003C7CB1">
        <w:rPr>
          <w:rFonts w:ascii="Calibri" w:eastAsia="Calibri" w:hAnsi="Calibri" w:cs="Calibri"/>
          <w:b/>
          <w:sz w:val="24"/>
          <w:szCs w:val="24"/>
        </w:rPr>
        <w:t>priority projects in the field of tourism</w:t>
      </w:r>
      <w:r w:rsidRPr="003C7CB1">
        <w:rPr>
          <w:rFonts w:ascii="Calibri" w:eastAsia="Calibri" w:hAnsi="Calibri" w:cs="Calibri"/>
          <w:sz w:val="24"/>
          <w:szCs w:val="24"/>
        </w:rPr>
        <w:t xml:space="preserve"> refers to: valorization of localities in the areas of </w:t>
      </w:r>
      <w:proofErr w:type="spellStart"/>
      <w:r w:rsidRPr="003C7CB1">
        <w:rPr>
          <w:rFonts w:ascii="Calibri" w:eastAsia="Calibri" w:hAnsi="Calibri" w:cs="Calibri"/>
          <w:sz w:val="24"/>
          <w:szCs w:val="24"/>
        </w:rPr>
        <w:t>Bjelasica</w:t>
      </w:r>
      <w:proofErr w:type="spellEnd"/>
      <w:r w:rsidRPr="003C7CB1">
        <w:rPr>
          <w:rFonts w:ascii="Calibri" w:eastAsia="Calibri" w:hAnsi="Calibri" w:cs="Calibri"/>
          <w:sz w:val="24"/>
          <w:szCs w:val="24"/>
        </w:rPr>
        <w:t xml:space="preserve"> and </w:t>
      </w:r>
      <w:proofErr w:type="spellStart"/>
      <w:r w:rsidRPr="003C7CB1">
        <w:rPr>
          <w:rFonts w:ascii="Calibri" w:eastAsia="Calibri" w:hAnsi="Calibri" w:cs="Calibri"/>
          <w:sz w:val="24"/>
          <w:szCs w:val="24"/>
        </w:rPr>
        <w:t>Durmitor</w:t>
      </w:r>
      <w:proofErr w:type="spellEnd"/>
      <w:r w:rsidRPr="003C7CB1">
        <w:rPr>
          <w:rFonts w:ascii="Calibri" w:eastAsia="Calibri" w:hAnsi="Calibri" w:cs="Calibri"/>
          <w:sz w:val="24"/>
          <w:szCs w:val="24"/>
        </w:rPr>
        <w:t xml:space="preserve">; construction of a tourist complex, marina and supporting infrastructure of Porto Montenegro – </w:t>
      </w:r>
      <w:proofErr w:type="spellStart"/>
      <w:r w:rsidRPr="003C7CB1">
        <w:rPr>
          <w:rFonts w:ascii="Calibri" w:eastAsia="Calibri" w:hAnsi="Calibri" w:cs="Calibri"/>
          <w:sz w:val="24"/>
          <w:szCs w:val="24"/>
        </w:rPr>
        <w:t>Tivat</w:t>
      </w:r>
      <w:proofErr w:type="spellEnd"/>
      <w:r w:rsidRPr="003C7CB1">
        <w:rPr>
          <w:rFonts w:ascii="Calibri" w:eastAsia="Calibri" w:hAnsi="Calibri" w:cs="Calibri"/>
          <w:sz w:val="24"/>
          <w:szCs w:val="24"/>
        </w:rPr>
        <w:t xml:space="preserve">; construction of the tourist complex of </w:t>
      </w:r>
      <w:proofErr w:type="spellStart"/>
      <w:r w:rsidRPr="003C7CB1">
        <w:rPr>
          <w:rFonts w:ascii="Calibri" w:eastAsia="Calibri" w:hAnsi="Calibri" w:cs="Calibri"/>
          <w:sz w:val="24"/>
          <w:szCs w:val="24"/>
        </w:rPr>
        <w:t>Portonovi</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Kumbor</w:t>
      </w:r>
      <w:proofErr w:type="spellEnd"/>
      <w:r w:rsidRPr="003C7CB1">
        <w:rPr>
          <w:rFonts w:ascii="Calibri" w:eastAsia="Calibri" w:hAnsi="Calibri" w:cs="Calibri"/>
          <w:sz w:val="24"/>
          <w:szCs w:val="24"/>
        </w:rPr>
        <w:t xml:space="preserve">, Herceg Novi; construction of the tourist complex of </w:t>
      </w:r>
      <w:proofErr w:type="spellStart"/>
      <w:r w:rsidRPr="003C7CB1">
        <w:rPr>
          <w:rFonts w:ascii="Calibri" w:eastAsia="Calibri" w:hAnsi="Calibri" w:cs="Calibri"/>
          <w:sz w:val="24"/>
          <w:szCs w:val="24"/>
        </w:rPr>
        <w:t>Luštica</w:t>
      </w:r>
      <w:proofErr w:type="spellEnd"/>
      <w:r w:rsidRPr="003C7CB1">
        <w:rPr>
          <w:rFonts w:ascii="Calibri" w:eastAsia="Calibri" w:hAnsi="Calibri" w:cs="Calibri"/>
          <w:sz w:val="24"/>
          <w:szCs w:val="24"/>
        </w:rPr>
        <w:t xml:space="preserve"> Bay, </w:t>
      </w:r>
      <w:proofErr w:type="spellStart"/>
      <w:r w:rsidRPr="003C7CB1">
        <w:rPr>
          <w:rFonts w:ascii="Calibri" w:eastAsia="Calibri" w:hAnsi="Calibri" w:cs="Calibri"/>
          <w:sz w:val="24"/>
          <w:szCs w:val="24"/>
        </w:rPr>
        <w:t>Tivat</w:t>
      </w:r>
      <w:proofErr w:type="spellEnd"/>
      <w:r w:rsidRPr="003C7CB1">
        <w:rPr>
          <w:rFonts w:ascii="Calibri" w:eastAsia="Calibri" w:hAnsi="Calibri" w:cs="Calibri"/>
          <w:sz w:val="24"/>
          <w:szCs w:val="24"/>
        </w:rPr>
        <w:t>; construction of the tourist complex of “</w:t>
      </w:r>
      <w:proofErr w:type="spellStart"/>
      <w:r w:rsidRPr="003C7CB1">
        <w:rPr>
          <w:rFonts w:ascii="Calibri" w:eastAsia="Calibri" w:hAnsi="Calibri" w:cs="Calibri"/>
          <w:sz w:val="24"/>
          <w:szCs w:val="24"/>
        </w:rPr>
        <w:t>Plavi</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horizonti</w:t>
      </w:r>
      <w:proofErr w:type="spellEnd"/>
      <w:r w:rsidRPr="003C7CB1">
        <w:rPr>
          <w:rFonts w:ascii="Calibri" w:eastAsia="Calibri" w:hAnsi="Calibri" w:cs="Calibri"/>
          <w:sz w:val="24"/>
          <w:szCs w:val="24"/>
        </w:rPr>
        <w:t xml:space="preserve">“ - </w:t>
      </w:r>
      <w:proofErr w:type="spellStart"/>
      <w:r w:rsidRPr="003C7CB1">
        <w:rPr>
          <w:rFonts w:ascii="Calibri" w:eastAsia="Calibri" w:hAnsi="Calibri" w:cs="Calibri"/>
          <w:sz w:val="24"/>
          <w:szCs w:val="24"/>
        </w:rPr>
        <w:t>Tivat</w:t>
      </w:r>
      <w:proofErr w:type="spellEnd"/>
      <w:r w:rsidRPr="003C7CB1">
        <w:rPr>
          <w:rFonts w:ascii="Calibri" w:eastAsia="Calibri" w:hAnsi="Calibri" w:cs="Calibri"/>
          <w:sz w:val="24"/>
          <w:szCs w:val="24"/>
        </w:rPr>
        <w:t xml:space="preserve">; reconstruction of the </w:t>
      </w:r>
      <w:proofErr w:type="spellStart"/>
      <w:r w:rsidRPr="003C7CB1">
        <w:rPr>
          <w:rFonts w:ascii="Calibri" w:eastAsia="Calibri" w:hAnsi="Calibri" w:cs="Calibri"/>
          <w:sz w:val="24"/>
          <w:szCs w:val="24"/>
        </w:rPr>
        <w:t>Mamula</w:t>
      </w:r>
      <w:proofErr w:type="spellEnd"/>
      <w:r w:rsidRPr="003C7CB1">
        <w:rPr>
          <w:rFonts w:ascii="Calibri" w:eastAsia="Calibri" w:hAnsi="Calibri" w:cs="Calibri"/>
          <w:sz w:val="24"/>
          <w:szCs w:val="24"/>
        </w:rPr>
        <w:t xml:space="preserve"> fortress on the island of </w:t>
      </w:r>
      <w:proofErr w:type="spellStart"/>
      <w:r w:rsidRPr="003C7CB1">
        <w:rPr>
          <w:rFonts w:ascii="Calibri" w:eastAsia="Calibri" w:hAnsi="Calibri" w:cs="Calibri"/>
          <w:sz w:val="24"/>
          <w:szCs w:val="24"/>
        </w:rPr>
        <w:t>Lastavica</w:t>
      </w:r>
      <w:proofErr w:type="spellEnd"/>
      <w:r w:rsidRPr="003C7CB1">
        <w:rPr>
          <w:rFonts w:ascii="Calibri" w:eastAsia="Calibri" w:hAnsi="Calibri" w:cs="Calibri"/>
          <w:sz w:val="24"/>
          <w:szCs w:val="24"/>
        </w:rPr>
        <w:t>, Herceg Novi; construction of the “</w:t>
      </w:r>
      <w:proofErr w:type="spellStart"/>
      <w:r w:rsidRPr="003C7CB1">
        <w:rPr>
          <w:rFonts w:ascii="Calibri" w:eastAsia="Calibri" w:hAnsi="Calibri" w:cs="Calibri"/>
          <w:sz w:val="24"/>
          <w:szCs w:val="24"/>
        </w:rPr>
        <w:t>Kraljičina</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plaža</w:t>
      </w:r>
      <w:proofErr w:type="spellEnd"/>
      <w:r w:rsidRPr="003C7CB1">
        <w:rPr>
          <w:rFonts w:ascii="Calibri" w:eastAsia="Calibri" w:hAnsi="Calibri" w:cs="Calibri"/>
          <w:sz w:val="24"/>
          <w:szCs w:val="24"/>
        </w:rPr>
        <w:t xml:space="preserve">” Hotel  – </w:t>
      </w:r>
      <w:proofErr w:type="spellStart"/>
      <w:r w:rsidRPr="003C7CB1">
        <w:rPr>
          <w:rFonts w:ascii="Calibri" w:eastAsia="Calibri" w:hAnsi="Calibri" w:cs="Calibri"/>
          <w:sz w:val="24"/>
          <w:szCs w:val="24"/>
        </w:rPr>
        <w:t>Sveti</w:t>
      </w:r>
      <w:proofErr w:type="spellEnd"/>
      <w:r w:rsidRPr="003C7CB1">
        <w:rPr>
          <w:rFonts w:ascii="Calibri" w:eastAsia="Calibri" w:hAnsi="Calibri" w:cs="Calibri"/>
          <w:sz w:val="24"/>
          <w:szCs w:val="24"/>
        </w:rPr>
        <w:t xml:space="preserve"> Stefan, </w:t>
      </w:r>
      <w:proofErr w:type="spellStart"/>
      <w:r w:rsidRPr="003C7CB1">
        <w:rPr>
          <w:rFonts w:ascii="Calibri" w:eastAsia="Calibri" w:hAnsi="Calibri" w:cs="Calibri"/>
          <w:sz w:val="24"/>
          <w:szCs w:val="24"/>
        </w:rPr>
        <w:t>Budva</w:t>
      </w:r>
      <w:proofErr w:type="spellEnd"/>
      <w:r w:rsidRPr="003C7CB1">
        <w:rPr>
          <w:rFonts w:ascii="Calibri" w:eastAsia="Calibri" w:hAnsi="Calibri" w:cs="Calibri"/>
          <w:sz w:val="24"/>
          <w:szCs w:val="24"/>
        </w:rPr>
        <w:t>; tourist valorization of a part of the property of HTP “</w:t>
      </w:r>
      <w:proofErr w:type="spellStart"/>
      <w:r w:rsidRPr="003C7CB1">
        <w:rPr>
          <w:rFonts w:ascii="Calibri" w:eastAsia="Calibri" w:hAnsi="Calibri" w:cs="Calibri"/>
          <w:sz w:val="24"/>
          <w:szCs w:val="24"/>
        </w:rPr>
        <w:t>Ulcinjska</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Rivijera</w:t>
      </w:r>
      <w:proofErr w:type="spellEnd"/>
      <w:r w:rsidRPr="003C7CB1">
        <w:rPr>
          <w:rFonts w:ascii="Calibri" w:eastAsia="Calibri" w:hAnsi="Calibri" w:cs="Calibri"/>
          <w:sz w:val="24"/>
          <w:szCs w:val="24"/>
        </w:rPr>
        <w:t xml:space="preserve">”, AD Ulcinj – “Bellevue” and “Olympic” hotels and construction of the tourist complex of “Montrose” (“Ritz Carlton Montenegro”).  </w:t>
      </w:r>
    </w:p>
    <w:p w14:paraId="543D5C32" w14:textId="77777777" w:rsidR="00861CB1" w:rsidRPr="003C7CB1" w:rsidRDefault="00861CB1" w:rsidP="00861CB1">
      <w:pPr>
        <w:spacing w:after="0" w:line="240" w:lineRule="auto"/>
        <w:jc w:val="both"/>
        <w:rPr>
          <w:rFonts w:ascii="Calibri" w:eastAsia="Calibri" w:hAnsi="Calibri" w:cs="Calibri"/>
          <w:sz w:val="24"/>
          <w:szCs w:val="24"/>
        </w:rPr>
      </w:pPr>
    </w:p>
    <w:p w14:paraId="5106DB01"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When it comes to the tourist valorization of localities in the area of </w:t>
      </w:r>
      <w:proofErr w:type="spellStart"/>
      <w:r w:rsidRPr="003C7CB1">
        <w:rPr>
          <w:rFonts w:ascii="Calibri" w:eastAsia="Calibri" w:hAnsi="Calibri" w:cs="Calibri"/>
          <w:sz w:val="24"/>
          <w:szCs w:val="24"/>
        </w:rPr>
        <w:t>Bjelasica</w:t>
      </w:r>
      <w:proofErr w:type="spellEnd"/>
      <w:r w:rsidRPr="003C7CB1">
        <w:rPr>
          <w:rFonts w:ascii="Calibri" w:eastAsia="Calibri" w:hAnsi="Calibri" w:cs="Calibri"/>
          <w:sz w:val="24"/>
          <w:szCs w:val="24"/>
        </w:rPr>
        <w:t xml:space="preserve"> and </w:t>
      </w:r>
      <w:proofErr w:type="spellStart"/>
      <w:r w:rsidRPr="003C7CB1">
        <w:rPr>
          <w:rFonts w:ascii="Calibri" w:eastAsia="Calibri" w:hAnsi="Calibri" w:cs="Calibri"/>
          <w:sz w:val="24"/>
          <w:szCs w:val="24"/>
        </w:rPr>
        <w:t>Durmitor</w:t>
      </w:r>
      <w:proofErr w:type="spellEnd"/>
      <w:r w:rsidRPr="003C7CB1">
        <w:rPr>
          <w:rFonts w:ascii="Calibri" w:eastAsia="Calibri" w:hAnsi="Calibri" w:cs="Calibri"/>
          <w:sz w:val="24"/>
          <w:szCs w:val="24"/>
        </w:rPr>
        <w:t xml:space="preserve">, we emphasize that the lease agreement for the location of the former military tourist resort </w:t>
      </w:r>
      <w:proofErr w:type="spellStart"/>
      <w:r w:rsidRPr="003C7CB1">
        <w:rPr>
          <w:rFonts w:ascii="Calibri" w:eastAsia="Calibri" w:hAnsi="Calibri" w:cs="Calibri"/>
          <w:b/>
          <w:sz w:val="24"/>
          <w:szCs w:val="24"/>
        </w:rPr>
        <w:t>Mediteran</w:t>
      </w:r>
      <w:proofErr w:type="spellEnd"/>
      <w:r w:rsidRPr="003C7CB1">
        <w:rPr>
          <w:rFonts w:ascii="Calibri" w:eastAsia="Calibri" w:hAnsi="Calibri" w:cs="Calibri"/>
          <w:b/>
          <w:sz w:val="24"/>
          <w:szCs w:val="24"/>
        </w:rPr>
        <w:t xml:space="preserve"> in </w:t>
      </w:r>
      <w:proofErr w:type="spellStart"/>
      <w:r w:rsidRPr="003C7CB1">
        <w:rPr>
          <w:rFonts w:ascii="Calibri" w:eastAsia="Calibri" w:hAnsi="Calibri" w:cs="Calibri"/>
          <w:b/>
          <w:sz w:val="24"/>
          <w:szCs w:val="24"/>
        </w:rPr>
        <w:t>Žabljak</w:t>
      </w:r>
      <w:proofErr w:type="spellEnd"/>
      <w:r w:rsidRPr="003C7CB1">
        <w:rPr>
          <w:rFonts w:ascii="Calibri" w:eastAsia="Calibri" w:hAnsi="Calibri" w:cs="Calibri"/>
          <w:sz w:val="24"/>
          <w:szCs w:val="24"/>
        </w:rPr>
        <w:t xml:space="preserve"> and the lease agreement for the location of the mountain center of </w:t>
      </w:r>
      <w:r w:rsidRPr="003C7CB1">
        <w:rPr>
          <w:rFonts w:ascii="Calibri" w:eastAsia="Calibri" w:hAnsi="Calibri" w:cs="Calibri"/>
          <w:b/>
          <w:sz w:val="24"/>
          <w:szCs w:val="24"/>
        </w:rPr>
        <w:t>Kolašin 1600, Kolašin</w:t>
      </w:r>
      <w:r w:rsidRPr="003C7CB1">
        <w:rPr>
          <w:rFonts w:ascii="Calibri" w:eastAsia="Calibri" w:hAnsi="Calibri" w:cs="Calibri"/>
          <w:sz w:val="24"/>
          <w:szCs w:val="24"/>
        </w:rPr>
        <w:t xml:space="preserve"> have entered into force, and initiated activities on the preparation of project documentation and other activities of importance for the beginning of the implementation of investment obligations. At the location of the Kolašin 1600 ski center, the construction of a hotel and tourist complex with a total value of 77 million euros is planned and the project activities are proceeding according to the planned dynamics. Work continued on the “K16” Hotel and the construction of the apartment building Q has begun. When it comes to the project on the site of the military-tourist resort </w:t>
      </w:r>
      <w:proofErr w:type="spellStart"/>
      <w:r w:rsidRPr="003C7CB1">
        <w:rPr>
          <w:rFonts w:ascii="Calibri" w:eastAsia="Calibri" w:hAnsi="Calibri" w:cs="Calibri"/>
          <w:sz w:val="24"/>
          <w:szCs w:val="24"/>
        </w:rPr>
        <w:t>Mediteran</w:t>
      </w:r>
      <w:proofErr w:type="spellEnd"/>
      <w:r w:rsidRPr="003C7CB1">
        <w:rPr>
          <w:rFonts w:ascii="Calibri" w:eastAsia="Calibri" w:hAnsi="Calibri" w:cs="Calibri"/>
          <w:sz w:val="24"/>
          <w:szCs w:val="24"/>
        </w:rPr>
        <w:t xml:space="preserve"> in </w:t>
      </w:r>
      <w:proofErr w:type="spellStart"/>
      <w:r w:rsidRPr="003C7CB1">
        <w:rPr>
          <w:rFonts w:ascii="Calibri" w:eastAsia="Calibri" w:hAnsi="Calibri" w:cs="Calibri"/>
          <w:sz w:val="24"/>
          <w:szCs w:val="24"/>
        </w:rPr>
        <w:t>Žabljak</w:t>
      </w:r>
      <w:proofErr w:type="spellEnd"/>
      <w:r w:rsidRPr="003C7CB1">
        <w:rPr>
          <w:rFonts w:ascii="Calibri" w:eastAsia="Calibri" w:hAnsi="Calibri" w:cs="Calibri"/>
          <w:sz w:val="24"/>
          <w:szCs w:val="24"/>
        </w:rPr>
        <w:t xml:space="preserve">, it is important to note UNESCO opinion. In the meantime, the investor filed a lawsuit for damages due to the impossibility of building the project. </w:t>
      </w:r>
    </w:p>
    <w:p w14:paraId="0F0CA456" w14:textId="77777777" w:rsidR="00861CB1" w:rsidRPr="003C7CB1" w:rsidRDefault="00861CB1" w:rsidP="00861CB1">
      <w:pPr>
        <w:spacing w:after="0"/>
        <w:jc w:val="both"/>
        <w:rPr>
          <w:rFonts w:ascii="Calibri" w:eastAsia="Calibri" w:hAnsi="Calibri" w:cs="Calibri"/>
          <w:bCs/>
          <w:sz w:val="24"/>
          <w:szCs w:val="24"/>
        </w:rPr>
      </w:pPr>
    </w:p>
    <w:p w14:paraId="73092B17"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In connection with the implementation of the </w:t>
      </w:r>
      <w:proofErr w:type="spellStart"/>
      <w:r w:rsidRPr="003C7CB1">
        <w:rPr>
          <w:rFonts w:ascii="Calibri" w:eastAsia="Calibri" w:hAnsi="Calibri" w:cs="Calibri"/>
          <w:b/>
          <w:sz w:val="24"/>
          <w:szCs w:val="24"/>
        </w:rPr>
        <w:t>Portonovi</w:t>
      </w:r>
      <w:proofErr w:type="spellEnd"/>
      <w:r w:rsidRPr="003C7CB1">
        <w:rPr>
          <w:rFonts w:ascii="Calibri" w:eastAsia="Calibri" w:hAnsi="Calibri" w:cs="Calibri"/>
          <w:sz w:val="24"/>
          <w:szCs w:val="24"/>
        </w:rPr>
        <w:t xml:space="preserve"> project, 2021 was marked by the opening of the first and only “One &amp; Only” hotel in Europe, which officially started on May 1, 2021, and during the summer tourist season and the </w:t>
      </w:r>
      <w:proofErr w:type="spellStart"/>
      <w:r w:rsidRPr="003C7CB1">
        <w:rPr>
          <w:rFonts w:ascii="Calibri" w:eastAsia="Calibri" w:hAnsi="Calibri" w:cs="Calibri"/>
          <w:sz w:val="24"/>
          <w:szCs w:val="24"/>
        </w:rPr>
        <w:t>Portonovi</w:t>
      </w:r>
      <w:proofErr w:type="spellEnd"/>
      <w:r w:rsidRPr="003C7CB1">
        <w:rPr>
          <w:rFonts w:ascii="Calibri" w:eastAsia="Calibri" w:hAnsi="Calibri" w:cs="Calibri"/>
          <w:sz w:val="24"/>
          <w:szCs w:val="24"/>
        </w:rPr>
        <w:t xml:space="preserve"> resort and One &amp; Only hotel recorded a high occupancy rate, which amounted to up to 90%. We would like to point out that in the course of the implementation of the </w:t>
      </w:r>
      <w:proofErr w:type="spellStart"/>
      <w:r w:rsidRPr="003C7CB1">
        <w:rPr>
          <w:rFonts w:ascii="Calibri" w:eastAsia="Calibri" w:hAnsi="Calibri" w:cs="Calibri"/>
          <w:sz w:val="24"/>
          <w:szCs w:val="24"/>
        </w:rPr>
        <w:t>Portonovi</w:t>
      </w:r>
      <w:proofErr w:type="spellEnd"/>
      <w:r w:rsidRPr="003C7CB1">
        <w:rPr>
          <w:rFonts w:ascii="Calibri" w:eastAsia="Calibri" w:hAnsi="Calibri" w:cs="Calibri"/>
          <w:sz w:val="24"/>
          <w:szCs w:val="24"/>
        </w:rPr>
        <w:t xml:space="preserve"> project so far, according to the data submitted by the investor, almost 800 million euros have been invested, of which slightly less than 20 million euros in 2021. </w:t>
      </w:r>
    </w:p>
    <w:p w14:paraId="41C705DF" w14:textId="77777777" w:rsidR="00861CB1" w:rsidRPr="003C7CB1" w:rsidRDefault="00861CB1" w:rsidP="00861CB1">
      <w:pPr>
        <w:spacing w:after="0" w:line="240" w:lineRule="auto"/>
        <w:jc w:val="both"/>
        <w:rPr>
          <w:rFonts w:ascii="Calibri" w:eastAsia="Calibri" w:hAnsi="Calibri" w:cs="Calibri"/>
          <w:sz w:val="24"/>
          <w:szCs w:val="24"/>
        </w:rPr>
      </w:pPr>
    </w:p>
    <w:p w14:paraId="0B3900E0"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Also, the year 2021 was marked by significant investment activity within the </w:t>
      </w:r>
      <w:r w:rsidRPr="003C7CB1">
        <w:rPr>
          <w:rFonts w:ascii="Calibri" w:eastAsia="Calibri" w:hAnsi="Calibri" w:cs="Calibri"/>
          <w:b/>
          <w:sz w:val="24"/>
          <w:szCs w:val="24"/>
        </w:rPr>
        <w:t>Porto Montenegro</w:t>
      </w:r>
      <w:r w:rsidRPr="003C7CB1">
        <w:rPr>
          <w:rFonts w:ascii="Calibri" w:eastAsia="Calibri" w:hAnsi="Calibri" w:cs="Calibri"/>
          <w:sz w:val="24"/>
          <w:szCs w:val="24"/>
        </w:rPr>
        <w:t xml:space="preserve"> project, i.e., the beginning of the construction of the </w:t>
      </w:r>
      <w:proofErr w:type="spellStart"/>
      <w:r w:rsidRPr="003C7CB1">
        <w:rPr>
          <w:rFonts w:ascii="Calibri" w:eastAsia="Calibri" w:hAnsi="Calibri" w:cs="Calibri"/>
          <w:sz w:val="24"/>
          <w:szCs w:val="24"/>
        </w:rPr>
        <w:t>Boka</w:t>
      </w:r>
      <w:proofErr w:type="spellEnd"/>
      <w:r w:rsidRPr="003C7CB1">
        <w:rPr>
          <w:rFonts w:ascii="Calibri" w:eastAsia="Calibri" w:hAnsi="Calibri" w:cs="Calibri"/>
          <w:sz w:val="24"/>
          <w:szCs w:val="24"/>
        </w:rPr>
        <w:t xml:space="preserve"> Place five-star hotel with 240 accommodation units, which will be managed by Kerzner International. This is a project whose investment exceeded the agreed amount of 450 million euros, so far 788 million euros have been invested in the project, of which 58.2 million euros in 2021. </w:t>
      </w:r>
    </w:p>
    <w:p w14:paraId="24E34215" w14:textId="77777777" w:rsidR="00861CB1" w:rsidRPr="003C7CB1" w:rsidRDefault="00861CB1" w:rsidP="00861CB1">
      <w:pPr>
        <w:spacing w:after="0" w:line="240" w:lineRule="auto"/>
        <w:jc w:val="both"/>
        <w:rPr>
          <w:rFonts w:ascii="Calibri" w:eastAsia="Calibri" w:hAnsi="Calibri" w:cs="Calibri"/>
          <w:sz w:val="24"/>
          <w:szCs w:val="24"/>
        </w:rPr>
      </w:pPr>
    </w:p>
    <w:p w14:paraId="3D6AD5A7"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In the previous period, significant activities were implemented within the </w:t>
      </w:r>
      <w:proofErr w:type="spellStart"/>
      <w:r w:rsidRPr="003C7CB1">
        <w:rPr>
          <w:rFonts w:ascii="Calibri" w:eastAsia="Calibri" w:hAnsi="Calibri" w:cs="Calibri"/>
          <w:b/>
          <w:sz w:val="24"/>
          <w:szCs w:val="24"/>
        </w:rPr>
        <w:t>Luštica</w:t>
      </w:r>
      <w:proofErr w:type="spellEnd"/>
      <w:r w:rsidRPr="003C7CB1">
        <w:rPr>
          <w:rFonts w:ascii="Calibri" w:eastAsia="Calibri" w:hAnsi="Calibri" w:cs="Calibri"/>
          <w:b/>
          <w:sz w:val="24"/>
          <w:szCs w:val="24"/>
        </w:rPr>
        <w:t xml:space="preserve"> Bay</w:t>
      </w:r>
      <w:r w:rsidRPr="003C7CB1">
        <w:rPr>
          <w:rFonts w:ascii="Calibri" w:eastAsia="Calibri" w:hAnsi="Calibri" w:cs="Calibri"/>
          <w:sz w:val="24"/>
          <w:szCs w:val="24"/>
        </w:rPr>
        <w:t xml:space="preserve"> project, so since the beginning of the implementation, 293 million euros have been invested, and in 2021, 27.2 million euros. In 2021, the preparation of project documentation for the construction of a new 5-star hotel with a capacity of 200 accommodation units has begun, and several villas and residential buildings have been built in the “Marina Village” and “Centrale” apartment complexes. </w:t>
      </w:r>
    </w:p>
    <w:p w14:paraId="46934015" w14:textId="77777777" w:rsidR="00861CB1" w:rsidRPr="003C7CB1" w:rsidRDefault="00861CB1" w:rsidP="00861CB1">
      <w:pPr>
        <w:spacing w:after="0" w:line="240" w:lineRule="auto"/>
        <w:jc w:val="both"/>
        <w:rPr>
          <w:rFonts w:ascii="Calibri" w:eastAsia="Calibri" w:hAnsi="Calibri" w:cs="Calibri"/>
          <w:sz w:val="24"/>
          <w:szCs w:val="24"/>
        </w:rPr>
      </w:pPr>
    </w:p>
    <w:p w14:paraId="1A0E4C5C"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lastRenderedPageBreak/>
        <w:t xml:space="preserve">Also, the construction of a hotel of museum character on the island of </w:t>
      </w:r>
      <w:proofErr w:type="spellStart"/>
      <w:r w:rsidRPr="003C7CB1">
        <w:rPr>
          <w:rFonts w:ascii="Calibri" w:eastAsia="Calibri" w:hAnsi="Calibri" w:cs="Calibri"/>
          <w:b/>
          <w:sz w:val="24"/>
          <w:szCs w:val="24"/>
        </w:rPr>
        <w:t>Lastavica</w:t>
      </w:r>
      <w:proofErr w:type="spellEnd"/>
      <w:r w:rsidRPr="003C7CB1">
        <w:rPr>
          <w:rFonts w:ascii="Calibri" w:eastAsia="Calibri" w:hAnsi="Calibri" w:cs="Calibri"/>
          <w:b/>
          <w:sz w:val="24"/>
          <w:szCs w:val="24"/>
        </w:rPr>
        <w:t xml:space="preserve"> - </w:t>
      </w:r>
      <w:proofErr w:type="spellStart"/>
      <w:r w:rsidRPr="003C7CB1">
        <w:rPr>
          <w:rFonts w:ascii="Calibri" w:eastAsia="Calibri" w:hAnsi="Calibri" w:cs="Calibri"/>
          <w:b/>
          <w:sz w:val="24"/>
          <w:szCs w:val="24"/>
        </w:rPr>
        <w:t>Mamula</w:t>
      </w:r>
      <w:proofErr w:type="spellEnd"/>
      <w:r w:rsidRPr="003C7CB1">
        <w:rPr>
          <w:rFonts w:ascii="Calibri" w:eastAsia="Calibri" w:hAnsi="Calibri" w:cs="Calibri"/>
          <w:b/>
          <w:sz w:val="24"/>
          <w:szCs w:val="24"/>
        </w:rPr>
        <w:t xml:space="preserve"> Fortress</w:t>
      </w:r>
      <w:r w:rsidRPr="003C7CB1">
        <w:rPr>
          <w:rFonts w:ascii="Calibri" w:eastAsia="Calibri" w:hAnsi="Calibri" w:cs="Calibri"/>
          <w:sz w:val="24"/>
          <w:szCs w:val="24"/>
        </w:rPr>
        <w:t xml:space="preserve"> continues, which is taking place in accordance with strict conservation conditions, where the total amount of investment in the project exceeded 20.9 million euros. </w:t>
      </w:r>
    </w:p>
    <w:p w14:paraId="31941A06" w14:textId="77777777" w:rsidR="00861CB1" w:rsidRPr="003C7CB1" w:rsidRDefault="00861CB1" w:rsidP="00861CB1">
      <w:pPr>
        <w:spacing w:after="0" w:line="240" w:lineRule="auto"/>
        <w:jc w:val="both"/>
        <w:rPr>
          <w:rFonts w:ascii="Calibri" w:eastAsia="Calibri" w:hAnsi="Calibri" w:cs="Calibri"/>
          <w:sz w:val="24"/>
          <w:szCs w:val="24"/>
        </w:rPr>
      </w:pPr>
    </w:p>
    <w:p w14:paraId="19B71F4A" w14:textId="6AE6D1DD"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Regarding the implementation of the “</w:t>
      </w:r>
      <w:proofErr w:type="spellStart"/>
      <w:r w:rsidRPr="003C7CB1">
        <w:rPr>
          <w:rFonts w:ascii="Calibri" w:eastAsia="Calibri" w:hAnsi="Calibri" w:cs="Calibri"/>
          <w:b/>
          <w:sz w:val="24"/>
          <w:szCs w:val="24"/>
        </w:rPr>
        <w:t>Kraljičina</w:t>
      </w:r>
      <w:proofErr w:type="spellEnd"/>
      <w:r w:rsidRPr="003C7CB1">
        <w:rPr>
          <w:rFonts w:ascii="Calibri" w:eastAsia="Calibri" w:hAnsi="Calibri" w:cs="Calibri"/>
          <w:b/>
          <w:sz w:val="24"/>
          <w:szCs w:val="24"/>
        </w:rPr>
        <w:t xml:space="preserve"> </w:t>
      </w:r>
      <w:proofErr w:type="spellStart"/>
      <w:r w:rsidR="00A904A4" w:rsidRPr="003C7CB1">
        <w:rPr>
          <w:rFonts w:ascii="Calibri" w:eastAsia="Calibri" w:hAnsi="Calibri" w:cs="Calibri"/>
          <w:b/>
          <w:sz w:val="24"/>
          <w:szCs w:val="24"/>
        </w:rPr>
        <w:t>plaža</w:t>
      </w:r>
      <w:proofErr w:type="spellEnd"/>
      <w:r w:rsidR="00A904A4" w:rsidRPr="003C7CB1">
        <w:rPr>
          <w:rFonts w:ascii="Calibri" w:eastAsia="Calibri" w:hAnsi="Calibri" w:cs="Calibri"/>
          <w:sz w:val="24"/>
          <w:szCs w:val="24"/>
        </w:rPr>
        <w:t>“</w:t>
      </w:r>
      <w:r w:rsidR="00A904A4">
        <w:rPr>
          <w:rFonts w:ascii="Calibri" w:eastAsia="Calibri" w:hAnsi="Calibri" w:cs="Calibri"/>
          <w:sz w:val="24"/>
          <w:szCs w:val="24"/>
        </w:rPr>
        <w:t xml:space="preserve"> </w:t>
      </w:r>
      <w:r w:rsidR="00A904A4" w:rsidRPr="003C7CB1">
        <w:rPr>
          <w:rFonts w:ascii="Calibri" w:eastAsia="Calibri" w:hAnsi="Calibri" w:cs="Calibri"/>
          <w:b/>
          <w:sz w:val="24"/>
          <w:szCs w:val="24"/>
        </w:rPr>
        <w:t>Hotel</w:t>
      </w:r>
      <w:r w:rsidRPr="003C7CB1">
        <w:rPr>
          <w:rFonts w:ascii="Calibri" w:eastAsia="Calibri" w:hAnsi="Calibri" w:cs="Calibri"/>
          <w:sz w:val="24"/>
          <w:szCs w:val="24"/>
        </w:rPr>
        <w:t xml:space="preserve"> project, after the construction application was made on November 1, 2019, construction works on the hotel began, and the project was included in the List of development projects in the field of tourism within a special investment program of special importance for economic and business interest of Montenegro (November 7, 2019). So far, 11.5 million euros have been invested in the project, and the total planned investment in that project is 73 million euros. </w:t>
      </w:r>
    </w:p>
    <w:p w14:paraId="21381BD2" w14:textId="77777777" w:rsidR="00861CB1" w:rsidRPr="003C7CB1" w:rsidRDefault="00861CB1" w:rsidP="00861CB1">
      <w:pPr>
        <w:spacing w:after="0" w:line="240" w:lineRule="auto"/>
        <w:jc w:val="both"/>
        <w:rPr>
          <w:rFonts w:ascii="Calibri" w:eastAsia="Calibri" w:hAnsi="Calibri" w:cs="Calibri"/>
          <w:sz w:val="24"/>
          <w:szCs w:val="24"/>
        </w:rPr>
      </w:pPr>
    </w:p>
    <w:p w14:paraId="00901B23"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Tourist valorization of a part of the property of HTP “</w:t>
      </w:r>
      <w:proofErr w:type="spellStart"/>
      <w:r w:rsidRPr="003C7CB1">
        <w:rPr>
          <w:rFonts w:ascii="Calibri" w:eastAsia="Calibri" w:hAnsi="Calibri" w:cs="Calibri"/>
          <w:sz w:val="24"/>
          <w:szCs w:val="24"/>
        </w:rPr>
        <w:t>Ulcinjska</w:t>
      </w:r>
      <w:proofErr w:type="spellEnd"/>
      <w:r w:rsidRPr="003C7CB1">
        <w:rPr>
          <w:rFonts w:ascii="Calibri" w:eastAsia="Calibri" w:hAnsi="Calibri" w:cs="Calibri"/>
          <w:sz w:val="24"/>
          <w:szCs w:val="24"/>
        </w:rPr>
        <w:t xml:space="preserve"> Riviera”, AD Ulcinj - </w:t>
      </w:r>
      <w:r w:rsidRPr="003C7CB1">
        <w:rPr>
          <w:rFonts w:ascii="Calibri" w:eastAsia="Calibri" w:hAnsi="Calibri" w:cs="Calibri"/>
          <w:b/>
          <w:sz w:val="24"/>
          <w:szCs w:val="24"/>
        </w:rPr>
        <w:t>Bellevue and Olympic</w:t>
      </w:r>
      <w:r w:rsidRPr="003C7CB1">
        <w:rPr>
          <w:rFonts w:ascii="Calibri" w:eastAsia="Calibri" w:hAnsi="Calibri" w:cs="Calibri"/>
          <w:sz w:val="24"/>
          <w:szCs w:val="24"/>
        </w:rPr>
        <w:t xml:space="preserve"> </w:t>
      </w:r>
      <w:r w:rsidRPr="003C7CB1">
        <w:rPr>
          <w:rFonts w:ascii="Calibri" w:eastAsia="Calibri" w:hAnsi="Calibri" w:cs="Calibri"/>
          <w:b/>
          <w:sz w:val="24"/>
          <w:szCs w:val="24"/>
        </w:rPr>
        <w:t>hotels</w:t>
      </w:r>
      <w:r w:rsidRPr="003C7CB1">
        <w:rPr>
          <w:rFonts w:ascii="Calibri" w:eastAsia="Calibri" w:hAnsi="Calibri" w:cs="Calibri"/>
          <w:sz w:val="24"/>
          <w:szCs w:val="24"/>
        </w:rPr>
        <w:t xml:space="preserve"> in the southernmost Montenegrin municipality has significantly improved the tourist offer, and the “</w:t>
      </w:r>
      <w:proofErr w:type="spellStart"/>
      <w:r w:rsidRPr="003C7CB1">
        <w:rPr>
          <w:rFonts w:ascii="Calibri" w:eastAsia="Calibri" w:hAnsi="Calibri" w:cs="Calibri"/>
          <w:sz w:val="24"/>
          <w:szCs w:val="24"/>
        </w:rPr>
        <w:t>Karisma</w:t>
      </w:r>
      <w:proofErr w:type="spellEnd"/>
      <w:r w:rsidRPr="003C7CB1">
        <w:rPr>
          <w:rFonts w:ascii="Calibri" w:eastAsia="Calibri" w:hAnsi="Calibri" w:cs="Calibri"/>
          <w:sz w:val="24"/>
          <w:szCs w:val="24"/>
        </w:rPr>
        <w:t xml:space="preserve"> Hotels Adriatic Montenegro” Ltd. Company invested 24 million euros and fulfilled its investment obligations, within the first and second phases of the investment, according to the reports of the Controller (“PwC”). </w:t>
      </w:r>
    </w:p>
    <w:p w14:paraId="336DCB02" w14:textId="77777777" w:rsidR="00861CB1" w:rsidRPr="003C7CB1" w:rsidRDefault="00861CB1" w:rsidP="00861CB1">
      <w:pPr>
        <w:spacing w:after="0" w:line="240" w:lineRule="auto"/>
        <w:jc w:val="both"/>
        <w:rPr>
          <w:rFonts w:ascii="Calibri" w:eastAsia="Calibri" w:hAnsi="Calibri" w:cs="Calibri"/>
          <w:sz w:val="24"/>
          <w:szCs w:val="24"/>
        </w:rPr>
      </w:pPr>
    </w:p>
    <w:p w14:paraId="1611D589"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After formalizing the cooperation with the renowned brand, the </w:t>
      </w:r>
      <w:r w:rsidRPr="003C7CB1">
        <w:rPr>
          <w:rFonts w:ascii="Calibri" w:eastAsia="Calibri" w:hAnsi="Calibri" w:cs="Calibri"/>
          <w:b/>
          <w:sz w:val="24"/>
          <w:szCs w:val="24"/>
        </w:rPr>
        <w:t>Montrose</w:t>
      </w:r>
      <w:r w:rsidRPr="003C7CB1">
        <w:rPr>
          <w:rFonts w:ascii="Calibri" w:eastAsia="Calibri" w:hAnsi="Calibri" w:cs="Calibri"/>
          <w:sz w:val="24"/>
          <w:szCs w:val="24"/>
        </w:rPr>
        <w:t xml:space="preserve"> project was renamed “Ritz Carlton Montenegro”, and the previous period was characterized by activities aimed at building the necessary infrastructure, as a precondition for building a future luxury tourist complex, in accordance with the Lease Agreement. According to the data received from the investor, 34 million euros have been invested in the project since the beginning of the implementation. </w:t>
      </w:r>
    </w:p>
    <w:p w14:paraId="4539A486" w14:textId="77777777" w:rsidR="00861CB1" w:rsidRPr="003C7CB1" w:rsidRDefault="00861CB1" w:rsidP="00861CB1">
      <w:pPr>
        <w:spacing w:after="0" w:line="240" w:lineRule="auto"/>
        <w:jc w:val="both"/>
        <w:rPr>
          <w:rFonts w:ascii="Calibri" w:eastAsia="Calibri" w:hAnsi="Calibri" w:cs="Calibri"/>
          <w:b/>
          <w:bCs/>
          <w:sz w:val="24"/>
          <w:szCs w:val="24"/>
        </w:rPr>
      </w:pPr>
    </w:p>
    <w:p w14:paraId="4F699044" w14:textId="77777777" w:rsidR="00861CB1" w:rsidRPr="003C7CB1" w:rsidRDefault="00861CB1" w:rsidP="00861CB1">
      <w:pPr>
        <w:numPr>
          <w:ilvl w:val="0"/>
          <w:numId w:val="59"/>
        </w:numPr>
        <w:spacing w:after="0" w:line="240" w:lineRule="auto"/>
        <w:contextualSpacing/>
        <w:jc w:val="both"/>
        <w:rPr>
          <w:rFonts w:ascii="Calibri" w:eastAsia="Calibri" w:hAnsi="Calibri" w:cs="Calibri"/>
          <w:b/>
          <w:bCs/>
          <w:sz w:val="24"/>
          <w:szCs w:val="24"/>
        </w:rPr>
      </w:pPr>
      <w:r w:rsidRPr="003C7CB1">
        <w:rPr>
          <w:rFonts w:ascii="Calibri" w:eastAsia="Calibri" w:hAnsi="Calibri" w:cs="Calibri"/>
          <w:b/>
          <w:bCs/>
          <w:sz w:val="24"/>
          <w:szCs w:val="24"/>
        </w:rPr>
        <w:t xml:space="preserve">Implementation of development projects on the improvement of tourist infrastructure </w:t>
      </w:r>
    </w:p>
    <w:p w14:paraId="1FD0724C" w14:textId="77777777" w:rsidR="00861CB1" w:rsidRPr="003C7CB1" w:rsidRDefault="00861CB1" w:rsidP="00861CB1">
      <w:pPr>
        <w:spacing w:after="0" w:line="240" w:lineRule="auto"/>
        <w:jc w:val="both"/>
        <w:rPr>
          <w:rFonts w:ascii="Calibri" w:eastAsia="Calibri" w:hAnsi="Calibri" w:cs="Calibri"/>
          <w:b/>
          <w:bCs/>
          <w:sz w:val="24"/>
          <w:szCs w:val="24"/>
        </w:rPr>
      </w:pPr>
    </w:p>
    <w:p w14:paraId="1ABD8F2D"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bCs/>
          <w:sz w:val="24"/>
          <w:szCs w:val="24"/>
        </w:rPr>
        <w:t xml:space="preserve">Implementation of </w:t>
      </w:r>
      <w:r w:rsidRPr="003C7CB1">
        <w:rPr>
          <w:rFonts w:ascii="Calibri" w:eastAsia="Calibri" w:hAnsi="Calibri" w:cs="Calibri"/>
          <w:b/>
          <w:bCs/>
          <w:sz w:val="24"/>
          <w:szCs w:val="24"/>
        </w:rPr>
        <w:t>development projects on improvement of tourist infrastructure</w:t>
      </w:r>
      <w:r w:rsidRPr="003C7CB1">
        <w:rPr>
          <w:rFonts w:ascii="Calibri" w:eastAsia="Calibri" w:hAnsi="Calibri" w:cs="Calibri"/>
          <w:bCs/>
          <w:sz w:val="24"/>
          <w:szCs w:val="24"/>
        </w:rPr>
        <w:t xml:space="preserve">, includes activities primarily in ski centers in </w:t>
      </w:r>
      <w:proofErr w:type="spellStart"/>
      <w:r w:rsidRPr="003C7CB1">
        <w:rPr>
          <w:rFonts w:ascii="Calibri" w:eastAsia="Calibri" w:hAnsi="Calibri" w:cs="Calibri"/>
          <w:bCs/>
          <w:sz w:val="24"/>
          <w:szCs w:val="24"/>
        </w:rPr>
        <w:t>Bjelasica</w:t>
      </w:r>
      <w:proofErr w:type="spellEnd"/>
      <w:r w:rsidRPr="003C7CB1">
        <w:rPr>
          <w:rFonts w:ascii="Calibri" w:eastAsia="Calibri" w:hAnsi="Calibri" w:cs="Calibri"/>
          <w:bCs/>
          <w:sz w:val="24"/>
          <w:szCs w:val="24"/>
        </w:rPr>
        <w:t xml:space="preserve"> and </w:t>
      </w:r>
      <w:proofErr w:type="spellStart"/>
      <w:r w:rsidRPr="003C7CB1">
        <w:rPr>
          <w:rFonts w:ascii="Calibri" w:eastAsia="Calibri" w:hAnsi="Calibri" w:cs="Calibri"/>
          <w:bCs/>
          <w:sz w:val="24"/>
          <w:szCs w:val="24"/>
        </w:rPr>
        <w:t>Komovi</w:t>
      </w:r>
      <w:proofErr w:type="spellEnd"/>
      <w:r w:rsidRPr="003C7CB1">
        <w:rPr>
          <w:rFonts w:ascii="Calibri" w:eastAsia="Calibri" w:hAnsi="Calibri" w:cs="Calibri"/>
          <w:bCs/>
          <w:sz w:val="24"/>
          <w:szCs w:val="24"/>
        </w:rPr>
        <w:t xml:space="preserve">, </w:t>
      </w:r>
      <w:proofErr w:type="spellStart"/>
      <w:r w:rsidRPr="003C7CB1">
        <w:rPr>
          <w:rFonts w:ascii="Calibri" w:eastAsia="Calibri" w:hAnsi="Calibri" w:cs="Calibri"/>
          <w:bCs/>
          <w:sz w:val="24"/>
          <w:szCs w:val="24"/>
        </w:rPr>
        <w:t>Durmitor</w:t>
      </w:r>
      <w:proofErr w:type="spellEnd"/>
      <w:r w:rsidRPr="003C7CB1">
        <w:rPr>
          <w:rFonts w:ascii="Calibri" w:eastAsia="Calibri" w:hAnsi="Calibri" w:cs="Calibri"/>
          <w:bCs/>
          <w:sz w:val="24"/>
          <w:szCs w:val="24"/>
        </w:rPr>
        <w:t xml:space="preserve"> and </w:t>
      </w:r>
      <w:proofErr w:type="spellStart"/>
      <w:r w:rsidRPr="003C7CB1">
        <w:rPr>
          <w:rFonts w:ascii="Calibri" w:eastAsia="Calibri" w:hAnsi="Calibri" w:cs="Calibri"/>
          <w:bCs/>
          <w:sz w:val="24"/>
          <w:szCs w:val="24"/>
        </w:rPr>
        <w:t>Hajla</w:t>
      </w:r>
      <w:proofErr w:type="spellEnd"/>
      <w:r w:rsidRPr="003C7CB1">
        <w:rPr>
          <w:rFonts w:ascii="Calibri" w:eastAsia="Calibri" w:hAnsi="Calibri" w:cs="Calibri"/>
          <w:bCs/>
          <w:sz w:val="24"/>
          <w:szCs w:val="24"/>
        </w:rPr>
        <w:t xml:space="preserve">, but also natural attractions - </w:t>
      </w:r>
      <w:proofErr w:type="spellStart"/>
      <w:r w:rsidRPr="003C7CB1">
        <w:rPr>
          <w:rFonts w:ascii="Calibri" w:eastAsia="Calibri" w:hAnsi="Calibri" w:cs="Calibri"/>
          <w:bCs/>
          <w:sz w:val="24"/>
          <w:szCs w:val="24"/>
        </w:rPr>
        <w:t>Đalovića</w:t>
      </w:r>
      <w:proofErr w:type="spellEnd"/>
      <w:r w:rsidRPr="003C7CB1">
        <w:rPr>
          <w:rFonts w:ascii="Calibri" w:eastAsia="Calibri" w:hAnsi="Calibri" w:cs="Calibri"/>
          <w:bCs/>
          <w:sz w:val="24"/>
          <w:szCs w:val="24"/>
        </w:rPr>
        <w:t xml:space="preserve"> cave, which include construction of new lifts, ski slopes, artificial snow systems, base stations, access roads and supporting infrastructure, as well as the necessary measures for their implementation</w:t>
      </w:r>
      <w:r w:rsidRPr="003C7CB1">
        <w:rPr>
          <w:rFonts w:ascii="Calibri" w:eastAsia="Calibri" w:hAnsi="Calibri" w:cs="Calibri"/>
          <w:sz w:val="24"/>
          <w:szCs w:val="24"/>
        </w:rPr>
        <w:t xml:space="preserve">. </w:t>
      </w:r>
    </w:p>
    <w:p w14:paraId="752A6259" w14:textId="77777777" w:rsidR="00861CB1" w:rsidRPr="003C7CB1" w:rsidRDefault="00861CB1" w:rsidP="00861CB1">
      <w:pPr>
        <w:spacing w:after="0" w:line="240" w:lineRule="auto"/>
        <w:jc w:val="both"/>
        <w:rPr>
          <w:rFonts w:ascii="Calibri" w:eastAsia="Calibri" w:hAnsi="Calibri" w:cs="Calibri"/>
          <w:sz w:val="24"/>
          <w:szCs w:val="24"/>
        </w:rPr>
      </w:pPr>
    </w:p>
    <w:p w14:paraId="760BE897"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Therefore, work continued on all construction sites in the north of Montenegro, which were preserved during the winter period, in accordance with the planned activities. This is supported by the data that the Public Works Administration has achieved investments in these projects in the north of the country in the amount of over </w:t>
      </w:r>
      <w:r w:rsidRPr="003C7CB1">
        <w:rPr>
          <w:rFonts w:ascii="Calibri" w:eastAsia="Calibri" w:hAnsi="Calibri" w:cs="Calibri"/>
          <w:b/>
          <w:sz w:val="24"/>
          <w:szCs w:val="24"/>
        </w:rPr>
        <w:t>5.75 million euros</w:t>
      </w:r>
      <w:r w:rsidRPr="003C7CB1">
        <w:rPr>
          <w:rFonts w:ascii="Calibri" w:eastAsia="Calibri" w:hAnsi="Calibri" w:cs="Calibri"/>
          <w:sz w:val="24"/>
          <w:szCs w:val="24"/>
        </w:rPr>
        <w:t xml:space="preserve">, as of September 30, 2021. </w:t>
      </w:r>
    </w:p>
    <w:p w14:paraId="41E6D73A" w14:textId="77777777" w:rsidR="00861CB1" w:rsidRPr="003C7CB1" w:rsidRDefault="00861CB1" w:rsidP="00861CB1">
      <w:pPr>
        <w:spacing w:after="0" w:line="240" w:lineRule="auto"/>
        <w:jc w:val="both"/>
        <w:rPr>
          <w:rFonts w:ascii="Calibri" w:eastAsia="Calibri" w:hAnsi="Calibri" w:cs="Calibri"/>
          <w:sz w:val="24"/>
          <w:szCs w:val="24"/>
        </w:rPr>
      </w:pPr>
    </w:p>
    <w:p w14:paraId="4FDB94FA" w14:textId="77777777" w:rsidR="00861CB1" w:rsidRPr="003C7CB1" w:rsidRDefault="00861CB1" w:rsidP="00861CB1">
      <w:pPr>
        <w:spacing w:after="0" w:line="240" w:lineRule="auto"/>
        <w:jc w:val="both"/>
        <w:rPr>
          <w:rFonts w:ascii="Calibri" w:eastAsia="Calibri" w:hAnsi="Calibri" w:cs="Calibri"/>
          <w:b/>
          <w:sz w:val="24"/>
          <w:szCs w:val="24"/>
        </w:rPr>
      </w:pPr>
      <w:r w:rsidRPr="003C7CB1">
        <w:rPr>
          <w:rFonts w:ascii="Calibri" w:eastAsia="Calibri" w:hAnsi="Calibri" w:cs="Calibri"/>
          <w:sz w:val="24"/>
          <w:szCs w:val="24"/>
        </w:rPr>
        <w:t xml:space="preserve">In general, it is important to emphasize that the most important infrastructural activities take place in the north of Montenegro, in the mountains of </w:t>
      </w:r>
      <w:proofErr w:type="spellStart"/>
      <w:r w:rsidRPr="003C7CB1">
        <w:rPr>
          <w:rFonts w:ascii="Calibri" w:eastAsia="Calibri" w:hAnsi="Calibri" w:cs="Calibri"/>
          <w:sz w:val="24"/>
          <w:szCs w:val="24"/>
        </w:rPr>
        <w:t>Bjelasica</w:t>
      </w:r>
      <w:proofErr w:type="spellEnd"/>
      <w:r w:rsidRPr="003C7CB1">
        <w:rPr>
          <w:rFonts w:ascii="Calibri" w:eastAsia="Calibri" w:hAnsi="Calibri" w:cs="Calibri"/>
          <w:sz w:val="24"/>
          <w:szCs w:val="24"/>
        </w:rPr>
        <w:t xml:space="preserve"> and </w:t>
      </w:r>
      <w:proofErr w:type="spellStart"/>
      <w:r w:rsidRPr="003C7CB1">
        <w:rPr>
          <w:rFonts w:ascii="Calibri" w:eastAsia="Calibri" w:hAnsi="Calibri" w:cs="Calibri"/>
          <w:sz w:val="24"/>
          <w:szCs w:val="24"/>
        </w:rPr>
        <w:t>Komovi</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Hajla</w:t>
      </w:r>
      <w:proofErr w:type="spellEnd"/>
      <w:r w:rsidRPr="003C7CB1">
        <w:rPr>
          <w:rFonts w:ascii="Calibri" w:eastAsia="Calibri" w:hAnsi="Calibri" w:cs="Calibri"/>
          <w:sz w:val="24"/>
          <w:szCs w:val="24"/>
        </w:rPr>
        <w:t xml:space="preserve"> and </w:t>
      </w:r>
      <w:proofErr w:type="spellStart"/>
      <w:r w:rsidRPr="003C7CB1">
        <w:rPr>
          <w:rFonts w:ascii="Calibri" w:eastAsia="Calibri" w:hAnsi="Calibri" w:cs="Calibri"/>
          <w:sz w:val="24"/>
          <w:szCs w:val="24"/>
        </w:rPr>
        <w:t>Štedim</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Durmitor</w:t>
      </w:r>
      <w:proofErr w:type="spellEnd"/>
      <w:r w:rsidRPr="003C7CB1">
        <w:rPr>
          <w:rFonts w:ascii="Calibri" w:eastAsia="Calibri" w:hAnsi="Calibri" w:cs="Calibri"/>
          <w:sz w:val="24"/>
          <w:szCs w:val="24"/>
        </w:rPr>
        <w:t xml:space="preserve">, as well as in </w:t>
      </w:r>
      <w:proofErr w:type="spellStart"/>
      <w:r w:rsidRPr="003C7CB1">
        <w:rPr>
          <w:rFonts w:ascii="Calibri" w:eastAsia="Calibri" w:hAnsi="Calibri" w:cs="Calibri"/>
          <w:sz w:val="24"/>
          <w:szCs w:val="24"/>
        </w:rPr>
        <w:t>Đalovića</w:t>
      </w:r>
      <w:proofErr w:type="spellEnd"/>
      <w:r w:rsidRPr="003C7CB1">
        <w:rPr>
          <w:rFonts w:ascii="Calibri" w:eastAsia="Calibri" w:hAnsi="Calibri" w:cs="Calibri"/>
          <w:sz w:val="24"/>
          <w:szCs w:val="24"/>
        </w:rPr>
        <w:t xml:space="preserve"> gorge. So far, </w:t>
      </w:r>
      <w:r w:rsidRPr="003C7CB1">
        <w:rPr>
          <w:rFonts w:ascii="Calibri" w:eastAsia="Calibri" w:hAnsi="Calibri" w:cs="Calibri"/>
          <w:b/>
          <w:sz w:val="24"/>
          <w:szCs w:val="24"/>
        </w:rPr>
        <w:t xml:space="preserve">over 86 million euros have been invested in these projects. </w:t>
      </w:r>
    </w:p>
    <w:p w14:paraId="35EF0A8C" w14:textId="77777777" w:rsidR="00861CB1" w:rsidRPr="003C7CB1" w:rsidRDefault="00861CB1" w:rsidP="00861CB1">
      <w:pPr>
        <w:spacing w:after="0" w:line="240" w:lineRule="auto"/>
        <w:jc w:val="both"/>
        <w:rPr>
          <w:rFonts w:ascii="Calibri" w:eastAsia="Calibri" w:hAnsi="Calibri" w:cs="Calibri"/>
          <w:b/>
          <w:sz w:val="24"/>
          <w:szCs w:val="24"/>
        </w:rPr>
      </w:pPr>
    </w:p>
    <w:p w14:paraId="2E745A87" w14:textId="0E101CAC" w:rsidR="00861CB1" w:rsidRPr="003C7CB1" w:rsidRDefault="00861CB1" w:rsidP="00861CB1">
      <w:pPr>
        <w:spacing w:after="0" w:line="240" w:lineRule="auto"/>
        <w:jc w:val="both"/>
        <w:rPr>
          <w:rFonts w:ascii="Calibri" w:eastAsia="Calibri" w:hAnsi="Calibri" w:cs="Calibri"/>
          <w:bCs/>
          <w:sz w:val="24"/>
          <w:szCs w:val="24"/>
        </w:rPr>
      </w:pPr>
      <w:r w:rsidRPr="003C7CB1">
        <w:rPr>
          <w:rFonts w:ascii="Calibri" w:eastAsia="Calibri" w:hAnsi="Calibri" w:cs="Calibri"/>
          <w:bCs/>
          <w:sz w:val="24"/>
          <w:szCs w:val="24"/>
        </w:rPr>
        <w:t xml:space="preserve">For the development of three ski resorts in the area of </w:t>
      </w:r>
      <w:proofErr w:type="spellStart"/>
      <w:r w:rsidRPr="003C7CB1">
        <w:rPr>
          <w:rFonts w:ascii="Calibri" w:eastAsia="Calibri" w:hAnsi="Calibri" w:cs="Calibri"/>
          <w:b/>
          <w:bCs/>
          <w:sz w:val="24"/>
          <w:szCs w:val="24"/>
        </w:rPr>
        <w:t>Bjelasica</w:t>
      </w:r>
      <w:proofErr w:type="spellEnd"/>
      <w:r w:rsidRPr="003C7CB1">
        <w:rPr>
          <w:rFonts w:ascii="Calibri" w:eastAsia="Calibri" w:hAnsi="Calibri" w:cs="Calibri"/>
          <w:b/>
          <w:bCs/>
          <w:sz w:val="24"/>
          <w:szCs w:val="24"/>
        </w:rPr>
        <w:t xml:space="preserve"> and </w:t>
      </w:r>
      <w:proofErr w:type="spellStart"/>
      <w:r w:rsidRPr="003C7CB1">
        <w:rPr>
          <w:rFonts w:ascii="Calibri" w:eastAsia="Calibri" w:hAnsi="Calibri" w:cs="Calibri"/>
          <w:b/>
          <w:bCs/>
          <w:sz w:val="24"/>
          <w:szCs w:val="24"/>
        </w:rPr>
        <w:t>Komovi</w:t>
      </w:r>
      <w:proofErr w:type="spellEnd"/>
      <w:r w:rsidRPr="003C7CB1">
        <w:rPr>
          <w:rFonts w:ascii="Calibri" w:eastAsia="Calibri" w:hAnsi="Calibri" w:cs="Calibri"/>
          <w:b/>
          <w:bCs/>
          <w:sz w:val="24"/>
          <w:szCs w:val="24"/>
        </w:rPr>
        <w:t xml:space="preserve"> - Kolašin 1600</w:t>
      </w:r>
      <w:r w:rsidRPr="003C7CB1">
        <w:rPr>
          <w:rFonts w:ascii="Calibri" w:eastAsia="Calibri" w:hAnsi="Calibri" w:cs="Calibri"/>
          <w:bCs/>
          <w:sz w:val="24"/>
          <w:szCs w:val="24"/>
        </w:rPr>
        <w:t xml:space="preserve"> in Kolašin, </w:t>
      </w:r>
      <w:proofErr w:type="spellStart"/>
      <w:r w:rsidRPr="003C7CB1">
        <w:rPr>
          <w:rFonts w:ascii="Calibri" w:eastAsia="Calibri" w:hAnsi="Calibri" w:cs="Calibri"/>
          <w:b/>
          <w:bCs/>
          <w:sz w:val="24"/>
          <w:szCs w:val="24"/>
        </w:rPr>
        <w:t>Žarski</w:t>
      </w:r>
      <w:proofErr w:type="spellEnd"/>
      <w:r w:rsidRPr="003C7CB1">
        <w:rPr>
          <w:rFonts w:ascii="Calibri" w:eastAsia="Calibri" w:hAnsi="Calibri" w:cs="Calibri"/>
          <w:bCs/>
          <w:sz w:val="24"/>
          <w:szCs w:val="24"/>
        </w:rPr>
        <w:t xml:space="preserve"> in Mojkovac and </w:t>
      </w:r>
      <w:proofErr w:type="spellStart"/>
      <w:r w:rsidRPr="003C7CB1">
        <w:rPr>
          <w:rFonts w:ascii="Calibri" w:eastAsia="Calibri" w:hAnsi="Calibri" w:cs="Calibri"/>
          <w:b/>
          <w:bCs/>
          <w:sz w:val="24"/>
          <w:szCs w:val="24"/>
        </w:rPr>
        <w:t>Cmiljača</w:t>
      </w:r>
      <w:proofErr w:type="spellEnd"/>
      <w:r w:rsidRPr="003C7CB1">
        <w:rPr>
          <w:rFonts w:ascii="Calibri" w:eastAsia="Calibri" w:hAnsi="Calibri" w:cs="Calibri"/>
          <w:bCs/>
          <w:sz w:val="24"/>
          <w:szCs w:val="24"/>
        </w:rPr>
        <w:t xml:space="preserve"> in Bijelo Polje, the multi-year budget plans significant investments in infrastructure development at these sites, and so far a total of over </w:t>
      </w:r>
      <w:r w:rsidRPr="003C7CB1">
        <w:rPr>
          <w:rFonts w:ascii="Calibri" w:eastAsia="Calibri" w:hAnsi="Calibri" w:cs="Calibri"/>
          <w:b/>
          <w:bCs/>
          <w:sz w:val="24"/>
          <w:szCs w:val="24"/>
        </w:rPr>
        <w:t>52.4 million euros</w:t>
      </w:r>
      <w:r w:rsidRPr="003C7CB1">
        <w:rPr>
          <w:rFonts w:ascii="Calibri" w:eastAsia="Calibri" w:hAnsi="Calibri" w:cs="Calibri"/>
          <w:bCs/>
          <w:sz w:val="24"/>
          <w:szCs w:val="24"/>
        </w:rPr>
        <w:t xml:space="preserve"> has been </w:t>
      </w:r>
      <w:r w:rsidR="00AE5C5F" w:rsidRPr="003C7CB1">
        <w:rPr>
          <w:rFonts w:ascii="Calibri" w:eastAsia="Calibri" w:hAnsi="Calibri" w:cs="Calibri"/>
          <w:bCs/>
          <w:sz w:val="24"/>
          <w:szCs w:val="24"/>
        </w:rPr>
        <w:t>invested, as</w:t>
      </w:r>
      <w:r w:rsidRPr="003C7CB1">
        <w:rPr>
          <w:rFonts w:ascii="Calibri" w:eastAsia="Calibri" w:hAnsi="Calibri" w:cs="Calibri"/>
          <w:bCs/>
          <w:sz w:val="24"/>
          <w:szCs w:val="24"/>
        </w:rPr>
        <w:t xml:space="preserve"> of September 30, 2021.    </w:t>
      </w:r>
    </w:p>
    <w:p w14:paraId="40C1B353" w14:textId="77777777" w:rsidR="00861CB1" w:rsidRPr="003C7CB1" w:rsidRDefault="00861CB1" w:rsidP="00861CB1">
      <w:pPr>
        <w:spacing w:after="0" w:line="240" w:lineRule="auto"/>
        <w:jc w:val="both"/>
        <w:rPr>
          <w:rFonts w:ascii="Calibri" w:eastAsia="Calibri" w:hAnsi="Calibri" w:cs="Calibri"/>
          <w:bCs/>
          <w:sz w:val="24"/>
          <w:szCs w:val="24"/>
        </w:rPr>
      </w:pPr>
      <w:r w:rsidRPr="003C7CB1">
        <w:rPr>
          <w:rFonts w:ascii="Calibri" w:eastAsia="Calibri" w:hAnsi="Calibri" w:cs="Calibri"/>
          <w:bCs/>
          <w:sz w:val="24"/>
          <w:szCs w:val="24"/>
        </w:rPr>
        <w:t xml:space="preserve">  </w:t>
      </w:r>
    </w:p>
    <w:p w14:paraId="62095F87"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bCs/>
          <w:sz w:val="24"/>
          <w:szCs w:val="24"/>
        </w:rPr>
        <w:lastRenderedPageBreak/>
        <w:t>After the opening of the “</w:t>
      </w:r>
      <w:r w:rsidRPr="003C7CB1">
        <w:rPr>
          <w:rFonts w:ascii="Calibri" w:eastAsia="Calibri" w:hAnsi="Calibri" w:cs="Calibri"/>
          <w:b/>
          <w:bCs/>
          <w:sz w:val="24"/>
          <w:szCs w:val="24"/>
        </w:rPr>
        <w:t>Kolašin 1600</w:t>
      </w:r>
      <w:r w:rsidRPr="003C7CB1">
        <w:rPr>
          <w:rFonts w:ascii="Calibri" w:eastAsia="Calibri" w:hAnsi="Calibri" w:cs="Calibri"/>
          <w:bCs/>
          <w:sz w:val="24"/>
          <w:szCs w:val="24"/>
        </w:rPr>
        <w:t>” Ski Center in February 2019, which put into operation a cable car with a capacity of 2,600 skiers per hour, worth 8,979,740 euros, with infrastructure that serves over 10 km of ski slopes, final works are underway as well as the construction of a new K7 cable car worth 8,998,000 euros, which will connect two existing ski centers, accompanying ski slopes along the K7 cable car, as well as activities at the new substation to power the new cable car and contracted construction of a garage for ski resorts in Kolašin</w:t>
      </w:r>
      <w:r w:rsidRPr="003C7CB1">
        <w:rPr>
          <w:rFonts w:ascii="Calibri" w:eastAsia="Calibri" w:hAnsi="Calibri" w:cs="Calibri"/>
          <w:sz w:val="24"/>
          <w:szCs w:val="24"/>
        </w:rPr>
        <w:t xml:space="preserve">. Also, we are working on the preparation of the project of water supply of the new mountain center and snowing of the existing and new ski slopes. On the implementation of this project, </w:t>
      </w:r>
      <w:r w:rsidRPr="003C7CB1">
        <w:rPr>
          <w:rFonts w:ascii="Calibri" w:eastAsia="Calibri" w:hAnsi="Calibri" w:cs="Calibri"/>
          <w:b/>
          <w:sz w:val="24"/>
          <w:szCs w:val="24"/>
        </w:rPr>
        <w:t>24,483,576 euros</w:t>
      </w:r>
      <w:r w:rsidRPr="003C7CB1">
        <w:rPr>
          <w:rFonts w:ascii="Calibri" w:eastAsia="Calibri" w:hAnsi="Calibri" w:cs="Calibri"/>
          <w:sz w:val="24"/>
          <w:szCs w:val="24"/>
        </w:rPr>
        <w:t xml:space="preserve"> have been spent so far, of which in 2021, as of September 30, </w:t>
      </w:r>
      <w:r w:rsidRPr="003C7CB1">
        <w:rPr>
          <w:rFonts w:ascii="Calibri" w:eastAsia="Calibri" w:hAnsi="Calibri" w:cs="Calibri"/>
          <w:b/>
          <w:sz w:val="24"/>
          <w:szCs w:val="24"/>
        </w:rPr>
        <w:t>1,526,480 euros</w:t>
      </w:r>
      <w:r w:rsidRPr="003C7CB1">
        <w:rPr>
          <w:rFonts w:ascii="Calibri" w:eastAsia="Calibri" w:hAnsi="Calibri" w:cs="Calibri"/>
          <w:sz w:val="24"/>
          <w:szCs w:val="24"/>
        </w:rPr>
        <w:t xml:space="preserve">. </w:t>
      </w:r>
    </w:p>
    <w:p w14:paraId="1CA298DC" w14:textId="77777777" w:rsidR="00861CB1" w:rsidRPr="003C7CB1" w:rsidRDefault="00861CB1" w:rsidP="00861CB1">
      <w:pPr>
        <w:spacing w:after="0" w:line="240" w:lineRule="auto"/>
        <w:jc w:val="both"/>
        <w:rPr>
          <w:rFonts w:ascii="Calibri" w:eastAsia="Calibri" w:hAnsi="Calibri" w:cs="Calibri"/>
          <w:sz w:val="24"/>
          <w:szCs w:val="24"/>
        </w:rPr>
      </w:pPr>
    </w:p>
    <w:p w14:paraId="24CEE918" w14:textId="77777777" w:rsidR="00861CB1" w:rsidRPr="003C7CB1" w:rsidRDefault="00861CB1" w:rsidP="00861CB1">
      <w:pPr>
        <w:tabs>
          <w:tab w:val="left" w:pos="0"/>
        </w:tabs>
        <w:spacing w:before="60"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So far, </w:t>
      </w:r>
      <w:r w:rsidRPr="003C7CB1">
        <w:rPr>
          <w:rFonts w:ascii="Calibri" w:eastAsia="Calibri" w:hAnsi="Calibri" w:cs="Calibri"/>
          <w:b/>
          <w:sz w:val="24"/>
          <w:szCs w:val="24"/>
        </w:rPr>
        <w:t>10,731,423</w:t>
      </w:r>
      <w:r w:rsidRPr="003C7CB1">
        <w:rPr>
          <w:rFonts w:ascii="Calibri" w:eastAsia="Calibri" w:hAnsi="Calibri" w:cs="Calibri"/>
          <w:sz w:val="24"/>
          <w:szCs w:val="24"/>
        </w:rPr>
        <w:t xml:space="preserve"> euros have been invested in the future “</w:t>
      </w:r>
      <w:proofErr w:type="spellStart"/>
      <w:r w:rsidRPr="003C7CB1">
        <w:rPr>
          <w:rFonts w:ascii="Calibri" w:eastAsia="Calibri" w:hAnsi="Calibri" w:cs="Calibri"/>
          <w:b/>
          <w:sz w:val="24"/>
          <w:szCs w:val="24"/>
        </w:rPr>
        <w:t>Žarski</w:t>
      </w:r>
      <w:proofErr w:type="spellEnd"/>
      <w:r w:rsidRPr="003C7CB1">
        <w:rPr>
          <w:rFonts w:ascii="Calibri" w:eastAsia="Calibri" w:hAnsi="Calibri" w:cs="Calibri"/>
          <w:sz w:val="24"/>
          <w:szCs w:val="24"/>
        </w:rPr>
        <w:t xml:space="preserve">” Ski Center, of which </w:t>
      </w:r>
      <w:r w:rsidRPr="003C7CB1">
        <w:rPr>
          <w:rFonts w:ascii="Calibri" w:eastAsia="Calibri" w:hAnsi="Calibri" w:cs="Calibri"/>
          <w:b/>
          <w:sz w:val="24"/>
          <w:szCs w:val="24"/>
        </w:rPr>
        <w:t>49,003 euros</w:t>
      </w:r>
      <w:r w:rsidRPr="003C7CB1">
        <w:rPr>
          <w:rFonts w:ascii="Calibri" w:eastAsia="Calibri" w:hAnsi="Calibri" w:cs="Calibri"/>
          <w:sz w:val="24"/>
          <w:szCs w:val="24"/>
        </w:rPr>
        <w:t xml:space="preserve"> in 2021, as of September 30. Investments were invested in the infrastructural works of the access road of </w:t>
      </w:r>
      <w:proofErr w:type="spellStart"/>
      <w:r w:rsidRPr="003C7CB1">
        <w:rPr>
          <w:rFonts w:ascii="Calibri" w:eastAsia="Calibri" w:hAnsi="Calibri" w:cs="Calibri"/>
          <w:sz w:val="24"/>
          <w:szCs w:val="24"/>
        </w:rPr>
        <w:t>Vragodo-Vrioci-Žarski</w:t>
      </w:r>
      <w:proofErr w:type="spellEnd"/>
      <w:r w:rsidRPr="003C7CB1">
        <w:rPr>
          <w:rFonts w:ascii="Calibri" w:eastAsia="Calibri" w:hAnsi="Calibri" w:cs="Calibri"/>
          <w:sz w:val="24"/>
          <w:szCs w:val="24"/>
        </w:rPr>
        <w:t xml:space="preserve"> katun, in the preparatory activities for the implementation of the secondary electric power infrastructure and water supply of the service facilities of the base station. Also, the construction of a cable car worth 8,990,700 euros is underway, as well as accompanying ski slopes in the length of about 9.5 km, worth 1,899,700 euros. </w:t>
      </w:r>
    </w:p>
    <w:p w14:paraId="30D107E6" w14:textId="77777777" w:rsidR="00861CB1" w:rsidRPr="003C7CB1" w:rsidRDefault="00861CB1" w:rsidP="00861CB1">
      <w:pPr>
        <w:tabs>
          <w:tab w:val="left" w:pos="0"/>
        </w:tabs>
        <w:spacing w:before="60"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 </w:t>
      </w:r>
    </w:p>
    <w:p w14:paraId="5E28D5A6" w14:textId="77777777" w:rsidR="00861CB1" w:rsidRPr="003C7CB1" w:rsidRDefault="00861CB1" w:rsidP="00861CB1">
      <w:pPr>
        <w:tabs>
          <w:tab w:val="left" w:pos="0"/>
        </w:tabs>
        <w:spacing w:before="60" w:after="0" w:line="240" w:lineRule="auto"/>
        <w:jc w:val="both"/>
        <w:rPr>
          <w:rFonts w:ascii="Calibri" w:eastAsia="Calibri" w:hAnsi="Calibri" w:cs="Calibri"/>
          <w:sz w:val="24"/>
          <w:szCs w:val="24"/>
        </w:rPr>
      </w:pPr>
      <w:r w:rsidRPr="003C7CB1">
        <w:rPr>
          <w:rFonts w:ascii="Calibri" w:eastAsia="Calibri" w:hAnsi="Calibri" w:cs="Calibri"/>
          <w:sz w:val="24"/>
          <w:szCs w:val="24"/>
        </w:rPr>
        <w:t>When it comes to the future “</w:t>
      </w:r>
      <w:proofErr w:type="spellStart"/>
      <w:r w:rsidRPr="003C7CB1">
        <w:rPr>
          <w:rFonts w:ascii="Calibri" w:eastAsia="Calibri" w:hAnsi="Calibri" w:cs="Calibri"/>
          <w:b/>
          <w:sz w:val="24"/>
          <w:szCs w:val="24"/>
        </w:rPr>
        <w:t>Cmiljača</w:t>
      </w:r>
      <w:proofErr w:type="spellEnd"/>
      <w:r w:rsidRPr="003C7CB1">
        <w:rPr>
          <w:rFonts w:ascii="Calibri" w:eastAsia="Calibri" w:hAnsi="Calibri" w:cs="Calibri"/>
          <w:sz w:val="24"/>
          <w:szCs w:val="24"/>
        </w:rPr>
        <w:t xml:space="preserve">” Ski Center, activities are underway on the construction of road, electricity infrastructure, cable cars from the accompanying 3 km of ski trails, as well as the base station, which is planned to be completed in October 2022. So far, </w:t>
      </w:r>
      <w:r w:rsidRPr="003C7CB1">
        <w:rPr>
          <w:rFonts w:ascii="Calibri" w:eastAsia="Calibri" w:hAnsi="Calibri" w:cs="Calibri"/>
          <w:b/>
          <w:sz w:val="24"/>
          <w:szCs w:val="24"/>
        </w:rPr>
        <w:t>17,031,448 euros</w:t>
      </w:r>
      <w:r w:rsidRPr="003C7CB1">
        <w:rPr>
          <w:rFonts w:ascii="Calibri" w:eastAsia="Calibri" w:hAnsi="Calibri" w:cs="Calibri"/>
          <w:sz w:val="24"/>
          <w:szCs w:val="24"/>
        </w:rPr>
        <w:t xml:space="preserve"> have been invested in the implementation of this project in the total infrastructure of this ski center, of which </w:t>
      </w:r>
      <w:r w:rsidRPr="003C7CB1">
        <w:rPr>
          <w:rFonts w:ascii="Calibri" w:eastAsia="Calibri" w:hAnsi="Calibri" w:cs="Calibri"/>
          <w:b/>
          <w:sz w:val="24"/>
          <w:szCs w:val="24"/>
        </w:rPr>
        <w:t>91,784 euros</w:t>
      </w:r>
      <w:r w:rsidRPr="003C7CB1">
        <w:rPr>
          <w:rFonts w:ascii="Calibri" w:eastAsia="Calibri" w:hAnsi="Calibri" w:cs="Calibri"/>
          <w:sz w:val="24"/>
          <w:szCs w:val="24"/>
        </w:rPr>
        <w:t xml:space="preserve"> in 2021, as of September 30. </w:t>
      </w:r>
    </w:p>
    <w:p w14:paraId="5F992C00" w14:textId="77777777" w:rsidR="00861CB1" w:rsidRPr="003C7CB1" w:rsidRDefault="00861CB1" w:rsidP="00861CB1">
      <w:pPr>
        <w:spacing w:after="0" w:line="240" w:lineRule="auto"/>
        <w:jc w:val="both"/>
        <w:rPr>
          <w:rFonts w:ascii="Calibri" w:eastAsia="Calibri" w:hAnsi="Calibri" w:cs="Calibri"/>
          <w:sz w:val="24"/>
          <w:szCs w:val="24"/>
        </w:rPr>
      </w:pPr>
    </w:p>
    <w:p w14:paraId="1239EF05"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Intensive activities are underway to create infrastructural preconditions for the valorization of the </w:t>
      </w:r>
      <w:proofErr w:type="spellStart"/>
      <w:r w:rsidRPr="003C7CB1">
        <w:rPr>
          <w:rFonts w:ascii="Calibri" w:eastAsia="Calibri" w:hAnsi="Calibri" w:cs="Calibri"/>
          <w:b/>
          <w:sz w:val="24"/>
          <w:szCs w:val="24"/>
        </w:rPr>
        <w:t>Đalovića</w:t>
      </w:r>
      <w:proofErr w:type="spellEnd"/>
      <w:r w:rsidRPr="003C7CB1">
        <w:rPr>
          <w:rFonts w:ascii="Calibri" w:eastAsia="Calibri" w:hAnsi="Calibri" w:cs="Calibri"/>
          <w:b/>
          <w:sz w:val="24"/>
          <w:szCs w:val="24"/>
        </w:rPr>
        <w:t xml:space="preserve"> cave</w:t>
      </w:r>
      <w:r w:rsidRPr="003C7CB1">
        <w:rPr>
          <w:rFonts w:ascii="Calibri" w:eastAsia="Calibri" w:hAnsi="Calibri" w:cs="Calibri"/>
          <w:sz w:val="24"/>
          <w:szCs w:val="24"/>
        </w:rPr>
        <w:t xml:space="preserve">, which is located on the territory of the municipality of Bijelo Polje. So far, </w:t>
      </w:r>
      <w:r w:rsidRPr="003C7CB1">
        <w:rPr>
          <w:rFonts w:ascii="Calibri" w:eastAsia="Calibri" w:hAnsi="Calibri" w:cs="Calibri"/>
          <w:b/>
          <w:sz w:val="24"/>
          <w:szCs w:val="24"/>
        </w:rPr>
        <w:t xml:space="preserve">15,181,093 euros </w:t>
      </w:r>
      <w:r w:rsidRPr="003C7CB1">
        <w:rPr>
          <w:rFonts w:ascii="Calibri" w:eastAsia="Calibri" w:hAnsi="Calibri" w:cs="Calibri"/>
          <w:sz w:val="24"/>
          <w:szCs w:val="24"/>
        </w:rPr>
        <w:t xml:space="preserve">have been invested in the construction of infrastructure, of which </w:t>
      </w:r>
      <w:r w:rsidRPr="003C7CB1">
        <w:rPr>
          <w:rFonts w:ascii="Calibri" w:eastAsia="Calibri" w:hAnsi="Calibri" w:cs="Calibri"/>
          <w:b/>
          <w:sz w:val="24"/>
          <w:szCs w:val="24"/>
        </w:rPr>
        <w:t>3,423,305 euros</w:t>
      </w:r>
      <w:r w:rsidRPr="003C7CB1">
        <w:rPr>
          <w:rFonts w:ascii="Calibri" w:eastAsia="Calibri" w:hAnsi="Calibri" w:cs="Calibri"/>
          <w:sz w:val="24"/>
          <w:szCs w:val="24"/>
        </w:rPr>
        <w:t xml:space="preserve"> in 2021, as of September 30. Works on the construction of the cable car and gondola and road and electricity infrastructure are in progress. Also, works are underway on arranging the interior of the cave itself. Reconstruction of the local road of </w:t>
      </w:r>
      <w:proofErr w:type="spellStart"/>
      <w:r w:rsidRPr="003C7CB1">
        <w:rPr>
          <w:rFonts w:ascii="Calibri" w:eastAsia="Calibri" w:hAnsi="Calibri" w:cs="Calibri"/>
          <w:sz w:val="24"/>
          <w:szCs w:val="24"/>
        </w:rPr>
        <w:t>Gubavač</w:t>
      </w:r>
      <w:proofErr w:type="spellEnd"/>
      <w:r w:rsidRPr="003C7CB1">
        <w:rPr>
          <w:rFonts w:ascii="Calibri" w:eastAsia="Calibri" w:hAnsi="Calibri" w:cs="Calibri"/>
          <w:sz w:val="24"/>
          <w:szCs w:val="24"/>
        </w:rPr>
        <w:t xml:space="preserve"> - Bistrica in Bijelo Polje, with a bridge over the river Bistrica, construction of a visitor center and regulation of the riverbed are also contracted works whose implementation takes place within this project. </w:t>
      </w:r>
    </w:p>
    <w:p w14:paraId="53933F53" w14:textId="77777777" w:rsidR="00861CB1" w:rsidRPr="003C7CB1" w:rsidRDefault="00861CB1" w:rsidP="00861CB1">
      <w:pPr>
        <w:spacing w:after="0" w:line="240" w:lineRule="auto"/>
        <w:jc w:val="both"/>
        <w:rPr>
          <w:rFonts w:ascii="Calibri" w:eastAsia="Calibri" w:hAnsi="Calibri" w:cs="Calibri"/>
          <w:sz w:val="24"/>
          <w:szCs w:val="24"/>
        </w:rPr>
      </w:pPr>
    </w:p>
    <w:p w14:paraId="52F128F2"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In the current period, </w:t>
      </w:r>
      <w:r w:rsidRPr="003C7CB1">
        <w:rPr>
          <w:rFonts w:ascii="Calibri" w:eastAsia="Calibri" w:hAnsi="Calibri" w:cs="Calibri"/>
          <w:b/>
          <w:sz w:val="24"/>
          <w:szCs w:val="24"/>
        </w:rPr>
        <w:t>8,817,344 euros</w:t>
      </w:r>
      <w:r w:rsidRPr="003C7CB1">
        <w:rPr>
          <w:rFonts w:ascii="Calibri" w:eastAsia="Calibri" w:hAnsi="Calibri" w:cs="Calibri"/>
          <w:sz w:val="24"/>
          <w:szCs w:val="24"/>
        </w:rPr>
        <w:t xml:space="preserve"> have been invested in the infrastructural equipment of the future “</w:t>
      </w:r>
      <w:proofErr w:type="spellStart"/>
      <w:r w:rsidRPr="003C7CB1">
        <w:rPr>
          <w:rFonts w:ascii="Calibri" w:eastAsia="Calibri" w:hAnsi="Calibri" w:cs="Calibri"/>
          <w:b/>
          <w:sz w:val="24"/>
          <w:szCs w:val="24"/>
        </w:rPr>
        <w:t>Štedim</w:t>
      </w:r>
      <w:proofErr w:type="spellEnd"/>
      <w:r w:rsidRPr="003C7CB1">
        <w:rPr>
          <w:rFonts w:ascii="Calibri" w:eastAsia="Calibri" w:hAnsi="Calibri" w:cs="Calibri"/>
          <w:b/>
          <w:sz w:val="24"/>
          <w:szCs w:val="24"/>
        </w:rPr>
        <w:t xml:space="preserve"> – </w:t>
      </w:r>
      <w:proofErr w:type="spellStart"/>
      <w:r w:rsidRPr="003C7CB1">
        <w:rPr>
          <w:rFonts w:ascii="Calibri" w:eastAsia="Calibri" w:hAnsi="Calibri" w:cs="Calibri"/>
          <w:b/>
          <w:sz w:val="24"/>
          <w:szCs w:val="24"/>
        </w:rPr>
        <w:t>Hajla</w:t>
      </w:r>
      <w:proofErr w:type="spellEnd"/>
      <w:r w:rsidRPr="003C7CB1">
        <w:rPr>
          <w:rFonts w:ascii="Calibri" w:eastAsia="Calibri" w:hAnsi="Calibri" w:cs="Calibri"/>
          <w:sz w:val="24"/>
          <w:szCs w:val="24"/>
        </w:rPr>
        <w:t xml:space="preserve">” Ski Center, of which in 2021, a total of </w:t>
      </w:r>
      <w:r w:rsidRPr="003C7CB1">
        <w:rPr>
          <w:rFonts w:ascii="Calibri" w:eastAsia="Calibri" w:hAnsi="Calibri" w:cs="Calibri"/>
          <w:b/>
          <w:sz w:val="24"/>
          <w:szCs w:val="24"/>
        </w:rPr>
        <w:t>30,548,856 euros</w:t>
      </w:r>
      <w:r w:rsidRPr="003C7CB1">
        <w:rPr>
          <w:rFonts w:ascii="Calibri" w:eastAsia="Calibri" w:hAnsi="Calibri" w:cs="Calibri"/>
          <w:sz w:val="24"/>
          <w:szCs w:val="24"/>
        </w:rPr>
        <w:t xml:space="preserve"> as of September. In this ski center, works are underway on the implementation of projects for the construction of a ski lift with accompanying ski slopes, a base station facility, as well as works on road infrastructure.  </w:t>
      </w:r>
    </w:p>
    <w:p w14:paraId="08BCA4EF" w14:textId="77777777" w:rsidR="00861CB1" w:rsidRPr="003C7CB1" w:rsidRDefault="00861CB1" w:rsidP="00861CB1">
      <w:pPr>
        <w:spacing w:after="0" w:line="240" w:lineRule="auto"/>
        <w:jc w:val="both"/>
        <w:rPr>
          <w:rFonts w:ascii="Calibri" w:eastAsia="Calibri" w:hAnsi="Calibri" w:cs="Calibri"/>
          <w:sz w:val="24"/>
          <w:szCs w:val="24"/>
        </w:rPr>
      </w:pPr>
    </w:p>
    <w:p w14:paraId="48101035"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bCs/>
          <w:sz w:val="24"/>
          <w:szCs w:val="24"/>
        </w:rPr>
        <w:t xml:space="preserve">The special purpose spatial plan for the </w:t>
      </w:r>
      <w:proofErr w:type="spellStart"/>
      <w:r w:rsidRPr="003C7CB1">
        <w:rPr>
          <w:rFonts w:ascii="Calibri" w:eastAsia="Calibri" w:hAnsi="Calibri" w:cs="Calibri"/>
          <w:bCs/>
          <w:sz w:val="24"/>
          <w:szCs w:val="24"/>
        </w:rPr>
        <w:t>Durmitor</w:t>
      </w:r>
      <w:proofErr w:type="spellEnd"/>
      <w:r w:rsidRPr="003C7CB1">
        <w:rPr>
          <w:rFonts w:ascii="Calibri" w:eastAsia="Calibri" w:hAnsi="Calibri" w:cs="Calibri"/>
          <w:bCs/>
          <w:sz w:val="24"/>
          <w:szCs w:val="24"/>
        </w:rPr>
        <w:t xml:space="preserve"> area was adopted in 2016, which was the basis for initiating the planned activities on the </w:t>
      </w:r>
      <w:proofErr w:type="spellStart"/>
      <w:r w:rsidRPr="003C7CB1">
        <w:rPr>
          <w:rFonts w:ascii="Calibri" w:eastAsia="Calibri" w:hAnsi="Calibri" w:cs="Calibri"/>
          <w:b/>
          <w:bCs/>
          <w:sz w:val="24"/>
          <w:szCs w:val="24"/>
        </w:rPr>
        <w:t>Savin</w:t>
      </w:r>
      <w:proofErr w:type="spellEnd"/>
      <w:r w:rsidRPr="003C7CB1">
        <w:rPr>
          <w:rFonts w:ascii="Calibri" w:eastAsia="Calibri" w:hAnsi="Calibri" w:cs="Calibri"/>
          <w:b/>
          <w:bCs/>
          <w:sz w:val="24"/>
          <w:szCs w:val="24"/>
        </w:rPr>
        <w:t xml:space="preserve"> Kuk</w:t>
      </w:r>
      <w:r w:rsidRPr="003C7CB1">
        <w:rPr>
          <w:rFonts w:ascii="Calibri" w:eastAsia="Calibri" w:hAnsi="Calibri" w:cs="Calibri"/>
          <w:bCs/>
          <w:sz w:val="24"/>
          <w:szCs w:val="24"/>
        </w:rPr>
        <w:t xml:space="preserve"> project. So far, </w:t>
      </w:r>
      <w:r w:rsidRPr="003C7CB1">
        <w:rPr>
          <w:rFonts w:ascii="Calibri" w:eastAsia="Calibri" w:hAnsi="Calibri" w:cs="Calibri"/>
          <w:b/>
          <w:bCs/>
          <w:sz w:val="24"/>
          <w:szCs w:val="24"/>
        </w:rPr>
        <w:t>9,815,015 euros</w:t>
      </w:r>
      <w:r w:rsidRPr="003C7CB1">
        <w:rPr>
          <w:rFonts w:ascii="Calibri" w:eastAsia="Calibri" w:hAnsi="Calibri" w:cs="Calibri"/>
          <w:bCs/>
          <w:sz w:val="24"/>
          <w:szCs w:val="24"/>
        </w:rPr>
        <w:t xml:space="preserve"> have been invested in the infrastructure of this project through the Capital Budget (a large part of this amount refers to the purchase of a cable car that is not installed on Sava Kuk, but was repurposed to </w:t>
      </w:r>
      <w:proofErr w:type="spellStart"/>
      <w:r w:rsidRPr="003C7CB1">
        <w:rPr>
          <w:rFonts w:ascii="Calibri" w:eastAsia="Calibri" w:hAnsi="Calibri" w:cs="Calibri"/>
          <w:bCs/>
          <w:sz w:val="24"/>
          <w:szCs w:val="24"/>
        </w:rPr>
        <w:t>Bjelasica</w:t>
      </w:r>
      <w:proofErr w:type="spellEnd"/>
      <w:r w:rsidRPr="003C7CB1">
        <w:rPr>
          <w:rFonts w:ascii="Calibri" w:eastAsia="Calibri" w:hAnsi="Calibri" w:cs="Calibri"/>
          <w:bCs/>
          <w:sz w:val="24"/>
          <w:szCs w:val="24"/>
        </w:rPr>
        <w:t xml:space="preserve"> by the Government Decision), of which in September 2021, a total of </w:t>
      </w:r>
      <w:r w:rsidRPr="003C7CB1">
        <w:rPr>
          <w:rFonts w:ascii="Calibri" w:eastAsia="Calibri" w:hAnsi="Calibri" w:cs="Calibri"/>
          <w:b/>
          <w:bCs/>
          <w:sz w:val="24"/>
          <w:szCs w:val="24"/>
        </w:rPr>
        <w:t>111,137.00 euros</w:t>
      </w:r>
      <w:r w:rsidRPr="003C7CB1">
        <w:rPr>
          <w:rFonts w:ascii="Calibri" w:eastAsia="Calibri" w:hAnsi="Calibri" w:cs="Calibri"/>
          <w:sz w:val="24"/>
          <w:szCs w:val="24"/>
        </w:rPr>
        <w:t xml:space="preserve">. All further activities related to the contracts carried out by Public Works Administrations for ski infrastructure construction projects at the </w:t>
      </w:r>
      <w:proofErr w:type="spellStart"/>
      <w:r w:rsidRPr="003C7CB1">
        <w:rPr>
          <w:rFonts w:ascii="Calibri" w:eastAsia="Calibri" w:hAnsi="Calibri" w:cs="Calibri"/>
          <w:sz w:val="24"/>
          <w:szCs w:val="24"/>
        </w:rPr>
        <w:t>Savin</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kuk</w:t>
      </w:r>
      <w:proofErr w:type="spellEnd"/>
      <w:r w:rsidRPr="003C7CB1">
        <w:rPr>
          <w:rFonts w:ascii="Calibri" w:eastAsia="Calibri" w:hAnsi="Calibri" w:cs="Calibri"/>
          <w:sz w:val="24"/>
          <w:szCs w:val="24"/>
        </w:rPr>
        <w:t xml:space="preserve"> ski resort in </w:t>
      </w:r>
      <w:proofErr w:type="spellStart"/>
      <w:r w:rsidRPr="003C7CB1">
        <w:rPr>
          <w:rFonts w:ascii="Calibri" w:eastAsia="Calibri" w:hAnsi="Calibri" w:cs="Calibri"/>
          <w:sz w:val="24"/>
          <w:szCs w:val="24"/>
        </w:rPr>
        <w:t>Žabljak</w:t>
      </w:r>
      <w:proofErr w:type="spellEnd"/>
      <w:r w:rsidRPr="003C7CB1">
        <w:rPr>
          <w:rFonts w:ascii="Calibri" w:eastAsia="Calibri" w:hAnsi="Calibri" w:cs="Calibri"/>
          <w:sz w:val="24"/>
          <w:szCs w:val="24"/>
        </w:rPr>
        <w:t xml:space="preserve"> have been temporarily suspended, in </w:t>
      </w:r>
      <w:r w:rsidRPr="003C7CB1">
        <w:rPr>
          <w:rFonts w:ascii="Calibri" w:eastAsia="Calibri" w:hAnsi="Calibri" w:cs="Calibri"/>
          <w:sz w:val="24"/>
          <w:szCs w:val="24"/>
        </w:rPr>
        <w:lastRenderedPageBreak/>
        <w:t xml:space="preserve">accordance with UNESCO guidelines. In order to continue investment activities and improve the offer at the </w:t>
      </w:r>
      <w:proofErr w:type="spellStart"/>
      <w:r w:rsidRPr="003C7CB1">
        <w:rPr>
          <w:rFonts w:ascii="Calibri" w:eastAsia="Calibri" w:hAnsi="Calibri" w:cs="Calibri"/>
          <w:sz w:val="24"/>
          <w:szCs w:val="24"/>
        </w:rPr>
        <w:t>Savin</w:t>
      </w:r>
      <w:proofErr w:type="spellEnd"/>
      <w:r w:rsidRPr="003C7CB1">
        <w:rPr>
          <w:rFonts w:ascii="Calibri" w:eastAsia="Calibri" w:hAnsi="Calibri" w:cs="Calibri"/>
          <w:sz w:val="24"/>
          <w:szCs w:val="24"/>
        </w:rPr>
        <w:t xml:space="preserve"> Kuk ski resort, a Program Task was drafted to prepare a </w:t>
      </w:r>
      <w:r w:rsidRPr="003C7CB1">
        <w:rPr>
          <w:rFonts w:ascii="Calibri" w:eastAsia="Calibri" w:hAnsi="Calibri" w:cs="Calibri"/>
          <w:b/>
          <w:sz w:val="24"/>
          <w:szCs w:val="24"/>
        </w:rPr>
        <w:t xml:space="preserve">Feasibility Study for the reconstruction of the old or construction of a new cable car with the existing cable car route on the </w:t>
      </w:r>
      <w:proofErr w:type="spellStart"/>
      <w:r w:rsidRPr="003C7CB1">
        <w:rPr>
          <w:rFonts w:ascii="Calibri" w:eastAsia="Calibri" w:hAnsi="Calibri" w:cs="Calibri"/>
          <w:b/>
          <w:sz w:val="24"/>
          <w:szCs w:val="24"/>
        </w:rPr>
        <w:t>Savin</w:t>
      </w:r>
      <w:proofErr w:type="spellEnd"/>
      <w:r w:rsidRPr="003C7CB1">
        <w:rPr>
          <w:rFonts w:ascii="Calibri" w:eastAsia="Calibri" w:hAnsi="Calibri" w:cs="Calibri"/>
          <w:b/>
          <w:sz w:val="24"/>
          <w:szCs w:val="24"/>
        </w:rPr>
        <w:t xml:space="preserve"> Kuk cable car, </w:t>
      </w:r>
      <w:proofErr w:type="spellStart"/>
      <w:r w:rsidRPr="003C7CB1">
        <w:rPr>
          <w:rFonts w:ascii="Calibri" w:eastAsia="Calibri" w:hAnsi="Calibri" w:cs="Calibri"/>
          <w:b/>
          <w:sz w:val="24"/>
          <w:szCs w:val="24"/>
        </w:rPr>
        <w:t>Žabljak</w:t>
      </w:r>
      <w:proofErr w:type="spellEnd"/>
      <w:r w:rsidRPr="003C7CB1">
        <w:rPr>
          <w:rFonts w:ascii="Calibri" w:eastAsia="Calibri" w:hAnsi="Calibri" w:cs="Calibri"/>
          <w:sz w:val="24"/>
          <w:szCs w:val="24"/>
        </w:rPr>
        <w:t xml:space="preserve">, and in December a new tender was announced for the preparation of a Feasibility Study for the reconstruction of the old or construction of a new cable car with the existing cable car route on </w:t>
      </w:r>
      <w:proofErr w:type="spellStart"/>
      <w:r w:rsidRPr="003C7CB1">
        <w:rPr>
          <w:rFonts w:ascii="Calibri" w:eastAsia="Calibri" w:hAnsi="Calibri" w:cs="Calibri"/>
          <w:sz w:val="24"/>
          <w:szCs w:val="24"/>
        </w:rPr>
        <w:t>Savin</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kuk</w:t>
      </w:r>
      <w:proofErr w:type="spellEnd"/>
      <w:r w:rsidRPr="003C7CB1">
        <w:rPr>
          <w:rFonts w:ascii="Calibri" w:eastAsia="Calibri" w:hAnsi="Calibri" w:cs="Calibri"/>
          <w:sz w:val="24"/>
          <w:szCs w:val="24"/>
        </w:rPr>
        <w:t xml:space="preserve">, </w:t>
      </w:r>
      <w:proofErr w:type="spellStart"/>
      <w:r w:rsidRPr="003C7CB1">
        <w:rPr>
          <w:rFonts w:ascii="Calibri" w:eastAsia="Calibri" w:hAnsi="Calibri" w:cs="Calibri"/>
          <w:sz w:val="24"/>
          <w:szCs w:val="24"/>
        </w:rPr>
        <w:t>Žabljak</w:t>
      </w:r>
      <w:proofErr w:type="spellEnd"/>
      <w:r w:rsidRPr="003C7CB1">
        <w:rPr>
          <w:rFonts w:ascii="Calibri" w:eastAsia="Calibri" w:hAnsi="Calibri" w:cs="Calibri"/>
          <w:sz w:val="24"/>
          <w:szCs w:val="24"/>
        </w:rPr>
        <w:t xml:space="preserve">, conducted by the Ministry of Economic Development. </w:t>
      </w:r>
    </w:p>
    <w:p w14:paraId="2B4AA19D" w14:textId="77777777" w:rsidR="00861CB1" w:rsidRPr="003C7CB1" w:rsidRDefault="00861CB1" w:rsidP="00861CB1">
      <w:pPr>
        <w:spacing w:after="0" w:line="240" w:lineRule="auto"/>
        <w:jc w:val="both"/>
        <w:rPr>
          <w:rFonts w:ascii="Calibri" w:eastAsia="Calibri" w:hAnsi="Calibri" w:cs="Calibri"/>
          <w:sz w:val="24"/>
          <w:szCs w:val="24"/>
        </w:rPr>
      </w:pPr>
    </w:p>
    <w:p w14:paraId="6926CE23" w14:textId="77777777" w:rsidR="00861CB1" w:rsidRPr="003C7CB1" w:rsidRDefault="00861CB1" w:rsidP="00861CB1">
      <w:pPr>
        <w:spacing w:after="0" w:line="240" w:lineRule="auto"/>
        <w:jc w:val="both"/>
        <w:rPr>
          <w:rFonts w:ascii="Calibri" w:eastAsia="Calibri" w:hAnsi="Calibri" w:cs="Calibri"/>
          <w:sz w:val="24"/>
          <w:szCs w:val="24"/>
        </w:rPr>
      </w:pPr>
      <w:r w:rsidRPr="003C7CB1">
        <w:rPr>
          <w:rFonts w:ascii="Calibri" w:eastAsia="Calibri" w:hAnsi="Calibri" w:cs="Calibri"/>
          <w:sz w:val="24"/>
          <w:szCs w:val="24"/>
        </w:rPr>
        <w:t xml:space="preserve">The competent Ministry of Culture and the UNESCO Office, as an organizational unit of the Ministry, will be involved in the challenges related to the protection of UNESCO sites in Montenegro during investment activities. </w:t>
      </w:r>
    </w:p>
    <w:p w14:paraId="10BF0735" w14:textId="77777777" w:rsidR="00861CB1" w:rsidRPr="003C7CB1" w:rsidRDefault="00861CB1" w:rsidP="00861CB1">
      <w:pPr>
        <w:spacing w:after="0" w:line="240" w:lineRule="auto"/>
        <w:jc w:val="both"/>
        <w:rPr>
          <w:rFonts w:ascii="Calibri" w:eastAsia="Calibri" w:hAnsi="Calibri" w:cs="Calibri"/>
          <w:sz w:val="24"/>
          <w:szCs w:val="24"/>
        </w:rPr>
      </w:pPr>
    </w:p>
    <w:p w14:paraId="0B8444B7" w14:textId="77777777" w:rsidR="00861CB1" w:rsidRPr="003C7CB1" w:rsidRDefault="00861CB1" w:rsidP="00861CB1">
      <w:pPr>
        <w:numPr>
          <w:ilvl w:val="0"/>
          <w:numId w:val="59"/>
        </w:numPr>
        <w:spacing w:line="240" w:lineRule="auto"/>
        <w:contextualSpacing/>
        <w:jc w:val="both"/>
        <w:rPr>
          <w:rFonts w:ascii="Calibri" w:eastAsia="Calibri" w:hAnsi="Calibri" w:cs="Calibri"/>
          <w:color w:val="000000"/>
          <w:sz w:val="24"/>
          <w:szCs w:val="24"/>
        </w:rPr>
      </w:pPr>
      <w:r w:rsidRPr="003C7CB1">
        <w:rPr>
          <w:rFonts w:ascii="Calibri" w:eastAsia="Calibri" w:hAnsi="Calibri" w:cs="Calibri"/>
          <w:b/>
          <w:color w:val="000000"/>
          <w:sz w:val="24"/>
          <w:szCs w:val="24"/>
        </w:rPr>
        <w:t>Investments that are</w:t>
      </w:r>
      <w:r w:rsidRPr="003C7CB1">
        <w:rPr>
          <w:rFonts w:ascii="Calibri" w:eastAsia="Calibri" w:hAnsi="Calibri" w:cs="Calibri"/>
          <w:color w:val="000000"/>
          <w:sz w:val="24"/>
          <w:szCs w:val="24"/>
        </w:rPr>
        <w:t xml:space="preserve"> </w:t>
      </w:r>
      <w:r w:rsidRPr="003C7CB1">
        <w:rPr>
          <w:rFonts w:ascii="Calibri" w:eastAsia="Calibri" w:hAnsi="Calibri" w:cs="Calibri"/>
          <w:b/>
          <w:color w:val="000000"/>
          <w:sz w:val="24"/>
          <w:szCs w:val="24"/>
        </w:rPr>
        <w:t xml:space="preserve">not implemented </w:t>
      </w:r>
    </w:p>
    <w:p w14:paraId="6C4CC664" w14:textId="77777777" w:rsidR="00861CB1" w:rsidRPr="003C7CB1" w:rsidRDefault="00861CB1" w:rsidP="00861CB1">
      <w:pPr>
        <w:spacing w:line="240" w:lineRule="auto"/>
        <w:jc w:val="both"/>
        <w:rPr>
          <w:rFonts w:ascii="Calibri" w:eastAsia="Calibri" w:hAnsi="Calibri" w:cs="Calibri"/>
          <w:b/>
          <w:color w:val="000000"/>
          <w:sz w:val="24"/>
          <w:szCs w:val="24"/>
        </w:rPr>
      </w:pPr>
      <w:r w:rsidRPr="003C7CB1">
        <w:rPr>
          <w:rFonts w:ascii="Calibri" w:eastAsia="Calibri" w:hAnsi="Calibri" w:cs="Calibri"/>
          <w:color w:val="000000"/>
          <w:sz w:val="24"/>
          <w:szCs w:val="24"/>
        </w:rPr>
        <w:t xml:space="preserve">In addition to the successful conduct of investment activities, in general, a number of privatizations have not been completed in accordance with contractual obligations, specifically: </w:t>
      </w:r>
    </w:p>
    <w:p w14:paraId="5863E715"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“Cristal </w:t>
      </w:r>
      <w:proofErr w:type="spellStart"/>
      <w:r w:rsidRPr="003C7CB1">
        <w:rPr>
          <w:rFonts w:ascii="Calibri" w:eastAsia="Times New Roman" w:hAnsi="Calibri" w:cs="Calibri"/>
          <w:color w:val="000000"/>
          <w:sz w:val="24"/>
          <w:szCs w:val="24"/>
        </w:rPr>
        <w:t>Rivijera</w:t>
      </w:r>
      <w:proofErr w:type="spellEnd"/>
      <w:r w:rsidRPr="003C7CB1">
        <w:rPr>
          <w:rFonts w:ascii="Calibri" w:eastAsia="Times New Roman" w:hAnsi="Calibri" w:cs="Calibri"/>
          <w:color w:val="000000"/>
          <w:sz w:val="24"/>
          <w:szCs w:val="24"/>
        </w:rPr>
        <w:t xml:space="preserve">” Hotel, </w:t>
      </w:r>
      <w:proofErr w:type="spellStart"/>
      <w:r w:rsidRPr="003C7CB1">
        <w:rPr>
          <w:rFonts w:ascii="Calibri" w:eastAsia="Times New Roman" w:hAnsi="Calibri" w:cs="Calibri"/>
          <w:color w:val="000000"/>
          <w:sz w:val="24"/>
          <w:szCs w:val="24"/>
        </w:rPr>
        <w:t>Petrovac</w:t>
      </w:r>
      <w:proofErr w:type="spellEnd"/>
      <w:r w:rsidRPr="003C7CB1">
        <w:rPr>
          <w:rFonts w:ascii="Calibri" w:eastAsia="Times New Roman" w:hAnsi="Calibri" w:cs="Calibri"/>
          <w:color w:val="000000"/>
          <w:sz w:val="24"/>
          <w:szCs w:val="24"/>
        </w:rPr>
        <w:t xml:space="preserve"> </w:t>
      </w:r>
    </w:p>
    <w:p w14:paraId="0BA4FB1B"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“As </w:t>
      </w:r>
      <w:proofErr w:type="spellStart"/>
      <w:r w:rsidRPr="003C7CB1">
        <w:rPr>
          <w:rFonts w:ascii="Calibri" w:eastAsia="Times New Roman" w:hAnsi="Calibri" w:cs="Calibri"/>
          <w:color w:val="000000"/>
          <w:sz w:val="24"/>
          <w:szCs w:val="24"/>
        </w:rPr>
        <w:t>Perazića</w:t>
      </w:r>
      <w:proofErr w:type="spellEnd"/>
      <w:r w:rsidRPr="003C7CB1">
        <w:rPr>
          <w:rFonts w:ascii="Calibri" w:eastAsia="Times New Roman" w:hAnsi="Calibri" w:cs="Calibri"/>
          <w:color w:val="000000"/>
          <w:sz w:val="24"/>
          <w:szCs w:val="24"/>
        </w:rPr>
        <w:t xml:space="preserve"> Do” Hotel </w:t>
      </w:r>
    </w:p>
    <w:p w14:paraId="5341F28E"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w:t>
      </w:r>
      <w:proofErr w:type="spellStart"/>
      <w:r w:rsidRPr="003C7CB1">
        <w:rPr>
          <w:rFonts w:ascii="Calibri" w:eastAsia="Times New Roman" w:hAnsi="Calibri" w:cs="Calibri"/>
          <w:color w:val="000000"/>
          <w:sz w:val="24"/>
          <w:szCs w:val="24"/>
        </w:rPr>
        <w:t>Galeb</w:t>
      </w:r>
      <w:proofErr w:type="spellEnd"/>
      <w:r w:rsidRPr="003C7CB1">
        <w:rPr>
          <w:rFonts w:ascii="Calibri" w:eastAsia="Times New Roman" w:hAnsi="Calibri" w:cs="Calibri"/>
          <w:color w:val="000000"/>
          <w:sz w:val="24"/>
          <w:szCs w:val="24"/>
        </w:rPr>
        <w:t xml:space="preserve">” Hotel, Ulcinj </w:t>
      </w:r>
    </w:p>
    <w:p w14:paraId="240310D2"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 xml:space="preserve">Purchase and sale agreement of the “Grand Lido” Hotel and “Lido” Apartments, Ulcinj </w:t>
      </w:r>
    </w:p>
    <w:p w14:paraId="24A91CF6"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Location of the former “</w:t>
      </w:r>
      <w:proofErr w:type="spellStart"/>
      <w:r w:rsidRPr="003C7CB1">
        <w:rPr>
          <w:rFonts w:ascii="Calibri" w:eastAsia="Times New Roman" w:hAnsi="Calibri" w:cs="Calibri"/>
          <w:color w:val="000000"/>
          <w:sz w:val="24"/>
          <w:szCs w:val="24"/>
        </w:rPr>
        <w:t>Jadran</w:t>
      </w:r>
      <w:proofErr w:type="spellEnd"/>
      <w:r w:rsidRPr="003C7CB1">
        <w:rPr>
          <w:rFonts w:ascii="Calibri" w:eastAsia="Times New Roman" w:hAnsi="Calibri" w:cs="Calibri"/>
          <w:color w:val="000000"/>
          <w:sz w:val="24"/>
          <w:szCs w:val="24"/>
        </w:rPr>
        <w:t xml:space="preserve">” Hotel in Ulcinj </w:t>
      </w:r>
    </w:p>
    <w:p w14:paraId="06C8C696"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Sale contract of 59,4516 % of the share capital of the HTP “</w:t>
      </w:r>
      <w:proofErr w:type="spellStart"/>
      <w:r w:rsidRPr="003C7CB1">
        <w:rPr>
          <w:rFonts w:ascii="Calibri" w:eastAsia="Times New Roman" w:hAnsi="Calibri" w:cs="Calibri"/>
          <w:color w:val="000000"/>
          <w:sz w:val="24"/>
          <w:szCs w:val="24"/>
        </w:rPr>
        <w:t>Boka</w:t>
      </w:r>
      <w:proofErr w:type="spellEnd"/>
      <w:r w:rsidRPr="003C7CB1">
        <w:rPr>
          <w:rFonts w:ascii="Calibri" w:eastAsia="Times New Roman" w:hAnsi="Calibri" w:cs="Calibri"/>
          <w:color w:val="000000"/>
          <w:sz w:val="24"/>
          <w:szCs w:val="24"/>
        </w:rPr>
        <w:t>” JSC company, Herceg Novi – “</w:t>
      </w:r>
      <w:proofErr w:type="spellStart"/>
      <w:r w:rsidRPr="003C7CB1">
        <w:rPr>
          <w:rFonts w:ascii="Calibri" w:eastAsia="Times New Roman" w:hAnsi="Calibri" w:cs="Calibri"/>
          <w:color w:val="000000"/>
          <w:sz w:val="24"/>
          <w:szCs w:val="24"/>
        </w:rPr>
        <w:t>Vektra</w:t>
      </w:r>
      <w:proofErr w:type="spellEnd"/>
      <w:r w:rsidRPr="003C7CB1">
        <w:rPr>
          <w:rFonts w:ascii="Calibri" w:eastAsia="Times New Roman" w:hAnsi="Calibri" w:cs="Calibri"/>
          <w:color w:val="000000"/>
          <w:sz w:val="24"/>
          <w:szCs w:val="24"/>
        </w:rPr>
        <w:t xml:space="preserve"> Montenegro” Ltd, Podgorica </w:t>
      </w:r>
    </w:p>
    <w:p w14:paraId="5F772B54" w14:textId="305CE883"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w:t>
      </w:r>
      <w:proofErr w:type="spellStart"/>
      <w:r w:rsidR="00AE5C5F" w:rsidRPr="003C7CB1">
        <w:rPr>
          <w:rFonts w:ascii="Calibri" w:eastAsia="Times New Roman" w:hAnsi="Calibri" w:cs="Calibri"/>
          <w:color w:val="000000"/>
          <w:sz w:val="24"/>
          <w:szCs w:val="24"/>
        </w:rPr>
        <w:t>Jezera</w:t>
      </w:r>
      <w:proofErr w:type="spellEnd"/>
      <w:r w:rsidR="00AE5C5F" w:rsidRPr="003C7CB1">
        <w:rPr>
          <w:rFonts w:ascii="Calibri" w:eastAsia="Times New Roman" w:hAnsi="Calibri" w:cs="Calibri"/>
          <w:color w:val="000000"/>
          <w:sz w:val="24"/>
          <w:szCs w:val="24"/>
        </w:rPr>
        <w:t>” Hotel</w:t>
      </w:r>
      <w:r w:rsidRPr="003C7CB1">
        <w:rPr>
          <w:rFonts w:ascii="Calibri" w:eastAsia="Times New Roman" w:hAnsi="Calibri" w:cs="Calibri"/>
          <w:color w:val="000000"/>
          <w:sz w:val="24"/>
          <w:szCs w:val="24"/>
        </w:rPr>
        <w:t xml:space="preserve">, </w:t>
      </w:r>
      <w:proofErr w:type="spellStart"/>
      <w:r w:rsidRPr="003C7CB1">
        <w:rPr>
          <w:rFonts w:ascii="Calibri" w:eastAsia="Times New Roman" w:hAnsi="Calibri" w:cs="Calibri"/>
          <w:color w:val="000000"/>
          <w:sz w:val="24"/>
          <w:szCs w:val="24"/>
        </w:rPr>
        <w:t>Žabljak</w:t>
      </w:r>
      <w:proofErr w:type="spellEnd"/>
      <w:r w:rsidRPr="003C7CB1">
        <w:rPr>
          <w:rFonts w:ascii="Calibri" w:eastAsia="Times New Roman" w:hAnsi="Calibri" w:cs="Calibri"/>
          <w:color w:val="000000"/>
          <w:sz w:val="24"/>
          <w:szCs w:val="24"/>
        </w:rPr>
        <w:t xml:space="preserve"> </w:t>
      </w:r>
    </w:p>
    <w:p w14:paraId="79C61040" w14:textId="77777777" w:rsidR="00861CB1" w:rsidRPr="003C7CB1" w:rsidRDefault="00861CB1" w:rsidP="00861CB1">
      <w:pPr>
        <w:numPr>
          <w:ilvl w:val="0"/>
          <w:numId w:val="61"/>
        </w:numPr>
        <w:spacing w:after="0" w:line="240" w:lineRule="auto"/>
        <w:jc w:val="both"/>
        <w:rPr>
          <w:rFonts w:ascii="Calibri" w:eastAsia="Times New Roman" w:hAnsi="Calibri" w:cs="Calibri"/>
          <w:color w:val="000000"/>
          <w:sz w:val="24"/>
          <w:szCs w:val="24"/>
        </w:rPr>
      </w:pPr>
      <w:r w:rsidRPr="003C7CB1">
        <w:rPr>
          <w:rFonts w:ascii="Calibri" w:eastAsia="Times New Roman" w:hAnsi="Calibri" w:cs="Calibri"/>
          <w:color w:val="000000"/>
          <w:sz w:val="24"/>
          <w:szCs w:val="24"/>
        </w:rPr>
        <w:t>“</w:t>
      </w:r>
      <w:proofErr w:type="spellStart"/>
      <w:r w:rsidRPr="003C7CB1">
        <w:rPr>
          <w:rFonts w:ascii="Calibri" w:eastAsia="Times New Roman" w:hAnsi="Calibri" w:cs="Calibri"/>
          <w:color w:val="000000"/>
          <w:sz w:val="24"/>
          <w:szCs w:val="24"/>
        </w:rPr>
        <w:t>Planinka</w:t>
      </w:r>
      <w:proofErr w:type="spellEnd"/>
      <w:r w:rsidRPr="003C7CB1">
        <w:rPr>
          <w:rFonts w:ascii="Calibri" w:eastAsia="Times New Roman" w:hAnsi="Calibri" w:cs="Calibri"/>
          <w:color w:val="000000"/>
          <w:sz w:val="24"/>
          <w:szCs w:val="24"/>
        </w:rPr>
        <w:t xml:space="preserve">” Hotel, </w:t>
      </w:r>
      <w:proofErr w:type="spellStart"/>
      <w:r w:rsidRPr="003C7CB1">
        <w:rPr>
          <w:rFonts w:ascii="Calibri" w:eastAsia="Times New Roman" w:hAnsi="Calibri" w:cs="Calibri"/>
          <w:color w:val="000000"/>
          <w:sz w:val="24"/>
          <w:szCs w:val="24"/>
        </w:rPr>
        <w:t>Žabljak</w:t>
      </w:r>
      <w:proofErr w:type="spellEnd"/>
      <w:r w:rsidRPr="003C7CB1">
        <w:rPr>
          <w:rFonts w:ascii="Calibri" w:eastAsia="Times New Roman" w:hAnsi="Calibri" w:cs="Calibri"/>
          <w:color w:val="000000"/>
          <w:sz w:val="24"/>
          <w:szCs w:val="24"/>
        </w:rPr>
        <w:t xml:space="preserve"> </w:t>
      </w:r>
    </w:p>
    <w:p w14:paraId="3E6A662E" w14:textId="77777777" w:rsidR="00861CB1" w:rsidRPr="003C7CB1" w:rsidRDefault="00861CB1" w:rsidP="00861CB1">
      <w:pPr>
        <w:spacing w:line="240" w:lineRule="auto"/>
        <w:jc w:val="both"/>
        <w:rPr>
          <w:rFonts w:ascii="Calibri" w:eastAsia="Calibri" w:hAnsi="Calibri" w:cs="Calibri"/>
          <w:color w:val="000000"/>
          <w:sz w:val="24"/>
          <w:szCs w:val="24"/>
        </w:rPr>
      </w:pPr>
    </w:p>
    <w:p w14:paraId="739FB8D8" w14:textId="1D33A096" w:rsidR="00AE0535" w:rsidRPr="0050222F" w:rsidRDefault="00861CB1" w:rsidP="00AE0535">
      <w:pPr>
        <w:spacing w:line="240" w:lineRule="auto"/>
        <w:jc w:val="both"/>
        <w:rPr>
          <w:rFonts w:ascii="Calibri" w:eastAsia="Calibri" w:hAnsi="Calibri" w:cs="Calibri"/>
          <w:color w:val="000000"/>
          <w:sz w:val="24"/>
          <w:szCs w:val="24"/>
        </w:rPr>
      </w:pPr>
      <w:r w:rsidRPr="003C7CB1">
        <w:rPr>
          <w:rFonts w:ascii="Calibri" w:eastAsia="Calibri" w:hAnsi="Calibri" w:cs="Calibri"/>
          <w:color w:val="000000"/>
          <w:sz w:val="24"/>
          <w:szCs w:val="24"/>
        </w:rPr>
        <w:t xml:space="preserve">However, it is necessary to further carry out activities on the valorization of the localities in question and resolving their status through legal proceedings. They represent a significant potential that through adequate investment activities would become recognizable tourist complexes that would be the drivers of high quality tourism development, which would provide many benefits for the municipalities in which they are located, and for the overall tourism industry.  </w:t>
      </w:r>
    </w:p>
    <w:p w14:paraId="51832C1B" w14:textId="77777777" w:rsidR="00AE0535" w:rsidRPr="003C7CB1" w:rsidRDefault="00AE0535" w:rsidP="00AE0535">
      <w:pPr>
        <w:spacing w:after="0" w:line="240" w:lineRule="auto"/>
        <w:jc w:val="both"/>
        <w:rPr>
          <w:rFonts w:ascii="Cambria" w:hAnsi="Cambria" w:cs="Arial"/>
          <w:sz w:val="24"/>
          <w:szCs w:val="24"/>
        </w:rPr>
      </w:pPr>
    </w:p>
    <w:p w14:paraId="09B767D1" w14:textId="77777777" w:rsidR="00396C69" w:rsidRPr="003C7CB1" w:rsidRDefault="00396C69" w:rsidP="001B495E">
      <w:pPr>
        <w:spacing w:after="120"/>
        <w:jc w:val="both"/>
        <w:rPr>
          <w:rFonts w:eastAsia="Times New Roman" w:cstheme="minorHAnsi"/>
          <w:sz w:val="24"/>
          <w:szCs w:val="24"/>
          <w:lang w:eastAsia="de-DE"/>
        </w:rPr>
      </w:pPr>
    </w:p>
    <w:sectPr w:rsidR="00396C69" w:rsidRPr="003C7CB1" w:rsidSect="000A480B">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AC338" w14:textId="77777777" w:rsidR="00D25DD0" w:rsidRDefault="00D25DD0" w:rsidP="00033247">
      <w:pPr>
        <w:spacing w:after="0" w:line="240" w:lineRule="auto"/>
      </w:pPr>
      <w:r>
        <w:separator/>
      </w:r>
    </w:p>
  </w:endnote>
  <w:endnote w:type="continuationSeparator" w:id="0">
    <w:p w14:paraId="462682EB" w14:textId="77777777" w:rsidR="00D25DD0" w:rsidRDefault="00D25DD0" w:rsidP="00033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096456"/>
      <w:docPartObj>
        <w:docPartGallery w:val="Page Numbers (Bottom of Page)"/>
        <w:docPartUnique/>
      </w:docPartObj>
    </w:sdtPr>
    <w:sdtEndPr>
      <w:rPr>
        <w:noProof/>
      </w:rPr>
    </w:sdtEndPr>
    <w:sdtContent>
      <w:p w14:paraId="2ED71288" w14:textId="7DA7A8D8" w:rsidR="00193646" w:rsidRDefault="00193646" w:rsidP="000A480B">
        <w:pPr>
          <w:pStyle w:val="Footer"/>
          <w:jc w:val="center"/>
        </w:pPr>
        <w:r>
          <w:fldChar w:fldCharType="begin"/>
        </w:r>
        <w:r>
          <w:instrText xml:space="preserve"> PAGE   \* MERGEFORMAT </w:instrText>
        </w:r>
        <w:r>
          <w:fldChar w:fldCharType="separate"/>
        </w:r>
        <w:r>
          <w:rPr>
            <w:noProof/>
          </w:rPr>
          <w:t>73</w:t>
        </w:r>
        <w:r>
          <w:rPr>
            <w:noProof/>
          </w:rPr>
          <w:fldChar w:fldCharType="end"/>
        </w:r>
      </w:p>
    </w:sdtContent>
  </w:sdt>
  <w:p w14:paraId="0BEEAA46" w14:textId="77777777" w:rsidR="00193646" w:rsidRDefault="00193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905B3" w14:textId="77777777" w:rsidR="00193646" w:rsidRDefault="00193646">
    <w:pPr>
      <w:pStyle w:val="Footer"/>
      <w:jc w:val="center"/>
    </w:pPr>
  </w:p>
  <w:p w14:paraId="7F8C84D5" w14:textId="77777777" w:rsidR="00193646" w:rsidRDefault="00193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147662"/>
      <w:docPartObj>
        <w:docPartGallery w:val="Page Numbers (Bottom of Page)"/>
        <w:docPartUnique/>
      </w:docPartObj>
    </w:sdtPr>
    <w:sdtEndPr>
      <w:rPr>
        <w:noProof/>
      </w:rPr>
    </w:sdtEndPr>
    <w:sdtContent>
      <w:p w14:paraId="0246BE17" w14:textId="77777777" w:rsidR="00193646" w:rsidRDefault="00193646">
        <w:pPr>
          <w:pStyle w:val="Footer"/>
          <w:jc w:val="center"/>
        </w:pPr>
        <w:r>
          <w:fldChar w:fldCharType="begin"/>
        </w:r>
        <w:r>
          <w:instrText xml:space="preserve"> PAGE   \* MERGEFORMAT </w:instrText>
        </w:r>
        <w:r>
          <w:fldChar w:fldCharType="separate"/>
        </w:r>
        <w:r>
          <w:rPr>
            <w:noProof/>
          </w:rPr>
          <w:t>89</w:t>
        </w:r>
        <w:r>
          <w:rPr>
            <w:noProof/>
          </w:rPr>
          <w:fldChar w:fldCharType="end"/>
        </w:r>
      </w:p>
    </w:sdtContent>
  </w:sdt>
  <w:p w14:paraId="6EF723A9" w14:textId="77777777" w:rsidR="00193646" w:rsidRDefault="001936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546725"/>
      <w:docPartObj>
        <w:docPartGallery w:val="Page Numbers (Bottom of Page)"/>
        <w:docPartUnique/>
      </w:docPartObj>
    </w:sdtPr>
    <w:sdtEndPr>
      <w:rPr>
        <w:noProof/>
      </w:rPr>
    </w:sdtEndPr>
    <w:sdtContent>
      <w:p w14:paraId="6D91A595" w14:textId="32F99BCC" w:rsidR="00193646" w:rsidRDefault="00193646">
        <w:pPr>
          <w:pStyle w:val="Footer"/>
          <w:jc w:val="center"/>
        </w:pPr>
        <w:r>
          <w:fldChar w:fldCharType="begin"/>
        </w:r>
        <w:r>
          <w:instrText xml:space="preserve"> PAGE   \* MERGEFORMAT </w:instrText>
        </w:r>
        <w:r>
          <w:fldChar w:fldCharType="separate"/>
        </w:r>
        <w:r>
          <w:rPr>
            <w:noProof/>
          </w:rPr>
          <w:t>126</w:t>
        </w:r>
        <w:r>
          <w:rPr>
            <w:noProof/>
          </w:rPr>
          <w:fldChar w:fldCharType="end"/>
        </w:r>
      </w:p>
    </w:sdtContent>
  </w:sdt>
  <w:p w14:paraId="078A3EE4" w14:textId="77777777" w:rsidR="00193646" w:rsidRDefault="001936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671438"/>
      <w:docPartObj>
        <w:docPartGallery w:val="Page Numbers (Bottom of Page)"/>
        <w:docPartUnique/>
      </w:docPartObj>
    </w:sdtPr>
    <w:sdtEndPr>
      <w:rPr>
        <w:noProof/>
      </w:rPr>
    </w:sdtEndPr>
    <w:sdtContent>
      <w:p w14:paraId="25A6F31A" w14:textId="6CD0861A" w:rsidR="00193646" w:rsidRDefault="00193646">
        <w:pPr>
          <w:pStyle w:val="Footer"/>
          <w:jc w:val="center"/>
        </w:pPr>
        <w:r>
          <w:fldChar w:fldCharType="begin"/>
        </w:r>
        <w:r>
          <w:instrText xml:space="preserve"> PAGE   \* MERGEFORMAT </w:instrText>
        </w:r>
        <w:r>
          <w:fldChar w:fldCharType="separate"/>
        </w:r>
        <w:r>
          <w:rPr>
            <w:noProof/>
          </w:rPr>
          <w:t>128</w:t>
        </w:r>
        <w:r>
          <w:rPr>
            <w:noProof/>
          </w:rPr>
          <w:fldChar w:fldCharType="end"/>
        </w:r>
      </w:p>
    </w:sdtContent>
  </w:sdt>
  <w:p w14:paraId="10C8F19B" w14:textId="77777777" w:rsidR="00193646" w:rsidRDefault="00193646">
    <w:pPr>
      <w:pStyle w:val="Footer"/>
    </w:pPr>
  </w:p>
  <w:p w14:paraId="07E993E4" w14:textId="77777777" w:rsidR="00193646" w:rsidRDefault="001936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F457D" w14:textId="77777777" w:rsidR="00D25DD0" w:rsidRDefault="00D25DD0" w:rsidP="00033247">
      <w:pPr>
        <w:spacing w:after="0" w:line="240" w:lineRule="auto"/>
      </w:pPr>
      <w:r>
        <w:separator/>
      </w:r>
    </w:p>
  </w:footnote>
  <w:footnote w:type="continuationSeparator" w:id="0">
    <w:p w14:paraId="5E915BB5" w14:textId="77777777" w:rsidR="00D25DD0" w:rsidRDefault="00D25DD0" w:rsidP="00033247">
      <w:pPr>
        <w:spacing w:after="0" w:line="240" w:lineRule="auto"/>
      </w:pPr>
      <w:r>
        <w:continuationSeparator/>
      </w:r>
    </w:p>
  </w:footnote>
  <w:footnote w:id="1">
    <w:p w14:paraId="27CC1047" w14:textId="77777777" w:rsidR="00193646" w:rsidRPr="00D828CE" w:rsidRDefault="00193646" w:rsidP="00E732FA">
      <w:pPr>
        <w:pStyle w:val="FootnoteText"/>
        <w:rPr>
          <w:lang w:val="sr-Latn-ME"/>
        </w:rPr>
      </w:pPr>
      <w:r>
        <w:rPr>
          <w:rStyle w:val="FootnoteReference"/>
        </w:rPr>
        <w:footnoteRef/>
      </w:r>
      <w:r>
        <w:t xml:space="preserve"> World Travel &amp; Tourism Council, 2021 Annual Research: Key Highlights</w:t>
      </w:r>
    </w:p>
  </w:footnote>
  <w:footnote w:id="2">
    <w:p w14:paraId="5A9938B1" w14:textId="77777777" w:rsidR="00193646" w:rsidRPr="004C2462" w:rsidRDefault="00193646" w:rsidP="00E732FA">
      <w:pPr>
        <w:spacing w:after="0" w:line="240" w:lineRule="auto"/>
        <w:jc w:val="both"/>
        <w:rPr>
          <w:rFonts w:cs="Arial"/>
          <w:i/>
          <w:sz w:val="16"/>
          <w:szCs w:val="16"/>
        </w:rPr>
      </w:pPr>
      <w:r>
        <w:rPr>
          <w:rStyle w:val="FootnoteReference"/>
        </w:rPr>
        <w:footnoteRef/>
      </w:r>
      <w:r>
        <w:rPr>
          <w:rFonts w:cs="Arial"/>
          <w:i/>
          <w:sz w:val="16"/>
          <w:szCs w:val="16"/>
        </w:rPr>
        <w:t>“</w:t>
      </w:r>
      <w:r w:rsidRPr="00657135">
        <w:rPr>
          <w:rFonts w:cs="Arial"/>
          <w:i/>
          <w:sz w:val="16"/>
          <w:szCs w:val="16"/>
        </w:rPr>
        <w:t>Official Gazett</w:t>
      </w:r>
      <w:r>
        <w:rPr>
          <w:rFonts w:cs="Arial"/>
          <w:i/>
          <w:sz w:val="16"/>
          <w:szCs w:val="16"/>
        </w:rPr>
        <w:t xml:space="preserve">e of the Republic of Montenegro”, </w:t>
      </w:r>
      <w:r w:rsidRPr="00657135">
        <w:rPr>
          <w:rFonts w:cs="Arial"/>
          <w:i/>
          <w:sz w:val="16"/>
          <w:szCs w:val="16"/>
        </w:rPr>
        <w:t xml:space="preserve">no. 11/04 of </w:t>
      </w:r>
      <w:r>
        <w:rPr>
          <w:rFonts w:cs="Arial"/>
          <w:i/>
          <w:sz w:val="16"/>
          <w:szCs w:val="16"/>
        </w:rPr>
        <w:t xml:space="preserve">February 20, </w:t>
      </w:r>
      <w:r w:rsidRPr="00657135">
        <w:rPr>
          <w:rFonts w:cs="Arial"/>
          <w:i/>
          <w:sz w:val="16"/>
          <w:szCs w:val="16"/>
        </w:rPr>
        <w:t xml:space="preserve">2004, 46/07 of </w:t>
      </w:r>
      <w:r>
        <w:rPr>
          <w:rFonts w:cs="Arial"/>
          <w:i/>
          <w:sz w:val="16"/>
          <w:szCs w:val="16"/>
        </w:rPr>
        <w:t>July 31, 2007, “</w:t>
      </w:r>
      <w:r w:rsidRPr="00657135">
        <w:rPr>
          <w:rFonts w:cs="Arial"/>
          <w:i/>
          <w:sz w:val="16"/>
          <w:szCs w:val="16"/>
        </w:rPr>
        <w:t>Official Gazett</w:t>
      </w:r>
      <w:r>
        <w:rPr>
          <w:rFonts w:cs="Arial"/>
          <w:i/>
          <w:sz w:val="16"/>
          <w:szCs w:val="16"/>
        </w:rPr>
        <w:t>e of Montenegro”</w:t>
      </w:r>
      <w:r w:rsidRPr="00657135">
        <w:rPr>
          <w:rFonts w:cs="Arial"/>
          <w:i/>
          <w:sz w:val="16"/>
          <w:szCs w:val="16"/>
        </w:rPr>
        <w:t xml:space="preserve">, No. 73/10 of </w:t>
      </w:r>
      <w:r>
        <w:rPr>
          <w:rFonts w:cs="Arial"/>
          <w:i/>
          <w:sz w:val="16"/>
          <w:szCs w:val="16"/>
        </w:rPr>
        <w:t xml:space="preserve">December 10, </w:t>
      </w:r>
      <w:r w:rsidRPr="00657135">
        <w:rPr>
          <w:rFonts w:cs="Arial"/>
          <w:i/>
          <w:sz w:val="16"/>
          <w:szCs w:val="16"/>
        </w:rPr>
        <w:t xml:space="preserve">2010, 40/11 of </w:t>
      </w:r>
      <w:r>
        <w:rPr>
          <w:rFonts w:cs="Arial"/>
          <w:i/>
          <w:sz w:val="16"/>
          <w:szCs w:val="16"/>
        </w:rPr>
        <w:t xml:space="preserve">August 08, </w:t>
      </w:r>
      <w:r w:rsidRPr="00657135">
        <w:rPr>
          <w:rFonts w:cs="Arial"/>
          <w:i/>
          <w:sz w:val="16"/>
          <w:szCs w:val="16"/>
        </w:rPr>
        <w:t xml:space="preserve">2011, 45/14 of </w:t>
      </w:r>
      <w:r>
        <w:rPr>
          <w:rFonts w:cs="Arial"/>
          <w:i/>
          <w:sz w:val="16"/>
          <w:szCs w:val="16"/>
        </w:rPr>
        <w:t xml:space="preserve">October 24, </w:t>
      </w:r>
      <w:r w:rsidRPr="00657135">
        <w:rPr>
          <w:rFonts w:cs="Arial"/>
          <w:i/>
          <w:sz w:val="16"/>
          <w:szCs w:val="16"/>
        </w:rPr>
        <w:t xml:space="preserve">2014, 42 / 17 from </w:t>
      </w:r>
      <w:r>
        <w:rPr>
          <w:rFonts w:cs="Arial"/>
          <w:i/>
          <w:sz w:val="16"/>
          <w:szCs w:val="16"/>
        </w:rPr>
        <w:t xml:space="preserve">June 30, </w:t>
      </w:r>
      <w:r w:rsidRPr="00657135">
        <w:rPr>
          <w:rFonts w:cs="Arial"/>
          <w:i/>
          <w:sz w:val="16"/>
          <w:szCs w:val="16"/>
        </w:rPr>
        <w:t xml:space="preserve">2017, 27/19 from </w:t>
      </w:r>
      <w:r>
        <w:rPr>
          <w:rFonts w:cs="Arial"/>
          <w:i/>
          <w:sz w:val="16"/>
          <w:szCs w:val="16"/>
        </w:rPr>
        <w:t xml:space="preserve">May 17, </w:t>
      </w:r>
      <w:r w:rsidRPr="00657135">
        <w:rPr>
          <w:rFonts w:cs="Arial"/>
          <w:i/>
          <w:sz w:val="16"/>
          <w:szCs w:val="16"/>
        </w:rPr>
        <w:t>2019)</w:t>
      </w:r>
    </w:p>
  </w:footnote>
  <w:footnote w:id="3">
    <w:p w14:paraId="4320BCAC" w14:textId="77777777" w:rsidR="00193646" w:rsidRPr="004C2462" w:rsidRDefault="00193646" w:rsidP="00E732FA">
      <w:pPr>
        <w:spacing w:after="0" w:line="240" w:lineRule="auto"/>
        <w:jc w:val="both"/>
        <w:rPr>
          <w:rFonts w:cs="Arial"/>
          <w:i/>
          <w:sz w:val="16"/>
          <w:szCs w:val="16"/>
        </w:rPr>
      </w:pPr>
      <w:r>
        <w:rPr>
          <w:rStyle w:val="FootnoteReference"/>
        </w:rPr>
        <w:footnoteRef/>
      </w:r>
      <w:r>
        <w:rPr>
          <w:rFonts w:cs="Arial"/>
          <w:i/>
          <w:sz w:val="16"/>
          <w:szCs w:val="16"/>
        </w:rPr>
        <w:t>“</w:t>
      </w:r>
      <w:r w:rsidRPr="006B66FC">
        <w:rPr>
          <w:rFonts w:cs="Arial"/>
          <w:i/>
          <w:sz w:val="16"/>
          <w:szCs w:val="16"/>
        </w:rPr>
        <w:t>Official Gazett</w:t>
      </w:r>
      <w:r>
        <w:rPr>
          <w:rFonts w:cs="Arial"/>
          <w:i/>
          <w:sz w:val="16"/>
          <w:szCs w:val="16"/>
        </w:rPr>
        <w:t>e of the Republic of Montenegro”</w:t>
      </w:r>
      <w:r w:rsidRPr="006B66FC">
        <w:rPr>
          <w:rFonts w:cs="Arial"/>
          <w:i/>
          <w:sz w:val="16"/>
          <w:szCs w:val="16"/>
        </w:rPr>
        <w:t xml:space="preserve">, no. 11/04 of </w:t>
      </w:r>
      <w:r>
        <w:rPr>
          <w:rFonts w:cs="Arial"/>
          <w:i/>
          <w:sz w:val="16"/>
          <w:szCs w:val="16"/>
        </w:rPr>
        <w:t xml:space="preserve">February 20, </w:t>
      </w:r>
      <w:r w:rsidRPr="006B66FC">
        <w:rPr>
          <w:rFonts w:cs="Arial"/>
          <w:i/>
          <w:sz w:val="16"/>
          <w:szCs w:val="16"/>
        </w:rPr>
        <w:t xml:space="preserve">2004, 13/04 of </w:t>
      </w:r>
      <w:r>
        <w:rPr>
          <w:rFonts w:cs="Arial"/>
          <w:i/>
          <w:sz w:val="16"/>
          <w:szCs w:val="16"/>
        </w:rPr>
        <w:t xml:space="preserve">February 26, </w:t>
      </w:r>
      <w:r w:rsidRPr="006B66FC">
        <w:rPr>
          <w:rFonts w:cs="Arial"/>
          <w:i/>
          <w:sz w:val="16"/>
          <w:szCs w:val="16"/>
        </w:rPr>
        <w:t xml:space="preserve">2004, </w:t>
      </w:r>
      <w:r>
        <w:rPr>
          <w:rFonts w:cs="Arial"/>
          <w:i/>
          <w:sz w:val="16"/>
          <w:szCs w:val="16"/>
        </w:rPr>
        <w:t>“</w:t>
      </w:r>
      <w:r w:rsidRPr="006B66FC">
        <w:rPr>
          <w:rFonts w:cs="Arial"/>
          <w:i/>
          <w:sz w:val="16"/>
          <w:szCs w:val="16"/>
        </w:rPr>
        <w:t>Official Gazette of Monteneg</w:t>
      </w:r>
      <w:r>
        <w:rPr>
          <w:rFonts w:cs="Arial"/>
          <w:i/>
          <w:sz w:val="16"/>
          <w:szCs w:val="16"/>
        </w:rPr>
        <w:t>ro”,</w:t>
      </w:r>
      <w:r w:rsidRPr="006B66FC">
        <w:rPr>
          <w:rFonts w:cs="Arial"/>
          <w:i/>
          <w:sz w:val="16"/>
          <w:szCs w:val="16"/>
        </w:rPr>
        <w:t xml:space="preserve"> No. 73/10 of </w:t>
      </w:r>
      <w:r>
        <w:rPr>
          <w:rFonts w:cs="Arial"/>
          <w:i/>
          <w:sz w:val="16"/>
          <w:szCs w:val="16"/>
        </w:rPr>
        <w:t xml:space="preserve">December 10, </w:t>
      </w:r>
      <w:r w:rsidRPr="006B66FC">
        <w:rPr>
          <w:rFonts w:cs="Arial"/>
          <w:i/>
          <w:sz w:val="16"/>
          <w:szCs w:val="16"/>
        </w:rPr>
        <w:t xml:space="preserve">2010, 48/15 of </w:t>
      </w:r>
      <w:r>
        <w:rPr>
          <w:rFonts w:cs="Arial"/>
          <w:i/>
          <w:sz w:val="16"/>
          <w:szCs w:val="16"/>
        </w:rPr>
        <w:t xml:space="preserve">August 21, </w:t>
      </w:r>
      <w:r w:rsidRPr="006B66FC">
        <w:rPr>
          <w:rFonts w:cs="Arial"/>
          <w:i/>
          <w:sz w:val="16"/>
          <w:szCs w:val="16"/>
        </w:rPr>
        <w:t>2015</w:t>
      </w:r>
      <w:r>
        <w:rPr>
          <w:rFonts w:cs="Arial"/>
          <w:i/>
          <w:sz w:val="16"/>
          <w:szCs w:val="16"/>
        </w:rPr>
        <w:t xml:space="preserve"> </w:t>
      </w:r>
    </w:p>
  </w:footnote>
  <w:footnote w:id="4">
    <w:p w14:paraId="59F2F6E3" w14:textId="2B642850" w:rsidR="00193646" w:rsidRPr="004C2462" w:rsidRDefault="00193646" w:rsidP="00E732FA">
      <w:pPr>
        <w:tabs>
          <w:tab w:val="left" w:pos="5096"/>
        </w:tabs>
        <w:spacing w:after="0" w:line="240" w:lineRule="auto"/>
        <w:jc w:val="both"/>
        <w:rPr>
          <w:rFonts w:cs="Arial"/>
          <w:i/>
          <w:sz w:val="16"/>
          <w:szCs w:val="16"/>
        </w:rPr>
      </w:pPr>
      <w:r>
        <w:rPr>
          <w:rStyle w:val="FootnoteReference"/>
        </w:rPr>
        <w:footnoteRef/>
      </w:r>
      <w:r>
        <w:rPr>
          <w:rFonts w:cs="Arial"/>
          <w:i/>
          <w:sz w:val="16"/>
          <w:szCs w:val="16"/>
        </w:rPr>
        <w:t>“Official Gazette of Montenegro”</w:t>
      </w:r>
      <w:r w:rsidRPr="006B66FC">
        <w:rPr>
          <w:rFonts w:cs="Arial"/>
          <w:i/>
          <w:sz w:val="16"/>
          <w:szCs w:val="16"/>
        </w:rPr>
        <w:t>, No. 51/08 of August 22</w:t>
      </w:r>
      <w:r>
        <w:rPr>
          <w:rFonts w:cs="Arial"/>
          <w:i/>
          <w:sz w:val="16"/>
          <w:szCs w:val="16"/>
        </w:rPr>
        <w:t xml:space="preserve">, 2008, 53/11 of </w:t>
      </w:r>
      <w:r w:rsidRPr="006B66FC">
        <w:rPr>
          <w:rFonts w:cs="Arial"/>
          <w:i/>
          <w:sz w:val="16"/>
          <w:szCs w:val="16"/>
        </w:rPr>
        <w:t>November</w:t>
      </w:r>
      <w:r>
        <w:rPr>
          <w:rFonts w:cs="Arial"/>
          <w:i/>
          <w:sz w:val="16"/>
          <w:szCs w:val="16"/>
        </w:rPr>
        <w:t xml:space="preserve"> 11,</w:t>
      </w:r>
      <w:r w:rsidRPr="006B66FC">
        <w:rPr>
          <w:rFonts w:cs="Arial"/>
          <w:i/>
          <w:sz w:val="16"/>
          <w:szCs w:val="16"/>
        </w:rPr>
        <w:t xml:space="preserve"> 2011</w:t>
      </w:r>
      <w:r>
        <w:rPr>
          <w:rFonts w:cs="Arial"/>
          <w:i/>
          <w:sz w:val="16"/>
          <w:szCs w:val="16"/>
        </w:rPr>
        <w:t xml:space="preserve"> </w:t>
      </w:r>
      <w:r>
        <w:rPr>
          <w:rFonts w:cs="Arial"/>
          <w:i/>
          <w:sz w:val="16"/>
          <w:szCs w:val="16"/>
        </w:rPr>
        <w:tab/>
      </w:r>
    </w:p>
  </w:footnote>
  <w:footnote w:id="5">
    <w:p w14:paraId="58F64B97" w14:textId="77777777" w:rsidR="00193646" w:rsidRPr="004C2462" w:rsidRDefault="00193646" w:rsidP="00E732FA">
      <w:pPr>
        <w:pStyle w:val="FootnoteText"/>
        <w:rPr>
          <w:lang w:val="sr-Latn-ME"/>
        </w:rPr>
      </w:pPr>
      <w:r>
        <w:rPr>
          <w:rStyle w:val="FootnoteReference"/>
        </w:rPr>
        <w:footnoteRef/>
      </w:r>
      <w:r>
        <w:t xml:space="preserve"> </w:t>
      </w:r>
      <w:r>
        <w:rPr>
          <w:rFonts w:cs="Arial"/>
          <w:i/>
          <w:sz w:val="16"/>
          <w:szCs w:val="16"/>
        </w:rPr>
        <w:t>“Official Gazette of Montenegro”</w:t>
      </w:r>
      <w:r w:rsidRPr="006B66FC">
        <w:rPr>
          <w:rFonts w:cs="Arial"/>
          <w:i/>
          <w:sz w:val="16"/>
          <w:szCs w:val="16"/>
        </w:rPr>
        <w:t xml:space="preserve">, no. 13/07 from </w:t>
      </w:r>
      <w:r>
        <w:rPr>
          <w:rFonts w:cs="Arial"/>
          <w:i/>
          <w:sz w:val="16"/>
          <w:szCs w:val="16"/>
        </w:rPr>
        <w:t xml:space="preserve">December 18, </w:t>
      </w:r>
      <w:r w:rsidRPr="006B66FC">
        <w:rPr>
          <w:rFonts w:cs="Arial"/>
          <w:i/>
          <w:sz w:val="16"/>
          <w:szCs w:val="16"/>
        </w:rPr>
        <w:t xml:space="preserve">2007, 40/11 from </w:t>
      </w:r>
      <w:r>
        <w:rPr>
          <w:rFonts w:cs="Arial"/>
          <w:i/>
          <w:sz w:val="16"/>
          <w:szCs w:val="16"/>
        </w:rPr>
        <w:t xml:space="preserve">August 08, </w:t>
      </w:r>
      <w:r w:rsidRPr="006B66FC">
        <w:rPr>
          <w:rFonts w:cs="Arial"/>
          <w:i/>
          <w:sz w:val="16"/>
          <w:szCs w:val="16"/>
        </w:rPr>
        <w:t xml:space="preserve">2011, 21/14 from </w:t>
      </w:r>
      <w:r>
        <w:rPr>
          <w:rFonts w:cs="Arial"/>
          <w:i/>
          <w:sz w:val="16"/>
          <w:szCs w:val="16"/>
        </w:rPr>
        <w:t xml:space="preserve">May 06, </w:t>
      </w:r>
      <w:r w:rsidRPr="006B66FC">
        <w:rPr>
          <w:rFonts w:cs="Arial"/>
          <w:i/>
          <w:sz w:val="16"/>
          <w:szCs w:val="16"/>
        </w:rPr>
        <w:t xml:space="preserve">2014, 44/17 from </w:t>
      </w:r>
      <w:r>
        <w:rPr>
          <w:rFonts w:cs="Arial"/>
          <w:i/>
          <w:sz w:val="16"/>
          <w:szCs w:val="16"/>
        </w:rPr>
        <w:t xml:space="preserve">July 06, </w:t>
      </w:r>
      <w:r w:rsidRPr="006B66FC">
        <w:rPr>
          <w:rFonts w:cs="Arial"/>
          <w:i/>
          <w:sz w:val="16"/>
          <w:szCs w:val="16"/>
        </w:rPr>
        <w:t>2017</w:t>
      </w:r>
      <w:r>
        <w:rPr>
          <w:rFonts w:cs="Arial"/>
          <w:i/>
          <w:sz w:val="16"/>
          <w:szCs w:val="16"/>
        </w:rPr>
        <w:t xml:space="preserve"> </w:t>
      </w:r>
    </w:p>
  </w:footnote>
  <w:footnote w:id="6">
    <w:p w14:paraId="7BBEB39F" w14:textId="77777777" w:rsidR="00193646" w:rsidRPr="004C2462" w:rsidRDefault="00193646" w:rsidP="00E732FA">
      <w:pPr>
        <w:spacing w:after="0" w:line="240" w:lineRule="auto"/>
        <w:jc w:val="both"/>
        <w:rPr>
          <w:lang w:val="sr-Latn-ME"/>
        </w:rPr>
      </w:pPr>
      <w:r>
        <w:rPr>
          <w:rStyle w:val="FootnoteReference"/>
        </w:rPr>
        <w:footnoteRef/>
      </w:r>
      <w:r w:rsidRPr="008C04F2">
        <w:rPr>
          <w:sz w:val="16"/>
          <w:szCs w:val="16"/>
        </w:rPr>
        <w:t xml:space="preserve"> </w:t>
      </w:r>
      <w:r>
        <w:rPr>
          <w:sz w:val="16"/>
          <w:szCs w:val="16"/>
        </w:rPr>
        <w:t>“</w:t>
      </w:r>
      <w:r>
        <w:rPr>
          <w:rFonts w:cs="Arial"/>
          <w:i/>
          <w:sz w:val="16"/>
          <w:szCs w:val="16"/>
        </w:rPr>
        <w:t>Official Gazette of Montenegro”</w:t>
      </w:r>
      <w:r w:rsidRPr="008C04F2">
        <w:rPr>
          <w:rFonts w:cs="Arial"/>
          <w:i/>
          <w:sz w:val="16"/>
          <w:szCs w:val="16"/>
        </w:rPr>
        <w:t xml:space="preserve">, No. 53/11 of </w:t>
      </w:r>
      <w:r>
        <w:rPr>
          <w:rFonts w:cs="Arial"/>
          <w:i/>
          <w:sz w:val="16"/>
          <w:szCs w:val="16"/>
        </w:rPr>
        <w:t xml:space="preserve">November 11, </w:t>
      </w:r>
      <w:r w:rsidRPr="008C04F2">
        <w:rPr>
          <w:rFonts w:cs="Arial"/>
          <w:i/>
          <w:sz w:val="16"/>
          <w:szCs w:val="16"/>
        </w:rPr>
        <w:t xml:space="preserve">2011, 53/16 of </w:t>
      </w:r>
      <w:r>
        <w:rPr>
          <w:rFonts w:cs="Arial"/>
          <w:i/>
          <w:sz w:val="16"/>
          <w:szCs w:val="16"/>
        </w:rPr>
        <w:t xml:space="preserve">August 11, </w:t>
      </w:r>
      <w:r w:rsidRPr="008C04F2">
        <w:rPr>
          <w:rFonts w:cs="Arial"/>
          <w:i/>
          <w:sz w:val="16"/>
          <w:szCs w:val="16"/>
        </w:rPr>
        <w:t xml:space="preserve">2016, 57/16 of </w:t>
      </w:r>
      <w:r>
        <w:rPr>
          <w:rFonts w:cs="Arial"/>
          <w:i/>
          <w:sz w:val="16"/>
          <w:szCs w:val="16"/>
        </w:rPr>
        <w:t>September 02, ’</w:t>
      </w:r>
      <w:r w:rsidRPr="008C04F2">
        <w:rPr>
          <w:rFonts w:cs="Arial"/>
          <w:i/>
          <w:sz w:val="16"/>
          <w:szCs w:val="16"/>
        </w:rPr>
        <w:t>20</w:t>
      </w:r>
      <w:r>
        <w:rPr>
          <w:rFonts w:cs="Arial"/>
          <w:i/>
          <w:sz w:val="16"/>
          <w:szCs w:val="16"/>
        </w:rPr>
        <w:t xml:space="preserve"> </w:t>
      </w:r>
    </w:p>
  </w:footnote>
  <w:footnote w:id="7">
    <w:p w14:paraId="5DFDDDCF" w14:textId="77777777" w:rsidR="00193646" w:rsidRPr="00DC492E" w:rsidRDefault="00193646" w:rsidP="00E732FA">
      <w:pPr>
        <w:pStyle w:val="FootnoteText"/>
      </w:pPr>
      <w:r w:rsidRPr="00DC492E">
        <w:rPr>
          <w:rStyle w:val="FootnoteReference"/>
        </w:rPr>
        <w:footnoteRef/>
      </w:r>
      <w:r w:rsidRPr="00DC492E">
        <w:t xml:space="preserve"> Source: Health Tourism Development Program of Montenegro with the Action Plan 2021-2023</w:t>
      </w:r>
    </w:p>
  </w:footnote>
  <w:footnote w:id="8">
    <w:p w14:paraId="6F33428F" w14:textId="77777777" w:rsidR="00193646" w:rsidRPr="001E43A4" w:rsidRDefault="00193646" w:rsidP="00E732FA">
      <w:pPr>
        <w:pStyle w:val="FootnoteText"/>
        <w:rPr>
          <w:lang w:val="sr-Latn-ME"/>
        </w:rPr>
      </w:pPr>
      <w:r w:rsidRPr="00DC492E">
        <w:rPr>
          <w:rStyle w:val="FootnoteReference"/>
        </w:rPr>
        <w:footnoteRef/>
      </w:r>
      <w:r w:rsidRPr="00DC492E">
        <w:t xml:space="preserve"> </w:t>
      </w:r>
      <w:hyperlink r:id="rId1" w:history="1">
        <w:r w:rsidRPr="00DC492E">
          <w:rPr>
            <w:rStyle w:val="Hyperlink"/>
          </w:rPr>
          <w:t>https://www.eu.me/category/mne/info/press-info/press-ipa/</w:t>
        </w:r>
      </w:hyperlink>
      <w:r w:rsidRPr="008C2B65">
        <w:rPr>
          <w:lang w:val="sr-Latn-ME"/>
        </w:rPr>
        <w:t xml:space="preserve"> </w:t>
      </w:r>
    </w:p>
  </w:footnote>
  <w:footnote w:id="9">
    <w:p w14:paraId="1C8D6B87" w14:textId="77777777" w:rsidR="00193646" w:rsidRPr="006361BE" w:rsidRDefault="00193646" w:rsidP="00E732FA">
      <w:pPr>
        <w:pStyle w:val="FootnoteText"/>
        <w:rPr>
          <w:lang w:val="sr-Latn-ME"/>
        </w:rPr>
      </w:pPr>
      <w:r>
        <w:rPr>
          <w:rStyle w:val="FootnoteReference"/>
        </w:rPr>
        <w:footnoteRef/>
      </w:r>
      <w:r w:rsidRPr="006361BE">
        <w:rPr>
          <w:lang w:val="sr-Latn-ME"/>
        </w:rPr>
        <w:t>https://duemari.italy-albania-montenegro.eu/</w:t>
      </w:r>
    </w:p>
  </w:footnote>
  <w:footnote w:id="10">
    <w:p w14:paraId="7862CC04" w14:textId="77777777" w:rsidR="00193646" w:rsidRPr="00DC492E" w:rsidRDefault="00193646" w:rsidP="00E732FA">
      <w:pPr>
        <w:pStyle w:val="FootnoteText"/>
      </w:pPr>
      <w:r w:rsidRPr="00DC492E">
        <w:rPr>
          <w:rStyle w:val="FootnoteReference"/>
        </w:rPr>
        <w:footnoteRef/>
      </w:r>
      <w:r w:rsidRPr="00DC492E">
        <w:t xml:space="preserve"> </w:t>
      </w:r>
      <w:hyperlink r:id="rId2" w:history="1">
        <w:r w:rsidRPr="00DC492E">
          <w:rPr>
            <w:rStyle w:val="Hyperlink"/>
          </w:rPr>
          <w:t>https://www.interreg-hr-ba-me2014-2020.eu/project/wrecks4all/</w:t>
        </w:r>
      </w:hyperlink>
      <w:r w:rsidRPr="00DC492E">
        <w:t xml:space="preserve"> </w:t>
      </w:r>
    </w:p>
  </w:footnote>
  <w:footnote w:id="11">
    <w:p w14:paraId="0139BB94" w14:textId="77777777" w:rsidR="00193646" w:rsidRPr="00DC492E" w:rsidRDefault="00193646" w:rsidP="00E732FA">
      <w:pPr>
        <w:pStyle w:val="FootnoteText"/>
      </w:pPr>
      <w:r w:rsidRPr="00DC492E">
        <w:rPr>
          <w:rStyle w:val="FootnoteReference"/>
        </w:rPr>
        <w:footnoteRef/>
      </w:r>
      <w:r w:rsidRPr="00DC492E">
        <w:t xml:space="preserve"> </w:t>
      </w:r>
      <w:hyperlink r:id="rId3" w:history="1">
        <w:r w:rsidRPr="00DC492E">
          <w:rPr>
            <w:rStyle w:val="Hyperlink"/>
          </w:rPr>
          <w:t>https://www.interreg-hr-ba-me2014-2020.eu/project/epath/</w:t>
        </w:r>
      </w:hyperlink>
      <w:r w:rsidRPr="00DC492E">
        <w:t xml:space="preserve"> </w:t>
      </w:r>
    </w:p>
  </w:footnote>
  <w:footnote w:id="12">
    <w:p w14:paraId="1EDDD5A3" w14:textId="77777777" w:rsidR="00193646" w:rsidRPr="00DC492E" w:rsidRDefault="00193646" w:rsidP="00E732FA">
      <w:pPr>
        <w:pStyle w:val="FootnoteText"/>
      </w:pPr>
      <w:r w:rsidRPr="00DC492E">
        <w:rPr>
          <w:rStyle w:val="FootnoteReference"/>
        </w:rPr>
        <w:footnoteRef/>
      </w:r>
      <w:r w:rsidRPr="00DC492E">
        <w:t xml:space="preserve"> </w:t>
      </w:r>
      <w:hyperlink r:id="rId4" w:history="1">
        <w:r w:rsidRPr="00DC492E">
          <w:rPr>
            <w:rStyle w:val="Hyperlink"/>
          </w:rPr>
          <w:t>https://www.interreg-hr-ba-me2014-2020.eu/project/ciro-ii/</w:t>
        </w:r>
      </w:hyperlink>
      <w:r w:rsidRPr="00DC492E">
        <w:t xml:space="preserve"> </w:t>
      </w:r>
    </w:p>
  </w:footnote>
  <w:footnote w:id="13">
    <w:p w14:paraId="3F59A2E3" w14:textId="77777777" w:rsidR="00193646" w:rsidRPr="00E70349" w:rsidRDefault="00193646" w:rsidP="00E732FA">
      <w:pPr>
        <w:pStyle w:val="FootnoteText"/>
        <w:rPr>
          <w:lang w:val="sr-Latn-ME"/>
        </w:rPr>
      </w:pPr>
      <w:r w:rsidRPr="00DC492E">
        <w:rPr>
          <w:rStyle w:val="FootnoteReference"/>
        </w:rPr>
        <w:footnoteRef/>
      </w:r>
      <w:r w:rsidRPr="00DC492E">
        <w:t xml:space="preserve"> </w:t>
      </w:r>
      <w:hyperlink r:id="rId5" w:history="1">
        <w:r w:rsidRPr="00DC492E">
          <w:rPr>
            <w:rStyle w:val="Hyperlink"/>
          </w:rPr>
          <w:t>https://www.interreg-hr-ba-me2014-2020.eu/project/heritagerevived/</w:t>
        </w:r>
      </w:hyperlink>
      <w:r w:rsidRPr="008C2B65">
        <w:rPr>
          <w:lang w:val="sr-Latn-ME"/>
        </w:rPr>
        <w:t xml:space="preserve"> </w:t>
      </w:r>
    </w:p>
  </w:footnote>
  <w:footnote w:id="14">
    <w:p w14:paraId="153F63B0" w14:textId="3694495F" w:rsidR="00193646" w:rsidRPr="006B0D77" w:rsidRDefault="00193646" w:rsidP="006B0D77">
      <w:pPr>
        <w:pStyle w:val="FootnoteText"/>
      </w:pPr>
      <w:r>
        <w:rPr>
          <w:rStyle w:val="FootnoteReference"/>
        </w:rPr>
        <w:footnoteRef/>
      </w:r>
      <w:r>
        <w:t xml:space="preserve"> </w:t>
      </w:r>
      <w:hyperlink r:id="rId6" w:history="1">
        <w:r w:rsidRPr="00B47735">
          <w:rPr>
            <w:rStyle w:val="Hyperlink"/>
          </w:rPr>
          <w:t>https://cbcsrb-mne.org/project/cult-bike-route/</w:t>
        </w:r>
      </w:hyperlink>
      <w:r>
        <w:t xml:space="preserve"> </w:t>
      </w:r>
    </w:p>
  </w:footnote>
  <w:footnote w:id="15">
    <w:p w14:paraId="6CCAA72E" w14:textId="7B2DF7EF" w:rsidR="00193646" w:rsidRPr="00DC492E" w:rsidRDefault="00193646" w:rsidP="00E732FA">
      <w:pPr>
        <w:pStyle w:val="FootnoteText"/>
      </w:pPr>
      <w:r w:rsidRPr="00DC492E">
        <w:rPr>
          <w:rStyle w:val="FootnoteReference"/>
        </w:rPr>
        <w:footnoteRef/>
      </w:r>
      <w:r w:rsidRPr="00DC492E">
        <w:t xml:space="preserve"> </w:t>
      </w:r>
      <w:hyperlink r:id="rId7" w:history="1">
        <w:r w:rsidRPr="00DC492E">
          <w:rPr>
            <w:rStyle w:val="Hyperlink"/>
          </w:rPr>
          <w:t>https://cbc-mne-kos.org/project-of-the-2nd-cfp/culture-heritage-treasure-of-cross-border-region/</w:t>
        </w:r>
      </w:hyperlink>
      <w:r w:rsidRPr="00DC492E">
        <w:t xml:space="preserve"> </w:t>
      </w:r>
    </w:p>
  </w:footnote>
  <w:footnote w:id="16">
    <w:p w14:paraId="357C8799" w14:textId="77777777" w:rsidR="00193646" w:rsidRPr="00E50DDC" w:rsidRDefault="00193646" w:rsidP="00E732FA">
      <w:pPr>
        <w:pStyle w:val="FootnoteText"/>
        <w:rPr>
          <w:lang w:val="sr-Latn-ME"/>
        </w:rPr>
      </w:pPr>
      <w:r w:rsidRPr="00DC492E">
        <w:rPr>
          <w:rStyle w:val="FootnoteReference"/>
        </w:rPr>
        <w:footnoteRef/>
      </w:r>
      <w:r w:rsidRPr="00DC492E">
        <w:t xml:space="preserve"> </w:t>
      </w:r>
      <w:hyperlink r:id="rId8" w:history="1">
        <w:r w:rsidRPr="00DC492E">
          <w:rPr>
            <w:rStyle w:val="Hyperlink"/>
          </w:rPr>
          <w:t>https://cbc.bih-mne.org/me/podrzani-projekti/</w:t>
        </w:r>
      </w:hyperlink>
      <w:r w:rsidRPr="008C2B65">
        <w:rPr>
          <w:lang w:val="sr-Latn-ME"/>
        </w:rPr>
        <w:t xml:space="preserve"> </w:t>
      </w:r>
    </w:p>
  </w:footnote>
  <w:footnote w:id="17">
    <w:p w14:paraId="056AC40A" w14:textId="77777777" w:rsidR="00193646" w:rsidRPr="00DC492E" w:rsidRDefault="00193646" w:rsidP="00E732FA">
      <w:pPr>
        <w:pStyle w:val="FootnoteText"/>
      </w:pPr>
      <w:r w:rsidRPr="00DC492E">
        <w:rPr>
          <w:rStyle w:val="FootnoteReference"/>
        </w:rPr>
        <w:footnoteRef/>
      </w:r>
      <w:r w:rsidRPr="00DC492E">
        <w:t xml:space="preserve"> </w:t>
      </w:r>
      <w:hyperlink r:id="rId9" w:history="1">
        <w:r w:rsidRPr="00DC492E">
          <w:rPr>
            <w:rStyle w:val="Hyperlink"/>
          </w:rPr>
          <w:t>https://www.poslodavci.org/biblioteka/publikacije/neformalna-ekonomija-u-crnoj-gori-stvaranje-ambijenta-za-odrzivi-razvoj-preduzeca-u-crnoj-gori</w:t>
        </w:r>
      </w:hyperlink>
    </w:p>
    <w:p w14:paraId="6BEF63BC" w14:textId="77777777" w:rsidR="00193646" w:rsidRPr="00813F26" w:rsidRDefault="00193646" w:rsidP="00E732FA">
      <w:pPr>
        <w:pStyle w:val="FootnoteText"/>
        <w:rPr>
          <w:lang w:val="sr-Latn-ME"/>
        </w:rPr>
      </w:pPr>
    </w:p>
  </w:footnote>
  <w:footnote w:id="18">
    <w:p w14:paraId="59D214AA" w14:textId="77777777" w:rsidR="00193646" w:rsidRPr="00DC492E" w:rsidRDefault="00193646" w:rsidP="00E732FA">
      <w:pPr>
        <w:spacing w:after="0" w:line="240" w:lineRule="auto"/>
        <w:jc w:val="both"/>
        <w:rPr>
          <w:rFonts w:cstheme="minorHAnsi"/>
          <w:bCs/>
          <w:i/>
          <w:color w:val="000000"/>
          <w:sz w:val="18"/>
          <w:szCs w:val="18"/>
          <w:lang w:eastAsia="hr-HR"/>
        </w:rPr>
      </w:pPr>
      <w:r w:rsidRPr="00DC492E">
        <w:rPr>
          <w:rStyle w:val="FootnoteReference"/>
        </w:rPr>
        <w:footnoteRef/>
      </w:r>
      <w:r w:rsidRPr="00DC492E">
        <w:t xml:space="preserve"> </w:t>
      </w:r>
      <w:r w:rsidRPr="00DC492E">
        <w:rPr>
          <w:rFonts w:cstheme="minorHAnsi"/>
          <w:bCs/>
          <w:i/>
          <w:color w:val="000000"/>
          <w:sz w:val="18"/>
          <w:szCs w:val="18"/>
          <w:lang w:eastAsia="hr-HR"/>
        </w:rPr>
        <w:t>* Since 2017, the Statistical Office (MONSTAT) publishes monthly data only for collective accommodation. Total data on tourist arrivals and overnight stays are published annually.</w:t>
      </w:r>
    </w:p>
    <w:p w14:paraId="6B6F90DA" w14:textId="77777777" w:rsidR="00193646" w:rsidRPr="008C2B65" w:rsidRDefault="00193646" w:rsidP="00E732FA">
      <w:pPr>
        <w:pStyle w:val="FootnoteText"/>
        <w:rPr>
          <w:lang w:val="sr-Latn-ME"/>
        </w:rPr>
      </w:pPr>
    </w:p>
  </w:footnote>
  <w:footnote w:id="19">
    <w:p w14:paraId="3214E5E5" w14:textId="77777777" w:rsidR="00193646" w:rsidRDefault="00193646" w:rsidP="00E732FA">
      <w:pPr>
        <w:pStyle w:val="FootnoteText"/>
      </w:pPr>
      <w:r>
        <w:rPr>
          <w:rStyle w:val="FootnoteReference"/>
        </w:rPr>
        <w:footnoteRef/>
      </w:r>
      <w:r>
        <w:t xml:space="preserve"> World Travel &amp; Tourism Council, 2021 Annual Research: Key Highlights</w:t>
      </w:r>
    </w:p>
  </w:footnote>
  <w:footnote w:id="20">
    <w:p w14:paraId="66C44ED7" w14:textId="77777777" w:rsidR="00193646" w:rsidRDefault="00193646" w:rsidP="00E732FA">
      <w:pPr>
        <w:pStyle w:val="FootnoteText"/>
      </w:pPr>
      <w:r>
        <w:rPr>
          <w:rStyle w:val="FootnoteReference"/>
        </w:rPr>
        <w:footnoteRef/>
      </w:r>
      <w:r>
        <w:t xml:space="preserve"> </w:t>
      </w:r>
      <w:hyperlink r:id="rId10" w:history="1">
        <w:r w:rsidRPr="00271A4D">
          <w:rPr>
            <w:rStyle w:val="Hyperlink"/>
          </w:rPr>
          <w:t>https://www.e-unwto.org/doi/pdf/10.18111/9789284422456</w:t>
        </w:r>
      </w:hyperlink>
    </w:p>
    <w:p w14:paraId="14118758" w14:textId="77777777" w:rsidR="00193646" w:rsidRPr="003B6B3B" w:rsidRDefault="00193646" w:rsidP="00E732FA">
      <w:pPr>
        <w:pStyle w:val="FootnoteText"/>
        <w:rPr>
          <w:lang w:val="sr-Latn-ME"/>
        </w:rPr>
      </w:pPr>
    </w:p>
  </w:footnote>
  <w:footnote w:id="21">
    <w:p w14:paraId="7F81EA65" w14:textId="77777777" w:rsidR="00193646" w:rsidRPr="00DC492E" w:rsidRDefault="00193646" w:rsidP="00E732FA">
      <w:pPr>
        <w:pStyle w:val="FootnoteText"/>
      </w:pPr>
      <w:r w:rsidRPr="00DC492E">
        <w:rPr>
          <w:rStyle w:val="FootnoteReference"/>
        </w:rPr>
        <w:footnoteRef/>
      </w:r>
      <w:r w:rsidRPr="00DC492E">
        <w:t xml:space="preserve"> </w:t>
      </w:r>
      <w:hyperlink r:id="rId11" w:history="1">
        <w:r w:rsidRPr="00DC492E">
          <w:rPr>
            <w:rStyle w:val="Hyperlink"/>
          </w:rPr>
          <w:t>https://www.iata.org/en/pressroom/2021-releases/2021-11-03-02/</w:t>
        </w:r>
      </w:hyperlink>
    </w:p>
  </w:footnote>
  <w:footnote w:id="22">
    <w:p w14:paraId="360A2412" w14:textId="77777777" w:rsidR="00193646" w:rsidRPr="00DC492E" w:rsidRDefault="00193646" w:rsidP="00E732FA">
      <w:pPr>
        <w:pStyle w:val="FootnoteText"/>
      </w:pPr>
      <w:r w:rsidRPr="00DC492E">
        <w:rPr>
          <w:rStyle w:val="FootnoteReference"/>
        </w:rPr>
        <w:footnoteRef/>
      </w:r>
      <w:r w:rsidRPr="00DC492E">
        <w:t xml:space="preserve"> </w:t>
      </w:r>
      <w:hyperlink r:id="rId12" w:history="1">
        <w:r w:rsidRPr="00DC492E">
          <w:rPr>
            <w:rStyle w:val="Hyperlink"/>
          </w:rPr>
          <w:t>https://www.gov.me/dokumenta/a97c1693-5ee5-4799-a212-60f6b8eb514a</w:t>
        </w:r>
      </w:hyperlink>
    </w:p>
    <w:p w14:paraId="3E169849" w14:textId="77777777" w:rsidR="00193646" w:rsidRPr="001A41B7" w:rsidRDefault="00193646" w:rsidP="00E732FA">
      <w:pPr>
        <w:pStyle w:val="FootnoteText"/>
        <w:rPr>
          <w:lang w:val="sr-Latn-ME"/>
        </w:rPr>
      </w:pPr>
    </w:p>
  </w:footnote>
  <w:footnote w:id="23">
    <w:p w14:paraId="03DD08E2" w14:textId="77777777" w:rsidR="00193646" w:rsidRPr="00DC492E" w:rsidRDefault="00193646" w:rsidP="00E732FA">
      <w:pPr>
        <w:pStyle w:val="FootnoteText"/>
      </w:pPr>
      <w:r w:rsidRPr="00DC492E">
        <w:rPr>
          <w:rStyle w:val="FootnoteReference"/>
        </w:rPr>
        <w:footnoteRef/>
      </w:r>
      <w:r w:rsidRPr="00DC492E">
        <w:t xml:space="preserve"> </w:t>
      </w:r>
      <w:hyperlink r:id="rId13" w:history="1">
        <w:r w:rsidRPr="00DC492E">
          <w:rPr>
            <w:rStyle w:val="Hyperlink"/>
          </w:rPr>
          <w:t>https://monstat.org/userfiles/file/klasifikacije/2.%20Publikacija%20KD%202010.pdf</w:t>
        </w:r>
      </w:hyperlink>
      <w:r w:rsidRPr="00DC492E">
        <w:t xml:space="preserve"> </w:t>
      </w:r>
    </w:p>
  </w:footnote>
  <w:footnote w:id="24">
    <w:p w14:paraId="51AA69D7" w14:textId="77777777" w:rsidR="00193646" w:rsidRDefault="00193646" w:rsidP="00E732FA">
      <w:pPr>
        <w:pStyle w:val="FootnoteText"/>
      </w:pPr>
      <w:r>
        <w:rPr>
          <w:rStyle w:val="FootnoteReference"/>
        </w:rPr>
        <w:footnoteRef/>
      </w:r>
      <w:r>
        <w:t xml:space="preserve"> </w:t>
      </w:r>
      <w:r>
        <w:rPr>
          <w:lang w:val="sr-Latn-ME"/>
        </w:rPr>
        <w:t>TOURISM</w:t>
      </w:r>
      <w:r>
        <w:t xml:space="preserve"> : FROM CRISIS TO TRANSFORMATION, UNWTO and the COVID-19 crisis, 2021</w:t>
      </w:r>
    </w:p>
  </w:footnote>
  <w:footnote w:id="25">
    <w:p w14:paraId="11AB4F99" w14:textId="77777777" w:rsidR="00193646" w:rsidRDefault="00193646" w:rsidP="00E732FA">
      <w:pPr>
        <w:pStyle w:val="FootnoteText"/>
      </w:pPr>
      <w:r>
        <w:rPr>
          <w:rStyle w:val="FootnoteReference"/>
        </w:rPr>
        <w:footnoteRef/>
      </w:r>
      <w:r>
        <w:t xml:space="preserve"> </w:t>
      </w:r>
      <w:hyperlink r:id="rId14" w:history="1">
        <w:r w:rsidRPr="007C60D2">
          <w:rPr>
            <w:rStyle w:val="Hyperlink"/>
          </w:rPr>
          <w:t>https://www.poslodavci.org/</w:t>
        </w:r>
      </w:hyperlink>
    </w:p>
    <w:p w14:paraId="74196909" w14:textId="77777777" w:rsidR="00193646" w:rsidRPr="005E786A" w:rsidRDefault="00193646" w:rsidP="00E732FA">
      <w:pPr>
        <w:pStyle w:val="FootnoteText"/>
        <w:rPr>
          <w:lang w:val="sr-Latn-ME"/>
        </w:rPr>
      </w:pPr>
    </w:p>
  </w:footnote>
  <w:footnote w:id="26">
    <w:p w14:paraId="0DDF70EA" w14:textId="77777777" w:rsidR="00193646" w:rsidRPr="004C102E" w:rsidRDefault="00193646" w:rsidP="00E732FA">
      <w:pPr>
        <w:pStyle w:val="FootnoteText"/>
        <w:rPr>
          <w:lang w:val="sr-Latn-ME"/>
        </w:rPr>
      </w:pPr>
      <w:r>
        <w:rPr>
          <w:rStyle w:val="FootnoteReference"/>
        </w:rPr>
        <w:footnoteRef/>
      </w:r>
      <w:r>
        <w:t xml:space="preserve"> Source</w:t>
      </w:r>
      <w:r w:rsidRPr="004C102E">
        <w:t>: UNWTO/EBRD Mission Report: UNWTO/EBRD Project for the facilitating tourism recovery in aftermath of Covid-19 in Montenegro</w:t>
      </w:r>
    </w:p>
  </w:footnote>
  <w:footnote w:id="27">
    <w:p w14:paraId="4FFB7130" w14:textId="77777777" w:rsidR="00193646" w:rsidRPr="00DC492E" w:rsidRDefault="00193646" w:rsidP="00E732FA">
      <w:pPr>
        <w:tabs>
          <w:tab w:val="left" w:pos="110"/>
        </w:tabs>
        <w:spacing w:after="0"/>
        <w:ind w:left="108"/>
        <w:jc w:val="both"/>
        <w:rPr>
          <w:rFonts w:eastAsia="Times New Roman" w:cs="Calibri"/>
        </w:rPr>
      </w:pPr>
      <w:r w:rsidRPr="00DC492E">
        <w:rPr>
          <w:rStyle w:val="FootnoteReference"/>
          <w:rFonts w:cs="Calibri"/>
        </w:rPr>
        <w:footnoteRef/>
      </w:r>
      <w:r w:rsidRPr="00DC492E">
        <w:rPr>
          <w:rFonts w:cs="Calibri"/>
        </w:rPr>
        <w:t xml:space="preserve"> More details on the links </w:t>
      </w:r>
      <w:hyperlink r:id="rId15" w:history="1">
        <w:r w:rsidRPr="00DC492E">
          <w:rPr>
            <w:rStyle w:val="Hyperlink"/>
            <w:rFonts w:eastAsia="Times New Roman" w:cs="Calibri"/>
          </w:rPr>
          <w:t>https://www.mindtools.com/pages/article/newTMC_09.htm</w:t>
        </w:r>
      </w:hyperlink>
      <w:r w:rsidRPr="00DC492E">
        <w:rPr>
          <w:rFonts w:eastAsia="Times New Roman" w:cs="Calibri"/>
        </w:rPr>
        <w:t xml:space="preserve">,   </w:t>
      </w:r>
      <w:hyperlink r:id="rId16" w:history="1">
        <w:r w:rsidRPr="00DC492E">
          <w:rPr>
            <w:rStyle w:val="Hyperlink"/>
            <w:rFonts w:eastAsia="Times New Roman" w:cs="Calibri"/>
          </w:rPr>
          <w:t>https://processpolicy.com/pestle-analysis.htm</w:t>
        </w:r>
      </w:hyperlink>
      <w:r w:rsidRPr="00DC492E">
        <w:rPr>
          <w:rFonts w:eastAsia="Times New Roman" w:cs="Calibri"/>
        </w:rPr>
        <w:t xml:space="preserve"> </w:t>
      </w:r>
      <w:r w:rsidRPr="00DC492E">
        <w:rPr>
          <w:rFonts w:cs="Calibri"/>
        </w:rPr>
        <w:t>, as stated in the Methodology of policy development, drafting and monitoring of the implementation of strategic documents, on p. 26, footnotes 21 and 22</w:t>
      </w:r>
    </w:p>
  </w:footnote>
  <w:footnote w:id="28">
    <w:p w14:paraId="7C321068" w14:textId="77777777" w:rsidR="00193646" w:rsidRPr="00DC492E" w:rsidRDefault="00193646" w:rsidP="00E732FA">
      <w:pPr>
        <w:pStyle w:val="FootnoteText"/>
      </w:pPr>
      <w:r w:rsidRPr="00DC492E">
        <w:rPr>
          <w:rStyle w:val="FootnoteReference"/>
        </w:rPr>
        <w:footnoteRef/>
      </w:r>
      <w:r w:rsidRPr="00DC492E">
        <w:t xml:space="preserve"> </w:t>
      </w:r>
      <w:hyperlink r:id="rId17" w:history="1">
        <w:r w:rsidRPr="00DC492E">
          <w:rPr>
            <w:rStyle w:val="Hyperlink"/>
          </w:rPr>
          <w:t>https://www.oecd-ilibrary.org/sites/e1fa2868-en/index.html?itemId=/content/component/e1fa2868-en</w:t>
        </w:r>
      </w:hyperlink>
    </w:p>
    <w:p w14:paraId="27AC5B0C" w14:textId="77777777" w:rsidR="00193646" w:rsidRPr="000E4F28" w:rsidRDefault="00193646" w:rsidP="00E732FA">
      <w:pPr>
        <w:pStyle w:val="FootnoteText"/>
        <w:rPr>
          <w:lang w:val="sr-Latn-ME"/>
        </w:rPr>
      </w:pPr>
    </w:p>
  </w:footnote>
  <w:footnote w:id="29">
    <w:p w14:paraId="1A2D992E" w14:textId="77777777" w:rsidR="00193646" w:rsidRPr="00DC492E" w:rsidRDefault="00193646" w:rsidP="00E732FA">
      <w:pPr>
        <w:pStyle w:val="FootnoteText"/>
      </w:pPr>
      <w:r w:rsidRPr="00DC492E">
        <w:rPr>
          <w:rStyle w:val="FootnoteReference"/>
        </w:rPr>
        <w:footnoteRef/>
      </w:r>
      <w:r w:rsidRPr="00DC492E">
        <w:t xml:space="preserve"> </w:t>
      </w:r>
      <w:hyperlink r:id="rId18" w:anchor="section-d1e42386" w:history="1">
        <w:r w:rsidRPr="00DC492E">
          <w:rPr>
            <w:rStyle w:val="Hyperlink"/>
          </w:rPr>
          <w:t>https://www.oecd-ilibrary.org/sites/f3180e03-en/index.html?itemId=/content/component/f3180e03-en#section-d1e42386</w:t>
        </w:r>
      </w:hyperlink>
    </w:p>
    <w:p w14:paraId="625A2791" w14:textId="77777777" w:rsidR="00193646" w:rsidRPr="000E4F28" w:rsidRDefault="00193646" w:rsidP="00E732FA">
      <w:pPr>
        <w:pStyle w:val="FootnoteText"/>
        <w:rPr>
          <w:lang w:val="sr-Latn-ME"/>
        </w:rPr>
      </w:pPr>
    </w:p>
  </w:footnote>
  <w:footnote w:id="30">
    <w:p w14:paraId="37ACC5CF" w14:textId="77777777" w:rsidR="00193646" w:rsidRPr="00DC492E" w:rsidRDefault="00193646" w:rsidP="00E732FA">
      <w:pPr>
        <w:pStyle w:val="FootnoteText"/>
      </w:pPr>
      <w:r w:rsidRPr="00DC492E">
        <w:rPr>
          <w:rStyle w:val="FootnoteReference"/>
        </w:rPr>
        <w:footnoteRef/>
      </w:r>
      <w:r w:rsidRPr="00DC492E">
        <w:t xml:space="preserve"> </w:t>
      </w:r>
      <w:hyperlink r:id="rId19" w:history="1">
        <w:r w:rsidRPr="00DC492E">
          <w:rPr>
            <w:rStyle w:val="Hyperlink"/>
          </w:rPr>
          <w:t>https://www.oecd-ilibrary.org/sites/3d4192c2-en/index.html?itemId=/content/component/3d4192c2-en</w:t>
        </w:r>
      </w:hyperlink>
    </w:p>
    <w:p w14:paraId="7A2D71C2" w14:textId="77777777" w:rsidR="00193646" w:rsidRPr="00CF25C0" w:rsidRDefault="00193646" w:rsidP="00E732FA">
      <w:pPr>
        <w:pStyle w:val="FootnoteText"/>
        <w:rPr>
          <w:lang w:val="sr-Latn-ME"/>
        </w:rPr>
      </w:pPr>
    </w:p>
  </w:footnote>
  <w:footnote w:id="31">
    <w:p w14:paraId="3C721E55" w14:textId="77777777" w:rsidR="00193646" w:rsidRPr="00DC492E" w:rsidRDefault="00193646" w:rsidP="00E732FA">
      <w:pPr>
        <w:pStyle w:val="FootnoteText"/>
      </w:pPr>
      <w:r w:rsidRPr="00DC492E">
        <w:rPr>
          <w:rStyle w:val="FootnoteReference"/>
        </w:rPr>
        <w:footnoteRef/>
      </w:r>
      <w:r w:rsidRPr="00DC492E">
        <w:t xml:space="preserve"> </w:t>
      </w:r>
      <w:hyperlink r:id="rId20" w:anchor="chapter-d1e88342" w:history="1">
        <w:r w:rsidRPr="00DC492E">
          <w:rPr>
            <w:rStyle w:val="Hyperlink"/>
          </w:rPr>
          <w:t>https://www.oecd-ilibrary.org/sites/93f6c6fb-en/index.html?itemId=/content/component/93f6c6fb-en#chapter-d1e88342</w:t>
        </w:r>
      </w:hyperlink>
    </w:p>
    <w:p w14:paraId="01026A4A" w14:textId="77777777" w:rsidR="00193646" w:rsidRPr="00CF25C0" w:rsidRDefault="00193646" w:rsidP="00E732FA">
      <w:pPr>
        <w:pStyle w:val="FootnoteText"/>
        <w:rPr>
          <w:lang w:val="sr-Latn-ME"/>
        </w:rPr>
      </w:pPr>
    </w:p>
  </w:footnote>
  <w:footnote w:id="32">
    <w:p w14:paraId="54B45054" w14:textId="77777777" w:rsidR="00193646" w:rsidRPr="00DC492E" w:rsidRDefault="00193646" w:rsidP="00E732FA">
      <w:pPr>
        <w:pStyle w:val="FootnoteText"/>
      </w:pPr>
      <w:r w:rsidRPr="00DC492E">
        <w:rPr>
          <w:rStyle w:val="FootnoteReference"/>
        </w:rPr>
        <w:footnoteRef/>
      </w:r>
      <w:r w:rsidRPr="00DC492E">
        <w:t xml:space="preserve"> </w:t>
      </w:r>
      <w:hyperlink r:id="rId21" w:history="1">
        <w:r w:rsidRPr="00DC492E">
          <w:rPr>
            <w:rStyle w:val="Hyperlink"/>
          </w:rPr>
          <w:t>https://www.unwto.org/sustainable-development</w:t>
        </w:r>
      </w:hyperlink>
    </w:p>
    <w:p w14:paraId="247A903E" w14:textId="77777777" w:rsidR="00193646" w:rsidRPr="00C93482" w:rsidRDefault="00193646" w:rsidP="00E732FA">
      <w:pPr>
        <w:pStyle w:val="FootnoteText"/>
        <w:rPr>
          <w:lang w:val="sr-Latn-ME"/>
        </w:rPr>
      </w:pPr>
    </w:p>
  </w:footnote>
  <w:footnote w:id="33">
    <w:p w14:paraId="0CFC64C8" w14:textId="77777777" w:rsidR="00193646" w:rsidRPr="00DC492E" w:rsidRDefault="00193646" w:rsidP="00E732FA">
      <w:pPr>
        <w:pStyle w:val="FootnoteText"/>
      </w:pPr>
      <w:r w:rsidRPr="00DC492E">
        <w:rPr>
          <w:rStyle w:val="FootnoteReference"/>
        </w:rPr>
        <w:footnoteRef/>
      </w:r>
      <w:r w:rsidRPr="00DC492E">
        <w:t xml:space="preserve"> </w:t>
      </w:r>
      <w:hyperlink r:id="rId22" w:history="1">
        <w:r w:rsidRPr="00DC492E">
          <w:rPr>
            <w:rStyle w:val="Hyperlink"/>
          </w:rPr>
          <w:t>https://www.un.org/development/desa/disabilities/issues/promoting-accessible-tourism-for-all.html</w:t>
        </w:r>
      </w:hyperlink>
      <w:r w:rsidRPr="00DC492E">
        <w:t xml:space="preserve"> </w:t>
      </w:r>
    </w:p>
  </w:footnote>
  <w:footnote w:id="34">
    <w:p w14:paraId="49B3005B" w14:textId="77777777" w:rsidR="00193646" w:rsidRPr="00DC492E" w:rsidRDefault="00193646" w:rsidP="00E732FA">
      <w:pPr>
        <w:pStyle w:val="FootnoteText"/>
      </w:pPr>
      <w:r w:rsidRPr="00DC492E">
        <w:rPr>
          <w:rStyle w:val="FootnoteReference"/>
        </w:rPr>
        <w:footnoteRef/>
      </w:r>
      <w:r w:rsidRPr="00DC492E">
        <w:t xml:space="preserve"> </w:t>
      </w:r>
      <w:hyperlink r:id="rId23" w:history="1">
        <w:r w:rsidRPr="00DC492E">
          <w:rPr>
            <w:rStyle w:val="Hyperlink"/>
          </w:rPr>
          <w:t>https://www.gov.me/clanak/intenzivira-se-rad-na-garanciji-za-mlade-na-zapadnom-balkanu</w:t>
        </w:r>
      </w:hyperlink>
      <w:r w:rsidRPr="00DC492E">
        <w:rPr>
          <w:rStyle w:val="Hyperlink"/>
        </w:rPr>
        <w:t xml:space="preserve"> </w:t>
      </w:r>
    </w:p>
    <w:p w14:paraId="732189A2" w14:textId="77777777" w:rsidR="00193646" w:rsidRPr="000411EA" w:rsidRDefault="00193646" w:rsidP="00E732FA">
      <w:pPr>
        <w:pStyle w:val="FootnoteText"/>
        <w:rPr>
          <w:lang w:val="sr-Latn-ME"/>
        </w:rPr>
      </w:pPr>
    </w:p>
  </w:footnote>
  <w:footnote w:id="35">
    <w:p w14:paraId="68A9FF3D" w14:textId="77777777" w:rsidR="00193646" w:rsidRPr="00CF7054" w:rsidRDefault="00193646" w:rsidP="00E732FA">
      <w:pPr>
        <w:pStyle w:val="Heading1"/>
        <w:pBdr>
          <w:bottom w:val="single" w:sz="2" w:space="0" w:color="BABABA"/>
        </w:pBdr>
        <w:shd w:val="clear" w:color="auto" w:fill="FFFFFF"/>
        <w:spacing w:before="0" w:after="105"/>
        <w:jc w:val="both"/>
        <w:rPr>
          <w:rFonts w:eastAsia="Times New Roman" w:cstheme="minorHAnsi"/>
          <w:b w:val="0"/>
          <w:color w:val="333333"/>
          <w:sz w:val="18"/>
          <w:szCs w:val="18"/>
        </w:rPr>
      </w:pPr>
      <w:r w:rsidRPr="00CF7054">
        <w:rPr>
          <w:rStyle w:val="FootnoteReference"/>
          <w:rFonts w:cstheme="minorHAnsi"/>
          <w:b w:val="0"/>
          <w:sz w:val="18"/>
          <w:szCs w:val="18"/>
        </w:rPr>
        <w:footnoteRef/>
      </w:r>
      <w:r w:rsidRPr="00CF7054">
        <w:rPr>
          <w:rFonts w:cstheme="minorHAnsi"/>
          <w:b w:val="0"/>
          <w:sz w:val="18"/>
          <w:szCs w:val="18"/>
        </w:rPr>
        <w:t xml:space="preserve"> </w:t>
      </w:r>
      <w:r w:rsidRPr="00CF7054">
        <w:rPr>
          <w:rFonts w:eastAsia="Times New Roman" w:cstheme="minorHAnsi"/>
          <w:b w:val="0"/>
          <w:color w:val="333333"/>
          <w:kern w:val="36"/>
          <w:sz w:val="18"/>
          <w:szCs w:val="18"/>
        </w:rPr>
        <w:t xml:space="preserve">Augmented Intelligence: Leverage Smart Systems, </w:t>
      </w:r>
      <w:r w:rsidRPr="00CF7054">
        <w:rPr>
          <w:rFonts w:eastAsia="Times New Roman" w:cstheme="minorHAnsi"/>
          <w:b w:val="0"/>
          <w:color w:val="333333"/>
          <w:sz w:val="18"/>
          <w:szCs w:val="18"/>
        </w:rPr>
        <w:t>João M.F. Rodrigues (</w:t>
      </w:r>
      <w:r w:rsidRPr="00CF7054">
        <w:rPr>
          <w:rFonts w:eastAsia="Times New Roman" w:cstheme="minorHAnsi"/>
          <w:b w:val="0"/>
          <w:color w:val="333333"/>
          <w:sz w:val="18"/>
          <w:szCs w:val="18"/>
        </w:rPr>
        <w:t>Universidade do Algarve, Portugal &amp; LARSyS, Institute for Systems and Robotics, Lisbon, Portugal), Pedro J.S. Cardoso (Universidade do Algarve, Portugal &amp; LARSyS, Institute for Systems and Robotics, Lisbon, Portugal), Jânio Monteiro (Universidade do Algarve, Portugal &amp; INESC-ID, Lisbon, Portugal) and Célia M.Q. Ramos (Universidade do Algarve, Portugal &amp; CIEO, Portugal), 2020</w:t>
      </w:r>
    </w:p>
    <w:p w14:paraId="5CB1BCDF" w14:textId="77777777" w:rsidR="00193646" w:rsidRPr="00CF7054" w:rsidRDefault="00193646" w:rsidP="00E732FA">
      <w:pPr>
        <w:pStyle w:val="FootnoteText"/>
        <w:rPr>
          <w:lang w:val="sr-Latn-ME"/>
        </w:rPr>
      </w:pPr>
    </w:p>
  </w:footnote>
  <w:footnote w:id="36">
    <w:p w14:paraId="29A79E90" w14:textId="77777777" w:rsidR="00193646" w:rsidRPr="00DC492E" w:rsidRDefault="00193646" w:rsidP="00E732FA">
      <w:pPr>
        <w:pStyle w:val="FootnoteText"/>
      </w:pPr>
      <w:r w:rsidRPr="00DC492E">
        <w:rPr>
          <w:rStyle w:val="FootnoteReference"/>
        </w:rPr>
        <w:footnoteRef/>
      </w:r>
      <w:r w:rsidRPr="00DC492E">
        <w:t xml:space="preserve"> </w:t>
      </w:r>
      <w:hyperlink r:id="rId24" w:history="1">
        <w:r w:rsidRPr="00DC492E">
          <w:rPr>
            <w:rStyle w:val="Hyperlink"/>
          </w:rPr>
          <w:t>https://www.me.undp.org/content/montenegro/sr/home/presscenter/articles/klimatska-kriza-trai-sutinske-promjene-i-odgovornost-svih.html</w:t>
        </w:r>
      </w:hyperlink>
    </w:p>
    <w:p w14:paraId="1E7AD534" w14:textId="77777777" w:rsidR="00193646" w:rsidRPr="00A21162" w:rsidRDefault="00193646" w:rsidP="00E732FA">
      <w:pPr>
        <w:pStyle w:val="FootnoteText"/>
        <w:rPr>
          <w:lang w:val="sr-Latn-ME"/>
        </w:rPr>
      </w:pPr>
    </w:p>
  </w:footnote>
  <w:footnote w:id="37">
    <w:p w14:paraId="6951EC07" w14:textId="77777777" w:rsidR="00193646" w:rsidRPr="00DC492E" w:rsidRDefault="00193646" w:rsidP="00E732FA">
      <w:pPr>
        <w:spacing w:after="120"/>
        <w:jc w:val="both"/>
        <w:rPr>
          <w:rFonts w:cstheme="minorHAnsi"/>
          <w:sz w:val="24"/>
          <w:szCs w:val="24"/>
          <w:lang w:eastAsia="hr-HR"/>
        </w:rPr>
      </w:pPr>
      <w:r w:rsidRPr="00DC492E">
        <w:rPr>
          <w:rStyle w:val="FootnoteReference"/>
        </w:rPr>
        <w:footnoteRef/>
      </w:r>
      <w:r w:rsidRPr="00DC492E">
        <w:t xml:space="preserve"> </w:t>
      </w:r>
      <w:hyperlink r:id="rId25" w:history="1">
        <w:r w:rsidRPr="00DC492E">
          <w:rPr>
            <w:rStyle w:val="Hyperlink"/>
            <w:rFonts w:cstheme="minorHAnsi"/>
            <w:sz w:val="24"/>
            <w:szCs w:val="24"/>
            <w:lang w:eastAsia="hr-HR"/>
          </w:rPr>
          <w:t>https://www.gstcouncil.org/gstc-criteria/</w:t>
        </w:r>
      </w:hyperlink>
    </w:p>
    <w:p w14:paraId="06D8B4F8" w14:textId="77777777" w:rsidR="00193646" w:rsidRPr="00E83A20" w:rsidRDefault="00193646" w:rsidP="00E732FA">
      <w:pPr>
        <w:pStyle w:val="FootnoteText"/>
        <w:rPr>
          <w:lang w:val="sr-Latn-ME"/>
        </w:rPr>
      </w:pPr>
    </w:p>
  </w:footnote>
  <w:footnote w:id="38">
    <w:p w14:paraId="42A33B33" w14:textId="77777777" w:rsidR="00193646" w:rsidRPr="00DC492E" w:rsidRDefault="00193646" w:rsidP="00E732FA">
      <w:pPr>
        <w:pStyle w:val="FootnoteText"/>
      </w:pPr>
      <w:r w:rsidRPr="00DC492E">
        <w:rPr>
          <w:rStyle w:val="FootnoteReference"/>
        </w:rPr>
        <w:footnoteRef/>
      </w:r>
      <w:r w:rsidRPr="00DC492E">
        <w:t xml:space="preserve"> </w:t>
      </w:r>
      <w:hyperlink r:id="rId26" w:history="1">
        <w:r w:rsidRPr="00DC492E">
          <w:rPr>
            <w:rStyle w:val="Hyperlink"/>
          </w:rPr>
          <w:t>http://zeleni-kljuc.org.me/</w:t>
        </w:r>
      </w:hyperlink>
    </w:p>
    <w:p w14:paraId="0B22FAB5" w14:textId="77777777" w:rsidR="00193646" w:rsidRPr="00C52C38" w:rsidRDefault="00193646" w:rsidP="00E732FA">
      <w:pPr>
        <w:pStyle w:val="FootnoteText"/>
        <w:rPr>
          <w:lang w:val="sr-Latn-ME"/>
        </w:rPr>
      </w:pPr>
    </w:p>
  </w:footnote>
  <w:footnote w:id="39">
    <w:p w14:paraId="65B9E530" w14:textId="77777777" w:rsidR="00193646" w:rsidRDefault="00193646">
      <w:pPr>
        <w:pStyle w:val="FootnoteText"/>
      </w:pPr>
      <w:r>
        <w:rPr>
          <w:rStyle w:val="FootnoteReference"/>
        </w:rPr>
        <w:footnoteRef/>
      </w:r>
      <w:r>
        <w:t xml:space="preserve"> </w:t>
      </w:r>
      <w:hyperlink r:id="rId27" w:history="1">
        <w:r w:rsidRPr="00CB6ED6">
          <w:rPr>
            <w:rStyle w:val="Hyperlink"/>
          </w:rPr>
          <w:t>https://ipard.gov.me/IPARD_program</w:t>
        </w:r>
      </w:hyperlink>
    </w:p>
    <w:p w14:paraId="279A5262" w14:textId="77777777" w:rsidR="00193646" w:rsidRPr="00A06466" w:rsidRDefault="00193646">
      <w:pPr>
        <w:pStyle w:val="FootnoteText"/>
        <w:rPr>
          <w:lang w:val="sr-Latn-ME"/>
        </w:rPr>
      </w:pPr>
    </w:p>
  </w:footnote>
  <w:footnote w:id="40">
    <w:p w14:paraId="66573B50" w14:textId="77777777" w:rsidR="00193646" w:rsidRPr="007B3399" w:rsidRDefault="00193646" w:rsidP="007B3399">
      <w:pPr>
        <w:pStyle w:val="FootnoteText"/>
      </w:pPr>
      <w:r>
        <w:rPr>
          <w:rStyle w:val="FootnoteReference"/>
        </w:rPr>
        <w:footnoteRef/>
      </w:r>
      <w:r>
        <w:t xml:space="preserve"> </w:t>
      </w:r>
      <w:hyperlink r:id="rId28" w:history="1">
        <w:r w:rsidRPr="00CB6ED6">
          <w:rPr>
            <w:rStyle w:val="Hyperlink"/>
          </w:rPr>
          <w:t>https://ipard.gov.me/IPARD_III_PROGRAM</w:t>
        </w:r>
      </w:hyperlink>
    </w:p>
  </w:footnote>
  <w:footnote w:id="41">
    <w:p w14:paraId="3B8B515E" w14:textId="77777777" w:rsidR="00193646" w:rsidRDefault="00193646" w:rsidP="007B3399">
      <w:pPr>
        <w:pStyle w:val="FootnoteText"/>
      </w:pPr>
      <w:r>
        <w:rPr>
          <w:rStyle w:val="FootnoteReference"/>
        </w:rPr>
        <w:footnoteRef/>
      </w:r>
      <w:r>
        <w:t xml:space="preserve"> </w:t>
      </w:r>
      <w:hyperlink r:id="rId29" w:history="1">
        <w:r w:rsidRPr="00A2284B">
          <w:rPr>
            <w:rStyle w:val="Hyperlink"/>
          </w:rPr>
          <w:t>https://www.e-unwto.org/doi/epdf/10.18111/9789284422579</w:t>
        </w:r>
      </w:hyperlink>
    </w:p>
    <w:p w14:paraId="6ABD4CCD" w14:textId="77777777" w:rsidR="00193646" w:rsidRPr="00082DF1" w:rsidRDefault="00193646">
      <w:pPr>
        <w:pStyle w:val="FootnoteText"/>
        <w:rPr>
          <w:lang w:val="sr-Latn-ME"/>
        </w:rPr>
      </w:pPr>
    </w:p>
  </w:footnote>
  <w:footnote w:id="42">
    <w:p w14:paraId="7B384383" w14:textId="77777777" w:rsidR="00193646" w:rsidRDefault="00193646">
      <w:pPr>
        <w:pStyle w:val="FootnoteText"/>
      </w:pPr>
      <w:r>
        <w:rPr>
          <w:rStyle w:val="FootnoteReference"/>
        </w:rPr>
        <w:footnoteRef/>
      </w:r>
      <w:r>
        <w:t xml:space="preserve"> </w:t>
      </w:r>
      <w:hyperlink r:id="rId30" w:history="1">
        <w:r w:rsidRPr="00A2284B">
          <w:rPr>
            <w:rStyle w:val="Hyperlink"/>
          </w:rPr>
          <w:t>https://www.e-unwto.org/doi/book/10.18111/9789284418978</w:t>
        </w:r>
      </w:hyperlink>
    </w:p>
    <w:p w14:paraId="38830023" w14:textId="77777777" w:rsidR="00193646" w:rsidRPr="00E305A2" w:rsidRDefault="00193646">
      <w:pPr>
        <w:pStyle w:val="FootnoteText"/>
        <w:rPr>
          <w:lang w:val="sr-Latn-ME"/>
        </w:rPr>
      </w:pPr>
    </w:p>
  </w:footnote>
  <w:footnote w:id="43">
    <w:p w14:paraId="14A908D2" w14:textId="77777777" w:rsidR="00193646" w:rsidRDefault="00193646">
      <w:pPr>
        <w:pStyle w:val="FootnoteText"/>
      </w:pPr>
      <w:r>
        <w:rPr>
          <w:rStyle w:val="FootnoteReference"/>
        </w:rPr>
        <w:footnoteRef/>
      </w:r>
      <w:r>
        <w:t xml:space="preserve"> </w:t>
      </w:r>
      <w:hyperlink r:id="rId31" w:history="1">
        <w:r w:rsidRPr="002B255F">
          <w:rPr>
            <w:rStyle w:val="Hyperlink"/>
          </w:rPr>
          <w:t>https://www.iucn.org/</w:t>
        </w:r>
      </w:hyperlink>
    </w:p>
    <w:p w14:paraId="33C42C6B" w14:textId="77777777" w:rsidR="00193646" w:rsidRPr="0055089D" w:rsidRDefault="00193646">
      <w:pPr>
        <w:pStyle w:val="FootnoteText"/>
        <w:rPr>
          <w:lang w:val="sr-Latn-ME"/>
        </w:rPr>
      </w:pPr>
    </w:p>
  </w:footnote>
  <w:footnote w:id="44">
    <w:p w14:paraId="07E8CD55" w14:textId="77777777" w:rsidR="00193646" w:rsidRDefault="00193646">
      <w:pPr>
        <w:pStyle w:val="FootnoteText"/>
      </w:pPr>
      <w:r>
        <w:rPr>
          <w:rStyle w:val="FootnoteReference"/>
        </w:rPr>
        <w:footnoteRef/>
      </w:r>
      <w:r>
        <w:t xml:space="preserve"> </w:t>
      </w:r>
      <w:hyperlink r:id="rId32" w:history="1">
        <w:r w:rsidRPr="002B255F">
          <w:rPr>
            <w:rStyle w:val="Hyperlink"/>
          </w:rPr>
          <w:t>https://www.iucn.org/commissions/world-commission-protected-areas</w:t>
        </w:r>
      </w:hyperlink>
    </w:p>
    <w:p w14:paraId="0919DBCC" w14:textId="77777777" w:rsidR="00193646" w:rsidRPr="0055089D" w:rsidRDefault="00193646">
      <w:pPr>
        <w:pStyle w:val="FootnoteText"/>
        <w:rPr>
          <w:lang w:val="sr-Latn-ME"/>
        </w:rPr>
      </w:pPr>
    </w:p>
  </w:footnote>
  <w:footnote w:id="45">
    <w:p w14:paraId="4011D124" w14:textId="4D355681" w:rsidR="00193646" w:rsidRPr="00C82AAF" w:rsidRDefault="00193646" w:rsidP="00E80D69">
      <w:pPr>
        <w:jc w:val="both"/>
        <w:rPr>
          <w:rFonts w:cstheme="minorHAnsi"/>
          <w:sz w:val="20"/>
        </w:rPr>
      </w:pPr>
      <w:r w:rsidRPr="00C82AAF">
        <w:rPr>
          <w:rStyle w:val="FootnoteTextChar"/>
          <w:rFonts w:cstheme="minorHAnsi"/>
          <w:sz w:val="18"/>
        </w:rPr>
        <w:footnoteRef/>
      </w:r>
      <w:r w:rsidRPr="00C82AAF">
        <w:rPr>
          <w:rFonts w:cstheme="minorHAnsi"/>
          <w:sz w:val="20"/>
        </w:rPr>
        <w:t xml:space="preserve"> National Parks of Montenegro (2020): "Report on the implementation of the annual management program for 2019", p. 27</w:t>
      </w:r>
    </w:p>
  </w:footnote>
  <w:footnote w:id="46">
    <w:p w14:paraId="0691161E" w14:textId="77777777" w:rsidR="00193646" w:rsidRDefault="00193646">
      <w:pPr>
        <w:pStyle w:val="FootnoteText"/>
      </w:pPr>
      <w:r>
        <w:rPr>
          <w:rStyle w:val="FootnoteReference"/>
        </w:rPr>
        <w:footnoteRef/>
      </w:r>
      <w:r>
        <w:t xml:space="preserve"> </w:t>
      </w:r>
      <w:hyperlink r:id="rId33" w:history="1">
        <w:r w:rsidRPr="00271A4D">
          <w:rPr>
            <w:rStyle w:val="Hyperlink"/>
          </w:rPr>
          <w:t>https://orjen.me/ponuda-parka/posmatranje-zivotinja/</w:t>
        </w:r>
      </w:hyperlink>
    </w:p>
    <w:p w14:paraId="070A2DAE" w14:textId="77777777" w:rsidR="00193646" w:rsidRPr="00CA0961" w:rsidRDefault="00193646">
      <w:pPr>
        <w:pStyle w:val="FootnoteText"/>
        <w:rPr>
          <w:lang w:val="sr-Latn-ME"/>
        </w:rPr>
      </w:pPr>
    </w:p>
  </w:footnote>
  <w:footnote w:id="47">
    <w:p w14:paraId="2C872934" w14:textId="77777777" w:rsidR="00193646" w:rsidRDefault="00193646">
      <w:pPr>
        <w:pStyle w:val="FootnoteText"/>
      </w:pPr>
      <w:r>
        <w:rPr>
          <w:rStyle w:val="FootnoteReference"/>
        </w:rPr>
        <w:footnoteRef/>
      </w:r>
      <w:r>
        <w:t xml:space="preserve"> </w:t>
      </w:r>
      <w:hyperlink r:id="rId34" w:history="1">
        <w:r w:rsidRPr="00A2284B">
          <w:rPr>
            <w:rStyle w:val="Hyperlink"/>
          </w:rPr>
          <w:t>https://www.adventuretravel.biz/</w:t>
        </w:r>
      </w:hyperlink>
    </w:p>
    <w:p w14:paraId="5844842F" w14:textId="77777777" w:rsidR="00193646" w:rsidRPr="00B07EBB" w:rsidRDefault="00193646">
      <w:pPr>
        <w:pStyle w:val="FootnoteText"/>
        <w:rPr>
          <w:lang w:val="sr-Latn-ME"/>
        </w:rPr>
      </w:pPr>
    </w:p>
  </w:footnote>
  <w:footnote w:id="48">
    <w:p w14:paraId="578FE62D" w14:textId="77777777" w:rsidR="00193646" w:rsidRPr="00176DC1" w:rsidRDefault="00193646">
      <w:pPr>
        <w:pStyle w:val="FootnoteText"/>
        <w:rPr>
          <w:sz w:val="18"/>
          <w:szCs w:val="18"/>
        </w:rPr>
      </w:pPr>
      <w:r>
        <w:rPr>
          <w:rStyle w:val="FootnoteReference"/>
        </w:rPr>
        <w:footnoteRef/>
      </w:r>
      <w:r>
        <w:t xml:space="preserve"> </w:t>
      </w:r>
      <w:r w:rsidRPr="00176DC1">
        <w:rPr>
          <w:sz w:val="18"/>
          <w:szCs w:val="18"/>
        </w:rPr>
        <w:t>Copyright © 2014, World Tourism Organization (UNWTO), AM Reports, Volume nine – Global Report on Adventure Tourism</w:t>
      </w:r>
    </w:p>
    <w:p w14:paraId="467E23CA" w14:textId="77777777" w:rsidR="00193646" w:rsidRDefault="00193646">
      <w:pPr>
        <w:pStyle w:val="FootnoteText"/>
      </w:pPr>
    </w:p>
    <w:p w14:paraId="702FD53F" w14:textId="77777777" w:rsidR="00193646" w:rsidRPr="00176DC1" w:rsidRDefault="00193646">
      <w:pPr>
        <w:pStyle w:val="FootnoteText"/>
        <w:rPr>
          <w:lang w:val="sr-Latn-ME"/>
        </w:rPr>
      </w:pPr>
    </w:p>
  </w:footnote>
  <w:footnote w:id="49">
    <w:p w14:paraId="7614BC0F" w14:textId="77777777" w:rsidR="00193646" w:rsidRPr="00322397" w:rsidRDefault="00193646" w:rsidP="00322397">
      <w:pPr>
        <w:spacing w:after="0" w:line="240" w:lineRule="auto"/>
        <w:jc w:val="both"/>
        <w:rPr>
          <w:rFonts w:ascii="Calibri" w:hAnsi="Calibri" w:cs="Calibri"/>
          <w:color w:val="535353"/>
          <w:sz w:val="27"/>
          <w:szCs w:val="27"/>
          <w:shd w:val="clear" w:color="auto" w:fill="FFFFFF"/>
        </w:rPr>
      </w:pPr>
      <w:r w:rsidRPr="00CC4A2B">
        <w:rPr>
          <w:rStyle w:val="FootnoteReference"/>
        </w:rPr>
        <w:footnoteRef/>
      </w:r>
      <w:r w:rsidRPr="00CC4A2B">
        <w:t xml:space="preserve"> </w:t>
      </w:r>
      <w:r w:rsidRPr="00CC4A2B">
        <w:rPr>
          <w:lang w:val="sr-Latn-ME"/>
        </w:rPr>
        <w:t>Mice Industry by Event Type (Meeting, Incentive, Conventions and Exibitions): Global Opportunity Analysis and Industrz Forecast 2017-2028</w:t>
      </w:r>
      <w:r>
        <w:rPr>
          <w:lang w:val="sr-Latn-ME"/>
        </w:rPr>
        <w:t xml:space="preserve">  </w:t>
      </w:r>
    </w:p>
  </w:footnote>
  <w:footnote w:id="50">
    <w:p w14:paraId="5A4B3EA9" w14:textId="054417D8" w:rsidR="00193646" w:rsidRPr="006B0D77" w:rsidRDefault="00193646">
      <w:pPr>
        <w:pStyle w:val="FootnoteText"/>
        <w:rPr>
          <w:lang w:val="sr-Latn-ME"/>
        </w:rPr>
      </w:pPr>
      <w:r>
        <w:rPr>
          <w:rStyle w:val="FootnoteReference"/>
        </w:rPr>
        <w:footnoteRef/>
      </w:r>
      <w:r>
        <w:t xml:space="preserve"> </w:t>
      </w:r>
      <w:hyperlink r:id="rId35" w:history="1">
        <w:r w:rsidRPr="00B47735">
          <w:rPr>
            <w:rStyle w:val="Hyperlink"/>
          </w:rPr>
          <w:t>https://www.themeetingsindustry.org/storage/industry_news/14.3_UNWTO_Global+Report+on+Mtgs+Industry</w:t>
        </w:r>
      </w:hyperlink>
      <w:r>
        <w:t xml:space="preserve"> </w:t>
      </w:r>
    </w:p>
  </w:footnote>
  <w:footnote w:id="51">
    <w:p w14:paraId="7896C005" w14:textId="77777777" w:rsidR="00193646" w:rsidRDefault="00193646">
      <w:pPr>
        <w:pStyle w:val="FootnoteText"/>
      </w:pPr>
      <w:r>
        <w:rPr>
          <w:rStyle w:val="FootnoteReference"/>
        </w:rPr>
        <w:footnoteRef/>
      </w:r>
      <w:r>
        <w:t xml:space="preserve"> </w:t>
      </w:r>
      <w:hyperlink r:id="rId36" w:history="1">
        <w:r w:rsidRPr="002B255F">
          <w:rPr>
            <w:rStyle w:val="Hyperlink"/>
          </w:rPr>
          <w:t>https://ec.europa.eu/eurostat/en/web/products-eurostat-news/-/ddn-20200611-1</w:t>
        </w:r>
      </w:hyperlink>
    </w:p>
    <w:p w14:paraId="4A517C32" w14:textId="77777777" w:rsidR="00193646" w:rsidRPr="004F7DA1" w:rsidRDefault="00193646">
      <w:pPr>
        <w:pStyle w:val="FootnoteText"/>
        <w:rPr>
          <w:lang w:val="sr-Latn-ME"/>
        </w:rPr>
      </w:pPr>
    </w:p>
  </w:footnote>
  <w:footnote w:id="52">
    <w:p w14:paraId="33167816" w14:textId="77777777" w:rsidR="00193646" w:rsidRPr="00E76939" w:rsidRDefault="00193646" w:rsidP="00663756">
      <w:pPr>
        <w:pStyle w:val="FootnoteText"/>
        <w:rPr>
          <w:lang w:val="sr-Latn-ME"/>
        </w:rPr>
      </w:pPr>
      <w:r>
        <w:rPr>
          <w:rStyle w:val="FootnoteReference"/>
        </w:rPr>
        <w:footnoteRef/>
      </w:r>
      <w:r>
        <w:t xml:space="preserve"> </w:t>
      </w:r>
      <w:hyperlink r:id="rId37" w:history="1">
        <w:r w:rsidRPr="00C56CFD">
          <w:rPr>
            <w:rStyle w:val="Hyperlink"/>
          </w:rPr>
          <w:t>https://glampsource.com/en/differences-entre-le-camping-et-le-glamping/</w:t>
        </w:r>
      </w:hyperlink>
      <w:r>
        <w:t xml:space="preserve"> </w:t>
      </w:r>
    </w:p>
  </w:footnote>
  <w:footnote w:id="53">
    <w:p w14:paraId="0009A961" w14:textId="77777777" w:rsidR="00193646" w:rsidRPr="007A091A" w:rsidRDefault="00193646">
      <w:pPr>
        <w:pStyle w:val="FootnoteText"/>
      </w:pPr>
      <w:r>
        <w:rPr>
          <w:rStyle w:val="FootnoteReference"/>
        </w:rPr>
        <w:footnoteRef/>
      </w:r>
      <w:r>
        <w:t xml:space="preserve"> </w:t>
      </w:r>
      <w:hyperlink r:id="rId38" w:history="1">
        <w:r w:rsidRPr="002B255F">
          <w:rPr>
            <w:rStyle w:val="Hyperlink"/>
          </w:rPr>
          <w:t>https://www.unwto.org/news/unwto-bcc-forum-highlights-gastronomy-tourism-as-driver-of-rural-development</w:t>
        </w:r>
      </w:hyperlink>
    </w:p>
  </w:footnote>
  <w:footnote w:id="54">
    <w:p w14:paraId="0DB3A95C" w14:textId="77777777" w:rsidR="00193646" w:rsidRPr="00663756" w:rsidRDefault="00193646">
      <w:pPr>
        <w:pStyle w:val="FootnoteText"/>
      </w:pPr>
      <w:r>
        <w:rPr>
          <w:rStyle w:val="FootnoteReference"/>
        </w:rPr>
        <w:footnoteRef/>
      </w:r>
      <w:r>
        <w:t xml:space="preserve"> </w:t>
      </w:r>
      <w:hyperlink r:id="rId39" w:history="1">
        <w:r w:rsidRPr="002B255F">
          <w:rPr>
            <w:rStyle w:val="Hyperlink"/>
          </w:rPr>
          <w:t>https://www.unwto.org/gastronomy-wine-tourism</w:t>
        </w:r>
      </w:hyperlink>
    </w:p>
  </w:footnote>
  <w:footnote w:id="55">
    <w:p w14:paraId="4074EDF6" w14:textId="77777777" w:rsidR="00193646" w:rsidRDefault="00193646">
      <w:pPr>
        <w:pStyle w:val="FootnoteText"/>
      </w:pPr>
      <w:r>
        <w:rPr>
          <w:rStyle w:val="FootnoteReference"/>
        </w:rPr>
        <w:footnoteRef/>
      </w:r>
      <w:r>
        <w:t xml:space="preserve"> </w:t>
      </w:r>
      <w:hyperlink r:id="rId40" w:history="1">
        <w:r w:rsidRPr="00AC3DD9">
          <w:rPr>
            <w:rStyle w:val="Hyperlink"/>
          </w:rPr>
          <w:t>https://www.unwto.org/event/5-unwto-global-conference-on-wine-tourism</w:t>
        </w:r>
      </w:hyperlink>
    </w:p>
    <w:p w14:paraId="60D9DF0F" w14:textId="77777777" w:rsidR="00193646" w:rsidRPr="00B3458A" w:rsidRDefault="00193646">
      <w:pPr>
        <w:pStyle w:val="FootnoteText"/>
        <w:rPr>
          <w:lang w:val="sr-Latn-ME"/>
        </w:rPr>
      </w:pPr>
    </w:p>
  </w:footnote>
  <w:footnote w:id="56">
    <w:p w14:paraId="214F3145" w14:textId="77777777" w:rsidR="00193646" w:rsidRDefault="00193646">
      <w:pPr>
        <w:pStyle w:val="FootnoteText"/>
      </w:pPr>
      <w:r>
        <w:rPr>
          <w:rStyle w:val="FootnoteReference"/>
        </w:rPr>
        <w:footnoteRef/>
      </w:r>
      <w:r>
        <w:t xml:space="preserve"> </w:t>
      </w:r>
      <w:hyperlink r:id="rId41" w:history="1">
        <w:r w:rsidRPr="00A2284B">
          <w:rPr>
            <w:rStyle w:val="Hyperlink"/>
          </w:rPr>
          <w:t>https://www.montenegro.travel/files/multimedija/16014764.pdf</w:t>
        </w:r>
      </w:hyperlink>
    </w:p>
    <w:p w14:paraId="7621F057" w14:textId="77777777" w:rsidR="00193646" w:rsidRPr="00CB2C95" w:rsidRDefault="00193646">
      <w:pPr>
        <w:pStyle w:val="FootnoteText"/>
        <w:rPr>
          <w:lang w:val="sr-Latn-ME"/>
        </w:rPr>
      </w:pPr>
    </w:p>
  </w:footnote>
  <w:footnote w:id="57">
    <w:p w14:paraId="0F0E365D" w14:textId="77777777" w:rsidR="00193646" w:rsidRDefault="00193646" w:rsidP="00F80B80">
      <w:pPr>
        <w:pStyle w:val="FootnoteText"/>
      </w:pPr>
      <w:r>
        <w:rPr>
          <w:rStyle w:val="FootnoteReference"/>
        </w:rPr>
        <w:footnoteRef/>
      </w:r>
      <w:r>
        <w:t xml:space="preserve"> </w:t>
      </w:r>
      <w:hyperlink r:id="rId42" w:history="1">
        <w:r w:rsidRPr="00141AA2">
          <w:rPr>
            <w:rStyle w:val="Hyperlink"/>
          </w:rPr>
          <w:t>https://www.statista.com/statistics/807374/europe-numbers-of-golf-players-by-country/</w:t>
        </w:r>
      </w:hyperlink>
    </w:p>
    <w:p w14:paraId="2F4851E5" w14:textId="77777777" w:rsidR="00193646" w:rsidRPr="00657B7B" w:rsidRDefault="00193646" w:rsidP="00F80B80">
      <w:pPr>
        <w:pStyle w:val="FootnoteText"/>
      </w:pPr>
    </w:p>
  </w:footnote>
  <w:footnote w:id="58">
    <w:p w14:paraId="047A9C4E" w14:textId="77777777" w:rsidR="00193646" w:rsidRDefault="00193646" w:rsidP="00781740">
      <w:pPr>
        <w:pStyle w:val="FootnoteText"/>
      </w:pPr>
      <w:r>
        <w:rPr>
          <w:rStyle w:val="FootnoteReference"/>
        </w:rPr>
        <w:footnoteRef/>
      </w:r>
      <w:r>
        <w:t xml:space="preserve"> </w:t>
      </w:r>
      <w:hyperlink r:id="rId43" w:history="1">
        <w:r w:rsidRPr="00C17D94">
          <w:rPr>
            <w:rStyle w:val="Hyperlink"/>
          </w:rPr>
          <w:t>https://fccg.me/</w:t>
        </w:r>
      </w:hyperlink>
    </w:p>
    <w:p w14:paraId="6ECB1534" w14:textId="77777777" w:rsidR="00193646" w:rsidRPr="003C5BB9" w:rsidRDefault="00193646" w:rsidP="00781740">
      <w:pPr>
        <w:pStyle w:val="FootnoteText"/>
        <w:rPr>
          <w:lang w:val="sr-Latn-ME"/>
        </w:rPr>
      </w:pPr>
    </w:p>
  </w:footnote>
  <w:footnote w:id="59">
    <w:p w14:paraId="7FF966EB" w14:textId="77777777" w:rsidR="00193646" w:rsidRPr="008176CA" w:rsidRDefault="00193646">
      <w:pPr>
        <w:pStyle w:val="FootnoteText"/>
        <w:rPr>
          <w:lang w:val="sr-Latn-ME"/>
        </w:rPr>
      </w:pPr>
      <w:r>
        <w:rPr>
          <w:rStyle w:val="FootnoteReference"/>
        </w:rPr>
        <w:footnoteRef/>
      </w:r>
      <w:r>
        <w:t xml:space="preserve"> </w:t>
      </w:r>
      <w:hyperlink r:id="rId44" w:history="1">
        <w:r w:rsidRPr="008514B1">
          <w:rPr>
            <w:rStyle w:val="Hyperlink"/>
          </w:rPr>
          <w:t>https://www.gov.me/dokumenta/6852d215-af43-4671-b940-cbd0525896c1</w:t>
        </w:r>
      </w:hyperlink>
    </w:p>
  </w:footnote>
  <w:footnote w:id="60">
    <w:p w14:paraId="1357D09C" w14:textId="38CC2F8B" w:rsidR="00193646" w:rsidRPr="006B0D77" w:rsidRDefault="00193646">
      <w:pPr>
        <w:pStyle w:val="FootnoteText"/>
        <w:rPr>
          <w:lang w:val="sr-Latn-ME"/>
        </w:rPr>
      </w:pPr>
      <w:r>
        <w:rPr>
          <w:rStyle w:val="FootnoteReference"/>
        </w:rPr>
        <w:footnoteRef/>
      </w:r>
      <w:r>
        <w:t xml:space="preserve"> </w:t>
      </w:r>
      <w:hyperlink r:id="rId45" w:history="1">
        <w:r w:rsidRPr="00B47735">
          <w:rPr>
            <w:rStyle w:val="Hyperlink"/>
          </w:rPr>
          <w:t>https://www.montenegro.travel/info/ruta-4-krug-oko-korita</w:t>
        </w:r>
      </w:hyperlink>
      <w:r>
        <w:t xml:space="preserve"> </w:t>
      </w:r>
    </w:p>
  </w:footnote>
  <w:footnote w:id="61">
    <w:p w14:paraId="63452DBA" w14:textId="77777777" w:rsidR="00193646" w:rsidRDefault="00193646" w:rsidP="00B16AD6">
      <w:pPr>
        <w:pStyle w:val="FootnoteText"/>
      </w:pPr>
      <w:r>
        <w:rPr>
          <w:rStyle w:val="FootnoteReference"/>
        </w:rPr>
        <w:footnoteRef/>
      </w:r>
      <w:r>
        <w:t xml:space="preserve"> </w:t>
      </w:r>
      <w:hyperlink r:id="rId46" w:history="1">
        <w:r w:rsidRPr="00C17D94">
          <w:rPr>
            <w:rStyle w:val="Hyperlink"/>
          </w:rPr>
          <w:t>https://www.parkpiva.com/</w:t>
        </w:r>
      </w:hyperlink>
    </w:p>
    <w:p w14:paraId="6FF83420" w14:textId="77777777" w:rsidR="00193646" w:rsidRPr="00981489" w:rsidRDefault="00193646" w:rsidP="00B16AD6">
      <w:pPr>
        <w:pStyle w:val="FootnoteText"/>
        <w:rPr>
          <w:lang w:val="sr-Latn-ME"/>
        </w:rPr>
      </w:pPr>
    </w:p>
  </w:footnote>
  <w:footnote w:id="62">
    <w:p w14:paraId="0094EC30" w14:textId="50706A62" w:rsidR="00193646" w:rsidRPr="00425A5C" w:rsidRDefault="00193646" w:rsidP="00A80427">
      <w:pPr>
        <w:pStyle w:val="FootnoteText"/>
      </w:pPr>
      <w:r>
        <w:rPr>
          <w:rStyle w:val="FootnoteReference"/>
        </w:rPr>
        <w:footnoteRef/>
      </w:r>
      <w:r>
        <w:t xml:space="preserve"> </w:t>
      </w:r>
      <w:r w:rsidRPr="00161D4C">
        <w:t>The initial value of the impact indicator is represented by data related to touris</w:t>
      </w:r>
      <w:r>
        <w:t>m turnover</w:t>
      </w:r>
      <w:r w:rsidRPr="00161D4C">
        <w:t xml:space="preserve">, i.e. the number of overnight stays and income in tourism, as well as the total share of tourism in GDP </w:t>
      </w:r>
      <w:r>
        <w:t>achieved</w:t>
      </w:r>
      <w:r w:rsidRPr="00161D4C">
        <w:t xml:space="preserve"> in 2019, as the year preceding the pandemic </w:t>
      </w:r>
      <w:r>
        <w:t xml:space="preserve">year </w:t>
      </w:r>
      <w:r w:rsidRPr="00161D4C">
        <w:t xml:space="preserve">2020, which due to a significant decline in the </w:t>
      </w:r>
      <w:r>
        <w:t>achievement</w:t>
      </w:r>
      <w:r w:rsidRPr="00161D4C">
        <w:t xml:space="preserve"> of all parameters of touris</w:t>
      </w:r>
      <w:r>
        <w:t>m turnover</w:t>
      </w:r>
      <w:r w:rsidRPr="00161D4C">
        <w:t xml:space="preserve">, cannot be taken as a starting point </w:t>
      </w:r>
      <w:r>
        <w:t>for determining</w:t>
      </w:r>
      <w:r w:rsidRPr="00161D4C">
        <w:t xml:space="preserve"> target values</w:t>
      </w:r>
      <w:r>
        <w:t>.</w:t>
      </w:r>
    </w:p>
  </w:footnote>
  <w:footnote w:id="63">
    <w:p w14:paraId="6C3592E6" w14:textId="79D68678" w:rsidR="00193646" w:rsidRPr="001D2755" w:rsidRDefault="00193646" w:rsidP="00A80427">
      <w:pPr>
        <w:pStyle w:val="FootnoteText"/>
        <w:rPr>
          <w:lang w:val="sr-Latn-ME"/>
        </w:rPr>
      </w:pPr>
      <w:r>
        <w:rPr>
          <w:rStyle w:val="FootnoteReference"/>
        </w:rPr>
        <w:footnoteRef/>
      </w:r>
      <w:r>
        <w:t xml:space="preserve"> Source - MONSTAT</w:t>
      </w:r>
    </w:p>
  </w:footnote>
  <w:footnote w:id="64">
    <w:p w14:paraId="5E517ADD" w14:textId="3D18DB43" w:rsidR="00193646" w:rsidRPr="001D2755" w:rsidRDefault="00193646" w:rsidP="00A80427">
      <w:pPr>
        <w:pStyle w:val="FootnoteText"/>
        <w:rPr>
          <w:lang w:val="sr-Latn-ME"/>
        </w:rPr>
      </w:pPr>
      <w:r>
        <w:rPr>
          <w:rStyle w:val="FootnoteReference"/>
        </w:rPr>
        <w:footnoteRef/>
      </w:r>
      <w:r>
        <w:t xml:space="preserve"> </w:t>
      </w:r>
      <w:r w:rsidRPr="00161D4C">
        <w:rPr>
          <w:lang w:val="sr-Latn-ME"/>
        </w:rPr>
        <w:t>Central Bank of Montenegro</w:t>
      </w:r>
    </w:p>
  </w:footnote>
  <w:footnote w:id="65">
    <w:p w14:paraId="76E358A8" w14:textId="6739CFAA" w:rsidR="00193646" w:rsidRPr="00865088" w:rsidRDefault="00193646" w:rsidP="00A80427">
      <w:pPr>
        <w:pStyle w:val="FootnoteText"/>
        <w:rPr>
          <w:lang w:val="sr-Latn-ME"/>
        </w:rPr>
      </w:pPr>
      <w:r>
        <w:rPr>
          <w:rStyle w:val="FootnoteReference"/>
        </w:rPr>
        <w:footnoteRef/>
      </w:r>
      <w:r>
        <w:t xml:space="preserve"> </w:t>
      </w:r>
      <w:r w:rsidRPr="00161D4C">
        <w:rPr>
          <w:lang w:val="sr-Latn-ME"/>
        </w:rPr>
        <w:t>The goal is to develop the total share of tourism in GDP to the level of 25% (in 2020 the share in GDP was 8.8%) in order to avoid the dominant dependence of GDP on tourism (source WTTC)</w:t>
      </w:r>
    </w:p>
  </w:footnote>
  <w:footnote w:id="66">
    <w:p w14:paraId="7086C688" w14:textId="137E8210" w:rsidR="00193646" w:rsidRPr="001D2755" w:rsidRDefault="00193646" w:rsidP="001977EA">
      <w:pPr>
        <w:pStyle w:val="FootnoteText"/>
        <w:rPr>
          <w:lang w:val="sr-Latn-ME"/>
        </w:rPr>
      </w:pPr>
      <w:r>
        <w:rPr>
          <w:rStyle w:val="FootnoteReference"/>
        </w:rPr>
        <w:footnoteRef/>
      </w:r>
      <w:r>
        <w:t xml:space="preserve"> </w:t>
      </w:r>
      <w:r>
        <w:rPr>
          <w:lang w:val="sr-Latn-ME"/>
        </w:rPr>
        <w:t>Source - MONSTAT</w:t>
      </w:r>
    </w:p>
  </w:footnote>
  <w:footnote w:id="67">
    <w:p w14:paraId="4108EA01" w14:textId="7F103E05" w:rsidR="00193646" w:rsidRPr="001D2755" w:rsidRDefault="00193646">
      <w:pPr>
        <w:pStyle w:val="FootnoteText"/>
        <w:rPr>
          <w:lang w:val="sr-Latn-ME"/>
        </w:rPr>
      </w:pPr>
      <w:r>
        <w:rPr>
          <w:rStyle w:val="FootnoteReference"/>
        </w:rPr>
        <w:footnoteRef/>
      </w:r>
      <w:r>
        <w:t xml:space="preserve"> </w:t>
      </w:r>
      <w:r>
        <w:rPr>
          <w:lang w:val="sr-Latn-ME"/>
        </w:rPr>
        <w:t xml:space="preserve">Source MONSTAT </w:t>
      </w:r>
      <w:bookmarkStart w:id="471" w:name="_Hlk92282190"/>
      <w:r>
        <w:rPr>
          <w:lang w:val="sr-Latn-ME"/>
        </w:rPr>
        <w:t>(</w:t>
      </w:r>
      <w:r w:rsidRPr="0020217A">
        <w:rPr>
          <w:lang w:val="sr-Latn-ME"/>
        </w:rPr>
        <w:t>similar facilities: tourist resorts and motels</w:t>
      </w:r>
      <w:r>
        <w:rPr>
          <w:lang w:val="sr-Latn-ME"/>
        </w:rPr>
        <w:t>)</w:t>
      </w:r>
    </w:p>
    <w:bookmarkEnd w:id="471"/>
  </w:footnote>
  <w:footnote w:id="68">
    <w:p w14:paraId="0E060E6B" w14:textId="1F036998" w:rsidR="00193646" w:rsidRPr="001D2755" w:rsidRDefault="00193646">
      <w:pPr>
        <w:pStyle w:val="FootnoteText"/>
        <w:rPr>
          <w:lang w:val="sr-Latn-ME"/>
        </w:rPr>
      </w:pPr>
      <w:r>
        <w:rPr>
          <w:rStyle w:val="FootnoteReference"/>
        </w:rPr>
        <w:footnoteRef/>
      </w:r>
      <w:r>
        <w:t xml:space="preserve"> </w:t>
      </w:r>
      <w:r>
        <w:rPr>
          <w:lang w:val="sr-Latn-ME"/>
        </w:rPr>
        <w:t xml:space="preserve">Source MONSTAT </w:t>
      </w:r>
      <w:r w:rsidRPr="005272EA">
        <w:rPr>
          <w:lang w:val="sr-Latn-ME"/>
        </w:rPr>
        <w:t>(</w:t>
      </w:r>
      <w:r w:rsidRPr="0020217A">
        <w:rPr>
          <w:lang w:val="sr-Latn-ME"/>
        </w:rPr>
        <w:t>similar facilities: tourist resorts and motels</w:t>
      </w:r>
      <w:r w:rsidRPr="005272EA">
        <w:rPr>
          <w:lang w:val="sr-Latn-ME"/>
        </w:rPr>
        <w:t>)</w:t>
      </w:r>
    </w:p>
  </w:footnote>
  <w:footnote w:id="69">
    <w:p w14:paraId="1963E17C" w14:textId="56D7F104" w:rsidR="00193646" w:rsidRPr="0020217A" w:rsidRDefault="00193646" w:rsidP="0020217A">
      <w:pPr>
        <w:pStyle w:val="FootnoteText"/>
      </w:pPr>
      <w:r>
        <w:rPr>
          <w:rStyle w:val="FootnoteReference"/>
        </w:rPr>
        <w:footnoteRef/>
      </w:r>
      <w:r>
        <w:t xml:space="preserve"> The initial value is tourism turnover from priority markets, i.e. the number of overnight stays in 2019, given that 2020 due to the COVID-19 pandemic cannot be compared to any other year, and official data on the achievement of total turnover for 2021 (MONSTAT) are published only in the first quarter of next (2022) year</w:t>
      </w:r>
      <w:r w:rsidRPr="00A91387">
        <w:t>.</w:t>
      </w:r>
    </w:p>
  </w:footnote>
  <w:footnote w:id="70">
    <w:p w14:paraId="06A5228E" w14:textId="3B1511EB" w:rsidR="00193646" w:rsidRPr="00435F77" w:rsidRDefault="00193646" w:rsidP="00861CB1">
      <w:pPr>
        <w:pStyle w:val="FootnoteText"/>
        <w:rPr>
          <w:lang w:val="sr-Latn-ME"/>
        </w:rPr>
      </w:pPr>
      <w:r>
        <w:rPr>
          <w:rStyle w:val="FootnoteReference"/>
        </w:rPr>
        <w:footnoteRef/>
      </w:r>
      <w:r w:rsidRPr="00435F77">
        <w:rPr>
          <w:lang w:val="sr-Latn-ME"/>
        </w:rPr>
        <w:t xml:space="preserve"> </w:t>
      </w:r>
      <w:r w:rsidRPr="00CC43FB">
        <w:t>The initial value of the impact indicator is represented by data related to touris</w:t>
      </w:r>
      <w:r>
        <w:t>m turnover</w:t>
      </w:r>
      <w:r w:rsidRPr="00CC43FB">
        <w:t>, i</w:t>
      </w:r>
      <w:r>
        <w:t>.</w:t>
      </w:r>
      <w:r w:rsidRPr="00CC43FB">
        <w:t>e.</w:t>
      </w:r>
      <w:r>
        <w:t>,</w:t>
      </w:r>
      <w:r w:rsidRPr="00CC43FB">
        <w:t xml:space="preserve"> the number of overnight stays and </w:t>
      </w:r>
      <w:r>
        <w:t>revenue</w:t>
      </w:r>
      <w:r w:rsidRPr="00CC43FB">
        <w:t xml:space="preserve"> in tourism, as well as in the total share of tourism in GDP </w:t>
      </w:r>
      <w:r>
        <w:t>achieved</w:t>
      </w:r>
      <w:r w:rsidRPr="00CC43FB">
        <w:t xml:space="preserve"> in 2019, as the year preceding the pandemic</w:t>
      </w:r>
      <w:r>
        <w:t xml:space="preserve"> in </w:t>
      </w:r>
      <w:r w:rsidRPr="00CC43FB">
        <w:t>2020, which due to a significant decline in all par</w:t>
      </w:r>
      <w:r>
        <w:t>ameters of tourism turnover, can</w:t>
      </w:r>
      <w:r w:rsidRPr="00CC43FB">
        <w:t>not be taken as a starting point to set target values</w:t>
      </w:r>
      <w:r w:rsidRPr="00435F77">
        <w:rPr>
          <w:lang w:val="sr-Latn-ME"/>
        </w:rPr>
        <w:t>.</w:t>
      </w:r>
      <w:r>
        <w:rPr>
          <w:lang w:val="sr-Latn-ME"/>
        </w:rPr>
        <w:t xml:space="preserve"> </w:t>
      </w:r>
    </w:p>
  </w:footnote>
  <w:footnote w:id="71">
    <w:p w14:paraId="082B6134" w14:textId="77777777" w:rsidR="00193646" w:rsidRPr="00415259" w:rsidRDefault="00193646" w:rsidP="00861CB1">
      <w:pPr>
        <w:pStyle w:val="FootnoteText"/>
      </w:pPr>
      <w:r w:rsidRPr="00415259">
        <w:rPr>
          <w:rStyle w:val="FootnoteReference"/>
        </w:rPr>
        <w:footnoteRef/>
      </w:r>
      <w:r w:rsidRPr="00415259">
        <w:t xml:space="preserve"> The goal is to develop the total share of tourism in GDP to the level of 25% (in 2020 the share of GDP was 8.8%) in order to avoid the dominant dependence of GDP on truism (WTTC source)</w:t>
      </w:r>
      <w:r>
        <w:t xml:space="preserve"> </w:t>
      </w:r>
    </w:p>
  </w:footnote>
  <w:footnote w:id="72">
    <w:p w14:paraId="033CC38A" w14:textId="562C94E7" w:rsidR="00193646" w:rsidRPr="00A91387" w:rsidRDefault="00193646" w:rsidP="00861CB1">
      <w:pPr>
        <w:pStyle w:val="FootnoteText"/>
        <w:rPr>
          <w:lang w:val="sr-Latn-ME"/>
        </w:rPr>
      </w:pPr>
      <w:r>
        <w:rPr>
          <w:rStyle w:val="FootnoteReference"/>
        </w:rPr>
        <w:footnoteRef/>
      </w:r>
      <w:r w:rsidRPr="00435F77">
        <w:rPr>
          <w:lang w:val="sr-Latn-ME"/>
        </w:rPr>
        <w:t xml:space="preserve"> </w:t>
      </w:r>
      <w:r w:rsidRPr="0080447C">
        <w:t xml:space="preserve">The </w:t>
      </w:r>
      <w:r>
        <w:t>initial</w:t>
      </w:r>
      <w:r w:rsidRPr="0080447C">
        <w:t xml:space="preserve"> value is touris</w:t>
      </w:r>
      <w:r>
        <w:t>m turnover</w:t>
      </w:r>
      <w:r w:rsidRPr="0080447C">
        <w:t>, i</w:t>
      </w:r>
      <w:r>
        <w:t>.</w:t>
      </w:r>
      <w:r w:rsidRPr="0080447C">
        <w:t>e</w:t>
      </w:r>
      <w:r>
        <w:t>.,</w:t>
      </w:r>
      <w:r w:rsidRPr="0080447C">
        <w:t xml:space="preserve"> the number of overnight stays in 2019, given that 202</w:t>
      </w:r>
      <w:r>
        <w:t>0 due to the COVID pandemic can</w:t>
      </w:r>
      <w:r w:rsidRPr="0080447C">
        <w:t>not be compared with any other y</w:t>
      </w:r>
      <w:r>
        <w:t>ear, and official data on the turnover</w:t>
      </w:r>
      <w:r w:rsidRPr="0080447C">
        <w:t xml:space="preserve"> </w:t>
      </w:r>
      <w:r>
        <w:t>achievement</w:t>
      </w:r>
      <w:r w:rsidRPr="0080447C">
        <w:t xml:space="preserve"> for 2021 (MONSTAT) are published only in the first next quarter (2022) for the previous year</w:t>
      </w:r>
      <w:r w:rsidRPr="00435F77">
        <w:rPr>
          <w:lang w:val="sr-Latn-ME"/>
        </w:rPr>
        <w:t>.</w:t>
      </w:r>
      <w:r>
        <w:rPr>
          <w:lang w:val="sr-Latn-M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A9CD" w14:textId="77777777" w:rsidR="00193646" w:rsidRPr="002C723F" w:rsidRDefault="00193646" w:rsidP="002D6E55">
    <w:pPr>
      <w:pStyle w:val="Header"/>
      <w:tabs>
        <w:tab w:val="left" w:pos="1845"/>
      </w:tabs>
      <w:rPr>
        <w:b/>
        <w:sz w:val="28"/>
        <w:szCs w:val="28"/>
        <w:lang w:val="sr-Latn-M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96A52" w14:textId="77777777" w:rsidR="00193646" w:rsidRDefault="00193646" w:rsidP="00527092">
    <w:pPr>
      <w:spacing w:after="0" w:line="240" w:lineRule="auto"/>
      <w:rPr>
        <w:rFonts w:ascii="Arial" w:hAnsi="Arial"/>
      </w:rPr>
    </w:pPr>
  </w:p>
  <w:p w14:paraId="7F70B2BD" w14:textId="77777777" w:rsidR="00193646" w:rsidRPr="004F3B2A" w:rsidRDefault="00193646" w:rsidP="004F3B2A">
    <w:pPr>
      <w:pStyle w:val="Header"/>
      <w:jc w:val="right"/>
      <w:rPr>
        <w:b/>
      </w:rPr>
    </w:pPr>
  </w:p>
  <w:p w14:paraId="2185EC88" w14:textId="77777777" w:rsidR="00193646" w:rsidRDefault="001936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728"/>
    <w:multiLevelType w:val="hybridMultilevel"/>
    <w:tmpl w:val="91784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17833"/>
    <w:multiLevelType w:val="hybridMultilevel"/>
    <w:tmpl w:val="339084A6"/>
    <w:lvl w:ilvl="0" w:tplc="CD2CCCC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420D7"/>
    <w:multiLevelType w:val="hybridMultilevel"/>
    <w:tmpl w:val="6D7EEB9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04DB01A0"/>
    <w:multiLevelType w:val="hybridMultilevel"/>
    <w:tmpl w:val="27F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768EF"/>
    <w:multiLevelType w:val="hybridMultilevel"/>
    <w:tmpl w:val="ECA4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7758C"/>
    <w:multiLevelType w:val="multilevel"/>
    <w:tmpl w:val="2C4CAFF0"/>
    <w:lvl w:ilvl="0">
      <w:start w:val="1"/>
      <w:numFmt w:val="decimal"/>
      <w:lvlText w:val="%1."/>
      <w:lvlJc w:val="left"/>
      <w:pPr>
        <w:ind w:left="720" w:hanging="360"/>
      </w:pPr>
      <w:rPr>
        <w:color w:val="2F5496"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BE3A9A"/>
    <w:multiLevelType w:val="hybridMultilevel"/>
    <w:tmpl w:val="EAA457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410A06"/>
    <w:multiLevelType w:val="hybridMultilevel"/>
    <w:tmpl w:val="DB5E2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65FB4"/>
    <w:multiLevelType w:val="hybridMultilevel"/>
    <w:tmpl w:val="2BCCB2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B3428"/>
    <w:multiLevelType w:val="hybridMultilevel"/>
    <w:tmpl w:val="4180378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91156D"/>
    <w:multiLevelType w:val="hybridMultilevel"/>
    <w:tmpl w:val="54C0D850"/>
    <w:lvl w:ilvl="0" w:tplc="04090003">
      <w:start w:val="1"/>
      <w:numFmt w:val="bullet"/>
      <w:lvlText w:val="o"/>
      <w:lvlJc w:val="left"/>
      <w:pPr>
        <w:ind w:left="450" w:hanging="360"/>
      </w:pPr>
      <w:rPr>
        <w:rFonts w:ascii="Courier New" w:hAnsi="Courier New" w:cs="Courier New"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19A63B14"/>
    <w:multiLevelType w:val="hybridMultilevel"/>
    <w:tmpl w:val="90463FE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59393E"/>
    <w:multiLevelType w:val="hybridMultilevel"/>
    <w:tmpl w:val="97D689F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7242E7"/>
    <w:multiLevelType w:val="hybridMultilevel"/>
    <w:tmpl w:val="982430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63702"/>
    <w:multiLevelType w:val="hybridMultilevel"/>
    <w:tmpl w:val="CBAC4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6E1E21"/>
    <w:multiLevelType w:val="multilevel"/>
    <w:tmpl w:val="03F049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6B57E1"/>
    <w:multiLevelType w:val="hybridMultilevel"/>
    <w:tmpl w:val="D826BD32"/>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D130DB"/>
    <w:multiLevelType w:val="hybridMultilevel"/>
    <w:tmpl w:val="191C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556B2"/>
    <w:multiLevelType w:val="hybridMultilevel"/>
    <w:tmpl w:val="709C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400A2F"/>
    <w:multiLevelType w:val="hybridMultilevel"/>
    <w:tmpl w:val="A84E3E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A860669"/>
    <w:multiLevelType w:val="hybridMultilevel"/>
    <w:tmpl w:val="0EC01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B1A418B"/>
    <w:multiLevelType w:val="hybridMultilevel"/>
    <w:tmpl w:val="7C74FA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A3527E"/>
    <w:multiLevelType w:val="hybridMultilevel"/>
    <w:tmpl w:val="0A049D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DE12AD"/>
    <w:multiLevelType w:val="hybridMultilevel"/>
    <w:tmpl w:val="C29666E4"/>
    <w:lvl w:ilvl="0" w:tplc="274CD5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A5040"/>
    <w:multiLevelType w:val="hybridMultilevel"/>
    <w:tmpl w:val="468014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F24D12"/>
    <w:multiLevelType w:val="hybridMultilevel"/>
    <w:tmpl w:val="6C764F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ED73DF"/>
    <w:multiLevelType w:val="hybridMultilevel"/>
    <w:tmpl w:val="147AD82A"/>
    <w:lvl w:ilvl="0" w:tplc="586E0C3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D00FBB"/>
    <w:multiLevelType w:val="hybridMultilevel"/>
    <w:tmpl w:val="0F4E605E"/>
    <w:lvl w:ilvl="0" w:tplc="631C9C5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741472"/>
    <w:multiLevelType w:val="hybridMultilevel"/>
    <w:tmpl w:val="42EEF9B8"/>
    <w:lvl w:ilvl="0" w:tplc="C136A572">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BB42428"/>
    <w:multiLevelType w:val="hybridMultilevel"/>
    <w:tmpl w:val="6A606D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49649E"/>
    <w:multiLevelType w:val="hybridMultilevel"/>
    <w:tmpl w:val="8D824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DB80434"/>
    <w:multiLevelType w:val="multilevel"/>
    <w:tmpl w:val="E57C69A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D511DD"/>
    <w:multiLevelType w:val="hybridMultilevel"/>
    <w:tmpl w:val="DEEA7950"/>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15:restartNumberingAfterBreak="0">
    <w:nsid w:val="400D043F"/>
    <w:multiLevelType w:val="hybridMultilevel"/>
    <w:tmpl w:val="4EEA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1A4384"/>
    <w:multiLevelType w:val="hybridMultilevel"/>
    <w:tmpl w:val="D17A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2C45CC"/>
    <w:multiLevelType w:val="hybridMultilevel"/>
    <w:tmpl w:val="E18C578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43857C6"/>
    <w:multiLevelType w:val="hybridMultilevel"/>
    <w:tmpl w:val="617AD90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45EB1C49"/>
    <w:multiLevelType w:val="hybridMultilevel"/>
    <w:tmpl w:val="78E2F71C"/>
    <w:lvl w:ilvl="0" w:tplc="74E882C0">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4B4947"/>
    <w:multiLevelType w:val="hybridMultilevel"/>
    <w:tmpl w:val="A7AC0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A0D1A7E"/>
    <w:multiLevelType w:val="hybridMultilevel"/>
    <w:tmpl w:val="19DA07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404948"/>
    <w:multiLevelType w:val="hybridMultilevel"/>
    <w:tmpl w:val="870A051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A6F3880"/>
    <w:multiLevelType w:val="hybridMultilevel"/>
    <w:tmpl w:val="7B222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FA473D"/>
    <w:multiLevelType w:val="hybridMultilevel"/>
    <w:tmpl w:val="7092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7C32F7"/>
    <w:multiLevelType w:val="hybridMultilevel"/>
    <w:tmpl w:val="BAF4CFD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7E0428"/>
    <w:multiLevelType w:val="multilevel"/>
    <w:tmpl w:val="5686B5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5C77743"/>
    <w:multiLevelType w:val="hybridMultilevel"/>
    <w:tmpl w:val="434067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607315"/>
    <w:multiLevelType w:val="multilevel"/>
    <w:tmpl w:val="DBEA4AD4"/>
    <w:lvl w:ilvl="0">
      <w:start w:val="1"/>
      <w:numFmt w:val="decimal"/>
      <w:lvlText w:val="%1."/>
      <w:lvlJc w:val="left"/>
      <w:pPr>
        <w:ind w:left="720" w:hanging="360"/>
      </w:pPr>
      <w:rPr>
        <w:rFonts w:hint="default"/>
        <w:color w:val="2F5496"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7A65139"/>
    <w:multiLevelType w:val="hybridMultilevel"/>
    <w:tmpl w:val="91840D62"/>
    <w:lvl w:ilvl="0" w:tplc="8E1EB760">
      <w:numFmt w:val="bullet"/>
      <w:lvlText w:val="•"/>
      <w:lvlJc w:val="left"/>
      <w:pPr>
        <w:ind w:left="1080" w:hanging="72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066AD3"/>
    <w:multiLevelType w:val="hybridMultilevel"/>
    <w:tmpl w:val="7C0E9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B313C4D"/>
    <w:multiLevelType w:val="hybridMultilevel"/>
    <w:tmpl w:val="22209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C640AA"/>
    <w:multiLevelType w:val="hybridMultilevel"/>
    <w:tmpl w:val="1A78E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4C1117A"/>
    <w:multiLevelType w:val="hybridMultilevel"/>
    <w:tmpl w:val="3A9E2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3C2137"/>
    <w:multiLevelType w:val="hybridMultilevel"/>
    <w:tmpl w:val="55F6342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D673C6"/>
    <w:multiLevelType w:val="hybridMultilevel"/>
    <w:tmpl w:val="6B2AAED2"/>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15:restartNumberingAfterBreak="0">
    <w:nsid w:val="6AA2120D"/>
    <w:multiLevelType w:val="hybridMultilevel"/>
    <w:tmpl w:val="5C1E86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E44FB6"/>
    <w:multiLevelType w:val="hybridMultilevel"/>
    <w:tmpl w:val="77823C60"/>
    <w:lvl w:ilvl="0" w:tplc="04090003">
      <w:start w:val="1"/>
      <w:numFmt w:val="bullet"/>
      <w:lvlText w:val="o"/>
      <w:lvlJc w:val="left"/>
      <w:pPr>
        <w:ind w:left="540" w:hanging="360"/>
      </w:pPr>
      <w:rPr>
        <w:rFonts w:ascii="Courier New" w:hAnsi="Courier New" w:cs="Courier New"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6" w15:restartNumberingAfterBreak="0">
    <w:nsid w:val="6C670243"/>
    <w:multiLevelType w:val="hybridMultilevel"/>
    <w:tmpl w:val="65341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476793"/>
    <w:multiLevelType w:val="hybridMultilevel"/>
    <w:tmpl w:val="978EB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17723A1"/>
    <w:multiLevelType w:val="hybridMultilevel"/>
    <w:tmpl w:val="22684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3EC7A90"/>
    <w:multiLevelType w:val="hybridMultilevel"/>
    <w:tmpl w:val="B024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9F6094"/>
    <w:multiLevelType w:val="hybridMultilevel"/>
    <w:tmpl w:val="93884F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8954F2D"/>
    <w:multiLevelType w:val="hybridMultilevel"/>
    <w:tmpl w:val="0E16B0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9D5EF7"/>
    <w:multiLevelType w:val="hybridMultilevel"/>
    <w:tmpl w:val="C7FA6C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9667E81"/>
    <w:multiLevelType w:val="hybridMultilevel"/>
    <w:tmpl w:val="D8A852EA"/>
    <w:lvl w:ilvl="0" w:tplc="0409000B">
      <w:start w:val="1"/>
      <w:numFmt w:val="bullet"/>
      <w:lvlText w:val=""/>
      <w:lvlJc w:val="left"/>
      <w:pPr>
        <w:ind w:left="363" w:hanging="360"/>
      </w:pPr>
      <w:rPr>
        <w:rFonts w:ascii="Wingdings" w:hAnsi="Wingdings" w:hint="default"/>
      </w:rPr>
    </w:lvl>
    <w:lvl w:ilvl="1" w:tplc="68B6822C">
      <w:start w:val="1"/>
      <w:numFmt w:val="decimal"/>
      <w:lvlText w:val="%2."/>
      <w:lvlJc w:val="left"/>
      <w:pPr>
        <w:ind w:left="1083" w:hanging="360"/>
      </w:pPr>
      <w:rPr>
        <w:rFonts w:asciiTheme="minorHAnsi" w:eastAsiaTheme="minorHAnsi" w:hAnsiTheme="minorHAnsi" w:cstheme="minorBidi"/>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64" w15:restartNumberingAfterBreak="0">
    <w:nsid w:val="79E352B5"/>
    <w:multiLevelType w:val="hybridMultilevel"/>
    <w:tmpl w:val="811C74D2"/>
    <w:lvl w:ilvl="0" w:tplc="0F825A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B2D42F4"/>
    <w:multiLevelType w:val="hybridMultilevel"/>
    <w:tmpl w:val="B5063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7C936801"/>
    <w:multiLevelType w:val="hybridMultilevel"/>
    <w:tmpl w:val="679C6AA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DCF4B14"/>
    <w:multiLevelType w:val="hybridMultilevel"/>
    <w:tmpl w:val="D0DAE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F856830"/>
    <w:multiLevelType w:val="hybridMultilevel"/>
    <w:tmpl w:val="8BDE4F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55"/>
  </w:num>
  <w:num w:numId="3">
    <w:abstractNumId w:val="32"/>
  </w:num>
  <w:num w:numId="4">
    <w:abstractNumId w:val="1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3"/>
  </w:num>
  <w:num w:numId="7">
    <w:abstractNumId w:val="36"/>
  </w:num>
  <w:num w:numId="8">
    <w:abstractNumId w:val="58"/>
  </w:num>
  <w:num w:numId="9">
    <w:abstractNumId w:val="18"/>
  </w:num>
  <w:num w:numId="10">
    <w:abstractNumId w:val="30"/>
  </w:num>
  <w:num w:numId="11">
    <w:abstractNumId w:val="14"/>
  </w:num>
  <w:num w:numId="12">
    <w:abstractNumId w:val="48"/>
  </w:num>
  <w:num w:numId="13">
    <w:abstractNumId w:val="50"/>
  </w:num>
  <w:num w:numId="14">
    <w:abstractNumId w:val="33"/>
  </w:num>
  <w:num w:numId="15">
    <w:abstractNumId w:val="61"/>
  </w:num>
  <w:num w:numId="16">
    <w:abstractNumId w:val="39"/>
  </w:num>
  <w:num w:numId="17">
    <w:abstractNumId w:val="22"/>
  </w:num>
  <w:num w:numId="18">
    <w:abstractNumId w:val="46"/>
  </w:num>
  <w:num w:numId="19">
    <w:abstractNumId w:val="19"/>
  </w:num>
  <w:num w:numId="20">
    <w:abstractNumId w:val="43"/>
  </w:num>
  <w:num w:numId="21">
    <w:abstractNumId w:val="66"/>
  </w:num>
  <w:num w:numId="22">
    <w:abstractNumId w:val="60"/>
  </w:num>
  <w:num w:numId="23">
    <w:abstractNumId w:val="12"/>
  </w:num>
  <w:num w:numId="24">
    <w:abstractNumId w:val="62"/>
  </w:num>
  <w:num w:numId="25">
    <w:abstractNumId w:val="4"/>
  </w:num>
  <w:num w:numId="26">
    <w:abstractNumId w:val="59"/>
  </w:num>
  <w:num w:numId="27">
    <w:abstractNumId w:val="49"/>
  </w:num>
  <w:num w:numId="28">
    <w:abstractNumId w:val="56"/>
  </w:num>
  <w:num w:numId="29">
    <w:abstractNumId w:val="28"/>
  </w:num>
  <w:num w:numId="30">
    <w:abstractNumId w:val="11"/>
  </w:num>
  <w:num w:numId="31">
    <w:abstractNumId w:val="25"/>
  </w:num>
  <w:num w:numId="32">
    <w:abstractNumId w:val="35"/>
  </w:num>
  <w:num w:numId="33">
    <w:abstractNumId w:val="6"/>
  </w:num>
  <w:num w:numId="34">
    <w:abstractNumId w:val="27"/>
  </w:num>
  <w:num w:numId="35">
    <w:abstractNumId w:val="9"/>
  </w:num>
  <w:num w:numId="36">
    <w:abstractNumId w:val="40"/>
  </w:num>
  <w:num w:numId="37">
    <w:abstractNumId w:val="13"/>
  </w:num>
  <w:num w:numId="38">
    <w:abstractNumId w:val="21"/>
  </w:num>
  <w:num w:numId="39">
    <w:abstractNumId w:val="0"/>
  </w:num>
  <w:num w:numId="40">
    <w:abstractNumId w:val="45"/>
  </w:num>
  <w:num w:numId="41">
    <w:abstractNumId w:val="54"/>
  </w:num>
  <w:num w:numId="42">
    <w:abstractNumId w:val="51"/>
  </w:num>
  <w:num w:numId="43">
    <w:abstractNumId w:val="17"/>
  </w:num>
  <w:num w:numId="44">
    <w:abstractNumId w:val="23"/>
  </w:num>
  <w:num w:numId="45">
    <w:abstractNumId w:val="44"/>
  </w:num>
  <w:num w:numId="46">
    <w:abstractNumId w:val="15"/>
  </w:num>
  <w:num w:numId="47">
    <w:abstractNumId w:val="1"/>
  </w:num>
  <w:num w:numId="48">
    <w:abstractNumId w:val="31"/>
  </w:num>
  <w:num w:numId="49">
    <w:abstractNumId w:val="41"/>
  </w:num>
  <w:num w:numId="50">
    <w:abstractNumId w:val="7"/>
  </w:num>
  <w:num w:numId="51">
    <w:abstractNumId w:val="38"/>
  </w:num>
  <w:num w:numId="52">
    <w:abstractNumId w:val="67"/>
  </w:num>
  <w:num w:numId="53">
    <w:abstractNumId w:val="65"/>
  </w:num>
  <w:num w:numId="54">
    <w:abstractNumId w:val="52"/>
  </w:num>
  <w:num w:numId="55">
    <w:abstractNumId w:val="8"/>
  </w:num>
  <w:num w:numId="56">
    <w:abstractNumId w:val="68"/>
  </w:num>
  <w:num w:numId="57">
    <w:abstractNumId w:val="24"/>
  </w:num>
  <w:num w:numId="58">
    <w:abstractNumId w:val="26"/>
  </w:num>
  <w:num w:numId="59">
    <w:abstractNumId w:val="37"/>
  </w:num>
  <w:num w:numId="60">
    <w:abstractNumId w:val="64"/>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num>
  <w:num w:numId="63">
    <w:abstractNumId w:val="2"/>
  </w:num>
  <w:num w:numId="64">
    <w:abstractNumId w:val="58"/>
  </w:num>
  <w:num w:numId="65">
    <w:abstractNumId w:val="28"/>
  </w:num>
  <w:num w:numId="66">
    <w:abstractNumId w:val="16"/>
  </w:num>
  <w:num w:numId="67">
    <w:abstractNumId w:val="42"/>
  </w:num>
  <w:num w:numId="68">
    <w:abstractNumId w:val="57"/>
  </w:num>
  <w:num w:numId="69">
    <w:abstractNumId w:val="34"/>
  </w:num>
  <w:num w:numId="70">
    <w:abstractNumId w:val="5"/>
  </w:num>
  <w:num w:numId="71">
    <w:abstractNumId w:val="29"/>
  </w:num>
  <w:num w:numId="72">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268"/>
    <w:rsid w:val="00000B72"/>
    <w:rsid w:val="0000109D"/>
    <w:rsid w:val="000012B9"/>
    <w:rsid w:val="00001ED5"/>
    <w:rsid w:val="0000215C"/>
    <w:rsid w:val="0000219C"/>
    <w:rsid w:val="0000308E"/>
    <w:rsid w:val="00003107"/>
    <w:rsid w:val="0000396A"/>
    <w:rsid w:val="000042FA"/>
    <w:rsid w:val="00004348"/>
    <w:rsid w:val="00004455"/>
    <w:rsid w:val="00004861"/>
    <w:rsid w:val="00004BDE"/>
    <w:rsid w:val="00004BE6"/>
    <w:rsid w:val="000053F2"/>
    <w:rsid w:val="00005D07"/>
    <w:rsid w:val="00005F93"/>
    <w:rsid w:val="00005FB9"/>
    <w:rsid w:val="000067FC"/>
    <w:rsid w:val="00006A95"/>
    <w:rsid w:val="00006D5C"/>
    <w:rsid w:val="0000713A"/>
    <w:rsid w:val="00007394"/>
    <w:rsid w:val="0000742A"/>
    <w:rsid w:val="000078E8"/>
    <w:rsid w:val="000079D4"/>
    <w:rsid w:val="00010263"/>
    <w:rsid w:val="000108FB"/>
    <w:rsid w:val="00010967"/>
    <w:rsid w:val="00010C6A"/>
    <w:rsid w:val="0001186B"/>
    <w:rsid w:val="00011897"/>
    <w:rsid w:val="000118A6"/>
    <w:rsid w:val="00011F79"/>
    <w:rsid w:val="00012043"/>
    <w:rsid w:val="00012265"/>
    <w:rsid w:val="00012768"/>
    <w:rsid w:val="0001309D"/>
    <w:rsid w:val="00013516"/>
    <w:rsid w:val="00013B3E"/>
    <w:rsid w:val="00013BF8"/>
    <w:rsid w:val="00013C28"/>
    <w:rsid w:val="00013C8B"/>
    <w:rsid w:val="000148D0"/>
    <w:rsid w:val="00014FB8"/>
    <w:rsid w:val="00015528"/>
    <w:rsid w:val="00015B73"/>
    <w:rsid w:val="00015FA1"/>
    <w:rsid w:val="00015FD3"/>
    <w:rsid w:val="0001644D"/>
    <w:rsid w:val="0001680D"/>
    <w:rsid w:val="00016ADC"/>
    <w:rsid w:val="00017583"/>
    <w:rsid w:val="00017828"/>
    <w:rsid w:val="00017A84"/>
    <w:rsid w:val="00017E12"/>
    <w:rsid w:val="00017FE7"/>
    <w:rsid w:val="0002009E"/>
    <w:rsid w:val="0002024B"/>
    <w:rsid w:val="0002065C"/>
    <w:rsid w:val="00020B21"/>
    <w:rsid w:val="00020C89"/>
    <w:rsid w:val="00020D4D"/>
    <w:rsid w:val="00021011"/>
    <w:rsid w:val="00021E95"/>
    <w:rsid w:val="00022887"/>
    <w:rsid w:val="00022FD6"/>
    <w:rsid w:val="0002339F"/>
    <w:rsid w:val="00023ABD"/>
    <w:rsid w:val="00023C38"/>
    <w:rsid w:val="00023F2D"/>
    <w:rsid w:val="0002429E"/>
    <w:rsid w:val="00024959"/>
    <w:rsid w:val="00024A55"/>
    <w:rsid w:val="00024A6F"/>
    <w:rsid w:val="00024FDD"/>
    <w:rsid w:val="00025216"/>
    <w:rsid w:val="00025507"/>
    <w:rsid w:val="0002571F"/>
    <w:rsid w:val="00025E7B"/>
    <w:rsid w:val="00026315"/>
    <w:rsid w:val="000263D8"/>
    <w:rsid w:val="0002682E"/>
    <w:rsid w:val="00026DF1"/>
    <w:rsid w:val="00026F5F"/>
    <w:rsid w:val="00026F8A"/>
    <w:rsid w:val="000274B6"/>
    <w:rsid w:val="00030003"/>
    <w:rsid w:val="00030327"/>
    <w:rsid w:val="0003073D"/>
    <w:rsid w:val="0003084F"/>
    <w:rsid w:val="00030A85"/>
    <w:rsid w:val="00030D23"/>
    <w:rsid w:val="00030DA8"/>
    <w:rsid w:val="00030ECE"/>
    <w:rsid w:val="00030FBE"/>
    <w:rsid w:val="000319E3"/>
    <w:rsid w:val="00032332"/>
    <w:rsid w:val="00032642"/>
    <w:rsid w:val="00032AA0"/>
    <w:rsid w:val="00033247"/>
    <w:rsid w:val="000332FF"/>
    <w:rsid w:val="0003353F"/>
    <w:rsid w:val="00033980"/>
    <w:rsid w:val="000340F7"/>
    <w:rsid w:val="0003432D"/>
    <w:rsid w:val="000345C5"/>
    <w:rsid w:val="00035384"/>
    <w:rsid w:val="0003567A"/>
    <w:rsid w:val="00035A95"/>
    <w:rsid w:val="00035A9C"/>
    <w:rsid w:val="00035EEE"/>
    <w:rsid w:val="000362EB"/>
    <w:rsid w:val="00036581"/>
    <w:rsid w:val="00036E24"/>
    <w:rsid w:val="00037902"/>
    <w:rsid w:val="00037933"/>
    <w:rsid w:val="00040078"/>
    <w:rsid w:val="0004056B"/>
    <w:rsid w:val="00040585"/>
    <w:rsid w:val="0004065F"/>
    <w:rsid w:val="00040CE1"/>
    <w:rsid w:val="000419B2"/>
    <w:rsid w:val="00041F75"/>
    <w:rsid w:val="00042399"/>
    <w:rsid w:val="00042574"/>
    <w:rsid w:val="0004316A"/>
    <w:rsid w:val="00043416"/>
    <w:rsid w:val="00043450"/>
    <w:rsid w:val="000434CB"/>
    <w:rsid w:val="00043554"/>
    <w:rsid w:val="00043784"/>
    <w:rsid w:val="000439A1"/>
    <w:rsid w:val="000439FB"/>
    <w:rsid w:val="00044AC6"/>
    <w:rsid w:val="00045195"/>
    <w:rsid w:val="000457F6"/>
    <w:rsid w:val="000465BA"/>
    <w:rsid w:val="00046928"/>
    <w:rsid w:val="00046B5B"/>
    <w:rsid w:val="00046C9B"/>
    <w:rsid w:val="00046ED1"/>
    <w:rsid w:val="0004704C"/>
    <w:rsid w:val="000474F7"/>
    <w:rsid w:val="0004753A"/>
    <w:rsid w:val="000477F4"/>
    <w:rsid w:val="00047D33"/>
    <w:rsid w:val="00047E75"/>
    <w:rsid w:val="00047ECD"/>
    <w:rsid w:val="000503F7"/>
    <w:rsid w:val="0005048E"/>
    <w:rsid w:val="00050C47"/>
    <w:rsid w:val="00050F28"/>
    <w:rsid w:val="0005141E"/>
    <w:rsid w:val="00051736"/>
    <w:rsid w:val="00051D59"/>
    <w:rsid w:val="00051E6E"/>
    <w:rsid w:val="00052028"/>
    <w:rsid w:val="000521AB"/>
    <w:rsid w:val="0005264E"/>
    <w:rsid w:val="00052958"/>
    <w:rsid w:val="00052FD3"/>
    <w:rsid w:val="000530BD"/>
    <w:rsid w:val="00053E8B"/>
    <w:rsid w:val="00054272"/>
    <w:rsid w:val="00055351"/>
    <w:rsid w:val="0005592A"/>
    <w:rsid w:val="00055A88"/>
    <w:rsid w:val="00057086"/>
    <w:rsid w:val="0005720C"/>
    <w:rsid w:val="0005786D"/>
    <w:rsid w:val="000602AE"/>
    <w:rsid w:val="00060864"/>
    <w:rsid w:val="000609F0"/>
    <w:rsid w:val="00060DFA"/>
    <w:rsid w:val="0006121E"/>
    <w:rsid w:val="000619C7"/>
    <w:rsid w:val="00061B75"/>
    <w:rsid w:val="0006222B"/>
    <w:rsid w:val="0006236B"/>
    <w:rsid w:val="0006242B"/>
    <w:rsid w:val="000626B8"/>
    <w:rsid w:val="000629F8"/>
    <w:rsid w:val="00062B8B"/>
    <w:rsid w:val="000632A3"/>
    <w:rsid w:val="00063CB2"/>
    <w:rsid w:val="00064A8A"/>
    <w:rsid w:val="00065106"/>
    <w:rsid w:val="000657EE"/>
    <w:rsid w:val="00065C00"/>
    <w:rsid w:val="00065DA8"/>
    <w:rsid w:val="00065EED"/>
    <w:rsid w:val="0006603A"/>
    <w:rsid w:val="000662F0"/>
    <w:rsid w:val="0006652D"/>
    <w:rsid w:val="00067576"/>
    <w:rsid w:val="0006759F"/>
    <w:rsid w:val="00067889"/>
    <w:rsid w:val="00070796"/>
    <w:rsid w:val="00071032"/>
    <w:rsid w:val="000711DB"/>
    <w:rsid w:val="000725C5"/>
    <w:rsid w:val="000727CC"/>
    <w:rsid w:val="00072F2A"/>
    <w:rsid w:val="00072FC0"/>
    <w:rsid w:val="00073A44"/>
    <w:rsid w:val="00073A87"/>
    <w:rsid w:val="00073CEE"/>
    <w:rsid w:val="00073EEF"/>
    <w:rsid w:val="0007415A"/>
    <w:rsid w:val="0007473E"/>
    <w:rsid w:val="00074F0B"/>
    <w:rsid w:val="000754BC"/>
    <w:rsid w:val="000757FC"/>
    <w:rsid w:val="00075B42"/>
    <w:rsid w:val="00076419"/>
    <w:rsid w:val="000769E5"/>
    <w:rsid w:val="00076E74"/>
    <w:rsid w:val="000772C9"/>
    <w:rsid w:val="000772E4"/>
    <w:rsid w:val="000778FD"/>
    <w:rsid w:val="0007795F"/>
    <w:rsid w:val="000779AA"/>
    <w:rsid w:val="00077A77"/>
    <w:rsid w:val="00077BAE"/>
    <w:rsid w:val="0008006A"/>
    <w:rsid w:val="000808A8"/>
    <w:rsid w:val="00080AF4"/>
    <w:rsid w:val="00080EE8"/>
    <w:rsid w:val="00080F78"/>
    <w:rsid w:val="000810BE"/>
    <w:rsid w:val="00081344"/>
    <w:rsid w:val="00081B9B"/>
    <w:rsid w:val="000821F9"/>
    <w:rsid w:val="00082237"/>
    <w:rsid w:val="000823F4"/>
    <w:rsid w:val="00082AAE"/>
    <w:rsid w:val="00082DF1"/>
    <w:rsid w:val="0008300A"/>
    <w:rsid w:val="000831C0"/>
    <w:rsid w:val="00084317"/>
    <w:rsid w:val="0008474F"/>
    <w:rsid w:val="00084993"/>
    <w:rsid w:val="00084F5C"/>
    <w:rsid w:val="0008554F"/>
    <w:rsid w:val="000858D7"/>
    <w:rsid w:val="0008595E"/>
    <w:rsid w:val="00085BA4"/>
    <w:rsid w:val="00085FBF"/>
    <w:rsid w:val="0008611A"/>
    <w:rsid w:val="00086386"/>
    <w:rsid w:val="00087AEA"/>
    <w:rsid w:val="00087DE5"/>
    <w:rsid w:val="00087E5E"/>
    <w:rsid w:val="00090430"/>
    <w:rsid w:val="00090633"/>
    <w:rsid w:val="0009099B"/>
    <w:rsid w:val="0009140D"/>
    <w:rsid w:val="000919A2"/>
    <w:rsid w:val="00091A99"/>
    <w:rsid w:val="00091BFF"/>
    <w:rsid w:val="00091FD6"/>
    <w:rsid w:val="000926BD"/>
    <w:rsid w:val="000937A9"/>
    <w:rsid w:val="0009430B"/>
    <w:rsid w:val="000943F4"/>
    <w:rsid w:val="000944B2"/>
    <w:rsid w:val="00094CC2"/>
    <w:rsid w:val="00095282"/>
    <w:rsid w:val="00095B7C"/>
    <w:rsid w:val="00095D84"/>
    <w:rsid w:val="00095D9D"/>
    <w:rsid w:val="000967FD"/>
    <w:rsid w:val="00096A65"/>
    <w:rsid w:val="0009760F"/>
    <w:rsid w:val="00097965"/>
    <w:rsid w:val="00097EDA"/>
    <w:rsid w:val="00097F01"/>
    <w:rsid w:val="000A0252"/>
    <w:rsid w:val="000A0407"/>
    <w:rsid w:val="000A0934"/>
    <w:rsid w:val="000A123C"/>
    <w:rsid w:val="000A15F0"/>
    <w:rsid w:val="000A1780"/>
    <w:rsid w:val="000A26DD"/>
    <w:rsid w:val="000A2D2E"/>
    <w:rsid w:val="000A2E97"/>
    <w:rsid w:val="000A3050"/>
    <w:rsid w:val="000A31CC"/>
    <w:rsid w:val="000A340A"/>
    <w:rsid w:val="000A3488"/>
    <w:rsid w:val="000A3833"/>
    <w:rsid w:val="000A384E"/>
    <w:rsid w:val="000A3BDB"/>
    <w:rsid w:val="000A3EB0"/>
    <w:rsid w:val="000A3F59"/>
    <w:rsid w:val="000A43B0"/>
    <w:rsid w:val="000A4531"/>
    <w:rsid w:val="000A4610"/>
    <w:rsid w:val="000A480B"/>
    <w:rsid w:val="000A5CE6"/>
    <w:rsid w:val="000A5E66"/>
    <w:rsid w:val="000A5E6C"/>
    <w:rsid w:val="000A6067"/>
    <w:rsid w:val="000A6133"/>
    <w:rsid w:val="000A64E2"/>
    <w:rsid w:val="000A6B18"/>
    <w:rsid w:val="000A6BF8"/>
    <w:rsid w:val="000A6EA6"/>
    <w:rsid w:val="000A7012"/>
    <w:rsid w:val="000A771F"/>
    <w:rsid w:val="000A7745"/>
    <w:rsid w:val="000B0A27"/>
    <w:rsid w:val="000B0A4D"/>
    <w:rsid w:val="000B1906"/>
    <w:rsid w:val="000B2864"/>
    <w:rsid w:val="000B2D9B"/>
    <w:rsid w:val="000B30CB"/>
    <w:rsid w:val="000B3282"/>
    <w:rsid w:val="000B3E67"/>
    <w:rsid w:val="000B45ED"/>
    <w:rsid w:val="000B46DB"/>
    <w:rsid w:val="000B579D"/>
    <w:rsid w:val="000B5D6B"/>
    <w:rsid w:val="000B5E68"/>
    <w:rsid w:val="000B67EB"/>
    <w:rsid w:val="000B6923"/>
    <w:rsid w:val="000B6C96"/>
    <w:rsid w:val="000B7366"/>
    <w:rsid w:val="000B768F"/>
    <w:rsid w:val="000B779B"/>
    <w:rsid w:val="000B7A06"/>
    <w:rsid w:val="000B7E65"/>
    <w:rsid w:val="000B7E81"/>
    <w:rsid w:val="000C008A"/>
    <w:rsid w:val="000C0DBF"/>
    <w:rsid w:val="000C119E"/>
    <w:rsid w:val="000C1564"/>
    <w:rsid w:val="000C2551"/>
    <w:rsid w:val="000C2574"/>
    <w:rsid w:val="000C270C"/>
    <w:rsid w:val="000C2A4B"/>
    <w:rsid w:val="000C2CA4"/>
    <w:rsid w:val="000C30E8"/>
    <w:rsid w:val="000C3AA9"/>
    <w:rsid w:val="000C5358"/>
    <w:rsid w:val="000C53B4"/>
    <w:rsid w:val="000C5773"/>
    <w:rsid w:val="000C59BF"/>
    <w:rsid w:val="000C5BB9"/>
    <w:rsid w:val="000C5BE7"/>
    <w:rsid w:val="000C62A6"/>
    <w:rsid w:val="000C6CF5"/>
    <w:rsid w:val="000C6D8C"/>
    <w:rsid w:val="000C735D"/>
    <w:rsid w:val="000C7895"/>
    <w:rsid w:val="000C797E"/>
    <w:rsid w:val="000C79D1"/>
    <w:rsid w:val="000C7C08"/>
    <w:rsid w:val="000D020F"/>
    <w:rsid w:val="000D028B"/>
    <w:rsid w:val="000D0B9B"/>
    <w:rsid w:val="000D0E13"/>
    <w:rsid w:val="000D18C4"/>
    <w:rsid w:val="000D1AE5"/>
    <w:rsid w:val="000D1B98"/>
    <w:rsid w:val="000D1E12"/>
    <w:rsid w:val="000D26CD"/>
    <w:rsid w:val="000D26E4"/>
    <w:rsid w:val="000D32EE"/>
    <w:rsid w:val="000D41C3"/>
    <w:rsid w:val="000D42EA"/>
    <w:rsid w:val="000D4668"/>
    <w:rsid w:val="000D4A49"/>
    <w:rsid w:val="000D5384"/>
    <w:rsid w:val="000D5640"/>
    <w:rsid w:val="000D68C4"/>
    <w:rsid w:val="000D6920"/>
    <w:rsid w:val="000D6B6C"/>
    <w:rsid w:val="000D6DC2"/>
    <w:rsid w:val="000D7074"/>
    <w:rsid w:val="000D7152"/>
    <w:rsid w:val="000D76E4"/>
    <w:rsid w:val="000E1018"/>
    <w:rsid w:val="000E1080"/>
    <w:rsid w:val="000E15A6"/>
    <w:rsid w:val="000E26B6"/>
    <w:rsid w:val="000E27D2"/>
    <w:rsid w:val="000E28E0"/>
    <w:rsid w:val="000E290B"/>
    <w:rsid w:val="000E2F6C"/>
    <w:rsid w:val="000E3137"/>
    <w:rsid w:val="000E3A2C"/>
    <w:rsid w:val="000E4332"/>
    <w:rsid w:val="000E4711"/>
    <w:rsid w:val="000E4DC5"/>
    <w:rsid w:val="000E4F28"/>
    <w:rsid w:val="000E5109"/>
    <w:rsid w:val="000E57C0"/>
    <w:rsid w:val="000E5B84"/>
    <w:rsid w:val="000E5C0A"/>
    <w:rsid w:val="000E5C77"/>
    <w:rsid w:val="000E6914"/>
    <w:rsid w:val="000E6BB9"/>
    <w:rsid w:val="000E71B3"/>
    <w:rsid w:val="000E741D"/>
    <w:rsid w:val="000E7BF1"/>
    <w:rsid w:val="000E7D4C"/>
    <w:rsid w:val="000F023A"/>
    <w:rsid w:val="000F0C53"/>
    <w:rsid w:val="000F164E"/>
    <w:rsid w:val="000F21F2"/>
    <w:rsid w:val="000F23BB"/>
    <w:rsid w:val="000F2462"/>
    <w:rsid w:val="000F2BF8"/>
    <w:rsid w:val="000F2D90"/>
    <w:rsid w:val="000F2DF5"/>
    <w:rsid w:val="000F3132"/>
    <w:rsid w:val="000F43D4"/>
    <w:rsid w:val="000F4BCC"/>
    <w:rsid w:val="000F5104"/>
    <w:rsid w:val="000F520B"/>
    <w:rsid w:val="000F557D"/>
    <w:rsid w:val="000F5624"/>
    <w:rsid w:val="000F56D6"/>
    <w:rsid w:val="000F592D"/>
    <w:rsid w:val="000F5A32"/>
    <w:rsid w:val="000F5A6F"/>
    <w:rsid w:val="000F6ECF"/>
    <w:rsid w:val="000F7456"/>
    <w:rsid w:val="000F74A7"/>
    <w:rsid w:val="000F7E08"/>
    <w:rsid w:val="000F7ED5"/>
    <w:rsid w:val="000F7EF6"/>
    <w:rsid w:val="00100080"/>
    <w:rsid w:val="00100D28"/>
    <w:rsid w:val="00100F3F"/>
    <w:rsid w:val="00101C47"/>
    <w:rsid w:val="001023A4"/>
    <w:rsid w:val="00102779"/>
    <w:rsid w:val="00102AD8"/>
    <w:rsid w:val="00102B04"/>
    <w:rsid w:val="00103785"/>
    <w:rsid w:val="0010383D"/>
    <w:rsid w:val="001039CE"/>
    <w:rsid w:val="00104118"/>
    <w:rsid w:val="001047D6"/>
    <w:rsid w:val="001047D8"/>
    <w:rsid w:val="001048EC"/>
    <w:rsid w:val="00104F3D"/>
    <w:rsid w:val="00104FCA"/>
    <w:rsid w:val="00105924"/>
    <w:rsid w:val="00105BE4"/>
    <w:rsid w:val="00107027"/>
    <w:rsid w:val="001073A0"/>
    <w:rsid w:val="00107BA6"/>
    <w:rsid w:val="00107DE0"/>
    <w:rsid w:val="00107F42"/>
    <w:rsid w:val="00110017"/>
    <w:rsid w:val="00110D3A"/>
    <w:rsid w:val="001114AF"/>
    <w:rsid w:val="00111904"/>
    <w:rsid w:val="00111A1F"/>
    <w:rsid w:val="00111E07"/>
    <w:rsid w:val="00112023"/>
    <w:rsid w:val="00112200"/>
    <w:rsid w:val="001123F9"/>
    <w:rsid w:val="001125FC"/>
    <w:rsid w:val="001130A2"/>
    <w:rsid w:val="001141A7"/>
    <w:rsid w:val="00114224"/>
    <w:rsid w:val="00114920"/>
    <w:rsid w:val="00114C31"/>
    <w:rsid w:val="00115800"/>
    <w:rsid w:val="00116415"/>
    <w:rsid w:val="001165C1"/>
    <w:rsid w:val="0011679B"/>
    <w:rsid w:val="0011682D"/>
    <w:rsid w:val="00116872"/>
    <w:rsid w:val="001169F1"/>
    <w:rsid w:val="00117156"/>
    <w:rsid w:val="001172B4"/>
    <w:rsid w:val="00117614"/>
    <w:rsid w:val="00120AFF"/>
    <w:rsid w:val="00121A33"/>
    <w:rsid w:val="00121AC7"/>
    <w:rsid w:val="00121BBA"/>
    <w:rsid w:val="00121F16"/>
    <w:rsid w:val="00121F60"/>
    <w:rsid w:val="00122099"/>
    <w:rsid w:val="00122412"/>
    <w:rsid w:val="00122643"/>
    <w:rsid w:val="00122664"/>
    <w:rsid w:val="00122C9E"/>
    <w:rsid w:val="00122F18"/>
    <w:rsid w:val="001235FB"/>
    <w:rsid w:val="001236C3"/>
    <w:rsid w:val="00123E9B"/>
    <w:rsid w:val="00123EC9"/>
    <w:rsid w:val="001241EA"/>
    <w:rsid w:val="001243A0"/>
    <w:rsid w:val="0012457E"/>
    <w:rsid w:val="001245F3"/>
    <w:rsid w:val="00124C70"/>
    <w:rsid w:val="00124DEC"/>
    <w:rsid w:val="00125258"/>
    <w:rsid w:val="00125301"/>
    <w:rsid w:val="00125ABB"/>
    <w:rsid w:val="001269DD"/>
    <w:rsid w:val="00126B34"/>
    <w:rsid w:val="00126CC9"/>
    <w:rsid w:val="00127441"/>
    <w:rsid w:val="00127D1D"/>
    <w:rsid w:val="001303F5"/>
    <w:rsid w:val="00130760"/>
    <w:rsid w:val="00130AFC"/>
    <w:rsid w:val="001312C5"/>
    <w:rsid w:val="00131350"/>
    <w:rsid w:val="00131360"/>
    <w:rsid w:val="0013165B"/>
    <w:rsid w:val="001320D7"/>
    <w:rsid w:val="00132791"/>
    <w:rsid w:val="00132D54"/>
    <w:rsid w:val="00132FF8"/>
    <w:rsid w:val="00132FF9"/>
    <w:rsid w:val="00133444"/>
    <w:rsid w:val="00133AC6"/>
    <w:rsid w:val="001341D5"/>
    <w:rsid w:val="00134564"/>
    <w:rsid w:val="00134CD1"/>
    <w:rsid w:val="00134EA9"/>
    <w:rsid w:val="0013532F"/>
    <w:rsid w:val="00135464"/>
    <w:rsid w:val="001357B7"/>
    <w:rsid w:val="00136073"/>
    <w:rsid w:val="00136368"/>
    <w:rsid w:val="00136549"/>
    <w:rsid w:val="00136A44"/>
    <w:rsid w:val="001370C8"/>
    <w:rsid w:val="0013747C"/>
    <w:rsid w:val="0013786C"/>
    <w:rsid w:val="00137DB0"/>
    <w:rsid w:val="00137EA4"/>
    <w:rsid w:val="00137EA6"/>
    <w:rsid w:val="00140F23"/>
    <w:rsid w:val="001413E4"/>
    <w:rsid w:val="00141AB2"/>
    <w:rsid w:val="00141C9A"/>
    <w:rsid w:val="0014200D"/>
    <w:rsid w:val="0014245E"/>
    <w:rsid w:val="00142A70"/>
    <w:rsid w:val="00143B15"/>
    <w:rsid w:val="00143EEE"/>
    <w:rsid w:val="001441A0"/>
    <w:rsid w:val="001452EE"/>
    <w:rsid w:val="0014547F"/>
    <w:rsid w:val="001454AF"/>
    <w:rsid w:val="00145D56"/>
    <w:rsid w:val="001461B1"/>
    <w:rsid w:val="0014640F"/>
    <w:rsid w:val="00146767"/>
    <w:rsid w:val="00146AD0"/>
    <w:rsid w:val="00146BBF"/>
    <w:rsid w:val="00147034"/>
    <w:rsid w:val="0014705B"/>
    <w:rsid w:val="00147204"/>
    <w:rsid w:val="00150763"/>
    <w:rsid w:val="00150E49"/>
    <w:rsid w:val="001511E9"/>
    <w:rsid w:val="0015160D"/>
    <w:rsid w:val="00151FB0"/>
    <w:rsid w:val="00152400"/>
    <w:rsid w:val="00152491"/>
    <w:rsid w:val="001524BB"/>
    <w:rsid w:val="001529E8"/>
    <w:rsid w:val="001530B7"/>
    <w:rsid w:val="0015388B"/>
    <w:rsid w:val="00153935"/>
    <w:rsid w:val="00153AD3"/>
    <w:rsid w:val="00153C65"/>
    <w:rsid w:val="00153F00"/>
    <w:rsid w:val="001541F9"/>
    <w:rsid w:val="0015440E"/>
    <w:rsid w:val="0015488A"/>
    <w:rsid w:val="00154A87"/>
    <w:rsid w:val="00154DAD"/>
    <w:rsid w:val="00154ECD"/>
    <w:rsid w:val="0015508C"/>
    <w:rsid w:val="0015523D"/>
    <w:rsid w:val="001552E7"/>
    <w:rsid w:val="001555A7"/>
    <w:rsid w:val="001556EB"/>
    <w:rsid w:val="001558BF"/>
    <w:rsid w:val="00155974"/>
    <w:rsid w:val="00155AAF"/>
    <w:rsid w:val="00155AF6"/>
    <w:rsid w:val="00156223"/>
    <w:rsid w:val="00156410"/>
    <w:rsid w:val="00156A51"/>
    <w:rsid w:val="001572A5"/>
    <w:rsid w:val="00157318"/>
    <w:rsid w:val="001576EE"/>
    <w:rsid w:val="00160025"/>
    <w:rsid w:val="001600CD"/>
    <w:rsid w:val="001602F7"/>
    <w:rsid w:val="001609C2"/>
    <w:rsid w:val="00160BCB"/>
    <w:rsid w:val="001610CF"/>
    <w:rsid w:val="00161480"/>
    <w:rsid w:val="00161D4C"/>
    <w:rsid w:val="00161DD1"/>
    <w:rsid w:val="00161E61"/>
    <w:rsid w:val="00161F44"/>
    <w:rsid w:val="00162741"/>
    <w:rsid w:val="00163249"/>
    <w:rsid w:val="00163A4A"/>
    <w:rsid w:val="00163B28"/>
    <w:rsid w:val="00163BB0"/>
    <w:rsid w:val="00163F99"/>
    <w:rsid w:val="0016418C"/>
    <w:rsid w:val="00164813"/>
    <w:rsid w:val="00164CB6"/>
    <w:rsid w:val="001658EA"/>
    <w:rsid w:val="00165CC4"/>
    <w:rsid w:val="00165CF2"/>
    <w:rsid w:val="00167518"/>
    <w:rsid w:val="0017052E"/>
    <w:rsid w:val="00170A4A"/>
    <w:rsid w:val="00170F8B"/>
    <w:rsid w:val="00172230"/>
    <w:rsid w:val="0017274E"/>
    <w:rsid w:val="00172A34"/>
    <w:rsid w:val="00173803"/>
    <w:rsid w:val="0017381D"/>
    <w:rsid w:val="00173835"/>
    <w:rsid w:val="00173FE3"/>
    <w:rsid w:val="00174E7C"/>
    <w:rsid w:val="00174E83"/>
    <w:rsid w:val="00175F2B"/>
    <w:rsid w:val="001761FF"/>
    <w:rsid w:val="0017667F"/>
    <w:rsid w:val="00176CA2"/>
    <w:rsid w:val="00176CC8"/>
    <w:rsid w:val="00176DC1"/>
    <w:rsid w:val="001773B3"/>
    <w:rsid w:val="0017770B"/>
    <w:rsid w:val="00177F4E"/>
    <w:rsid w:val="001804E5"/>
    <w:rsid w:val="00180D21"/>
    <w:rsid w:val="00180FF8"/>
    <w:rsid w:val="00181439"/>
    <w:rsid w:val="0018191A"/>
    <w:rsid w:val="00181979"/>
    <w:rsid w:val="00181BFE"/>
    <w:rsid w:val="00181DAC"/>
    <w:rsid w:val="001825FC"/>
    <w:rsid w:val="00182BAB"/>
    <w:rsid w:val="00182C1D"/>
    <w:rsid w:val="00182D09"/>
    <w:rsid w:val="00183E3F"/>
    <w:rsid w:val="00184390"/>
    <w:rsid w:val="001848C1"/>
    <w:rsid w:val="00184939"/>
    <w:rsid w:val="00185828"/>
    <w:rsid w:val="001859D4"/>
    <w:rsid w:val="001859F3"/>
    <w:rsid w:val="00185A5C"/>
    <w:rsid w:val="001871E1"/>
    <w:rsid w:val="00187228"/>
    <w:rsid w:val="00187C89"/>
    <w:rsid w:val="00187DF7"/>
    <w:rsid w:val="00190057"/>
    <w:rsid w:val="0019017D"/>
    <w:rsid w:val="001903B8"/>
    <w:rsid w:val="001909E0"/>
    <w:rsid w:val="00190A9C"/>
    <w:rsid w:val="00190ABC"/>
    <w:rsid w:val="001921AB"/>
    <w:rsid w:val="001929B2"/>
    <w:rsid w:val="00192DA2"/>
    <w:rsid w:val="0019328D"/>
    <w:rsid w:val="00193646"/>
    <w:rsid w:val="00193845"/>
    <w:rsid w:val="00193A9F"/>
    <w:rsid w:val="00193D3B"/>
    <w:rsid w:val="001947CB"/>
    <w:rsid w:val="001947D4"/>
    <w:rsid w:val="00194A48"/>
    <w:rsid w:val="001955B2"/>
    <w:rsid w:val="0019560A"/>
    <w:rsid w:val="00195B6F"/>
    <w:rsid w:val="00195D66"/>
    <w:rsid w:val="00195F8E"/>
    <w:rsid w:val="001966F6"/>
    <w:rsid w:val="00196784"/>
    <w:rsid w:val="00196B4E"/>
    <w:rsid w:val="00196BBB"/>
    <w:rsid w:val="00196EE8"/>
    <w:rsid w:val="00197048"/>
    <w:rsid w:val="00197337"/>
    <w:rsid w:val="001977EA"/>
    <w:rsid w:val="00197D6E"/>
    <w:rsid w:val="00197E05"/>
    <w:rsid w:val="001A08AE"/>
    <w:rsid w:val="001A0C29"/>
    <w:rsid w:val="001A1825"/>
    <w:rsid w:val="001A1DB0"/>
    <w:rsid w:val="001A249E"/>
    <w:rsid w:val="001A2722"/>
    <w:rsid w:val="001A2AC1"/>
    <w:rsid w:val="001A2B54"/>
    <w:rsid w:val="001A2F80"/>
    <w:rsid w:val="001A3217"/>
    <w:rsid w:val="001A361F"/>
    <w:rsid w:val="001A3A33"/>
    <w:rsid w:val="001A414B"/>
    <w:rsid w:val="001A41B7"/>
    <w:rsid w:val="001A4799"/>
    <w:rsid w:val="001A4C33"/>
    <w:rsid w:val="001A4E95"/>
    <w:rsid w:val="001A54C3"/>
    <w:rsid w:val="001A5FE9"/>
    <w:rsid w:val="001A642B"/>
    <w:rsid w:val="001A64DE"/>
    <w:rsid w:val="001A6F18"/>
    <w:rsid w:val="001A7602"/>
    <w:rsid w:val="001A787E"/>
    <w:rsid w:val="001A7911"/>
    <w:rsid w:val="001B0916"/>
    <w:rsid w:val="001B0A54"/>
    <w:rsid w:val="001B1226"/>
    <w:rsid w:val="001B1336"/>
    <w:rsid w:val="001B133C"/>
    <w:rsid w:val="001B187E"/>
    <w:rsid w:val="001B1D40"/>
    <w:rsid w:val="001B1D82"/>
    <w:rsid w:val="001B2001"/>
    <w:rsid w:val="001B2256"/>
    <w:rsid w:val="001B27EF"/>
    <w:rsid w:val="001B2BBF"/>
    <w:rsid w:val="001B2E21"/>
    <w:rsid w:val="001B2F68"/>
    <w:rsid w:val="001B3A58"/>
    <w:rsid w:val="001B3D9E"/>
    <w:rsid w:val="001B4151"/>
    <w:rsid w:val="001B46A7"/>
    <w:rsid w:val="001B4861"/>
    <w:rsid w:val="001B495E"/>
    <w:rsid w:val="001B4B39"/>
    <w:rsid w:val="001B4FE0"/>
    <w:rsid w:val="001B5197"/>
    <w:rsid w:val="001B55A5"/>
    <w:rsid w:val="001B56DE"/>
    <w:rsid w:val="001B59DD"/>
    <w:rsid w:val="001B5AD4"/>
    <w:rsid w:val="001B5D9E"/>
    <w:rsid w:val="001B5DC0"/>
    <w:rsid w:val="001B6237"/>
    <w:rsid w:val="001B6AFA"/>
    <w:rsid w:val="001B6B40"/>
    <w:rsid w:val="001B6D86"/>
    <w:rsid w:val="001B78F7"/>
    <w:rsid w:val="001B7E4F"/>
    <w:rsid w:val="001C008A"/>
    <w:rsid w:val="001C0192"/>
    <w:rsid w:val="001C05A1"/>
    <w:rsid w:val="001C06AD"/>
    <w:rsid w:val="001C0869"/>
    <w:rsid w:val="001C0C20"/>
    <w:rsid w:val="001C0C5B"/>
    <w:rsid w:val="001C1114"/>
    <w:rsid w:val="001C13CA"/>
    <w:rsid w:val="001C1400"/>
    <w:rsid w:val="001C1911"/>
    <w:rsid w:val="001C2770"/>
    <w:rsid w:val="001C2A16"/>
    <w:rsid w:val="001C2E72"/>
    <w:rsid w:val="001C3C8D"/>
    <w:rsid w:val="001C4557"/>
    <w:rsid w:val="001C457F"/>
    <w:rsid w:val="001C47A6"/>
    <w:rsid w:val="001C4D70"/>
    <w:rsid w:val="001C5103"/>
    <w:rsid w:val="001C532E"/>
    <w:rsid w:val="001C5B35"/>
    <w:rsid w:val="001C5D25"/>
    <w:rsid w:val="001C66C8"/>
    <w:rsid w:val="001C699F"/>
    <w:rsid w:val="001C6A94"/>
    <w:rsid w:val="001C6BC8"/>
    <w:rsid w:val="001C7C8E"/>
    <w:rsid w:val="001C7CB5"/>
    <w:rsid w:val="001D00DB"/>
    <w:rsid w:val="001D035A"/>
    <w:rsid w:val="001D03FD"/>
    <w:rsid w:val="001D0A92"/>
    <w:rsid w:val="001D0ABA"/>
    <w:rsid w:val="001D13F0"/>
    <w:rsid w:val="001D1754"/>
    <w:rsid w:val="001D1861"/>
    <w:rsid w:val="001D18EC"/>
    <w:rsid w:val="001D1BA0"/>
    <w:rsid w:val="001D21CB"/>
    <w:rsid w:val="001D2755"/>
    <w:rsid w:val="001D2BDD"/>
    <w:rsid w:val="001D33EF"/>
    <w:rsid w:val="001D35A0"/>
    <w:rsid w:val="001D3A52"/>
    <w:rsid w:val="001D3A80"/>
    <w:rsid w:val="001D3D00"/>
    <w:rsid w:val="001D3F42"/>
    <w:rsid w:val="001D4358"/>
    <w:rsid w:val="001D44BA"/>
    <w:rsid w:val="001D480B"/>
    <w:rsid w:val="001D510A"/>
    <w:rsid w:val="001D5466"/>
    <w:rsid w:val="001D5627"/>
    <w:rsid w:val="001D5A26"/>
    <w:rsid w:val="001D5AC0"/>
    <w:rsid w:val="001D5DA6"/>
    <w:rsid w:val="001D61D4"/>
    <w:rsid w:val="001D65CC"/>
    <w:rsid w:val="001D66E5"/>
    <w:rsid w:val="001D6A3A"/>
    <w:rsid w:val="001D6AC0"/>
    <w:rsid w:val="001D79B3"/>
    <w:rsid w:val="001E0092"/>
    <w:rsid w:val="001E0116"/>
    <w:rsid w:val="001E06EE"/>
    <w:rsid w:val="001E0EEF"/>
    <w:rsid w:val="001E19E9"/>
    <w:rsid w:val="001E2E55"/>
    <w:rsid w:val="001E2F80"/>
    <w:rsid w:val="001E339F"/>
    <w:rsid w:val="001E393F"/>
    <w:rsid w:val="001E3B0B"/>
    <w:rsid w:val="001E410A"/>
    <w:rsid w:val="001E43A4"/>
    <w:rsid w:val="001E46F1"/>
    <w:rsid w:val="001E4C00"/>
    <w:rsid w:val="001E5006"/>
    <w:rsid w:val="001E55D1"/>
    <w:rsid w:val="001E55E5"/>
    <w:rsid w:val="001E56EF"/>
    <w:rsid w:val="001E5BFB"/>
    <w:rsid w:val="001E65C8"/>
    <w:rsid w:val="001E6778"/>
    <w:rsid w:val="001E67B4"/>
    <w:rsid w:val="001E67D3"/>
    <w:rsid w:val="001E6ECA"/>
    <w:rsid w:val="001E7237"/>
    <w:rsid w:val="001F017E"/>
    <w:rsid w:val="001F06EC"/>
    <w:rsid w:val="001F0717"/>
    <w:rsid w:val="001F095A"/>
    <w:rsid w:val="001F1130"/>
    <w:rsid w:val="001F158D"/>
    <w:rsid w:val="001F19F7"/>
    <w:rsid w:val="001F23B3"/>
    <w:rsid w:val="001F29A0"/>
    <w:rsid w:val="001F2D3D"/>
    <w:rsid w:val="001F308B"/>
    <w:rsid w:val="001F34CF"/>
    <w:rsid w:val="001F3594"/>
    <w:rsid w:val="001F4174"/>
    <w:rsid w:val="001F4384"/>
    <w:rsid w:val="001F43F8"/>
    <w:rsid w:val="001F4818"/>
    <w:rsid w:val="001F4960"/>
    <w:rsid w:val="001F4A66"/>
    <w:rsid w:val="001F4B5C"/>
    <w:rsid w:val="001F4E6E"/>
    <w:rsid w:val="001F5038"/>
    <w:rsid w:val="001F50E0"/>
    <w:rsid w:val="001F5892"/>
    <w:rsid w:val="001F5CD6"/>
    <w:rsid w:val="001F618F"/>
    <w:rsid w:val="001F6506"/>
    <w:rsid w:val="001F6ABC"/>
    <w:rsid w:val="001F6D3E"/>
    <w:rsid w:val="001F708D"/>
    <w:rsid w:val="001F78EF"/>
    <w:rsid w:val="00200F49"/>
    <w:rsid w:val="00201189"/>
    <w:rsid w:val="002013F0"/>
    <w:rsid w:val="00201DA3"/>
    <w:rsid w:val="0020217A"/>
    <w:rsid w:val="00202645"/>
    <w:rsid w:val="00202F5E"/>
    <w:rsid w:val="00202F64"/>
    <w:rsid w:val="00202FF5"/>
    <w:rsid w:val="00203355"/>
    <w:rsid w:val="0020357F"/>
    <w:rsid w:val="00203CA8"/>
    <w:rsid w:val="00203F8A"/>
    <w:rsid w:val="00204261"/>
    <w:rsid w:val="0020476F"/>
    <w:rsid w:val="002048B3"/>
    <w:rsid w:val="002048F8"/>
    <w:rsid w:val="0020493A"/>
    <w:rsid w:val="00204F45"/>
    <w:rsid w:val="002052B4"/>
    <w:rsid w:val="002059C0"/>
    <w:rsid w:val="00205C88"/>
    <w:rsid w:val="00205E56"/>
    <w:rsid w:val="00205FBC"/>
    <w:rsid w:val="0020617E"/>
    <w:rsid w:val="002062B2"/>
    <w:rsid w:val="002064EE"/>
    <w:rsid w:val="002068EC"/>
    <w:rsid w:val="002069E6"/>
    <w:rsid w:val="002071F4"/>
    <w:rsid w:val="00207C39"/>
    <w:rsid w:val="00210A68"/>
    <w:rsid w:val="002111B8"/>
    <w:rsid w:val="0021194C"/>
    <w:rsid w:val="00211A56"/>
    <w:rsid w:val="00211C00"/>
    <w:rsid w:val="0021264A"/>
    <w:rsid w:val="00212B34"/>
    <w:rsid w:val="00212DFB"/>
    <w:rsid w:val="00212F01"/>
    <w:rsid w:val="002139FD"/>
    <w:rsid w:val="00213DEE"/>
    <w:rsid w:val="00213E71"/>
    <w:rsid w:val="002143C1"/>
    <w:rsid w:val="0021453D"/>
    <w:rsid w:val="002148C6"/>
    <w:rsid w:val="0021493A"/>
    <w:rsid w:val="00214ED3"/>
    <w:rsid w:val="00215072"/>
    <w:rsid w:val="00215AED"/>
    <w:rsid w:val="00215B5C"/>
    <w:rsid w:val="00215B83"/>
    <w:rsid w:val="00215C59"/>
    <w:rsid w:val="00215EC5"/>
    <w:rsid w:val="0021670A"/>
    <w:rsid w:val="0021693E"/>
    <w:rsid w:val="00216DDD"/>
    <w:rsid w:val="00216ECB"/>
    <w:rsid w:val="00217979"/>
    <w:rsid w:val="00217B64"/>
    <w:rsid w:val="00220783"/>
    <w:rsid w:val="00220C26"/>
    <w:rsid w:val="00221106"/>
    <w:rsid w:val="00221388"/>
    <w:rsid w:val="002217C2"/>
    <w:rsid w:val="0022186B"/>
    <w:rsid w:val="002223F8"/>
    <w:rsid w:val="00222A56"/>
    <w:rsid w:val="002233EA"/>
    <w:rsid w:val="002237D7"/>
    <w:rsid w:val="00223D50"/>
    <w:rsid w:val="002240DF"/>
    <w:rsid w:val="00224A8B"/>
    <w:rsid w:val="00224BD4"/>
    <w:rsid w:val="00224E41"/>
    <w:rsid w:val="00224F20"/>
    <w:rsid w:val="00225086"/>
    <w:rsid w:val="002250F6"/>
    <w:rsid w:val="0022524F"/>
    <w:rsid w:val="00226561"/>
    <w:rsid w:val="00226A1E"/>
    <w:rsid w:val="00227835"/>
    <w:rsid w:val="00227848"/>
    <w:rsid w:val="00227A45"/>
    <w:rsid w:val="00227B8E"/>
    <w:rsid w:val="00227F9B"/>
    <w:rsid w:val="002301EE"/>
    <w:rsid w:val="002305AF"/>
    <w:rsid w:val="00231359"/>
    <w:rsid w:val="00231EA4"/>
    <w:rsid w:val="002328D0"/>
    <w:rsid w:val="00232E01"/>
    <w:rsid w:val="002337EA"/>
    <w:rsid w:val="00233AE0"/>
    <w:rsid w:val="00233CAD"/>
    <w:rsid w:val="0023457B"/>
    <w:rsid w:val="0023463E"/>
    <w:rsid w:val="0023467E"/>
    <w:rsid w:val="002348F7"/>
    <w:rsid w:val="00234BA1"/>
    <w:rsid w:val="00234EE9"/>
    <w:rsid w:val="0023503B"/>
    <w:rsid w:val="002351C8"/>
    <w:rsid w:val="0023593E"/>
    <w:rsid w:val="00235B3D"/>
    <w:rsid w:val="00236264"/>
    <w:rsid w:val="00236E60"/>
    <w:rsid w:val="00236EE8"/>
    <w:rsid w:val="00236F25"/>
    <w:rsid w:val="00237250"/>
    <w:rsid w:val="0023770B"/>
    <w:rsid w:val="00237878"/>
    <w:rsid w:val="0024061E"/>
    <w:rsid w:val="002406D0"/>
    <w:rsid w:val="002409E3"/>
    <w:rsid w:val="00240DB3"/>
    <w:rsid w:val="00240ED6"/>
    <w:rsid w:val="00240F95"/>
    <w:rsid w:val="00241019"/>
    <w:rsid w:val="00241D36"/>
    <w:rsid w:val="0024312A"/>
    <w:rsid w:val="0024316F"/>
    <w:rsid w:val="002438F7"/>
    <w:rsid w:val="00243BE5"/>
    <w:rsid w:val="00243D87"/>
    <w:rsid w:val="00243FD1"/>
    <w:rsid w:val="00244911"/>
    <w:rsid w:val="0024510D"/>
    <w:rsid w:val="00246308"/>
    <w:rsid w:val="00247064"/>
    <w:rsid w:val="002474C1"/>
    <w:rsid w:val="00247754"/>
    <w:rsid w:val="002478A1"/>
    <w:rsid w:val="00247B71"/>
    <w:rsid w:val="0025026D"/>
    <w:rsid w:val="00250A40"/>
    <w:rsid w:val="002513E0"/>
    <w:rsid w:val="00251F3B"/>
    <w:rsid w:val="0025211B"/>
    <w:rsid w:val="00252780"/>
    <w:rsid w:val="00252AF4"/>
    <w:rsid w:val="00252BDB"/>
    <w:rsid w:val="00252E93"/>
    <w:rsid w:val="00252F7B"/>
    <w:rsid w:val="00253C06"/>
    <w:rsid w:val="00253D5E"/>
    <w:rsid w:val="0025444B"/>
    <w:rsid w:val="00254925"/>
    <w:rsid w:val="0025519C"/>
    <w:rsid w:val="00255A46"/>
    <w:rsid w:val="00256003"/>
    <w:rsid w:val="00256B76"/>
    <w:rsid w:val="00257141"/>
    <w:rsid w:val="0025768A"/>
    <w:rsid w:val="002576CE"/>
    <w:rsid w:val="00257C28"/>
    <w:rsid w:val="00260AC8"/>
    <w:rsid w:val="00260C93"/>
    <w:rsid w:val="00260E15"/>
    <w:rsid w:val="002611D9"/>
    <w:rsid w:val="002618BE"/>
    <w:rsid w:val="00261F8E"/>
    <w:rsid w:val="00262492"/>
    <w:rsid w:val="002625F3"/>
    <w:rsid w:val="00263258"/>
    <w:rsid w:val="002633AB"/>
    <w:rsid w:val="002639F2"/>
    <w:rsid w:val="00263A04"/>
    <w:rsid w:val="00263E9A"/>
    <w:rsid w:val="00264C4C"/>
    <w:rsid w:val="00265056"/>
    <w:rsid w:val="00265CCA"/>
    <w:rsid w:val="00265CFB"/>
    <w:rsid w:val="002661D2"/>
    <w:rsid w:val="00266722"/>
    <w:rsid w:val="00267351"/>
    <w:rsid w:val="00267374"/>
    <w:rsid w:val="0026782E"/>
    <w:rsid w:val="0027001D"/>
    <w:rsid w:val="00270220"/>
    <w:rsid w:val="00270313"/>
    <w:rsid w:val="002705EE"/>
    <w:rsid w:val="00270BD6"/>
    <w:rsid w:val="00270CA4"/>
    <w:rsid w:val="002711FB"/>
    <w:rsid w:val="00271328"/>
    <w:rsid w:val="002719D2"/>
    <w:rsid w:val="00271A33"/>
    <w:rsid w:val="00271D62"/>
    <w:rsid w:val="00271ED7"/>
    <w:rsid w:val="002729A5"/>
    <w:rsid w:val="002737A2"/>
    <w:rsid w:val="00274925"/>
    <w:rsid w:val="002760C6"/>
    <w:rsid w:val="0027641F"/>
    <w:rsid w:val="002765D0"/>
    <w:rsid w:val="00276F52"/>
    <w:rsid w:val="002774B2"/>
    <w:rsid w:val="00277D62"/>
    <w:rsid w:val="002807F8"/>
    <w:rsid w:val="00280866"/>
    <w:rsid w:val="00280DFC"/>
    <w:rsid w:val="00281621"/>
    <w:rsid w:val="00281848"/>
    <w:rsid w:val="00281A97"/>
    <w:rsid w:val="00281B3B"/>
    <w:rsid w:val="00282BF0"/>
    <w:rsid w:val="002834EF"/>
    <w:rsid w:val="00283958"/>
    <w:rsid w:val="00283D65"/>
    <w:rsid w:val="00283DB7"/>
    <w:rsid w:val="00283DC7"/>
    <w:rsid w:val="00283F58"/>
    <w:rsid w:val="00284570"/>
    <w:rsid w:val="0028469F"/>
    <w:rsid w:val="00284A63"/>
    <w:rsid w:val="00284F35"/>
    <w:rsid w:val="00284F75"/>
    <w:rsid w:val="002851CB"/>
    <w:rsid w:val="00285696"/>
    <w:rsid w:val="00285984"/>
    <w:rsid w:val="00285C9B"/>
    <w:rsid w:val="002860B7"/>
    <w:rsid w:val="0028657E"/>
    <w:rsid w:val="00286675"/>
    <w:rsid w:val="00286789"/>
    <w:rsid w:val="00286AD4"/>
    <w:rsid w:val="00286EBB"/>
    <w:rsid w:val="00287A30"/>
    <w:rsid w:val="00287ADA"/>
    <w:rsid w:val="0029043D"/>
    <w:rsid w:val="0029081C"/>
    <w:rsid w:val="00290FA2"/>
    <w:rsid w:val="002910BE"/>
    <w:rsid w:val="00291195"/>
    <w:rsid w:val="0029119A"/>
    <w:rsid w:val="002913C9"/>
    <w:rsid w:val="002915FC"/>
    <w:rsid w:val="00291893"/>
    <w:rsid w:val="0029207D"/>
    <w:rsid w:val="00293198"/>
    <w:rsid w:val="0029320D"/>
    <w:rsid w:val="002933DD"/>
    <w:rsid w:val="002948D0"/>
    <w:rsid w:val="002949E0"/>
    <w:rsid w:val="00294AAC"/>
    <w:rsid w:val="002956A2"/>
    <w:rsid w:val="00295790"/>
    <w:rsid w:val="00295A24"/>
    <w:rsid w:val="00296448"/>
    <w:rsid w:val="00296EEE"/>
    <w:rsid w:val="00297013"/>
    <w:rsid w:val="0029705E"/>
    <w:rsid w:val="002975F7"/>
    <w:rsid w:val="002977D7"/>
    <w:rsid w:val="00297810"/>
    <w:rsid w:val="00297E7E"/>
    <w:rsid w:val="002A01E6"/>
    <w:rsid w:val="002A087B"/>
    <w:rsid w:val="002A0BC8"/>
    <w:rsid w:val="002A0C02"/>
    <w:rsid w:val="002A10B0"/>
    <w:rsid w:val="002A1165"/>
    <w:rsid w:val="002A1846"/>
    <w:rsid w:val="002A1916"/>
    <w:rsid w:val="002A2247"/>
    <w:rsid w:val="002A24C8"/>
    <w:rsid w:val="002A2A3C"/>
    <w:rsid w:val="002A2A81"/>
    <w:rsid w:val="002A2C28"/>
    <w:rsid w:val="002A2E59"/>
    <w:rsid w:val="002A337B"/>
    <w:rsid w:val="002A3F03"/>
    <w:rsid w:val="002A46CA"/>
    <w:rsid w:val="002A48D8"/>
    <w:rsid w:val="002A4931"/>
    <w:rsid w:val="002A49C9"/>
    <w:rsid w:val="002A4E21"/>
    <w:rsid w:val="002A55F5"/>
    <w:rsid w:val="002A567E"/>
    <w:rsid w:val="002A5A01"/>
    <w:rsid w:val="002A6674"/>
    <w:rsid w:val="002A6879"/>
    <w:rsid w:val="002A6A69"/>
    <w:rsid w:val="002A70A8"/>
    <w:rsid w:val="002A7415"/>
    <w:rsid w:val="002A7E47"/>
    <w:rsid w:val="002B02E5"/>
    <w:rsid w:val="002B0443"/>
    <w:rsid w:val="002B09EE"/>
    <w:rsid w:val="002B101E"/>
    <w:rsid w:val="002B10D7"/>
    <w:rsid w:val="002B23E9"/>
    <w:rsid w:val="002B2EF0"/>
    <w:rsid w:val="002B315E"/>
    <w:rsid w:val="002B36DC"/>
    <w:rsid w:val="002B380C"/>
    <w:rsid w:val="002B3B7C"/>
    <w:rsid w:val="002B4150"/>
    <w:rsid w:val="002B4710"/>
    <w:rsid w:val="002B4A7F"/>
    <w:rsid w:val="002B53C0"/>
    <w:rsid w:val="002B5634"/>
    <w:rsid w:val="002B5AB4"/>
    <w:rsid w:val="002B5FBB"/>
    <w:rsid w:val="002B5FEE"/>
    <w:rsid w:val="002B6176"/>
    <w:rsid w:val="002B6702"/>
    <w:rsid w:val="002B690C"/>
    <w:rsid w:val="002B6C22"/>
    <w:rsid w:val="002B6E4A"/>
    <w:rsid w:val="002B7164"/>
    <w:rsid w:val="002B71ED"/>
    <w:rsid w:val="002B782A"/>
    <w:rsid w:val="002C02BF"/>
    <w:rsid w:val="002C06E9"/>
    <w:rsid w:val="002C082C"/>
    <w:rsid w:val="002C0EAE"/>
    <w:rsid w:val="002C1270"/>
    <w:rsid w:val="002C148C"/>
    <w:rsid w:val="002C156E"/>
    <w:rsid w:val="002C159E"/>
    <w:rsid w:val="002C164D"/>
    <w:rsid w:val="002C1A67"/>
    <w:rsid w:val="002C1BB9"/>
    <w:rsid w:val="002C1F30"/>
    <w:rsid w:val="002C215C"/>
    <w:rsid w:val="002C2216"/>
    <w:rsid w:val="002C2723"/>
    <w:rsid w:val="002C2B0C"/>
    <w:rsid w:val="002C2BB6"/>
    <w:rsid w:val="002C2C32"/>
    <w:rsid w:val="002C3BFD"/>
    <w:rsid w:val="002C3FAF"/>
    <w:rsid w:val="002C42A5"/>
    <w:rsid w:val="002C495B"/>
    <w:rsid w:val="002C4D08"/>
    <w:rsid w:val="002C571A"/>
    <w:rsid w:val="002C6037"/>
    <w:rsid w:val="002C639A"/>
    <w:rsid w:val="002C6515"/>
    <w:rsid w:val="002C723F"/>
    <w:rsid w:val="002C7803"/>
    <w:rsid w:val="002C7B4A"/>
    <w:rsid w:val="002D0447"/>
    <w:rsid w:val="002D0609"/>
    <w:rsid w:val="002D080A"/>
    <w:rsid w:val="002D0B92"/>
    <w:rsid w:val="002D1285"/>
    <w:rsid w:val="002D12BA"/>
    <w:rsid w:val="002D1A05"/>
    <w:rsid w:val="002D214B"/>
    <w:rsid w:val="002D296D"/>
    <w:rsid w:val="002D2CB8"/>
    <w:rsid w:val="002D40D3"/>
    <w:rsid w:val="002D41A8"/>
    <w:rsid w:val="002D44CD"/>
    <w:rsid w:val="002D4558"/>
    <w:rsid w:val="002D4E0D"/>
    <w:rsid w:val="002D53C2"/>
    <w:rsid w:val="002D56DB"/>
    <w:rsid w:val="002D5E69"/>
    <w:rsid w:val="002D5F31"/>
    <w:rsid w:val="002D6956"/>
    <w:rsid w:val="002D6D4C"/>
    <w:rsid w:val="002D6E55"/>
    <w:rsid w:val="002D6F6E"/>
    <w:rsid w:val="002D752D"/>
    <w:rsid w:val="002D79F4"/>
    <w:rsid w:val="002D7E98"/>
    <w:rsid w:val="002D7F3E"/>
    <w:rsid w:val="002E0499"/>
    <w:rsid w:val="002E0666"/>
    <w:rsid w:val="002E070C"/>
    <w:rsid w:val="002E072F"/>
    <w:rsid w:val="002E081C"/>
    <w:rsid w:val="002E086D"/>
    <w:rsid w:val="002E08DC"/>
    <w:rsid w:val="002E1872"/>
    <w:rsid w:val="002E1AD4"/>
    <w:rsid w:val="002E1D08"/>
    <w:rsid w:val="002E22DD"/>
    <w:rsid w:val="002E260D"/>
    <w:rsid w:val="002E281D"/>
    <w:rsid w:val="002E3377"/>
    <w:rsid w:val="002E4038"/>
    <w:rsid w:val="002E4074"/>
    <w:rsid w:val="002E4562"/>
    <w:rsid w:val="002E4B38"/>
    <w:rsid w:val="002E50F3"/>
    <w:rsid w:val="002E5402"/>
    <w:rsid w:val="002E5847"/>
    <w:rsid w:val="002E6027"/>
    <w:rsid w:val="002E610D"/>
    <w:rsid w:val="002E6791"/>
    <w:rsid w:val="002E6B97"/>
    <w:rsid w:val="002E6C40"/>
    <w:rsid w:val="002E6DE4"/>
    <w:rsid w:val="002E743E"/>
    <w:rsid w:val="002E759D"/>
    <w:rsid w:val="002E7715"/>
    <w:rsid w:val="002E776F"/>
    <w:rsid w:val="002E779B"/>
    <w:rsid w:val="002E77FD"/>
    <w:rsid w:val="002F0115"/>
    <w:rsid w:val="002F05B6"/>
    <w:rsid w:val="002F05D8"/>
    <w:rsid w:val="002F0B9E"/>
    <w:rsid w:val="002F12D3"/>
    <w:rsid w:val="002F1EC7"/>
    <w:rsid w:val="002F2C3E"/>
    <w:rsid w:val="002F3830"/>
    <w:rsid w:val="002F3C60"/>
    <w:rsid w:val="002F3D44"/>
    <w:rsid w:val="002F540F"/>
    <w:rsid w:val="002F5A68"/>
    <w:rsid w:val="002F60C9"/>
    <w:rsid w:val="002F6780"/>
    <w:rsid w:val="002F6806"/>
    <w:rsid w:val="002F6A08"/>
    <w:rsid w:val="002F6E47"/>
    <w:rsid w:val="002F76F3"/>
    <w:rsid w:val="002F7F11"/>
    <w:rsid w:val="0030028D"/>
    <w:rsid w:val="00300CF6"/>
    <w:rsid w:val="00301654"/>
    <w:rsid w:val="00302715"/>
    <w:rsid w:val="003027D7"/>
    <w:rsid w:val="00302DB2"/>
    <w:rsid w:val="00302F82"/>
    <w:rsid w:val="003030DB"/>
    <w:rsid w:val="00303166"/>
    <w:rsid w:val="00303219"/>
    <w:rsid w:val="0030410F"/>
    <w:rsid w:val="003043FC"/>
    <w:rsid w:val="0030451A"/>
    <w:rsid w:val="00304645"/>
    <w:rsid w:val="00305329"/>
    <w:rsid w:val="003055A1"/>
    <w:rsid w:val="00305BEC"/>
    <w:rsid w:val="003064BB"/>
    <w:rsid w:val="003066A4"/>
    <w:rsid w:val="0030671B"/>
    <w:rsid w:val="0030722F"/>
    <w:rsid w:val="003075EB"/>
    <w:rsid w:val="00307687"/>
    <w:rsid w:val="00307BF5"/>
    <w:rsid w:val="00307BF6"/>
    <w:rsid w:val="00307EAC"/>
    <w:rsid w:val="00310019"/>
    <w:rsid w:val="003104C0"/>
    <w:rsid w:val="00310F11"/>
    <w:rsid w:val="003111D8"/>
    <w:rsid w:val="003113F3"/>
    <w:rsid w:val="00312077"/>
    <w:rsid w:val="00312091"/>
    <w:rsid w:val="003122A5"/>
    <w:rsid w:val="0031308D"/>
    <w:rsid w:val="00313565"/>
    <w:rsid w:val="00313568"/>
    <w:rsid w:val="003139A2"/>
    <w:rsid w:val="003140B2"/>
    <w:rsid w:val="00314585"/>
    <w:rsid w:val="0031489B"/>
    <w:rsid w:val="003151F8"/>
    <w:rsid w:val="00315381"/>
    <w:rsid w:val="003156E2"/>
    <w:rsid w:val="00315D47"/>
    <w:rsid w:val="00315F3A"/>
    <w:rsid w:val="00316003"/>
    <w:rsid w:val="003165B5"/>
    <w:rsid w:val="0031700B"/>
    <w:rsid w:val="00317158"/>
    <w:rsid w:val="00317167"/>
    <w:rsid w:val="00317A44"/>
    <w:rsid w:val="00317F5E"/>
    <w:rsid w:val="00317FBD"/>
    <w:rsid w:val="003212F8"/>
    <w:rsid w:val="0032184B"/>
    <w:rsid w:val="00322397"/>
    <w:rsid w:val="00322844"/>
    <w:rsid w:val="00322EE7"/>
    <w:rsid w:val="0032354C"/>
    <w:rsid w:val="00323F18"/>
    <w:rsid w:val="00324941"/>
    <w:rsid w:val="00324D38"/>
    <w:rsid w:val="00326046"/>
    <w:rsid w:val="0032645C"/>
    <w:rsid w:val="003269A4"/>
    <w:rsid w:val="00327D1A"/>
    <w:rsid w:val="00327DB2"/>
    <w:rsid w:val="00327FE6"/>
    <w:rsid w:val="003308AA"/>
    <w:rsid w:val="00331C7A"/>
    <w:rsid w:val="00331C9F"/>
    <w:rsid w:val="00331D41"/>
    <w:rsid w:val="00331DFC"/>
    <w:rsid w:val="00332C70"/>
    <w:rsid w:val="003335A0"/>
    <w:rsid w:val="0033375E"/>
    <w:rsid w:val="00333D2A"/>
    <w:rsid w:val="00334003"/>
    <w:rsid w:val="00334031"/>
    <w:rsid w:val="0033406A"/>
    <w:rsid w:val="00334269"/>
    <w:rsid w:val="00334B68"/>
    <w:rsid w:val="00335167"/>
    <w:rsid w:val="00335566"/>
    <w:rsid w:val="0033576D"/>
    <w:rsid w:val="00335F93"/>
    <w:rsid w:val="0033758A"/>
    <w:rsid w:val="0033792B"/>
    <w:rsid w:val="00337B3E"/>
    <w:rsid w:val="00337E1A"/>
    <w:rsid w:val="00340181"/>
    <w:rsid w:val="003413F9"/>
    <w:rsid w:val="00341465"/>
    <w:rsid w:val="0034183F"/>
    <w:rsid w:val="00342778"/>
    <w:rsid w:val="00342D67"/>
    <w:rsid w:val="00342E9B"/>
    <w:rsid w:val="00342EDF"/>
    <w:rsid w:val="003431E4"/>
    <w:rsid w:val="0034359E"/>
    <w:rsid w:val="00343774"/>
    <w:rsid w:val="00343AE4"/>
    <w:rsid w:val="00343B0D"/>
    <w:rsid w:val="003442D3"/>
    <w:rsid w:val="00344627"/>
    <w:rsid w:val="00344FCC"/>
    <w:rsid w:val="003452D3"/>
    <w:rsid w:val="0034531D"/>
    <w:rsid w:val="00345A15"/>
    <w:rsid w:val="00345A6C"/>
    <w:rsid w:val="00346023"/>
    <w:rsid w:val="003469F5"/>
    <w:rsid w:val="0034742C"/>
    <w:rsid w:val="0034752D"/>
    <w:rsid w:val="003475F0"/>
    <w:rsid w:val="00347E81"/>
    <w:rsid w:val="00351003"/>
    <w:rsid w:val="00351192"/>
    <w:rsid w:val="003513FB"/>
    <w:rsid w:val="003518BA"/>
    <w:rsid w:val="0035216F"/>
    <w:rsid w:val="00352ADD"/>
    <w:rsid w:val="00352B3A"/>
    <w:rsid w:val="00352B7D"/>
    <w:rsid w:val="00352CE1"/>
    <w:rsid w:val="00352D13"/>
    <w:rsid w:val="00352D26"/>
    <w:rsid w:val="0035313B"/>
    <w:rsid w:val="00353394"/>
    <w:rsid w:val="003533A8"/>
    <w:rsid w:val="00353655"/>
    <w:rsid w:val="003536C8"/>
    <w:rsid w:val="003539BF"/>
    <w:rsid w:val="00353B47"/>
    <w:rsid w:val="0035417E"/>
    <w:rsid w:val="00354B0C"/>
    <w:rsid w:val="00354C75"/>
    <w:rsid w:val="00354EBC"/>
    <w:rsid w:val="00355290"/>
    <w:rsid w:val="003558DA"/>
    <w:rsid w:val="00356103"/>
    <w:rsid w:val="0035612A"/>
    <w:rsid w:val="00356318"/>
    <w:rsid w:val="00356416"/>
    <w:rsid w:val="003601D3"/>
    <w:rsid w:val="00360569"/>
    <w:rsid w:val="0036063A"/>
    <w:rsid w:val="003609F7"/>
    <w:rsid w:val="00360B85"/>
    <w:rsid w:val="0036151A"/>
    <w:rsid w:val="00361724"/>
    <w:rsid w:val="0036280A"/>
    <w:rsid w:val="00362CB8"/>
    <w:rsid w:val="003631CE"/>
    <w:rsid w:val="00363390"/>
    <w:rsid w:val="00363AEB"/>
    <w:rsid w:val="00363C0A"/>
    <w:rsid w:val="003641D1"/>
    <w:rsid w:val="003642AD"/>
    <w:rsid w:val="0036472A"/>
    <w:rsid w:val="00365D44"/>
    <w:rsid w:val="003661B7"/>
    <w:rsid w:val="003665B0"/>
    <w:rsid w:val="00366A06"/>
    <w:rsid w:val="003674CE"/>
    <w:rsid w:val="00367954"/>
    <w:rsid w:val="00367BF2"/>
    <w:rsid w:val="003700D6"/>
    <w:rsid w:val="00370209"/>
    <w:rsid w:val="0037084A"/>
    <w:rsid w:val="00370F0A"/>
    <w:rsid w:val="003711DA"/>
    <w:rsid w:val="00371854"/>
    <w:rsid w:val="00371933"/>
    <w:rsid w:val="003723D0"/>
    <w:rsid w:val="003729BF"/>
    <w:rsid w:val="00372C8A"/>
    <w:rsid w:val="00372DC9"/>
    <w:rsid w:val="0037378F"/>
    <w:rsid w:val="00373EAF"/>
    <w:rsid w:val="00374ACF"/>
    <w:rsid w:val="00375365"/>
    <w:rsid w:val="00375468"/>
    <w:rsid w:val="003758B9"/>
    <w:rsid w:val="003761DF"/>
    <w:rsid w:val="00376250"/>
    <w:rsid w:val="00376512"/>
    <w:rsid w:val="00376892"/>
    <w:rsid w:val="0037691A"/>
    <w:rsid w:val="00376BC2"/>
    <w:rsid w:val="00376FBB"/>
    <w:rsid w:val="003772D9"/>
    <w:rsid w:val="00377442"/>
    <w:rsid w:val="003775F3"/>
    <w:rsid w:val="00377A59"/>
    <w:rsid w:val="00380891"/>
    <w:rsid w:val="003809A2"/>
    <w:rsid w:val="00380EBA"/>
    <w:rsid w:val="00380F82"/>
    <w:rsid w:val="00381363"/>
    <w:rsid w:val="00381ABD"/>
    <w:rsid w:val="0038213E"/>
    <w:rsid w:val="003824D6"/>
    <w:rsid w:val="00382897"/>
    <w:rsid w:val="00382C45"/>
    <w:rsid w:val="00382E33"/>
    <w:rsid w:val="00382F58"/>
    <w:rsid w:val="00383257"/>
    <w:rsid w:val="00383845"/>
    <w:rsid w:val="00383998"/>
    <w:rsid w:val="00383B14"/>
    <w:rsid w:val="00383C40"/>
    <w:rsid w:val="00383D0C"/>
    <w:rsid w:val="0038434D"/>
    <w:rsid w:val="0038460A"/>
    <w:rsid w:val="00384AE5"/>
    <w:rsid w:val="00384D5F"/>
    <w:rsid w:val="00384FED"/>
    <w:rsid w:val="00385737"/>
    <w:rsid w:val="00385853"/>
    <w:rsid w:val="00385B5A"/>
    <w:rsid w:val="00385B78"/>
    <w:rsid w:val="00385F02"/>
    <w:rsid w:val="0038643E"/>
    <w:rsid w:val="00386920"/>
    <w:rsid w:val="00386EC7"/>
    <w:rsid w:val="00387029"/>
    <w:rsid w:val="003872D9"/>
    <w:rsid w:val="00387326"/>
    <w:rsid w:val="00390477"/>
    <w:rsid w:val="003905B6"/>
    <w:rsid w:val="00390E9D"/>
    <w:rsid w:val="00391268"/>
    <w:rsid w:val="00391375"/>
    <w:rsid w:val="00393017"/>
    <w:rsid w:val="003930F5"/>
    <w:rsid w:val="0039386F"/>
    <w:rsid w:val="00393955"/>
    <w:rsid w:val="00393ADD"/>
    <w:rsid w:val="00393BF9"/>
    <w:rsid w:val="0039428E"/>
    <w:rsid w:val="0039430F"/>
    <w:rsid w:val="00394ACB"/>
    <w:rsid w:val="0039518D"/>
    <w:rsid w:val="00395408"/>
    <w:rsid w:val="003956D4"/>
    <w:rsid w:val="003960FE"/>
    <w:rsid w:val="003964E1"/>
    <w:rsid w:val="00396C69"/>
    <w:rsid w:val="003973E5"/>
    <w:rsid w:val="003979E9"/>
    <w:rsid w:val="00397B34"/>
    <w:rsid w:val="003A0238"/>
    <w:rsid w:val="003A03A1"/>
    <w:rsid w:val="003A0465"/>
    <w:rsid w:val="003A054A"/>
    <w:rsid w:val="003A0BB8"/>
    <w:rsid w:val="003A0D57"/>
    <w:rsid w:val="003A0D78"/>
    <w:rsid w:val="003A11F7"/>
    <w:rsid w:val="003A167A"/>
    <w:rsid w:val="003A2137"/>
    <w:rsid w:val="003A2231"/>
    <w:rsid w:val="003A25C5"/>
    <w:rsid w:val="003A29B7"/>
    <w:rsid w:val="003A2AAB"/>
    <w:rsid w:val="003A3172"/>
    <w:rsid w:val="003A3568"/>
    <w:rsid w:val="003A3729"/>
    <w:rsid w:val="003A3932"/>
    <w:rsid w:val="003A3F1F"/>
    <w:rsid w:val="003A49A4"/>
    <w:rsid w:val="003A4C0A"/>
    <w:rsid w:val="003A504F"/>
    <w:rsid w:val="003A5204"/>
    <w:rsid w:val="003A54ED"/>
    <w:rsid w:val="003A5B6E"/>
    <w:rsid w:val="003A5DF7"/>
    <w:rsid w:val="003A6B97"/>
    <w:rsid w:val="003A6BC9"/>
    <w:rsid w:val="003A6C95"/>
    <w:rsid w:val="003A7984"/>
    <w:rsid w:val="003A7AC6"/>
    <w:rsid w:val="003A7DD7"/>
    <w:rsid w:val="003B04FF"/>
    <w:rsid w:val="003B065F"/>
    <w:rsid w:val="003B07F5"/>
    <w:rsid w:val="003B10C6"/>
    <w:rsid w:val="003B111C"/>
    <w:rsid w:val="003B136C"/>
    <w:rsid w:val="003B14B3"/>
    <w:rsid w:val="003B21FD"/>
    <w:rsid w:val="003B264D"/>
    <w:rsid w:val="003B2766"/>
    <w:rsid w:val="003B2C2C"/>
    <w:rsid w:val="003B34D7"/>
    <w:rsid w:val="003B3581"/>
    <w:rsid w:val="003B399F"/>
    <w:rsid w:val="003B3DB6"/>
    <w:rsid w:val="003B42A2"/>
    <w:rsid w:val="003B443E"/>
    <w:rsid w:val="003B4703"/>
    <w:rsid w:val="003B4C2F"/>
    <w:rsid w:val="003B4CFA"/>
    <w:rsid w:val="003B4F76"/>
    <w:rsid w:val="003B51BB"/>
    <w:rsid w:val="003B5299"/>
    <w:rsid w:val="003B5408"/>
    <w:rsid w:val="003B598C"/>
    <w:rsid w:val="003B62C8"/>
    <w:rsid w:val="003B64D7"/>
    <w:rsid w:val="003B6B3B"/>
    <w:rsid w:val="003B6BAA"/>
    <w:rsid w:val="003B78B0"/>
    <w:rsid w:val="003C019B"/>
    <w:rsid w:val="003C05CF"/>
    <w:rsid w:val="003C0789"/>
    <w:rsid w:val="003C07B1"/>
    <w:rsid w:val="003C0E7F"/>
    <w:rsid w:val="003C0F25"/>
    <w:rsid w:val="003C1CCF"/>
    <w:rsid w:val="003C1E80"/>
    <w:rsid w:val="003C1E83"/>
    <w:rsid w:val="003C21F6"/>
    <w:rsid w:val="003C2343"/>
    <w:rsid w:val="003C27E5"/>
    <w:rsid w:val="003C2F7C"/>
    <w:rsid w:val="003C2F9D"/>
    <w:rsid w:val="003C3171"/>
    <w:rsid w:val="003C3655"/>
    <w:rsid w:val="003C3724"/>
    <w:rsid w:val="003C3A97"/>
    <w:rsid w:val="003C3AAD"/>
    <w:rsid w:val="003C3C01"/>
    <w:rsid w:val="003C3D77"/>
    <w:rsid w:val="003C4135"/>
    <w:rsid w:val="003C4230"/>
    <w:rsid w:val="003C4252"/>
    <w:rsid w:val="003C4B90"/>
    <w:rsid w:val="003C4DE1"/>
    <w:rsid w:val="003C5986"/>
    <w:rsid w:val="003C5BB9"/>
    <w:rsid w:val="003C620F"/>
    <w:rsid w:val="003C62F1"/>
    <w:rsid w:val="003C6378"/>
    <w:rsid w:val="003C6686"/>
    <w:rsid w:val="003C6C86"/>
    <w:rsid w:val="003C7827"/>
    <w:rsid w:val="003C79E6"/>
    <w:rsid w:val="003C7CB1"/>
    <w:rsid w:val="003D01C4"/>
    <w:rsid w:val="003D0AEF"/>
    <w:rsid w:val="003D0F15"/>
    <w:rsid w:val="003D111D"/>
    <w:rsid w:val="003D15AE"/>
    <w:rsid w:val="003D1C3B"/>
    <w:rsid w:val="003D1EA8"/>
    <w:rsid w:val="003D1F4E"/>
    <w:rsid w:val="003D269C"/>
    <w:rsid w:val="003D2A51"/>
    <w:rsid w:val="003D2B15"/>
    <w:rsid w:val="003D2B57"/>
    <w:rsid w:val="003D30BE"/>
    <w:rsid w:val="003D320A"/>
    <w:rsid w:val="003D3212"/>
    <w:rsid w:val="003D35C3"/>
    <w:rsid w:val="003D39E7"/>
    <w:rsid w:val="003D44F9"/>
    <w:rsid w:val="003D4619"/>
    <w:rsid w:val="003D4C89"/>
    <w:rsid w:val="003D51D8"/>
    <w:rsid w:val="003D5F68"/>
    <w:rsid w:val="003D6707"/>
    <w:rsid w:val="003D6996"/>
    <w:rsid w:val="003D6E6C"/>
    <w:rsid w:val="003D705D"/>
    <w:rsid w:val="003D7149"/>
    <w:rsid w:val="003D7373"/>
    <w:rsid w:val="003D76EE"/>
    <w:rsid w:val="003D7E13"/>
    <w:rsid w:val="003E01F4"/>
    <w:rsid w:val="003E03C6"/>
    <w:rsid w:val="003E0447"/>
    <w:rsid w:val="003E054C"/>
    <w:rsid w:val="003E077A"/>
    <w:rsid w:val="003E0865"/>
    <w:rsid w:val="003E0918"/>
    <w:rsid w:val="003E1317"/>
    <w:rsid w:val="003E1410"/>
    <w:rsid w:val="003E19DA"/>
    <w:rsid w:val="003E216E"/>
    <w:rsid w:val="003E2980"/>
    <w:rsid w:val="003E2AC7"/>
    <w:rsid w:val="003E2B1A"/>
    <w:rsid w:val="003E2C6D"/>
    <w:rsid w:val="003E2E20"/>
    <w:rsid w:val="003E3232"/>
    <w:rsid w:val="003E3257"/>
    <w:rsid w:val="003E353B"/>
    <w:rsid w:val="003E3A3A"/>
    <w:rsid w:val="003E4025"/>
    <w:rsid w:val="003E4189"/>
    <w:rsid w:val="003E42F3"/>
    <w:rsid w:val="003E4C22"/>
    <w:rsid w:val="003E4CE8"/>
    <w:rsid w:val="003E4CFD"/>
    <w:rsid w:val="003E5467"/>
    <w:rsid w:val="003E57D7"/>
    <w:rsid w:val="003E62F7"/>
    <w:rsid w:val="003E63B8"/>
    <w:rsid w:val="003E79C3"/>
    <w:rsid w:val="003E7BCD"/>
    <w:rsid w:val="003E7C5F"/>
    <w:rsid w:val="003F0146"/>
    <w:rsid w:val="003F0430"/>
    <w:rsid w:val="003F0991"/>
    <w:rsid w:val="003F156D"/>
    <w:rsid w:val="003F15F3"/>
    <w:rsid w:val="003F16F0"/>
    <w:rsid w:val="003F1701"/>
    <w:rsid w:val="003F1B50"/>
    <w:rsid w:val="003F1B75"/>
    <w:rsid w:val="003F1CC6"/>
    <w:rsid w:val="003F1D33"/>
    <w:rsid w:val="003F22DD"/>
    <w:rsid w:val="003F277E"/>
    <w:rsid w:val="003F29A2"/>
    <w:rsid w:val="003F30BD"/>
    <w:rsid w:val="003F34EF"/>
    <w:rsid w:val="003F40D9"/>
    <w:rsid w:val="003F434F"/>
    <w:rsid w:val="003F4C5A"/>
    <w:rsid w:val="003F4C82"/>
    <w:rsid w:val="003F4F13"/>
    <w:rsid w:val="003F5CC4"/>
    <w:rsid w:val="003F5E53"/>
    <w:rsid w:val="003F5EBE"/>
    <w:rsid w:val="003F6148"/>
    <w:rsid w:val="003F6DDD"/>
    <w:rsid w:val="003F754D"/>
    <w:rsid w:val="003F7893"/>
    <w:rsid w:val="003F7965"/>
    <w:rsid w:val="003F7B33"/>
    <w:rsid w:val="003F7B89"/>
    <w:rsid w:val="00400736"/>
    <w:rsid w:val="0040078A"/>
    <w:rsid w:val="00400839"/>
    <w:rsid w:val="00400982"/>
    <w:rsid w:val="0040112F"/>
    <w:rsid w:val="004017CB"/>
    <w:rsid w:val="0040182B"/>
    <w:rsid w:val="00401CF2"/>
    <w:rsid w:val="00401E4A"/>
    <w:rsid w:val="00401F06"/>
    <w:rsid w:val="00401F10"/>
    <w:rsid w:val="004024E3"/>
    <w:rsid w:val="00402A94"/>
    <w:rsid w:val="00402BA4"/>
    <w:rsid w:val="00402C9B"/>
    <w:rsid w:val="00403325"/>
    <w:rsid w:val="004033B2"/>
    <w:rsid w:val="00403488"/>
    <w:rsid w:val="004035F0"/>
    <w:rsid w:val="00403641"/>
    <w:rsid w:val="004039F9"/>
    <w:rsid w:val="00403BD1"/>
    <w:rsid w:val="00403E1F"/>
    <w:rsid w:val="00404618"/>
    <w:rsid w:val="00404EA1"/>
    <w:rsid w:val="00404EA3"/>
    <w:rsid w:val="00404FE7"/>
    <w:rsid w:val="00405796"/>
    <w:rsid w:val="00406B79"/>
    <w:rsid w:val="00406E41"/>
    <w:rsid w:val="00406F0A"/>
    <w:rsid w:val="00407425"/>
    <w:rsid w:val="004077FC"/>
    <w:rsid w:val="00407805"/>
    <w:rsid w:val="004079F7"/>
    <w:rsid w:val="00407AF6"/>
    <w:rsid w:val="00407C93"/>
    <w:rsid w:val="00407D67"/>
    <w:rsid w:val="00407FCD"/>
    <w:rsid w:val="00407FD7"/>
    <w:rsid w:val="004107FB"/>
    <w:rsid w:val="00410C6A"/>
    <w:rsid w:val="00410F8A"/>
    <w:rsid w:val="004112E7"/>
    <w:rsid w:val="00411722"/>
    <w:rsid w:val="00411861"/>
    <w:rsid w:val="00411D06"/>
    <w:rsid w:val="00411D99"/>
    <w:rsid w:val="00411F31"/>
    <w:rsid w:val="004122B1"/>
    <w:rsid w:val="0041230D"/>
    <w:rsid w:val="00412490"/>
    <w:rsid w:val="004125EA"/>
    <w:rsid w:val="00412BB0"/>
    <w:rsid w:val="00412C15"/>
    <w:rsid w:val="00412F8B"/>
    <w:rsid w:val="00413294"/>
    <w:rsid w:val="00413598"/>
    <w:rsid w:val="004136B4"/>
    <w:rsid w:val="004137C6"/>
    <w:rsid w:val="00414AFF"/>
    <w:rsid w:val="00414BE0"/>
    <w:rsid w:val="00415641"/>
    <w:rsid w:val="00416000"/>
    <w:rsid w:val="004163A3"/>
    <w:rsid w:val="004170FE"/>
    <w:rsid w:val="00417366"/>
    <w:rsid w:val="00417601"/>
    <w:rsid w:val="00417763"/>
    <w:rsid w:val="00417826"/>
    <w:rsid w:val="004178C0"/>
    <w:rsid w:val="00417C0F"/>
    <w:rsid w:val="00417F6B"/>
    <w:rsid w:val="0042050D"/>
    <w:rsid w:val="00420B15"/>
    <w:rsid w:val="004210E6"/>
    <w:rsid w:val="0042132B"/>
    <w:rsid w:val="004217BB"/>
    <w:rsid w:val="00421898"/>
    <w:rsid w:val="00422006"/>
    <w:rsid w:val="004223AE"/>
    <w:rsid w:val="00422BD8"/>
    <w:rsid w:val="004230A2"/>
    <w:rsid w:val="0042359D"/>
    <w:rsid w:val="0042373B"/>
    <w:rsid w:val="00424380"/>
    <w:rsid w:val="004244C4"/>
    <w:rsid w:val="00424741"/>
    <w:rsid w:val="00424F23"/>
    <w:rsid w:val="0042535B"/>
    <w:rsid w:val="0042568D"/>
    <w:rsid w:val="00425A72"/>
    <w:rsid w:val="00425D01"/>
    <w:rsid w:val="00425DDA"/>
    <w:rsid w:val="00426096"/>
    <w:rsid w:val="0042644B"/>
    <w:rsid w:val="00426EB2"/>
    <w:rsid w:val="00426F36"/>
    <w:rsid w:val="00427016"/>
    <w:rsid w:val="00427334"/>
    <w:rsid w:val="00427400"/>
    <w:rsid w:val="004277DB"/>
    <w:rsid w:val="00427A03"/>
    <w:rsid w:val="00427B30"/>
    <w:rsid w:val="00427B5C"/>
    <w:rsid w:val="00430F03"/>
    <w:rsid w:val="00431268"/>
    <w:rsid w:val="00431336"/>
    <w:rsid w:val="004318B4"/>
    <w:rsid w:val="00431AB8"/>
    <w:rsid w:val="00431AF8"/>
    <w:rsid w:val="004323E3"/>
    <w:rsid w:val="0043267C"/>
    <w:rsid w:val="00432696"/>
    <w:rsid w:val="00432AC5"/>
    <w:rsid w:val="00432C91"/>
    <w:rsid w:val="004333E7"/>
    <w:rsid w:val="00433421"/>
    <w:rsid w:val="00433A88"/>
    <w:rsid w:val="00433B5B"/>
    <w:rsid w:val="00433C38"/>
    <w:rsid w:val="0043415B"/>
    <w:rsid w:val="004344B1"/>
    <w:rsid w:val="00434731"/>
    <w:rsid w:val="00434A91"/>
    <w:rsid w:val="00434D20"/>
    <w:rsid w:val="0043520A"/>
    <w:rsid w:val="004353FF"/>
    <w:rsid w:val="00435682"/>
    <w:rsid w:val="00435928"/>
    <w:rsid w:val="00435DC1"/>
    <w:rsid w:val="00436384"/>
    <w:rsid w:val="0043685A"/>
    <w:rsid w:val="00437C9C"/>
    <w:rsid w:val="00440844"/>
    <w:rsid w:val="00440F99"/>
    <w:rsid w:val="0044129B"/>
    <w:rsid w:val="004413CC"/>
    <w:rsid w:val="00441530"/>
    <w:rsid w:val="00441CD6"/>
    <w:rsid w:val="0044200F"/>
    <w:rsid w:val="00442094"/>
    <w:rsid w:val="0044251A"/>
    <w:rsid w:val="004426A1"/>
    <w:rsid w:val="004435CF"/>
    <w:rsid w:val="00443B0D"/>
    <w:rsid w:val="0044416B"/>
    <w:rsid w:val="00444E3A"/>
    <w:rsid w:val="00445B29"/>
    <w:rsid w:val="00446771"/>
    <w:rsid w:val="004469ED"/>
    <w:rsid w:val="00447000"/>
    <w:rsid w:val="00447086"/>
    <w:rsid w:val="00447317"/>
    <w:rsid w:val="0045001E"/>
    <w:rsid w:val="00450038"/>
    <w:rsid w:val="00450344"/>
    <w:rsid w:val="00450375"/>
    <w:rsid w:val="0045047B"/>
    <w:rsid w:val="00450896"/>
    <w:rsid w:val="00450F3E"/>
    <w:rsid w:val="0045154D"/>
    <w:rsid w:val="00451F75"/>
    <w:rsid w:val="00452009"/>
    <w:rsid w:val="00452061"/>
    <w:rsid w:val="0045230C"/>
    <w:rsid w:val="004527E9"/>
    <w:rsid w:val="0045353A"/>
    <w:rsid w:val="0045544B"/>
    <w:rsid w:val="00455A11"/>
    <w:rsid w:val="00455CCC"/>
    <w:rsid w:val="0045607E"/>
    <w:rsid w:val="004560D4"/>
    <w:rsid w:val="00456410"/>
    <w:rsid w:val="0045677E"/>
    <w:rsid w:val="004569E1"/>
    <w:rsid w:val="00456F35"/>
    <w:rsid w:val="004576FA"/>
    <w:rsid w:val="00460121"/>
    <w:rsid w:val="0046021A"/>
    <w:rsid w:val="0046076B"/>
    <w:rsid w:val="0046086C"/>
    <w:rsid w:val="004609ED"/>
    <w:rsid w:val="00461028"/>
    <w:rsid w:val="00461D04"/>
    <w:rsid w:val="00462BE2"/>
    <w:rsid w:val="00462F22"/>
    <w:rsid w:val="0046378D"/>
    <w:rsid w:val="00463AD6"/>
    <w:rsid w:val="00463EAA"/>
    <w:rsid w:val="0046429B"/>
    <w:rsid w:val="00464C30"/>
    <w:rsid w:val="00464FD5"/>
    <w:rsid w:val="00465066"/>
    <w:rsid w:val="004651C7"/>
    <w:rsid w:val="00465626"/>
    <w:rsid w:val="004657BF"/>
    <w:rsid w:val="00465B61"/>
    <w:rsid w:val="00465C97"/>
    <w:rsid w:val="004668E0"/>
    <w:rsid w:val="00466A9B"/>
    <w:rsid w:val="00466BF4"/>
    <w:rsid w:val="004675D6"/>
    <w:rsid w:val="00467686"/>
    <w:rsid w:val="00467DEB"/>
    <w:rsid w:val="004708D6"/>
    <w:rsid w:val="0047093F"/>
    <w:rsid w:val="00471610"/>
    <w:rsid w:val="004719AF"/>
    <w:rsid w:val="00471B67"/>
    <w:rsid w:val="004722BC"/>
    <w:rsid w:val="0047292F"/>
    <w:rsid w:val="00472AEB"/>
    <w:rsid w:val="00472E8D"/>
    <w:rsid w:val="004739E0"/>
    <w:rsid w:val="00473AA5"/>
    <w:rsid w:val="00473D94"/>
    <w:rsid w:val="00473EA3"/>
    <w:rsid w:val="0047406A"/>
    <w:rsid w:val="004740D3"/>
    <w:rsid w:val="00474276"/>
    <w:rsid w:val="004747BD"/>
    <w:rsid w:val="00475323"/>
    <w:rsid w:val="00475F1D"/>
    <w:rsid w:val="00476035"/>
    <w:rsid w:val="00476C27"/>
    <w:rsid w:val="0047742E"/>
    <w:rsid w:val="004777FA"/>
    <w:rsid w:val="00477A56"/>
    <w:rsid w:val="00477AE0"/>
    <w:rsid w:val="00477BF5"/>
    <w:rsid w:val="00477C21"/>
    <w:rsid w:val="00477EF3"/>
    <w:rsid w:val="004802FC"/>
    <w:rsid w:val="0048090A"/>
    <w:rsid w:val="00480EED"/>
    <w:rsid w:val="00481021"/>
    <w:rsid w:val="00481124"/>
    <w:rsid w:val="0048131F"/>
    <w:rsid w:val="00482C70"/>
    <w:rsid w:val="00482F2A"/>
    <w:rsid w:val="004833A4"/>
    <w:rsid w:val="0048350E"/>
    <w:rsid w:val="00483EC8"/>
    <w:rsid w:val="00484000"/>
    <w:rsid w:val="004840B1"/>
    <w:rsid w:val="004855C0"/>
    <w:rsid w:val="004858BC"/>
    <w:rsid w:val="004859BE"/>
    <w:rsid w:val="0048604F"/>
    <w:rsid w:val="00486491"/>
    <w:rsid w:val="00486989"/>
    <w:rsid w:val="00486AAF"/>
    <w:rsid w:val="00486D5A"/>
    <w:rsid w:val="00487479"/>
    <w:rsid w:val="0048780F"/>
    <w:rsid w:val="004905E5"/>
    <w:rsid w:val="004906A4"/>
    <w:rsid w:val="0049114D"/>
    <w:rsid w:val="0049126D"/>
    <w:rsid w:val="00491881"/>
    <w:rsid w:val="004918D4"/>
    <w:rsid w:val="00491A9E"/>
    <w:rsid w:val="004923CB"/>
    <w:rsid w:val="00492586"/>
    <w:rsid w:val="00492C54"/>
    <w:rsid w:val="00492F1D"/>
    <w:rsid w:val="004933BA"/>
    <w:rsid w:val="0049341C"/>
    <w:rsid w:val="0049369C"/>
    <w:rsid w:val="00494182"/>
    <w:rsid w:val="00494444"/>
    <w:rsid w:val="0049456E"/>
    <w:rsid w:val="00494B89"/>
    <w:rsid w:val="00494E47"/>
    <w:rsid w:val="00494F1A"/>
    <w:rsid w:val="00494FD0"/>
    <w:rsid w:val="0049549E"/>
    <w:rsid w:val="00495B0C"/>
    <w:rsid w:val="004973CC"/>
    <w:rsid w:val="004979DA"/>
    <w:rsid w:val="00497A43"/>
    <w:rsid w:val="004A0302"/>
    <w:rsid w:val="004A06EE"/>
    <w:rsid w:val="004A0901"/>
    <w:rsid w:val="004A09FC"/>
    <w:rsid w:val="004A107F"/>
    <w:rsid w:val="004A16A4"/>
    <w:rsid w:val="004A16DD"/>
    <w:rsid w:val="004A1701"/>
    <w:rsid w:val="004A1982"/>
    <w:rsid w:val="004A1A5D"/>
    <w:rsid w:val="004A1D5B"/>
    <w:rsid w:val="004A1E8E"/>
    <w:rsid w:val="004A2714"/>
    <w:rsid w:val="004A27D4"/>
    <w:rsid w:val="004A2928"/>
    <w:rsid w:val="004A3641"/>
    <w:rsid w:val="004A390B"/>
    <w:rsid w:val="004A44F8"/>
    <w:rsid w:val="004A4830"/>
    <w:rsid w:val="004A5A09"/>
    <w:rsid w:val="004A60BA"/>
    <w:rsid w:val="004A6C27"/>
    <w:rsid w:val="004A6FC7"/>
    <w:rsid w:val="004A7232"/>
    <w:rsid w:val="004A77CB"/>
    <w:rsid w:val="004A7C3B"/>
    <w:rsid w:val="004A7F85"/>
    <w:rsid w:val="004B02EC"/>
    <w:rsid w:val="004B11F9"/>
    <w:rsid w:val="004B2032"/>
    <w:rsid w:val="004B26FB"/>
    <w:rsid w:val="004B2E20"/>
    <w:rsid w:val="004B31FF"/>
    <w:rsid w:val="004B3C18"/>
    <w:rsid w:val="004B3C8E"/>
    <w:rsid w:val="004B3D85"/>
    <w:rsid w:val="004B3F63"/>
    <w:rsid w:val="004B4CF1"/>
    <w:rsid w:val="004B5AB7"/>
    <w:rsid w:val="004B63A4"/>
    <w:rsid w:val="004B667E"/>
    <w:rsid w:val="004B768B"/>
    <w:rsid w:val="004B7DC1"/>
    <w:rsid w:val="004C083B"/>
    <w:rsid w:val="004C0CAA"/>
    <w:rsid w:val="004C102E"/>
    <w:rsid w:val="004C12E8"/>
    <w:rsid w:val="004C21CB"/>
    <w:rsid w:val="004C227C"/>
    <w:rsid w:val="004C2640"/>
    <w:rsid w:val="004C279E"/>
    <w:rsid w:val="004C2AF5"/>
    <w:rsid w:val="004C2C4D"/>
    <w:rsid w:val="004C2F92"/>
    <w:rsid w:val="004C30E6"/>
    <w:rsid w:val="004C32D0"/>
    <w:rsid w:val="004C3654"/>
    <w:rsid w:val="004C39AA"/>
    <w:rsid w:val="004C3B96"/>
    <w:rsid w:val="004C3C83"/>
    <w:rsid w:val="004C3E7D"/>
    <w:rsid w:val="004C3ECD"/>
    <w:rsid w:val="004C43C9"/>
    <w:rsid w:val="004C44C6"/>
    <w:rsid w:val="004C5574"/>
    <w:rsid w:val="004C5917"/>
    <w:rsid w:val="004C6AD4"/>
    <w:rsid w:val="004C6B63"/>
    <w:rsid w:val="004C74A8"/>
    <w:rsid w:val="004C75BA"/>
    <w:rsid w:val="004C7D39"/>
    <w:rsid w:val="004D0511"/>
    <w:rsid w:val="004D064C"/>
    <w:rsid w:val="004D06DF"/>
    <w:rsid w:val="004D08BC"/>
    <w:rsid w:val="004D0C1A"/>
    <w:rsid w:val="004D0EAB"/>
    <w:rsid w:val="004D1003"/>
    <w:rsid w:val="004D1551"/>
    <w:rsid w:val="004D1582"/>
    <w:rsid w:val="004D18B0"/>
    <w:rsid w:val="004D1CD9"/>
    <w:rsid w:val="004D2069"/>
    <w:rsid w:val="004D2C5E"/>
    <w:rsid w:val="004D2D42"/>
    <w:rsid w:val="004D2D99"/>
    <w:rsid w:val="004D33A0"/>
    <w:rsid w:val="004D35A9"/>
    <w:rsid w:val="004D3A23"/>
    <w:rsid w:val="004D3B99"/>
    <w:rsid w:val="004D4037"/>
    <w:rsid w:val="004D416A"/>
    <w:rsid w:val="004D4399"/>
    <w:rsid w:val="004D454A"/>
    <w:rsid w:val="004D4A68"/>
    <w:rsid w:val="004D4C53"/>
    <w:rsid w:val="004D4CC2"/>
    <w:rsid w:val="004D5364"/>
    <w:rsid w:val="004D5C1C"/>
    <w:rsid w:val="004D60F4"/>
    <w:rsid w:val="004D6239"/>
    <w:rsid w:val="004D6545"/>
    <w:rsid w:val="004D6960"/>
    <w:rsid w:val="004D7B1B"/>
    <w:rsid w:val="004E0430"/>
    <w:rsid w:val="004E0719"/>
    <w:rsid w:val="004E0E6D"/>
    <w:rsid w:val="004E10A9"/>
    <w:rsid w:val="004E13DD"/>
    <w:rsid w:val="004E1BCC"/>
    <w:rsid w:val="004E1E17"/>
    <w:rsid w:val="004E271D"/>
    <w:rsid w:val="004E285A"/>
    <w:rsid w:val="004E2DA5"/>
    <w:rsid w:val="004E2EC8"/>
    <w:rsid w:val="004E373F"/>
    <w:rsid w:val="004E38D8"/>
    <w:rsid w:val="004E3B9E"/>
    <w:rsid w:val="004E3FDB"/>
    <w:rsid w:val="004E4179"/>
    <w:rsid w:val="004E4454"/>
    <w:rsid w:val="004E4524"/>
    <w:rsid w:val="004E489E"/>
    <w:rsid w:val="004E4B63"/>
    <w:rsid w:val="004E4D8F"/>
    <w:rsid w:val="004E595C"/>
    <w:rsid w:val="004E5F9A"/>
    <w:rsid w:val="004E66BA"/>
    <w:rsid w:val="004E6B98"/>
    <w:rsid w:val="004E6EE7"/>
    <w:rsid w:val="004E72D2"/>
    <w:rsid w:val="004E7698"/>
    <w:rsid w:val="004E7B52"/>
    <w:rsid w:val="004E7E95"/>
    <w:rsid w:val="004E7F10"/>
    <w:rsid w:val="004F08BB"/>
    <w:rsid w:val="004F10E6"/>
    <w:rsid w:val="004F1D32"/>
    <w:rsid w:val="004F27F3"/>
    <w:rsid w:val="004F2E12"/>
    <w:rsid w:val="004F2EF9"/>
    <w:rsid w:val="004F33B6"/>
    <w:rsid w:val="004F371A"/>
    <w:rsid w:val="004F3A5A"/>
    <w:rsid w:val="004F3B2A"/>
    <w:rsid w:val="004F3E1D"/>
    <w:rsid w:val="004F43FF"/>
    <w:rsid w:val="004F52DE"/>
    <w:rsid w:val="004F5BC6"/>
    <w:rsid w:val="004F6241"/>
    <w:rsid w:val="004F6821"/>
    <w:rsid w:val="004F6828"/>
    <w:rsid w:val="004F6BF0"/>
    <w:rsid w:val="004F7039"/>
    <w:rsid w:val="004F73E4"/>
    <w:rsid w:val="004F7BB6"/>
    <w:rsid w:val="004F7DA1"/>
    <w:rsid w:val="0050048A"/>
    <w:rsid w:val="00500527"/>
    <w:rsid w:val="005006A1"/>
    <w:rsid w:val="00500BD0"/>
    <w:rsid w:val="0050117E"/>
    <w:rsid w:val="00501784"/>
    <w:rsid w:val="00501D5B"/>
    <w:rsid w:val="00501DFA"/>
    <w:rsid w:val="0050222F"/>
    <w:rsid w:val="00502272"/>
    <w:rsid w:val="005024F6"/>
    <w:rsid w:val="0050259A"/>
    <w:rsid w:val="0050304F"/>
    <w:rsid w:val="00503510"/>
    <w:rsid w:val="00503BCD"/>
    <w:rsid w:val="00504184"/>
    <w:rsid w:val="005041D2"/>
    <w:rsid w:val="005049BF"/>
    <w:rsid w:val="00504A6A"/>
    <w:rsid w:val="00504E17"/>
    <w:rsid w:val="00505291"/>
    <w:rsid w:val="005053E5"/>
    <w:rsid w:val="00505D4D"/>
    <w:rsid w:val="005065CA"/>
    <w:rsid w:val="005065F5"/>
    <w:rsid w:val="00506662"/>
    <w:rsid w:val="00506D81"/>
    <w:rsid w:val="00506DBA"/>
    <w:rsid w:val="0050786D"/>
    <w:rsid w:val="005079A4"/>
    <w:rsid w:val="005079CE"/>
    <w:rsid w:val="005079F2"/>
    <w:rsid w:val="00510742"/>
    <w:rsid w:val="00510C50"/>
    <w:rsid w:val="00510EEE"/>
    <w:rsid w:val="005111D5"/>
    <w:rsid w:val="005117F6"/>
    <w:rsid w:val="005123C0"/>
    <w:rsid w:val="00512462"/>
    <w:rsid w:val="00512F4B"/>
    <w:rsid w:val="005138E4"/>
    <w:rsid w:val="00514156"/>
    <w:rsid w:val="00514351"/>
    <w:rsid w:val="0051477C"/>
    <w:rsid w:val="00514977"/>
    <w:rsid w:val="00514B21"/>
    <w:rsid w:val="00514C27"/>
    <w:rsid w:val="00515420"/>
    <w:rsid w:val="00515E6B"/>
    <w:rsid w:val="00516124"/>
    <w:rsid w:val="0051629C"/>
    <w:rsid w:val="0051651E"/>
    <w:rsid w:val="0051656D"/>
    <w:rsid w:val="00516AEA"/>
    <w:rsid w:val="0051771E"/>
    <w:rsid w:val="00517CCB"/>
    <w:rsid w:val="00520468"/>
    <w:rsid w:val="005204DD"/>
    <w:rsid w:val="0052082B"/>
    <w:rsid w:val="0052096E"/>
    <w:rsid w:val="00520F7D"/>
    <w:rsid w:val="00520FD5"/>
    <w:rsid w:val="0052132F"/>
    <w:rsid w:val="00521401"/>
    <w:rsid w:val="00521965"/>
    <w:rsid w:val="00521D42"/>
    <w:rsid w:val="00521DED"/>
    <w:rsid w:val="005220B9"/>
    <w:rsid w:val="00523308"/>
    <w:rsid w:val="00523AB2"/>
    <w:rsid w:val="00523BE2"/>
    <w:rsid w:val="00523D08"/>
    <w:rsid w:val="00523FEC"/>
    <w:rsid w:val="00524799"/>
    <w:rsid w:val="00524C52"/>
    <w:rsid w:val="0052507A"/>
    <w:rsid w:val="00525391"/>
    <w:rsid w:val="00525618"/>
    <w:rsid w:val="005257DC"/>
    <w:rsid w:val="00525A00"/>
    <w:rsid w:val="00525DFA"/>
    <w:rsid w:val="005265D7"/>
    <w:rsid w:val="00526A80"/>
    <w:rsid w:val="00526E1F"/>
    <w:rsid w:val="00527092"/>
    <w:rsid w:val="005272EA"/>
    <w:rsid w:val="00527436"/>
    <w:rsid w:val="005305CE"/>
    <w:rsid w:val="00530EFD"/>
    <w:rsid w:val="005310B3"/>
    <w:rsid w:val="005314FA"/>
    <w:rsid w:val="005317DB"/>
    <w:rsid w:val="00531C96"/>
    <w:rsid w:val="005323B6"/>
    <w:rsid w:val="005325B4"/>
    <w:rsid w:val="00532B31"/>
    <w:rsid w:val="00532C5B"/>
    <w:rsid w:val="00532D40"/>
    <w:rsid w:val="00532DA7"/>
    <w:rsid w:val="005330F2"/>
    <w:rsid w:val="005335B8"/>
    <w:rsid w:val="00533763"/>
    <w:rsid w:val="00533A62"/>
    <w:rsid w:val="005343F5"/>
    <w:rsid w:val="00534956"/>
    <w:rsid w:val="00534BE8"/>
    <w:rsid w:val="00534DB3"/>
    <w:rsid w:val="00534E84"/>
    <w:rsid w:val="00535206"/>
    <w:rsid w:val="005353BF"/>
    <w:rsid w:val="005356BB"/>
    <w:rsid w:val="005356EF"/>
    <w:rsid w:val="005357F1"/>
    <w:rsid w:val="005358E3"/>
    <w:rsid w:val="005359B6"/>
    <w:rsid w:val="00535DB4"/>
    <w:rsid w:val="005362B9"/>
    <w:rsid w:val="00536331"/>
    <w:rsid w:val="00536391"/>
    <w:rsid w:val="00536489"/>
    <w:rsid w:val="005365DA"/>
    <w:rsid w:val="005369F1"/>
    <w:rsid w:val="00536C82"/>
    <w:rsid w:val="00536E8D"/>
    <w:rsid w:val="0053735F"/>
    <w:rsid w:val="00537FBA"/>
    <w:rsid w:val="0054020D"/>
    <w:rsid w:val="005403BF"/>
    <w:rsid w:val="005412D2"/>
    <w:rsid w:val="005419C7"/>
    <w:rsid w:val="00541AFA"/>
    <w:rsid w:val="00541CA4"/>
    <w:rsid w:val="00541F08"/>
    <w:rsid w:val="00542792"/>
    <w:rsid w:val="00543716"/>
    <w:rsid w:val="005437E9"/>
    <w:rsid w:val="0054391D"/>
    <w:rsid w:val="00543CEC"/>
    <w:rsid w:val="005442A8"/>
    <w:rsid w:val="005442CF"/>
    <w:rsid w:val="00544E50"/>
    <w:rsid w:val="0054590C"/>
    <w:rsid w:val="00545CEA"/>
    <w:rsid w:val="005460BA"/>
    <w:rsid w:val="00546198"/>
    <w:rsid w:val="005466F2"/>
    <w:rsid w:val="0054671C"/>
    <w:rsid w:val="005467E2"/>
    <w:rsid w:val="00547630"/>
    <w:rsid w:val="00547678"/>
    <w:rsid w:val="005477F1"/>
    <w:rsid w:val="00547C7E"/>
    <w:rsid w:val="00547DF3"/>
    <w:rsid w:val="00547F32"/>
    <w:rsid w:val="00550003"/>
    <w:rsid w:val="005500A2"/>
    <w:rsid w:val="00550516"/>
    <w:rsid w:val="00550851"/>
    <w:rsid w:val="0055089D"/>
    <w:rsid w:val="00550968"/>
    <w:rsid w:val="00550DDB"/>
    <w:rsid w:val="00550E2A"/>
    <w:rsid w:val="00550FB3"/>
    <w:rsid w:val="00551172"/>
    <w:rsid w:val="005511B7"/>
    <w:rsid w:val="005516B6"/>
    <w:rsid w:val="0055192B"/>
    <w:rsid w:val="005519D7"/>
    <w:rsid w:val="00551EDD"/>
    <w:rsid w:val="0055233C"/>
    <w:rsid w:val="005525B6"/>
    <w:rsid w:val="005529C9"/>
    <w:rsid w:val="00552BE7"/>
    <w:rsid w:val="0055349A"/>
    <w:rsid w:val="00553B9D"/>
    <w:rsid w:val="00554230"/>
    <w:rsid w:val="00554812"/>
    <w:rsid w:val="00554AE3"/>
    <w:rsid w:val="00555134"/>
    <w:rsid w:val="00555BF8"/>
    <w:rsid w:val="00556022"/>
    <w:rsid w:val="005560DC"/>
    <w:rsid w:val="005563A6"/>
    <w:rsid w:val="00556AEB"/>
    <w:rsid w:val="00556C8B"/>
    <w:rsid w:val="00556FD3"/>
    <w:rsid w:val="0055751A"/>
    <w:rsid w:val="00557F00"/>
    <w:rsid w:val="00557FCB"/>
    <w:rsid w:val="0056111F"/>
    <w:rsid w:val="005611A8"/>
    <w:rsid w:val="0056156F"/>
    <w:rsid w:val="00561B2D"/>
    <w:rsid w:val="00561C4F"/>
    <w:rsid w:val="00561F75"/>
    <w:rsid w:val="00562707"/>
    <w:rsid w:val="005627F0"/>
    <w:rsid w:val="00562CBA"/>
    <w:rsid w:val="00563397"/>
    <w:rsid w:val="00563419"/>
    <w:rsid w:val="00563C5E"/>
    <w:rsid w:val="00563DE8"/>
    <w:rsid w:val="00563E31"/>
    <w:rsid w:val="00564AEA"/>
    <w:rsid w:val="00565369"/>
    <w:rsid w:val="00565ABF"/>
    <w:rsid w:val="00566BF5"/>
    <w:rsid w:val="00566D96"/>
    <w:rsid w:val="00567518"/>
    <w:rsid w:val="00567676"/>
    <w:rsid w:val="0056791C"/>
    <w:rsid w:val="00567F5B"/>
    <w:rsid w:val="00570A62"/>
    <w:rsid w:val="00571D95"/>
    <w:rsid w:val="00571E43"/>
    <w:rsid w:val="00572123"/>
    <w:rsid w:val="005724A7"/>
    <w:rsid w:val="00572922"/>
    <w:rsid w:val="00572A21"/>
    <w:rsid w:val="00572D55"/>
    <w:rsid w:val="00572F2C"/>
    <w:rsid w:val="005733AA"/>
    <w:rsid w:val="005733CA"/>
    <w:rsid w:val="00574545"/>
    <w:rsid w:val="00574C06"/>
    <w:rsid w:val="005750B5"/>
    <w:rsid w:val="005750FC"/>
    <w:rsid w:val="0057518B"/>
    <w:rsid w:val="00575498"/>
    <w:rsid w:val="005762F7"/>
    <w:rsid w:val="005764BD"/>
    <w:rsid w:val="00576542"/>
    <w:rsid w:val="00576DFF"/>
    <w:rsid w:val="0057739B"/>
    <w:rsid w:val="00577AE1"/>
    <w:rsid w:val="00577D59"/>
    <w:rsid w:val="00577E2B"/>
    <w:rsid w:val="0058038A"/>
    <w:rsid w:val="005807CC"/>
    <w:rsid w:val="00580C0D"/>
    <w:rsid w:val="0058178B"/>
    <w:rsid w:val="00581F67"/>
    <w:rsid w:val="0058309D"/>
    <w:rsid w:val="005832D4"/>
    <w:rsid w:val="00583456"/>
    <w:rsid w:val="00583DCD"/>
    <w:rsid w:val="00583EA3"/>
    <w:rsid w:val="0058458C"/>
    <w:rsid w:val="0058465A"/>
    <w:rsid w:val="005848DE"/>
    <w:rsid w:val="00584ADA"/>
    <w:rsid w:val="00584D41"/>
    <w:rsid w:val="005853F7"/>
    <w:rsid w:val="00585FD2"/>
    <w:rsid w:val="00586309"/>
    <w:rsid w:val="0058675F"/>
    <w:rsid w:val="00586D46"/>
    <w:rsid w:val="005870F5"/>
    <w:rsid w:val="00587F7F"/>
    <w:rsid w:val="0059057C"/>
    <w:rsid w:val="00590B75"/>
    <w:rsid w:val="0059178C"/>
    <w:rsid w:val="00592284"/>
    <w:rsid w:val="00592410"/>
    <w:rsid w:val="005929F8"/>
    <w:rsid w:val="00592BFB"/>
    <w:rsid w:val="0059307B"/>
    <w:rsid w:val="005936FF"/>
    <w:rsid w:val="00593744"/>
    <w:rsid w:val="00593915"/>
    <w:rsid w:val="00593922"/>
    <w:rsid w:val="00593B91"/>
    <w:rsid w:val="00594385"/>
    <w:rsid w:val="005948CA"/>
    <w:rsid w:val="005949EA"/>
    <w:rsid w:val="00595A74"/>
    <w:rsid w:val="00595E8D"/>
    <w:rsid w:val="00596493"/>
    <w:rsid w:val="00596838"/>
    <w:rsid w:val="005968B4"/>
    <w:rsid w:val="00596948"/>
    <w:rsid w:val="005970D0"/>
    <w:rsid w:val="00597B11"/>
    <w:rsid w:val="00597C64"/>
    <w:rsid w:val="005A0A7A"/>
    <w:rsid w:val="005A1249"/>
    <w:rsid w:val="005A146D"/>
    <w:rsid w:val="005A20E2"/>
    <w:rsid w:val="005A22DD"/>
    <w:rsid w:val="005A2767"/>
    <w:rsid w:val="005A2DB8"/>
    <w:rsid w:val="005A2E49"/>
    <w:rsid w:val="005A2F0C"/>
    <w:rsid w:val="005A36C9"/>
    <w:rsid w:val="005A36F9"/>
    <w:rsid w:val="005A372A"/>
    <w:rsid w:val="005A3761"/>
    <w:rsid w:val="005A37EF"/>
    <w:rsid w:val="005A395C"/>
    <w:rsid w:val="005A3DBA"/>
    <w:rsid w:val="005A414C"/>
    <w:rsid w:val="005A44F8"/>
    <w:rsid w:val="005A45D1"/>
    <w:rsid w:val="005A55D9"/>
    <w:rsid w:val="005A56C2"/>
    <w:rsid w:val="005A60CD"/>
    <w:rsid w:val="005A65FC"/>
    <w:rsid w:val="005A6710"/>
    <w:rsid w:val="005A681F"/>
    <w:rsid w:val="005A77EE"/>
    <w:rsid w:val="005A7E0E"/>
    <w:rsid w:val="005A7F0A"/>
    <w:rsid w:val="005B01FF"/>
    <w:rsid w:val="005B0C9E"/>
    <w:rsid w:val="005B0F23"/>
    <w:rsid w:val="005B12F0"/>
    <w:rsid w:val="005B14AE"/>
    <w:rsid w:val="005B1524"/>
    <w:rsid w:val="005B1F13"/>
    <w:rsid w:val="005B202D"/>
    <w:rsid w:val="005B207E"/>
    <w:rsid w:val="005B289A"/>
    <w:rsid w:val="005B2938"/>
    <w:rsid w:val="005B29C5"/>
    <w:rsid w:val="005B2A30"/>
    <w:rsid w:val="005B2AB7"/>
    <w:rsid w:val="005B307C"/>
    <w:rsid w:val="005B310D"/>
    <w:rsid w:val="005B3139"/>
    <w:rsid w:val="005B3312"/>
    <w:rsid w:val="005B3323"/>
    <w:rsid w:val="005B33C6"/>
    <w:rsid w:val="005B3873"/>
    <w:rsid w:val="005B4263"/>
    <w:rsid w:val="005B50D2"/>
    <w:rsid w:val="005B54C8"/>
    <w:rsid w:val="005B60E0"/>
    <w:rsid w:val="005B6482"/>
    <w:rsid w:val="005B65B9"/>
    <w:rsid w:val="005B683D"/>
    <w:rsid w:val="005B7164"/>
    <w:rsid w:val="005B7681"/>
    <w:rsid w:val="005B7AFA"/>
    <w:rsid w:val="005B7E74"/>
    <w:rsid w:val="005C0002"/>
    <w:rsid w:val="005C041A"/>
    <w:rsid w:val="005C07AA"/>
    <w:rsid w:val="005C0AA1"/>
    <w:rsid w:val="005C0BBD"/>
    <w:rsid w:val="005C0E45"/>
    <w:rsid w:val="005C10FB"/>
    <w:rsid w:val="005C12EB"/>
    <w:rsid w:val="005C17D3"/>
    <w:rsid w:val="005C1C42"/>
    <w:rsid w:val="005C215B"/>
    <w:rsid w:val="005C231B"/>
    <w:rsid w:val="005C2553"/>
    <w:rsid w:val="005C283F"/>
    <w:rsid w:val="005C28CB"/>
    <w:rsid w:val="005C3108"/>
    <w:rsid w:val="005C39EE"/>
    <w:rsid w:val="005C5498"/>
    <w:rsid w:val="005C57B9"/>
    <w:rsid w:val="005C6197"/>
    <w:rsid w:val="005C6237"/>
    <w:rsid w:val="005C6279"/>
    <w:rsid w:val="005C6CDE"/>
    <w:rsid w:val="005C74CC"/>
    <w:rsid w:val="005C7823"/>
    <w:rsid w:val="005C7E3A"/>
    <w:rsid w:val="005D009F"/>
    <w:rsid w:val="005D02BD"/>
    <w:rsid w:val="005D0771"/>
    <w:rsid w:val="005D0BD3"/>
    <w:rsid w:val="005D1312"/>
    <w:rsid w:val="005D18E7"/>
    <w:rsid w:val="005D1B3C"/>
    <w:rsid w:val="005D1CE8"/>
    <w:rsid w:val="005D1D37"/>
    <w:rsid w:val="005D2208"/>
    <w:rsid w:val="005D256E"/>
    <w:rsid w:val="005D28D9"/>
    <w:rsid w:val="005D29C5"/>
    <w:rsid w:val="005D2CF3"/>
    <w:rsid w:val="005D2D3E"/>
    <w:rsid w:val="005D2F5C"/>
    <w:rsid w:val="005D3118"/>
    <w:rsid w:val="005D355A"/>
    <w:rsid w:val="005D367A"/>
    <w:rsid w:val="005D37A7"/>
    <w:rsid w:val="005D3D9A"/>
    <w:rsid w:val="005D42C4"/>
    <w:rsid w:val="005D4402"/>
    <w:rsid w:val="005D4B09"/>
    <w:rsid w:val="005D4C88"/>
    <w:rsid w:val="005D5048"/>
    <w:rsid w:val="005D58D2"/>
    <w:rsid w:val="005D5C42"/>
    <w:rsid w:val="005D62FA"/>
    <w:rsid w:val="005D635F"/>
    <w:rsid w:val="005D64C6"/>
    <w:rsid w:val="005D64ED"/>
    <w:rsid w:val="005D6800"/>
    <w:rsid w:val="005D6B96"/>
    <w:rsid w:val="005D6DB2"/>
    <w:rsid w:val="005D6EB6"/>
    <w:rsid w:val="005D75DB"/>
    <w:rsid w:val="005E0073"/>
    <w:rsid w:val="005E07B9"/>
    <w:rsid w:val="005E0E44"/>
    <w:rsid w:val="005E0E4E"/>
    <w:rsid w:val="005E1136"/>
    <w:rsid w:val="005E2123"/>
    <w:rsid w:val="005E2326"/>
    <w:rsid w:val="005E24C5"/>
    <w:rsid w:val="005E2622"/>
    <w:rsid w:val="005E2B5A"/>
    <w:rsid w:val="005E2DB6"/>
    <w:rsid w:val="005E3714"/>
    <w:rsid w:val="005E3F22"/>
    <w:rsid w:val="005E4D0C"/>
    <w:rsid w:val="005E4D5D"/>
    <w:rsid w:val="005E5033"/>
    <w:rsid w:val="005E58B9"/>
    <w:rsid w:val="005E5E5F"/>
    <w:rsid w:val="005E5F65"/>
    <w:rsid w:val="005E786A"/>
    <w:rsid w:val="005E78B6"/>
    <w:rsid w:val="005E7D35"/>
    <w:rsid w:val="005E7D5E"/>
    <w:rsid w:val="005E7E14"/>
    <w:rsid w:val="005E7E15"/>
    <w:rsid w:val="005F0719"/>
    <w:rsid w:val="005F0916"/>
    <w:rsid w:val="005F0FFA"/>
    <w:rsid w:val="005F135E"/>
    <w:rsid w:val="005F14CC"/>
    <w:rsid w:val="005F1883"/>
    <w:rsid w:val="005F226C"/>
    <w:rsid w:val="005F2614"/>
    <w:rsid w:val="005F2A1B"/>
    <w:rsid w:val="005F2ADC"/>
    <w:rsid w:val="005F2F46"/>
    <w:rsid w:val="005F3013"/>
    <w:rsid w:val="005F3401"/>
    <w:rsid w:val="005F35DA"/>
    <w:rsid w:val="005F35E4"/>
    <w:rsid w:val="005F3BF4"/>
    <w:rsid w:val="005F3F92"/>
    <w:rsid w:val="005F417E"/>
    <w:rsid w:val="005F43D2"/>
    <w:rsid w:val="005F4A2F"/>
    <w:rsid w:val="005F51AD"/>
    <w:rsid w:val="005F5DAF"/>
    <w:rsid w:val="005F600A"/>
    <w:rsid w:val="005F6909"/>
    <w:rsid w:val="005F6937"/>
    <w:rsid w:val="005F6B11"/>
    <w:rsid w:val="005F6B30"/>
    <w:rsid w:val="005F6D68"/>
    <w:rsid w:val="005F6F58"/>
    <w:rsid w:val="005F74E9"/>
    <w:rsid w:val="00600034"/>
    <w:rsid w:val="0060037D"/>
    <w:rsid w:val="0060064A"/>
    <w:rsid w:val="0060087C"/>
    <w:rsid w:val="00600AAE"/>
    <w:rsid w:val="00600C48"/>
    <w:rsid w:val="00600C4E"/>
    <w:rsid w:val="00601521"/>
    <w:rsid w:val="0060165A"/>
    <w:rsid w:val="006019BF"/>
    <w:rsid w:val="00601B6A"/>
    <w:rsid w:val="00601BE6"/>
    <w:rsid w:val="00601F7B"/>
    <w:rsid w:val="006020C6"/>
    <w:rsid w:val="006021D9"/>
    <w:rsid w:val="00602C8D"/>
    <w:rsid w:val="00602DA2"/>
    <w:rsid w:val="00603566"/>
    <w:rsid w:val="006036EB"/>
    <w:rsid w:val="00603A63"/>
    <w:rsid w:val="00603BDB"/>
    <w:rsid w:val="006041DF"/>
    <w:rsid w:val="00604410"/>
    <w:rsid w:val="006058C7"/>
    <w:rsid w:val="006059C5"/>
    <w:rsid w:val="00605AA0"/>
    <w:rsid w:val="0060633C"/>
    <w:rsid w:val="00606510"/>
    <w:rsid w:val="006069D0"/>
    <w:rsid w:val="00606DCD"/>
    <w:rsid w:val="00607300"/>
    <w:rsid w:val="0060768C"/>
    <w:rsid w:val="006077AC"/>
    <w:rsid w:val="00607ADB"/>
    <w:rsid w:val="00607C1F"/>
    <w:rsid w:val="00607D30"/>
    <w:rsid w:val="00607F11"/>
    <w:rsid w:val="00610283"/>
    <w:rsid w:val="006108DF"/>
    <w:rsid w:val="00610A54"/>
    <w:rsid w:val="00610BC1"/>
    <w:rsid w:val="00611E32"/>
    <w:rsid w:val="006129DC"/>
    <w:rsid w:val="00612A4C"/>
    <w:rsid w:val="00612F86"/>
    <w:rsid w:val="00613024"/>
    <w:rsid w:val="006133C9"/>
    <w:rsid w:val="006139A8"/>
    <w:rsid w:val="00613AB4"/>
    <w:rsid w:val="00613BF3"/>
    <w:rsid w:val="00613E0B"/>
    <w:rsid w:val="00613F97"/>
    <w:rsid w:val="006148D4"/>
    <w:rsid w:val="00614D38"/>
    <w:rsid w:val="00614EBC"/>
    <w:rsid w:val="00615147"/>
    <w:rsid w:val="0061555E"/>
    <w:rsid w:val="0061692F"/>
    <w:rsid w:val="00617790"/>
    <w:rsid w:val="00617929"/>
    <w:rsid w:val="00617B06"/>
    <w:rsid w:val="00617D92"/>
    <w:rsid w:val="00617DE8"/>
    <w:rsid w:val="006202CD"/>
    <w:rsid w:val="006202EE"/>
    <w:rsid w:val="00621B6C"/>
    <w:rsid w:val="00621B8F"/>
    <w:rsid w:val="00621E1E"/>
    <w:rsid w:val="00621F62"/>
    <w:rsid w:val="0062268A"/>
    <w:rsid w:val="00622729"/>
    <w:rsid w:val="006233B9"/>
    <w:rsid w:val="0062342F"/>
    <w:rsid w:val="00623642"/>
    <w:rsid w:val="00623764"/>
    <w:rsid w:val="00623858"/>
    <w:rsid w:val="006238F5"/>
    <w:rsid w:val="00623CE0"/>
    <w:rsid w:val="006241EC"/>
    <w:rsid w:val="006245DF"/>
    <w:rsid w:val="00624DB6"/>
    <w:rsid w:val="0062535C"/>
    <w:rsid w:val="006255BA"/>
    <w:rsid w:val="0062578C"/>
    <w:rsid w:val="00625B60"/>
    <w:rsid w:val="00625DC5"/>
    <w:rsid w:val="006262FD"/>
    <w:rsid w:val="00626BAA"/>
    <w:rsid w:val="00626C68"/>
    <w:rsid w:val="0062781A"/>
    <w:rsid w:val="00627F73"/>
    <w:rsid w:val="00630069"/>
    <w:rsid w:val="00630303"/>
    <w:rsid w:val="0063095D"/>
    <w:rsid w:val="00630A34"/>
    <w:rsid w:val="00630A6A"/>
    <w:rsid w:val="006312DE"/>
    <w:rsid w:val="00631CD7"/>
    <w:rsid w:val="0063210B"/>
    <w:rsid w:val="00632635"/>
    <w:rsid w:val="00632EAA"/>
    <w:rsid w:val="0063343D"/>
    <w:rsid w:val="0063343F"/>
    <w:rsid w:val="00634086"/>
    <w:rsid w:val="00634A67"/>
    <w:rsid w:val="00634B64"/>
    <w:rsid w:val="00634CE3"/>
    <w:rsid w:val="00635573"/>
    <w:rsid w:val="00635C41"/>
    <w:rsid w:val="00635D45"/>
    <w:rsid w:val="006361BE"/>
    <w:rsid w:val="0063702B"/>
    <w:rsid w:val="0063702F"/>
    <w:rsid w:val="00637153"/>
    <w:rsid w:val="006371E1"/>
    <w:rsid w:val="006379C9"/>
    <w:rsid w:val="006379E5"/>
    <w:rsid w:val="00640153"/>
    <w:rsid w:val="006403E1"/>
    <w:rsid w:val="0064097C"/>
    <w:rsid w:val="00640F1C"/>
    <w:rsid w:val="0064118C"/>
    <w:rsid w:val="00641DF1"/>
    <w:rsid w:val="006420BA"/>
    <w:rsid w:val="00642345"/>
    <w:rsid w:val="0064274C"/>
    <w:rsid w:val="00642F18"/>
    <w:rsid w:val="00643BC9"/>
    <w:rsid w:val="00644132"/>
    <w:rsid w:val="0064442C"/>
    <w:rsid w:val="006447AB"/>
    <w:rsid w:val="006450AF"/>
    <w:rsid w:val="00645D73"/>
    <w:rsid w:val="00645E4B"/>
    <w:rsid w:val="00645E9D"/>
    <w:rsid w:val="006460B0"/>
    <w:rsid w:val="006463D9"/>
    <w:rsid w:val="006469B4"/>
    <w:rsid w:val="00647154"/>
    <w:rsid w:val="006471BC"/>
    <w:rsid w:val="006472A6"/>
    <w:rsid w:val="00647D85"/>
    <w:rsid w:val="00647E47"/>
    <w:rsid w:val="00647E4B"/>
    <w:rsid w:val="00647F5D"/>
    <w:rsid w:val="006500B7"/>
    <w:rsid w:val="006502D2"/>
    <w:rsid w:val="006511B7"/>
    <w:rsid w:val="0065151C"/>
    <w:rsid w:val="00651BBE"/>
    <w:rsid w:val="00651E2B"/>
    <w:rsid w:val="00651FAC"/>
    <w:rsid w:val="00652864"/>
    <w:rsid w:val="0065290A"/>
    <w:rsid w:val="00652C9F"/>
    <w:rsid w:val="00653061"/>
    <w:rsid w:val="006530E6"/>
    <w:rsid w:val="006533E6"/>
    <w:rsid w:val="00653689"/>
    <w:rsid w:val="00653806"/>
    <w:rsid w:val="006538EA"/>
    <w:rsid w:val="00653C5F"/>
    <w:rsid w:val="00653D5E"/>
    <w:rsid w:val="00653DFE"/>
    <w:rsid w:val="0065435B"/>
    <w:rsid w:val="006543E1"/>
    <w:rsid w:val="00654408"/>
    <w:rsid w:val="006545C2"/>
    <w:rsid w:val="00655410"/>
    <w:rsid w:val="00655512"/>
    <w:rsid w:val="006556DE"/>
    <w:rsid w:val="00655862"/>
    <w:rsid w:val="00656235"/>
    <w:rsid w:val="006568CB"/>
    <w:rsid w:val="00656B28"/>
    <w:rsid w:val="00656BBA"/>
    <w:rsid w:val="00656C9B"/>
    <w:rsid w:val="00656D4B"/>
    <w:rsid w:val="0065722E"/>
    <w:rsid w:val="00657D45"/>
    <w:rsid w:val="0066002D"/>
    <w:rsid w:val="00660041"/>
    <w:rsid w:val="006600CB"/>
    <w:rsid w:val="00660170"/>
    <w:rsid w:val="006601AC"/>
    <w:rsid w:val="0066035A"/>
    <w:rsid w:val="006603A6"/>
    <w:rsid w:val="00660DED"/>
    <w:rsid w:val="00660E99"/>
    <w:rsid w:val="00660F4F"/>
    <w:rsid w:val="0066131D"/>
    <w:rsid w:val="0066161D"/>
    <w:rsid w:val="00661764"/>
    <w:rsid w:val="00661B94"/>
    <w:rsid w:val="00661C5A"/>
    <w:rsid w:val="00661E55"/>
    <w:rsid w:val="00661F86"/>
    <w:rsid w:val="006625B4"/>
    <w:rsid w:val="00662718"/>
    <w:rsid w:val="00662A13"/>
    <w:rsid w:val="00662C0C"/>
    <w:rsid w:val="006633DE"/>
    <w:rsid w:val="00663756"/>
    <w:rsid w:val="0066375F"/>
    <w:rsid w:val="0066431D"/>
    <w:rsid w:val="006643B5"/>
    <w:rsid w:val="00664BA6"/>
    <w:rsid w:val="006657ED"/>
    <w:rsid w:val="00665851"/>
    <w:rsid w:val="00665864"/>
    <w:rsid w:val="00665C87"/>
    <w:rsid w:val="00665FDA"/>
    <w:rsid w:val="00666057"/>
    <w:rsid w:val="00666EEF"/>
    <w:rsid w:val="00666F2F"/>
    <w:rsid w:val="006673E8"/>
    <w:rsid w:val="006678E2"/>
    <w:rsid w:val="0067000B"/>
    <w:rsid w:val="00670305"/>
    <w:rsid w:val="0067032B"/>
    <w:rsid w:val="006704A6"/>
    <w:rsid w:val="00670CD2"/>
    <w:rsid w:val="0067126F"/>
    <w:rsid w:val="006715E8"/>
    <w:rsid w:val="006716C3"/>
    <w:rsid w:val="00671828"/>
    <w:rsid w:val="0067212C"/>
    <w:rsid w:val="00672987"/>
    <w:rsid w:val="00672E66"/>
    <w:rsid w:val="0067364F"/>
    <w:rsid w:val="006736DB"/>
    <w:rsid w:val="00673BAC"/>
    <w:rsid w:val="00673EFD"/>
    <w:rsid w:val="0067425F"/>
    <w:rsid w:val="00674290"/>
    <w:rsid w:val="00674967"/>
    <w:rsid w:val="00674DB1"/>
    <w:rsid w:val="00675A02"/>
    <w:rsid w:val="006760E4"/>
    <w:rsid w:val="00676C21"/>
    <w:rsid w:val="00676ECF"/>
    <w:rsid w:val="006770ED"/>
    <w:rsid w:val="0067716A"/>
    <w:rsid w:val="00677384"/>
    <w:rsid w:val="00677914"/>
    <w:rsid w:val="00677945"/>
    <w:rsid w:val="006779F5"/>
    <w:rsid w:val="00677DFC"/>
    <w:rsid w:val="00680521"/>
    <w:rsid w:val="00682D14"/>
    <w:rsid w:val="00683D81"/>
    <w:rsid w:val="00684B2D"/>
    <w:rsid w:val="0068556D"/>
    <w:rsid w:val="006859E6"/>
    <w:rsid w:val="00685FD8"/>
    <w:rsid w:val="006862CB"/>
    <w:rsid w:val="006867B8"/>
    <w:rsid w:val="00686B82"/>
    <w:rsid w:val="0068746D"/>
    <w:rsid w:val="00690365"/>
    <w:rsid w:val="0069057E"/>
    <w:rsid w:val="00690DB0"/>
    <w:rsid w:val="006910A1"/>
    <w:rsid w:val="00691130"/>
    <w:rsid w:val="00691717"/>
    <w:rsid w:val="006917AA"/>
    <w:rsid w:val="00691D5D"/>
    <w:rsid w:val="006923CE"/>
    <w:rsid w:val="00692F00"/>
    <w:rsid w:val="00693010"/>
    <w:rsid w:val="0069356C"/>
    <w:rsid w:val="00693663"/>
    <w:rsid w:val="00693AA2"/>
    <w:rsid w:val="00693CFC"/>
    <w:rsid w:val="006940B0"/>
    <w:rsid w:val="00694B57"/>
    <w:rsid w:val="00694DB2"/>
    <w:rsid w:val="00694E56"/>
    <w:rsid w:val="00694EA6"/>
    <w:rsid w:val="0069536D"/>
    <w:rsid w:val="006954A4"/>
    <w:rsid w:val="00695FF1"/>
    <w:rsid w:val="006960ED"/>
    <w:rsid w:val="006965CA"/>
    <w:rsid w:val="00696A52"/>
    <w:rsid w:val="00696F42"/>
    <w:rsid w:val="00697867"/>
    <w:rsid w:val="006A03E1"/>
    <w:rsid w:val="006A0420"/>
    <w:rsid w:val="006A0680"/>
    <w:rsid w:val="006A06C7"/>
    <w:rsid w:val="006A0765"/>
    <w:rsid w:val="006A07F0"/>
    <w:rsid w:val="006A130F"/>
    <w:rsid w:val="006A17EB"/>
    <w:rsid w:val="006A1DDA"/>
    <w:rsid w:val="006A1F9B"/>
    <w:rsid w:val="006A276E"/>
    <w:rsid w:val="006A2775"/>
    <w:rsid w:val="006A2CB4"/>
    <w:rsid w:val="006A3230"/>
    <w:rsid w:val="006A3746"/>
    <w:rsid w:val="006A3B00"/>
    <w:rsid w:val="006A3FBE"/>
    <w:rsid w:val="006A417D"/>
    <w:rsid w:val="006A451C"/>
    <w:rsid w:val="006A49BB"/>
    <w:rsid w:val="006A4CB4"/>
    <w:rsid w:val="006A4D09"/>
    <w:rsid w:val="006A4D9F"/>
    <w:rsid w:val="006A5073"/>
    <w:rsid w:val="006A51B1"/>
    <w:rsid w:val="006A52CC"/>
    <w:rsid w:val="006A62F3"/>
    <w:rsid w:val="006A6727"/>
    <w:rsid w:val="006A687A"/>
    <w:rsid w:val="006A6F24"/>
    <w:rsid w:val="006A7430"/>
    <w:rsid w:val="006A78DC"/>
    <w:rsid w:val="006B0D77"/>
    <w:rsid w:val="006B140E"/>
    <w:rsid w:val="006B1672"/>
    <w:rsid w:val="006B17AD"/>
    <w:rsid w:val="006B18DA"/>
    <w:rsid w:val="006B1F0F"/>
    <w:rsid w:val="006B2274"/>
    <w:rsid w:val="006B2414"/>
    <w:rsid w:val="006B259D"/>
    <w:rsid w:val="006B2751"/>
    <w:rsid w:val="006B2F05"/>
    <w:rsid w:val="006B30DD"/>
    <w:rsid w:val="006B32E2"/>
    <w:rsid w:val="006B379E"/>
    <w:rsid w:val="006B4158"/>
    <w:rsid w:val="006B424D"/>
    <w:rsid w:val="006B43D3"/>
    <w:rsid w:val="006B46D1"/>
    <w:rsid w:val="006B496D"/>
    <w:rsid w:val="006B4A1E"/>
    <w:rsid w:val="006B4A5D"/>
    <w:rsid w:val="006B4CC8"/>
    <w:rsid w:val="006B4EDF"/>
    <w:rsid w:val="006B5173"/>
    <w:rsid w:val="006B51A6"/>
    <w:rsid w:val="006B6025"/>
    <w:rsid w:val="006B6188"/>
    <w:rsid w:val="006B6C25"/>
    <w:rsid w:val="006B6E28"/>
    <w:rsid w:val="006B71ED"/>
    <w:rsid w:val="006C00B4"/>
    <w:rsid w:val="006C09B3"/>
    <w:rsid w:val="006C1F3D"/>
    <w:rsid w:val="006C2017"/>
    <w:rsid w:val="006C2305"/>
    <w:rsid w:val="006C3196"/>
    <w:rsid w:val="006C3431"/>
    <w:rsid w:val="006C3C2C"/>
    <w:rsid w:val="006C3CF6"/>
    <w:rsid w:val="006C3D32"/>
    <w:rsid w:val="006C3DE8"/>
    <w:rsid w:val="006C3DED"/>
    <w:rsid w:val="006C4C38"/>
    <w:rsid w:val="006C4C94"/>
    <w:rsid w:val="006C5A18"/>
    <w:rsid w:val="006C5D55"/>
    <w:rsid w:val="006C61AD"/>
    <w:rsid w:val="006C6636"/>
    <w:rsid w:val="006C68F0"/>
    <w:rsid w:val="006C717B"/>
    <w:rsid w:val="006C72C1"/>
    <w:rsid w:val="006C77B2"/>
    <w:rsid w:val="006C787F"/>
    <w:rsid w:val="006C7B3D"/>
    <w:rsid w:val="006D0243"/>
    <w:rsid w:val="006D04DF"/>
    <w:rsid w:val="006D0C60"/>
    <w:rsid w:val="006D0DC5"/>
    <w:rsid w:val="006D0DF1"/>
    <w:rsid w:val="006D10BB"/>
    <w:rsid w:val="006D1199"/>
    <w:rsid w:val="006D1432"/>
    <w:rsid w:val="006D18F0"/>
    <w:rsid w:val="006D1D9A"/>
    <w:rsid w:val="006D1ED1"/>
    <w:rsid w:val="006D21F0"/>
    <w:rsid w:val="006D29F1"/>
    <w:rsid w:val="006D2DD0"/>
    <w:rsid w:val="006D3C53"/>
    <w:rsid w:val="006D3C9C"/>
    <w:rsid w:val="006D3DA2"/>
    <w:rsid w:val="006D4EB2"/>
    <w:rsid w:val="006D5AC7"/>
    <w:rsid w:val="006D5B23"/>
    <w:rsid w:val="006D5C94"/>
    <w:rsid w:val="006D5E18"/>
    <w:rsid w:val="006D5F94"/>
    <w:rsid w:val="006D618D"/>
    <w:rsid w:val="006D6388"/>
    <w:rsid w:val="006D6471"/>
    <w:rsid w:val="006D69DC"/>
    <w:rsid w:val="006D6E21"/>
    <w:rsid w:val="006D71E6"/>
    <w:rsid w:val="006D7453"/>
    <w:rsid w:val="006D793C"/>
    <w:rsid w:val="006D7FBD"/>
    <w:rsid w:val="006E091E"/>
    <w:rsid w:val="006E0AFD"/>
    <w:rsid w:val="006E0F7E"/>
    <w:rsid w:val="006E13A2"/>
    <w:rsid w:val="006E158E"/>
    <w:rsid w:val="006E15E8"/>
    <w:rsid w:val="006E168A"/>
    <w:rsid w:val="006E1C5E"/>
    <w:rsid w:val="006E239D"/>
    <w:rsid w:val="006E258C"/>
    <w:rsid w:val="006E280B"/>
    <w:rsid w:val="006E31E2"/>
    <w:rsid w:val="006E3804"/>
    <w:rsid w:val="006E3B8A"/>
    <w:rsid w:val="006E3BA2"/>
    <w:rsid w:val="006E3CFB"/>
    <w:rsid w:val="006E424A"/>
    <w:rsid w:val="006E450A"/>
    <w:rsid w:val="006E50A2"/>
    <w:rsid w:val="006E54EC"/>
    <w:rsid w:val="006E554A"/>
    <w:rsid w:val="006E592E"/>
    <w:rsid w:val="006E5B95"/>
    <w:rsid w:val="006E6120"/>
    <w:rsid w:val="006E6371"/>
    <w:rsid w:val="006E6652"/>
    <w:rsid w:val="006E68F2"/>
    <w:rsid w:val="006E7313"/>
    <w:rsid w:val="006E7DCB"/>
    <w:rsid w:val="006E7EA6"/>
    <w:rsid w:val="006F04D9"/>
    <w:rsid w:val="006F04DD"/>
    <w:rsid w:val="006F0691"/>
    <w:rsid w:val="006F0821"/>
    <w:rsid w:val="006F08BC"/>
    <w:rsid w:val="006F08EC"/>
    <w:rsid w:val="006F13F2"/>
    <w:rsid w:val="006F16DF"/>
    <w:rsid w:val="006F2654"/>
    <w:rsid w:val="006F283E"/>
    <w:rsid w:val="006F3308"/>
    <w:rsid w:val="006F3A53"/>
    <w:rsid w:val="006F3CC5"/>
    <w:rsid w:val="006F408A"/>
    <w:rsid w:val="006F449F"/>
    <w:rsid w:val="006F4CFE"/>
    <w:rsid w:val="006F5310"/>
    <w:rsid w:val="006F559A"/>
    <w:rsid w:val="006F5891"/>
    <w:rsid w:val="006F6628"/>
    <w:rsid w:val="006F6B72"/>
    <w:rsid w:val="006F7215"/>
    <w:rsid w:val="006F72BB"/>
    <w:rsid w:val="006F76AD"/>
    <w:rsid w:val="006F7983"/>
    <w:rsid w:val="006F7BF3"/>
    <w:rsid w:val="006F7EA6"/>
    <w:rsid w:val="00700BA0"/>
    <w:rsid w:val="00700E16"/>
    <w:rsid w:val="007010EA"/>
    <w:rsid w:val="007017FD"/>
    <w:rsid w:val="00703D9F"/>
    <w:rsid w:val="00704166"/>
    <w:rsid w:val="00704491"/>
    <w:rsid w:val="00704BC2"/>
    <w:rsid w:val="00706E13"/>
    <w:rsid w:val="007078B6"/>
    <w:rsid w:val="00710266"/>
    <w:rsid w:val="00710300"/>
    <w:rsid w:val="007105EC"/>
    <w:rsid w:val="0071147C"/>
    <w:rsid w:val="00711668"/>
    <w:rsid w:val="007116AE"/>
    <w:rsid w:val="00711ADE"/>
    <w:rsid w:val="00711F57"/>
    <w:rsid w:val="00712165"/>
    <w:rsid w:val="00712569"/>
    <w:rsid w:val="007125BB"/>
    <w:rsid w:val="0071295D"/>
    <w:rsid w:val="00712A3B"/>
    <w:rsid w:val="0071312A"/>
    <w:rsid w:val="0071395B"/>
    <w:rsid w:val="00714B44"/>
    <w:rsid w:val="00715286"/>
    <w:rsid w:val="0071559C"/>
    <w:rsid w:val="0071573E"/>
    <w:rsid w:val="00715CCB"/>
    <w:rsid w:val="0071674D"/>
    <w:rsid w:val="0071700F"/>
    <w:rsid w:val="0071707E"/>
    <w:rsid w:val="007171FE"/>
    <w:rsid w:val="007174BE"/>
    <w:rsid w:val="00717581"/>
    <w:rsid w:val="007178DE"/>
    <w:rsid w:val="00717E48"/>
    <w:rsid w:val="00720032"/>
    <w:rsid w:val="0072061E"/>
    <w:rsid w:val="0072085B"/>
    <w:rsid w:val="00720A5D"/>
    <w:rsid w:val="0072105E"/>
    <w:rsid w:val="0072127C"/>
    <w:rsid w:val="0072152D"/>
    <w:rsid w:val="00721BBF"/>
    <w:rsid w:val="007224D0"/>
    <w:rsid w:val="00722ACB"/>
    <w:rsid w:val="00722BCE"/>
    <w:rsid w:val="007232E8"/>
    <w:rsid w:val="00723333"/>
    <w:rsid w:val="007235E5"/>
    <w:rsid w:val="00723818"/>
    <w:rsid w:val="00723A00"/>
    <w:rsid w:val="0072518F"/>
    <w:rsid w:val="00725A4D"/>
    <w:rsid w:val="00725EE7"/>
    <w:rsid w:val="007265E8"/>
    <w:rsid w:val="00726FA2"/>
    <w:rsid w:val="007271F3"/>
    <w:rsid w:val="007277D8"/>
    <w:rsid w:val="00727826"/>
    <w:rsid w:val="00727886"/>
    <w:rsid w:val="00727B5E"/>
    <w:rsid w:val="00727CD6"/>
    <w:rsid w:val="00730124"/>
    <w:rsid w:val="00730390"/>
    <w:rsid w:val="007303CD"/>
    <w:rsid w:val="00730887"/>
    <w:rsid w:val="007308EB"/>
    <w:rsid w:val="00731420"/>
    <w:rsid w:val="00731454"/>
    <w:rsid w:val="00731870"/>
    <w:rsid w:val="00731F8C"/>
    <w:rsid w:val="0073265A"/>
    <w:rsid w:val="00732E5B"/>
    <w:rsid w:val="0073334F"/>
    <w:rsid w:val="007337D5"/>
    <w:rsid w:val="007338B1"/>
    <w:rsid w:val="007338E4"/>
    <w:rsid w:val="00733E15"/>
    <w:rsid w:val="007345DA"/>
    <w:rsid w:val="007347B5"/>
    <w:rsid w:val="0073500B"/>
    <w:rsid w:val="00735526"/>
    <w:rsid w:val="00735638"/>
    <w:rsid w:val="007358E9"/>
    <w:rsid w:val="00735DBD"/>
    <w:rsid w:val="00735DD9"/>
    <w:rsid w:val="00736CE3"/>
    <w:rsid w:val="00737078"/>
    <w:rsid w:val="00737139"/>
    <w:rsid w:val="00737143"/>
    <w:rsid w:val="00737879"/>
    <w:rsid w:val="00737B8B"/>
    <w:rsid w:val="00740132"/>
    <w:rsid w:val="007401D5"/>
    <w:rsid w:val="0074066E"/>
    <w:rsid w:val="007406B0"/>
    <w:rsid w:val="00740A1D"/>
    <w:rsid w:val="00740CF9"/>
    <w:rsid w:val="00740F66"/>
    <w:rsid w:val="007410C9"/>
    <w:rsid w:val="0074157A"/>
    <w:rsid w:val="00741CEF"/>
    <w:rsid w:val="00741F01"/>
    <w:rsid w:val="0074220D"/>
    <w:rsid w:val="00742B9A"/>
    <w:rsid w:val="00743384"/>
    <w:rsid w:val="007435A8"/>
    <w:rsid w:val="007435AB"/>
    <w:rsid w:val="0074362F"/>
    <w:rsid w:val="00743915"/>
    <w:rsid w:val="00743ED3"/>
    <w:rsid w:val="00744281"/>
    <w:rsid w:val="00744BFC"/>
    <w:rsid w:val="00745426"/>
    <w:rsid w:val="00746570"/>
    <w:rsid w:val="00746767"/>
    <w:rsid w:val="007471B4"/>
    <w:rsid w:val="0074722C"/>
    <w:rsid w:val="00747241"/>
    <w:rsid w:val="00747365"/>
    <w:rsid w:val="00747960"/>
    <w:rsid w:val="00747B5C"/>
    <w:rsid w:val="007502C6"/>
    <w:rsid w:val="00750684"/>
    <w:rsid w:val="0075080A"/>
    <w:rsid w:val="0075090E"/>
    <w:rsid w:val="00750A99"/>
    <w:rsid w:val="00750B6A"/>
    <w:rsid w:val="00750FF1"/>
    <w:rsid w:val="007512EF"/>
    <w:rsid w:val="00752270"/>
    <w:rsid w:val="00752677"/>
    <w:rsid w:val="00753097"/>
    <w:rsid w:val="00754C8F"/>
    <w:rsid w:val="00754D76"/>
    <w:rsid w:val="00756754"/>
    <w:rsid w:val="007571C6"/>
    <w:rsid w:val="00760056"/>
    <w:rsid w:val="0076032A"/>
    <w:rsid w:val="0076064F"/>
    <w:rsid w:val="00760B0A"/>
    <w:rsid w:val="00760C17"/>
    <w:rsid w:val="00760C9C"/>
    <w:rsid w:val="00760D7E"/>
    <w:rsid w:val="007614B9"/>
    <w:rsid w:val="00761692"/>
    <w:rsid w:val="00761A2E"/>
    <w:rsid w:val="00761B94"/>
    <w:rsid w:val="0076290A"/>
    <w:rsid w:val="00762B2B"/>
    <w:rsid w:val="00763078"/>
    <w:rsid w:val="007630E0"/>
    <w:rsid w:val="007630FA"/>
    <w:rsid w:val="0076393F"/>
    <w:rsid w:val="007641E3"/>
    <w:rsid w:val="0076455B"/>
    <w:rsid w:val="00764BF5"/>
    <w:rsid w:val="00764C75"/>
    <w:rsid w:val="00765877"/>
    <w:rsid w:val="00765A93"/>
    <w:rsid w:val="00765B94"/>
    <w:rsid w:val="00765BC8"/>
    <w:rsid w:val="00765BDC"/>
    <w:rsid w:val="00766093"/>
    <w:rsid w:val="007662B7"/>
    <w:rsid w:val="00767185"/>
    <w:rsid w:val="007677AB"/>
    <w:rsid w:val="00767BA6"/>
    <w:rsid w:val="00770599"/>
    <w:rsid w:val="00770704"/>
    <w:rsid w:val="00770B9F"/>
    <w:rsid w:val="0077196B"/>
    <w:rsid w:val="007723CA"/>
    <w:rsid w:val="0077280F"/>
    <w:rsid w:val="00772D56"/>
    <w:rsid w:val="00773355"/>
    <w:rsid w:val="00773456"/>
    <w:rsid w:val="00773976"/>
    <w:rsid w:val="007742B6"/>
    <w:rsid w:val="00774390"/>
    <w:rsid w:val="0077445F"/>
    <w:rsid w:val="00774483"/>
    <w:rsid w:val="00775124"/>
    <w:rsid w:val="0077529B"/>
    <w:rsid w:val="007753BC"/>
    <w:rsid w:val="007753EE"/>
    <w:rsid w:val="007754AB"/>
    <w:rsid w:val="00775A8C"/>
    <w:rsid w:val="007776B7"/>
    <w:rsid w:val="0077791B"/>
    <w:rsid w:val="00777A4C"/>
    <w:rsid w:val="00777C0D"/>
    <w:rsid w:val="00777C2E"/>
    <w:rsid w:val="00777CB0"/>
    <w:rsid w:val="00780704"/>
    <w:rsid w:val="00780902"/>
    <w:rsid w:val="007809DF"/>
    <w:rsid w:val="00780A90"/>
    <w:rsid w:val="00780B21"/>
    <w:rsid w:val="00780B98"/>
    <w:rsid w:val="00780BCC"/>
    <w:rsid w:val="00780CA0"/>
    <w:rsid w:val="007810F5"/>
    <w:rsid w:val="0078111A"/>
    <w:rsid w:val="0078135B"/>
    <w:rsid w:val="007814FC"/>
    <w:rsid w:val="00781623"/>
    <w:rsid w:val="00781740"/>
    <w:rsid w:val="00781AD6"/>
    <w:rsid w:val="00781B6E"/>
    <w:rsid w:val="00782086"/>
    <w:rsid w:val="007822A8"/>
    <w:rsid w:val="007825CC"/>
    <w:rsid w:val="00782969"/>
    <w:rsid w:val="00782AFF"/>
    <w:rsid w:val="00782B01"/>
    <w:rsid w:val="0078363E"/>
    <w:rsid w:val="007838A4"/>
    <w:rsid w:val="00783B84"/>
    <w:rsid w:val="00783D83"/>
    <w:rsid w:val="00783F20"/>
    <w:rsid w:val="00783F42"/>
    <w:rsid w:val="0078405A"/>
    <w:rsid w:val="007843A2"/>
    <w:rsid w:val="00784622"/>
    <w:rsid w:val="0078498F"/>
    <w:rsid w:val="00784B3E"/>
    <w:rsid w:val="00784B43"/>
    <w:rsid w:val="0078531D"/>
    <w:rsid w:val="007853B1"/>
    <w:rsid w:val="00785725"/>
    <w:rsid w:val="007857E8"/>
    <w:rsid w:val="00785987"/>
    <w:rsid w:val="00785DFB"/>
    <w:rsid w:val="0078669D"/>
    <w:rsid w:val="00786800"/>
    <w:rsid w:val="007868A1"/>
    <w:rsid w:val="00786BEF"/>
    <w:rsid w:val="0078705A"/>
    <w:rsid w:val="00787E41"/>
    <w:rsid w:val="00787E67"/>
    <w:rsid w:val="00790212"/>
    <w:rsid w:val="00790741"/>
    <w:rsid w:val="00790761"/>
    <w:rsid w:val="00790A42"/>
    <w:rsid w:val="00790BBE"/>
    <w:rsid w:val="0079108F"/>
    <w:rsid w:val="007910B9"/>
    <w:rsid w:val="0079129C"/>
    <w:rsid w:val="00791472"/>
    <w:rsid w:val="00791593"/>
    <w:rsid w:val="00791600"/>
    <w:rsid w:val="007919E2"/>
    <w:rsid w:val="00791ECA"/>
    <w:rsid w:val="007922EF"/>
    <w:rsid w:val="007926DB"/>
    <w:rsid w:val="00792764"/>
    <w:rsid w:val="007928C8"/>
    <w:rsid w:val="00792E20"/>
    <w:rsid w:val="00793047"/>
    <w:rsid w:val="00793361"/>
    <w:rsid w:val="0079368C"/>
    <w:rsid w:val="0079399F"/>
    <w:rsid w:val="00793F85"/>
    <w:rsid w:val="0079407B"/>
    <w:rsid w:val="007945E7"/>
    <w:rsid w:val="00794950"/>
    <w:rsid w:val="0079564C"/>
    <w:rsid w:val="007961CE"/>
    <w:rsid w:val="007962E8"/>
    <w:rsid w:val="00796684"/>
    <w:rsid w:val="0079678A"/>
    <w:rsid w:val="00797047"/>
    <w:rsid w:val="00797086"/>
    <w:rsid w:val="0079780E"/>
    <w:rsid w:val="00797825"/>
    <w:rsid w:val="00797BF0"/>
    <w:rsid w:val="00797C69"/>
    <w:rsid w:val="007A01C9"/>
    <w:rsid w:val="007A0544"/>
    <w:rsid w:val="007A091A"/>
    <w:rsid w:val="007A0B53"/>
    <w:rsid w:val="007A0C9E"/>
    <w:rsid w:val="007A0EE7"/>
    <w:rsid w:val="007A16C3"/>
    <w:rsid w:val="007A2363"/>
    <w:rsid w:val="007A2C35"/>
    <w:rsid w:val="007A3157"/>
    <w:rsid w:val="007A3739"/>
    <w:rsid w:val="007A37A5"/>
    <w:rsid w:val="007A42EA"/>
    <w:rsid w:val="007A46B3"/>
    <w:rsid w:val="007A4940"/>
    <w:rsid w:val="007A4ACE"/>
    <w:rsid w:val="007A4BF9"/>
    <w:rsid w:val="007A4E33"/>
    <w:rsid w:val="007A5030"/>
    <w:rsid w:val="007A5C44"/>
    <w:rsid w:val="007A5E0C"/>
    <w:rsid w:val="007A629D"/>
    <w:rsid w:val="007A6B38"/>
    <w:rsid w:val="007A6BA2"/>
    <w:rsid w:val="007A6C30"/>
    <w:rsid w:val="007A71AD"/>
    <w:rsid w:val="007A7BCC"/>
    <w:rsid w:val="007B03CE"/>
    <w:rsid w:val="007B08AD"/>
    <w:rsid w:val="007B0988"/>
    <w:rsid w:val="007B0F74"/>
    <w:rsid w:val="007B1BE5"/>
    <w:rsid w:val="007B1FD8"/>
    <w:rsid w:val="007B27C6"/>
    <w:rsid w:val="007B2A10"/>
    <w:rsid w:val="007B2A3F"/>
    <w:rsid w:val="007B3009"/>
    <w:rsid w:val="007B3399"/>
    <w:rsid w:val="007B365D"/>
    <w:rsid w:val="007B399B"/>
    <w:rsid w:val="007B5005"/>
    <w:rsid w:val="007B57C8"/>
    <w:rsid w:val="007B581B"/>
    <w:rsid w:val="007B5957"/>
    <w:rsid w:val="007B5DAF"/>
    <w:rsid w:val="007B6200"/>
    <w:rsid w:val="007B6211"/>
    <w:rsid w:val="007B638D"/>
    <w:rsid w:val="007B66FC"/>
    <w:rsid w:val="007B6BF3"/>
    <w:rsid w:val="007B722E"/>
    <w:rsid w:val="007B7763"/>
    <w:rsid w:val="007B77B6"/>
    <w:rsid w:val="007B7BB2"/>
    <w:rsid w:val="007B7C33"/>
    <w:rsid w:val="007C00E6"/>
    <w:rsid w:val="007C0BB3"/>
    <w:rsid w:val="007C11AF"/>
    <w:rsid w:val="007C182F"/>
    <w:rsid w:val="007C2002"/>
    <w:rsid w:val="007C232C"/>
    <w:rsid w:val="007C253B"/>
    <w:rsid w:val="007C2BF0"/>
    <w:rsid w:val="007C2D7F"/>
    <w:rsid w:val="007C3831"/>
    <w:rsid w:val="007C3A52"/>
    <w:rsid w:val="007C3D61"/>
    <w:rsid w:val="007C4097"/>
    <w:rsid w:val="007C40E3"/>
    <w:rsid w:val="007C4353"/>
    <w:rsid w:val="007C47EC"/>
    <w:rsid w:val="007C549C"/>
    <w:rsid w:val="007C56DB"/>
    <w:rsid w:val="007C5833"/>
    <w:rsid w:val="007C58D8"/>
    <w:rsid w:val="007C5B19"/>
    <w:rsid w:val="007C5F09"/>
    <w:rsid w:val="007C64F5"/>
    <w:rsid w:val="007C6EB0"/>
    <w:rsid w:val="007C7041"/>
    <w:rsid w:val="007C7736"/>
    <w:rsid w:val="007C7E9B"/>
    <w:rsid w:val="007D0758"/>
    <w:rsid w:val="007D0BAA"/>
    <w:rsid w:val="007D0CA7"/>
    <w:rsid w:val="007D0E20"/>
    <w:rsid w:val="007D14C5"/>
    <w:rsid w:val="007D1DDF"/>
    <w:rsid w:val="007D1F0A"/>
    <w:rsid w:val="007D1F0B"/>
    <w:rsid w:val="007D1F9E"/>
    <w:rsid w:val="007D22A0"/>
    <w:rsid w:val="007D2556"/>
    <w:rsid w:val="007D27BD"/>
    <w:rsid w:val="007D347C"/>
    <w:rsid w:val="007D3496"/>
    <w:rsid w:val="007D367A"/>
    <w:rsid w:val="007D38C3"/>
    <w:rsid w:val="007D3C9C"/>
    <w:rsid w:val="007D425A"/>
    <w:rsid w:val="007D4F05"/>
    <w:rsid w:val="007D6123"/>
    <w:rsid w:val="007D637F"/>
    <w:rsid w:val="007D694A"/>
    <w:rsid w:val="007D6970"/>
    <w:rsid w:val="007D7367"/>
    <w:rsid w:val="007D768F"/>
    <w:rsid w:val="007D7989"/>
    <w:rsid w:val="007E043B"/>
    <w:rsid w:val="007E1114"/>
    <w:rsid w:val="007E1B65"/>
    <w:rsid w:val="007E1E37"/>
    <w:rsid w:val="007E28AB"/>
    <w:rsid w:val="007E3043"/>
    <w:rsid w:val="007E3365"/>
    <w:rsid w:val="007E39CE"/>
    <w:rsid w:val="007E3FFE"/>
    <w:rsid w:val="007E402F"/>
    <w:rsid w:val="007E42B3"/>
    <w:rsid w:val="007E4307"/>
    <w:rsid w:val="007E44A6"/>
    <w:rsid w:val="007E44AD"/>
    <w:rsid w:val="007E488A"/>
    <w:rsid w:val="007E50B0"/>
    <w:rsid w:val="007E5106"/>
    <w:rsid w:val="007E52E4"/>
    <w:rsid w:val="007E5371"/>
    <w:rsid w:val="007E59B8"/>
    <w:rsid w:val="007E6595"/>
    <w:rsid w:val="007E699C"/>
    <w:rsid w:val="007E6E13"/>
    <w:rsid w:val="007E70FA"/>
    <w:rsid w:val="007E7559"/>
    <w:rsid w:val="007E7666"/>
    <w:rsid w:val="007E7CDA"/>
    <w:rsid w:val="007F0560"/>
    <w:rsid w:val="007F0C31"/>
    <w:rsid w:val="007F0CBA"/>
    <w:rsid w:val="007F0CBE"/>
    <w:rsid w:val="007F0FE9"/>
    <w:rsid w:val="007F1358"/>
    <w:rsid w:val="007F13DD"/>
    <w:rsid w:val="007F13F2"/>
    <w:rsid w:val="007F1B3A"/>
    <w:rsid w:val="007F21CD"/>
    <w:rsid w:val="007F2291"/>
    <w:rsid w:val="007F28D5"/>
    <w:rsid w:val="007F2B8A"/>
    <w:rsid w:val="007F37C2"/>
    <w:rsid w:val="007F42AC"/>
    <w:rsid w:val="007F49B4"/>
    <w:rsid w:val="007F4FA4"/>
    <w:rsid w:val="007F5509"/>
    <w:rsid w:val="007F572A"/>
    <w:rsid w:val="007F5FD3"/>
    <w:rsid w:val="007F74E8"/>
    <w:rsid w:val="007F7E4B"/>
    <w:rsid w:val="007F7ED2"/>
    <w:rsid w:val="007F7F4B"/>
    <w:rsid w:val="0080005B"/>
    <w:rsid w:val="00800187"/>
    <w:rsid w:val="0080026E"/>
    <w:rsid w:val="0080028C"/>
    <w:rsid w:val="00800388"/>
    <w:rsid w:val="008005AA"/>
    <w:rsid w:val="00800A73"/>
    <w:rsid w:val="00800F0C"/>
    <w:rsid w:val="00801097"/>
    <w:rsid w:val="008014C2"/>
    <w:rsid w:val="00802318"/>
    <w:rsid w:val="00802A34"/>
    <w:rsid w:val="00803197"/>
    <w:rsid w:val="00804273"/>
    <w:rsid w:val="00804A25"/>
    <w:rsid w:val="00804D68"/>
    <w:rsid w:val="00805277"/>
    <w:rsid w:val="00805501"/>
    <w:rsid w:val="0080564A"/>
    <w:rsid w:val="008057C9"/>
    <w:rsid w:val="008057CB"/>
    <w:rsid w:val="00805877"/>
    <w:rsid w:val="00805EC7"/>
    <w:rsid w:val="00806044"/>
    <w:rsid w:val="00806931"/>
    <w:rsid w:val="00806A35"/>
    <w:rsid w:val="00807DEC"/>
    <w:rsid w:val="00807E33"/>
    <w:rsid w:val="0081023A"/>
    <w:rsid w:val="008102BF"/>
    <w:rsid w:val="00810427"/>
    <w:rsid w:val="0081131E"/>
    <w:rsid w:val="008121C5"/>
    <w:rsid w:val="00812CDB"/>
    <w:rsid w:val="008132F6"/>
    <w:rsid w:val="00813809"/>
    <w:rsid w:val="0081386D"/>
    <w:rsid w:val="00813B74"/>
    <w:rsid w:val="00813E7C"/>
    <w:rsid w:val="00813F26"/>
    <w:rsid w:val="008141E4"/>
    <w:rsid w:val="0081561F"/>
    <w:rsid w:val="00815B10"/>
    <w:rsid w:val="00815ED3"/>
    <w:rsid w:val="00816913"/>
    <w:rsid w:val="00816923"/>
    <w:rsid w:val="00816DCC"/>
    <w:rsid w:val="00816E24"/>
    <w:rsid w:val="00816E68"/>
    <w:rsid w:val="0081713D"/>
    <w:rsid w:val="008173EA"/>
    <w:rsid w:val="008176CA"/>
    <w:rsid w:val="00817B29"/>
    <w:rsid w:val="008201BA"/>
    <w:rsid w:val="00820ABA"/>
    <w:rsid w:val="00820C84"/>
    <w:rsid w:val="008216D8"/>
    <w:rsid w:val="00822119"/>
    <w:rsid w:val="00822C71"/>
    <w:rsid w:val="00822D90"/>
    <w:rsid w:val="00823049"/>
    <w:rsid w:val="00823490"/>
    <w:rsid w:val="00823630"/>
    <w:rsid w:val="00823A72"/>
    <w:rsid w:val="00823EEB"/>
    <w:rsid w:val="00823F62"/>
    <w:rsid w:val="00823FBD"/>
    <w:rsid w:val="00824432"/>
    <w:rsid w:val="00824F0A"/>
    <w:rsid w:val="00824F28"/>
    <w:rsid w:val="00825B2D"/>
    <w:rsid w:val="00825E7C"/>
    <w:rsid w:val="0082609D"/>
    <w:rsid w:val="008263DC"/>
    <w:rsid w:val="0082643C"/>
    <w:rsid w:val="0082682F"/>
    <w:rsid w:val="008268E8"/>
    <w:rsid w:val="00826BD0"/>
    <w:rsid w:val="00826CB5"/>
    <w:rsid w:val="0082770C"/>
    <w:rsid w:val="00827CE6"/>
    <w:rsid w:val="00831121"/>
    <w:rsid w:val="008312AD"/>
    <w:rsid w:val="008314A2"/>
    <w:rsid w:val="00831511"/>
    <w:rsid w:val="0083188C"/>
    <w:rsid w:val="00831B87"/>
    <w:rsid w:val="008322F1"/>
    <w:rsid w:val="00832E5D"/>
    <w:rsid w:val="008336A6"/>
    <w:rsid w:val="008337FD"/>
    <w:rsid w:val="00833CA0"/>
    <w:rsid w:val="00833D78"/>
    <w:rsid w:val="00833FA6"/>
    <w:rsid w:val="00834591"/>
    <w:rsid w:val="00834689"/>
    <w:rsid w:val="00834750"/>
    <w:rsid w:val="008347CF"/>
    <w:rsid w:val="0083492B"/>
    <w:rsid w:val="00834B0B"/>
    <w:rsid w:val="00834F06"/>
    <w:rsid w:val="0083596C"/>
    <w:rsid w:val="00835B06"/>
    <w:rsid w:val="0083604D"/>
    <w:rsid w:val="00836542"/>
    <w:rsid w:val="008367C1"/>
    <w:rsid w:val="0083694E"/>
    <w:rsid w:val="00836E8D"/>
    <w:rsid w:val="00836F04"/>
    <w:rsid w:val="008371C2"/>
    <w:rsid w:val="00837A84"/>
    <w:rsid w:val="008403E2"/>
    <w:rsid w:val="008406A5"/>
    <w:rsid w:val="0084079B"/>
    <w:rsid w:val="00840936"/>
    <w:rsid w:val="00840EFF"/>
    <w:rsid w:val="00841010"/>
    <w:rsid w:val="0084107B"/>
    <w:rsid w:val="00841C65"/>
    <w:rsid w:val="00842064"/>
    <w:rsid w:val="00842718"/>
    <w:rsid w:val="00842882"/>
    <w:rsid w:val="00842D75"/>
    <w:rsid w:val="00842FCB"/>
    <w:rsid w:val="00843329"/>
    <w:rsid w:val="0084339A"/>
    <w:rsid w:val="0084477F"/>
    <w:rsid w:val="00844909"/>
    <w:rsid w:val="00844CD8"/>
    <w:rsid w:val="00844DD4"/>
    <w:rsid w:val="008459C0"/>
    <w:rsid w:val="00845E56"/>
    <w:rsid w:val="008461FC"/>
    <w:rsid w:val="00847363"/>
    <w:rsid w:val="0084766B"/>
    <w:rsid w:val="0084772E"/>
    <w:rsid w:val="0085004E"/>
    <w:rsid w:val="008506C9"/>
    <w:rsid w:val="00850B81"/>
    <w:rsid w:val="00851348"/>
    <w:rsid w:val="00851547"/>
    <w:rsid w:val="0085170A"/>
    <w:rsid w:val="008518AA"/>
    <w:rsid w:val="00852170"/>
    <w:rsid w:val="00852198"/>
    <w:rsid w:val="00852493"/>
    <w:rsid w:val="008525AF"/>
    <w:rsid w:val="00852840"/>
    <w:rsid w:val="00852B24"/>
    <w:rsid w:val="00853CAE"/>
    <w:rsid w:val="00853E85"/>
    <w:rsid w:val="00854509"/>
    <w:rsid w:val="008545F8"/>
    <w:rsid w:val="0085598C"/>
    <w:rsid w:val="00855D46"/>
    <w:rsid w:val="00855DAF"/>
    <w:rsid w:val="008562DB"/>
    <w:rsid w:val="008567C5"/>
    <w:rsid w:val="008568EC"/>
    <w:rsid w:val="00856CB7"/>
    <w:rsid w:val="00856CDA"/>
    <w:rsid w:val="00857356"/>
    <w:rsid w:val="00857758"/>
    <w:rsid w:val="00857801"/>
    <w:rsid w:val="0085780B"/>
    <w:rsid w:val="00857CDF"/>
    <w:rsid w:val="00860833"/>
    <w:rsid w:val="00860D63"/>
    <w:rsid w:val="008613DA"/>
    <w:rsid w:val="0086169E"/>
    <w:rsid w:val="00861CB1"/>
    <w:rsid w:val="00861D69"/>
    <w:rsid w:val="00862306"/>
    <w:rsid w:val="0086315F"/>
    <w:rsid w:val="00863401"/>
    <w:rsid w:val="008637E2"/>
    <w:rsid w:val="00863BF9"/>
    <w:rsid w:val="00864540"/>
    <w:rsid w:val="00864C24"/>
    <w:rsid w:val="00865629"/>
    <w:rsid w:val="0086565B"/>
    <w:rsid w:val="008656FA"/>
    <w:rsid w:val="0086603F"/>
    <w:rsid w:val="00866262"/>
    <w:rsid w:val="00866395"/>
    <w:rsid w:val="008667F3"/>
    <w:rsid w:val="00866F17"/>
    <w:rsid w:val="00867451"/>
    <w:rsid w:val="0086794F"/>
    <w:rsid w:val="00867EEF"/>
    <w:rsid w:val="00870091"/>
    <w:rsid w:val="0087089E"/>
    <w:rsid w:val="00870BD1"/>
    <w:rsid w:val="00870DDC"/>
    <w:rsid w:val="008711EF"/>
    <w:rsid w:val="0087158B"/>
    <w:rsid w:val="008716CC"/>
    <w:rsid w:val="00871BF8"/>
    <w:rsid w:val="00871C66"/>
    <w:rsid w:val="00871EC9"/>
    <w:rsid w:val="00872107"/>
    <w:rsid w:val="00872892"/>
    <w:rsid w:val="00872B7C"/>
    <w:rsid w:val="00872D74"/>
    <w:rsid w:val="00873DD6"/>
    <w:rsid w:val="0087418B"/>
    <w:rsid w:val="008741A7"/>
    <w:rsid w:val="0087482A"/>
    <w:rsid w:val="00874E47"/>
    <w:rsid w:val="00875B9C"/>
    <w:rsid w:val="00875F81"/>
    <w:rsid w:val="008765DD"/>
    <w:rsid w:val="00876CEF"/>
    <w:rsid w:val="00876E17"/>
    <w:rsid w:val="008771CD"/>
    <w:rsid w:val="00877352"/>
    <w:rsid w:val="0087745F"/>
    <w:rsid w:val="0087758B"/>
    <w:rsid w:val="00877774"/>
    <w:rsid w:val="00877C43"/>
    <w:rsid w:val="00880302"/>
    <w:rsid w:val="008804E4"/>
    <w:rsid w:val="00880DDF"/>
    <w:rsid w:val="00880E8F"/>
    <w:rsid w:val="00880FDC"/>
    <w:rsid w:val="00881F31"/>
    <w:rsid w:val="00882CC8"/>
    <w:rsid w:val="00882E78"/>
    <w:rsid w:val="00883032"/>
    <w:rsid w:val="008838B6"/>
    <w:rsid w:val="00883D26"/>
    <w:rsid w:val="00884189"/>
    <w:rsid w:val="0088442A"/>
    <w:rsid w:val="00884E50"/>
    <w:rsid w:val="008852A2"/>
    <w:rsid w:val="00885590"/>
    <w:rsid w:val="00886589"/>
    <w:rsid w:val="0088660D"/>
    <w:rsid w:val="008868FB"/>
    <w:rsid w:val="00887494"/>
    <w:rsid w:val="00887C44"/>
    <w:rsid w:val="00890700"/>
    <w:rsid w:val="00891597"/>
    <w:rsid w:val="008915F8"/>
    <w:rsid w:val="00891A9B"/>
    <w:rsid w:val="00891B1D"/>
    <w:rsid w:val="00892478"/>
    <w:rsid w:val="0089267B"/>
    <w:rsid w:val="00892B89"/>
    <w:rsid w:val="008931A5"/>
    <w:rsid w:val="00893658"/>
    <w:rsid w:val="0089369F"/>
    <w:rsid w:val="00893F41"/>
    <w:rsid w:val="008946CD"/>
    <w:rsid w:val="00894F57"/>
    <w:rsid w:val="00894FE1"/>
    <w:rsid w:val="00895D68"/>
    <w:rsid w:val="008961C0"/>
    <w:rsid w:val="0089643E"/>
    <w:rsid w:val="00896459"/>
    <w:rsid w:val="00896A00"/>
    <w:rsid w:val="00896E99"/>
    <w:rsid w:val="00896ED9"/>
    <w:rsid w:val="008970B1"/>
    <w:rsid w:val="00897293"/>
    <w:rsid w:val="008974AD"/>
    <w:rsid w:val="00897662"/>
    <w:rsid w:val="00897739"/>
    <w:rsid w:val="008977A7"/>
    <w:rsid w:val="00897F20"/>
    <w:rsid w:val="008A014F"/>
    <w:rsid w:val="008A0459"/>
    <w:rsid w:val="008A0523"/>
    <w:rsid w:val="008A0AE5"/>
    <w:rsid w:val="008A0CF2"/>
    <w:rsid w:val="008A1590"/>
    <w:rsid w:val="008A1B32"/>
    <w:rsid w:val="008A1D72"/>
    <w:rsid w:val="008A1EE2"/>
    <w:rsid w:val="008A23F2"/>
    <w:rsid w:val="008A2451"/>
    <w:rsid w:val="008A2FA5"/>
    <w:rsid w:val="008A34BB"/>
    <w:rsid w:val="008A36FF"/>
    <w:rsid w:val="008A3ACC"/>
    <w:rsid w:val="008A3B3C"/>
    <w:rsid w:val="008A40D1"/>
    <w:rsid w:val="008A41FD"/>
    <w:rsid w:val="008A47E4"/>
    <w:rsid w:val="008A5422"/>
    <w:rsid w:val="008A5CD0"/>
    <w:rsid w:val="008A5F40"/>
    <w:rsid w:val="008A6201"/>
    <w:rsid w:val="008A62E5"/>
    <w:rsid w:val="008A639E"/>
    <w:rsid w:val="008A6891"/>
    <w:rsid w:val="008A6A05"/>
    <w:rsid w:val="008A6C40"/>
    <w:rsid w:val="008A6E4C"/>
    <w:rsid w:val="008A73F0"/>
    <w:rsid w:val="008A77A2"/>
    <w:rsid w:val="008A79E8"/>
    <w:rsid w:val="008B1798"/>
    <w:rsid w:val="008B18F1"/>
    <w:rsid w:val="008B191D"/>
    <w:rsid w:val="008B1CE2"/>
    <w:rsid w:val="008B1E5D"/>
    <w:rsid w:val="008B2060"/>
    <w:rsid w:val="008B2079"/>
    <w:rsid w:val="008B2734"/>
    <w:rsid w:val="008B291A"/>
    <w:rsid w:val="008B2BAE"/>
    <w:rsid w:val="008B2DE1"/>
    <w:rsid w:val="008B3164"/>
    <w:rsid w:val="008B33D7"/>
    <w:rsid w:val="008B3A0F"/>
    <w:rsid w:val="008B3B9C"/>
    <w:rsid w:val="008B4390"/>
    <w:rsid w:val="008B442D"/>
    <w:rsid w:val="008B4807"/>
    <w:rsid w:val="008B4BC4"/>
    <w:rsid w:val="008B4D1A"/>
    <w:rsid w:val="008B4D89"/>
    <w:rsid w:val="008B5441"/>
    <w:rsid w:val="008B60FF"/>
    <w:rsid w:val="008B67C7"/>
    <w:rsid w:val="008B6CE7"/>
    <w:rsid w:val="008B706B"/>
    <w:rsid w:val="008B75B1"/>
    <w:rsid w:val="008B76A7"/>
    <w:rsid w:val="008B7733"/>
    <w:rsid w:val="008B7A03"/>
    <w:rsid w:val="008C0231"/>
    <w:rsid w:val="008C0F3A"/>
    <w:rsid w:val="008C13FF"/>
    <w:rsid w:val="008C1491"/>
    <w:rsid w:val="008C1529"/>
    <w:rsid w:val="008C1A90"/>
    <w:rsid w:val="008C1C06"/>
    <w:rsid w:val="008C297C"/>
    <w:rsid w:val="008C3250"/>
    <w:rsid w:val="008C3830"/>
    <w:rsid w:val="008C4044"/>
    <w:rsid w:val="008C4349"/>
    <w:rsid w:val="008C44CD"/>
    <w:rsid w:val="008C4A64"/>
    <w:rsid w:val="008C5332"/>
    <w:rsid w:val="008C5662"/>
    <w:rsid w:val="008C584D"/>
    <w:rsid w:val="008C7963"/>
    <w:rsid w:val="008D060F"/>
    <w:rsid w:val="008D10DF"/>
    <w:rsid w:val="008D15FC"/>
    <w:rsid w:val="008D2D34"/>
    <w:rsid w:val="008D2D87"/>
    <w:rsid w:val="008D2FD1"/>
    <w:rsid w:val="008D2FE7"/>
    <w:rsid w:val="008D34E8"/>
    <w:rsid w:val="008D369B"/>
    <w:rsid w:val="008D3864"/>
    <w:rsid w:val="008D38BC"/>
    <w:rsid w:val="008D4105"/>
    <w:rsid w:val="008D4381"/>
    <w:rsid w:val="008D46FD"/>
    <w:rsid w:val="008D4A73"/>
    <w:rsid w:val="008D4E25"/>
    <w:rsid w:val="008D541D"/>
    <w:rsid w:val="008D5476"/>
    <w:rsid w:val="008D5A3A"/>
    <w:rsid w:val="008D5E60"/>
    <w:rsid w:val="008D6043"/>
    <w:rsid w:val="008D61E1"/>
    <w:rsid w:val="008D6979"/>
    <w:rsid w:val="008D6A5D"/>
    <w:rsid w:val="008D70F8"/>
    <w:rsid w:val="008D7163"/>
    <w:rsid w:val="008D78F5"/>
    <w:rsid w:val="008D7C44"/>
    <w:rsid w:val="008D7D48"/>
    <w:rsid w:val="008E1534"/>
    <w:rsid w:val="008E22C2"/>
    <w:rsid w:val="008E238D"/>
    <w:rsid w:val="008E3893"/>
    <w:rsid w:val="008E3B7F"/>
    <w:rsid w:val="008E3FD7"/>
    <w:rsid w:val="008E4534"/>
    <w:rsid w:val="008E4663"/>
    <w:rsid w:val="008E51C3"/>
    <w:rsid w:val="008E52F3"/>
    <w:rsid w:val="008E5365"/>
    <w:rsid w:val="008E5972"/>
    <w:rsid w:val="008E5FF9"/>
    <w:rsid w:val="008E696E"/>
    <w:rsid w:val="008E6CB4"/>
    <w:rsid w:val="008E7183"/>
    <w:rsid w:val="008E77EF"/>
    <w:rsid w:val="008E7E8A"/>
    <w:rsid w:val="008F06BF"/>
    <w:rsid w:val="008F08D9"/>
    <w:rsid w:val="008F0A12"/>
    <w:rsid w:val="008F0A23"/>
    <w:rsid w:val="008F0DCD"/>
    <w:rsid w:val="008F144D"/>
    <w:rsid w:val="008F1B2A"/>
    <w:rsid w:val="008F1BE4"/>
    <w:rsid w:val="008F24E0"/>
    <w:rsid w:val="008F2560"/>
    <w:rsid w:val="008F26EF"/>
    <w:rsid w:val="008F2DC7"/>
    <w:rsid w:val="008F3159"/>
    <w:rsid w:val="008F3924"/>
    <w:rsid w:val="008F3C74"/>
    <w:rsid w:val="008F4DD2"/>
    <w:rsid w:val="008F4E2C"/>
    <w:rsid w:val="008F4E51"/>
    <w:rsid w:val="008F500B"/>
    <w:rsid w:val="008F52FA"/>
    <w:rsid w:val="008F542F"/>
    <w:rsid w:val="008F54C0"/>
    <w:rsid w:val="008F5D61"/>
    <w:rsid w:val="008F60C1"/>
    <w:rsid w:val="008F61A3"/>
    <w:rsid w:val="008F63D6"/>
    <w:rsid w:val="008F68F1"/>
    <w:rsid w:val="008F6931"/>
    <w:rsid w:val="008F696C"/>
    <w:rsid w:val="008F6C08"/>
    <w:rsid w:val="008F6C8F"/>
    <w:rsid w:val="008F6DF6"/>
    <w:rsid w:val="008F7190"/>
    <w:rsid w:val="008F756B"/>
    <w:rsid w:val="008F75A2"/>
    <w:rsid w:val="008F7826"/>
    <w:rsid w:val="008F784F"/>
    <w:rsid w:val="008F78FE"/>
    <w:rsid w:val="008F7B0B"/>
    <w:rsid w:val="008F7D0F"/>
    <w:rsid w:val="00900DC5"/>
    <w:rsid w:val="00901665"/>
    <w:rsid w:val="009019A3"/>
    <w:rsid w:val="00901A80"/>
    <w:rsid w:val="00901DC3"/>
    <w:rsid w:val="00902B40"/>
    <w:rsid w:val="009030AE"/>
    <w:rsid w:val="009030DE"/>
    <w:rsid w:val="00903495"/>
    <w:rsid w:val="00903836"/>
    <w:rsid w:val="00905F10"/>
    <w:rsid w:val="00906437"/>
    <w:rsid w:val="00906526"/>
    <w:rsid w:val="009065F9"/>
    <w:rsid w:val="00906A40"/>
    <w:rsid w:val="00906BC1"/>
    <w:rsid w:val="00906BF1"/>
    <w:rsid w:val="00906DAE"/>
    <w:rsid w:val="00906E8E"/>
    <w:rsid w:val="00906EC3"/>
    <w:rsid w:val="00906EE9"/>
    <w:rsid w:val="0090758D"/>
    <w:rsid w:val="00907C0F"/>
    <w:rsid w:val="00907E64"/>
    <w:rsid w:val="0091040E"/>
    <w:rsid w:val="00910BE9"/>
    <w:rsid w:val="00910E67"/>
    <w:rsid w:val="00910F26"/>
    <w:rsid w:val="00911256"/>
    <w:rsid w:val="00911D7F"/>
    <w:rsid w:val="00911EDF"/>
    <w:rsid w:val="009120A0"/>
    <w:rsid w:val="0091212D"/>
    <w:rsid w:val="0091223D"/>
    <w:rsid w:val="009122B2"/>
    <w:rsid w:val="009123D4"/>
    <w:rsid w:val="0091293F"/>
    <w:rsid w:val="00912A4B"/>
    <w:rsid w:val="00912D60"/>
    <w:rsid w:val="0091330B"/>
    <w:rsid w:val="0091422A"/>
    <w:rsid w:val="00914530"/>
    <w:rsid w:val="00915360"/>
    <w:rsid w:val="00915A52"/>
    <w:rsid w:val="00915C0D"/>
    <w:rsid w:val="00915D33"/>
    <w:rsid w:val="00916096"/>
    <w:rsid w:val="00916219"/>
    <w:rsid w:val="00916AED"/>
    <w:rsid w:val="00916D23"/>
    <w:rsid w:val="00916E6E"/>
    <w:rsid w:val="00916FC9"/>
    <w:rsid w:val="00917147"/>
    <w:rsid w:val="009172FA"/>
    <w:rsid w:val="00917452"/>
    <w:rsid w:val="00917E51"/>
    <w:rsid w:val="009201E9"/>
    <w:rsid w:val="00921226"/>
    <w:rsid w:val="00921753"/>
    <w:rsid w:val="00922204"/>
    <w:rsid w:val="00922664"/>
    <w:rsid w:val="00922712"/>
    <w:rsid w:val="00922942"/>
    <w:rsid w:val="00922FC0"/>
    <w:rsid w:val="00922FD1"/>
    <w:rsid w:val="009230D8"/>
    <w:rsid w:val="0092398F"/>
    <w:rsid w:val="009242A2"/>
    <w:rsid w:val="0092448F"/>
    <w:rsid w:val="00924B23"/>
    <w:rsid w:val="00924B41"/>
    <w:rsid w:val="00924E2A"/>
    <w:rsid w:val="009256C2"/>
    <w:rsid w:val="00925B40"/>
    <w:rsid w:val="00925E91"/>
    <w:rsid w:val="00925EBB"/>
    <w:rsid w:val="0092619E"/>
    <w:rsid w:val="0092650B"/>
    <w:rsid w:val="00927509"/>
    <w:rsid w:val="00927594"/>
    <w:rsid w:val="00930517"/>
    <w:rsid w:val="00930C0C"/>
    <w:rsid w:val="009311F6"/>
    <w:rsid w:val="00931774"/>
    <w:rsid w:val="009318C6"/>
    <w:rsid w:val="00931F44"/>
    <w:rsid w:val="00932631"/>
    <w:rsid w:val="00932DBF"/>
    <w:rsid w:val="00932F5C"/>
    <w:rsid w:val="0093321F"/>
    <w:rsid w:val="00933696"/>
    <w:rsid w:val="009336CE"/>
    <w:rsid w:val="0093433D"/>
    <w:rsid w:val="00934C84"/>
    <w:rsid w:val="0093606C"/>
    <w:rsid w:val="009362BC"/>
    <w:rsid w:val="009363DA"/>
    <w:rsid w:val="00936A9C"/>
    <w:rsid w:val="00936B29"/>
    <w:rsid w:val="0093702F"/>
    <w:rsid w:val="009371EF"/>
    <w:rsid w:val="009403A6"/>
    <w:rsid w:val="00940728"/>
    <w:rsid w:val="009409DA"/>
    <w:rsid w:val="00940E69"/>
    <w:rsid w:val="00941429"/>
    <w:rsid w:val="0094145F"/>
    <w:rsid w:val="00941598"/>
    <w:rsid w:val="00941DD8"/>
    <w:rsid w:val="009427D8"/>
    <w:rsid w:val="00942AF0"/>
    <w:rsid w:val="00943872"/>
    <w:rsid w:val="00943E93"/>
    <w:rsid w:val="00944891"/>
    <w:rsid w:val="00944C26"/>
    <w:rsid w:val="00944C8F"/>
    <w:rsid w:val="00946AE5"/>
    <w:rsid w:val="009473F3"/>
    <w:rsid w:val="0094749D"/>
    <w:rsid w:val="009475F0"/>
    <w:rsid w:val="00947F4A"/>
    <w:rsid w:val="00950F99"/>
    <w:rsid w:val="00951125"/>
    <w:rsid w:val="009513D7"/>
    <w:rsid w:val="00951476"/>
    <w:rsid w:val="009517B7"/>
    <w:rsid w:val="009517FF"/>
    <w:rsid w:val="00951932"/>
    <w:rsid w:val="0095194C"/>
    <w:rsid w:val="00951DD4"/>
    <w:rsid w:val="00952770"/>
    <w:rsid w:val="00952911"/>
    <w:rsid w:val="00952B10"/>
    <w:rsid w:val="00952C36"/>
    <w:rsid w:val="00953CBA"/>
    <w:rsid w:val="009541F0"/>
    <w:rsid w:val="009542DA"/>
    <w:rsid w:val="00954432"/>
    <w:rsid w:val="009548E5"/>
    <w:rsid w:val="009549CC"/>
    <w:rsid w:val="00955065"/>
    <w:rsid w:val="009550EA"/>
    <w:rsid w:val="00955653"/>
    <w:rsid w:val="00955732"/>
    <w:rsid w:val="0095610F"/>
    <w:rsid w:val="00956222"/>
    <w:rsid w:val="009563FE"/>
    <w:rsid w:val="00956450"/>
    <w:rsid w:val="00956A07"/>
    <w:rsid w:val="00956AB5"/>
    <w:rsid w:val="0095730A"/>
    <w:rsid w:val="009574E1"/>
    <w:rsid w:val="00957E9C"/>
    <w:rsid w:val="009600C4"/>
    <w:rsid w:val="0096039C"/>
    <w:rsid w:val="009612B7"/>
    <w:rsid w:val="00961480"/>
    <w:rsid w:val="00961D38"/>
    <w:rsid w:val="00961EC2"/>
    <w:rsid w:val="009620CD"/>
    <w:rsid w:val="009623B1"/>
    <w:rsid w:val="009628DB"/>
    <w:rsid w:val="00962A14"/>
    <w:rsid w:val="00963291"/>
    <w:rsid w:val="009639EC"/>
    <w:rsid w:val="0096467D"/>
    <w:rsid w:val="00964692"/>
    <w:rsid w:val="00964F2A"/>
    <w:rsid w:val="0096525C"/>
    <w:rsid w:val="0096608C"/>
    <w:rsid w:val="0096681E"/>
    <w:rsid w:val="0096683E"/>
    <w:rsid w:val="00967045"/>
    <w:rsid w:val="00967397"/>
    <w:rsid w:val="009677AD"/>
    <w:rsid w:val="0096784B"/>
    <w:rsid w:val="0097024D"/>
    <w:rsid w:val="00970526"/>
    <w:rsid w:val="00970573"/>
    <w:rsid w:val="00970594"/>
    <w:rsid w:val="009706E5"/>
    <w:rsid w:val="0097129D"/>
    <w:rsid w:val="00971801"/>
    <w:rsid w:val="009718D8"/>
    <w:rsid w:val="00971DE7"/>
    <w:rsid w:val="00972523"/>
    <w:rsid w:val="009738D3"/>
    <w:rsid w:val="00973AE4"/>
    <w:rsid w:val="0097424C"/>
    <w:rsid w:val="00974505"/>
    <w:rsid w:val="00974BCD"/>
    <w:rsid w:val="00974CFF"/>
    <w:rsid w:val="00975A10"/>
    <w:rsid w:val="00975A57"/>
    <w:rsid w:val="00976253"/>
    <w:rsid w:val="009763A5"/>
    <w:rsid w:val="0097644E"/>
    <w:rsid w:val="0097661D"/>
    <w:rsid w:val="009768F5"/>
    <w:rsid w:val="0097692E"/>
    <w:rsid w:val="00976F1F"/>
    <w:rsid w:val="00977684"/>
    <w:rsid w:val="009777B5"/>
    <w:rsid w:val="00977998"/>
    <w:rsid w:val="00977BA2"/>
    <w:rsid w:val="00977C44"/>
    <w:rsid w:val="00977C66"/>
    <w:rsid w:val="009803D5"/>
    <w:rsid w:val="00980409"/>
    <w:rsid w:val="009805B1"/>
    <w:rsid w:val="00980A6D"/>
    <w:rsid w:val="00980FD2"/>
    <w:rsid w:val="009811A9"/>
    <w:rsid w:val="00981214"/>
    <w:rsid w:val="00981489"/>
    <w:rsid w:val="009816AB"/>
    <w:rsid w:val="0098221B"/>
    <w:rsid w:val="0098291E"/>
    <w:rsid w:val="009831D9"/>
    <w:rsid w:val="00983411"/>
    <w:rsid w:val="0098391E"/>
    <w:rsid w:val="00983FA0"/>
    <w:rsid w:val="00984023"/>
    <w:rsid w:val="0098404E"/>
    <w:rsid w:val="00984383"/>
    <w:rsid w:val="00984960"/>
    <w:rsid w:val="00984C6F"/>
    <w:rsid w:val="00985875"/>
    <w:rsid w:val="009861D0"/>
    <w:rsid w:val="009863C1"/>
    <w:rsid w:val="00986C40"/>
    <w:rsid w:val="00987469"/>
    <w:rsid w:val="0098785D"/>
    <w:rsid w:val="009879FC"/>
    <w:rsid w:val="00987A64"/>
    <w:rsid w:val="00990258"/>
    <w:rsid w:val="00990355"/>
    <w:rsid w:val="009907F9"/>
    <w:rsid w:val="00991120"/>
    <w:rsid w:val="009912E2"/>
    <w:rsid w:val="00991477"/>
    <w:rsid w:val="009915D7"/>
    <w:rsid w:val="00991BAF"/>
    <w:rsid w:val="00992381"/>
    <w:rsid w:val="009926C7"/>
    <w:rsid w:val="00992769"/>
    <w:rsid w:val="00992B95"/>
    <w:rsid w:val="00992E9C"/>
    <w:rsid w:val="00993153"/>
    <w:rsid w:val="00993B34"/>
    <w:rsid w:val="0099407B"/>
    <w:rsid w:val="0099458E"/>
    <w:rsid w:val="0099483C"/>
    <w:rsid w:val="00994DB6"/>
    <w:rsid w:val="00994F2F"/>
    <w:rsid w:val="00995C96"/>
    <w:rsid w:val="00996366"/>
    <w:rsid w:val="009966EC"/>
    <w:rsid w:val="00996961"/>
    <w:rsid w:val="00996B36"/>
    <w:rsid w:val="00996C1D"/>
    <w:rsid w:val="0099768E"/>
    <w:rsid w:val="009A00CA"/>
    <w:rsid w:val="009A03BB"/>
    <w:rsid w:val="009A06F0"/>
    <w:rsid w:val="009A1554"/>
    <w:rsid w:val="009A1DE8"/>
    <w:rsid w:val="009A24C6"/>
    <w:rsid w:val="009A26B6"/>
    <w:rsid w:val="009A2DFC"/>
    <w:rsid w:val="009A2E47"/>
    <w:rsid w:val="009A3111"/>
    <w:rsid w:val="009A31B7"/>
    <w:rsid w:val="009A331B"/>
    <w:rsid w:val="009A36DB"/>
    <w:rsid w:val="009A42B1"/>
    <w:rsid w:val="009A4504"/>
    <w:rsid w:val="009A469D"/>
    <w:rsid w:val="009A4D0E"/>
    <w:rsid w:val="009A4D75"/>
    <w:rsid w:val="009A4D94"/>
    <w:rsid w:val="009A4F15"/>
    <w:rsid w:val="009A5001"/>
    <w:rsid w:val="009A50C8"/>
    <w:rsid w:val="009A531C"/>
    <w:rsid w:val="009A591B"/>
    <w:rsid w:val="009A5AD4"/>
    <w:rsid w:val="009A5FFF"/>
    <w:rsid w:val="009A62D7"/>
    <w:rsid w:val="009A6316"/>
    <w:rsid w:val="009A6504"/>
    <w:rsid w:val="009A6BEB"/>
    <w:rsid w:val="009A6E1C"/>
    <w:rsid w:val="009A7297"/>
    <w:rsid w:val="009A753A"/>
    <w:rsid w:val="009B0050"/>
    <w:rsid w:val="009B0557"/>
    <w:rsid w:val="009B0669"/>
    <w:rsid w:val="009B1416"/>
    <w:rsid w:val="009B24EF"/>
    <w:rsid w:val="009B251D"/>
    <w:rsid w:val="009B2731"/>
    <w:rsid w:val="009B28FD"/>
    <w:rsid w:val="009B29A2"/>
    <w:rsid w:val="009B2A26"/>
    <w:rsid w:val="009B3068"/>
    <w:rsid w:val="009B36B5"/>
    <w:rsid w:val="009B391E"/>
    <w:rsid w:val="009B445B"/>
    <w:rsid w:val="009B474C"/>
    <w:rsid w:val="009B4EFE"/>
    <w:rsid w:val="009B4FC9"/>
    <w:rsid w:val="009B512E"/>
    <w:rsid w:val="009B5A20"/>
    <w:rsid w:val="009B6746"/>
    <w:rsid w:val="009B6B40"/>
    <w:rsid w:val="009B6E65"/>
    <w:rsid w:val="009B72EA"/>
    <w:rsid w:val="009B745D"/>
    <w:rsid w:val="009B79BC"/>
    <w:rsid w:val="009B7C4C"/>
    <w:rsid w:val="009C09E4"/>
    <w:rsid w:val="009C110B"/>
    <w:rsid w:val="009C1115"/>
    <w:rsid w:val="009C16B7"/>
    <w:rsid w:val="009C1842"/>
    <w:rsid w:val="009C1F4E"/>
    <w:rsid w:val="009C27EC"/>
    <w:rsid w:val="009C27FA"/>
    <w:rsid w:val="009C2927"/>
    <w:rsid w:val="009C2D67"/>
    <w:rsid w:val="009C3147"/>
    <w:rsid w:val="009C3554"/>
    <w:rsid w:val="009C3D0A"/>
    <w:rsid w:val="009C41CE"/>
    <w:rsid w:val="009C41D7"/>
    <w:rsid w:val="009C4C4F"/>
    <w:rsid w:val="009C50C0"/>
    <w:rsid w:val="009C5B53"/>
    <w:rsid w:val="009C64C7"/>
    <w:rsid w:val="009C6613"/>
    <w:rsid w:val="009C66EF"/>
    <w:rsid w:val="009C682B"/>
    <w:rsid w:val="009C6B51"/>
    <w:rsid w:val="009C7303"/>
    <w:rsid w:val="009C76BB"/>
    <w:rsid w:val="009C7C2B"/>
    <w:rsid w:val="009C7E49"/>
    <w:rsid w:val="009C7EB9"/>
    <w:rsid w:val="009D032E"/>
    <w:rsid w:val="009D09D2"/>
    <w:rsid w:val="009D0D8D"/>
    <w:rsid w:val="009D1B59"/>
    <w:rsid w:val="009D1C15"/>
    <w:rsid w:val="009D2885"/>
    <w:rsid w:val="009D2E4B"/>
    <w:rsid w:val="009D2F55"/>
    <w:rsid w:val="009D3AFC"/>
    <w:rsid w:val="009D3D66"/>
    <w:rsid w:val="009D40C9"/>
    <w:rsid w:val="009D5667"/>
    <w:rsid w:val="009D59DC"/>
    <w:rsid w:val="009D5D2F"/>
    <w:rsid w:val="009D6542"/>
    <w:rsid w:val="009D6B84"/>
    <w:rsid w:val="009D6C1E"/>
    <w:rsid w:val="009D6E4A"/>
    <w:rsid w:val="009D72D2"/>
    <w:rsid w:val="009D76D2"/>
    <w:rsid w:val="009D7A64"/>
    <w:rsid w:val="009E02C6"/>
    <w:rsid w:val="009E033D"/>
    <w:rsid w:val="009E102B"/>
    <w:rsid w:val="009E13E4"/>
    <w:rsid w:val="009E1543"/>
    <w:rsid w:val="009E19A8"/>
    <w:rsid w:val="009E1DB1"/>
    <w:rsid w:val="009E2152"/>
    <w:rsid w:val="009E2233"/>
    <w:rsid w:val="009E27F2"/>
    <w:rsid w:val="009E2A8C"/>
    <w:rsid w:val="009E2C68"/>
    <w:rsid w:val="009E31E6"/>
    <w:rsid w:val="009E3ECA"/>
    <w:rsid w:val="009E4683"/>
    <w:rsid w:val="009E4962"/>
    <w:rsid w:val="009E5088"/>
    <w:rsid w:val="009E5392"/>
    <w:rsid w:val="009E5682"/>
    <w:rsid w:val="009E67D5"/>
    <w:rsid w:val="009E690C"/>
    <w:rsid w:val="009E6B8F"/>
    <w:rsid w:val="009E720C"/>
    <w:rsid w:val="009E79F3"/>
    <w:rsid w:val="009E7CAC"/>
    <w:rsid w:val="009F008A"/>
    <w:rsid w:val="009F0B24"/>
    <w:rsid w:val="009F0EEF"/>
    <w:rsid w:val="009F0F67"/>
    <w:rsid w:val="009F105D"/>
    <w:rsid w:val="009F16E3"/>
    <w:rsid w:val="009F18FE"/>
    <w:rsid w:val="009F1D91"/>
    <w:rsid w:val="009F204F"/>
    <w:rsid w:val="009F26F5"/>
    <w:rsid w:val="009F393F"/>
    <w:rsid w:val="009F397D"/>
    <w:rsid w:val="009F401E"/>
    <w:rsid w:val="009F421B"/>
    <w:rsid w:val="009F4552"/>
    <w:rsid w:val="009F4985"/>
    <w:rsid w:val="009F4F79"/>
    <w:rsid w:val="009F4F91"/>
    <w:rsid w:val="009F5007"/>
    <w:rsid w:val="009F5851"/>
    <w:rsid w:val="009F5A67"/>
    <w:rsid w:val="009F5DD9"/>
    <w:rsid w:val="009F6271"/>
    <w:rsid w:val="009F62E9"/>
    <w:rsid w:val="009F6685"/>
    <w:rsid w:val="009F67FF"/>
    <w:rsid w:val="009F6977"/>
    <w:rsid w:val="009F6AB0"/>
    <w:rsid w:val="009F6C22"/>
    <w:rsid w:val="009F734B"/>
    <w:rsid w:val="009F7BEB"/>
    <w:rsid w:val="009F7C85"/>
    <w:rsid w:val="009F7EB1"/>
    <w:rsid w:val="00A00834"/>
    <w:rsid w:val="00A00F24"/>
    <w:rsid w:val="00A012D6"/>
    <w:rsid w:val="00A01318"/>
    <w:rsid w:val="00A01749"/>
    <w:rsid w:val="00A0176F"/>
    <w:rsid w:val="00A01978"/>
    <w:rsid w:val="00A01A13"/>
    <w:rsid w:val="00A01EC6"/>
    <w:rsid w:val="00A02457"/>
    <w:rsid w:val="00A024B2"/>
    <w:rsid w:val="00A029B3"/>
    <w:rsid w:val="00A03114"/>
    <w:rsid w:val="00A03362"/>
    <w:rsid w:val="00A0337F"/>
    <w:rsid w:val="00A0398C"/>
    <w:rsid w:val="00A03D08"/>
    <w:rsid w:val="00A03E58"/>
    <w:rsid w:val="00A041D0"/>
    <w:rsid w:val="00A046E8"/>
    <w:rsid w:val="00A047D1"/>
    <w:rsid w:val="00A04894"/>
    <w:rsid w:val="00A04944"/>
    <w:rsid w:val="00A04AF0"/>
    <w:rsid w:val="00A0552B"/>
    <w:rsid w:val="00A05643"/>
    <w:rsid w:val="00A05A97"/>
    <w:rsid w:val="00A05CB4"/>
    <w:rsid w:val="00A05CBE"/>
    <w:rsid w:val="00A0637E"/>
    <w:rsid w:val="00A06466"/>
    <w:rsid w:val="00A06883"/>
    <w:rsid w:val="00A069A8"/>
    <w:rsid w:val="00A06EA6"/>
    <w:rsid w:val="00A07109"/>
    <w:rsid w:val="00A07110"/>
    <w:rsid w:val="00A0765B"/>
    <w:rsid w:val="00A07B74"/>
    <w:rsid w:val="00A102A5"/>
    <w:rsid w:val="00A104C6"/>
    <w:rsid w:val="00A109A3"/>
    <w:rsid w:val="00A10CD1"/>
    <w:rsid w:val="00A1163D"/>
    <w:rsid w:val="00A118A2"/>
    <w:rsid w:val="00A11A5E"/>
    <w:rsid w:val="00A11C36"/>
    <w:rsid w:val="00A12446"/>
    <w:rsid w:val="00A134EF"/>
    <w:rsid w:val="00A135B5"/>
    <w:rsid w:val="00A137C6"/>
    <w:rsid w:val="00A13F05"/>
    <w:rsid w:val="00A1522A"/>
    <w:rsid w:val="00A15369"/>
    <w:rsid w:val="00A15953"/>
    <w:rsid w:val="00A15E5E"/>
    <w:rsid w:val="00A160E7"/>
    <w:rsid w:val="00A17310"/>
    <w:rsid w:val="00A176DD"/>
    <w:rsid w:val="00A20193"/>
    <w:rsid w:val="00A2059A"/>
    <w:rsid w:val="00A2077E"/>
    <w:rsid w:val="00A207ED"/>
    <w:rsid w:val="00A209CD"/>
    <w:rsid w:val="00A20A74"/>
    <w:rsid w:val="00A21162"/>
    <w:rsid w:val="00A21507"/>
    <w:rsid w:val="00A215F5"/>
    <w:rsid w:val="00A21669"/>
    <w:rsid w:val="00A21A9E"/>
    <w:rsid w:val="00A21FEB"/>
    <w:rsid w:val="00A22078"/>
    <w:rsid w:val="00A22723"/>
    <w:rsid w:val="00A2307C"/>
    <w:rsid w:val="00A230D2"/>
    <w:rsid w:val="00A231E6"/>
    <w:rsid w:val="00A23281"/>
    <w:rsid w:val="00A234AA"/>
    <w:rsid w:val="00A23957"/>
    <w:rsid w:val="00A23B73"/>
    <w:rsid w:val="00A23C44"/>
    <w:rsid w:val="00A24280"/>
    <w:rsid w:val="00A2489C"/>
    <w:rsid w:val="00A24985"/>
    <w:rsid w:val="00A24FD3"/>
    <w:rsid w:val="00A2537F"/>
    <w:rsid w:val="00A25432"/>
    <w:rsid w:val="00A25927"/>
    <w:rsid w:val="00A25BAD"/>
    <w:rsid w:val="00A2639B"/>
    <w:rsid w:val="00A26484"/>
    <w:rsid w:val="00A2688A"/>
    <w:rsid w:val="00A26B93"/>
    <w:rsid w:val="00A26F91"/>
    <w:rsid w:val="00A27143"/>
    <w:rsid w:val="00A275E2"/>
    <w:rsid w:val="00A27B8C"/>
    <w:rsid w:val="00A27CF6"/>
    <w:rsid w:val="00A30310"/>
    <w:rsid w:val="00A30433"/>
    <w:rsid w:val="00A30626"/>
    <w:rsid w:val="00A307E0"/>
    <w:rsid w:val="00A30CFB"/>
    <w:rsid w:val="00A31E87"/>
    <w:rsid w:val="00A3232F"/>
    <w:rsid w:val="00A32861"/>
    <w:rsid w:val="00A3349F"/>
    <w:rsid w:val="00A334F4"/>
    <w:rsid w:val="00A335E9"/>
    <w:rsid w:val="00A33C7B"/>
    <w:rsid w:val="00A34458"/>
    <w:rsid w:val="00A34DE1"/>
    <w:rsid w:val="00A354EB"/>
    <w:rsid w:val="00A36392"/>
    <w:rsid w:val="00A36506"/>
    <w:rsid w:val="00A3668F"/>
    <w:rsid w:val="00A367D4"/>
    <w:rsid w:val="00A36BC3"/>
    <w:rsid w:val="00A36DD0"/>
    <w:rsid w:val="00A36E03"/>
    <w:rsid w:val="00A37BA4"/>
    <w:rsid w:val="00A37E88"/>
    <w:rsid w:val="00A37E96"/>
    <w:rsid w:val="00A37F23"/>
    <w:rsid w:val="00A4002E"/>
    <w:rsid w:val="00A4011E"/>
    <w:rsid w:val="00A406C6"/>
    <w:rsid w:val="00A40AF5"/>
    <w:rsid w:val="00A40CBE"/>
    <w:rsid w:val="00A4148E"/>
    <w:rsid w:val="00A417C7"/>
    <w:rsid w:val="00A4183C"/>
    <w:rsid w:val="00A42088"/>
    <w:rsid w:val="00A4265E"/>
    <w:rsid w:val="00A42B47"/>
    <w:rsid w:val="00A430D0"/>
    <w:rsid w:val="00A432F1"/>
    <w:rsid w:val="00A4347A"/>
    <w:rsid w:val="00A43656"/>
    <w:rsid w:val="00A437B3"/>
    <w:rsid w:val="00A44465"/>
    <w:rsid w:val="00A44779"/>
    <w:rsid w:val="00A447ED"/>
    <w:rsid w:val="00A449F7"/>
    <w:rsid w:val="00A454E4"/>
    <w:rsid w:val="00A456D4"/>
    <w:rsid w:val="00A45D9A"/>
    <w:rsid w:val="00A45F8B"/>
    <w:rsid w:val="00A462DD"/>
    <w:rsid w:val="00A46E0C"/>
    <w:rsid w:val="00A46F37"/>
    <w:rsid w:val="00A46F54"/>
    <w:rsid w:val="00A4700C"/>
    <w:rsid w:val="00A47467"/>
    <w:rsid w:val="00A4747F"/>
    <w:rsid w:val="00A4749B"/>
    <w:rsid w:val="00A475AC"/>
    <w:rsid w:val="00A475FC"/>
    <w:rsid w:val="00A477BE"/>
    <w:rsid w:val="00A4783C"/>
    <w:rsid w:val="00A47EB4"/>
    <w:rsid w:val="00A50162"/>
    <w:rsid w:val="00A50372"/>
    <w:rsid w:val="00A512E6"/>
    <w:rsid w:val="00A5142F"/>
    <w:rsid w:val="00A51B4B"/>
    <w:rsid w:val="00A52431"/>
    <w:rsid w:val="00A5251B"/>
    <w:rsid w:val="00A52706"/>
    <w:rsid w:val="00A5275E"/>
    <w:rsid w:val="00A5292F"/>
    <w:rsid w:val="00A5315C"/>
    <w:rsid w:val="00A53558"/>
    <w:rsid w:val="00A53772"/>
    <w:rsid w:val="00A53A3D"/>
    <w:rsid w:val="00A53B4F"/>
    <w:rsid w:val="00A53E09"/>
    <w:rsid w:val="00A53FA1"/>
    <w:rsid w:val="00A53FF0"/>
    <w:rsid w:val="00A540F9"/>
    <w:rsid w:val="00A54840"/>
    <w:rsid w:val="00A54A9B"/>
    <w:rsid w:val="00A554F4"/>
    <w:rsid w:val="00A570B2"/>
    <w:rsid w:val="00A57803"/>
    <w:rsid w:val="00A60B6A"/>
    <w:rsid w:val="00A60BA4"/>
    <w:rsid w:val="00A61064"/>
    <w:rsid w:val="00A61C1C"/>
    <w:rsid w:val="00A61D27"/>
    <w:rsid w:val="00A6260C"/>
    <w:rsid w:val="00A62A5A"/>
    <w:rsid w:val="00A62FA4"/>
    <w:rsid w:val="00A637B0"/>
    <w:rsid w:val="00A63957"/>
    <w:rsid w:val="00A63A51"/>
    <w:rsid w:val="00A63B47"/>
    <w:rsid w:val="00A64591"/>
    <w:rsid w:val="00A64CB5"/>
    <w:rsid w:val="00A6553E"/>
    <w:rsid w:val="00A65786"/>
    <w:rsid w:val="00A667E1"/>
    <w:rsid w:val="00A668DC"/>
    <w:rsid w:val="00A669A5"/>
    <w:rsid w:val="00A6703D"/>
    <w:rsid w:val="00A678AD"/>
    <w:rsid w:val="00A70A4D"/>
    <w:rsid w:val="00A71CCE"/>
    <w:rsid w:val="00A72125"/>
    <w:rsid w:val="00A723EB"/>
    <w:rsid w:val="00A72785"/>
    <w:rsid w:val="00A72C59"/>
    <w:rsid w:val="00A72DC2"/>
    <w:rsid w:val="00A72F02"/>
    <w:rsid w:val="00A736C7"/>
    <w:rsid w:val="00A73743"/>
    <w:rsid w:val="00A73CFE"/>
    <w:rsid w:val="00A7406D"/>
    <w:rsid w:val="00A74E7A"/>
    <w:rsid w:val="00A75038"/>
    <w:rsid w:val="00A752BF"/>
    <w:rsid w:val="00A753EB"/>
    <w:rsid w:val="00A75C5F"/>
    <w:rsid w:val="00A75D66"/>
    <w:rsid w:val="00A76057"/>
    <w:rsid w:val="00A7653B"/>
    <w:rsid w:val="00A77315"/>
    <w:rsid w:val="00A77594"/>
    <w:rsid w:val="00A776AB"/>
    <w:rsid w:val="00A778AF"/>
    <w:rsid w:val="00A77FA0"/>
    <w:rsid w:val="00A80226"/>
    <w:rsid w:val="00A80427"/>
    <w:rsid w:val="00A80A8B"/>
    <w:rsid w:val="00A80F5F"/>
    <w:rsid w:val="00A81519"/>
    <w:rsid w:val="00A81592"/>
    <w:rsid w:val="00A81604"/>
    <w:rsid w:val="00A81DBA"/>
    <w:rsid w:val="00A8234B"/>
    <w:rsid w:val="00A82386"/>
    <w:rsid w:val="00A8264F"/>
    <w:rsid w:val="00A82959"/>
    <w:rsid w:val="00A829D3"/>
    <w:rsid w:val="00A82B43"/>
    <w:rsid w:val="00A82D15"/>
    <w:rsid w:val="00A8379C"/>
    <w:rsid w:val="00A83BDA"/>
    <w:rsid w:val="00A8417E"/>
    <w:rsid w:val="00A845F4"/>
    <w:rsid w:val="00A84B05"/>
    <w:rsid w:val="00A84B74"/>
    <w:rsid w:val="00A84BBB"/>
    <w:rsid w:val="00A84E95"/>
    <w:rsid w:val="00A852BA"/>
    <w:rsid w:val="00A855B2"/>
    <w:rsid w:val="00A8615A"/>
    <w:rsid w:val="00A86BAE"/>
    <w:rsid w:val="00A86F31"/>
    <w:rsid w:val="00A871D9"/>
    <w:rsid w:val="00A873B4"/>
    <w:rsid w:val="00A87D07"/>
    <w:rsid w:val="00A9019F"/>
    <w:rsid w:val="00A904A4"/>
    <w:rsid w:val="00A91110"/>
    <w:rsid w:val="00A917C3"/>
    <w:rsid w:val="00A919CC"/>
    <w:rsid w:val="00A91F31"/>
    <w:rsid w:val="00A9210A"/>
    <w:rsid w:val="00A93677"/>
    <w:rsid w:val="00A936D9"/>
    <w:rsid w:val="00A938FE"/>
    <w:rsid w:val="00A93A40"/>
    <w:rsid w:val="00A93D76"/>
    <w:rsid w:val="00A94049"/>
    <w:rsid w:val="00A946D2"/>
    <w:rsid w:val="00A94F1C"/>
    <w:rsid w:val="00A9524E"/>
    <w:rsid w:val="00A954C1"/>
    <w:rsid w:val="00A95A5D"/>
    <w:rsid w:val="00A95E2F"/>
    <w:rsid w:val="00A9663A"/>
    <w:rsid w:val="00A96B78"/>
    <w:rsid w:val="00A96BDF"/>
    <w:rsid w:val="00A97022"/>
    <w:rsid w:val="00A9733B"/>
    <w:rsid w:val="00A97E21"/>
    <w:rsid w:val="00AA03FA"/>
    <w:rsid w:val="00AA0464"/>
    <w:rsid w:val="00AA0EA0"/>
    <w:rsid w:val="00AA0FC0"/>
    <w:rsid w:val="00AA1717"/>
    <w:rsid w:val="00AA1862"/>
    <w:rsid w:val="00AA18F9"/>
    <w:rsid w:val="00AA1D12"/>
    <w:rsid w:val="00AA1EF9"/>
    <w:rsid w:val="00AA20CF"/>
    <w:rsid w:val="00AA31DB"/>
    <w:rsid w:val="00AA3888"/>
    <w:rsid w:val="00AA3C08"/>
    <w:rsid w:val="00AA3CCF"/>
    <w:rsid w:val="00AA3E76"/>
    <w:rsid w:val="00AA3F22"/>
    <w:rsid w:val="00AA450D"/>
    <w:rsid w:val="00AA484D"/>
    <w:rsid w:val="00AA4CA8"/>
    <w:rsid w:val="00AA540D"/>
    <w:rsid w:val="00AA57C6"/>
    <w:rsid w:val="00AA5A5F"/>
    <w:rsid w:val="00AA6636"/>
    <w:rsid w:val="00AA66B0"/>
    <w:rsid w:val="00AA6813"/>
    <w:rsid w:val="00AA693E"/>
    <w:rsid w:val="00AA6B4E"/>
    <w:rsid w:val="00AA70A3"/>
    <w:rsid w:val="00AA76E6"/>
    <w:rsid w:val="00AA7E79"/>
    <w:rsid w:val="00AB0209"/>
    <w:rsid w:val="00AB0255"/>
    <w:rsid w:val="00AB090E"/>
    <w:rsid w:val="00AB0AAD"/>
    <w:rsid w:val="00AB1127"/>
    <w:rsid w:val="00AB1655"/>
    <w:rsid w:val="00AB1D31"/>
    <w:rsid w:val="00AB25EB"/>
    <w:rsid w:val="00AB28D8"/>
    <w:rsid w:val="00AB3125"/>
    <w:rsid w:val="00AB32B9"/>
    <w:rsid w:val="00AB3AE0"/>
    <w:rsid w:val="00AB455C"/>
    <w:rsid w:val="00AB484B"/>
    <w:rsid w:val="00AB493B"/>
    <w:rsid w:val="00AB5050"/>
    <w:rsid w:val="00AB51C5"/>
    <w:rsid w:val="00AB593E"/>
    <w:rsid w:val="00AB6959"/>
    <w:rsid w:val="00AB6B91"/>
    <w:rsid w:val="00AB70C8"/>
    <w:rsid w:val="00AB7E6E"/>
    <w:rsid w:val="00AC01AD"/>
    <w:rsid w:val="00AC0681"/>
    <w:rsid w:val="00AC0CA1"/>
    <w:rsid w:val="00AC1582"/>
    <w:rsid w:val="00AC1A6E"/>
    <w:rsid w:val="00AC1EBE"/>
    <w:rsid w:val="00AC202A"/>
    <w:rsid w:val="00AC2DA3"/>
    <w:rsid w:val="00AC33FE"/>
    <w:rsid w:val="00AC380A"/>
    <w:rsid w:val="00AC3CCF"/>
    <w:rsid w:val="00AC3D3B"/>
    <w:rsid w:val="00AC40E1"/>
    <w:rsid w:val="00AC434E"/>
    <w:rsid w:val="00AC485A"/>
    <w:rsid w:val="00AC4BF4"/>
    <w:rsid w:val="00AC4D54"/>
    <w:rsid w:val="00AC52F3"/>
    <w:rsid w:val="00AC5393"/>
    <w:rsid w:val="00AC56D3"/>
    <w:rsid w:val="00AC5E84"/>
    <w:rsid w:val="00AC634B"/>
    <w:rsid w:val="00AC699C"/>
    <w:rsid w:val="00AC6B15"/>
    <w:rsid w:val="00AC6C8B"/>
    <w:rsid w:val="00AC6D52"/>
    <w:rsid w:val="00AC6DA0"/>
    <w:rsid w:val="00AC700D"/>
    <w:rsid w:val="00AC7897"/>
    <w:rsid w:val="00AC7C47"/>
    <w:rsid w:val="00AD0283"/>
    <w:rsid w:val="00AD0653"/>
    <w:rsid w:val="00AD07F2"/>
    <w:rsid w:val="00AD0939"/>
    <w:rsid w:val="00AD0D60"/>
    <w:rsid w:val="00AD19DB"/>
    <w:rsid w:val="00AD20C9"/>
    <w:rsid w:val="00AD214F"/>
    <w:rsid w:val="00AD2497"/>
    <w:rsid w:val="00AD2BE5"/>
    <w:rsid w:val="00AD2CCB"/>
    <w:rsid w:val="00AD2E40"/>
    <w:rsid w:val="00AD3A16"/>
    <w:rsid w:val="00AD4367"/>
    <w:rsid w:val="00AD44DE"/>
    <w:rsid w:val="00AD466B"/>
    <w:rsid w:val="00AD4D59"/>
    <w:rsid w:val="00AD4E72"/>
    <w:rsid w:val="00AD5A9E"/>
    <w:rsid w:val="00AD5D5F"/>
    <w:rsid w:val="00AD641E"/>
    <w:rsid w:val="00AD6E37"/>
    <w:rsid w:val="00AD72B0"/>
    <w:rsid w:val="00AD74FD"/>
    <w:rsid w:val="00AD7649"/>
    <w:rsid w:val="00AD7698"/>
    <w:rsid w:val="00AD78B0"/>
    <w:rsid w:val="00AD7A7E"/>
    <w:rsid w:val="00AE048D"/>
    <w:rsid w:val="00AE0535"/>
    <w:rsid w:val="00AE0A2A"/>
    <w:rsid w:val="00AE1A75"/>
    <w:rsid w:val="00AE1C39"/>
    <w:rsid w:val="00AE1CDA"/>
    <w:rsid w:val="00AE1EBE"/>
    <w:rsid w:val="00AE1F24"/>
    <w:rsid w:val="00AE2328"/>
    <w:rsid w:val="00AE2658"/>
    <w:rsid w:val="00AE29DB"/>
    <w:rsid w:val="00AE2FD6"/>
    <w:rsid w:val="00AE30E2"/>
    <w:rsid w:val="00AE31EB"/>
    <w:rsid w:val="00AE39EC"/>
    <w:rsid w:val="00AE3A1D"/>
    <w:rsid w:val="00AE3C88"/>
    <w:rsid w:val="00AE3D41"/>
    <w:rsid w:val="00AE3E88"/>
    <w:rsid w:val="00AE47DB"/>
    <w:rsid w:val="00AE5069"/>
    <w:rsid w:val="00AE534A"/>
    <w:rsid w:val="00AE5474"/>
    <w:rsid w:val="00AE56A4"/>
    <w:rsid w:val="00AE5706"/>
    <w:rsid w:val="00AE59A1"/>
    <w:rsid w:val="00AE5C5F"/>
    <w:rsid w:val="00AE6A2F"/>
    <w:rsid w:val="00AE707D"/>
    <w:rsid w:val="00AE70AD"/>
    <w:rsid w:val="00AE730B"/>
    <w:rsid w:val="00AE74CD"/>
    <w:rsid w:val="00AE75DD"/>
    <w:rsid w:val="00AF0272"/>
    <w:rsid w:val="00AF049E"/>
    <w:rsid w:val="00AF04B6"/>
    <w:rsid w:val="00AF1173"/>
    <w:rsid w:val="00AF1F4C"/>
    <w:rsid w:val="00AF1F90"/>
    <w:rsid w:val="00AF215F"/>
    <w:rsid w:val="00AF21AE"/>
    <w:rsid w:val="00AF272A"/>
    <w:rsid w:val="00AF279B"/>
    <w:rsid w:val="00AF3203"/>
    <w:rsid w:val="00AF371D"/>
    <w:rsid w:val="00AF38A5"/>
    <w:rsid w:val="00AF3928"/>
    <w:rsid w:val="00AF392B"/>
    <w:rsid w:val="00AF3E18"/>
    <w:rsid w:val="00AF472E"/>
    <w:rsid w:val="00AF48F8"/>
    <w:rsid w:val="00AF4FF3"/>
    <w:rsid w:val="00AF51F2"/>
    <w:rsid w:val="00AF615C"/>
    <w:rsid w:val="00AF7151"/>
    <w:rsid w:val="00AF7572"/>
    <w:rsid w:val="00AF7DC6"/>
    <w:rsid w:val="00AF7EC4"/>
    <w:rsid w:val="00B001E8"/>
    <w:rsid w:val="00B0160A"/>
    <w:rsid w:val="00B02367"/>
    <w:rsid w:val="00B0285F"/>
    <w:rsid w:val="00B02C93"/>
    <w:rsid w:val="00B02D6A"/>
    <w:rsid w:val="00B02F0D"/>
    <w:rsid w:val="00B03834"/>
    <w:rsid w:val="00B0384D"/>
    <w:rsid w:val="00B03D35"/>
    <w:rsid w:val="00B04396"/>
    <w:rsid w:val="00B043CD"/>
    <w:rsid w:val="00B04715"/>
    <w:rsid w:val="00B04A84"/>
    <w:rsid w:val="00B04B2F"/>
    <w:rsid w:val="00B055AC"/>
    <w:rsid w:val="00B05A18"/>
    <w:rsid w:val="00B05A94"/>
    <w:rsid w:val="00B05CC0"/>
    <w:rsid w:val="00B060C2"/>
    <w:rsid w:val="00B0622A"/>
    <w:rsid w:val="00B06DCA"/>
    <w:rsid w:val="00B07835"/>
    <w:rsid w:val="00B07E74"/>
    <w:rsid w:val="00B07EBB"/>
    <w:rsid w:val="00B07FD2"/>
    <w:rsid w:val="00B10B1F"/>
    <w:rsid w:val="00B11AAA"/>
    <w:rsid w:val="00B11C49"/>
    <w:rsid w:val="00B120FC"/>
    <w:rsid w:val="00B12196"/>
    <w:rsid w:val="00B121A4"/>
    <w:rsid w:val="00B12993"/>
    <w:rsid w:val="00B12D50"/>
    <w:rsid w:val="00B133EE"/>
    <w:rsid w:val="00B1384A"/>
    <w:rsid w:val="00B13B85"/>
    <w:rsid w:val="00B14F25"/>
    <w:rsid w:val="00B1551C"/>
    <w:rsid w:val="00B155EF"/>
    <w:rsid w:val="00B15B08"/>
    <w:rsid w:val="00B15C26"/>
    <w:rsid w:val="00B15F2B"/>
    <w:rsid w:val="00B1633F"/>
    <w:rsid w:val="00B1649A"/>
    <w:rsid w:val="00B165FE"/>
    <w:rsid w:val="00B16AD6"/>
    <w:rsid w:val="00B17336"/>
    <w:rsid w:val="00B17704"/>
    <w:rsid w:val="00B17C2E"/>
    <w:rsid w:val="00B2028D"/>
    <w:rsid w:val="00B203F9"/>
    <w:rsid w:val="00B20A16"/>
    <w:rsid w:val="00B20DB2"/>
    <w:rsid w:val="00B20E69"/>
    <w:rsid w:val="00B215B4"/>
    <w:rsid w:val="00B218AB"/>
    <w:rsid w:val="00B21C4B"/>
    <w:rsid w:val="00B21EFB"/>
    <w:rsid w:val="00B22575"/>
    <w:rsid w:val="00B22AC6"/>
    <w:rsid w:val="00B22CCF"/>
    <w:rsid w:val="00B231D3"/>
    <w:rsid w:val="00B23990"/>
    <w:rsid w:val="00B23B19"/>
    <w:rsid w:val="00B23C09"/>
    <w:rsid w:val="00B24308"/>
    <w:rsid w:val="00B24807"/>
    <w:rsid w:val="00B24819"/>
    <w:rsid w:val="00B248C7"/>
    <w:rsid w:val="00B24BEE"/>
    <w:rsid w:val="00B24C92"/>
    <w:rsid w:val="00B24DF2"/>
    <w:rsid w:val="00B251A0"/>
    <w:rsid w:val="00B25EF3"/>
    <w:rsid w:val="00B260B8"/>
    <w:rsid w:val="00B2629B"/>
    <w:rsid w:val="00B2646E"/>
    <w:rsid w:val="00B26DB0"/>
    <w:rsid w:val="00B2702B"/>
    <w:rsid w:val="00B27515"/>
    <w:rsid w:val="00B276A4"/>
    <w:rsid w:val="00B27CA1"/>
    <w:rsid w:val="00B30944"/>
    <w:rsid w:val="00B31337"/>
    <w:rsid w:val="00B31D26"/>
    <w:rsid w:val="00B32370"/>
    <w:rsid w:val="00B3237D"/>
    <w:rsid w:val="00B327A4"/>
    <w:rsid w:val="00B32B1D"/>
    <w:rsid w:val="00B32F06"/>
    <w:rsid w:val="00B332CA"/>
    <w:rsid w:val="00B333F1"/>
    <w:rsid w:val="00B340E7"/>
    <w:rsid w:val="00B3426A"/>
    <w:rsid w:val="00B3458A"/>
    <w:rsid w:val="00B349A3"/>
    <w:rsid w:val="00B349D4"/>
    <w:rsid w:val="00B34B84"/>
    <w:rsid w:val="00B34F85"/>
    <w:rsid w:val="00B35D01"/>
    <w:rsid w:val="00B35E40"/>
    <w:rsid w:val="00B3609D"/>
    <w:rsid w:val="00B36B44"/>
    <w:rsid w:val="00B371B5"/>
    <w:rsid w:val="00B373D1"/>
    <w:rsid w:val="00B37BB4"/>
    <w:rsid w:val="00B37D7A"/>
    <w:rsid w:val="00B40131"/>
    <w:rsid w:val="00B40309"/>
    <w:rsid w:val="00B40428"/>
    <w:rsid w:val="00B408FD"/>
    <w:rsid w:val="00B409FF"/>
    <w:rsid w:val="00B40DA4"/>
    <w:rsid w:val="00B41F42"/>
    <w:rsid w:val="00B41F90"/>
    <w:rsid w:val="00B421E0"/>
    <w:rsid w:val="00B427B0"/>
    <w:rsid w:val="00B42B4B"/>
    <w:rsid w:val="00B438E1"/>
    <w:rsid w:val="00B43B69"/>
    <w:rsid w:val="00B44252"/>
    <w:rsid w:val="00B442F6"/>
    <w:rsid w:val="00B44A9A"/>
    <w:rsid w:val="00B44FD5"/>
    <w:rsid w:val="00B45217"/>
    <w:rsid w:val="00B45902"/>
    <w:rsid w:val="00B45A35"/>
    <w:rsid w:val="00B4624C"/>
    <w:rsid w:val="00B466E6"/>
    <w:rsid w:val="00B46B27"/>
    <w:rsid w:val="00B46D69"/>
    <w:rsid w:val="00B471BC"/>
    <w:rsid w:val="00B47352"/>
    <w:rsid w:val="00B4741B"/>
    <w:rsid w:val="00B47A6E"/>
    <w:rsid w:val="00B51539"/>
    <w:rsid w:val="00B5178D"/>
    <w:rsid w:val="00B51D69"/>
    <w:rsid w:val="00B522D0"/>
    <w:rsid w:val="00B525C5"/>
    <w:rsid w:val="00B528C2"/>
    <w:rsid w:val="00B52ADA"/>
    <w:rsid w:val="00B541E0"/>
    <w:rsid w:val="00B54569"/>
    <w:rsid w:val="00B546A5"/>
    <w:rsid w:val="00B54DA5"/>
    <w:rsid w:val="00B54EDC"/>
    <w:rsid w:val="00B54F8F"/>
    <w:rsid w:val="00B5512F"/>
    <w:rsid w:val="00B55A5A"/>
    <w:rsid w:val="00B55D67"/>
    <w:rsid w:val="00B55F31"/>
    <w:rsid w:val="00B56083"/>
    <w:rsid w:val="00B561D1"/>
    <w:rsid w:val="00B567F8"/>
    <w:rsid w:val="00B56B8E"/>
    <w:rsid w:val="00B57301"/>
    <w:rsid w:val="00B5762F"/>
    <w:rsid w:val="00B57658"/>
    <w:rsid w:val="00B6071C"/>
    <w:rsid w:val="00B60761"/>
    <w:rsid w:val="00B60AA6"/>
    <w:rsid w:val="00B60F5C"/>
    <w:rsid w:val="00B61073"/>
    <w:rsid w:val="00B615C2"/>
    <w:rsid w:val="00B61D8E"/>
    <w:rsid w:val="00B622D9"/>
    <w:rsid w:val="00B625B6"/>
    <w:rsid w:val="00B635A6"/>
    <w:rsid w:val="00B63C8A"/>
    <w:rsid w:val="00B63D13"/>
    <w:rsid w:val="00B644FD"/>
    <w:rsid w:val="00B64656"/>
    <w:rsid w:val="00B6482B"/>
    <w:rsid w:val="00B64E8C"/>
    <w:rsid w:val="00B6561F"/>
    <w:rsid w:val="00B65803"/>
    <w:rsid w:val="00B65B8D"/>
    <w:rsid w:val="00B65C65"/>
    <w:rsid w:val="00B6659C"/>
    <w:rsid w:val="00B67419"/>
    <w:rsid w:val="00B676D9"/>
    <w:rsid w:val="00B6787A"/>
    <w:rsid w:val="00B67ED7"/>
    <w:rsid w:val="00B701EC"/>
    <w:rsid w:val="00B70558"/>
    <w:rsid w:val="00B70918"/>
    <w:rsid w:val="00B7093C"/>
    <w:rsid w:val="00B70B12"/>
    <w:rsid w:val="00B70C17"/>
    <w:rsid w:val="00B7141E"/>
    <w:rsid w:val="00B71445"/>
    <w:rsid w:val="00B717D3"/>
    <w:rsid w:val="00B71958"/>
    <w:rsid w:val="00B71AB7"/>
    <w:rsid w:val="00B71BAC"/>
    <w:rsid w:val="00B72218"/>
    <w:rsid w:val="00B72D66"/>
    <w:rsid w:val="00B731CF"/>
    <w:rsid w:val="00B74596"/>
    <w:rsid w:val="00B75106"/>
    <w:rsid w:val="00B753D7"/>
    <w:rsid w:val="00B753E6"/>
    <w:rsid w:val="00B7542A"/>
    <w:rsid w:val="00B757B9"/>
    <w:rsid w:val="00B76554"/>
    <w:rsid w:val="00B76A13"/>
    <w:rsid w:val="00B76A8E"/>
    <w:rsid w:val="00B76ABC"/>
    <w:rsid w:val="00B8009C"/>
    <w:rsid w:val="00B80A7A"/>
    <w:rsid w:val="00B80C27"/>
    <w:rsid w:val="00B80F1C"/>
    <w:rsid w:val="00B81018"/>
    <w:rsid w:val="00B81575"/>
    <w:rsid w:val="00B815A8"/>
    <w:rsid w:val="00B8164F"/>
    <w:rsid w:val="00B81900"/>
    <w:rsid w:val="00B819A6"/>
    <w:rsid w:val="00B819A9"/>
    <w:rsid w:val="00B8207C"/>
    <w:rsid w:val="00B82690"/>
    <w:rsid w:val="00B835FD"/>
    <w:rsid w:val="00B837C0"/>
    <w:rsid w:val="00B838D4"/>
    <w:rsid w:val="00B83B9C"/>
    <w:rsid w:val="00B83E14"/>
    <w:rsid w:val="00B84033"/>
    <w:rsid w:val="00B8419E"/>
    <w:rsid w:val="00B8490D"/>
    <w:rsid w:val="00B84A47"/>
    <w:rsid w:val="00B84E7D"/>
    <w:rsid w:val="00B852C0"/>
    <w:rsid w:val="00B8641C"/>
    <w:rsid w:val="00B869CB"/>
    <w:rsid w:val="00B86BC3"/>
    <w:rsid w:val="00B87901"/>
    <w:rsid w:val="00B87998"/>
    <w:rsid w:val="00B87BD5"/>
    <w:rsid w:val="00B87D1B"/>
    <w:rsid w:val="00B904EC"/>
    <w:rsid w:val="00B90DAE"/>
    <w:rsid w:val="00B90F7F"/>
    <w:rsid w:val="00B92401"/>
    <w:rsid w:val="00B92719"/>
    <w:rsid w:val="00B92917"/>
    <w:rsid w:val="00B93A77"/>
    <w:rsid w:val="00B93FE4"/>
    <w:rsid w:val="00B940B3"/>
    <w:rsid w:val="00B94139"/>
    <w:rsid w:val="00B941E7"/>
    <w:rsid w:val="00B942E3"/>
    <w:rsid w:val="00B945E9"/>
    <w:rsid w:val="00B94849"/>
    <w:rsid w:val="00B94897"/>
    <w:rsid w:val="00B96593"/>
    <w:rsid w:val="00B96595"/>
    <w:rsid w:val="00B967AC"/>
    <w:rsid w:val="00B97494"/>
    <w:rsid w:val="00BA0106"/>
    <w:rsid w:val="00BA01BE"/>
    <w:rsid w:val="00BA0AEF"/>
    <w:rsid w:val="00BA10D2"/>
    <w:rsid w:val="00BA1CEA"/>
    <w:rsid w:val="00BA22F1"/>
    <w:rsid w:val="00BA2C8B"/>
    <w:rsid w:val="00BA2D56"/>
    <w:rsid w:val="00BA2DD0"/>
    <w:rsid w:val="00BA323A"/>
    <w:rsid w:val="00BA3659"/>
    <w:rsid w:val="00BA368E"/>
    <w:rsid w:val="00BA3D11"/>
    <w:rsid w:val="00BA4159"/>
    <w:rsid w:val="00BA4792"/>
    <w:rsid w:val="00BA47BC"/>
    <w:rsid w:val="00BA49C3"/>
    <w:rsid w:val="00BA49C8"/>
    <w:rsid w:val="00BA4B59"/>
    <w:rsid w:val="00BA4E02"/>
    <w:rsid w:val="00BA5431"/>
    <w:rsid w:val="00BA5462"/>
    <w:rsid w:val="00BA56A4"/>
    <w:rsid w:val="00BA6320"/>
    <w:rsid w:val="00BA6BC2"/>
    <w:rsid w:val="00BA76D9"/>
    <w:rsid w:val="00BA7844"/>
    <w:rsid w:val="00BB00C2"/>
    <w:rsid w:val="00BB0129"/>
    <w:rsid w:val="00BB062D"/>
    <w:rsid w:val="00BB091A"/>
    <w:rsid w:val="00BB0E2B"/>
    <w:rsid w:val="00BB14EC"/>
    <w:rsid w:val="00BB1961"/>
    <w:rsid w:val="00BB1B8D"/>
    <w:rsid w:val="00BB1C57"/>
    <w:rsid w:val="00BB1E80"/>
    <w:rsid w:val="00BB22F0"/>
    <w:rsid w:val="00BB24DF"/>
    <w:rsid w:val="00BB24FB"/>
    <w:rsid w:val="00BB30DB"/>
    <w:rsid w:val="00BB3268"/>
    <w:rsid w:val="00BB3280"/>
    <w:rsid w:val="00BB3F19"/>
    <w:rsid w:val="00BB3F9B"/>
    <w:rsid w:val="00BB43E6"/>
    <w:rsid w:val="00BB459D"/>
    <w:rsid w:val="00BB4AC6"/>
    <w:rsid w:val="00BB4AF0"/>
    <w:rsid w:val="00BB4C6D"/>
    <w:rsid w:val="00BB4DA6"/>
    <w:rsid w:val="00BB4F18"/>
    <w:rsid w:val="00BB5120"/>
    <w:rsid w:val="00BB5B7E"/>
    <w:rsid w:val="00BB5E48"/>
    <w:rsid w:val="00BB64E2"/>
    <w:rsid w:val="00BB697F"/>
    <w:rsid w:val="00BB6AE7"/>
    <w:rsid w:val="00BB6BA1"/>
    <w:rsid w:val="00BB6BB2"/>
    <w:rsid w:val="00BB77B1"/>
    <w:rsid w:val="00BB7F1B"/>
    <w:rsid w:val="00BB7F62"/>
    <w:rsid w:val="00BB7F87"/>
    <w:rsid w:val="00BC0A6B"/>
    <w:rsid w:val="00BC0FF0"/>
    <w:rsid w:val="00BC159E"/>
    <w:rsid w:val="00BC1600"/>
    <w:rsid w:val="00BC166D"/>
    <w:rsid w:val="00BC1798"/>
    <w:rsid w:val="00BC1B56"/>
    <w:rsid w:val="00BC2773"/>
    <w:rsid w:val="00BC293A"/>
    <w:rsid w:val="00BC2A6E"/>
    <w:rsid w:val="00BC330A"/>
    <w:rsid w:val="00BC336C"/>
    <w:rsid w:val="00BC345B"/>
    <w:rsid w:val="00BC3891"/>
    <w:rsid w:val="00BC3E4B"/>
    <w:rsid w:val="00BC3EDD"/>
    <w:rsid w:val="00BC42AD"/>
    <w:rsid w:val="00BC44E0"/>
    <w:rsid w:val="00BC4711"/>
    <w:rsid w:val="00BC47CD"/>
    <w:rsid w:val="00BC4968"/>
    <w:rsid w:val="00BC4DAA"/>
    <w:rsid w:val="00BC4F9B"/>
    <w:rsid w:val="00BC519C"/>
    <w:rsid w:val="00BC56AE"/>
    <w:rsid w:val="00BC57C2"/>
    <w:rsid w:val="00BC6057"/>
    <w:rsid w:val="00BC6A9B"/>
    <w:rsid w:val="00BC6AAE"/>
    <w:rsid w:val="00BC6C43"/>
    <w:rsid w:val="00BC6DA2"/>
    <w:rsid w:val="00BC73DC"/>
    <w:rsid w:val="00BC7666"/>
    <w:rsid w:val="00BC7870"/>
    <w:rsid w:val="00BC7C80"/>
    <w:rsid w:val="00BC7FC2"/>
    <w:rsid w:val="00BD0A38"/>
    <w:rsid w:val="00BD0DF1"/>
    <w:rsid w:val="00BD0FDF"/>
    <w:rsid w:val="00BD18CB"/>
    <w:rsid w:val="00BD1F0B"/>
    <w:rsid w:val="00BD21B0"/>
    <w:rsid w:val="00BD27A9"/>
    <w:rsid w:val="00BD3656"/>
    <w:rsid w:val="00BD3DBB"/>
    <w:rsid w:val="00BD4112"/>
    <w:rsid w:val="00BD46ED"/>
    <w:rsid w:val="00BD4FA8"/>
    <w:rsid w:val="00BD558F"/>
    <w:rsid w:val="00BD59A3"/>
    <w:rsid w:val="00BD5A2A"/>
    <w:rsid w:val="00BD5B15"/>
    <w:rsid w:val="00BD6D6D"/>
    <w:rsid w:val="00BD6E17"/>
    <w:rsid w:val="00BD71A8"/>
    <w:rsid w:val="00BD747F"/>
    <w:rsid w:val="00BD7736"/>
    <w:rsid w:val="00BD77CC"/>
    <w:rsid w:val="00BD7809"/>
    <w:rsid w:val="00BD790E"/>
    <w:rsid w:val="00BD7C74"/>
    <w:rsid w:val="00BE065B"/>
    <w:rsid w:val="00BE08B9"/>
    <w:rsid w:val="00BE0A9A"/>
    <w:rsid w:val="00BE10F6"/>
    <w:rsid w:val="00BE13D6"/>
    <w:rsid w:val="00BE19B3"/>
    <w:rsid w:val="00BE1C9C"/>
    <w:rsid w:val="00BE2222"/>
    <w:rsid w:val="00BE26B7"/>
    <w:rsid w:val="00BE2C44"/>
    <w:rsid w:val="00BE2EB0"/>
    <w:rsid w:val="00BE3BA4"/>
    <w:rsid w:val="00BE3BC8"/>
    <w:rsid w:val="00BE430B"/>
    <w:rsid w:val="00BE441A"/>
    <w:rsid w:val="00BE4794"/>
    <w:rsid w:val="00BE4EA0"/>
    <w:rsid w:val="00BE5175"/>
    <w:rsid w:val="00BE57D7"/>
    <w:rsid w:val="00BE5DC6"/>
    <w:rsid w:val="00BE6110"/>
    <w:rsid w:val="00BE6477"/>
    <w:rsid w:val="00BE68BD"/>
    <w:rsid w:val="00BE68ED"/>
    <w:rsid w:val="00BE68F3"/>
    <w:rsid w:val="00BE6E5A"/>
    <w:rsid w:val="00BE750B"/>
    <w:rsid w:val="00BE7A83"/>
    <w:rsid w:val="00BF0184"/>
    <w:rsid w:val="00BF06C3"/>
    <w:rsid w:val="00BF06F8"/>
    <w:rsid w:val="00BF0B5D"/>
    <w:rsid w:val="00BF1482"/>
    <w:rsid w:val="00BF1AE8"/>
    <w:rsid w:val="00BF2387"/>
    <w:rsid w:val="00BF23D3"/>
    <w:rsid w:val="00BF23EB"/>
    <w:rsid w:val="00BF27CB"/>
    <w:rsid w:val="00BF2A39"/>
    <w:rsid w:val="00BF2CC6"/>
    <w:rsid w:val="00BF3025"/>
    <w:rsid w:val="00BF39F9"/>
    <w:rsid w:val="00BF3A7C"/>
    <w:rsid w:val="00BF3A8E"/>
    <w:rsid w:val="00BF43CA"/>
    <w:rsid w:val="00BF4785"/>
    <w:rsid w:val="00BF516D"/>
    <w:rsid w:val="00BF5F3F"/>
    <w:rsid w:val="00BF6224"/>
    <w:rsid w:val="00BF696B"/>
    <w:rsid w:val="00BF6AA7"/>
    <w:rsid w:val="00BF6DC3"/>
    <w:rsid w:val="00BF730B"/>
    <w:rsid w:val="00C00021"/>
    <w:rsid w:val="00C000AF"/>
    <w:rsid w:val="00C0099B"/>
    <w:rsid w:val="00C00A99"/>
    <w:rsid w:val="00C015A9"/>
    <w:rsid w:val="00C02913"/>
    <w:rsid w:val="00C02A0A"/>
    <w:rsid w:val="00C02E4E"/>
    <w:rsid w:val="00C03303"/>
    <w:rsid w:val="00C033A4"/>
    <w:rsid w:val="00C039A1"/>
    <w:rsid w:val="00C04487"/>
    <w:rsid w:val="00C04C70"/>
    <w:rsid w:val="00C05173"/>
    <w:rsid w:val="00C052A3"/>
    <w:rsid w:val="00C057F6"/>
    <w:rsid w:val="00C05CC6"/>
    <w:rsid w:val="00C05DAD"/>
    <w:rsid w:val="00C06337"/>
    <w:rsid w:val="00C064C6"/>
    <w:rsid w:val="00C067D3"/>
    <w:rsid w:val="00C069F7"/>
    <w:rsid w:val="00C06A53"/>
    <w:rsid w:val="00C06C73"/>
    <w:rsid w:val="00C06E95"/>
    <w:rsid w:val="00C07526"/>
    <w:rsid w:val="00C07624"/>
    <w:rsid w:val="00C077D0"/>
    <w:rsid w:val="00C07B14"/>
    <w:rsid w:val="00C104C2"/>
    <w:rsid w:val="00C1109B"/>
    <w:rsid w:val="00C119DC"/>
    <w:rsid w:val="00C122B9"/>
    <w:rsid w:val="00C123EF"/>
    <w:rsid w:val="00C12554"/>
    <w:rsid w:val="00C1269E"/>
    <w:rsid w:val="00C131A7"/>
    <w:rsid w:val="00C1386A"/>
    <w:rsid w:val="00C13A68"/>
    <w:rsid w:val="00C14740"/>
    <w:rsid w:val="00C149E9"/>
    <w:rsid w:val="00C14B00"/>
    <w:rsid w:val="00C158F9"/>
    <w:rsid w:val="00C1626B"/>
    <w:rsid w:val="00C16865"/>
    <w:rsid w:val="00C17617"/>
    <w:rsid w:val="00C178F9"/>
    <w:rsid w:val="00C17A9D"/>
    <w:rsid w:val="00C17D5A"/>
    <w:rsid w:val="00C201A9"/>
    <w:rsid w:val="00C20495"/>
    <w:rsid w:val="00C20625"/>
    <w:rsid w:val="00C20652"/>
    <w:rsid w:val="00C2087D"/>
    <w:rsid w:val="00C20BE4"/>
    <w:rsid w:val="00C21030"/>
    <w:rsid w:val="00C21F42"/>
    <w:rsid w:val="00C224FF"/>
    <w:rsid w:val="00C22FE9"/>
    <w:rsid w:val="00C239C6"/>
    <w:rsid w:val="00C241A7"/>
    <w:rsid w:val="00C24767"/>
    <w:rsid w:val="00C248E0"/>
    <w:rsid w:val="00C24963"/>
    <w:rsid w:val="00C24E83"/>
    <w:rsid w:val="00C24F7F"/>
    <w:rsid w:val="00C252AF"/>
    <w:rsid w:val="00C25854"/>
    <w:rsid w:val="00C260C5"/>
    <w:rsid w:val="00C264B8"/>
    <w:rsid w:val="00C2658A"/>
    <w:rsid w:val="00C2662C"/>
    <w:rsid w:val="00C26758"/>
    <w:rsid w:val="00C26ABE"/>
    <w:rsid w:val="00C27886"/>
    <w:rsid w:val="00C27B80"/>
    <w:rsid w:val="00C30243"/>
    <w:rsid w:val="00C3028F"/>
    <w:rsid w:val="00C30346"/>
    <w:rsid w:val="00C304EE"/>
    <w:rsid w:val="00C3050B"/>
    <w:rsid w:val="00C3089C"/>
    <w:rsid w:val="00C30E0D"/>
    <w:rsid w:val="00C311D8"/>
    <w:rsid w:val="00C3169F"/>
    <w:rsid w:val="00C319D9"/>
    <w:rsid w:val="00C31D85"/>
    <w:rsid w:val="00C31EE6"/>
    <w:rsid w:val="00C32A79"/>
    <w:rsid w:val="00C33AE8"/>
    <w:rsid w:val="00C342A0"/>
    <w:rsid w:val="00C34471"/>
    <w:rsid w:val="00C34638"/>
    <w:rsid w:val="00C347CA"/>
    <w:rsid w:val="00C348CE"/>
    <w:rsid w:val="00C34A3F"/>
    <w:rsid w:val="00C34BF4"/>
    <w:rsid w:val="00C34F91"/>
    <w:rsid w:val="00C355F3"/>
    <w:rsid w:val="00C3587E"/>
    <w:rsid w:val="00C35A2F"/>
    <w:rsid w:val="00C3688A"/>
    <w:rsid w:val="00C368FA"/>
    <w:rsid w:val="00C36BE4"/>
    <w:rsid w:val="00C370CA"/>
    <w:rsid w:val="00C377B9"/>
    <w:rsid w:val="00C379A8"/>
    <w:rsid w:val="00C37A3D"/>
    <w:rsid w:val="00C37B32"/>
    <w:rsid w:val="00C40964"/>
    <w:rsid w:val="00C40B02"/>
    <w:rsid w:val="00C41417"/>
    <w:rsid w:val="00C41608"/>
    <w:rsid w:val="00C4161D"/>
    <w:rsid w:val="00C420C8"/>
    <w:rsid w:val="00C43361"/>
    <w:rsid w:val="00C43487"/>
    <w:rsid w:val="00C4378A"/>
    <w:rsid w:val="00C4387C"/>
    <w:rsid w:val="00C43C56"/>
    <w:rsid w:val="00C4448F"/>
    <w:rsid w:val="00C445F0"/>
    <w:rsid w:val="00C44EBD"/>
    <w:rsid w:val="00C4503A"/>
    <w:rsid w:val="00C450AB"/>
    <w:rsid w:val="00C452B0"/>
    <w:rsid w:val="00C457EF"/>
    <w:rsid w:val="00C45B6A"/>
    <w:rsid w:val="00C45C51"/>
    <w:rsid w:val="00C460C9"/>
    <w:rsid w:val="00C4671C"/>
    <w:rsid w:val="00C46858"/>
    <w:rsid w:val="00C468CD"/>
    <w:rsid w:val="00C46B44"/>
    <w:rsid w:val="00C46B93"/>
    <w:rsid w:val="00C46DD6"/>
    <w:rsid w:val="00C4727D"/>
    <w:rsid w:val="00C472FD"/>
    <w:rsid w:val="00C473CB"/>
    <w:rsid w:val="00C47CCE"/>
    <w:rsid w:val="00C50166"/>
    <w:rsid w:val="00C5140E"/>
    <w:rsid w:val="00C51797"/>
    <w:rsid w:val="00C51A2A"/>
    <w:rsid w:val="00C51E1F"/>
    <w:rsid w:val="00C52738"/>
    <w:rsid w:val="00C52C38"/>
    <w:rsid w:val="00C5334C"/>
    <w:rsid w:val="00C536CA"/>
    <w:rsid w:val="00C53789"/>
    <w:rsid w:val="00C53822"/>
    <w:rsid w:val="00C53DF6"/>
    <w:rsid w:val="00C545B3"/>
    <w:rsid w:val="00C546B9"/>
    <w:rsid w:val="00C54FE3"/>
    <w:rsid w:val="00C5530A"/>
    <w:rsid w:val="00C55391"/>
    <w:rsid w:val="00C55D84"/>
    <w:rsid w:val="00C55F1E"/>
    <w:rsid w:val="00C56B54"/>
    <w:rsid w:val="00C5782C"/>
    <w:rsid w:val="00C57A76"/>
    <w:rsid w:val="00C57F7E"/>
    <w:rsid w:val="00C60113"/>
    <w:rsid w:val="00C60226"/>
    <w:rsid w:val="00C607EB"/>
    <w:rsid w:val="00C608C6"/>
    <w:rsid w:val="00C6091A"/>
    <w:rsid w:val="00C61110"/>
    <w:rsid w:val="00C611C9"/>
    <w:rsid w:val="00C61F7B"/>
    <w:rsid w:val="00C624DC"/>
    <w:rsid w:val="00C63C8B"/>
    <w:rsid w:val="00C63CD5"/>
    <w:rsid w:val="00C64089"/>
    <w:rsid w:val="00C64424"/>
    <w:rsid w:val="00C644B0"/>
    <w:rsid w:val="00C64815"/>
    <w:rsid w:val="00C64A31"/>
    <w:rsid w:val="00C64A36"/>
    <w:rsid w:val="00C64A94"/>
    <w:rsid w:val="00C64B3B"/>
    <w:rsid w:val="00C64D9E"/>
    <w:rsid w:val="00C64F20"/>
    <w:rsid w:val="00C65A2A"/>
    <w:rsid w:val="00C65E24"/>
    <w:rsid w:val="00C65FFD"/>
    <w:rsid w:val="00C670D0"/>
    <w:rsid w:val="00C674C6"/>
    <w:rsid w:val="00C6797A"/>
    <w:rsid w:val="00C67CF5"/>
    <w:rsid w:val="00C67F98"/>
    <w:rsid w:val="00C71172"/>
    <w:rsid w:val="00C717A7"/>
    <w:rsid w:val="00C71A9F"/>
    <w:rsid w:val="00C71BD3"/>
    <w:rsid w:val="00C720DD"/>
    <w:rsid w:val="00C721CB"/>
    <w:rsid w:val="00C7277B"/>
    <w:rsid w:val="00C72A72"/>
    <w:rsid w:val="00C72DA9"/>
    <w:rsid w:val="00C72DB2"/>
    <w:rsid w:val="00C7343F"/>
    <w:rsid w:val="00C73528"/>
    <w:rsid w:val="00C735D5"/>
    <w:rsid w:val="00C7379A"/>
    <w:rsid w:val="00C738FE"/>
    <w:rsid w:val="00C7394B"/>
    <w:rsid w:val="00C74255"/>
    <w:rsid w:val="00C7443F"/>
    <w:rsid w:val="00C74683"/>
    <w:rsid w:val="00C75656"/>
    <w:rsid w:val="00C759EF"/>
    <w:rsid w:val="00C75AA1"/>
    <w:rsid w:val="00C75B94"/>
    <w:rsid w:val="00C75C97"/>
    <w:rsid w:val="00C75CDE"/>
    <w:rsid w:val="00C762B9"/>
    <w:rsid w:val="00C764BD"/>
    <w:rsid w:val="00C7666A"/>
    <w:rsid w:val="00C766BE"/>
    <w:rsid w:val="00C76B16"/>
    <w:rsid w:val="00C771A5"/>
    <w:rsid w:val="00C777AF"/>
    <w:rsid w:val="00C77971"/>
    <w:rsid w:val="00C77C28"/>
    <w:rsid w:val="00C806E8"/>
    <w:rsid w:val="00C81A0B"/>
    <w:rsid w:val="00C8230E"/>
    <w:rsid w:val="00C82A99"/>
    <w:rsid w:val="00C82AAF"/>
    <w:rsid w:val="00C82E1F"/>
    <w:rsid w:val="00C830E3"/>
    <w:rsid w:val="00C83192"/>
    <w:rsid w:val="00C8368D"/>
    <w:rsid w:val="00C84078"/>
    <w:rsid w:val="00C84108"/>
    <w:rsid w:val="00C842D0"/>
    <w:rsid w:val="00C84A75"/>
    <w:rsid w:val="00C84E68"/>
    <w:rsid w:val="00C853DA"/>
    <w:rsid w:val="00C855E6"/>
    <w:rsid w:val="00C85AB0"/>
    <w:rsid w:val="00C861FD"/>
    <w:rsid w:val="00C867B7"/>
    <w:rsid w:val="00C86AAE"/>
    <w:rsid w:val="00C86AFF"/>
    <w:rsid w:val="00C871E9"/>
    <w:rsid w:val="00C87898"/>
    <w:rsid w:val="00C87D1C"/>
    <w:rsid w:val="00C87FE6"/>
    <w:rsid w:val="00C907D7"/>
    <w:rsid w:val="00C9095F"/>
    <w:rsid w:val="00C9106C"/>
    <w:rsid w:val="00C913A7"/>
    <w:rsid w:val="00C91934"/>
    <w:rsid w:val="00C91D5D"/>
    <w:rsid w:val="00C91EE2"/>
    <w:rsid w:val="00C91FA4"/>
    <w:rsid w:val="00C92552"/>
    <w:rsid w:val="00C92A24"/>
    <w:rsid w:val="00C92D79"/>
    <w:rsid w:val="00C92F71"/>
    <w:rsid w:val="00C92FDC"/>
    <w:rsid w:val="00C931D5"/>
    <w:rsid w:val="00C93482"/>
    <w:rsid w:val="00C93CFE"/>
    <w:rsid w:val="00C93DF6"/>
    <w:rsid w:val="00C94906"/>
    <w:rsid w:val="00C9492D"/>
    <w:rsid w:val="00C94C25"/>
    <w:rsid w:val="00C94F0A"/>
    <w:rsid w:val="00C95BDC"/>
    <w:rsid w:val="00C95C61"/>
    <w:rsid w:val="00C95CE8"/>
    <w:rsid w:val="00C96813"/>
    <w:rsid w:val="00C96CFA"/>
    <w:rsid w:val="00C96E0F"/>
    <w:rsid w:val="00C9766C"/>
    <w:rsid w:val="00C97A8F"/>
    <w:rsid w:val="00CA06E0"/>
    <w:rsid w:val="00CA06F3"/>
    <w:rsid w:val="00CA0702"/>
    <w:rsid w:val="00CA0939"/>
    <w:rsid w:val="00CA0961"/>
    <w:rsid w:val="00CA0A2F"/>
    <w:rsid w:val="00CA1E2E"/>
    <w:rsid w:val="00CA210C"/>
    <w:rsid w:val="00CA25DE"/>
    <w:rsid w:val="00CA2D73"/>
    <w:rsid w:val="00CA3765"/>
    <w:rsid w:val="00CA4864"/>
    <w:rsid w:val="00CA4CE7"/>
    <w:rsid w:val="00CA50C3"/>
    <w:rsid w:val="00CA51BB"/>
    <w:rsid w:val="00CA60DB"/>
    <w:rsid w:val="00CA63DF"/>
    <w:rsid w:val="00CA6775"/>
    <w:rsid w:val="00CA7C0D"/>
    <w:rsid w:val="00CB0775"/>
    <w:rsid w:val="00CB0DE9"/>
    <w:rsid w:val="00CB1412"/>
    <w:rsid w:val="00CB16B2"/>
    <w:rsid w:val="00CB1714"/>
    <w:rsid w:val="00CB1F11"/>
    <w:rsid w:val="00CB2C95"/>
    <w:rsid w:val="00CB2E8B"/>
    <w:rsid w:val="00CB3167"/>
    <w:rsid w:val="00CB3C6D"/>
    <w:rsid w:val="00CB45C4"/>
    <w:rsid w:val="00CB45D6"/>
    <w:rsid w:val="00CB46B2"/>
    <w:rsid w:val="00CB4FC6"/>
    <w:rsid w:val="00CB5014"/>
    <w:rsid w:val="00CB5703"/>
    <w:rsid w:val="00CB5B0D"/>
    <w:rsid w:val="00CB6047"/>
    <w:rsid w:val="00CB64D2"/>
    <w:rsid w:val="00CB6A59"/>
    <w:rsid w:val="00CB755C"/>
    <w:rsid w:val="00CC0206"/>
    <w:rsid w:val="00CC0A1D"/>
    <w:rsid w:val="00CC184D"/>
    <w:rsid w:val="00CC1DE6"/>
    <w:rsid w:val="00CC20C6"/>
    <w:rsid w:val="00CC243F"/>
    <w:rsid w:val="00CC253B"/>
    <w:rsid w:val="00CC2F13"/>
    <w:rsid w:val="00CC2F79"/>
    <w:rsid w:val="00CC3191"/>
    <w:rsid w:val="00CC385E"/>
    <w:rsid w:val="00CC3A39"/>
    <w:rsid w:val="00CC4308"/>
    <w:rsid w:val="00CC4A2B"/>
    <w:rsid w:val="00CC4EFD"/>
    <w:rsid w:val="00CC53C7"/>
    <w:rsid w:val="00CC57E9"/>
    <w:rsid w:val="00CC6998"/>
    <w:rsid w:val="00CC6A87"/>
    <w:rsid w:val="00CC70E4"/>
    <w:rsid w:val="00CC7340"/>
    <w:rsid w:val="00CC7566"/>
    <w:rsid w:val="00CD0D09"/>
    <w:rsid w:val="00CD110F"/>
    <w:rsid w:val="00CD11EC"/>
    <w:rsid w:val="00CD1354"/>
    <w:rsid w:val="00CD1549"/>
    <w:rsid w:val="00CD1759"/>
    <w:rsid w:val="00CD1B8E"/>
    <w:rsid w:val="00CD1EC1"/>
    <w:rsid w:val="00CD1F2F"/>
    <w:rsid w:val="00CD2016"/>
    <w:rsid w:val="00CD2076"/>
    <w:rsid w:val="00CD21F3"/>
    <w:rsid w:val="00CD2F20"/>
    <w:rsid w:val="00CD3034"/>
    <w:rsid w:val="00CD3FE3"/>
    <w:rsid w:val="00CD4D50"/>
    <w:rsid w:val="00CD5021"/>
    <w:rsid w:val="00CD553B"/>
    <w:rsid w:val="00CD56A4"/>
    <w:rsid w:val="00CD5C06"/>
    <w:rsid w:val="00CD62D4"/>
    <w:rsid w:val="00CD6667"/>
    <w:rsid w:val="00CD6C7E"/>
    <w:rsid w:val="00CD6D23"/>
    <w:rsid w:val="00CD6E35"/>
    <w:rsid w:val="00CD7227"/>
    <w:rsid w:val="00CE0033"/>
    <w:rsid w:val="00CE0044"/>
    <w:rsid w:val="00CE039C"/>
    <w:rsid w:val="00CE0BF8"/>
    <w:rsid w:val="00CE1345"/>
    <w:rsid w:val="00CE1B99"/>
    <w:rsid w:val="00CE3297"/>
    <w:rsid w:val="00CE4666"/>
    <w:rsid w:val="00CE4873"/>
    <w:rsid w:val="00CE4AFB"/>
    <w:rsid w:val="00CE5405"/>
    <w:rsid w:val="00CE6D1B"/>
    <w:rsid w:val="00CE6EAF"/>
    <w:rsid w:val="00CE7A58"/>
    <w:rsid w:val="00CE7ACD"/>
    <w:rsid w:val="00CE7D32"/>
    <w:rsid w:val="00CF01A7"/>
    <w:rsid w:val="00CF07E9"/>
    <w:rsid w:val="00CF0DC9"/>
    <w:rsid w:val="00CF0E80"/>
    <w:rsid w:val="00CF0F45"/>
    <w:rsid w:val="00CF0FAF"/>
    <w:rsid w:val="00CF1258"/>
    <w:rsid w:val="00CF1378"/>
    <w:rsid w:val="00CF147F"/>
    <w:rsid w:val="00CF178A"/>
    <w:rsid w:val="00CF1FD3"/>
    <w:rsid w:val="00CF2088"/>
    <w:rsid w:val="00CF25C0"/>
    <w:rsid w:val="00CF3053"/>
    <w:rsid w:val="00CF3A2E"/>
    <w:rsid w:val="00CF3A7D"/>
    <w:rsid w:val="00CF3D5D"/>
    <w:rsid w:val="00CF3F8F"/>
    <w:rsid w:val="00CF420D"/>
    <w:rsid w:val="00CF4867"/>
    <w:rsid w:val="00CF4AF3"/>
    <w:rsid w:val="00CF5236"/>
    <w:rsid w:val="00CF62A8"/>
    <w:rsid w:val="00CF65A3"/>
    <w:rsid w:val="00CF6694"/>
    <w:rsid w:val="00CF6EF5"/>
    <w:rsid w:val="00CF7054"/>
    <w:rsid w:val="00CF708F"/>
    <w:rsid w:val="00CF7682"/>
    <w:rsid w:val="00CF768B"/>
    <w:rsid w:val="00CF7722"/>
    <w:rsid w:val="00CF79A9"/>
    <w:rsid w:val="00CF7D42"/>
    <w:rsid w:val="00D0034F"/>
    <w:rsid w:val="00D0062C"/>
    <w:rsid w:val="00D0101F"/>
    <w:rsid w:val="00D01231"/>
    <w:rsid w:val="00D01DC4"/>
    <w:rsid w:val="00D0241E"/>
    <w:rsid w:val="00D0284C"/>
    <w:rsid w:val="00D02936"/>
    <w:rsid w:val="00D02D69"/>
    <w:rsid w:val="00D02F55"/>
    <w:rsid w:val="00D0353E"/>
    <w:rsid w:val="00D035A9"/>
    <w:rsid w:val="00D03EE0"/>
    <w:rsid w:val="00D0424F"/>
    <w:rsid w:val="00D04341"/>
    <w:rsid w:val="00D04533"/>
    <w:rsid w:val="00D048C5"/>
    <w:rsid w:val="00D05258"/>
    <w:rsid w:val="00D0549C"/>
    <w:rsid w:val="00D0570F"/>
    <w:rsid w:val="00D05898"/>
    <w:rsid w:val="00D05B1E"/>
    <w:rsid w:val="00D05E45"/>
    <w:rsid w:val="00D05EAD"/>
    <w:rsid w:val="00D065B4"/>
    <w:rsid w:val="00D06B4D"/>
    <w:rsid w:val="00D0734E"/>
    <w:rsid w:val="00D073BE"/>
    <w:rsid w:val="00D078E8"/>
    <w:rsid w:val="00D07A09"/>
    <w:rsid w:val="00D07CF9"/>
    <w:rsid w:val="00D07D29"/>
    <w:rsid w:val="00D07DCE"/>
    <w:rsid w:val="00D07E1D"/>
    <w:rsid w:val="00D07E3E"/>
    <w:rsid w:val="00D10077"/>
    <w:rsid w:val="00D10100"/>
    <w:rsid w:val="00D10198"/>
    <w:rsid w:val="00D10426"/>
    <w:rsid w:val="00D10644"/>
    <w:rsid w:val="00D10931"/>
    <w:rsid w:val="00D10AFA"/>
    <w:rsid w:val="00D11460"/>
    <w:rsid w:val="00D1152F"/>
    <w:rsid w:val="00D11D6C"/>
    <w:rsid w:val="00D11DE2"/>
    <w:rsid w:val="00D1280B"/>
    <w:rsid w:val="00D12898"/>
    <w:rsid w:val="00D12D73"/>
    <w:rsid w:val="00D13146"/>
    <w:rsid w:val="00D132B1"/>
    <w:rsid w:val="00D145F2"/>
    <w:rsid w:val="00D14755"/>
    <w:rsid w:val="00D14D2D"/>
    <w:rsid w:val="00D15176"/>
    <w:rsid w:val="00D1521C"/>
    <w:rsid w:val="00D1525E"/>
    <w:rsid w:val="00D161E9"/>
    <w:rsid w:val="00D167F4"/>
    <w:rsid w:val="00D16E2B"/>
    <w:rsid w:val="00D17BD8"/>
    <w:rsid w:val="00D203AE"/>
    <w:rsid w:val="00D20580"/>
    <w:rsid w:val="00D20C7E"/>
    <w:rsid w:val="00D21524"/>
    <w:rsid w:val="00D21E1A"/>
    <w:rsid w:val="00D22269"/>
    <w:rsid w:val="00D22408"/>
    <w:rsid w:val="00D2264F"/>
    <w:rsid w:val="00D228BE"/>
    <w:rsid w:val="00D22D1D"/>
    <w:rsid w:val="00D24086"/>
    <w:rsid w:val="00D2417A"/>
    <w:rsid w:val="00D2425B"/>
    <w:rsid w:val="00D2440A"/>
    <w:rsid w:val="00D24CA0"/>
    <w:rsid w:val="00D24EE6"/>
    <w:rsid w:val="00D2566E"/>
    <w:rsid w:val="00D25ABB"/>
    <w:rsid w:val="00D25D76"/>
    <w:rsid w:val="00D25DD0"/>
    <w:rsid w:val="00D260A2"/>
    <w:rsid w:val="00D26965"/>
    <w:rsid w:val="00D26A7B"/>
    <w:rsid w:val="00D26F97"/>
    <w:rsid w:val="00D26FC6"/>
    <w:rsid w:val="00D27136"/>
    <w:rsid w:val="00D27225"/>
    <w:rsid w:val="00D27400"/>
    <w:rsid w:val="00D27A17"/>
    <w:rsid w:val="00D27B49"/>
    <w:rsid w:val="00D27D89"/>
    <w:rsid w:val="00D30177"/>
    <w:rsid w:val="00D302DA"/>
    <w:rsid w:val="00D3032B"/>
    <w:rsid w:val="00D30D4E"/>
    <w:rsid w:val="00D31005"/>
    <w:rsid w:val="00D315DC"/>
    <w:rsid w:val="00D316D2"/>
    <w:rsid w:val="00D323B2"/>
    <w:rsid w:val="00D331E3"/>
    <w:rsid w:val="00D336ED"/>
    <w:rsid w:val="00D33A45"/>
    <w:rsid w:val="00D33F66"/>
    <w:rsid w:val="00D342B3"/>
    <w:rsid w:val="00D34893"/>
    <w:rsid w:val="00D348D7"/>
    <w:rsid w:val="00D34B23"/>
    <w:rsid w:val="00D34E64"/>
    <w:rsid w:val="00D34F74"/>
    <w:rsid w:val="00D358FF"/>
    <w:rsid w:val="00D35FD7"/>
    <w:rsid w:val="00D3612C"/>
    <w:rsid w:val="00D3614C"/>
    <w:rsid w:val="00D36863"/>
    <w:rsid w:val="00D36989"/>
    <w:rsid w:val="00D36A94"/>
    <w:rsid w:val="00D36BA6"/>
    <w:rsid w:val="00D37138"/>
    <w:rsid w:val="00D37486"/>
    <w:rsid w:val="00D37AA0"/>
    <w:rsid w:val="00D40147"/>
    <w:rsid w:val="00D406B3"/>
    <w:rsid w:val="00D40968"/>
    <w:rsid w:val="00D40A36"/>
    <w:rsid w:val="00D4119A"/>
    <w:rsid w:val="00D41706"/>
    <w:rsid w:val="00D4187C"/>
    <w:rsid w:val="00D421EC"/>
    <w:rsid w:val="00D4223B"/>
    <w:rsid w:val="00D42946"/>
    <w:rsid w:val="00D42CD5"/>
    <w:rsid w:val="00D430C2"/>
    <w:rsid w:val="00D432F3"/>
    <w:rsid w:val="00D4331B"/>
    <w:rsid w:val="00D4393F"/>
    <w:rsid w:val="00D44406"/>
    <w:rsid w:val="00D4457D"/>
    <w:rsid w:val="00D445D2"/>
    <w:rsid w:val="00D44728"/>
    <w:rsid w:val="00D44A7D"/>
    <w:rsid w:val="00D44B34"/>
    <w:rsid w:val="00D45711"/>
    <w:rsid w:val="00D45CC2"/>
    <w:rsid w:val="00D461B4"/>
    <w:rsid w:val="00D465CF"/>
    <w:rsid w:val="00D46CA5"/>
    <w:rsid w:val="00D46E3E"/>
    <w:rsid w:val="00D47218"/>
    <w:rsid w:val="00D47704"/>
    <w:rsid w:val="00D478A8"/>
    <w:rsid w:val="00D47A61"/>
    <w:rsid w:val="00D50BBF"/>
    <w:rsid w:val="00D516F4"/>
    <w:rsid w:val="00D51972"/>
    <w:rsid w:val="00D520FC"/>
    <w:rsid w:val="00D52165"/>
    <w:rsid w:val="00D528BD"/>
    <w:rsid w:val="00D53D35"/>
    <w:rsid w:val="00D541F5"/>
    <w:rsid w:val="00D54549"/>
    <w:rsid w:val="00D5482F"/>
    <w:rsid w:val="00D550DF"/>
    <w:rsid w:val="00D554DE"/>
    <w:rsid w:val="00D55F44"/>
    <w:rsid w:val="00D55FF4"/>
    <w:rsid w:val="00D56868"/>
    <w:rsid w:val="00D56974"/>
    <w:rsid w:val="00D56A93"/>
    <w:rsid w:val="00D56B06"/>
    <w:rsid w:val="00D57308"/>
    <w:rsid w:val="00D57867"/>
    <w:rsid w:val="00D57A9E"/>
    <w:rsid w:val="00D57E40"/>
    <w:rsid w:val="00D57F1A"/>
    <w:rsid w:val="00D606D6"/>
    <w:rsid w:val="00D60779"/>
    <w:rsid w:val="00D6097C"/>
    <w:rsid w:val="00D60A04"/>
    <w:rsid w:val="00D60D13"/>
    <w:rsid w:val="00D60EE1"/>
    <w:rsid w:val="00D616E0"/>
    <w:rsid w:val="00D61979"/>
    <w:rsid w:val="00D625B5"/>
    <w:rsid w:val="00D6286D"/>
    <w:rsid w:val="00D629F3"/>
    <w:rsid w:val="00D62E59"/>
    <w:rsid w:val="00D63354"/>
    <w:rsid w:val="00D63F9A"/>
    <w:rsid w:val="00D64134"/>
    <w:rsid w:val="00D64377"/>
    <w:rsid w:val="00D643E7"/>
    <w:rsid w:val="00D64E21"/>
    <w:rsid w:val="00D651DF"/>
    <w:rsid w:val="00D6523C"/>
    <w:rsid w:val="00D6599E"/>
    <w:rsid w:val="00D65A90"/>
    <w:rsid w:val="00D664D7"/>
    <w:rsid w:val="00D67D80"/>
    <w:rsid w:val="00D67F09"/>
    <w:rsid w:val="00D7020F"/>
    <w:rsid w:val="00D70385"/>
    <w:rsid w:val="00D704FD"/>
    <w:rsid w:val="00D7099B"/>
    <w:rsid w:val="00D70D1D"/>
    <w:rsid w:val="00D70E39"/>
    <w:rsid w:val="00D71094"/>
    <w:rsid w:val="00D71801"/>
    <w:rsid w:val="00D71E84"/>
    <w:rsid w:val="00D7201A"/>
    <w:rsid w:val="00D720BB"/>
    <w:rsid w:val="00D72368"/>
    <w:rsid w:val="00D72709"/>
    <w:rsid w:val="00D72A1F"/>
    <w:rsid w:val="00D72C65"/>
    <w:rsid w:val="00D72CAB"/>
    <w:rsid w:val="00D73015"/>
    <w:rsid w:val="00D7305F"/>
    <w:rsid w:val="00D73836"/>
    <w:rsid w:val="00D74991"/>
    <w:rsid w:val="00D74ACB"/>
    <w:rsid w:val="00D74DD0"/>
    <w:rsid w:val="00D7500F"/>
    <w:rsid w:val="00D75325"/>
    <w:rsid w:val="00D75AE4"/>
    <w:rsid w:val="00D75FC0"/>
    <w:rsid w:val="00D7654C"/>
    <w:rsid w:val="00D7680F"/>
    <w:rsid w:val="00D76CF2"/>
    <w:rsid w:val="00D76EB0"/>
    <w:rsid w:val="00D77F03"/>
    <w:rsid w:val="00D8051E"/>
    <w:rsid w:val="00D806CB"/>
    <w:rsid w:val="00D80BE1"/>
    <w:rsid w:val="00D80C02"/>
    <w:rsid w:val="00D80E48"/>
    <w:rsid w:val="00D811D5"/>
    <w:rsid w:val="00D811E2"/>
    <w:rsid w:val="00D8149D"/>
    <w:rsid w:val="00D81897"/>
    <w:rsid w:val="00D8233D"/>
    <w:rsid w:val="00D82423"/>
    <w:rsid w:val="00D828CE"/>
    <w:rsid w:val="00D82C3B"/>
    <w:rsid w:val="00D831F2"/>
    <w:rsid w:val="00D83D6C"/>
    <w:rsid w:val="00D83E01"/>
    <w:rsid w:val="00D84171"/>
    <w:rsid w:val="00D84AA0"/>
    <w:rsid w:val="00D84F4F"/>
    <w:rsid w:val="00D85E83"/>
    <w:rsid w:val="00D86242"/>
    <w:rsid w:val="00D864E3"/>
    <w:rsid w:val="00D866A3"/>
    <w:rsid w:val="00D86E01"/>
    <w:rsid w:val="00D86ECD"/>
    <w:rsid w:val="00D8722F"/>
    <w:rsid w:val="00D8749D"/>
    <w:rsid w:val="00D901B7"/>
    <w:rsid w:val="00D90C93"/>
    <w:rsid w:val="00D91013"/>
    <w:rsid w:val="00D91393"/>
    <w:rsid w:val="00D91434"/>
    <w:rsid w:val="00D9146B"/>
    <w:rsid w:val="00D91C9A"/>
    <w:rsid w:val="00D91F6C"/>
    <w:rsid w:val="00D9211F"/>
    <w:rsid w:val="00D92888"/>
    <w:rsid w:val="00D92D71"/>
    <w:rsid w:val="00D92E78"/>
    <w:rsid w:val="00D93532"/>
    <w:rsid w:val="00D93B49"/>
    <w:rsid w:val="00D93CD8"/>
    <w:rsid w:val="00D944C9"/>
    <w:rsid w:val="00D948AA"/>
    <w:rsid w:val="00D94A20"/>
    <w:rsid w:val="00D94A39"/>
    <w:rsid w:val="00D9549B"/>
    <w:rsid w:val="00D954F2"/>
    <w:rsid w:val="00D95B1B"/>
    <w:rsid w:val="00D96577"/>
    <w:rsid w:val="00D96954"/>
    <w:rsid w:val="00D96D94"/>
    <w:rsid w:val="00D97074"/>
    <w:rsid w:val="00D9716D"/>
    <w:rsid w:val="00D978F4"/>
    <w:rsid w:val="00DA0E28"/>
    <w:rsid w:val="00DA14CE"/>
    <w:rsid w:val="00DA1524"/>
    <w:rsid w:val="00DA1996"/>
    <w:rsid w:val="00DA32A1"/>
    <w:rsid w:val="00DA373E"/>
    <w:rsid w:val="00DA38C8"/>
    <w:rsid w:val="00DA3917"/>
    <w:rsid w:val="00DA3A94"/>
    <w:rsid w:val="00DA3E7F"/>
    <w:rsid w:val="00DA3F85"/>
    <w:rsid w:val="00DA45D5"/>
    <w:rsid w:val="00DA504C"/>
    <w:rsid w:val="00DA531C"/>
    <w:rsid w:val="00DA618C"/>
    <w:rsid w:val="00DA6861"/>
    <w:rsid w:val="00DA71D1"/>
    <w:rsid w:val="00DA75C4"/>
    <w:rsid w:val="00DA75D6"/>
    <w:rsid w:val="00DA7660"/>
    <w:rsid w:val="00DA7787"/>
    <w:rsid w:val="00DB0344"/>
    <w:rsid w:val="00DB0542"/>
    <w:rsid w:val="00DB07FF"/>
    <w:rsid w:val="00DB106B"/>
    <w:rsid w:val="00DB11A1"/>
    <w:rsid w:val="00DB1232"/>
    <w:rsid w:val="00DB1EEA"/>
    <w:rsid w:val="00DB2250"/>
    <w:rsid w:val="00DB2543"/>
    <w:rsid w:val="00DB26A0"/>
    <w:rsid w:val="00DB2872"/>
    <w:rsid w:val="00DB2C8B"/>
    <w:rsid w:val="00DB323B"/>
    <w:rsid w:val="00DB3340"/>
    <w:rsid w:val="00DB3768"/>
    <w:rsid w:val="00DB3950"/>
    <w:rsid w:val="00DB3C2C"/>
    <w:rsid w:val="00DB4EAC"/>
    <w:rsid w:val="00DB5752"/>
    <w:rsid w:val="00DB5AFE"/>
    <w:rsid w:val="00DB5F07"/>
    <w:rsid w:val="00DB6294"/>
    <w:rsid w:val="00DB63A9"/>
    <w:rsid w:val="00DB688D"/>
    <w:rsid w:val="00DB76C6"/>
    <w:rsid w:val="00DB790F"/>
    <w:rsid w:val="00DB7D80"/>
    <w:rsid w:val="00DB7E54"/>
    <w:rsid w:val="00DC0136"/>
    <w:rsid w:val="00DC0299"/>
    <w:rsid w:val="00DC03A5"/>
    <w:rsid w:val="00DC0447"/>
    <w:rsid w:val="00DC0534"/>
    <w:rsid w:val="00DC06F9"/>
    <w:rsid w:val="00DC0D03"/>
    <w:rsid w:val="00DC0DEB"/>
    <w:rsid w:val="00DC1EC8"/>
    <w:rsid w:val="00DC1EDA"/>
    <w:rsid w:val="00DC22DC"/>
    <w:rsid w:val="00DC2F87"/>
    <w:rsid w:val="00DC313F"/>
    <w:rsid w:val="00DC3292"/>
    <w:rsid w:val="00DC3416"/>
    <w:rsid w:val="00DC356E"/>
    <w:rsid w:val="00DC3A3B"/>
    <w:rsid w:val="00DC475C"/>
    <w:rsid w:val="00DC4B66"/>
    <w:rsid w:val="00DC4CFA"/>
    <w:rsid w:val="00DC4E32"/>
    <w:rsid w:val="00DC6324"/>
    <w:rsid w:val="00DC636B"/>
    <w:rsid w:val="00DC68F0"/>
    <w:rsid w:val="00DC6BCB"/>
    <w:rsid w:val="00DC6C5D"/>
    <w:rsid w:val="00DC6DAD"/>
    <w:rsid w:val="00DC778D"/>
    <w:rsid w:val="00DD160F"/>
    <w:rsid w:val="00DD1FF6"/>
    <w:rsid w:val="00DD2073"/>
    <w:rsid w:val="00DD24FB"/>
    <w:rsid w:val="00DD2A18"/>
    <w:rsid w:val="00DD2FB7"/>
    <w:rsid w:val="00DD30B4"/>
    <w:rsid w:val="00DD350F"/>
    <w:rsid w:val="00DD4080"/>
    <w:rsid w:val="00DD44AD"/>
    <w:rsid w:val="00DD4A47"/>
    <w:rsid w:val="00DD505A"/>
    <w:rsid w:val="00DD57E2"/>
    <w:rsid w:val="00DD5824"/>
    <w:rsid w:val="00DD5886"/>
    <w:rsid w:val="00DD5B66"/>
    <w:rsid w:val="00DD5F93"/>
    <w:rsid w:val="00DD6F51"/>
    <w:rsid w:val="00DD7255"/>
    <w:rsid w:val="00DD73E8"/>
    <w:rsid w:val="00DE0299"/>
    <w:rsid w:val="00DE07F3"/>
    <w:rsid w:val="00DE0DC7"/>
    <w:rsid w:val="00DE0E23"/>
    <w:rsid w:val="00DE0F69"/>
    <w:rsid w:val="00DE1811"/>
    <w:rsid w:val="00DE19EB"/>
    <w:rsid w:val="00DE2024"/>
    <w:rsid w:val="00DE2226"/>
    <w:rsid w:val="00DE263D"/>
    <w:rsid w:val="00DE2C48"/>
    <w:rsid w:val="00DE2DAC"/>
    <w:rsid w:val="00DE327E"/>
    <w:rsid w:val="00DE33B8"/>
    <w:rsid w:val="00DE34DA"/>
    <w:rsid w:val="00DE3729"/>
    <w:rsid w:val="00DE3747"/>
    <w:rsid w:val="00DE3DD2"/>
    <w:rsid w:val="00DE3E98"/>
    <w:rsid w:val="00DE3F1A"/>
    <w:rsid w:val="00DE43A3"/>
    <w:rsid w:val="00DE4594"/>
    <w:rsid w:val="00DE4610"/>
    <w:rsid w:val="00DE4805"/>
    <w:rsid w:val="00DE510A"/>
    <w:rsid w:val="00DE5167"/>
    <w:rsid w:val="00DE5233"/>
    <w:rsid w:val="00DE57B2"/>
    <w:rsid w:val="00DE59D1"/>
    <w:rsid w:val="00DE5C75"/>
    <w:rsid w:val="00DE6615"/>
    <w:rsid w:val="00DE69DF"/>
    <w:rsid w:val="00DE6A0E"/>
    <w:rsid w:val="00DE6EDB"/>
    <w:rsid w:val="00DE6FC6"/>
    <w:rsid w:val="00DE7051"/>
    <w:rsid w:val="00DE70E3"/>
    <w:rsid w:val="00DE75FD"/>
    <w:rsid w:val="00DE785D"/>
    <w:rsid w:val="00DE7B9D"/>
    <w:rsid w:val="00DE7D74"/>
    <w:rsid w:val="00DE7F51"/>
    <w:rsid w:val="00DF00FD"/>
    <w:rsid w:val="00DF08A9"/>
    <w:rsid w:val="00DF0CD3"/>
    <w:rsid w:val="00DF1008"/>
    <w:rsid w:val="00DF1044"/>
    <w:rsid w:val="00DF20BE"/>
    <w:rsid w:val="00DF20E8"/>
    <w:rsid w:val="00DF22D8"/>
    <w:rsid w:val="00DF27A5"/>
    <w:rsid w:val="00DF28B8"/>
    <w:rsid w:val="00DF2D18"/>
    <w:rsid w:val="00DF2EBF"/>
    <w:rsid w:val="00DF316F"/>
    <w:rsid w:val="00DF3427"/>
    <w:rsid w:val="00DF363A"/>
    <w:rsid w:val="00DF3748"/>
    <w:rsid w:val="00DF3A29"/>
    <w:rsid w:val="00DF3A77"/>
    <w:rsid w:val="00DF4092"/>
    <w:rsid w:val="00DF46D3"/>
    <w:rsid w:val="00DF48C0"/>
    <w:rsid w:val="00DF4938"/>
    <w:rsid w:val="00DF4CE4"/>
    <w:rsid w:val="00DF4D4E"/>
    <w:rsid w:val="00DF4D87"/>
    <w:rsid w:val="00DF4ED4"/>
    <w:rsid w:val="00DF5531"/>
    <w:rsid w:val="00DF568E"/>
    <w:rsid w:val="00DF5F12"/>
    <w:rsid w:val="00DF603B"/>
    <w:rsid w:val="00DF607D"/>
    <w:rsid w:val="00DF63A4"/>
    <w:rsid w:val="00DF66CB"/>
    <w:rsid w:val="00DF6A10"/>
    <w:rsid w:val="00DF6D79"/>
    <w:rsid w:val="00DF6DEF"/>
    <w:rsid w:val="00DF7308"/>
    <w:rsid w:val="00E0012B"/>
    <w:rsid w:val="00E001B9"/>
    <w:rsid w:val="00E00BAE"/>
    <w:rsid w:val="00E00D55"/>
    <w:rsid w:val="00E01401"/>
    <w:rsid w:val="00E01570"/>
    <w:rsid w:val="00E0203A"/>
    <w:rsid w:val="00E02174"/>
    <w:rsid w:val="00E02535"/>
    <w:rsid w:val="00E02650"/>
    <w:rsid w:val="00E02FA8"/>
    <w:rsid w:val="00E0300F"/>
    <w:rsid w:val="00E0323F"/>
    <w:rsid w:val="00E03D91"/>
    <w:rsid w:val="00E03DE7"/>
    <w:rsid w:val="00E04375"/>
    <w:rsid w:val="00E05A19"/>
    <w:rsid w:val="00E05C97"/>
    <w:rsid w:val="00E05F4C"/>
    <w:rsid w:val="00E06978"/>
    <w:rsid w:val="00E06F54"/>
    <w:rsid w:val="00E071A8"/>
    <w:rsid w:val="00E07539"/>
    <w:rsid w:val="00E1000B"/>
    <w:rsid w:val="00E10329"/>
    <w:rsid w:val="00E10384"/>
    <w:rsid w:val="00E1072B"/>
    <w:rsid w:val="00E10923"/>
    <w:rsid w:val="00E11ACF"/>
    <w:rsid w:val="00E12659"/>
    <w:rsid w:val="00E12781"/>
    <w:rsid w:val="00E12DF1"/>
    <w:rsid w:val="00E12E0C"/>
    <w:rsid w:val="00E13AF4"/>
    <w:rsid w:val="00E13B8C"/>
    <w:rsid w:val="00E13CF7"/>
    <w:rsid w:val="00E142CD"/>
    <w:rsid w:val="00E14A68"/>
    <w:rsid w:val="00E1528A"/>
    <w:rsid w:val="00E152DA"/>
    <w:rsid w:val="00E15414"/>
    <w:rsid w:val="00E15A80"/>
    <w:rsid w:val="00E15B4D"/>
    <w:rsid w:val="00E15E77"/>
    <w:rsid w:val="00E1624E"/>
    <w:rsid w:val="00E16B07"/>
    <w:rsid w:val="00E17428"/>
    <w:rsid w:val="00E20403"/>
    <w:rsid w:val="00E2056C"/>
    <w:rsid w:val="00E20580"/>
    <w:rsid w:val="00E207B8"/>
    <w:rsid w:val="00E21534"/>
    <w:rsid w:val="00E2164E"/>
    <w:rsid w:val="00E21E53"/>
    <w:rsid w:val="00E2217A"/>
    <w:rsid w:val="00E22784"/>
    <w:rsid w:val="00E22B09"/>
    <w:rsid w:val="00E23989"/>
    <w:rsid w:val="00E23F95"/>
    <w:rsid w:val="00E23FC7"/>
    <w:rsid w:val="00E242EB"/>
    <w:rsid w:val="00E2464D"/>
    <w:rsid w:val="00E2487B"/>
    <w:rsid w:val="00E25976"/>
    <w:rsid w:val="00E25B6F"/>
    <w:rsid w:val="00E26012"/>
    <w:rsid w:val="00E26197"/>
    <w:rsid w:val="00E26401"/>
    <w:rsid w:val="00E279BD"/>
    <w:rsid w:val="00E27BFA"/>
    <w:rsid w:val="00E27DDF"/>
    <w:rsid w:val="00E305A2"/>
    <w:rsid w:val="00E30607"/>
    <w:rsid w:val="00E31426"/>
    <w:rsid w:val="00E32032"/>
    <w:rsid w:val="00E32097"/>
    <w:rsid w:val="00E3253F"/>
    <w:rsid w:val="00E3289C"/>
    <w:rsid w:val="00E33612"/>
    <w:rsid w:val="00E34325"/>
    <w:rsid w:val="00E344B3"/>
    <w:rsid w:val="00E346AF"/>
    <w:rsid w:val="00E3493B"/>
    <w:rsid w:val="00E34C25"/>
    <w:rsid w:val="00E34EFF"/>
    <w:rsid w:val="00E35851"/>
    <w:rsid w:val="00E35B43"/>
    <w:rsid w:val="00E36693"/>
    <w:rsid w:val="00E36A86"/>
    <w:rsid w:val="00E36CCE"/>
    <w:rsid w:val="00E3723A"/>
    <w:rsid w:val="00E372AE"/>
    <w:rsid w:val="00E372B9"/>
    <w:rsid w:val="00E3761C"/>
    <w:rsid w:val="00E37927"/>
    <w:rsid w:val="00E40596"/>
    <w:rsid w:val="00E40635"/>
    <w:rsid w:val="00E41148"/>
    <w:rsid w:val="00E41192"/>
    <w:rsid w:val="00E4167C"/>
    <w:rsid w:val="00E4213A"/>
    <w:rsid w:val="00E42982"/>
    <w:rsid w:val="00E42D49"/>
    <w:rsid w:val="00E42DBB"/>
    <w:rsid w:val="00E42E17"/>
    <w:rsid w:val="00E431EA"/>
    <w:rsid w:val="00E43367"/>
    <w:rsid w:val="00E433AD"/>
    <w:rsid w:val="00E43AEC"/>
    <w:rsid w:val="00E43DB9"/>
    <w:rsid w:val="00E4465C"/>
    <w:rsid w:val="00E446ED"/>
    <w:rsid w:val="00E44797"/>
    <w:rsid w:val="00E448A3"/>
    <w:rsid w:val="00E44F2D"/>
    <w:rsid w:val="00E4531F"/>
    <w:rsid w:val="00E4540B"/>
    <w:rsid w:val="00E454B6"/>
    <w:rsid w:val="00E45653"/>
    <w:rsid w:val="00E457EE"/>
    <w:rsid w:val="00E45F07"/>
    <w:rsid w:val="00E46661"/>
    <w:rsid w:val="00E46BEF"/>
    <w:rsid w:val="00E46DCE"/>
    <w:rsid w:val="00E46F76"/>
    <w:rsid w:val="00E47412"/>
    <w:rsid w:val="00E47637"/>
    <w:rsid w:val="00E47BDA"/>
    <w:rsid w:val="00E5013D"/>
    <w:rsid w:val="00E508C5"/>
    <w:rsid w:val="00E50AFF"/>
    <w:rsid w:val="00E50DDC"/>
    <w:rsid w:val="00E512DA"/>
    <w:rsid w:val="00E51707"/>
    <w:rsid w:val="00E51962"/>
    <w:rsid w:val="00E51E6C"/>
    <w:rsid w:val="00E52DD4"/>
    <w:rsid w:val="00E53711"/>
    <w:rsid w:val="00E539FD"/>
    <w:rsid w:val="00E53C77"/>
    <w:rsid w:val="00E54064"/>
    <w:rsid w:val="00E541D1"/>
    <w:rsid w:val="00E544F7"/>
    <w:rsid w:val="00E54724"/>
    <w:rsid w:val="00E5495A"/>
    <w:rsid w:val="00E551C5"/>
    <w:rsid w:val="00E5613A"/>
    <w:rsid w:val="00E5624A"/>
    <w:rsid w:val="00E563EC"/>
    <w:rsid w:val="00E570AB"/>
    <w:rsid w:val="00E5749A"/>
    <w:rsid w:val="00E5797C"/>
    <w:rsid w:val="00E60A30"/>
    <w:rsid w:val="00E60AEC"/>
    <w:rsid w:val="00E60BA8"/>
    <w:rsid w:val="00E60C81"/>
    <w:rsid w:val="00E6104F"/>
    <w:rsid w:val="00E61156"/>
    <w:rsid w:val="00E625C7"/>
    <w:rsid w:val="00E62770"/>
    <w:rsid w:val="00E62E30"/>
    <w:rsid w:val="00E62F0A"/>
    <w:rsid w:val="00E637A9"/>
    <w:rsid w:val="00E637C6"/>
    <w:rsid w:val="00E63868"/>
    <w:rsid w:val="00E6487A"/>
    <w:rsid w:val="00E649F2"/>
    <w:rsid w:val="00E65684"/>
    <w:rsid w:val="00E6637A"/>
    <w:rsid w:val="00E6647D"/>
    <w:rsid w:val="00E665B8"/>
    <w:rsid w:val="00E6688F"/>
    <w:rsid w:val="00E668BF"/>
    <w:rsid w:val="00E66A3A"/>
    <w:rsid w:val="00E67129"/>
    <w:rsid w:val="00E67670"/>
    <w:rsid w:val="00E67A1C"/>
    <w:rsid w:val="00E67AD2"/>
    <w:rsid w:val="00E67E6D"/>
    <w:rsid w:val="00E67F11"/>
    <w:rsid w:val="00E70196"/>
    <w:rsid w:val="00E70349"/>
    <w:rsid w:val="00E70572"/>
    <w:rsid w:val="00E70A33"/>
    <w:rsid w:val="00E70B79"/>
    <w:rsid w:val="00E70F74"/>
    <w:rsid w:val="00E710D8"/>
    <w:rsid w:val="00E71270"/>
    <w:rsid w:val="00E71D2B"/>
    <w:rsid w:val="00E71DE7"/>
    <w:rsid w:val="00E720EB"/>
    <w:rsid w:val="00E721A0"/>
    <w:rsid w:val="00E729DA"/>
    <w:rsid w:val="00E72A10"/>
    <w:rsid w:val="00E732FA"/>
    <w:rsid w:val="00E738DF"/>
    <w:rsid w:val="00E73A6A"/>
    <w:rsid w:val="00E73A85"/>
    <w:rsid w:val="00E74933"/>
    <w:rsid w:val="00E74A54"/>
    <w:rsid w:val="00E756EE"/>
    <w:rsid w:val="00E75D49"/>
    <w:rsid w:val="00E75F9D"/>
    <w:rsid w:val="00E76227"/>
    <w:rsid w:val="00E7650B"/>
    <w:rsid w:val="00E76939"/>
    <w:rsid w:val="00E76FD3"/>
    <w:rsid w:val="00E772CC"/>
    <w:rsid w:val="00E77678"/>
    <w:rsid w:val="00E77977"/>
    <w:rsid w:val="00E77A88"/>
    <w:rsid w:val="00E80324"/>
    <w:rsid w:val="00E8056A"/>
    <w:rsid w:val="00E80853"/>
    <w:rsid w:val="00E808FB"/>
    <w:rsid w:val="00E80D69"/>
    <w:rsid w:val="00E81063"/>
    <w:rsid w:val="00E81E03"/>
    <w:rsid w:val="00E821CF"/>
    <w:rsid w:val="00E826E5"/>
    <w:rsid w:val="00E82775"/>
    <w:rsid w:val="00E832DD"/>
    <w:rsid w:val="00E83429"/>
    <w:rsid w:val="00E83A20"/>
    <w:rsid w:val="00E83F43"/>
    <w:rsid w:val="00E83F6B"/>
    <w:rsid w:val="00E8442F"/>
    <w:rsid w:val="00E847E1"/>
    <w:rsid w:val="00E8515D"/>
    <w:rsid w:val="00E85310"/>
    <w:rsid w:val="00E85551"/>
    <w:rsid w:val="00E8562E"/>
    <w:rsid w:val="00E8569E"/>
    <w:rsid w:val="00E861AC"/>
    <w:rsid w:val="00E86203"/>
    <w:rsid w:val="00E86234"/>
    <w:rsid w:val="00E8651C"/>
    <w:rsid w:val="00E86725"/>
    <w:rsid w:val="00E86C84"/>
    <w:rsid w:val="00E86E8E"/>
    <w:rsid w:val="00E86FE1"/>
    <w:rsid w:val="00E87468"/>
    <w:rsid w:val="00E874D8"/>
    <w:rsid w:val="00E876F5"/>
    <w:rsid w:val="00E87714"/>
    <w:rsid w:val="00E8774C"/>
    <w:rsid w:val="00E87C5D"/>
    <w:rsid w:val="00E90303"/>
    <w:rsid w:val="00E904EE"/>
    <w:rsid w:val="00E9088B"/>
    <w:rsid w:val="00E90CB3"/>
    <w:rsid w:val="00E90D04"/>
    <w:rsid w:val="00E90FF6"/>
    <w:rsid w:val="00E91239"/>
    <w:rsid w:val="00E9135A"/>
    <w:rsid w:val="00E9146D"/>
    <w:rsid w:val="00E915CB"/>
    <w:rsid w:val="00E91640"/>
    <w:rsid w:val="00E91773"/>
    <w:rsid w:val="00E91990"/>
    <w:rsid w:val="00E91D90"/>
    <w:rsid w:val="00E91D9F"/>
    <w:rsid w:val="00E91F2C"/>
    <w:rsid w:val="00E92D6F"/>
    <w:rsid w:val="00E93973"/>
    <w:rsid w:val="00E939D1"/>
    <w:rsid w:val="00E93A1C"/>
    <w:rsid w:val="00E93CD0"/>
    <w:rsid w:val="00E942C5"/>
    <w:rsid w:val="00E9463A"/>
    <w:rsid w:val="00E95366"/>
    <w:rsid w:val="00E955AB"/>
    <w:rsid w:val="00E9594A"/>
    <w:rsid w:val="00E9599D"/>
    <w:rsid w:val="00E96967"/>
    <w:rsid w:val="00E96ADF"/>
    <w:rsid w:val="00E96DFC"/>
    <w:rsid w:val="00E97191"/>
    <w:rsid w:val="00E97226"/>
    <w:rsid w:val="00E97291"/>
    <w:rsid w:val="00E97388"/>
    <w:rsid w:val="00E9787D"/>
    <w:rsid w:val="00E978DA"/>
    <w:rsid w:val="00E9798E"/>
    <w:rsid w:val="00EA0052"/>
    <w:rsid w:val="00EA02F8"/>
    <w:rsid w:val="00EA0302"/>
    <w:rsid w:val="00EA1D4A"/>
    <w:rsid w:val="00EA20A6"/>
    <w:rsid w:val="00EA28B4"/>
    <w:rsid w:val="00EA2A08"/>
    <w:rsid w:val="00EA2B60"/>
    <w:rsid w:val="00EA2E62"/>
    <w:rsid w:val="00EA2F30"/>
    <w:rsid w:val="00EA33B2"/>
    <w:rsid w:val="00EA3B2B"/>
    <w:rsid w:val="00EA3D8E"/>
    <w:rsid w:val="00EA4293"/>
    <w:rsid w:val="00EA42C3"/>
    <w:rsid w:val="00EA493B"/>
    <w:rsid w:val="00EA4E59"/>
    <w:rsid w:val="00EA4EBD"/>
    <w:rsid w:val="00EA55F9"/>
    <w:rsid w:val="00EA5ACF"/>
    <w:rsid w:val="00EA5DB9"/>
    <w:rsid w:val="00EA6764"/>
    <w:rsid w:val="00EA6BF6"/>
    <w:rsid w:val="00EA710A"/>
    <w:rsid w:val="00EA76A9"/>
    <w:rsid w:val="00EA78FA"/>
    <w:rsid w:val="00EA7A55"/>
    <w:rsid w:val="00EA7B37"/>
    <w:rsid w:val="00EB14B5"/>
    <w:rsid w:val="00EB1845"/>
    <w:rsid w:val="00EB1A8C"/>
    <w:rsid w:val="00EB1D77"/>
    <w:rsid w:val="00EB1ECA"/>
    <w:rsid w:val="00EB22BB"/>
    <w:rsid w:val="00EB27A1"/>
    <w:rsid w:val="00EB32A8"/>
    <w:rsid w:val="00EB33F1"/>
    <w:rsid w:val="00EB36B7"/>
    <w:rsid w:val="00EB39C9"/>
    <w:rsid w:val="00EB3CA2"/>
    <w:rsid w:val="00EB3D9E"/>
    <w:rsid w:val="00EB47D1"/>
    <w:rsid w:val="00EB493C"/>
    <w:rsid w:val="00EB49AC"/>
    <w:rsid w:val="00EB4D70"/>
    <w:rsid w:val="00EB5103"/>
    <w:rsid w:val="00EB56A9"/>
    <w:rsid w:val="00EB6291"/>
    <w:rsid w:val="00EB6A52"/>
    <w:rsid w:val="00EB6D77"/>
    <w:rsid w:val="00EB6E87"/>
    <w:rsid w:val="00EB71B1"/>
    <w:rsid w:val="00EB78A6"/>
    <w:rsid w:val="00EB7971"/>
    <w:rsid w:val="00EB7ECD"/>
    <w:rsid w:val="00EC0196"/>
    <w:rsid w:val="00EC035F"/>
    <w:rsid w:val="00EC08A2"/>
    <w:rsid w:val="00EC09F0"/>
    <w:rsid w:val="00EC0B65"/>
    <w:rsid w:val="00EC0F06"/>
    <w:rsid w:val="00EC0FE1"/>
    <w:rsid w:val="00EC1C11"/>
    <w:rsid w:val="00EC1C41"/>
    <w:rsid w:val="00EC1FCD"/>
    <w:rsid w:val="00EC22C1"/>
    <w:rsid w:val="00EC277C"/>
    <w:rsid w:val="00EC2D35"/>
    <w:rsid w:val="00EC35A0"/>
    <w:rsid w:val="00EC374A"/>
    <w:rsid w:val="00EC3767"/>
    <w:rsid w:val="00EC43DE"/>
    <w:rsid w:val="00EC4672"/>
    <w:rsid w:val="00EC48C2"/>
    <w:rsid w:val="00EC622C"/>
    <w:rsid w:val="00EC66A4"/>
    <w:rsid w:val="00EC66DA"/>
    <w:rsid w:val="00EC7EAE"/>
    <w:rsid w:val="00ED002D"/>
    <w:rsid w:val="00ED015B"/>
    <w:rsid w:val="00ED0453"/>
    <w:rsid w:val="00ED0701"/>
    <w:rsid w:val="00ED108B"/>
    <w:rsid w:val="00ED120B"/>
    <w:rsid w:val="00ED18A7"/>
    <w:rsid w:val="00ED18DC"/>
    <w:rsid w:val="00ED2122"/>
    <w:rsid w:val="00ED23E5"/>
    <w:rsid w:val="00ED2491"/>
    <w:rsid w:val="00ED2806"/>
    <w:rsid w:val="00ED2D5D"/>
    <w:rsid w:val="00ED38A3"/>
    <w:rsid w:val="00ED3D46"/>
    <w:rsid w:val="00ED4F1D"/>
    <w:rsid w:val="00ED50FC"/>
    <w:rsid w:val="00ED525C"/>
    <w:rsid w:val="00ED547B"/>
    <w:rsid w:val="00ED55F8"/>
    <w:rsid w:val="00ED5A45"/>
    <w:rsid w:val="00ED5F3E"/>
    <w:rsid w:val="00ED6B72"/>
    <w:rsid w:val="00ED70C3"/>
    <w:rsid w:val="00ED7760"/>
    <w:rsid w:val="00ED7A38"/>
    <w:rsid w:val="00ED7A45"/>
    <w:rsid w:val="00ED7AF5"/>
    <w:rsid w:val="00ED7ECB"/>
    <w:rsid w:val="00EE00C8"/>
    <w:rsid w:val="00EE084A"/>
    <w:rsid w:val="00EE08C7"/>
    <w:rsid w:val="00EE0B8D"/>
    <w:rsid w:val="00EE0E9A"/>
    <w:rsid w:val="00EE12A7"/>
    <w:rsid w:val="00EE1446"/>
    <w:rsid w:val="00EE15DD"/>
    <w:rsid w:val="00EE1741"/>
    <w:rsid w:val="00EE1B58"/>
    <w:rsid w:val="00EE1B7E"/>
    <w:rsid w:val="00EE2B10"/>
    <w:rsid w:val="00EE2E7D"/>
    <w:rsid w:val="00EE313E"/>
    <w:rsid w:val="00EE346E"/>
    <w:rsid w:val="00EE34BB"/>
    <w:rsid w:val="00EE3EB9"/>
    <w:rsid w:val="00EE40C0"/>
    <w:rsid w:val="00EE43DB"/>
    <w:rsid w:val="00EE4C2F"/>
    <w:rsid w:val="00EE50D9"/>
    <w:rsid w:val="00EE56DD"/>
    <w:rsid w:val="00EE5AFE"/>
    <w:rsid w:val="00EE6793"/>
    <w:rsid w:val="00EE6B1C"/>
    <w:rsid w:val="00EE6B8B"/>
    <w:rsid w:val="00EE7814"/>
    <w:rsid w:val="00EE78E8"/>
    <w:rsid w:val="00EF02B0"/>
    <w:rsid w:val="00EF0732"/>
    <w:rsid w:val="00EF0BDC"/>
    <w:rsid w:val="00EF1145"/>
    <w:rsid w:val="00EF215B"/>
    <w:rsid w:val="00EF28E8"/>
    <w:rsid w:val="00EF29FE"/>
    <w:rsid w:val="00EF2B84"/>
    <w:rsid w:val="00EF2CA2"/>
    <w:rsid w:val="00EF3076"/>
    <w:rsid w:val="00EF315E"/>
    <w:rsid w:val="00EF35D6"/>
    <w:rsid w:val="00EF37B9"/>
    <w:rsid w:val="00EF3BE0"/>
    <w:rsid w:val="00EF3CA1"/>
    <w:rsid w:val="00EF4012"/>
    <w:rsid w:val="00EF43CF"/>
    <w:rsid w:val="00EF45C0"/>
    <w:rsid w:val="00EF473D"/>
    <w:rsid w:val="00EF4CD0"/>
    <w:rsid w:val="00EF691A"/>
    <w:rsid w:val="00EF6E82"/>
    <w:rsid w:val="00EF73A0"/>
    <w:rsid w:val="00EF78F8"/>
    <w:rsid w:val="00EF7979"/>
    <w:rsid w:val="00EF7BA8"/>
    <w:rsid w:val="00F004CE"/>
    <w:rsid w:val="00F006AE"/>
    <w:rsid w:val="00F00E38"/>
    <w:rsid w:val="00F01563"/>
    <w:rsid w:val="00F021F6"/>
    <w:rsid w:val="00F029E9"/>
    <w:rsid w:val="00F02B6D"/>
    <w:rsid w:val="00F02E36"/>
    <w:rsid w:val="00F02F8E"/>
    <w:rsid w:val="00F03161"/>
    <w:rsid w:val="00F04093"/>
    <w:rsid w:val="00F05310"/>
    <w:rsid w:val="00F05604"/>
    <w:rsid w:val="00F0564D"/>
    <w:rsid w:val="00F05E5D"/>
    <w:rsid w:val="00F066C0"/>
    <w:rsid w:val="00F06897"/>
    <w:rsid w:val="00F06AFA"/>
    <w:rsid w:val="00F06CCA"/>
    <w:rsid w:val="00F07497"/>
    <w:rsid w:val="00F07B23"/>
    <w:rsid w:val="00F07D5A"/>
    <w:rsid w:val="00F07F4E"/>
    <w:rsid w:val="00F1002C"/>
    <w:rsid w:val="00F10D23"/>
    <w:rsid w:val="00F10D41"/>
    <w:rsid w:val="00F113DF"/>
    <w:rsid w:val="00F11646"/>
    <w:rsid w:val="00F11B43"/>
    <w:rsid w:val="00F11C2B"/>
    <w:rsid w:val="00F127B2"/>
    <w:rsid w:val="00F13104"/>
    <w:rsid w:val="00F134B3"/>
    <w:rsid w:val="00F13779"/>
    <w:rsid w:val="00F13AC9"/>
    <w:rsid w:val="00F156EE"/>
    <w:rsid w:val="00F15DC5"/>
    <w:rsid w:val="00F16265"/>
    <w:rsid w:val="00F163B9"/>
    <w:rsid w:val="00F16EC9"/>
    <w:rsid w:val="00F172B5"/>
    <w:rsid w:val="00F1777C"/>
    <w:rsid w:val="00F1795E"/>
    <w:rsid w:val="00F17A80"/>
    <w:rsid w:val="00F21870"/>
    <w:rsid w:val="00F21997"/>
    <w:rsid w:val="00F219DD"/>
    <w:rsid w:val="00F21A82"/>
    <w:rsid w:val="00F2279B"/>
    <w:rsid w:val="00F233D3"/>
    <w:rsid w:val="00F23419"/>
    <w:rsid w:val="00F23935"/>
    <w:rsid w:val="00F23E4F"/>
    <w:rsid w:val="00F244BF"/>
    <w:rsid w:val="00F2468E"/>
    <w:rsid w:val="00F2478B"/>
    <w:rsid w:val="00F25376"/>
    <w:rsid w:val="00F2555A"/>
    <w:rsid w:val="00F25C80"/>
    <w:rsid w:val="00F260B4"/>
    <w:rsid w:val="00F263D9"/>
    <w:rsid w:val="00F2652A"/>
    <w:rsid w:val="00F2664D"/>
    <w:rsid w:val="00F269A6"/>
    <w:rsid w:val="00F26C2B"/>
    <w:rsid w:val="00F27A70"/>
    <w:rsid w:val="00F27B5C"/>
    <w:rsid w:val="00F27E1C"/>
    <w:rsid w:val="00F30464"/>
    <w:rsid w:val="00F30CCF"/>
    <w:rsid w:val="00F3119F"/>
    <w:rsid w:val="00F31754"/>
    <w:rsid w:val="00F32062"/>
    <w:rsid w:val="00F32B17"/>
    <w:rsid w:val="00F32DF9"/>
    <w:rsid w:val="00F33362"/>
    <w:rsid w:val="00F335F8"/>
    <w:rsid w:val="00F33713"/>
    <w:rsid w:val="00F338D0"/>
    <w:rsid w:val="00F33B88"/>
    <w:rsid w:val="00F33E79"/>
    <w:rsid w:val="00F3471C"/>
    <w:rsid w:val="00F34780"/>
    <w:rsid w:val="00F352A7"/>
    <w:rsid w:val="00F35454"/>
    <w:rsid w:val="00F35A0E"/>
    <w:rsid w:val="00F35B0B"/>
    <w:rsid w:val="00F35EE8"/>
    <w:rsid w:val="00F35FDC"/>
    <w:rsid w:val="00F37203"/>
    <w:rsid w:val="00F37251"/>
    <w:rsid w:val="00F37A3C"/>
    <w:rsid w:val="00F37CD1"/>
    <w:rsid w:val="00F4041F"/>
    <w:rsid w:val="00F40663"/>
    <w:rsid w:val="00F4092B"/>
    <w:rsid w:val="00F40961"/>
    <w:rsid w:val="00F40AE7"/>
    <w:rsid w:val="00F41548"/>
    <w:rsid w:val="00F417E0"/>
    <w:rsid w:val="00F41B21"/>
    <w:rsid w:val="00F41DE1"/>
    <w:rsid w:val="00F42902"/>
    <w:rsid w:val="00F42924"/>
    <w:rsid w:val="00F42974"/>
    <w:rsid w:val="00F431A2"/>
    <w:rsid w:val="00F43A99"/>
    <w:rsid w:val="00F43DA7"/>
    <w:rsid w:val="00F44095"/>
    <w:rsid w:val="00F440BC"/>
    <w:rsid w:val="00F4410F"/>
    <w:rsid w:val="00F44196"/>
    <w:rsid w:val="00F44250"/>
    <w:rsid w:val="00F44822"/>
    <w:rsid w:val="00F44E15"/>
    <w:rsid w:val="00F451A9"/>
    <w:rsid w:val="00F45741"/>
    <w:rsid w:val="00F45D04"/>
    <w:rsid w:val="00F45D61"/>
    <w:rsid w:val="00F45F65"/>
    <w:rsid w:val="00F46671"/>
    <w:rsid w:val="00F466C2"/>
    <w:rsid w:val="00F470B1"/>
    <w:rsid w:val="00F47B6A"/>
    <w:rsid w:val="00F47B9C"/>
    <w:rsid w:val="00F47E92"/>
    <w:rsid w:val="00F502DD"/>
    <w:rsid w:val="00F512F6"/>
    <w:rsid w:val="00F5164B"/>
    <w:rsid w:val="00F51C42"/>
    <w:rsid w:val="00F52611"/>
    <w:rsid w:val="00F5283D"/>
    <w:rsid w:val="00F52929"/>
    <w:rsid w:val="00F52EFE"/>
    <w:rsid w:val="00F5327B"/>
    <w:rsid w:val="00F5341F"/>
    <w:rsid w:val="00F538A4"/>
    <w:rsid w:val="00F5399A"/>
    <w:rsid w:val="00F54380"/>
    <w:rsid w:val="00F543AB"/>
    <w:rsid w:val="00F54F1C"/>
    <w:rsid w:val="00F54F2D"/>
    <w:rsid w:val="00F5588E"/>
    <w:rsid w:val="00F5590F"/>
    <w:rsid w:val="00F55F45"/>
    <w:rsid w:val="00F55F8B"/>
    <w:rsid w:val="00F5621D"/>
    <w:rsid w:val="00F56328"/>
    <w:rsid w:val="00F5695C"/>
    <w:rsid w:val="00F56A1F"/>
    <w:rsid w:val="00F56A7F"/>
    <w:rsid w:val="00F56ED4"/>
    <w:rsid w:val="00F57333"/>
    <w:rsid w:val="00F57CE2"/>
    <w:rsid w:val="00F600FC"/>
    <w:rsid w:val="00F60975"/>
    <w:rsid w:val="00F60FDC"/>
    <w:rsid w:val="00F61155"/>
    <w:rsid w:val="00F618EC"/>
    <w:rsid w:val="00F61A52"/>
    <w:rsid w:val="00F61C28"/>
    <w:rsid w:val="00F61C47"/>
    <w:rsid w:val="00F6219A"/>
    <w:rsid w:val="00F626A8"/>
    <w:rsid w:val="00F62D45"/>
    <w:rsid w:val="00F63066"/>
    <w:rsid w:val="00F6315F"/>
    <w:rsid w:val="00F6365D"/>
    <w:rsid w:val="00F63933"/>
    <w:rsid w:val="00F64A9F"/>
    <w:rsid w:val="00F64EFB"/>
    <w:rsid w:val="00F64FD3"/>
    <w:rsid w:val="00F65EBC"/>
    <w:rsid w:val="00F66017"/>
    <w:rsid w:val="00F66488"/>
    <w:rsid w:val="00F66D97"/>
    <w:rsid w:val="00F66FD4"/>
    <w:rsid w:val="00F674F8"/>
    <w:rsid w:val="00F67535"/>
    <w:rsid w:val="00F676DC"/>
    <w:rsid w:val="00F67985"/>
    <w:rsid w:val="00F67B24"/>
    <w:rsid w:val="00F705B2"/>
    <w:rsid w:val="00F705D5"/>
    <w:rsid w:val="00F70711"/>
    <w:rsid w:val="00F70CF9"/>
    <w:rsid w:val="00F715C8"/>
    <w:rsid w:val="00F71EE0"/>
    <w:rsid w:val="00F722DA"/>
    <w:rsid w:val="00F72BC2"/>
    <w:rsid w:val="00F732E9"/>
    <w:rsid w:val="00F733F6"/>
    <w:rsid w:val="00F73AAA"/>
    <w:rsid w:val="00F73D2D"/>
    <w:rsid w:val="00F73E4A"/>
    <w:rsid w:val="00F7482F"/>
    <w:rsid w:val="00F748E3"/>
    <w:rsid w:val="00F753AB"/>
    <w:rsid w:val="00F75414"/>
    <w:rsid w:val="00F75859"/>
    <w:rsid w:val="00F75F5C"/>
    <w:rsid w:val="00F767C5"/>
    <w:rsid w:val="00F76B98"/>
    <w:rsid w:val="00F76C66"/>
    <w:rsid w:val="00F77072"/>
    <w:rsid w:val="00F77ED7"/>
    <w:rsid w:val="00F803E8"/>
    <w:rsid w:val="00F80517"/>
    <w:rsid w:val="00F80600"/>
    <w:rsid w:val="00F80A29"/>
    <w:rsid w:val="00F80B80"/>
    <w:rsid w:val="00F80E40"/>
    <w:rsid w:val="00F811D7"/>
    <w:rsid w:val="00F81AA9"/>
    <w:rsid w:val="00F81CC3"/>
    <w:rsid w:val="00F81E32"/>
    <w:rsid w:val="00F820F1"/>
    <w:rsid w:val="00F8266C"/>
    <w:rsid w:val="00F82B4E"/>
    <w:rsid w:val="00F82BFF"/>
    <w:rsid w:val="00F83744"/>
    <w:rsid w:val="00F84A75"/>
    <w:rsid w:val="00F85304"/>
    <w:rsid w:val="00F8561B"/>
    <w:rsid w:val="00F85B08"/>
    <w:rsid w:val="00F85B4F"/>
    <w:rsid w:val="00F86002"/>
    <w:rsid w:val="00F86376"/>
    <w:rsid w:val="00F86A6C"/>
    <w:rsid w:val="00F86BEC"/>
    <w:rsid w:val="00F87042"/>
    <w:rsid w:val="00F87197"/>
    <w:rsid w:val="00F87566"/>
    <w:rsid w:val="00F87714"/>
    <w:rsid w:val="00F877A0"/>
    <w:rsid w:val="00F87D58"/>
    <w:rsid w:val="00F900D1"/>
    <w:rsid w:val="00F907F4"/>
    <w:rsid w:val="00F90E5A"/>
    <w:rsid w:val="00F915E3"/>
    <w:rsid w:val="00F916C6"/>
    <w:rsid w:val="00F91AAC"/>
    <w:rsid w:val="00F92BD3"/>
    <w:rsid w:val="00F92D5A"/>
    <w:rsid w:val="00F92FA7"/>
    <w:rsid w:val="00F9313A"/>
    <w:rsid w:val="00F93DC1"/>
    <w:rsid w:val="00F93EF2"/>
    <w:rsid w:val="00F941BB"/>
    <w:rsid w:val="00F94ADD"/>
    <w:rsid w:val="00F94B52"/>
    <w:rsid w:val="00F9555C"/>
    <w:rsid w:val="00F9599C"/>
    <w:rsid w:val="00F959DB"/>
    <w:rsid w:val="00F95C81"/>
    <w:rsid w:val="00F9652E"/>
    <w:rsid w:val="00F96D8C"/>
    <w:rsid w:val="00F96E21"/>
    <w:rsid w:val="00F97626"/>
    <w:rsid w:val="00F97EF8"/>
    <w:rsid w:val="00FA0080"/>
    <w:rsid w:val="00FA01AB"/>
    <w:rsid w:val="00FA0B1F"/>
    <w:rsid w:val="00FA0F8C"/>
    <w:rsid w:val="00FA1319"/>
    <w:rsid w:val="00FA1340"/>
    <w:rsid w:val="00FA135A"/>
    <w:rsid w:val="00FA15C9"/>
    <w:rsid w:val="00FA1B80"/>
    <w:rsid w:val="00FA1BA8"/>
    <w:rsid w:val="00FA23CA"/>
    <w:rsid w:val="00FA24AD"/>
    <w:rsid w:val="00FA24E7"/>
    <w:rsid w:val="00FA2B25"/>
    <w:rsid w:val="00FA2EB9"/>
    <w:rsid w:val="00FA3303"/>
    <w:rsid w:val="00FA38C8"/>
    <w:rsid w:val="00FA41F1"/>
    <w:rsid w:val="00FA43DF"/>
    <w:rsid w:val="00FA48E2"/>
    <w:rsid w:val="00FA539C"/>
    <w:rsid w:val="00FA5846"/>
    <w:rsid w:val="00FA5A86"/>
    <w:rsid w:val="00FA6A56"/>
    <w:rsid w:val="00FA703B"/>
    <w:rsid w:val="00FA736D"/>
    <w:rsid w:val="00FA73C1"/>
    <w:rsid w:val="00FA77E0"/>
    <w:rsid w:val="00FA7CE0"/>
    <w:rsid w:val="00FA7DAE"/>
    <w:rsid w:val="00FB05AB"/>
    <w:rsid w:val="00FB0683"/>
    <w:rsid w:val="00FB0892"/>
    <w:rsid w:val="00FB19A0"/>
    <w:rsid w:val="00FB19C6"/>
    <w:rsid w:val="00FB2150"/>
    <w:rsid w:val="00FB29A3"/>
    <w:rsid w:val="00FB2BA3"/>
    <w:rsid w:val="00FB34AF"/>
    <w:rsid w:val="00FB3ACF"/>
    <w:rsid w:val="00FB3B32"/>
    <w:rsid w:val="00FB423E"/>
    <w:rsid w:val="00FB4ADA"/>
    <w:rsid w:val="00FB4C6C"/>
    <w:rsid w:val="00FB4F9A"/>
    <w:rsid w:val="00FB5597"/>
    <w:rsid w:val="00FB5938"/>
    <w:rsid w:val="00FB659D"/>
    <w:rsid w:val="00FB78EA"/>
    <w:rsid w:val="00FC026D"/>
    <w:rsid w:val="00FC04CE"/>
    <w:rsid w:val="00FC095D"/>
    <w:rsid w:val="00FC0C94"/>
    <w:rsid w:val="00FC0F2D"/>
    <w:rsid w:val="00FC1057"/>
    <w:rsid w:val="00FC1216"/>
    <w:rsid w:val="00FC1962"/>
    <w:rsid w:val="00FC1A19"/>
    <w:rsid w:val="00FC1BB5"/>
    <w:rsid w:val="00FC2064"/>
    <w:rsid w:val="00FC20EC"/>
    <w:rsid w:val="00FC2779"/>
    <w:rsid w:val="00FC27E6"/>
    <w:rsid w:val="00FC295F"/>
    <w:rsid w:val="00FC2BB9"/>
    <w:rsid w:val="00FC30B4"/>
    <w:rsid w:val="00FC31CB"/>
    <w:rsid w:val="00FC3395"/>
    <w:rsid w:val="00FC3B37"/>
    <w:rsid w:val="00FC3EC9"/>
    <w:rsid w:val="00FC4966"/>
    <w:rsid w:val="00FC4BEC"/>
    <w:rsid w:val="00FC5540"/>
    <w:rsid w:val="00FC5FC2"/>
    <w:rsid w:val="00FC62A8"/>
    <w:rsid w:val="00FC64CD"/>
    <w:rsid w:val="00FC655A"/>
    <w:rsid w:val="00FC67A2"/>
    <w:rsid w:val="00FC6E84"/>
    <w:rsid w:val="00FC71E0"/>
    <w:rsid w:val="00FC72D2"/>
    <w:rsid w:val="00FC731E"/>
    <w:rsid w:val="00FC758A"/>
    <w:rsid w:val="00FC759A"/>
    <w:rsid w:val="00FC7654"/>
    <w:rsid w:val="00FC7677"/>
    <w:rsid w:val="00FC7A66"/>
    <w:rsid w:val="00FC7FF7"/>
    <w:rsid w:val="00FD020F"/>
    <w:rsid w:val="00FD03F9"/>
    <w:rsid w:val="00FD0C3B"/>
    <w:rsid w:val="00FD1005"/>
    <w:rsid w:val="00FD1A35"/>
    <w:rsid w:val="00FD206D"/>
    <w:rsid w:val="00FD2076"/>
    <w:rsid w:val="00FD230B"/>
    <w:rsid w:val="00FD2767"/>
    <w:rsid w:val="00FD3380"/>
    <w:rsid w:val="00FD3828"/>
    <w:rsid w:val="00FD511C"/>
    <w:rsid w:val="00FD526E"/>
    <w:rsid w:val="00FD55B6"/>
    <w:rsid w:val="00FD55C8"/>
    <w:rsid w:val="00FD57A1"/>
    <w:rsid w:val="00FD5945"/>
    <w:rsid w:val="00FD5962"/>
    <w:rsid w:val="00FD5AE2"/>
    <w:rsid w:val="00FD5B23"/>
    <w:rsid w:val="00FD5FB7"/>
    <w:rsid w:val="00FD6958"/>
    <w:rsid w:val="00FD6A80"/>
    <w:rsid w:val="00FD6CA8"/>
    <w:rsid w:val="00FD6FB4"/>
    <w:rsid w:val="00FD7613"/>
    <w:rsid w:val="00FD772C"/>
    <w:rsid w:val="00FD77AC"/>
    <w:rsid w:val="00FD7A5A"/>
    <w:rsid w:val="00FD7AA6"/>
    <w:rsid w:val="00FD7AE4"/>
    <w:rsid w:val="00FD7FE1"/>
    <w:rsid w:val="00FE039B"/>
    <w:rsid w:val="00FE04B8"/>
    <w:rsid w:val="00FE082C"/>
    <w:rsid w:val="00FE1082"/>
    <w:rsid w:val="00FE1CD9"/>
    <w:rsid w:val="00FE1D93"/>
    <w:rsid w:val="00FE24FC"/>
    <w:rsid w:val="00FE2585"/>
    <w:rsid w:val="00FE25FD"/>
    <w:rsid w:val="00FE27B3"/>
    <w:rsid w:val="00FE291A"/>
    <w:rsid w:val="00FE2A1A"/>
    <w:rsid w:val="00FE3280"/>
    <w:rsid w:val="00FE3306"/>
    <w:rsid w:val="00FE36EA"/>
    <w:rsid w:val="00FE3763"/>
    <w:rsid w:val="00FE37D3"/>
    <w:rsid w:val="00FE3953"/>
    <w:rsid w:val="00FE4073"/>
    <w:rsid w:val="00FE476A"/>
    <w:rsid w:val="00FE4852"/>
    <w:rsid w:val="00FE4990"/>
    <w:rsid w:val="00FE4A22"/>
    <w:rsid w:val="00FE5336"/>
    <w:rsid w:val="00FE558F"/>
    <w:rsid w:val="00FE5B1A"/>
    <w:rsid w:val="00FE6214"/>
    <w:rsid w:val="00FE66C5"/>
    <w:rsid w:val="00FE678D"/>
    <w:rsid w:val="00FE686D"/>
    <w:rsid w:val="00FE7071"/>
    <w:rsid w:val="00FE723B"/>
    <w:rsid w:val="00FE780E"/>
    <w:rsid w:val="00FE7AE4"/>
    <w:rsid w:val="00FF00F4"/>
    <w:rsid w:val="00FF029E"/>
    <w:rsid w:val="00FF07EA"/>
    <w:rsid w:val="00FF0929"/>
    <w:rsid w:val="00FF0D64"/>
    <w:rsid w:val="00FF126A"/>
    <w:rsid w:val="00FF18D3"/>
    <w:rsid w:val="00FF1A86"/>
    <w:rsid w:val="00FF1AFA"/>
    <w:rsid w:val="00FF1D28"/>
    <w:rsid w:val="00FF1EB3"/>
    <w:rsid w:val="00FF1FA1"/>
    <w:rsid w:val="00FF2176"/>
    <w:rsid w:val="00FF2372"/>
    <w:rsid w:val="00FF258D"/>
    <w:rsid w:val="00FF27B8"/>
    <w:rsid w:val="00FF3443"/>
    <w:rsid w:val="00FF35C3"/>
    <w:rsid w:val="00FF360B"/>
    <w:rsid w:val="00FF3969"/>
    <w:rsid w:val="00FF451E"/>
    <w:rsid w:val="00FF476A"/>
    <w:rsid w:val="00FF4E4F"/>
    <w:rsid w:val="00FF53A3"/>
    <w:rsid w:val="00FF580D"/>
    <w:rsid w:val="00FF59E0"/>
    <w:rsid w:val="00FF6068"/>
    <w:rsid w:val="00FF617D"/>
    <w:rsid w:val="00FF6490"/>
    <w:rsid w:val="00FF65A9"/>
    <w:rsid w:val="00FF70A7"/>
    <w:rsid w:val="00FF70B5"/>
    <w:rsid w:val="00FF72D3"/>
    <w:rsid w:val="00FF73F1"/>
    <w:rsid w:val="00FF7A0D"/>
    <w:rsid w:val="00FF7B29"/>
    <w:rsid w:val="00FF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40411"/>
  <w15:docId w15:val="{B7E7F442-1297-4081-9999-EA53970E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5ABF"/>
    <w:pPr>
      <w:spacing w:after="200" w:line="276" w:lineRule="auto"/>
    </w:pPr>
    <w:rPr>
      <w:rFonts w:asciiTheme="minorHAnsi" w:hAnsiTheme="minorHAnsi"/>
    </w:rPr>
  </w:style>
  <w:style w:type="paragraph" w:styleId="Heading1">
    <w:name w:val="heading 1"/>
    <w:basedOn w:val="Normal"/>
    <w:next w:val="Normal"/>
    <w:link w:val="Heading1Char"/>
    <w:uiPriority w:val="9"/>
    <w:qFormat/>
    <w:rsid w:val="0088442A"/>
    <w:pPr>
      <w:keepNext/>
      <w:keepLines/>
      <w:spacing w:before="240" w:after="0" w:line="259" w:lineRule="auto"/>
      <w:outlineLvl w:val="0"/>
    </w:pPr>
    <w:rPr>
      <w:rFonts w:eastAsiaTheme="majorEastAsia"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88442A"/>
    <w:pPr>
      <w:keepNext/>
      <w:keepLines/>
      <w:spacing w:before="40" w:after="0" w:line="259" w:lineRule="auto"/>
      <w:outlineLvl w:val="1"/>
    </w:pPr>
    <w:rPr>
      <w:rFonts w:eastAsiaTheme="majorEastAsia" w:cstheme="majorBidi"/>
      <w:b/>
      <w:color w:val="2F5496" w:themeColor="accent1" w:themeShade="BF"/>
      <w:sz w:val="24"/>
      <w:szCs w:val="26"/>
    </w:rPr>
  </w:style>
  <w:style w:type="paragraph" w:styleId="Heading3">
    <w:name w:val="heading 3"/>
    <w:basedOn w:val="Normal"/>
    <w:next w:val="Normal"/>
    <w:link w:val="Heading3Char"/>
    <w:uiPriority w:val="9"/>
    <w:unhideWhenUsed/>
    <w:qFormat/>
    <w:rsid w:val="0088442A"/>
    <w:pPr>
      <w:keepNext/>
      <w:keepLines/>
      <w:spacing w:before="40" w:after="0" w:line="259" w:lineRule="auto"/>
      <w:outlineLvl w:val="2"/>
    </w:pPr>
    <w:rPr>
      <w:rFonts w:eastAsiaTheme="majorEastAsia" w:cstheme="majorBidi"/>
      <w:i/>
      <w:color w:val="1F3763" w:themeColor="accent1" w:themeShade="7F"/>
      <w:sz w:val="24"/>
      <w:szCs w:val="24"/>
    </w:rPr>
  </w:style>
  <w:style w:type="paragraph" w:styleId="Heading4">
    <w:name w:val="heading 4"/>
    <w:basedOn w:val="Normal"/>
    <w:next w:val="Normal"/>
    <w:link w:val="Heading4Char"/>
    <w:uiPriority w:val="9"/>
    <w:unhideWhenUsed/>
    <w:qFormat/>
    <w:rsid w:val="0088442A"/>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76AB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42A"/>
    <w:rPr>
      <w:rFonts w:asciiTheme="minorHAnsi" w:eastAsiaTheme="majorEastAsia" w:hAnsiTheme="minorHAnsi" w:cstheme="majorBidi"/>
      <w:b/>
      <w:color w:val="2F5496" w:themeColor="accent1" w:themeShade="BF"/>
      <w:sz w:val="28"/>
      <w:szCs w:val="32"/>
    </w:rPr>
  </w:style>
  <w:style w:type="character" w:customStyle="1" w:styleId="Heading2Char">
    <w:name w:val="Heading 2 Char"/>
    <w:basedOn w:val="DefaultParagraphFont"/>
    <w:link w:val="Heading2"/>
    <w:uiPriority w:val="9"/>
    <w:rsid w:val="0088442A"/>
    <w:rPr>
      <w:rFonts w:asciiTheme="minorHAnsi" w:eastAsiaTheme="majorEastAsia" w:hAnsiTheme="minorHAnsi" w:cstheme="majorBidi"/>
      <w:b/>
      <w:color w:val="2F5496" w:themeColor="accent1" w:themeShade="BF"/>
      <w:sz w:val="24"/>
      <w:szCs w:val="26"/>
    </w:rPr>
  </w:style>
  <w:style w:type="character" w:customStyle="1" w:styleId="Heading3Char">
    <w:name w:val="Heading 3 Char"/>
    <w:basedOn w:val="DefaultParagraphFont"/>
    <w:link w:val="Heading3"/>
    <w:uiPriority w:val="9"/>
    <w:rsid w:val="0088442A"/>
    <w:rPr>
      <w:rFonts w:asciiTheme="minorHAnsi" w:eastAsiaTheme="majorEastAsia" w:hAnsiTheme="minorHAnsi" w:cstheme="majorBidi"/>
      <w:i/>
      <w:color w:val="1F3763" w:themeColor="accent1" w:themeShade="7F"/>
      <w:sz w:val="24"/>
      <w:szCs w:val="24"/>
    </w:rPr>
  </w:style>
  <w:style w:type="character" w:customStyle="1" w:styleId="Heading4Char">
    <w:name w:val="Heading 4 Char"/>
    <w:basedOn w:val="DefaultParagraphFont"/>
    <w:link w:val="Heading4"/>
    <w:uiPriority w:val="9"/>
    <w:rsid w:val="0088442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B3268"/>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3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B3268"/>
    <w:rPr>
      <w:rFonts w:ascii="Courier New" w:eastAsia="Times New Roman" w:hAnsi="Courier New" w:cs="Courier New"/>
      <w:sz w:val="20"/>
      <w:szCs w:val="20"/>
    </w:rPr>
  </w:style>
  <w:style w:type="character" w:customStyle="1" w:styleId="y2iqfc">
    <w:name w:val="y2iqfc"/>
    <w:basedOn w:val="DefaultParagraphFont"/>
    <w:rsid w:val="00BB3268"/>
  </w:style>
  <w:style w:type="character" w:styleId="CommentReference">
    <w:name w:val="annotation reference"/>
    <w:basedOn w:val="DefaultParagraphFont"/>
    <w:uiPriority w:val="99"/>
    <w:semiHidden/>
    <w:unhideWhenUsed/>
    <w:rsid w:val="00BB3268"/>
    <w:rPr>
      <w:sz w:val="16"/>
      <w:szCs w:val="16"/>
    </w:rPr>
  </w:style>
  <w:style w:type="paragraph" w:styleId="CommentText">
    <w:name w:val="annotation text"/>
    <w:basedOn w:val="Normal"/>
    <w:link w:val="CommentTextChar"/>
    <w:uiPriority w:val="99"/>
    <w:unhideWhenUsed/>
    <w:rsid w:val="00BB3268"/>
    <w:pPr>
      <w:spacing w:line="240" w:lineRule="auto"/>
    </w:pPr>
    <w:rPr>
      <w:sz w:val="20"/>
      <w:szCs w:val="20"/>
    </w:rPr>
  </w:style>
  <w:style w:type="character" w:customStyle="1" w:styleId="CommentTextChar">
    <w:name w:val="Comment Text Char"/>
    <w:basedOn w:val="DefaultParagraphFont"/>
    <w:link w:val="CommentText"/>
    <w:uiPriority w:val="99"/>
    <w:rsid w:val="00BB3268"/>
    <w:rPr>
      <w:rFonts w:asciiTheme="minorHAnsi" w:hAnsiTheme="minorHAnsi"/>
      <w:sz w:val="20"/>
      <w:szCs w:val="20"/>
    </w:rPr>
  </w:style>
  <w:style w:type="paragraph" w:styleId="BalloonText">
    <w:name w:val="Balloon Text"/>
    <w:basedOn w:val="Normal"/>
    <w:link w:val="BalloonTextChar"/>
    <w:uiPriority w:val="99"/>
    <w:semiHidden/>
    <w:unhideWhenUsed/>
    <w:rsid w:val="00BB3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268"/>
    <w:rPr>
      <w:rFonts w:ascii="Segoe UI" w:hAnsi="Segoe UI" w:cs="Segoe UI"/>
      <w:sz w:val="18"/>
      <w:szCs w:val="18"/>
    </w:rPr>
  </w:style>
  <w:style w:type="paragraph" w:styleId="Header">
    <w:name w:val="header"/>
    <w:basedOn w:val="Normal"/>
    <w:link w:val="HeaderChar"/>
    <w:unhideWhenUsed/>
    <w:rsid w:val="00033247"/>
    <w:pPr>
      <w:tabs>
        <w:tab w:val="center" w:pos="4680"/>
        <w:tab w:val="right" w:pos="9360"/>
      </w:tabs>
      <w:spacing w:after="0" w:line="240" w:lineRule="auto"/>
    </w:pPr>
  </w:style>
  <w:style w:type="character" w:customStyle="1" w:styleId="HeaderChar">
    <w:name w:val="Header Char"/>
    <w:basedOn w:val="DefaultParagraphFont"/>
    <w:link w:val="Header"/>
    <w:rsid w:val="00033247"/>
    <w:rPr>
      <w:rFonts w:asciiTheme="minorHAnsi" w:hAnsiTheme="minorHAnsi"/>
    </w:rPr>
  </w:style>
  <w:style w:type="paragraph" w:styleId="Footer">
    <w:name w:val="footer"/>
    <w:basedOn w:val="Normal"/>
    <w:link w:val="FooterChar"/>
    <w:uiPriority w:val="99"/>
    <w:unhideWhenUsed/>
    <w:rsid w:val="00033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247"/>
    <w:rPr>
      <w:rFonts w:asciiTheme="minorHAnsi" w:hAnsiTheme="minorHAnsi"/>
    </w:rPr>
  </w:style>
  <w:style w:type="paragraph" w:styleId="CommentSubject">
    <w:name w:val="annotation subject"/>
    <w:basedOn w:val="CommentText"/>
    <w:next w:val="CommentText"/>
    <w:link w:val="CommentSubjectChar"/>
    <w:uiPriority w:val="99"/>
    <w:semiHidden/>
    <w:unhideWhenUsed/>
    <w:rsid w:val="002C42A5"/>
    <w:rPr>
      <w:b/>
      <w:bCs/>
    </w:rPr>
  </w:style>
  <w:style w:type="character" w:customStyle="1" w:styleId="CommentSubjectChar">
    <w:name w:val="Comment Subject Char"/>
    <w:basedOn w:val="CommentTextChar"/>
    <w:link w:val="CommentSubject"/>
    <w:uiPriority w:val="99"/>
    <w:semiHidden/>
    <w:rsid w:val="002C42A5"/>
    <w:rPr>
      <w:rFonts w:asciiTheme="minorHAnsi" w:hAnsiTheme="minorHAnsi"/>
      <w:b/>
      <w:bCs/>
      <w:sz w:val="20"/>
      <w:szCs w:val="20"/>
    </w:rPr>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6"/>
    <w:basedOn w:val="Normal"/>
    <w:link w:val="ListParagraphChar"/>
    <w:uiPriority w:val="34"/>
    <w:qFormat/>
    <w:rsid w:val="00697867"/>
    <w:pPr>
      <w:ind w:left="720"/>
      <w:contextualSpacing/>
    </w:p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qFormat/>
    <w:locked/>
    <w:rsid w:val="00697867"/>
    <w:rPr>
      <w:rFonts w:asciiTheme="minorHAnsi" w:hAnsiTheme="minorHAnsi"/>
    </w:rPr>
  </w:style>
  <w:style w:type="character" w:styleId="Hyperlink">
    <w:name w:val="Hyperlink"/>
    <w:basedOn w:val="DefaultParagraphFont"/>
    <w:uiPriority w:val="99"/>
    <w:unhideWhenUsed/>
    <w:rsid w:val="00697867"/>
    <w:rPr>
      <w:color w:val="0563C1" w:themeColor="hyperlink"/>
      <w:u w:val="single"/>
    </w:rPr>
  </w:style>
  <w:style w:type="paragraph" w:styleId="Title">
    <w:name w:val="Title"/>
    <w:basedOn w:val="Normal"/>
    <w:next w:val="Normal"/>
    <w:link w:val="TitleChar"/>
    <w:uiPriority w:val="10"/>
    <w:qFormat/>
    <w:rsid w:val="0088442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8442A"/>
    <w:rPr>
      <w:rFonts w:asciiTheme="majorHAnsi" w:eastAsiaTheme="majorEastAsia" w:hAnsiTheme="majorHAnsi" w:cstheme="majorBidi"/>
      <w:color w:val="323E4F" w:themeColor="text2" w:themeShade="BF"/>
      <w:spacing w:val="5"/>
      <w:kern w:val="28"/>
      <w:sz w:val="52"/>
      <w:szCs w:val="52"/>
    </w:rPr>
  </w:style>
  <w:style w:type="paragraph" w:customStyle="1" w:styleId="BodyText23">
    <w:name w:val="Body Text 23"/>
    <w:basedOn w:val="Normal"/>
    <w:rsid w:val="0088442A"/>
    <w:pPr>
      <w:widowControl w:val="0"/>
      <w:tabs>
        <w:tab w:val="left" w:pos="547"/>
      </w:tabs>
      <w:spacing w:after="0" w:line="240" w:lineRule="auto"/>
    </w:pPr>
    <w:rPr>
      <w:rFonts w:ascii="Times New Roman" w:eastAsia="Times New Roman" w:hAnsi="Times New Roman" w:cs="Times New Roman"/>
      <w:snapToGrid w:val="0"/>
      <w:szCs w:val="20"/>
    </w:rPr>
  </w:style>
  <w:style w:type="paragraph" w:styleId="FootnoteText">
    <w:name w:val="footnote text"/>
    <w:aliases w:val="Footnotes,Footnotes Char,Footnote Text Char Char,Footnotes Char Char Char, Footnote Char,Footnotes Char Char,Footnote Char"/>
    <w:basedOn w:val="Normal"/>
    <w:link w:val="FootnoteTextChar"/>
    <w:uiPriority w:val="99"/>
    <w:unhideWhenUsed/>
    <w:rsid w:val="0088442A"/>
    <w:pPr>
      <w:spacing w:after="0" w:line="240" w:lineRule="auto"/>
    </w:pPr>
    <w:rPr>
      <w:sz w:val="20"/>
      <w:szCs w:val="20"/>
    </w:rPr>
  </w:style>
  <w:style w:type="character" w:customStyle="1" w:styleId="FootnoteTextChar">
    <w:name w:val="Footnote Text Char"/>
    <w:aliases w:val="Footnotes Char1,Footnotes Char Char1,Footnote Text Char Char Char,Footnotes Char Char Char Char, Footnote Char Char,Footnotes Char Char Char1,Footnote Char Char"/>
    <w:basedOn w:val="DefaultParagraphFont"/>
    <w:link w:val="FootnoteText"/>
    <w:uiPriority w:val="99"/>
    <w:rsid w:val="0088442A"/>
    <w:rPr>
      <w:rFonts w:asciiTheme="minorHAnsi" w:hAnsiTheme="minorHAnsi"/>
      <w:sz w:val="20"/>
      <w:szCs w:val="20"/>
    </w:rPr>
  </w:style>
  <w:style w:type="character" w:styleId="FootnoteReference">
    <w:name w:val="footnote reference"/>
    <w:basedOn w:val="DefaultParagraphFont"/>
    <w:uiPriority w:val="99"/>
    <w:unhideWhenUsed/>
    <w:rsid w:val="0088442A"/>
    <w:rPr>
      <w:vertAlign w:val="superscript"/>
    </w:rPr>
  </w:style>
  <w:style w:type="character" w:styleId="Strong">
    <w:name w:val="Strong"/>
    <w:basedOn w:val="DefaultParagraphFont"/>
    <w:uiPriority w:val="22"/>
    <w:qFormat/>
    <w:rsid w:val="0088442A"/>
    <w:rPr>
      <w:b/>
      <w:bCs/>
    </w:rPr>
  </w:style>
  <w:style w:type="table" w:customStyle="1" w:styleId="GridTable5Dark-Accent51">
    <w:name w:val="Grid Table 5 Dark - Accent 51"/>
    <w:basedOn w:val="TableNormal"/>
    <w:uiPriority w:val="50"/>
    <w:rsid w:val="0088442A"/>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Emphasis">
    <w:name w:val="Emphasis"/>
    <w:basedOn w:val="DefaultParagraphFont"/>
    <w:uiPriority w:val="20"/>
    <w:qFormat/>
    <w:rsid w:val="0088442A"/>
    <w:rPr>
      <w:i/>
      <w:iCs/>
    </w:rPr>
  </w:style>
  <w:style w:type="paragraph" w:customStyle="1" w:styleId="m168692539939933712m1562602020031427665m1365121621130781357gmail-msolistparagraph">
    <w:name w:val="m_168692539939933712m_1562602020031427665m_1365121621130781357gmail-msolistparagraph"/>
    <w:basedOn w:val="Normal"/>
    <w:rsid w:val="008844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uiPriority w:val="99"/>
    <w:rsid w:val="0088442A"/>
    <w:rPr>
      <w:rFonts w:ascii="Trebuchet MS" w:hAnsi="Trebuchet MS" w:cs="Trebuchet MS"/>
      <w:color w:val="000000"/>
      <w:sz w:val="22"/>
      <w:szCs w:val="22"/>
    </w:rPr>
  </w:style>
  <w:style w:type="paragraph" w:customStyle="1" w:styleId="wyq110---naslov-clana">
    <w:name w:val="wyq110---naslov-clana"/>
    <w:basedOn w:val="Normal"/>
    <w:rsid w:val="008844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8844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8844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442A"/>
    <w:pPr>
      <w:autoSpaceDE w:val="0"/>
      <w:autoSpaceDN w:val="0"/>
      <w:adjustRightInd w:val="0"/>
    </w:pPr>
    <w:rPr>
      <w:rFonts w:ascii="Calibri" w:hAnsi="Calibri" w:cs="Calibri"/>
      <w:color w:val="000000"/>
      <w:sz w:val="24"/>
      <w:szCs w:val="24"/>
    </w:rPr>
  </w:style>
  <w:style w:type="paragraph" w:styleId="NoSpacing">
    <w:name w:val="No Spacing"/>
    <w:uiPriority w:val="1"/>
    <w:qFormat/>
    <w:rsid w:val="0088442A"/>
    <w:rPr>
      <w:rFonts w:asciiTheme="minorHAnsi" w:hAnsiTheme="minorHAnsi"/>
    </w:rPr>
  </w:style>
  <w:style w:type="paragraph" w:styleId="TOCHeading">
    <w:name w:val="TOC Heading"/>
    <w:basedOn w:val="Heading1"/>
    <w:next w:val="Normal"/>
    <w:uiPriority w:val="39"/>
    <w:unhideWhenUsed/>
    <w:qFormat/>
    <w:rsid w:val="0088442A"/>
    <w:pPr>
      <w:outlineLvl w:val="9"/>
    </w:pPr>
    <w:rPr>
      <w:rFonts w:asciiTheme="majorHAnsi" w:hAnsiTheme="majorHAnsi"/>
      <w:b w:val="0"/>
      <w:sz w:val="32"/>
    </w:rPr>
  </w:style>
  <w:style w:type="paragraph" w:styleId="TOC1">
    <w:name w:val="toc 1"/>
    <w:basedOn w:val="Normal"/>
    <w:next w:val="Normal"/>
    <w:autoRedefine/>
    <w:uiPriority w:val="39"/>
    <w:unhideWhenUsed/>
    <w:rsid w:val="0088442A"/>
    <w:pPr>
      <w:spacing w:after="100" w:line="259" w:lineRule="auto"/>
    </w:pPr>
  </w:style>
  <w:style w:type="paragraph" w:styleId="TOC2">
    <w:name w:val="toc 2"/>
    <w:basedOn w:val="Normal"/>
    <w:next w:val="Normal"/>
    <w:autoRedefine/>
    <w:uiPriority w:val="39"/>
    <w:unhideWhenUsed/>
    <w:rsid w:val="00C64F20"/>
    <w:pPr>
      <w:tabs>
        <w:tab w:val="left" w:pos="880"/>
        <w:tab w:val="right" w:leader="underscore" w:pos="9350"/>
      </w:tabs>
      <w:spacing w:after="100" w:line="259" w:lineRule="auto"/>
      <w:ind w:left="220"/>
      <w:jc w:val="both"/>
    </w:pPr>
    <w:rPr>
      <w:rFonts w:eastAsia="Times New Roman" w:cstheme="minorHAnsi"/>
      <w:b/>
      <w:bCs/>
      <w:noProof/>
    </w:rPr>
  </w:style>
  <w:style w:type="table" w:customStyle="1" w:styleId="GridTable5Dark-Accent11">
    <w:name w:val="Grid Table 5 Dark - Accent 11"/>
    <w:basedOn w:val="TableNormal"/>
    <w:uiPriority w:val="50"/>
    <w:rsid w:val="0088442A"/>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OC3">
    <w:name w:val="toc 3"/>
    <w:basedOn w:val="Normal"/>
    <w:next w:val="Normal"/>
    <w:autoRedefine/>
    <w:uiPriority w:val="39"/>
    <w:unhideWhenUsed/>
    <w:rsid w:val="0088442A"/>
    <w:pPr>
      <w:spacing w:after="100" w:line="259" w:lineRule="auto"/>
      <w:ind w:left="440"/>
    </w:pPr>
  </w:style>
  <w:style w:type="paragraph" w:customStyle="1" w:styleId="bnr-ttl">
    <w:name w:val="bnr-ttl"/>
    <w:basedOn w:val="Normal"/>
    <w:rsid w:val="006D119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D119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5Dark-Accent52">
    <w:name w:val="Grid Table 5 Dark - Accent 52"/>
    <w:basedOn w:val="TableNormal"/>
    <w:uiPriority w:val="50"/>
    <w:rsid w:val="00A82B43"/>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12">
    <w:name w:val="Grid Table 5 Dark - Accent 12"/>
    <w:basedOn w:val="TableNormal"/>
    <w:uiPriority w:val="50"/>
    <w:rsid w:val="00A82B43"/>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UnresolvedMention1">
    <w:name w:val="Unresolved Mention1"/>
    <w:basedOn w:val="DefaultParagraphFont"/>
    <w:uiPriority w:val="99"/>
    <w:semiHidden/>
    <w:unhideWhenUsed/>
    <w:rsid w:val="002A337B"/>
    <w:rPr>
      <w:color w:val="605E5C"/>
      <w:shd w:val="clear" w:color="auto" w:fill="E1DFDD"/>
    </w:rPr>
  </w:style>
  <w:style w:type="table" w:customStyle="1" w:styleId="GridTable5Dark-Accent13">
    <w:name w:val="Grid Table 5 Dark - Accent 13"/>
    <w:basedOn w:val="TableNormal"/>
    <w:uiPriority w:val="50"/>
    <w:rsid w:val="009F18FE"/>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
    <w:name w:val="Grid Table 5 Dark - Accent 53"/>
    <w:basedOn w:val="TableNormal"/>
    <w:uiPriority w:val="50"/>
    <w:rsid w:val="005E78B6"/>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2">
    <w:name w:val="Unresolved Mention2"/>
    <w:basedOn w:val="DefaultParagraphFont"/>
    <w:uiPriority w:val="99"/>
    <w:semiHidden/>
    <w:unhideWhenUsed/>
    <w:rsid w:val="0092650B"/>
    <w:rPr>
      <w:color w:val="605E5C"/>
      <w:shd w:val="clear" w:color="auto" w:fill="E1DFDD"/>
    </w:rPr>
  </w:style>
  <w:style w:type="table" w:customStyle="1" w:styleId="TableGrid1">
    <w:name w:val="Table Grid1"/>
    <w:basedOn w:val="TableNormal"/>
    <w:next w:val="TableGrid"/>
    <w:uiPriority w:val="39"/>
    <w:rsid w:val="00230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1">
    <w:name w:val="Grid Table 5 Dark - Accent 131"/>
    <w:basedOn w:val="TableNormal"/>
    <w:uiPriority w:val="50"/>
    <w:rsid w:val="0039518D"/>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31">
    <w:name w:val="Grid Table 5 Dark - Accent 531"/>
    <w:basedOn w:val="TableNormal"/>
    <w:uiPriority w:val="50"/>
    <w:rsid w:val="0039518D"/>
    <w:rPr>
      <w:rFonts w:asciiTheme="minorHAnsi" w:hAnsi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3">
    <w:name w:val="Unresolved Mention3"/>
    <w:basedOn w:val="DefaultParagraphFont"/>
    <w:uiPriority w:val="99"/>
    <w:semiHidden/>
    <w:unhideWhenUsed/>
    <w:rsid w:val="000D6B6C"/>
    <w:rPr>
      <w:color w:val="605E5C"/>
      <w:shd w:val="clear" w:color="auto" w:fill="E1DFDD"/>
    </w:rPr>
  </w:style>
  <w:style w:type="character" w:customStyle="1" w:styleId="UnresolvedMention4">
    <w:name w:val="Unresolved Mention4"/>
    <w:basedOn w:val="DefaultParagraphFont"/>
    <w:uiPriority w:val="99"/>
    <w:semiHidden/>
    <w:unhideWhenUsed/>
    <w:rsid w:val="00E9599D"/>
    <w:rPr>
      <w:color w:val="605E5C"/>
      <w:shd w:val="clear" w:color="auto" w:fill="E1DFDD"/>
    </w:rPr>
  </w:style>
  <w:style w:type="character" w:customStyle="1" w:styleId="apple-converted-space">
    <w:name w:val="apple-converted-space"/>
    <w:basedOn w:val="DefaultParagraphFont"/>
    <w:rsid w:val="00B87998"/>
  </w:style>
  <w:style w:type="character" w:customStyle="1" w:styleId="UnresolvedMention5">
    <w:name w:val="Unresolved Mention5"/>
    <w:basedOn w:val="DefaultParagraphFont"/>
    <w:uiPriority w:val="99"/>
    <w:semiHidden/>
    <w:unhideWhenUsed/>
    <w:rsid w:val="00355290"/>
    <w:rPr>
      <w:color w:val="605E5C"/>
      <w:shd w:val="clear" w:color="auto" w:fill="E1DFDD"/>
    </w:rPr>
  </w:style>
  <w:style w:type="paragraph" w:styleId="Revision">
    <w:name w:val="Revision"/>
    <w:hidden/>
    <w:uiPriority w:val="99"/>
    <w:semiHidden/>
    <w:rsid w:val="00426F36"/>
    <w:rPr>
      <w:rFonts w:asciiTheme="minorHAnsi" w:hAnsiTheme="minorHAnsi"/>
    </w:rPr>
  </w:style>
  <w:style w:type="character" w:customStyle="1" w:styleId="UnresolvedMention6">
    <w:name w:val="Unresolved Mention6"/>
    <w:basedOn w:val="DefaultParagraphFont"/>
    <w:uiPriority w:val="99"/>
    <w:semiHidden/>
    <w:unhideWhenUsed/>
    <w:rsid w:val="00370209"/>
    <w:rPr>
      <w:color w:val="605E5C"/>
      <w:shd w:val="clear" w:color="auto" w:fill="E1DFDD"/>
    </w:rPr>
  </w:style>
  <w:style w:type="character" w:styleId="FollowedHyperlink">
    <w:name w:val="FollowedHyperlink"/>
    <w:basedOn w:val="DefaultParagraphFont"/>
    <w:uiPriority w:val="99"/>
    <w:semiHidden/>
    <w:unhideWhenUsed/>
    <w:rsid w:val="00BC42AD"/>
    <w:rPr>
      <w:color w:val="954F72" w:themeColor="followedHyperlink"/>
      <w:u w:val="single"/>
    </w:rPr>
  </w:style>
  <w:style w:type="character" w:customStyle="1" w:styleId="UnresolvedMention7">
    <w:name w:val="Unresolved Mention7"/>
    <w:basedOn w:val="DefaultParagraphFont"/>
    <w:uiPriority w:val="99"/>
    <w:semiHidden/>
    <w:unhideWhenUsed/>
    <w:rsid w:val="00DB2543"/>
    <w:rPr>
      <w:color w:val="605E5C"/>
      <w:shd w:val="clear" w:color="auto" w:fill="E1DFDD"/>
    </w:rPr>
  </w:style>
  <w:style w:type="table" w:customStyle="1" w:styleId="TableGrid2">
    <w:name w:val="Table Grid2"/>
    <w:basedOn w:val="TableNormal"/>
    <w:next w:val="TableGrid"/>
    <w:uiPriority w:val="59"/>
    <w:rsid w:val="00B165F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465B61"/>
    <w:pPr>
      <w:spacing w:line="240" w:lineRule="auto"/>
    </w:pPr>
    <w:rPr>
      <w:b/>
      <w:bCs/>
      <w:color w:val="4472C4" w:themeColor="accent1"/>
      <w:sz w:val="18"/>
      <w:szCs w:val="18"/>
    </w:rPr>
  </w:style>
  <w:style w:type="table" w:customStyle="1" w:styleId="TableGrid21">
    <w:name w:val="Table Grid21"/>
    <w:basedOn w:val="TableNormal"/>
    <w:next w:val="TableGrid"/>
    <w:uiPriority w:val="59"/>
    <w:rsid w:val="00C7666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4818"/>
    <w:rPr>
      <w:color w:val="808080"/>
    </w:rPr>
  </w:style>
  <w:style w:type="paragraph" w:customStyle="1" w:styleId="v1msonormal">
    <w:name w:val="v1msonormal"/>
    <w:basedOn w:val="Normal"/>
    <w:rsid w:val="00A05C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basedOn w:val="DefaultParagraphFont"/>
    <w:uiPriority w:val="99"/>
    <w:semiHidden/>
    <w:unhideWhenUsed/>
    <w:rsid w:val="001E43A4"/>
    <w:rPr>
      <w:color w:val="605E5C"/>
      <w:shd w:val="clear" w:color="auto" w:fill="E1DFDD"/>
    </w:rPr>
  </w:style>
  <w:style w:type="numbering" w:customStyle="1" w:styleId="NoList1">
    <w:name w:val="No List1"/>
    <w:next w:val="NoList"/>
    <w:uiPriority w:val="99"/>
    <w:semiHidden/>
    <w:unhideWhenUsed/>
    <w:rsid w:val="002618BE"/>
  </w:style>
  <w:style w:type="table" w:customStyle="1" w:styleId="TableGrid3">
    <w:name w:val="Table Grid3"/>
    <w:basedOn w:val="TableNormal"/>
    <w:next w:val="TableGrid"/>
    <w:uiPriority w:val="39"/>
    <w:rsid w:val="00261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90A42"/>
  </w:style>
  <w:style w:type="table" w:customStyle="1" w:styleId="TableGrid4">
    <w:name w:val="Table Grid4"/>
    <w:basedOn w:val="TableNormal"/>
    <w:next w:val="TableGrid"/>
    <w:uiPriority w:val="39"/>
    <w:rsid w:val="00790A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
    <w:name w:val="Grid Table 5 Dark - Accent 511"/>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
    <w:name w:val="Grid Table 5 Dark - Accent 111"/>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
    <w:name w:val="Grid Table 5 Dark - Accent 521"/>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1">
    <w:name w:val="Grid Table 5 Dark - Accent 121"/>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2">
    <w:name w:val="Grid Table 5 Dark - Accent 132"/>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2">
    <w:name w:val="Grid Table 5 Dark - Accent 532"/>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
    <w:name w:val="Table Grid11"/>
    <w:basedOn w:val="TableNormal"/>
    <w:next w:val="TableGrid"/>
    <w:uiPriority w:val="39"/>
    <w:rsid w:val="00790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11">
    <w:name w:val="Grid Table 5 Dark - Accent 1311"/>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1">
    <w:name w:val="Grid Table 5 Dark - Accent 5311"/>
    <w:basedOn w:val="TableNormal"/>
    <w:uiPriority w:val="50"/>
    <w:rsid w:val="00790A42"/>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2">
    <w:name w:val="Table Grid22"/>
    <w:basedOn w:val="TableNormal"/>
    <w:next w:val="TableGrid"/>
    <w:uiPriority w:val="59"/>
    <w:rsid w:val="00790A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90A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05BE4"/>
    <w:pPr>
      <w:spacing w:after="100" w:line="259" w:lineRule="auto"/>
      <w:ind w:left="660"/>
    </w:pPr>
    <w:rPr>
      <w:rFonts w:eastAsiaTheme="minorEastAsia"/>
    </w:rPr>
  </w:style>
  <w:style w:type="paragraph" w:styleId="TOC5">
    <w:name w:val="toc 5"/>
    <w:basedOn w:val="Normal"/>
    <w:next w:val="Normal"/>
    <w:autoRedefine/>
    <w:uiPriority w:val="39"/>
    <w:unhideWhenUsed/>
    <w:rsid w:val="00105BE4"/>
    <w:pPr>
      <w:spacing w:after="100" w:line="259" w:lineRule="auto"/>
      <w:ind w:left="880"/>
    </w:pPr>
    <w:rPr>
      <w:rFonts w:eastAsiaTheme="minorEastAsia"/>
    </w:rPr>
  </w:style>
  <w:style w:type="paragraph" w:styleId="TOC6">
    <w:name w:val="toc 6"/>
    <w:basedOn w:val="Normal"/>
    <w:next w:val="Normal"/>
    <w:autoRedefine/>
    <w:uiPriority w:val="39"/>
    <w:unhideWhenUsed/>
    <w:rsid w:val="00105BE4"/>
    <w:pPr>
      <w:spacing w:after="100" w:line="259" w:lineRule="auto"/>
      <w:ind w:left="1100"/>
    </w:pPr>
    <w:rPr>
      <w:rFonts w:eastAsiaTheme="minorEastAsia"/>
    </w:rPr>
  </w:style>
  <w:style w:type="paragraph" w:styleId="TOC7">
    <w:name w:val="toc 7"/>
    <w:basedOn w:val="Normal"/>
    <w:next w:val="Normal"/>
    <w:autoRedefine/>
    <w:uiPriority w:val="39"/>
    <w:unhideWhenUsed/>
    <w:rsid w:val="00105BE4"/>
    <w:pPr>
      <w:spacing w:after="100" w:line="259" w:lineRule="auto"/>
      <w:ind w:left="1320"/>
    </w:pPr>
    <w:rPr>
      <w:rFonts w:eastAsiaTheme="minorEastAsia"/>
    </w:rPr>
  </w:style>
  <w:style w:type="paragraph" w:styleId="TOC8">
    <w:name w:val="toc 8"/>
    <w:basedOn w:val="Normal"/>
    <w:next w:val="Normal"/>
    <w:autoRedefine/>
    <w:uiPriority w:val="39"/>
    <w:unhideWhenUsed/>
    <w:rsid w:val="00105BE4"/>
    <w:pPr>
      <w:spacing w:after="100" w:line="259" w:lineRule="auto"/>
      <w:ind w:left="1540"/>
    </w:pPr>
    <w:rPr>
      <w:rFonts w:eastAsiaTheme="minorEastAsia"/>
    </w:rPr>
  </w:style>
  <w:style w:type="paragraph" w:styleId="TOC9">
    <w:name w:val="toc 9"/>
    <w:basedOn w:val="Normal"/>
    <w:next w:val="Normal"/>
    <w:autoRedefine/>
    <w:uiPriority w:val="39"/>
    <w:unhideWhenUsed/>
    <w:rsid w:val="00105BE4"/>
    <w:pPr>
      <w:spacing w:after="100" w:line="259" w:lineRule="auto"/>
      <w:ind w:left="1760"/>
    </w:pPr>
    <w:rPr>
      <w:rFonts w:eastAsiaTheme="minorEastAsia"/>
    </w:rPr>
  </w:style>
  <w:style w:type="character" w:customStyle="1" w:styleId="UnresolvedMention9">
    <w:name w:val="Unresolved Mention9"/>
    <w:basedOn w:val="DefaultParagraphFont"/>
    <w:uiPriority w:val="99"/>
    <w:semiHidden/>
    <w:unhideWhenUsed/>
    <w:rsid w:val="00105BE4"/>
    <w:rPr>
      <w:color w:val="605E5C"/>
      <w:shd w:val="clear" w:color="auto" w:fill="E1DFDD"/>
    </w:rPr>
  </w:style>
  <w:style w:type="paragraph" w:customStyle="1" w:styleId="MediumGrid21">
    <w:name w:val="Medium Grid 21"/>
    <w:uiPriority w:val="1"/>
    <w:qFormat/>
    <w:rsid w:val="00015FD3"/>
    <w:pPr>
      <w:widowControl w:val="0"/>
      <w:overflowPunct w:val="0"/>
      <w:adjustRightInd w:val="0"/>
    </w:pPr>
    <w:rPr>
      <w:rFonts w:ascii="Times New Roman" w:eastAsia="Times New Roman" w:hAnsi="Times New Roman" w:cs="Times New Roman"/>
      <w:kern w:val="28"/>
      <w:sz w:val="24"/>
      <w:szCs w:val="24"/>
      <w:lang w:val="sr-Latn-BA" w:eastAsia="sr-Latn-BA"/>
    </w:rPr>
  </w:style>
  <w:style w:type="character" w:customStyle="1" w:styleId="UnresolvedMention10">
    <w:name w:val="Unresolved Mention10"/>
    <w:basedOn w:val="DefaultParagraphFont"/>
    <w:uiPriority w:val="99"/>
    <w:semiHidden/>
    <w:unhideWhenUsed/>
    <w:rsid w:val="00621F62"/>
    <w:rPr>
      <w:color w:val="605E5C"/>
      <w:shd w:val="clear" w:color="auto" w:fill="E1DFDD"/>
    </w:rPr>
  </w:style>
  <w:style w:type="character" w:customStyle="1" w:styleId="UnresolvedMention11">
    <w:name w:val="Unresolved Mention11"/>
    <w:basedOn w:val="DefaultParagraphFont"/>
    <w:uiPriority w:val="99"/>
    <w:semiHidden/>
    <w:unhideWhenUsed/>
    <w:rsid w:val="00B8009C"/>
    <w:rPr>
      <w:color w:val="605E5C"/>
      <w:shd w:val="clear" w:color="auto" w:fill="E1DFDD"/>
    </w:rPr>
  </w:style>
  <w:style w:type="character" w:customStyle="1" w:styleId="UnresolvedMention12">
    <w:name w:val="Unresolved Mention12"/>
    <w:basedOn w:val="DefaultParagraphFont"/>
    <w:uiPriority w:val="99"/>
    <w:semiHidden/>
    <w:unhideWhenUsed/>
    <w:rsid w:val="0077280F"/>
    <w:rPr>
      <w:color w:val="605E5C"/>
      <w:shd w:val="clear" w:color="auto" w:fill="E1DFDD"/>
    </w:rPr>
  </w:style>
  <w:style w:type="character" w:customStyle="1" w:styleId="UnresolvedMention13">
    <w:name w:val="Unresolved Mention13"/>
    <w:basedOn w:val="DefaultParagraphFont"/>
    <w:uiPriority w:val="99"/>
    <w:semiHidden/>
    <w:unhideWhenUsed/>
    <w:rsid w:val="00C260C5"/>
    <w:rPr>
      <w:color w:val="605E5C"/>
      <w:shd w:val="clear" w:color="auto" w:fill="E1DFDD"/>
    </w:rPr>
  </w:style>
  <w:style w:type="character" w:customStyle="1" w:styleId="Heading5Char">
    <w:name w:val="Heading 5 Char"/>
    <w:basedOn w:val="DefaultParagraphFont"/>
    <w:link w:val="Heading5"/>
    <w:uiPriority w:val="9"/>
    <w:rsid w:val="00B76ABC"/>
    <w:rPr>
      <w:rFonts w:asciiTheme="majorHAnsi" w:eastAsiaTheme="majorEastAsia" w:hAnsiTheme="majorHAnsi" w:cstheme="majorBidi"/>
      <w:color w:val="2F5496" w:themeColor="accent1" w:themeShade="BF"/>
    </w:rPr>
  </w:style>
  <w:style w:type="numbering" w:customStyle="1" w:styleId="NoList3">
    <w:name w:val="No List3"/>
    <w:next w:val="NoList"/>
    <w:uiPriority w:val="99"/>
    <w:semiHidden/>
    <w:unhideWhenUsed/>
    <w:rsid w:val="00861CB1"/>
  </w:style>
  <w:style w:type="table" w:customStyle="1" w:styleId="TableGrid5">
    <w:name w:val="Table Grid5"/>
    <w:basedOn w:val="TableNormal"/>
    <w:next w:val="TableGrid"/>
    <w:uiPriority w:val="39"/>
    <w:rsid w:val="00861CB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
    <w:name w:val="Grid Table 5 Dark - Accent 512"/>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12">
    <w:name w:val="Grid Table 5 Dark - Accent 112"/>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22">
    <w:name w:val="Grid Table 5 Dark - Accent 522"/>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22">
    <w:name w:val="Grid Table 5 Dark - Accent 122"/>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33">
    <w:name w:val="Grid Table 5 Dark - Accent 133"/>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33">
    <w:name w:val="Grid Table 5 Dark - Accent 533"/>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12">
    <w:name w:val="Table Grid12"/>
    <w:basedOn w:val="TableNormal"/>
    <w:next w:val="TableGrid"/>
    <w:uiPriority w:val="39"/>
    <w:rsid w:val="0086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12">
    <w:name w:val="Grid Table 5 Dark - Accent 1312"/>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312">
    <w:name w:val="Grid Table 5 Dark - Accent 5312"/>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23">
    <w:name w:val="Table Grid23"/>
    <w:basedOn w:val="TableNormal"/>
    <w:next w:val="TableGrid"/>
    <w:uiPriority w:val="59"/>
    <w:rsid w:val="00861CB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861CB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1CB1"/>
  </w:style>
  <w:style w:type="table" w:customStyle="1" w:styleId="TableGrid31">
    <w:name w:val="Table Grid31"/>
    <w:basedOn w:val="TableNormal"/>
    <w:next w:val="TableGrid"/>
    <w:uiPriority w:val="39"/>
    <w:rsid w:val="0086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61CB1"/>
  </w:style>
  <w:style w:type="table" w:customStyle="1" w:styleId="TableGrid41">
    <w:name w:val="Table Grid41"/>
    <w:basedOn w:val="TableNormal"/>
    <w:next w:val="TableGrid"/>
    <w:uiPriority w:val="39"/>
    <w:rsid w:val="00861CB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
    <w:name w:val="Grid Table 5 Dark - Accent 511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1">
    <w:name w:val="Grid Table 5 Dark - Accent 111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211">
    <w:name w:val="Grid Table 5 Dark - Accent 521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211">
    <w:name w:val="Grid Table 5 Dark - Accent 121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1321">
    <w:name w:val="Grid Table 5 Dark - Accent 132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21">
    <w:name w:val="Grid Table 5 Dark - Accent 532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111">
    <w:name w:val="Table Grid111"/>
    <w:basedOn w:val="TableNormal"/>
    <w:next w:val="TableGrid"/>
    <w:uiPriority w:val="39"/>
    <w:rsid w:val="0086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111">
    <w:name w:val="Grid Table 5 Dark - Accent 1311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53111">
    <w:name w:val="Grid Table 5 Dark - Accent 53111"/>
    <w:basedOn w:val="TableNormal"/>
    <w:uiPriority w:val="50"/>
    <w:rsid w:val="00861CB1"/>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21">
    <w:name w:val="Table Grid221"/>
    <w:basedOn w:val="TableNormal"/>
    <w:next w:val="TableGrid"/>
    <w:uiPriority w:val="59"/>
    <w:rsid w:val="00861CB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861CB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1830">
      <w:bodyDiv w:val="1"/>
      <w:marLeft w:val="0"/>
      <w:marRight w:val="0"/>
      <w:marTop w:val="0"/>
      <w:marBottom w:val="0"/>
      <w:divBdr>
        <w:top w:val="none" w:sz="0" w:space="0" w:color="auto"/>
        <w:left w:val="none" w:sz="0" w:space="0" w:color="auto"/>
        <w:bottom w:val="none" w:sz="0" w:space="0" w:color="auto"/>
        <w:right w:val="none" w:sz="0" w:space="0" w:color="auto"/>
      </w:divBdr>
    </w:div>
    <w:div w:id="31423939">
      <w:bodyDiv w:val="1"/>
      <w:marLeft w:val="0"/>
      <w:marRight w:val="0"/>
      <w:marTop w:val="0"/>
      <w:marBottom w:val="0"/>
      <w:divBdr>
        <w:top w:val="none" w:sz="0" w:space="0" w:color="auto"/>
        <w:left w:val="none" w:sz="0" w:space="0" w:color="auto"/>
        <w:bottom w:val="none" w:sz="0" w:space="0" w:color="auto"/>
        <w:right w:val="none" w:sz="0" w:space="0" w:color="auto"/>
      </w:divBdr>
    </w:div>
    <w:div w:id="60494253">
      <w:bodyDiv w:val="1"/>
      <w:marLeft w:val="0"/>
      <w:marRight w:val="0"/>
      <w:marTop w:val="0"/>
      <w:marBottom w:val="0"/>
      <w:divBdr>
        <w:top w:val="none" w:sz="0" w:space="0" w:color="auto"/>
        <w:left w:val="none" w:sz="0" w:space="0" w:color="auto"/>
        <w:bottom w:val="none" w:sz="0" w:space="0" w:color="auto"/>
        <w:right w:val="none" w:sz="0" w:space="0" w:color="auto"/>
      </w:divBdr>
    </w:div>
    <w:div w:id="60833491">
      <w:bodyDiv w:val="1"/>
      <w:marLeft w:val="0"/>
      <w:marRight w:val="0"/>
      <w:marTop w:val="0"/>
      <w:marBottom w:val="0"/>
      <w:divBdr>
        <w:top w:val="none" w:sz="0" w:space="0" w:color="auto"/>
        <w:left w:val="none" w:sz="0" w:space="0" w:color="auto"/>
        <w:bottom w:val="none" w:sz="0" w:space="0" w:color="auto"/>
        <w:right w:val="none" w:sz="0" w:space="0" w:color="auto"/>
      </w:divBdr>
      <w:divsChild>
        <w:div w:id="1243567840">
          <w:marLeft w:val="0"/>
          <w:marRight w:val="0"/>
          <w:marTop w:val="0"/>
          <w:marBottom w:val="450"/>
          <w:divBdr>
            <w:top w:val="none" w:sz="0" w:space="0" w:color="auto"/>
            <w:left w:val="none" w:sz="0" w:space="0" w:color="auto"/>
            <w:bottom w:val="none" w:sz="0" w:space="0" w:color="auto"/>
            <w:right w:val="none" w:sz="0" w:space="0" w:color="auto"/>
          </w:divBdr>
          <w:divsChild>
            <w:div w:id="709761918">
              <w:marLeft w:val="0"/>
              <w:marRight w:val="0"/>
              <w:marTop w:val="0"/>
              <w:marBottom w:val="0"/>
              <w:divBdr>
                <w:top w:val="none" w:sz="0" w:space="0" w:color="auto"/>
                <w:left w:val="none" w:sz="0" w:space="0" w:color="auto"/>
                <w:bottom w:val="none" w:sz="0" w:space="0" w:color="auto"/>
                <w:right w:val="none" w:sz="0" w:space="0" w:color="auto"/>
              </w:divBdr>
              <w:divsChild>
                <w:div w:id="767458489">
                  <w:marLeft w:val="375"/>
                  <w:marRight w:val="0"/>
                  <w:marTop w:val="0"/>
                  <w:marBottom w:val="0"/>
                  <w:divBdr>
                    <w:top w:val="none" w:sz="0" w:space="0" w:color="auto"/>
                    <w:left w:val="none" w:sz="0" w:space="0" w:color="auto"/>
                    <w:bottom w:val="none" w:sz="0" w:space="0" w:color="auto"/>
                    <w:right w:val="none" w:sz="0" w:space="0" w:color="auto"/>
                  </w:divBdr>
                  <w:divsChild>
                    <w:div w:id="486867369">
                      <w:marLeft w:val="0"/>
                      <w:marRight w:val="0"/>
                      <w:marTop w:val="0"/>
                      <w:marBottom w:val="0"/>
                      <w:divBdr>
                        <w:top w:val="none" w:sz="0" w:space="0" w:color="auto"/>
                        <w:left w:val="none" w:sz="0" w:space="0" w:color="auto"/>
                        <w:bottom w:val="none" w:sz="0" w:space="0" w:color="auto"/>
                        <w:right w:val="none" w:sz="0" w:space="0" w:color="auto"/>
                      </w:divBdr>
                      <w:divsChild>
                        <w:div w:id="1125385651">
                          <w:marLeft w:val="0"/>
                          <w:marRight w:val="0"/>
                          <w:marTop w:val="0"/>
                          <w:marBottom w:val="300"/>
                          <w:divBdr>
                            <w:top w:val="none" w:sz="0" w:space="0" w:color="auto"/>
                            <w:left w:val="none" w:sz="0" w:space="0" w:color="auto"/>
                            <w:bottom w:val="none" w:sz="0" w:space="0" w:color="auto"/>
                            <w:right w:val="none" w:sz="0" w:space="0" w:color="auto"/>
                          </w:divBdr>
                          <w:divsChild>
                            <w:div w:id="466045055">
                              <w:marLeft w:val="0"/>
                              <w:marRight w:val="0"/>
                              <w:marTop w:val="0"/>
                              <w:marBottom w:val="0"/>
                              <w:divBdr>
                                <w:top w:val="none" w:sz="0" w:space="0" w:color="auto"/>
                                <w:left w:val="none" w:sz="0" w:space="0" w:color="auto"/>
                                <w:bottom w:val="none" w:sz="0" w:space="0" w:color="auto"/>
                                <w:right w:val="none" w:sz="0" w:space="0" w:color="auto"/>
                              </w:divBdr>
                              <w:divsChild>
                                <w:div w:id="1795904779">
                                  <w:marLeft w:val="0"/>
                                  <w:marRight w:val="0"/>
                                  <w:marTop w:val="0"/>
                                  <w:marBottom w:val="0"/>
                                  <w:divBdr>
                                    <w:top w:val="none" w:sz="0" w:space="0" w:color="auto"/>
                                    <w:left w:val="none" w:sz="0" w:space="0" w:color="auto"/>
                                    <w:bottom w:val="none" w:sz="0" w:space="0" w:color="auto"/>
                                    <w:right w:val="none" w:sz="0" w:space="0" w:color="auto"/>
                                  </w:divBdr>
                                  <w:divsChild>
                                    <w:div w:id="1590700671">
                                      <w:marLeft w:val="0"/>
                                      <w:marRight w:val="0"/>
                                      <w:marTop w:val="0"/>
                                      <w:marBottom w:val="0"/>
                                      <w:divBdr>
                                        <w:top w:val="none" w:sz="0" w:space="0" w:color="auto"/>
                                        <w:left w:val="none" w:sz="0" w:space="0" w:color="auto"/>
                                        <w:bottom w:val="none" w:sz="0" w:space="0" w:color="auto"/>
                                        <w:right w:val="none" w:sz="0" w:space="0" w:color="auto"/>
                                      </w:divBdr>
                                      <w:divsChild>
                                        <w:div w:id="179203916">
                                          <w:marLeft w:val="0"/>
                                          <w:marRight w:val="0"/>
                                          <w:marTop w:val="0"/>
                                          <w:marBottom w:val="0"/>
                                          <w:divBdr>
                                            <w:top w:val="none" w:sz="0" w:space="0" w:color="auto"/>
                                            <w:left w:val="none" w:sz="0" w:space="0" w:color="auto"/>
                                            <w:bottom w:val="none" w:sz="0" w:space="0" w:color="auto"/>
                                            <w:right w:val="none" w:sz="0" w:space="0" w:color="auto"/>
                                          </w:divBdr>
                                        </w:div>
                                        <w:div w:id="1069494682">
                                          <w:marLeft w:val="0"/>
                                          <w:marRight w:val="0"/>
                                          <w:marTop w:val="0"/>
                                          <w:marBottom w:val="0"/>
                                          <w:divBdr>
                                            <w:top w:val="none" w:sz="0" w:space="0" w:color="auto"/>
                                            <w:left w:val="none" w:sz="0" w:space="0" w:color="auto"/>
                                            <w:bottom w:val="none" w:sz="0" w:space="0" w:color="auto"/>
                                            <w:right w:val="none" w:sz="0" w:space="0" w:color="auto"/>
                                          </w:divBdr>
                                        </w:div>
                                        <w:div w:id="1531840376">
                                          <w:marLeft w:val="0"/>
                                          <w:marRight w:val="0"/>
                                          <w:marTop w:val="0"/>
                                          <w:marBottom w:val="0"/>
                                          <w:divBdr>
                                            <w:top w:val="none" w:sz="0" w:space="0" w:color="auto"/>
                                            <w:left w:val="none" w:sz="0" w:space="0" w:color="auto"/>
                                            <w:bottom w:val="none" w:sz="0" w:space="0" w:color="auto"/>
                                            <w:right w:val="none" w:sz="0" w:space="0" w:color="auto"/>
                                          </w:divBdr>
                                        </w:div>
                                        <w:div w:id="20138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1659">
                              <w:marLeft w:val="0"/>
                              <w:marRight w:val="0"/>
                              <w:marTop w:val="120"/>
                              <w:marBottom w:val="300"/>
                              <w:divBdr>
                                <w:top w:val="none" w:sz="0" w:space="0" w:color="auto"/>
                                <w:left w:val="none" w:sz="0" w:space="0" w:color="auto"/>
                                <w:bottom w:val="none" w:sz="0" w:space="0" w:color="auto"/>
                                <w:right w:val="none" w:sz="0" w:space="0" w:color="auto"/>
                              </w:divBdr>
                            </w:div>
                          </w:divsChild>
                        </w:div>
                      </w:divsChild>
                    </w:div>
                  </w:divsChild>
                </w:div>
                <w:div w:id="1696734471">
                  <w:blockQuote w:val="1"/>
                  <w:marLeft w:val="0"/>
                  <w:marRight w:val="0"/>
                  <w:marTop w:val="0"/>
                  <w:marBottom w:val="240"/>
                  <w:divBdr>
                    <w:top w:val="single" w:sz="2" w:space="0" w:color="EEEEEE"/>
                    <w:left w:val="single" w:sz="24" w:space="12" w:color="EEEEEE"/>
                    <w:bottom w:val="single" w:sz="2" w:space="0" w:color="EEEEEE"/>
                    <w:right w:val="single" w:sz="2" w:space="12" w:color="EEEEEE"/>
                  </w:divBdr>
                </w:div>
              </w:divsChild>
            </w:div>
          </w:divsChild>
        </w:div>
        <w:div w:id="1335063972">
          <w:marLeft w:val="0"/>
          <w:marRight w:val="0"/>
          <w:marTop w:val="0"/>
          <w:marBottom w:val="450"/>
          <w:divBdr>
            <w:top w:val="none" w:sz="0" w:space="0" w:color="auto"/>
            <w:left w:val="none" w:sz="0" w:space="0" w:color="auto"/>
            <w:bottom w:val="none" w:sz="0" w:space="0" w:color="auto"/>
            <w:right w:val="none" w:sz="0" w:space="0" w:color="auto"/>
          </w:divBdr>
          <w:divsChild>
            <w:div w:id="876281965">
              <w:marLeft w:val="0"/>
              <w:marRight w:val="0"/>
              <w:marTop w:val="0"/>
              <w:marBottom w:val="0"/>
              <w:divBdr>
                <w:top w:val="none" w:sz="0" w:space="0" w:color="auto"/>
                <w:left w:val="none" w:sz="0" w:space="0" w:color="auto"/>
                <w:bottom w:val="none" w:sz="0" w:space="0" w:color="auto"/>
                <w:right w:val="none" w:sz="0" w:space="0" w:color="auto"/>
              </w:divBdr>
              <w:divsChild>
                <w:div w:id="1475292765">
                  <w:marLeft w:val="0"/>
                  <w:marRight w:val="0"/>
                  <w:marTop w:val="0"/>
                  <w:marBottom w:val="0"/>
                  <w:divBdr>
                    <w:top w:val="none" w:sz="0" w:space="0" w:color="auto"/>
                    <w:left w:val="none" w:sz="0" w:space="0" w:color="auto"/>
                    <w:bottom w:val="none" w:sz="0" w:space="0" w:color="auto"/>
                    <w:right w:val="none" w:sz="0" w:space="0" w:color="auto"/>
                  </w:divBdr>
                  <w:divsChild>
                    <w:div w:id="740054775">
                      <w:marLeft w:val="225"/>
                      <w:marRight w:val="0"/>
                      <w:marTop w:val="0"/>
                      <w:marBottom w:val="0"/>
                      <w:divBdr>
                        <w:top w:val="none" w:sz="0" w:space="0" w:color="auto"/>
                        <w:left w:val="none" w:sz="0" w:space="0" w:color="auto"/>
                        <w:bottom w:val="none" w:sz="0" w:space="0" w:color="auto"/>
                        <w:right w:val="none" w:sz="0" w:space="0" w:color="auto"/>
                      </w:divBdr>
                    </w:div>
                    <w:div w:id="1328631418">
                      <w:marLeft w:val="0"/>
                      <w:marRight w:val="240"/>
                      <w:marTop w:val="0"/>
                      <w:marBottom w:val="0"/>
                      <w:divBdr>
                        <w:top w:val="none" w:sz="0" w:space="0" w:color="auto"/>
                        <w:left w:val="none" w:sz="0" w:space="0" w:color="auto"/>
                        <w:bottom w:val="none" w:sz="0" w:space="0" w:color="auto"/>
                        <w:right w:val="none" w:sz="0" w:space="0" w:color="auto"/>
                      </w:divBdr>
                      <w:divsChild>
                        <w:div w:id="39327530">
                          <w:marLeft w:val="0"/>
                          <w:marRight w:val="90"/>
                          <w:marTop w:val="0"/>
                          <w:marBottom w:val="0"/>
                          <w:divBdr>
                            <w:top w:val="none" w:sz="0" w:space="0" w:color="auto"/>
                            <w:left w:val="none" w:sz="0" w:space="0" w:color="auto"/>
                            <w:bottom w:val="none" w:sz="0" w:space="0" w:color="auto"/>
                            <w:right w:val="none" w:sz="0" w:space="0" w:color="auto"/>
                          </w:divBdr>
                        </w:div>
                        <w:div w:id="719665981">
                          <w:marLeft w:val="0"/>
                          <w:marRight w:val="90"/>
                          <w:marTop w:val="0"/>
                          <w:marBottom w:val="0"/>
                          <w:divBdr>
                            <w:top w:val="none" w:sz="0" w:space="0" w:color="auto"/>
                            <w:left w:val="none" w:sz="0" w:space="0" w:color="auto"/>
                            <w:bottom w:val="none" w:sz="0" w:space="0" w:color="auto"/>
                            <w:right w:val="none" w:sz="0" w:space="0" w:color="auto"/>
                          </w:divBdr>
                        </w:div>
                        <w:div w:id="768893946">
                          <w:marLeft w:val="0"/>
                          <w:marRight w:val="90"/>
                          <w:marTop w:val="0"/>
                          <w:marBottom w:val="0"/>
                          <w:divBdr>
                            <w:top w:val="none" w:sz="0" w:space="0" w:color="auto"/>
                            <w:left w:val="none" w:sz="0" w:space="0" w:color="auto"/>
                            <w:bottom w:val="none" w:sz="0" w:space="0" w:color="auto"/>
                            <w:right w:val="none" w:sz="0" w:space="0" w:color="auto"/>
                          </w:divBdr>
                        </w:div>
                        <w:div w:id="8927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73651">
          <w:marLeft w:val="0"/>
          <w:marRight w:val="0"/>
          <w:marTop w:val="0"/>
          <w:marBottom w:val="0"/>
          <w:divBdr>
            <w:top w:val="none" w:sz="0" w:space="0" w:color="auto"/>
            <w:left w:val="none" w:sz="0" w:space="0" w:color="auto"/>
            <w:bottom w:val="none" w:sz="0" w:space="0" w:color="auto"/>
            <w:right w:val="none" w:sz="0" w:space="0" w:color="auto"/>
          </w:divBdr>
          <w:divsChild>
            <w:div w:id="866677139">
              <w:marLeft w:val="0"/>
              <w:marRight w:val="0"/>
              <w:marTop w:val="0"/>
              <w:marBottom w:val="450"/>
              <w:divBdr>
                <w:top w:val="none" w:sz="0" w:space="0" w:color="auto"/>
                <w:left w:val="none" w:sz="0" w:space="0" w:color="auto"/>
                <w:bottom w:val="none" w:sz="0" w:space="0" w:color="auto"/>
                <w:right w:val="none" w:sz="0" w:space="0" w:color="auto"/>
              </w:divBdr>
              <w:divsChild>
                <w:div w:id="892614898">
                  <w:marLeft w:val="0"/>
                  <w:marRight w:val="0"/>
                  <w:marTop w:val="0"/>
                  <w:marBottom w:val="0"/>
                  <w:divBdr>
                    <w:top w:val="none" w:sz="0" w:space="0" w:color="auto"/>
                    <w:left w:val="none" w:sz="0" w:space="0" w:color="auto"/>
                    <w:bottom w:val="none" w:sz="0" w:space="0" w:color="auto"/>
                    <w:right w:val="none" w:sz="0" w:space="0" w:color="auto"/>
                  </w:divBdr>
                </w:div>
                <w:div w:id="959262905">
                  <w:marLeft w:val="0"/>
                  <w:marRight w:val="0"/>
                  <w:marTop w:val="0"/>
                  <w:marBottom w:val="0"/>
                  <w:divBdr>
                    <w:top w:val="none" w:sz="0" w:space="0" w:color="auto"/>
                    <w:left w:val="none" w:sz="0" w:space="0" w:color="auto"/>
                    <w:bottom w:val="none" w:sz="0" w:space="0" w:color="auto"/>
                    <w:right w:val="none" w:sz="0" w:space="0" w:color="auto"/>
                  </w:divBdr>
                  <w:divsChild>
                    <w:div w:id="1535926811">
                      <w:marLeft w:val="0"/>
                      <w:marRight w:val="225"/>
                      <w:marTop w:val="0"/>
                      <w:marBottom w:val="0"/>
                      <w:divBdr>
                        <w:top w:val="none" w:sz="0" w:space="0" w:color="auto"/>
                        <w:left w:val="none" w:sz="0" w:space="0" w:color="auto"/>
                        <w:bottom w:val="none" w:sz="0" w:space="0" w:color="auto"/>
                        <w:right w:val="none" w:sz="0" w:space="0" w:color="auto"/>
                      </w:divBdr>
                      <w:divsChild>
                        <w:div w:id="1062947254">
                          <w:marLeft w:val="0"/>
                          <w:marRight w:val="0"/>
                          <w:marTop w:val="0"/>
                          <w:marBottom w:val="0"/>
                          <w:divBdr>
                            <w:top w:val="none" w:sz="0" w:space="0" w:color="auto"/>
                            <w:left w:val="none" w:sz="0" w:space="0" w:color="auto"/>
                            <w:bottom w:val="none" w:sz="0" w:space="0" w:color="auto"/>
                            <w:right w:val="none" w:sz="0" w:space="0" w:color="auto"/>
                          </w:divBdr>
                        </w:div>
                      </w:divsChild>
                    </w:div>
                    <w:div w:id="1773471572">
                      <w:marLeft w:val="0"/>
                      <w:marRight w:val="225"/>
                      <w:marTop w:val="0"/>
                      <w:marBottom w:val="0"/>
                      <w:divBdr>
                        <w:top w:val="none" w:sz="0" w:space="0" w:color="auto"/>
                        <w:left w:val="none" w:sz="0" w:space="0" w:color="auto"/>
                        <w:bottom w:val="none" w:sz="0" w:space="0" w:color="auto"/>
                        <w:right w:val="none" w:sz="0" w:space="0" w:color="auto"/>
                      </w:divBdr>
                      <w:divsChild>
                        <w:div w:id="10661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137589">
          <w:marLeft w:val="0"/>
          <w:marRight w:val="0"/>
          <w:marTop w:val="0"/>
          <w:marBottom w:val="450"/>
          <w:divBdr>
            <w:top w:val="none" w:sz="0" w:space="0" w:color="auto"/>
            <w:left w:val="none" w:sz="0" w:space="0" w:color="auto"/>
            <w:bottom w:val="none" w:sz="0" w:space="0" w:color="auto"/>
            <w:right w:val="none" w:sz="0" w:space="0" w:color="auto"/>
          </w:divBdr>
          <w:divsChild>
            <w:div w:id="17393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837">
      <w:bodyDiv w:val="1"/>
      <w:marLeft w:val="0"/>
      <w:marRight w:val="0"/>
      <w:marTop w:val="0"/>
      <w:marBottom w:val="0"/>
      <w:divBdr>
        <w:top w:val="none" w:sz="0" w:space="0" w:color="auto"/>
        <w:left w:val="none" w:sz="0" w:space="0" w:color="auto"/>
        <w:bottom w:val="none" w:sz="0" w:space="0" w:color="auto"/>
        <w:right w:val="none" w:sz="0" w:space="0" w:color="auto"/>
      </w:divBdr>
    </w:div>
    <w:div w:id="84499737">
      <w:bodyDiv w:val="1"/>
      <w:marLeft w:val="0"/>
      <w:marRight w:val="0"/>
      <w:marTop w:val="0"/>
      <w:marBottom w:val="0"/>
      <w:divBdr>
        <w:top w:val="none" w:sz="0" w:space="0" w:color="auto"/>
        <w:left w:val="none" w:sz="0" w:space="0" w:color="auto"/>
        <w:bottom w:val="none" w:sz="0" w:space="0" w:color="auto"/>
        <w:right w:val="none" w:sz="0" w:space="0" w:color="auto"/>
      </w:divBdr>
    </w:div>
    <w:div w:id="91824435">
      <w:bodyDiv w:val="1"/>
      <w:marLeft w:val="0"/>
      <w:marRight w:val="0"/>
      <w:marTop w:val="0"/>
      <w:marBottom w:val="0"/>
      <w:divBdr>
        <w:top w:val="none" w:sz="0" w:space="0" w:color="auto"/>
        <w:left w:val="none" w:sz="0" w:space="0" w:color="auto"/>
        <w:bottom w:val="none" w:sz="0" w:space="0" w:color="auto"/>
        <w:right w:val="none" w:sz="0" w:space="0" w:color="auto"/>
      </w:divBdr>
    </w:div>
    <w:div w:id="106966501">
      <w:bodyDiv w:val="1"/>
      <w:marLeft w:val="0"/>
      <w:marRight w:val="0"/>
      <w:marTop w:val="0"/>
      <w:marBottom w:val="0"/>
      <w:divBdr>
        <w:top w:val="none" w:sz="0" w:space="0" w:color="auto"/>
        <w:left w:val="none" w:sz="0" w:space="0" w:color="auto"/>
        <w:bottom w:val="none" w:sz="0" w:space="0" w:color="auto"/>
        <w:right w:val="none" w:sz="0" w:space="0" w:color="auto"/>
      </w:divBdr>
    </w:div>
    <w:div w:id="119957458">
      <w:bodyDiv w:val="1"/>
      <w:marLeft w:val="0"/>
      <w:marRight w:val="0"/>
      <w:marTop w:val="0"/>
      <w:marBottom w:val="0"/>
      <w:divBdr>
        <w:top w:val="none" w:sz="0" w:space="0" w:color="auto"/>
        <w:left w:val="none" w:sz="0" w:space="0" w:color="auto"/>
        <w:bottom w:val="none" w:sz="0" w:space="0" w:color="auto"/>
        <w:right w:val="none" w:sz="0" w:space="0" w:color="auto"/>
      </w:divBdr>
    </w:div>
    <w:div w:id="138764023">
      <w:bodyDiv w:val="1"/>
      <w:marLeft w:val="0"/>
      <w:marRight w:val="0"/>
      <w:marTop w:val="0"/>
      <w:marBottom w:val="0"/>
      <w:divBdr>
        <w:top w:val="none" w:sz="0" w:space="0" w:color="auto"/>
        <w:left w:val="none" w:sz="0" w:space="0" w:color="auto"/>
        <w:bottom w:val="none" w:sz="0" w:space="0" w:color="auto"/>
        <w:right w:val="none" w:sz="0" w:space="0" w:color="auto"/>
      </w:divBdr>
    </w:div>
    <w:div w:id="156700407">
      <w:bodyDiv w:val="1"/>
      <w:marLeft w:val="0"/>
      <w:marRight w:val="0"/>
      <w:marTop w:val="0"/>
      <w:marBottom w:val="0"/>
      <w:divBdr>
        <w:top w:val="none" w:sz="0" w:space="0" w:color="auto"/>
        <w:left w:val="none" w:sz="0" w:space="0" w:color="auto"/>
        <w:bottom w:val="none" w:sz="0" w:space="0" w:color="auto"/>
        <w:right w:val="none" w:sz="0" w:space="0" w:color="auto"/>
      </w:divBdr>
    </w:div>
    <w:div w:id="167720204">
      <w:bodyDiv w:val="1"/>
      <w:marLeft w:val="0"/>
      <w:marRight w:val="0"/>
      <w:marTop w:val="0"/>
      <w:marBottom w:val="0"/>
      <w:divBdr>
        <w:top w:val="none" w:sz="0" w:space="0" w:color="auto"/>
        <w:left w:val="none" w:sz="0" w:space="0" w:color="auto"/>
        <w:bottom w:val="none" w:sz="0" w:space="0" w:color="auto"/>
        <w:right w:val="none" w:sz="0" w:space="0" w:color="auto"/>
      </w:divBdr>
    </w:div>
    <w:div w:id="182986268">
      <w:bodyDiv w:val="1"/>
      <w:marLeft w:val="0"/>
      <w:marRight w:val="0"/>
      <w:marTop w:val="0"/>
      <w:marBottom w:val="0"/>
      <w:divBdr>
        <w:top w:val="none" w:sz="0" w:space="0" w:color="auto"/>
        <w:left w:val="none" w:sz="0" w:space="0" w:color="auto"/>
        <w:bottom w:val="none" w:sz="0" w:space="0" w:color="auto"/>
        <w:right w:val="none" w:sz="0" w:space="0" w:color="auto"/>
      </w:divBdr>
    </w:div>
    <w:div w:id="212811004">
      <w:bodyDiv w:val="1"/>
      <w:marLeft w:val="0"/>
      <w:marRight w:val="0"/>
      <w:marTop w:val="0"/>
      <w:marBottom w:val="0"/>
      <w:divBdr>
        <w:top w:val="none" w:sz="0" w:space="0" w:color="auto"/>
        <w:left w:val="none" w:sz="0" w:space="0" w:color="auto"/>
        <w:bottom w:val="none" w:sz="0" w:space="0" w:color="auto"/>
        <w:right w:val="none" w:sz="0" w:space="0" w:color="auto"/>
      </w:divBdr>
    </w:div>
    <w:div w:id="212885876">
      <w:bodyDiv w:val="1"/>
      <w:marLeft w:val="0"/>
      <w:marRight w:val="0"/>
      <w:marTop w:val="0"/>
      <w:marBottom w:val="0"/>
      <w:divBdr>
        <w:top w:val="none" w:sz="0" w:space="0" w:color="auto"/>
        <w:left w:val="none" w:sz="0" w:space="0" w:color="auto"/>
        <w:bottom w:val="none" w:sz="0" w:space="0" w:color="auto"/>
        <w:right w:val="none" w:sz="0" w:space="0" w:color="auto"/>
      </w:divBdr>
    </w:div>
    <w:div w:id="241837666">
      <w:bodyDiv w:val="1"/>
      <w:marLeft w:val="0"/>
      <w:marRight w:val="0"/>
      <w:marTop w:val="0"/>
      <w:marBottom w:val="0"/>
      <w:divBdr>
        <w:top w:val="none" w:sz="0" w:space="0" w:color="auto"/>
        <w:left w:val="none" w:sz="0" w:space="0" w:color="auto"/>
        <w:bottom w:val="none" w:sz="0" w:space="0" w:color="auto"/>
        <w:right w:val="none" w:sz="0" w:space="0" w:color="auto"/>
      </w:divBdr>
    </w:div>
    <w:div w:id="282730495">
      <w:bodyDiv w:val="1"/>
      <w:marLeft w:val="0"/>
      <w:marRight w:val="0"/>
      <w:marTop w:val="0"/>
      <w:marBottom w:val="0"/>
      <w:divBdr>
        <w:top w:val="none" w:sz="0" w:space="0" w:color="auto"/>
        <w:left w:val="none" w:sz="0" w:space="0" w:color="auto"/>
        <w:bottom w:val="none" w:sz="0" w:space="0" w:color="auto"/>
        <w:right w:val="none" w:sz="0" w:space="0" w:color="auto"/>
      </w:divBdr>
    </w:div>
    <w:div w:id="283968303">
      <w:bodyDiv w:val="1"/>
      <w:marLeft w:val="0"/>
      <w:marRight w:val="0"/>
      <w:marTop w:val="0"/>
      <w:marBottom w:val="0"/>
      <w:divBdr>
        <w:top w:val="none" w:sz="0" w:space="0" w:color="auto"/>
        <w:left w:val="none" w:sz="0" w:space="0" w:color="auto"/>
        <w:bottom w:val="none" w:sz="0" w:space="0" w:color="auto"/>
        <w:right w:val="none" w:sz="0" w:space="0" w:color="auto"/>
      </w:divBdr>
    </w:div>
    <w:div w:id="346561705">
      <w:bodyDiv w:val="1"/>
      <w:marLeft w:val="0"/>
      <w:marRight w:val="0"/>
      <w:marTop w:val="0"/>
      <w:marBottom w:val="0"/>
      <w:divBdr>
        <w:top w:val="none" w:sz="0" w:space="0" w:color="auto"/>
        <w:left w:val="none" w:sz="0" w:space="0" w:color="auto"/>
        <w:bottom w:val="none" w:sz="0" w:space="0" w:color="auto"/>
        <w:right w:val="none" w:sz="0" w:space="0" w:color="auto"/>
      </w:divBdr>
    </w:div>
    <w:div w:id="362171240">
      <w:bodyDiv w:val="1"/>
      <w:marLeft w:val="0"/>
      <w:marRight w:val="0"/>
      <w:marTop w:val="0"/>
      <w:marBottom w:val="0"/>
      <w:divBdr>
        <w:top w:val="none" w:sz="0" w:space="0" w:color="auto"/>
        <w:left w:val="none" w:sz="0" w:space="0" w:color="auto"/>
        <w:bottom w:val="none" w:sz="0" w:space="0" w:color="auto"/>
        <w:right w:val="none" w:sz="0" w:space="0" w:color="auto"/>
      </w:divBdr>
    </w:div>
    <w:div w:id="367804960">
      <w:bodyDiv w:val="1"/>
      <w:marLeft w:val="0"/>
      <w:marRight w:val="0"/>
      <w:marTop w:val="0"/>
      <w:marBottom w:val="0"/>
      <w:divBdr>
        <w:top w:val="none" w:sz="0" w:space="0" w:color="auto"/>
        <w:left w:val="none" w:sz="0" w:space="0" w:color="auto"/>
        <w:bottom w:val="none" w:sz="0" w:space="0" w:color="auto"/>
        <w:right w:val="none" w:sz="0" w:space="0" w:color="auto"/>
      </w:divBdr>
    </w:div>
    <w:div w:id="419331103">
      <w:bodyDiv w:val="1"/>
      <w:marLeft w:val="0"/>
      <w:marRight w:val="0"/>
      <w:marTop w:val="0"/>
      <w:marBottom w:val="0"/>
      <w:divBdr>
        <w:top w:val="none" w:sz="0" w:space="0" w:color="auto"/>
        <w:left w:val="none" w:sz="0" w:space="0" w:color="auto"/>
        <w:bottom w:val="none" w:sz="0" w:space="0" w:color="auto"/>
        <w:right w:val="none" w:sz="0" w:space="0" w:color="auto"/>
      </w:divBdr>
    </w:div>
    <w:div w:id="422335105">
      <w:bodyDiv w:val="1"/>
      <w:marLeft w:val="0"/>
      <w:marRight w:val="0"/>
      <w:marTop w:val="0"/>
      <w:marBottom w:val="0"/>
      <w:divBdr>
        <w:top w:val="none" w:sz="0" w:space="0" w:color="auto"/>
        <w:left w:val="none" w:sz="0" w:space="0" w:color="auto"/>
        <w:bottom w:val="none" w:sz="0" w:space="0" w:color="auto"/>
        <w:right w:val="none" w:sz="0" w:space="0" w:color="auto"/>
      </w:divBdr>
    </w:div>
    <w:div w:id="465589899">
      <w:bodyDiv w:val="1"/>
      <w:marLeft w:val="0"/>
      <w:marRight w:val="0"/>
      <w:marTop w:val="0"/>
      <w:marBottom w:val="0"/>
      <w:divBdr>
        <w:top w:val="none" w:sz="0" w:space="0" w:color="auto"/>
        <w:left w:val="none" w:sz="0" w:space="0" w:color="auto"/>
        <w:bottom w:val="none" w:sz="0" w:space="0" w:color="auto"/>
        <w:right w:val="none" w:sz="0" w:space="0" w:color="auto"/>
      </w:divBdr>
    </w:div>
    <w:div w:id="477109354">
      <w:bodyDiv w:val="1"/>
      <w:marLeft w:val="0"/>
      <w:marRight w:val="0"/>
      <w:marTop w:val="0"/>
      <w:marBottom w:val="0"/>
      <w:divBdr>
        <w:top w:val="none" w:sz="0" w:space="0" w:color="auto"/>
        <w:left w:val="none" w:sz="0" w:space="0" w:color="auto"/>
        <w:bottom w:val="none" w:sz="0" w:space="0" w:color="auto"/>
        <w:right w:val="none" w:sz="0" w:space="0" w:color="auto"/>
      </w:divBdr>
    </w:div>
    <w:div w:id="480737585">
      <w:bodyDiv w:val="1"/>
      <w:marLeft w:val="0"/>
      <w:marRight w:val="0"/>
      <w:marTop w:val="0"/>
      <w:marBottom w:val="0"/>
      <w:divBdr>
        <w:top w:val="none" w:sz="0" w:space="0" w:color="auto"/>
        <w:left w:val="none" w:sz="0" w:space="0" w:color="auto"/>
        <w:bottom w:val="none" w:sz="0" w:space="0" w:color="auto"/>
        <w:right w:val="none" w:sz="0" w:space="0" w:color="auto"/>
      </w:divBdr>
    </w:div>
    <w:div w:id="487788304">
      <w:bodyDiv w:val="1"/>
      <w:marLeft w:val="0"/>
      <w:marRight w:val="0"/>
      <w:marTop w:val="0"/>
      <w:marBottom w:val="0"/>
      <w:divBdr>
        <w:top w:val="none" w:sz="0" w:space="0" w:color="auto"/>
        <w:left w:val="none" w:sz="0" w:space="0" w:color="auto"/>
        <w:bottom w:val="none" w:sz="0" w:space="0" w:color="auto"/>
        <w:right w:val="none" w:sz="0" w:space="0" w:color="auto"/>
      </w:divBdr>
    </w:div>
    <w:div w:id="507673443">
      <w:bodyDiv w:val="1"/>
      <w:marLeft w:val="0"/>
      <w:marRight w:val="0"/>
      <w:marTop w:val="0"/>
      <w:marBottom w:val="0"/>
      <w:divBdr>
        <w:top w:val="none" w:sz="0" w:space="0" w:color="auto"/>
        <w:left w:val="none" w:sz="0" w:space="0" w:color="auto"/>
        <w:bottom w:val="none" w:sz="0" w:space="0" w:color="auto"/>
        <w:right w:val="none" w:sz="0" w:space="0" w:color="auto"/>
      </w:divBdr>
    </w:div>
    <w:div w:id="541089401">
      <w:bodyDiv w:val="1"/>
      <w:marLeft w:val="0"/>
      <w:marRight w:val="0"/>
      <w:marTop w:val="0"/>
      <w:marBottom w:val="0"/>
      <w:divBdr>
        <w:top w:val="none" w:sz="0" w:space="0" w:color="auto"/>
        <w:left w:val="none" w:sz="0" w:space="0" w:color="auto"/>
        <w:bottom w:val="none" w:sz="0" w:space="0" w:color="auto"/>
        <w:right w:val="none" w:sz="0" w:space="0" w:color="auto"/>
      </w:divBdr>
    </w:div>
    <w:div w:id="630788373">
      <w:bodyDiv w:val="1"/>
      <w:marLeft w:val="0"/>
      <w:marRight w:val="0"/>
      <w:marTop w:val="0"/>
      <w:marBottom w:val="0"/>
      <w:divBdr>
        <w:top w:val="none" w:sz="0" w:space="0" w:color="auto"/>
        <w:left w:val="none" w:sz="0" w:space="0" w:color="auto"/>
        <w:bottom w:val="none" w:sz="0" w:space="0" w:color="auto"/>
        <w:right w:val="none" w:sz="0" w:space="0" w:color="auto"/>
      </w:divBdr>
    </w:div>
    <w:div w:id="641076764">
      <w:bodyDiv w:val="1"/>
      <w:marLeft w:val="0"/>
      <w:marRight w:val="0"/>
      <w:marTop w:val="0"/>
      <w:marBottom w:val="0"/>
      <w:divBdr>
        <w:top w:val="none" w:sz="0" w:space="0" w:color="auto"/>
        <w:left w:val="none" w:sz="0" w:space="0" w:color="auto"/>
        <w:bottom w:val="none" w:sz="0" w:space="0" w:color="auto"/>
        <w:right w:val="none" w:sz="0" w:space="0" w:color="auto"/>
      </w:divBdr>
      <w:divsChild>
        <w:div w:id="184175539">
          <w:marLeft w:val="0"/>
          <w:marRight w:val="0"/>
          <w:marTop w:val="0"/>
          <w:marBottom w:val="0"/>
          <w:divBdr>
            <w:top w:val="none" w:sz="0" w:space="0" w:color="auto"/>
            <w:left w:val="none" w:sz="0" w:space="0" w:color="auto"/>
            <w:bottom w:val="none" w:sz="0" w:space="0" w:color="auto"/>
            <w:right w:val="none" w:sz="0" w:space="0" w:color="auto"/>
          </w:divBdr>
        </w:div>
        <w:div w:id="1465152760">
          <w:marLeft w:val="0"/>
          <w:marRight w:val="0"/>
          <w:marTop w:val="0"/>
          <w:marBottom w:val="0"/>
          <w:divBdr>
            <w:top w:val="none" w:sz="0" w:space="0" w:color="auto"/>
            <w:left w:val="none" w:sz="0" w:space="0" w:color="auto"/>
            <w:bottom w:val="none" w:sz="0" w:space="0" w:color="auto"/>
            <w:right w:val="none" w:sz="0" w:space="0" w:color="auto"/>
          </w:divBdr>
        </w:div>
      </w:divsChild>
    </w:div>
    <w:div w:id="644627840">
      <w:bodyDiv w:val="1"/>
      <w:marLeft w:val="0"/>
      <w:marRight w:val="0"/>
      <w:marTop w:val="0"/>
      <w:marBottom w:val="0"/>
      <w:divBdr>
        <w:top w:val="none" w:sz="0" w:space="0" w:color="auto"/>
        <w:left w:val="none" w:sz="0" w:space="0" w:color="auto"/>
        <w:bottom w:val="none" w:sz="0" w:space="0" w:color="auto"/>
        <w:right w:val="none" w:sz="0" w:space="0" w:color="auto"/>
      </w:divBdr>
    </w:div>
    <w:div w:id="665666181">
      <w:bodyDiv w:val="1"/>
      <w:marLeft w:val="0"/>
      <w:marRight w:val="0"/>
      <w:marTop w:val="0"/>
      <w:marBottom w:val="0"/>
      <w:divBdr>
        <w:top w:val="none" w:sz="0" w:space="0" w:color="auto"/>
        <w:left w:val="none" w:sz="0" w:space="0" w:color="auto"/>
        <w:bottom w:val="none" w:sz="0" w:space="0" w:color="auto"/>
        <w:right w:val="none" w:sz="0" w:space="0" w:color="auto"/>
      </w:divBdr>
    </w:div>
    <w:div w:id="727264412">
      <w:bodyDiv w:val="1"/>
      <w:marLeft w:val="0"/>
      <w:marRight w:val="0"/>
      <w:marTop w:val="0"/>
      <w:marBottom w:val="0"/>
      <w:divBdr>
        <w:top w:val="none" w:sz="0" w:space="0" w:color="auto"/>
        <w:left w:val="none" w:sz="0" w:space="0" w:color="auto"/>
        <w:bottom w:val="none" w:sz="0" w:space="0" w:color="auto"/>
        <w:right w:val="none" w:sz="0" w:space="0" w:color="auto"/>
      </w:divBdr>
    </w:div>
    <w:div w:id="732896078">
      <w:bodyDiv w:val="1"/>
      <w:marLeft w:val="0"/>
      <w:marRight w:val="0"/>
      <w:marTop w:val="0"/>
      <w:marBottom w:val="0"/>
      <w:divBdr>
        <w:top w:val="none" w:sz="0" w:space="0" w:color="auto"/>
        <w:left w:val="none" w:sz="0" w:space="0" w:color="auto"/>
        <w:bottom w:val="none" w:sz="0" w:space="0" w:color="auto"/>
        <w:right w:val="none" w:sz="0" w:space="0" w:color="auto"/>
      </w:divBdr>
    </w:div>
    <w:div w:id="735513404">
      <w:bodyDiv w:val="1"/>
      <w:marLeft w:val="0"/>
      <w:marRight w:val="0"/>
      <w:marTop w:val="0"/>
      <w:marBottom w:val="0"/>
      <w:divBdr>
        <w:top w:val="none" w:sz="0" w:space="0" w:color="auto"/>
        <w:left w:val="none" w:sz="0" w:space="0" w:color="auto"/>
        <w:bottom w:val="none" w:sz="0" w:space="0" w:color="auto"/>
        <w:right w:val="none" w:sz="0" w:space="0" w:color="auto"/>
      </w:divBdr>
    </w:div>
    <w:div w:id="748384144">
      <w:bodyDiv w:val="1"/>
      <w:marLeft w:val="0"/>
      <w:marRight w:val="0"/>
      <w:marTop w:val="0"/>
      <w:marBottom w:val="0"/>
      <w:divBdr>
        <w:top w:val="none" w:sz="0" w:space="0" w:color="auto"/>
        <w:left w:val="none" w:sz="0" w:space="0" w:color="auto"/>
        <w:bottom w:val="none" w:sz="0" w:space="0" w:color="auto"/>
        <w:right w:val="none" w:sz="0" w:space="0" w:color="auto"/>
      </w:divBdr>
    </w:div>
    <w:div w:id="841049205">
      <w:bodyDiv w:val="1"/>
      <w:marLeft w:val="0"/>
      <w:marRight w:val="0"/>
      <w:marTop w:val="0"/>
      <w:marBottom w:val="0"/>
      <w:divBdr>
        <w:top w:val="none" w:sz="0" w:space="0" w:color="auto"/>
        <w:left w:val="none" w:sz="0" w:space="0" w:color="auto"/>
        <w:bottom w:val="none" w:sz="0" w:space="0" w:color="auto"/>
        <w:right w:val="none" w:sz="0" w:space="0" w:color="auto"/>
      </w:divBdr>
    </w:div>
    <w:div w:id="842235730">
      <w:bodyDiv w:val="1"/>
      <w:marLeft w:val="0"/>
      <w:marRight w:val="0"/>
      <w:marTop w:val="0"/>
      <w:marBottom w:val="0"/>
      <w:divBdr>
        <w:top w:val="none" w:sz="0" w:space="0" w:color="auto"/>
        <w:left w:val="none" w:sz="0" w:space="0" w:color="auto"/>
        <w:bottom w:val="none" w:sz="0" w:space="0" w:color="auto"/>
        <w:right w:val="none" w:sz="0" w:space="0" w:color="auto"/>
      </w:divBdr>
    </w:div>
    <w:div w:id="865605714">
      <w:bodyDiv w:val="1"/>
      <w:marLeft w:val="0"/>
      <w:marRight w:val="0"/>
      <w:marTop w:val="0"/>
      <w:marBottom w:val="0"/>
      <w:divBdr>
        <w:top w:val="none" w:sz="0" w:space="0" w:color="auto"/>
        <w:left w:val="none" w:sz="0" w:space="0" w:color="auto"/>
        <w:bottom w:val="none" w:sz="0" w:space="0" w:color="auto"/>
        <w:right w:val="none" w:sz="0" w:space="0" w:color="auto"/>
      </w:divBdr>
    </w:div>
    <w:div w:id="883910460">
      <w:bodyDiv w:val="1"/>
      <w:marLeft w:val="0"/>
      <w:marRight w:val="0"/>
      <w:marTop w:val="0"/>
      <w:marBottom w:val="0"/>
      <w:divBdr>
        <w:top w:val="none" w:sz="0" w:space="0" w:color="auto"/>
        <w:left w:val="none" w:sz="0" w:space="0" w:color="auto"/>
        <w:bottom w:val="none" w:sz="0" w:space="0" w:color="auto"/>
        <w:right w:val="none" w:sz="0" w:space="0" w:color="auto"/>
      </w:divBdr>
    </w:div>
    <w:div w:id="884296580">
      <w:bodyDiv w:val="1"/>
      <w:marLeft w:val="0"/>
      <w:marRight w:val="0"/>
      <w:marTop w:val="0"/>
      <w:marBottom w:val="0"/>
      <w:divBdr>
        <w:top w:val="none" w:sz="0" w:space="0" w:color="auto"/>
        <w:left w:val="none" w:sz="0" w:space="0" w:color="auto"/>
        <w:bottom w:val="none" w:sz="0" w:space="0" w:color="auto"/>
        <w:right w:val="none" w:sz="0" w:space="0" w:color="auto"/>
      </w:divBdr>
    </w:div>
    <w:div w:id="898132875">
      <w:bodyDiv w:val="1"/>
      <w:marLeft w:val="0"/>
      <w:marRight w:val="0"/>
      <w:marTop w:val="0"/>
      <w:marBottom w:val="0"/>
      <w:divBdr>
        <w:top w:val="none" w:sz="0" w:space="0" w:color="auto"/>
        <w:left w:val="none" w:sz="0" w:space="0" w:color="auto"/>
        <w:bottom w:val="none" w:sz="0" w:space="0" w:color="auto"/>
        <w:right w:val="none" w:sz="0" w:space="0" w:color="auto"/>
      </w:divBdr>
    </w:div>
    <w:div w:id="902176684">
      <w:bodyDiv w:val="1"/>
      <w:marLeft w:val="0"/>
      <w:marRight w:val="0"/>
      <w:marTop w:val="0"/>
      <w:marBottom w:val="0"/>
      <w:divBdr>
        <w:top w:val="none" w:sz="0" w:space="0" w:color="auto"/>
        <w:left w:val="none" w:sz="0" w:space="0" w:color="auto"/>
        <w:bottom w:val="none" w:sz="0" w:space="0" w:color="auto"/>
        <w:right w:val="none" w:sz="0" w:space="0" w:color="auto"/>
      </w:divBdr>
    </w:div>
    <w:div w:id="962493052">
      <w:bodyDiv w:val="1"/>
      <w:marLeft w:val="0"/>
      <w:marRight w:val="0"/>
      <w:marTop w:val="0"/>
      <w:marBottom w:val="0"/>
      <w:divBdr>
        <w:top w:val="none" w:sz="0" w:space="0" w:color="auto"/>
        <w:left w:val="none" w:sz="0" w:space="0" w:color="auto"/>
        <w:bottom w:val="none" w:sz="0" w:space="0" w:color="auto"/>
        <w:right w:val="none" w:sz="0" w:space="0" w:color="auto"/>
      </w:divBdr>
    </w:div>
    <w:div w:id="1003703695">
      <w:bodyDiv w:val="1"/>
      <w:marLeft w:val="0"/>
      <w:marRight w:val="0"/>
      <w:marTop w:val="0"/>
      <w:marBottom w:val="0"/>
      <w:divBdr>
        <w:top w:val="none" w:sz="0" w:space="0" w:color="auto"/>
        <w:left w:val="none" w:sz="0" w:space="0" w:color="auto"/>
        <w:bottom w:val="none" w:sz="0" w:space="0" w:color="auto"/>
        <w:right w:val="none" w:sz="0" w:space="0" w:color="auto"/>
      </w:divBdr>
    </w:div>
    <w:div w:id="1017461685">
      <w:bodyDiv w:val="1"/>
      <w:marLeft w:val="0"/>
      <w:marRight w:val="0"/>
      <w:marTop w:val="0"/>
      <w:marBottom w:val="0"/>
      <w:divBdr>
        <w:top w:val="none" w:sz="0" w:space="0" w:color="auto"/>
        <w:left w:val="none" w:sz="0" w:space="0" w:color="auto"/>
        <w:bottom w:val="none" w:sz="0" w:space="0" w:color="auto"/>
        <w:right w:val="none" w:sz="0" w:space="0" w:color="auto"/>
      </w:divBdr>
    </w:div>
    <w:div w:id="1023900146">
      <w:bodyDiv w:val="1"/>
      <w:marLeft w:val="0"/>
      <w:marRight w:val="0"/>
      <w:marTop w:val="0"/>
      <w:marBottom w:val="0"/>
      <w:divBdr>
        <w:top w:val="none" w:sz="0" w:space="0" w:color="auto"/>
        <w:left w:val="none" w:sz="0" w:space="0" w:color="auto"/>
        <w:bottom w:val="none" w:sz="0" w:space="0" w:color="auto"/>
        <w:right w:val="none" w:sz="0" w:space="0" w:color="auto"/>
      </w:divBdr>
    </w:div>
    <w:div w:id="1030447302">
      <w:bodyDiv w:val="1"/>
      <w:marLeft w:val="0"/>
      <w:marRight w:val="0"/>
      <w:marTop w:val="0"/>
      <w:marBottom w:val="0"/>
      <w:divBdr>
        <w:top w:val="none" w:sz="0" w:space="0" w:color="auto"/>
        <w:left w:val="none" w:sz="0" w:space="0" w:color="auto"/>
        <w:bottom w:val="none" w:sz="0" w:space="0" w:color="auto"/>
        <w:right w:val="none" w:sz="0" w:space="0" w:color="auto"/>
      </w:divBdr>
    </w:div>
    <w:div w:id="1040939432">
      <w:bodyDiv w:val="1"/>
      <w:marLeft w:val="0"/>
      <w:marRight w:val="0"/>
      <w:marTop w:val="0"/>
      <w:marBottom w:val="0"/>
      <w:divBdr>
        <w:top w:val="none" w:sz="0" w:space="0" w:color="auto"/>
        <w:left w:val="none" w:sz="0" w:space="0" w:color="auto"/>
        <w:bottom w:val="none" w:sz="0" w:space="0" w:color="auto"/>
        <w:right w:val="none" w:sz="0" w:space="0" w:color="auto"/>
      </w:divBdr>
      <w:divsChild>
        <w:div w:id="1644429647">
          <w:marLeft w:val="0"/>
          <w:marRight w:val="0"/>
          <w:marTop w:val="0"/>
          <w:marBottom w:val="0"/>
          <w:divBdr>
            <w:top w:val="none" w:sz="0" w:space="0" w:color="auto"/>
            <w:left w:val="none" w:sz="0" w:space="0" w:color="auto"/>
            <w:bottom w:val="none" w:sz="0" w:space="0" w:color="auto"/>
            <w:right w:val="none" w:sz="0" w:space="0" w:color="auto"/>
          </w:divBdr>
        </w:div>
        <w:div w:id="2072608346">
          <w:marLeft w:val="0"/>
          <w:marRight w:val="0"/>
          <w:marTop w:val="0"/>
          <w:marBottom w:val="0"/>
          <w:divBdr>
            <w:top w:val="none" w:sz="0" w:space="0" w:color="auto"/>
            <w:left w:val="none" w:sz="0" w:space="0" w:color="auto"/>
            <w:bottom w:val="none" w:sz="0" w:space="0" w:color="auto"/>
            <w:right w:val="none" w:sz="0" w:space="0" w:color="auto"/>
          </w:divBdr>
        </w:div>
      </w:divsChild>
    </w:div>
    <w:div w:id="1048649416">
      <w:bodyDiv w:val="1"/>
      <w:marLeft w:val="0"/>
      <w:marRight w:val="0"/>
      <w:marTop w:val="0"/>
      <w:marBottom w:val="0"/>
      <w:divBdr>
        <w:top w:val="none" w:sz="0" w:space="0" w:color="auto"/>
        <w:left w:val="none" w:sz="0" w:space="0" w:color="auto"/>
        <w:bottom w:val="none" w:sz="0" w:space="0" w:color="auto"/>
        <w:right w:val="none" w:sz="0" w:space="0" w:color="auto"/>
      </w:divBdr>
    </w:div>
    <w:div w:id="1094980841">
      <w:bodyDiv w:val="1"/>
      <w:marLeft w:val="0"/>
      <w:marRight w:val="0"/>
      <w:marTop w:val="0"/>
      <w:marBottom w:val="0"/>
      <w:divBdr>
        <w:top w:val="none" w:sz="0" w:space="0" w:color="auto"/>
        <w:left w:val="none" w:sz="0" w:space="0" w:color="auto"/>
        <w:bottom w:val="none" w:sz="0" w:space="0" w:color="auto"/>
        <w:right w:val="none" w:sz="0" w:space="0" w:color="auto"/>
      </w:divBdr>
    </w:div>
    <w:div w:id="1107965696">
      <w:bodyDiv w:val="1"/>
      <w:marLeft w:val="0"/>
      <w:marRight w:val="0"/>
      <w:marTop w:val="0"/>
      <w:marBottom w:val="0"/>
      <w:divBdr>
        <w:top w:val="none" w:sz="0" w:space="0" w:color="auto"/>
        <w:left w:val="none" w:sz="0" w:space="0" w:color="auto"/>
        <w:bottom w:val="none" w:sz="0" w:space="0" w:color="auto"/>
        <w:right w:val="none" w:sz="0" w:space="0" w:color="auto"/>
      </w:divBdr>
    </w:div>
    <w:div w:id="1123110985">
      <w:bodyDiv w:val="1"/>
      <w:marLeft w:val="0"/>
      <w:marRight w:val="0"/>
      <w:marTop w:val="0"/>
      <w:marBottom w:val="0"/>
      <w:divBdr>
        <w:top w:val="none" w:sz="0" w:space="0" w:color="auto"/>
        <w:left w:val="none" w:sz="0" w:space="0" w:color="auto"/>
        <w:bottom w:val="none" w:sz="0" w:space="0" w:color="auto"/>
        <w:right w:val="none" w:sz="0" w:space="0" w:color="auto"/>
      </w:divBdr>
      <w:divsChild>
        <w:div w:id="955453790">
          <w:marLeft w:val="0"/>
          <w:marRight w:val="0"/>
          <w:marTop w:val="0"/>
          <w:marBottom w:val="0"/>
          <w:divBdr>
            <w:top w:val="none" w:sz="0" w:space="0" w:color="auto"/>
            <w:left w:val="none" w:sz="0" w:space="0" w:color="auto"/>
            <w:bottom w:val="none" w:sz="0" w:space="0" w:color="auto"/>
            <w:right w:val="none" w:sz="0" w:space="0" w:color="auto"/>
          </w:divBdr>
          <w:divsChild>
            <w:div w:id="1016344904">
              <w:marLeft w:val="0"/>
              <w:marRight w:val="0"/>
              <w:marTop w:val="0"/>
              <w:marBottom w:val="0"/>
              <w:divBdr>
                <w:top w:val="none" w:sz="0" w:space="0" w:color="auto"/>
                <w:left w:val="none" w:sz="0" w:space="0" w:color="auto"/>
                <w:bottom w:val="none" w:sz="0" w:space="0" w:color="auto"/>
                <w:right w:val="none" w:sz="0" w:space="0" w:color="auto"/>
              </w:divBdr>
              <w:divsChild>
                <w:div w:id="117381937">
                  <w:marLeft w:val="0"/>
                  <w:marRight w:val="0"/>
                  <w:marTop w:val="0"/>
                  <w:marBottom w:val="0"/>
                  <w:divBdr>
                    <w:top w:val="none" w:sz="0" w:space="0" w:color="auto"/>
                    <w:left w:val="none" w:sz="0" w:space="0" w:color="auto"/>
                    <w:bottom w:val="none" w:sz="0" w:space="0" w:color="auto"/>
                    <w:right w:val="none" w:sz="0" w:space="0" w:color="auto"/>
                  </w:divBdr>
                  <w:divsChild>
                    <w:div w:id="1247111836">
                      <w:marLeft w:val="0"/>
                      <w:marRight w:val="0"/>
                      <w:marTop w:val="0"/>
                      <w:marBottom w:val="0"/>
                      <w:divBdr>
                        <w:top w:val="none" w:sz="0" w:space="0" w:color="auto"/>
                        <w:left w:val="none" w:sz="0" w:space="0" w:color="auto"/>
                        <w:bottom w:val="none" w:sz="0" w:space="0" w:color="auto"/>
                        <w:right w:val="none" w:sz="0" w:space="0" w:color="auto"/>
                      </w:divBdr>
                      <w:divsChild>
                        <w:div w:id="568004554">
                          <w:marLeft w:val="0"/>
                          <w:marRight w:val="0"/>
                          <w:marTop w:val="0"/>
                          <w:marBottom w:val="0"/>
                          <w:divBdr>
                            <w:top w:val="none" w:sz="0" w:space="0" w:color="auto"/>
                            <w:left w:val="none" w:sz="0" w:space="0" w:color="auto"/>
                            <w:bottom w:val="none" w:sz="0" w:space="0" w:color="auto"/>
                            <w:right w:val="none" w:sz="0" w:space="0" w:color="auto"/>
                          </w:divBdr>
                          <w:divsChild>
                            <w:div w:id="67457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500011">
          <w:marLeft w:val="0"/>
          <w:marRight w:val="0"/>
          <w:marTop w:val="0"/>
          <w:marBottom w:val="0"/>
          <w:divBdr>
            <w:top w:val="none" w:sz="0" w:space="0" w:color="auto"/>
            <w:left w:val="none" w:sz="0" w:space="0" w:color="auto"/>
            <w:bottom w:val="none" w:sz="0" w:space="0" w:color="auto"/>
            <w:right w:val="none" w:sz="0" w:space="0" w:color="auto"/>
          </w:divBdr>
          <w:divsChild>
            <w:div w:id="1873807257">
              <w:marLeft w:val="0"/>
              <w:marRight w:val="0"/>
              <w:marTop w:val="0"/>
              <w:marBottom w:val="0"/>
              <w:divBdr>
                <w:top w:val="none" w:sz="0" w:space="0" w:color="auto"/>
                <w:left w:val="none" w:sz="0" w:space="0" w:color="auto"/>
                <w:bottom w:val="none" w:sz="0" w:space="0" w:color="auto"/>
                <w:right w:val="none" w:sz="0" w:space="0" w:color="auto"/>
              </w:divBdr>
              <w:divsChild>
                <w:div w:id="411243784">
                  <w:marLeft w:val="0"/>
                  <w:marRight w:val="0"/>
                  <w:marTop w:val="0"/>
                  <w:marBottom w:val="0"/>
                  <w:divBdr>
                    <w:top w:val="none" w:sz="0" w:space="0" w:color="auto"/>
                    <w:left w:val="none" w:sz="0" w:space="0" w:color="auto"/>
                    <w:bottom w:val="none" w:sz="0" w:space="0" w:color="auto"/>
                    <w:right w:val="none" w:sz="0" w:space="0" w:color="auto"/>
                  </w:divBdr>
                  <w:divsChild>
                    <w:div w:id="272513919">
                      <w:marLeft w:val="0"/>
                      <w:marRight w:val="0"/>
                      <w:marTop w:val="0"/>
                      <w:marBottom w:val="0"/>
                      <w:divBdr>
                        <w:top w:val="none" w:sz="0" w:space="0" w:color="auto"/>
                        <w:left w:val="none" w:sz="0" w:space="0" w:color="auto"/>
                        <w:bottom w:val="none" w:sz="0" w:space="0" w:color="auto"/>
                        <w:right w:val="none" w:sz="0" w:space="0" w:color="auto"/>
                      </w:divBdr>
                      <w:divsChild>
                        <w:div w:id="1912690291">
                          <w:marLeft w:val="0"/>
                          <w:marRight w:val="0"/>
                          <w:marTop w:val="0"/>
                          <w:marBottom w:val="0"/>
                          <w:divBdr>
                            <w:top w:val="none" w:sz="0" w:space="0" w:color="auto"/>
                            <w:left w:val="none" w:sz="0" w:space="0" w:color="auto"/>
                            <w:bottom w:val="none" w:sz="0" w:space="0" w:color="auto"/>
                            <w:right w:val="none" w:sz="0" w:space="0" w:color="auto"/>
                          </w:divBdr>
                          <w:divsChild>
                            <w:div w:id="93586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1375">
                      <w:marLeft w:val="0"/>
                      <w:marRight w:val="0"/>
                      <w:marTop w:val="0"/>
                      <w:marBottom w:val="75"/>
                      <w:divBdr>
                        <w:top w:val="none" w:sz="0" w:space="0" w:color="auto"/>
                        <w:left w:val="none" w:sz="0" w:space="0" w:color="auto"/>
                        <w:bottom w:val="none" w:sz="0" w:space="0" w:color="auto"/>
                        <w:right w:val="none" w:sz="0" w:space="0" w:color="auto"/>
                      </w:divBdr>
                      <w:divsChild>
                        <w:div w:id="255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581530">
      <w:bodyDiv w:val="1"/>
      <w:marLeft w:val="0"/>
      <w:marRight w:val="0"/>
      <w:marTop w:val="0"/>
      <w:marBottom w:val="0"/>
      <w:divBdr>
        <w:top w:val="none" w:sz="0" w:space="0" w:color="auto"/>
        <w:left w:val="none" w:sz="0" w:space="0" w:color="auto"/>
        <w:bottom w:val="none" w:sz="0" w:space="0" w:color="auto"/>
        <w:right w:val="none" w:sz="0" w:space="0" w:color="auto"/>
      </w:divBdr>
    </w:div>
    <w:div w:id="1138887327">
      <w:bodyDiv w:val="1"/>
      <w:marLeft w:val="0"/>
      <w:marRight w:val="0"/>
      <w:marTop w:val="0"/>
      <w:marBottom w:val="0"/>
      <w:divBdr>
        <w:top w:val="none" w:sz="0" w:space="0" w:color="auto"/>
        <w:left w:val="none" w:sz="0" w:space="0" w:color="auto"/>
        <w:bottom w:val="none" w:sz="0" w:space="0" w:color="auto"/>
        <w:right w:val="none" w:sz="0" w:space="0" w:color="auto"/>
      </w:divBdr>
    </w:div>
    <w:div w:id="1162697287">
      <w:bodyDiv w:val="1"/>
      <w:marLeft w:val="0"/>
      <w:marRight w:val="0"/>
      <w:marTop w:val="0"/>
      <w:marBottom w:val="0"/>
      <w:divBdr>
        <w:top w:val="none" w:sz="0" w:space="0" w:color="auto"/>
        <w:left w:val="none" w:sz="0" w:space="0" w:color="auto"/>
        <w:bottom w:val="none" w:sz="0" w:space="0" w:color="auto"/>
        <w:right w:val="none" w:sz="0" w:space="0" w:color="auto"/>
      </w:divBdr>
    </w:div>
    <w:div w:id="1169440731">
      <w:bodyDiv w:val="1"/>
      <w:marLeft w:val="0"/>
      <w:marRight w:val="0"/>
      <w:marTop w:val="0"/>
      <w:marBottom w:val="0"/>
      <w:divBdr>
        <w:top w:val="none" w:sz="0" w:space="0" w:color="auto"/>
        <w:left w:val="none" w:sz="0" w:space="0" w:color="auto"/>
        <w:bottom w:val="none" w:sz="0" w:space="0" w:color="auto"/>
        <w:right w:val="none" w:sz="0" w:space="0" w:color="auto"/>
      </w:divBdr>
    </w:div>
    <w:div w:id="1197232465">
      <w:bodyDiv w:val="1"/>
      <w:marLeft w:val="0"/>
      <w:marRight w:val="0"/>
      <w:marTop w:val="0"/>
      <w:marBottom w:val="0"/>
      <w:divBdr>
        <w:top w:val="none" w:sz="0" w:space="0" w:color="auto"/>
        <w:left w:val="none" w:sz="0" w:space="0" w:color="auto"/>
        <w:bottom w:val="none" w:sz="0" w:space="0" w:color="auto"/>
        <w:right w:val="none" w:sz="0" w:space="0" w:color="auto"/>
      </w:divBdr>
    </w:div>
    <w:div w:id="1208299430">
      <w:bodyDiv w:val="1"/>
      <w:marLeft w:val="0"/>
      <w:marRight w:val="0"/>
      <w:marTop w:val="0"/>
      <w:marBottom w:val="0"/>
      <w:divBdr>
        <w:top w:val="none" w:sz="0" w:space="0" w:color="auto"/>
        <w:left w:val="none" w:sz="0" w:space="0" w:color="auto"/>
        <w:bottom w:val="none" w:sz="0" w:space="0" w:color="auto"/>
        <w:right w:val="none" w:sz="0" w:space="0" w:color="auto"/>
      </w:divBdr>
    </w:div>
    <w:div w:id="1214972224">
      <w:bodyDiv w:val="1"/>
      <w:marLeft w:val="0"/>
      <w:marRight w:val="0"/>
      <w:marTop w:val="0"/>
      <w:marBottom w:val="0"/>
      <w:divBdr>
        <w:top w:val="none" w:sz="0" w:space="0" w:color="auto"/>
        <w:left w:val="none" w:sz="0" w:space="0" w:color="auto"/>
        <w:bottom w:val="none" w:sz="0" w:space="0" w:color="auto"/>
        <w:right w:val="none" w:sz="0" w:space="0" w:color="auto"/>
      </w:divBdr>
      <w:divsChild>
        <w:div w:id="1343556427">
          <w:marLeft w:val="0"/>
          <w:marRight w:val="0"/>
          <w:marTop w:val="0"/>
          <w:marBottom w:val="0"/>
          <w:divBdr>
            <w:top w:val="none" w:sz="0" w:space="0" w:color="auto"/>
            <w:left w:val="none" w:sz="0" w:space="0" w:color="auto"/>
            <w:bottom w:val="none" w:sz="0" w:space="0" w:color="auto"/>
            <w:right w:val="none" w:sz="0" w:space="0" w:color="auto"/>
          </w:divBdr>
          <w:divsChild>
            <w:div w:id="213394300">
              <w:marLeft w:val="0"/>
              <w:marRight w:val="0"/>
              <w:marTop w:val="0"/>
              <w:marBottom w:val="0"/>
              <w:divBdr>
                <w:top w:val="none" w:sz="0" w:space="0" w:color="auto"/>
                <w:left w:val="none" w:sz="0" w:space="0" w:color="auto"/>
                <w:bottom w:val="none" w:sz="0" w:space="0" w:color="auto"/>
                <w:right w:val="none" w:sz="0" w:space="0" w:color="auto"/>
              </w:divBdr>
              <w:divsChild>
                <w:div w:id="1537813267">
                  <w:marLeft w:val="0"/>
                  <w:marRight w:val="0"/>
                  <w:marTop w:val="0"/>
                  <w:marBottom w:val="0"/>
                  <w:divBdr>
                    <w:top w:val="none" w:sz="0" w:space="0" w:color="auto"/>
                    <w:left w:val="none" w:sz="0" w:space="0" w:color="auto"/>
                    <w:bottom w:val="none" w:sz="0" w:space="0" w:color="auto"/>
                    <w:right w:val="none" w:sz="0" w:space="0" w:color="auto"/>
                  </w:divBdr>
                  <w:divsChild>
                    <w:div w:id="194302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87866">
          <w:marLeft w:val="0"/>
          <w:marRight w:val="0"/>
          <w:marTop w:val="0"/>
          <w:marBottom w:val="0"/>
          <w:divBdr>
            <w:top w:val="none" w:sz="0" w:space="0" w:color="auto"/>
            <w:left w:val="none" w:sz="0" w:space="0" w:color="auto"/>
            <w:bottom w:val="none" w:sz="0" w:space="0" w:color="auto"/>
            <w:right w:val="none" w:sz="0" w:space="0" w:color="auto"/>
          </w:divBdr>
          <w:divsChild>
            <w:div w:id="733235799">
              <w:marLeft w:val="0"/>
              <w:marRight w:val="0"/>
              <w:marTop w:val="0"/>
              <w:marBottom w:val="0"/>
              <w:divBdr>
                <w:top w:val="none" w:sz="0" w:space="0" w:color="auto"/>
                <w:left w:val="none" w:sz="0" w:space="0" w:color="auto"/>
                <w:bottom w:val="none" w:sz="0" w:space="0" w:color="auto"/>
                <w:right w:val="none" w:sz="0" w:space="0" w:color="auto"/>
              </w:divBdr>
              <w:divsChild>
                <w:div w:id="1608081042">
                  <w:marLeft w:val="0"/>
                  <w:marRight w:val="0"/>
                  <w:marTop w:val="0"/>
                  <w:marBottom w:val="0"/>
                  <w:divBdr>
                    <w:top w:val="none" w:sz="0" w:space="0" w:color="auto"/>
                    <w:left w:val="none" w:sz="0" w:space="0" w:color="auto"/>
                    <w:bottom w:val="none" w:sz="0" w:space="0" w:color="auto"/>
                    <w:right w:val="none" w:sz="0" w:space="0" w:color="auto"/>
                  </w:divBdr>
                  <w:divsChild>
                    <w:div w:id="1604730640">
                      <w:marLeft w:val="0"/>
                      <w:marRight w:val="0"/>
                      <w:marTop w:val="0"/>
                      <w:marBottom w:val="0"/>
                      <w:divBdr>
                        <w:top w:val="none" w:sz="0" w:space="0" w:color="auto"/>
                        <w:left w:val="none" w:sz="0" w:space="0" w:color="auto"/>
                        <w:bottom w:val="none" w:sz="0" w:space="0" w:color="auto"/>
                        <w:right w:val="none" w:sz="0" w:space="0" w:color="auto"/>
                      </w:divBdr>
                      <w:divsChild>
                        <w:div w:id="1608002018">
                          <w:marLeft w:val="0"/>
                          <w:marRight w:val="0"/>
                          <w:marTop w:val="0"/>
                          <w:marBottom w:val="0"/>
                          <w:divBdr>
                            <w:top w:val="none" w:sz="0" w:space="0" w:color="auto"/>
                            <w:left w:val="none" w:sz="0" w:space="0" w:color="auto"/>
                            <w:bottom w:val="none" w:sz="0" w:space="0" w:color="auto"/>
                            <w:right w:val="none" w:sz="0" w:space="0" w:color="auto"/>
                          </w:divBdr>
                          <w:divsChild>
                            <w:div w:id="11686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663883">
      <w:bodyDiv w:val="1"/>
      <w:marLeft w:val="0"/>
      <w:marRight w:val="0"/>
      <w:marTop w:val="0"/>
      <w:marBottom w:val="0"/>
      <w:divBdr>
        <w:top w:val="none" w:sz="0" w:space="0" w:color="auto"/>
        <w:left w:val="none" w:sz="0" w:space="0" w:color="auto"/>
        <w:bottom w:val="none" w:sz="0" w:space="0" w:color="auto"/>
        <w:right w:val="none" w:sz="0" w:space="0" w:color="auto"/>
      </w:divBdr>
    </w:div>
    <w:div w:id="1263756204">
      <w:bodyDiv w:val="1"/>
      <w:marLeft w:val="0"/>
      <w:marRight w:val="0"/>
      <w:marTop w:val="0"/>
      <w:marBottom w:val="0"/>
      <w:divBdr>
        <w:top w:val="none" w:sz="0" w:space="0" w:color="auto"/>
        <w:left w:val="none" w:sz="0" w:space="0" w:color="auto"/>
        <w:bottom w:val="none" w:sz="0" w:space="0" w:color="auto"/>
        <w:right w:val="none" w:sz="0" w:space="0" w:color="auto"/>
      </w:divBdr>
    </w:div>
    <w:div w:id="1283998047">
      <w:bodyDiv w:val="1"/>
      <w:marLeft w:val="0"/>
      <w:marRight w:val="0"/>
      <w:marTop w:val="0"/>
      <w:marBottom w:val="0"/>
      <w:divBdr>
        <w:top w:val="none" w:sz="0" w:space="0" w:color="auto"/>
        <w:left w:val="none" w:sz="0" w:space="0" w:color="auto"/>
        <w:bottom w:val="none" w:sz="0" w:space="0" w:color="auto"/>
        <w:right w:val="none" w:sz="0" w:space="0" w:color="auto"/>
      </w:divBdr>
    </w:div>
    <w:div w:id="1306011469">
      <w:bodyDiv w:val="1"/>
      <w:marLeft w:val="0"/>
      <w:marRight w:val="0"/>
      <w:marTop w:val="0"/>
      <w:marBottom w:val="0"/>
      <w:divBdr>
        <w:top w:val="none" w:sz="0" w:space="0" w:color="auto"/>
        <w:left w:val="none" w:sz="0" w:space="0" w:color="auto"/>
        <w:bottom w:val="none" w:sz="0" w:space="0" w:color="auto"/>
        <w:right w:val="none" w:sz="0" w:space="0" w:color="auto"/>
      </w:divBdr>
    </w:div>
    <w:div w:id="1324356809">
      <w:bodyDiv w:val="1"/>
      <w:marLeft w:val="0"/>
      <w:marRight w:val="0"/>
      <w:marTop w:val="0"/>
      <w:marBottom w:val="0"/>
      <w:divBdr>
        <w:top w:val="none" w:sz="0" w:space="0" w:color="auto"/>
        <w:left w:val="none" w:sz="0" w:space="0" w:color="auto"/>
        <w:bottom w:val="none" w:sz="0" w:space="0" w:color="auto"/>
        <w:right w:val="none" w:sz="0" w:space="0" w:color="auto"/>
      </w:divBdr>
    </w:div>
    <w:div w:id="1345014145">
      <w:bodyDiv w:val="1"/>
      <w:marLeft w:val="0"/>
      <w:marRight w:val="0"/>
      <w:marTop w:val="0"/>
      <w:marBottom w:val="0"/>
      <w:divBdr>
        <w:top w:val="none" w:sz="0" w:space="0" w:color="auto"/>
        <w:left w:val="none" w:sz="0" w:space="0" w:color="auto"/>
        <w:bottom w:val="none" w:sz="0" w:space="0" w:color="auto"/>
        <w:right w:val="none" w:sz="0" w:space="0" w:color="auto"/>
      </w:divBdr>
    </w:div>
    <w:div w:id="1366449037">
      <w:bodyDiv w:val="1"/>
      <w:marLeft w:val="0"/>
      <w:marRight w:val="0"/>
      <w:marTop w:val="0"/>
      <w:marBottom w:val="0"/>
      <w:divBdr>
        <w:top w:val="none" w:sz="0" w:space="0" w:color="auto"/>
        <w:left w:val="none" w:sz="0" w:space="0" w:color="auto"/>
        <w:bottom w:val="none" w:sz="0" w:space="0" w:color="auto"/>
        <w:right w:val="none" w:sz="0" w:space="0" w:color="auto"/>
      </w:divBdr>
    </w:div>
    <w:div w:id="1369185672">
      <w:bodyDiv w:val="1"/>
      <w:marLeft w:val="0"/>
      <w:marRight w:val="0"/>
      <w:marTop w:val="0"/>
      <w:marBottom w:val="0"/>
      <w:divBdr>
        <w:top w:val="none" w:sz="0" w:space="0" w:color="auto"/>
        <w:left w:val="none" w:sz="0" w:space="0" w:color="auto"/>
        <w:bottom w:val="none" w:sz="0" w:space="0" w:color="auto"/>
        <w:right w:val="none" w:sz="0" w:space="0" w:color="auto"/>
      </w:divBdr>
      <w:divsChild>
        <w:div w:id="734165686">
          <w:marLeft w:val="0"/>
          <w:marRight w:val="0"/>
          <w:marTop w:val="0"/>
          <w:marBottom w:val="60"/>
          <w:divBdr>
            <w:top w:val="none" w:sz="0" w:space="0" w:color="auto"/>
            <w:left w:val="none" w:sz="0" w:space="0" w:color="auto"/>
            <w:bottom w:val="none" w:sz="0" w:space="0" w:color="auto"/>
            <w:right w:val="none" w:sz="0" w:space="0" w:color="auto"/>
          </w:divBdr>
        </w:div>
        <w:div w:id="2021275767">
          <w:marLeft w:val="0"/>
          <w:marRight w:val="0"/>
          <w:marTop w:val="0"/>
          <w:marBottom w:val="60"/>
          <w:divBdr>
            <w:top w:val="none" w:sz="0" w:space="0" w:color="auto"/>
            <w:left w:val="none" w:sz="0" w:space="0" w:color="auto"/>
            <w:bottom w:val="none" w:sz="0" w:space="0" w:color="auto"/>
            <w:right w:val="none" w:sz="0" w:space="0" w:color="auto"/>
          </w:divBdr>
          <w:divsChild>
            <w:div w:id="8683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6135">
      <w:bodyDiv w:val="1"/>
      <w:marLeft w:val="0"/>
      <w:marRight w:val="0"/>
      <w:marTop w:val="0"/>
      <w:marBottom w:val="0"/>
      <w:divBdr>
        <w:top w:val="none" w:sz="0" w:space="0" w:color="auto"/>
        <w:left w:val="none" w:sz="0" w:space="0" w:color="auto"/>
        <w:bottom w:val="none" w:sz="0" w:space="0" w:color="auto"/>
        <w:right w:val="none" w:sz="0" w:space="0" w:color="auto"/>
      </w:divBdr>
    </w:div>
    <w:div w:id="1562784280">
      <w:bodyDiv w:val="1"/>
      <w:marLeft w:val="0"/>
      <w:marRight w:val="0"/>
      <w:marTop w:val="0"/>
      <w:marBottom w:val="0"/>
      <w:divBdr>
        <w:top w:val="none" w:sz="0" w:space="0" w:color="auto"/>
        <w:left w:val="none" w:sz="0" w:space="0" w:color="auto"/>
        <w:bottom w:val="none" w:sz="0" w:space="0" w:color="auto"/>
        <w:right w:val="none" w:sz="0" w:space="0" w:color="auto"/>
      </w:divBdr>
    </w:div>
    <w:div w:id="1593854772">
      <w:bodyDiv w:val="1"/>
      <w:marLeft w:val="0"/>
      <w:marRight w:val="0"/>
      <w:marTop w:val="0"/>
      <w:marBottom w:val="0"/>
      <w:divBdr>
        <w:top w:val="none" w:sz="0" w:space="0" w:color="auto"/>
        <w:left w:val="none" w:sz="0" w:space="0" w:color="auto"/>
        <w:bottom w:val="none" w:sz="0" w:space="0" w:color="auto"/>
        <w:right w:val="none" w:sz="0" w:space="0" w:color="auto"/>
      </w:divBdr>
    </w:div>
    <w:div w:id="1597012801">
      <w:bodyDiv w:val="1"/>
      <w:marLeft w:val="0"/>
      <w:marRight w:val="0"/>
      <w:marTop w:val="0"/>
      <w:marBottom w:val="0"/>
      <w:divBdr>
        <w:top w:val="none" w:sz="0" w:space="0" w:color="auto"/>
        <w:left w:val="none" w:sz="0" w:space="0" w:color="auto"/>
        <w:bottom w:val="none" w:sz="0" w:space="0" w:color="auto"/>
        <w:right w:val="none" w:sz="0" w:space="0" w:color="auto"/>
      </w:divBdr>
    </w:div>
    <w:div w:id="1606156626">
      <w:bodyDiv w:val="1"/>
      <w:marLeft w:val="0"/>
      <w:marRight w:val="0"/>
      <w:marTop w:val="0"/>
      <w:marBottom w:val="0"/>
      <w:divBdr>
        <w:top w:val="none" w:sz="0" w:space="0" w:color="auto"/>
        <w:left w:val="none" w:sz="0" w:space="0" w:color="auto"/>
        <w:bottom w:val="none" w:sz="0" w:space="0" w:color="auto"/>
        <w:right w:val="none" w:sz="0" w:space="0" w:color="auto"/>
      </w:divBdr>
    </w:div>
    <w:div w:id="1614824595">
      <w:bodyDiv w:val="1"/>
      <w:marLeft w:val="0"/>
      <w:marRight w:val="0"/>
      <w:marTop w:val="0"/>
      <w:marBottom w:val="0"/>
      <w:divBdr>
        <w:top w:val="none" w:sz="0" w:space="0" w:color="auto"/>
        <w:left w:val="none" w:sz="0" w:space="0" w:color="auto"/>
        <w:bottom w:val="none" w:sz="0" w:space="0" w:color="auto"/>
        <w:right w:val="none" w:sz="0" w:space="0" w:color="auto"/>
      </w:divBdr>
    </w:div>
    <w:div w:id="1650205157">
      <w:bodyDiv w:val="1"/>
      <w:marLeft w:val="0"/>
      <w:marRight w:val="0"/>
      <w:marTop w:val="0"/>
      <w:marBottom w:val="0"/>
      <w:divBdr>
        <w:top w:val="none" w:sz="0" w:space="0" w:color="auto"/>
        <w:left w:val="none" w:sz="0" w:space="0" w:color="auto"/>
        <w:bottom w:val="none" w:sz="0" w:space="0" w:color="auto"/>
        <w:right w:val="none" w:sz="0" w:space="0" w:color="auto"/>
      </w:divBdr>
    </w:div>
    <w:div w:id="1653605610">
      <w:bodyDiv w:val="1"/>
      <w:marLeft w:val="0"/>
      <w:marRight w:val="0"/>
      <w:marTop w:val="0"/>
      <w:marBottom w:val="0"/>
      <w:divBdr>
        <w:top w:val="none" w:sz="0" w:space="0" w:color="auto"/>
        <w:left w:val="none" w:sz="0" w:space="0" w:color="auto"/>
        <w:bottom w:val="none" w:sz="0" w:space="0" w:color="auto"/>
        <w:right w:val="none" w:sz="0" w:space="0" w:color="auto"/>
      </w:divBdr>
    </w:div>
    <w:div w:id="1663048515">
      <w:bodyDiv w:val="1"/>
      <w:marLeft w:val="0"/>
      <w:marRight w:val="0"/>
      <w:marTop w:val="0"/>
      <w:marBottom w:val="0"/>
      <w:divBdr>
        <w:top w:val="none" w:sz="0" w:space="0" w:color="auto"/>
        <w:left w:val="none" w:sz="0" w:space="0" w:color="auto"/>
        <w:bottom w:val="none" w:sz="0" w:space="0" w:color="auto"/>
        <w:right w:val="none" w:sz="0" w:space="0" w:color="auto"/>
      </w:divBdr>
    </w:div>
    <w:div w:id="1667125589">
      <w:bodyDiv w:val="1"/>
      <w:marLeft w:val="0"/>
      <w:marRight w:val="0"/>
      <w:marTop w:val="0"/>
      <w:marBottom w:val="0"/>
      <w:divBdr>
        <w:top w:val="none" w:sz="0" w:space="0" w:color="auto"/>
        <w:left w:val="none" w:sz="0" w:space="0" w:color="auto"/>
        <w:bottom w:val="none" w:sz="0" w:space="0" w:color="auto"/>
        <w:right w:val="none" w:sz="0" w:space="0" w:color="auto"/>
      </w:divBdr>
    </w:div>
    <w:div w:id="1669480039">
      <w:bodyDiv w:val="1"/>
      <w:marLeft w:val="0"/>
      <w:marRight w:val="0"/>
      <w:marTop w:val="0"/>
      <w:marBottom w:val="0"/>
      <w:divBdr>
        <w:top w:val="none" w:sz="0" w:space="0" w:color="auto"/>
        <w:left w:val="none" w:sz="0" w:space="0" w:color="auto"/>
        <w:bottom w:val="none" w:sz="0" w:space="0" w:color="auto"/>
        <w:right w:val="none" w:sz="0" w:space="0" w:color="auto"/>
      </w:divBdr>
    </w:div>
    <w:div w:id="1676565690">
      <w:bodyDiv w:val="1"/>
      <w:marLeft w:val="0"/>
      <w:marRight w:val="0"/>
      <w:marTop w:val="0"/>
      <w:marBottom w:val="0"/>
      <w:divBdr>
        <w:top w:val="none" w:sz="0" w:space="0" w:color="auto"/>
        <w:left w:val="none" w:sz="0" w:space="0" w:color="auto"/>
        <w:bottom w:val="none" w:sz="0" w:space="0" w:color="auto"/>
        <w:right w:val="none" w:sz="0" w:space="0" w:color="auto"/>
      </w:divBdr>
    </w:div>
    <w:div w:id="1746997267">
      <w:bodyDiv w:val="1"/>
      <w:marLeft w:val="0"/>
      <w:marRight w:val="0"/>
      <w:marTop w:val="0"/>
      <w:marBottom w:val="0"/>
      <w:divBdr>
        <w:top w:val="none" w:sz="0" w:space="0" w:color="auto"/>
        <w:left w:val="none" w:sz="0" w:space="0" w:color="auto"/>
        <w:bottom w:val="none" w:sz="0" w:space="0" w:color="auto"/>
        <w:right w:val="none" w:sz="0" w:space="0" w:color="auto"/>
      </w:divBdr>
    </w:div>
    <w:div w:id="1759137014">
      <w:bodyDiv w:val="1"/>
      <w:marLeft w:val="0"/>
      <w:marRight w:val="0"/>
      <w:marTop w:val="0"/>
      <w:marBottom w:val="0"/>
      <w:divBdr>
        <w:top w:val="none" w:sz="0" w:space="0" w:color="auto"/>
        <w:left w:val="none" w:sz="0" w:space="0" w:color="auto"/>
        <w:bottom w:val="none" w:sz="0" w:space="0" w:color="auto"/>
        <w:right w:val="none" w:sz="0" w:space="0" w:color="auto"/>
      </w:divBdr>
    </w:div>
    <w:div w:id="1762944783">
      <w:bodyDiv w:val="1"/>
      <w:marLeft w:val="0"/>
      <w:marRight w:val="0"/>
      <w:marTop w:val="0"/>
      <w:marBottom w:val="0"/>
      <w:divBdr>
        <w:top w:val="none" w:sz="0" w:space="0" w:color="auto"/>
        <w:left w:val="none" w:sz="0" w:space="0" w:color="auto"/>
        <w:bottom w:val="none" w:sz="0" w:space="0" w:color="auto"/>
        <w:right w:val="none" w:sz="0" w:space="0" w:color="auto"/>
      </w:divBdr>
    </w:div>
    <w:div w:id="1774596193">
      <w:bodyDiv w:val="1"/>
      <w:marLeft w:val="0"/>
      <w:marRight w:val="0"/>
      <w:marTop w:val="0"/>
      <w:marBottom w:val="0"/>
      <w:divBdr>
        <w:top w:val="none" w:sz="0" w:space="0" w:color="auto"/>
        <w:left w:val="none" w:sz="0" w:space="0" w:color="auto"/>
        <w:bottom w:val="none" w:sz="0" w:space="0" w:color="auto"/>
        <w:right w:val="none" w:sz="0" w:space="0" w:color="auto"/>
      </w:divBdr>
    </w:div>
    <w:div w:id="1794667745">
      <w:bodyDiv w:val="1"/>
      <w:marLeft w:val="0"/>
      <w:marRight w:val="0"/>
      <w:marTop w:val="0"/>
      <w:marBottom w:val="0"/>
      <w:divBdr>
        <w:top w:val="none" w:sz="0" w:space="0" w:color="auto"/>
        <w:left w:val="none" w:sz="0" w:space="0" w:color="auto"/>
        <w:bottom w:val="none" w:sz="0" w:space="0" w:color="auto"/>
        <w:right w:val="none" w:sz="0" w:space="0" w:color="auto"/>
      </w:divBdr>
    </w:div>
    <w:div w:id="1796407450">
      <w:bodyDiv w:val="1"/>
      <w:marLeft w:val="0"/>
      <w:marRight w:val="0"/>
      <w:marTop w:val="0"/>
      <w:marBottom w:val="0"/>
      <w:divBdr>
        <w:top w:val="none" w:sz="0" w:space="0" w:color="auto"/>
        <w:left w:val="none" w:sz="0" w:space="0" w:color="auto"/>
        <w:bottom w:val="none" w:sz="0" w:space="0" w:color="auto"/>
        <w:right w:val="none" w:sz="0" w:space="0" w:color="auto"/>
      </w:divBdr>
      <w:divsChild>
        <w:div w:id="636842011">
          <w:marLeft w:val="0"/>
          <w:marRight w:val="0"/>
          <w:marTop w:val="0"/>
          <w:marBottom w:val="0"/>
          <w:divBdr>
            <w:top w:val="none" w:sz="0" w:space="0" w:color="auto"/>
            <w:left w:val="none" w:sz="0" w:space="0" w:color="auto"/>
            <w:bottom w:val="none" w:sz="0" w:space="0" w:color="auto"/>
            <w:right w:val="none" w:sz="0" w:space="0" w:color="auto"/>
          </w:divBdr>
          <w:divsChild>
            <w:div w:id="53479185">
              <w:marLeft w:val="0"/>
              <w:marRight w:val="0"/>
              <w:marTop w:val="0"/>
              <w:marBottom w:val="0"/>
              <w:divBdr>
                <w:top w:val="none" w:sz="0" w:space="0" w:color="auto"/>
                <w:left w:val="none" w:sz="0" w:space="0" w:color="auto"/>
                <w:bottom w:val="none" w:sz="0" w:space="0" w:color="auto"/>
                <w:right w:val="none" w:sz="0" w:space="0" w:color="auto"/>
              </w:divBdr>
              <w:divsChild>
                <w:div w:id="2070302412">
                  <w:marLeft w:val="0"/>
                  <w:marRight w:val="0"/>
                  <w:marTop w:val="0"/>
                  <w:marBottom w:val="0"/>
                  <w:divBdr>
                    <w:top w:val="none" w:sz="0" w:space="0" w:color="auto"/>
                    <w:left w:val="none" w:sz="0" w:space="0" w:color="auto"/>
                    <w:bottom w:val="none" w:sz="0" w:space="0" w:color="auto"/>
                    <w:right w:val="none" w:sz="0" w:space="0" w:color="auto"/>
                  </w:divBdr>
                  <w:divsChild>
                    <w:div w:id="234709736">
                      <w:marLeft w:val="0"/>
                      <w:marRight w:val="0"/>
                      <w:marTop w:val="0"/>
                      <w:marBottom w:val="0"/>
                      <w:divBdr>
                        <w:top w:val="none" w:sz="0" w:space="0" w:color="auto"/>
                        <w:left w:val="none" w:sz="0" w:space="0" w:color="auto"/>
                        <w:bottom w:val="none" w:sz="0" w:space="0" w:color="auto"/>
                        <w:right w:val="none" w:sz="0" w:space="0" w:color="auto"/>
                      </w:divBdr>
                      <w:divsChild>
                        <w:div w:id="224949470">
                          <w:marLeft w:val="0"/>
                          <w:marRight w:val="0"/>
                          <w:marTop w:val="0"/>
                          <w:marBottom w:val="0"/>
                          <w:divBdr>
                            <w:top w:val="none" w:sz="0" w:space="0" w:color="auto"/>
                            <w:left w:val="none" w:sz="0" w:space="0" w:color="auto"/>
                            <w:bottom w:val="none" w:sz="0" w:space="0" w:color="auto"/>
                            <w:right w:val="none" w:sz="0" w:space="0" w:color="auto"/>
                          </w:divBdr>
                          <w:divsChild>
                            <w:div w:id="15772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7337">
                      <w:marLeft w:val="0"/>
                      <w:marRight w:val="0"/>
                      <w:marTop w:val="0"/>
                      <w:marBottom w:val="75"/>
                      <w:divBdr>
                        <w:top w:val="none" w:sz="0" w:space="0" w:color="auto"/>
                        <w:left w:val="none" w:sz="0" w:space="0" w:color="auto"/>
                        <w:bottom w:val="none" w:sz="0" w:space="0" w:color="auto"/>
                        <w:right w:val="none" w:sz="0" w:space="0" w:color="auto"/>
                      </w:divBdr>
                      <w:divsChild>
                        <w:div w:id="19955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935878">
          <w:marLeft w:val="0"/>
          <w:marRight w:val="0"/>
          <w:marTop w:val="0"/>
          <w:marBottom w:val="0"/>
          <w:divBdr>
            <w:top w:val="none" w:sz="0" w:space="0" w:color="auto"/>
            <w:left w:val="none" w:sz="0" w:space="0" w:color="auto"/>
            <w:bottom w:val="none" w:sz="0" w:space="0" w:color="auto"/>
            <w:right w:val="none" w:sz="0" w:space="0" w:color="auto"/>
          </w:divBdr>
          <w:divsChild>
            <w:div w:id="380325487">
              <w:marLeft w:val="0"/>
              <w:marRight w:val="0"/>
              <w:marTop w:val="0"/>
              <w:marBottom w:val="0"/>
              <w:divBdr>
                <w:top w:val="none" w:sz="0" w:space="0" w:color="auto"/>
                <w:left w:val="none" w:sz="0" w:space="0" w:color="auto"/>
                <w:bottom w:val="none" w:sz="0" w:space="0" w:color="auto"/>
                <w:right w:val="none" w:sz="0" w:space="0" w:color="auto"/>
              </w:divBdr>
              <w:divsChild>
                <w:div w:id="573245671">
                  <w:marLeft w:val="0"/>
                  <w:marRight w:val="0"/>
                  <w:marTop w:val="0"/>
                  <w:marBottom w:val="0"/>
                  <w:divBdr>
                    <w:top w:val="none" w:sz="0" w:space="0" w:color="auto"/>
                    <w:left w:val="none" w:sz="0" w:space="0" w:color="auto"/>
                    <w:bottom w:val="none" w:sz="0" w:space="0" w:color="auto"/>
                    <w:right w:val="none" w:sz="0" w:space="0" w:color="auto"/>
                  </w:divBdr>
                  <w:divsChild>
                    <w:div w:id="521748165">
                      <w:marLeft w:val="0"/>
                      <w:marRight w:val="0"/>
                      <w:marTop w:val="0"/>
                      <w:marBottom w:val="0"/>
                      <w:divBdr>
                        <w:top w:val="none" w:sz="0" w:space="0" w:color="auto"/>
                        <w:left w:val="none" w:sz="0" w:space="0" w:color="auto"/>
                        <w:bottom w:val="none" w:sz="0" w:space="0" w:color="auto"/>
                        <w:right w:val="none" w:sz="0" w:space="0" w:color="auto"/>
                      </w:divBdr>
                      <w:divsChild>
                        <w:div w:id="427383665">
                          <w:marLeft w:val="0"/>
                          <w:marRight w:val="0"/>
                          <w:marTop w:val="0"/>
                          <w:marBottom w:val="0"/>
                          <w:divBdr>
                            <w:top w:val="none" w:sz="0" w:space="0" w:color="auto"/>
                            <w:left w:val="none" w:sz="0" w:space="0" w:color="auto"/>
                            <w:bottom w:val="none" w:sz="0" w:space="0" w:color="auto"/>
                            <w:right w:val="none" w:sz="0" w:space="0" w:color="auto"/>
                          </w:divBdr>
                          <w:divsChild>
                            <w:div w:id="3970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223890">
      <w:bodyDiv w:val="1"/>
      <w:marLeft w:val="0"/>
      <w:marRight w:val="0"/>
      <w:marTop w:val="0"/>
      <w:marBottom w:val="0"/>
      <w:divBdr>
        <w:top w:val="none" w:sz="0" w:space="0" w:color="auto"/>
        <w:left w:val="none" w:sz="0" w:space="0" w:color="auto"/>
        <w:bottom w:val="none" w:sz="0" w:space="0" w:color="auto"/>
        <w:right w:val="none" w:sz="0" w:space="0" w:color="auto"/>
      </w:divBdr>
    </w:div>
    <w:div w:id="1801721933">
      <w:bodyDiv w:val="1"/>
      <w:marLeft w:val="0"/>
      <w:marRight w:val="0"/>
      <w:marTop w:val="0"/>
      <w:marBottom w:val="0"/>
      <w:divBdr>
        <w:top w:val="none" w:sz="0" w:space="0" w:color="auto"/>
        <w:left w:val="none" w:sz="0" w:space="0" w:color="auto"/>
        <w:bottom w:val="none" w:sz="0" w:space="0" w:color="auto"/>
        <w:right w:val="none" w:sz="0" w:space="0" w:color="auto"/>
      </w:divBdr>
    </w:div>
    <w:div w:id="1802575996">
      <w:bodyDiv w:val="1"/>
      <w:marLeft w:val="0"/>
      <w:marRight w:val="0"/>
      <w:marTop w:val="0"/>
      <w:marBottom w:val="0"/>
      <w:divBdr>
        <w:top w:val="none" w:sz="0" w:space="0" w:color="auto"/>
        <w:left w:val="none" w:sz="0" w:space="0" w:color="auto"/>
        <w:bottom w:val="none" w:sz="0" w:space="0" w:color="auto"/>
        <w:right w:val="none" w:sz="0" w:space="0" w:color="auto"/>
      </w:divBdr>
    </w:div>
    <w:div w:id="1833908637">
      <w:bodyDiv w:val="1"/>
      <w:marLeft w:val="0"/>
      <w:marRight w:val="0"/>
      <w:marTop w:val="0"/>
      <w:marBottom w:val="0"/>
      <w:divBdr>
        <w:top w:val="none" w:sz="0" w:space="0" w:color="auto"/>
        <w:left w:val="none" w:sz="0" w:space="0" w:color="auto"/>
        <w:bottom w:val="none" w:sz="0" w:space="0" w:color="auto"/>
        <w:right w:val="none" w:sz="0" w:space="0" w:color="auto"/>
      </w:divBdr>
    </w:div>
    <w:div w:id="1859734411">
      <w:bodyDiv w:val="1"/>
      <w:marLeft w:val="0"/>
      <w:marRight w:val="0"/>
      <w:marTop w:val="0"/>
      <w:marBottom w:val="0"/>
      <w:divBdr>
        <w:top w:val="none" w:sz="0" w:space="0" w:color="auto"/>
        <w:left w:val="none" w:sz="0" w:space="0" w:color="auto"/>
        <w:bottom w:val="none" w:sz="0" w:space="0" w:color="auto"/>
        <w:right w:val="none" w:sz="0" w:space="0" w:color="auto"/>
      </w:divBdr>
    </w:div>
    <w:div w:id="1885553596">
      <w:bodyDiv w:val="1"/>
      <w:marLeft w:val="0"/>
      <w:marRight w:val="0"/>
      <w:marTop w:val="0"/>
      <w:marBottom w:val="0"/>
      <w:divBdr>
        <w:top w:val="none" w:sz="0" w:space="0" w:color="auto"/>
        <w:left w:val="none" w:sz="0" w:space="0" w:color="auto"/>
        <w:bottom w:val="none" w:sz="0" w:space="0" w:color="auto"/>
        <w:right w:val="none" w:sz="0" w:space="0" w:color="auto"/>
      </w:divBdr>
    </w:div>
    <w:div w:id="1943300911">
      <w:bodyDiv w:val="1"/>
      <w:marLeft w:val="0"/>
      <w:marRight w:val="0"/>
      <w:marTop w:val="0"/>
      <w:marBottom w:val="0"/>
      <w:divBdr>
        <w:top w:val="none" w:sz="0" w:space="0" w:color="auto"/>
        <w:left w:val="none" w:sz="0" w:space="0" w:color="auto"/>
        <w:bottom w:val="none" w:sz="0" w:space="0" w:color="auto"/>
        <w:right w:val="none" w:sz="0" w:space="0" w:color="auto"/>
      </w:divBdr>
    </w:div>
    <w:div w:id="1960723372">
      <w:bodyDiv w:val="1"/>
      <w:marLeft w:val="0"/>
      <w:marRight w:val="0"/>
      <w:marTop w:val="0"/>
      <w:marBottom w:val="0"/>
      <w:divBdr>
        <w:top w:val="none" w:sz="0" w:space="0" w:color="auto"/>
        <w:left w:val="none" w:sz="0" w:space="0" w:color="auto"/>
        <w:bottom w:val="none" w:sz="0" w:space="0" w:color="auto"/>
        <w:right w:val="none" w:sz="0" w:space="0" w:color="auto"/>
      </w:divBdr>
    </w:div>
    <w:div w:id="1988824835">
      <w:bodyDiv w:val="1"/>
      <w:marLeft w:val="0"/>
      <w:marRight w:val="0"/>
      <w:marTop w:val="0"/>
      <w:marBottom w:val="0"/>
      <w:divBdr>
        <w:top w:val="none" w:sz="0" w:space="0" w:color="auto"/>
        <w:left w:val="none" w:sz="0" w:space="0" w:color="auto"/>
        <w:bottom w:val="none" w:sz="0" w:space="0" w:color="auto"/>
        <w:right w:val="none" w:sz="0" w:space="0" w:color="auto"/>
      </w:divBdr>
    </w:div>
    <w:div w:id="1996913132">
      <w:bodyDiv w:val="1"/>
      <w:marLeft w:val="0"/>
      <w:marRight w:val="0"/>
      <w:marTop w:val="0"/>
      <w:marBottom w:val="0"/>
      <w:divBdr>
        <w:top w:val="none" w:sz="0" w:space="0" w:color="auto"/>
        <w:left w:val="none" w:sz="0" w:space="0" w:color="auto"/>
        <w:bottom w:val="none" w:sz="0" w:space="0" w:color="auto"/>
        <w:right w:val="none" w:sz="0" w:space="0" w:color="auto"/>
      </w:divBdr>
    </w:div>
    <w:div w:id="2019654249">
      <w:bodyDiv w:val="1"/>
      <w:marLeft w:val="0"/>
      <w:marRight w:val="0"/>
      <w:marTop w:val="0"/>
      <w:marBottom w:val="0"/>
      <w:divBdr>
        <w:top w:val="none" w:sz="0" w:space="0" w:color="auto"/>
        <w:left w:val="none" w:sz="0" w:space="0" w:color="auto"/>
        <w:bottom w:val="none" w:sz="0" w:space="0" w:color="auto"/>
        <w:right w:val="none" w:sz="0" w:space="0" w:color="auto"/>
      </w:divBdr>
    </w:div>
    <w:div w:id="2039041762">
      <w:bodyDiv w:val="1"/>
      <w:marLeft w:val="0"/>
      <w:marRight w:val="0"/>
      <w:marTop w:val="0"/>
      <w:marBottom w:val="0"/>
      <w:divBdr>
        <w:top w:val="none" w:sz="0" w:space="0" w:color="auto"/>
        <w:left w:val="none" w:sz="0" w:space="0" w:color="auto"/>
        <w:bottom w:val="none" w:sz="0" w:space="0" w:color="auto"/>
        <w:right w:val="none" w:sz="0" w:space="0" w:color="auto"/>
      </w:divBdr>
      <w:divsChild>
        <w:div w:id="612327365">
          <w:marLeft w:val="0"/>
          <w:marRight w:val="0"/>
          <w:marTop w:val="0"/>
          <w:marBottom w:val="60"/>
          <w:divBdr>
            <w:top w:val="none" w:sz="0" w:space="0" w:color="auto"/>
            <w:left w:val="none" w:sz="0" w:space="0" w:color="auto"/>
            <w:bottom w:val="none" w:sz="0" w:space="0" w:color="auto"/>
            <w:right w:val="none" w:sz="0" w:space="0" w:color="auto"/>
          </w:divBdr>
        </w:div>
        <w:div w:id="1238588159">
          <w:marLeft w:val="0"/>
          <w:marRight w:val="0"/>
          <w:marTop w:val="0"/>
          <w:marBottom w:val="60"/>
          <w:divBdr>
            <w:top w:val="none" w:sz="0" w:space="0" w:color="auto"/>
            <w:left w:val="none" w:sz="0" w:space="0" w:color="auto"/>
            <w:bottom w:val="none" w:sz="0" w:space="0" w:color="auto"/>
            <w:right w:val="none" w:sz="0" w:space="0" w:color="auto"/>
          </w:divBdr>
          <w:divsChild>
            <w:div w:id="8152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4473">
      <w:bodyDiv w:val="1"/>
      <w:marLeft w:val="0"/>
      <w:marRight w:val="0"/>
      <w:marTop w:val="0"/>
      <w:marBottom w:val="0"/>
      <w:divBdr>
        <w:top w:val="none" w:sz="0" w:space="0" w:color="auto"/>
        <w:left w:val="none" w:sz="0" w:space="0" w:color="auto"/>
        <w:bottom w:val="none" w:sz="0" w:space="0" w:color="auto"/>
        <w:right w:val="none" w:sz="0" w:space="0" w:color="auto"/>
      </w:divBdr>
    </w:div>
    <w:div w:id="2063943883">
      <w:bodyDiv w:val="1"/>
      <w:marLeft w:val="0"/>
      <w:marRight w:val="0"/>
      <w:marTop w:val="0"/>
      <w:marBottom w:val="0"/>
      <w:divBdr>
        <w:top w:val="none" w:sz="0" w:space="0" w:color="auto"/>
        <w:left w:val="none" w:sz="0" w:space="0" w:color="auto"/>
        <w:bottom w:val="none" w:sz="0" w:space="0" w:color="auto"/>
        <w:right w:val="none" w:sz="0" w:space="0" w:color="auto"/>
      </w:divBdr>
    </w:div>
    <w:div w:id="2114084845">
      <w:bodyDiv w:val="1"/>
      <w:marLeft w:val="0"/>
      <w:marRight w:val="0"/>
      <w:marTop w:val="0"/>
      <w:marBottom w:val="0"/>
      <w:divBdr>
        <w:top w:val="none" w:sz="0" w:space="0" w:color="auto"/>
        <w:left w:val="none" w:sz="0" w:space="0" w:color="auto"/>
        <w:bottom w:val="none" w:sz="0" w:space="0" w:color="auto"/>
        <w:right w:val="none" w:sz="0" w:space="0" w:color="auto"/>
      </w:divBdr>
    </w:div>
    <w:div w:id="2124685119">
      <w:bodyDiv w:val="1"/>
      <w:marLeft w:val="0"/>
      <w:marRight w:val="0"/>
      <w:marTop w:val="0"/>
      <w:marBottom w:val="0"/>
      <w:divBdr>
        <w:top w:val="none" w:sz="0" w:space="0" w:color="auto"/>
        <w:left w:val="none" w:sz="0" w:space="0" w:color="auto"/>
        <w:bottom w:val="none" w:sz="0" w:space="0" w:color="auto"/>
        <w:right w:val="none" w:sz="0" w:space="0" w:color="auto"/>
      </w:divBdr>
    </w:div>
    <w:div w:id="213197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onstat.org/uploads/files/publikacije/godisnjak%202020/19.pdf" TargetMode="External"/><Relationship Id="rId21" Type="http://schemas.openxmlformats.org/officeDocument/2006/relationships/image" Target="cid:image011.jpg@01D871AF.6A27D340" TargetMode="External"/><Relationship Id="rId42" Type="http://schemas.openxmlformats.org/officeDocument/2006/relationships/hyperlink" Target="https://monstat.org/cg/page.php?id=23&amp;pageid=23" TargetMode="External"/><Relationship Id="rId47" Type="http://schemas.openxmlformats.org/officeDocument/2006/relationships/image" Target="media/image12.png"/><Relationship Id="rId63" Type="http://schemas.openxmlformats.org/officeDocument/2006/relationships/image" Target="media/image24.jpeg"/><Relationship Id="rId68" Type="http://schemas.openxmlformats.org/officeDocument/2006/relationships/image" Target="media/image29.png"/><Relationship Id="rId84" Type="http://schemas.openxmlformats.org/officeDocument/2006/relationships/image" Target="media/image40.png"/><Relationship Id="rId89" Type="http://schemas.openxmlformats.org/officeDocument/2006/relationships/image" Target="media/image44.png"/><Relationship Id="rId16" Type="http://schemas.openxmlformats.org/officeDocument/2006/relationships/chart" Target="charts/chart2.xml"/><Relationship Id="rId11" Type="http://schemas.openxmlformats.org/officeDocument/2006/relationships/hyperlink" Target="https://reports.weforum.org/travel-and-tourism-competitiveness-report-2019/rankings/" TargetMode="External"/><Relationship Id="rId32" Type="http://schemas.openxmlformats.org/officeDocument/2006/relationships/hyperlink" Target="http://monstat.org/cg/page.php?id=366&amp;pageid=44" TargetMode="External"/><Relationship Id="rId37" Type="http://schemas.openxmlformats.org/officeDocument/2006/relationships/chart" Target="charts/chart8.xml"/><Relationship Id="rId53" Type="http://schemas.openxmlformats.org/officeDocument/2006/relationships/image" Target="media/image18.png"/><Relationship Id="rId58" Type="http://schemas.openxmlformats.org/officeDocument/2006/relationships/footer" Target="footer2.xml"/><Relationship Id="rId74" Type="http://schemas.openxmlformats.org/officeDocument/2006/relationships/image" Target="media/image35.png"/><Relationship Id="rId79" Type="http://schemas.openxmlformats.org/officeDocument/2006/relationships/chart" Target="charts/chart12.xml"/><Relationship Id="rId5" Type="http://schemas.openxmlformats.org/officeDocument/2006/relationships/webSettings" Target="webSettings.xml"/><Relationship Id="rId90" Type="http://schemas.openxmlformats.org/officeDocument/2006/relationships/hyperlink" Target="https://brandingcompass.com/" TargetMode="External"/><Relationship Id="rId95" Type="http://schemas.openxmlformats.org/officeDocument/2006/relationships/footer" Target="footer5.xml"/><Relationship Id="rId22" Type="http://schemas.openxmlformats.org/officeDocument/2006/relationships/image" Target="media/image6.jpeg"/><Relationship Id="rId27" Type="http://schemas.openxmlformats.org/officeDocument/2006/relationships/chart" Target="charts/chart4.xml"/><Relationship Id="rId43" Type="http://schemas.openxmlformats.org/officeDocument/2006/relationships/hyperlink" Target="https://www.monstat.org/uploads/files/Bilten/2021/2/3.pdf" TargetMode="External"/><Relationship Id="rId48" Type="http://schemas.openxmlformats.org/officeDocument/2006/relationships/image" Target="media/image13.jpeg"/><Relationship Id="rId64" Type="http://schemas.openxmlformats.org/officeDocument/2006/relationships/image" Target="media/image25.png"/><Relationship Id="rId69" Type="http://schemas.openxmlformats.org/officeDocument/2006/relationships/image" Target="media/image30.png"/><Relationship Id="rId80" Type="http://schemas.openxmlformats.org/officeDocument/2006/relationships/chart" Target="charts/chart13.xml"/><Relationship Id="rId85" Type="http://schemas.openxmlformats.org/officeDocument/2006/relationships/image" Target="media/image41.png"/><Relationship Id="rId12" Type="http://schemas.openxmlformats.org/officeDocument/2006/relationships/image" Target="media/image4.jpeg"/><Relationship Id="rId17" Type="http://schemas.openxmlformats.org/officeDocument/2006/relationships/hyperlink" Target="https://www.cbcg.me/me/statistika/statisticki-podaci/ekonomski-odnosi-sa-inostranstvom/platni-bilans" TargetMode="External"/><Relationship Id="rId25" Type="http://schemas.openxmlformats.org/officeDocument/2006/relationships/image" Target="cid:image001.png@01D871AD.C865B820" TargetMode="External"/><Relationship Id="rId33" Type="http://schemas.openxmlformats.org/officeDocument/2006/relationships/chart" Target="charts/chart5.xml"/><Relationship Id="rId38" Type="http://schemas.openxmlformats.org/officeDocument/2006/relationships/chart" Target="charts/chart9.xml"/><Relationship Id="rId46" Type="http://schemas.openxmlformats.org/officeDocument/2006/relationships/hyperlink" Target="https://monstat.org/cg/page.php?id=1743&amp;pageid=246" TargetMode="External"/><Relationship Id="rId59" Type="http://schemas.openxmlformats.org/officeDocument/2006/relationships/footer" Target="footer3.xml"/><Relationship Id="rId67" Type="http://schemas.openxmlformats.org/officeDocument/2006/relationships/image" Target="media/image28.png"/><Relationship Id="rId20" Type="http://schemas.openxmlformats.org/officeDocument/2006/relationships/image" Target="media/image5.jpeg"/><Relationship Id="rId41" Type="http://schemas.openxmlformats.org/officeDocument/2006/relationships/hyperlink" Target="http://monstat.org/cg/page.php?id=444&amp;pageid=45" TargetMode="External"/><Relationship Id="rId54" Type="http://schemas.openxmlformats.org/officeDocument/2006/relationships/image" Target="media/image19.jpeg"/><Relationship Id="rId62" Type="http://schemas.openxmlformats.org/officeDocument/2006/relationships/image" Target="media/image23.jpeg"/><Relationship Id="rId70" Type="http://schemas.openxmlformats.org/officeDocument/2006/relationships/image" Target="media/image31.png"/><Relationship Id="rId75" Type="http://schemas.openxmlformats.org/officeDocument/2006/relationships/image" Target="media/image36.png"/><Relationship Id="rId83" Type="http://schemas.openxmlformats.org/officeDocument/2006/relationships/footer" Target="footer4.xml"/><Relationship Id="rId88" Type="http://schemas.openxmlformats.org/officeDocument/2006/relationships/hyperlink" Target="https://www.unwto.org/policy-destination-management" TargetMode="External"/><Relationship Id="rId91" Type="http://schemas.openxmlformats.org/officeDocument/2006/relationships/image" Target="media/image45.png"/><Relationship Id="rId96"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bcg.me/me/statistika/statisticki-podaci/ekonomski-odnosi-sa-inostranstvom/platni-bilans" TargetMode="External"/><Relationship Id="rId23" Type="http://schemas.openxmlformats.org/officeDocument/2006/relationships/image" Target="cid:image003.jpg@01D871AD.C865B820" TargetMode="External"/><Relationship Id="rId28" Type="http://schemas.openxmlformats.org/officeDocument/2006/relationships/image" Target="media/image8.png"/><Relationship Id="rId36" Type="http://schemas.openxmlformats.org/officeDocument/2006/relationships/chart" Target="charts/chart7.xml"/><Relationship Id="rId49" Type="http://schemas.openxmlformats.org/officeDocument/2006/relationships/image" Target="media/image14.png"/><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cid:image001.png@01D871A4.90798D50" TargetMode="External"/><Relationship Id="rId44" Type="http://schemas.openxmlformats.org/officeDocument/2006/relationships/image" Target="media/image11.png"/><Relationship Id="rId52" Type="http://schemas.openxmlformats.org/officeDocument/2006/relationships/image" Target="media/image17.jpeg"/><Relationship Id="rId60" Type="http://schemas.openxmlformats.org/officeDocument/2006/relationships/image" Target="media/image21.jpeg"/><Relationship Id="rId65" Type="http://schemas.openxmlformats.org/officeDocument/2006/relationships/image" Target="media/image26.png"/><Relationship Id="rId73" Type="http://schemas.openxmlformats.org/officeDocument/2006/relationships/image" Target="media/image34.png"/><Relationship Id="rId78" Type="http://schemas.openxmlformats.org/officeDocument/2006/relationships/chart" Target="charts/chart11.xml"/><Relationship Id="rId81" Type="http://schemas.openxmlformats.org/officeDocument/2006/relationships/chart" Target="charts/chart14.xml"/><Relationship Id="rId86" Type="http://schemas.openxmlformats.org/officeDocument/2006/relationships/image" Target="media/image42.jpeg"/><Relationship Id="rId94" Type="http://schemas.openxmlformats.org/officeDocument/2006/relationships/header" Target="header2.xml"/><Relationship Id="rId99" Type="http://schemas.openxmlformats.org/officeDocument/2006/relationships/image" Target="media/image51.jpe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monstat.org/cg/page.php?id=44&amp;pageid=44" TargetMode="External"/><Relationship Id="rId18" Type="http://schemas.openxmlformats.org/officeDocument/2006/relationships/chart" Target="charts/chart3.xml"/><Relationship Id="rId39" Type="http://schemas.openxmlformats.org/officeDocument/2006/relationships/chart" Target="charts/chart10.xml"/><Relationship Id="rId34" Type="http://schemas.openxmlformats.org/officeDocument/2006/relationships/chart" Target="charts/chart6.xml"/><Relationship Id="rId50" Type="http://schemas.openxmlformats.org/officeDocument/2006/relationships/image" Target="media/image15.jpeg"/><Relationship Id="rId55" Type="http://schemas.openxmlformats.org/officeDocument/2006/relationships/image" Target="media/image20.jpeg"/><Relationship Id="rId76" Type="http://schemas.openxmlformats.org/officeDocument/2006/relationships/image" Target="media/image37.png"/><Relationship Id="rId97" Type="http://schemas.openxmlformats.org/officeDocument/2006/relationships/image" Target="media/image49.jpeg"/><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image" Target="cid:image002.png@01D871A4.90798D50" TargetMode="External"/><Relationship Id="rId24"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hyperlink" Target="https://monstat.org/cg/page.php?id=24&amp;pageid=24" TargetMode="External"/><Relationship Id="rId66" Type="http://schemas.openxmlformats.org/officeDocument/2006/relationships/image" Target="media/image27.png"/><Relationship Id="rId87" Type="http://schemas.openxmlformats.org/officeDocument/2006/relationships/image" Target="media/image43.png"/><Relationship Id="rId61" Type="http://schemas.openxmlformats.org/officeDocument/2006/relationships/image" Target="media/image22.jpeg"/><Relationship Id="rId82" Type="http://schemas.openxmlformats.org/officeDocument/2006/relationships/image" Target="media/image39.jpeg"/><Relationship Id="rId19" Type="http://schemas.openxmlformats.org/officeDocument/2006/relationships/hyperlink" Target="http://monstat.org/cg/page.php?id=366&amp;pageid=44" TargetMode="External"/><Relationship Id="rId14" Type="http://schemas.openxmlformats.org/officeDocument/2006/relationships/chart" Target="charts/chart1.xml"/><Relationship Id="rId30" Type="http://schemas.openxmlformats.org/officeDocument/2006/relationships/image" Target="media/image9.png"/><Relationship Id="rId35" Type="http://schemas.openxmlformats.org/officeDocument/2006/relationships/hyperlink" Target="http://monstat.org/cg/page.php?id=366&amp;pageid=44" TargetMode="External"/><Relationship Id="rId56" Type="http://schemas.openxmlformats.org/officeDocument/2006/relationships/header" Target="header1.xml"/><Relationship Id="rId77" Type="http://schemas.openxmlformats.org/officeDocument/2006/relationships/image" Target="media/image38.jpeg"/><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6.jpeg"/><Relationship Id="rId72" Type="http://schemas.openxmlformats.org/officeDocument/2006/relationships/image" Target="media/image33.png"/><Relationship Id="rId93" Type="http://schemas.openxmlformats.org/officeDocument/2006/relationships/image" Target="media/image47.png"/><Relationship Id="rId98" Type="http://schemas.openxmlformats.org/officeDocument/2006/relationships/image" Target="media/image50.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monstat.org/userfiles/file/klasifikacije/2.%20Publikacija%20KD%202010.pdf" TargetMode="External"/><Relationship Id="rId18" Type="http://schemas.openxmlformats.org/officeDocument/2006/relationships/hyperlink" Target="https://www.oecd-ilibrary.org/sites/f3180e03-en/index.html?itemId=/content/component/f3180e03-en" TargetMode="External"/><Relationship Id="rId26" Type="http://schemas.openxmlformats.org/officeDocument/2006/relationships/hyperlink" Target="http://zeleni-kljuc.org.me/" TargetMode="External"/><Relationship Id="rId39" Type="http://schemas.openxmlformats.org/officeDocument/2006/relationships/hyperlink" Target="https://www.unwto.org/gastronomy-wine-tourism" TargetMode="External"/><Relationship Id="rId21" Type="http://schemas.openxmlformats.org/officeDocument/2006/relationships/hyperlink" Target="https://www.unwto.org/sustainable-development" TargetMode="External"/><Relationship Id="rId34" Type="http://schemas.openxmlformats.org/officeDocument/2006/relationships/hyperlink" Target="https://www.adventuretravel.biz/" TargetMode="External"/><Relationship Id="rId42" Type="http://schemas.openxmlformats.org/officeDocument/2006/relationships/hyperlink" Target="https://www.statista.com/statistics/807374/europe-numbers-of-golf-players-by-country/" TargetMode="External"/><Relationship Id="rId7" Type="http://schemas.openxmlformats.org/officeDocument/2006/relationships/hyperlink" Target="https://cbc-mne-kos.org/project-of-the-2nd-cfp/culture-heritage-treasure-of-cross-border-region/" TargetMode="External"/><Relationship Id="rId2" Type="http://schemas.openxmlformats.org/officeDocument/2006/relationships/hyperlink" Target="https://www.interreg-hr-ba-me2014-2020.eu/project/wrecks4all/" TargetMode="External"/><Relationship Id="rId16" Type="http://schemas.openxmlformats.org/officeDocument/2006/relationships/hyperlink" Target="https://processpolicy.com/pestle-analysis.htm" TargetMode="External"/><Relationship Id="rId29" Type="http://schemas.openxmlformats.org/officeDocument/2006/relationships/hyperlink" Target="https://www.e-unwto.org/doi/epdf/10.18111/9789284422579" TargetMode="External"/><Relationship Id="rId1" Type="http://schemas.openxmlformats.org/officeDocument/2006/relationships/hyperlink" Target="https://www.eu.me/category/mne/info/press-info/press-ipa/" TargetMode="External"/><Relationship Id="rId6" Type="http://schemas.openxmlformats.org/officeDocument/2006/relationships/hyperlink" Target="https://cbcsrb-mne.org/project/cult-bike-route/" TargetMode="External"/><Relationship Id="rId11" Type="http://schemas.openxmlformats.org/officeDocument/2006/relationships/hyperlink" Target="https://www.iata.org/en/pressroom/2021-releases/2021-11-03-02/" TargetMode="External"/><Relationship Id="rId24" Type="http://schemas.openxmlformats.org/officeDocument/2006/relationships/hyperlink" Target="https://www.me.undp.org/content/montenegro/sr/home/presscenter/articles/klimatska-kriza-trai-sutinske-promjene-i-odgovornost-svih.html" TargetMode="External"/><Relationship Id="rId32" Type="http://schemas.openxmlformats.org/officeDocument/2006/relationships/hyperlink" Target="https://www.iucn.org/commissions/world-commission-protected-areas" TargetMode="External"/><Relationship Id="rId37" Type="http://schemas.openxmlformats.org/officeDocument/2006/relationships/hyperlink" Target="https://glampsource.com/en/differences-entre-le-camping-et-le-glamping/" TargetMode="External"/><Relationship Id="rId40" Type="http://schemas.openxmlformats.org/officeDocument/2006/relationships/hyperlink" Target="https://www.unwto.org/event/5-unwto-global-conference-on-wine-tourism" TargetMode="External"/><Relationship Id="rId45" Type="http://schemas.openxmlformats.org/officeDocument/2006/relationships/hyperlink" Target="https://www.montenegro.travel/info/ruta-4-krug-oko-korita" TargetMode="External"/><Relationship Id="rId5" Type="http://schemas.openxmlformats.org/officeDocument/2006/relationships/hyperlink" Target="https://www.interreg-hr-ba-me2014-2020.eu/project/heritagerevived/" TargetMode="External"/><Relationship Id="rId15" Type="http://schemas.openxmlformats.org/officeDocument/2006/relationships/hyperlink" Target="https://www.mindtools.com/pages/article/newTMC_09.htm" TargetMode="External"/><Relationship Id="rId23" Type="http://schemas.openxmlformats.org/officeDocument/2006/relationships/hyperlink" Target="https://www.gov.me/clanak/intenzivira-se-rad-na-garanciji-za-mlade-na-zapadnom-balkanu" TargetMode="External"/><Relationship Id="rId28" Type="http://schemas.openxmlformats.org/officeDocument/2006/relationships/hyperlink" Target="https://ipard.gov.me/IPARD_III_PROGRAM" TargetMode="External"/><Relationship Id="rId36" Type="http://schemas.openxmlformats.org/officeDocument/2006/relationships/hyperlink" Target="https://ec.europa.eu/eurostat/en/web/products-eurostat-news/-/ddn-20200611-1" TargetMode="External"/><Relationship Id="rId10" Type="http://schemas.openxmlformats.org/officeDocument/2006/relationships/hyperlink" Target="https://www.e-unwto.org/doi/pdf/10.18111/9789284422456" TargetMode="External"/><Relationship Id="rId19" Type="http://schemas.openxmlformats.org/officeDocument/2006/relationships/hyperlink" Target="https://www.oecd-ilibrary.org/sites/3d4192c2-en/index.html?itemId=/content/component/3d4192c2-en" TargetMode="External"/><Relationship Id="rId31" Type="http://schemas.openxmlformats.org/officeDocument/2006/relationships/hyperlink" Target="https://www.iucn.org/" TargetMode="External"/><Relationship Id="rId44" Type="http://schemas.openxmlformats.org/officeDocument/2006/relationships/hyperlink" Target="https://www.gov.me/dokumenta/6852d215-af43-4671-b940-cbd0525896c1" TargetMode="External"/><Relationship Id="rId4" Type="http://schemas.openxmlformats.org/officeDocument/2006/relationships/hyperlink" Target="https://www.interreg-hr-ba-me2014-2020.eu/project/ciro-ii/" TargetMode="External"/><Relationship Id="rId9" Type="http://schemas.openxmlformats.org/officeDocument/2006/relationships/hyperlink" Target="https://www.poslodavci.org/biblioteka/publikacije/neformalna-ekonomija-u-crnoj-gori-stvaranje-ambijenta-za-odrzivi-razvoj-preduzeca-u-crnoj-gori" TargetMode="External"/><Relationship Id="rId14" Type="http://schemas.openxmlformats.org/officeDocument/2006/relationships/hyperlink" Target="https://www.poslodavci.org/" TargetMode="External"/><Relationship Id="rId22" Type="http://schemas.openxmlformats.org/officeDocument/2006/relationships/hyperlink" Target="https://www.un.org/development/desa/disabilities/issues/promoting-accessible-tourism-for-all.html" TargetMode="External"/><Relationship Id="rId27" Type="http://schemas.openxmlformats.org/officeDocument/2006/relationships/hyperlink" Target="https://ipard.gov.me/IPARD_program" TargetMode="External"/><Relationship Id="rId30" Type="http://schemas.openxmlformats.org/officeDocument/2006/relationships/hyperlink" Target="https://www.e-unwto.org/doi/book/10.18111/9789284418978" TargetMode="External"/><Relationship Id="rId35" Type="http://schemas.openxmlformats.org/officeDocument/2006/relationships/hyperlink" Target="https://www.themeetingsindustry.org/storage/industry_news/14.3_UNWTO_Global+Report+on+Mtgs+Industry" TargetMode="External"/><Relationship Id="rId43" Type="http://schemas.openxmlformats.org/officeDocument/2006/relationships/hyperlink" Target="https://fccg.me/" TargetMode="External"/><Relationship Id="rId8" Type="http://schemas.openxmlformats.org/officeDocument/2006/relationships/hyperlink" Target="https://cbc.bih-mne.org/me/podrzani-projekti/" TargetMode="External"/><Relationship Id="rId3" Type="http://schemas.openxmlformats.org/officeDocument/2006/relationships/hyperlink" Target="https://www.interreg-hr-ba-me2014-2020.eu/project/epath/" TargetMode="External"/><Relationship Id="rId12" Type="http://schemas.openxmlformats.org/officeDocument/2006/relationships/hyperlink" Target="https://www.gov.me/dokumenta/a97c1693-5ee5-4799-a212-60f6b8eb514a" TargetMode="External"/><Relationship Id="rId17" Type="http://schemas.openxmlformats.org/officeDocument/2006/relationships/hyperlink" Target="https://www.oecd-ilibrary.org/sites/e1fa2868-en/index.html?itemId=/content/component/e1fa2868-en" TargetMode="External"/><Relationship Id="rId25" Type="http://schemas.openxmlformats.org/officeDocument/2006/relationships/hyperlink" Target="https://www.gstcouncil.org/gstc-criteria/" TargetMode="External"/><Relationship Id="rId33" Type="http://schemas.openxmlformats.org/officeDocument/2006/relationships/hyperlink" Target="https://orjen.me/ponuda-parka/posmatranje-zivotinja/" TargetMode="External"/><Relationship Id="rId38" Type="http://schemas.openxmlformats.org/officeDocument/2006/relationships/hyperlink" Target="https://www.unwto.org/news/unwto-bcc-forum-highlights-gastronomy-tourism-as-driver-of-rural-development" TargetMode="External"/><Relationship Id="rId46" Type="http://schemas.openxmlformats.org/officeDocument/2006/relationships/hyperlink" Target="https://www.parkpiva.com/" TargetMode="External"/><Relationship Id="rId20" Type="http://schemas.openxmlformats.org/officeDocument/2006/relationships/hyperlink" Target="https://www.oecd-ilibrary.org/sites/93f6c6fb-en/index.html?itemId=/content/component/93f6c6fb-en" TargetMode="External"/><Relationship Id="rId41" Type="http://schemas.openxmlformats.org/officeDocument/2006/relationships/hyperlink" Target="https://www.montenegro.travel/files/multimedija/16014764.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jelena.mugosa\AppData\Local\Microsoft\Windows\Temporary%20Internet%20Files\Content.Outlook\DVGFB7W0\Copy%20of%20Chart%20in%20Microsoft%20Word.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Arrivals </c:v>
                </c:pt>
              </c:strCache>
            </c:strRef>
          </c:tx>
          <c:invertIfNegative val="0"/>
          <c:cat>
            <c:numRef>
              <c:f>Sheet1!$A$2:$A$12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Sheet1!$B$2:$B$12</c:f>
              <c:numCache>
                <c:formatCode>General</c:formatCode>
                <c:ptCount val="11"/>
                <c:pt idx="0">
                  <c:v>1207694</c:v>
                </c:pt>
                <c:pt idx="1">
                  <c:v>1262985</c:v>
                </c:pt>
                <c:pt idx="2">
                  <c:v>1373454</c:v>
                </c:pt>
                <c:pt idx="3">
                  <c:v>1439500</c:v>
                </c:pt>
                <c:pt idx="4">
                  <c:v>1492006</c:v>
                </c:pt>
                <c:pt idx="5">
                  <c:v>1517376</c:v>
                </c:pt>
                <c:pt idx="6">
                  <c:v>1713109</c:v>
                </c:pt>
                <c:pt idx="7">
                  <c:v>1813817</c:v>
                </c:pt>
                <c:pt idx="8">
                  <c:v>2000009</c:v>
                </c:pt>
                <c:pt idx="9">
                  <c:v>2204856</c:v>
                </c:pt>
                <c:pt idx="10">
                  <c:v>2645217</c:v>
                </c:pt>
              </c:numCache>
            </c:numRef>
          </c:val>
          <c:extLst>
            <c:ext xmlns:c16="http://schemas.microsoft.com/office/drawing/2014/chart" uri="{C3380CC4-5D6E-409C-BE32-E72D297353CC}">
              <c16:uniqueId val="{00000000-B716-4CDF-9F68-11F349172ECB}"/>
            </c:ext>
          </c:extLst>
        </c:ser>
        <c:ser>
          <c:idx val="1"/>
          <c:order val="1"/>
          <c:tx>
            <c:strRef>
              <c:f>Sheet1!$C$1</c:f>
              <c:strCache>
                <c:ptCount val="1"/>
                <c:pt idx="0">
                  <c:v>Overnight stays</c:v>
                </c:pt>
              </c:strCache>
            </c:strRef>
          </c:tx>
          <c:invertIfNegative val="0"/>
          <c:cat>
            <c:numRef>
              <c:f>Sheet1!$A$2:$A$12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Sheet1!$C$2:$C$12</c:f>
              <c:numCache>
                <c:formatCode>General</c:formatCode>
                <c:ptCount val="11"/>
                <c:pt idx="0">
                  <c:v>7552006</c:v>
                </c:pt>
                <c:pt idx="1">
                  <c:v>7964893</c:v>
                </c:pt>
                <c:pt idx="2">
                  <c:v>8775171</c:v>
                </c:pt>
                <c:pt idx="3">
                  <c:v>9151236</c:v>
                </c:pt>
                <c:pt idx="4">
                  <c:v>9411943</c:v>
                </c:pt>
                <c:pt idx="5">
                  <c:v>9553783</c:v>
                </c:pt>
                <c:pt idx="6">
                  <c:v>11054947</c:v>
                </c:pt>
                <c:pt idx="7">
                  <c:v>11250005</c:v>
                </c:pt>
                <c:pt idx="8">
                  <c:v>11953316</c:v>
                </c:pt>
                <c:pt idx="9">
                  <c:v>12930334</c:v>
                </c:pt>
                <c:pt idx="10">
                  <c:v>14455920</c:v>
                </c:pt>
              </c:numCache>
            </c:numRef>
          </c:val>
          <c:extLst>
            <c:ext xmlns:c16="http://schemas.microsoft.com/office/drawing/2014/chart" uri="{C3380CC4-5D6E-409C-BE32-E72D297353CC}">
              <c16:uniqueId val="{00000001-B716-4CDF-9F68-11F349172ECB}"/>
            </c:ext>
          </c:extLst>
        </c:ser>
        <c:dLbls>
          <c:showLegendKey val="0"/>
          <c:showVal val="0"/>
          <c:showCatName val="0"/>
          <c:showSerName val="0"/>
          <c:showPercent val="0"/>
          <c:showBubbleSize val="0"/>
        </c:dLbls>
        <c:gapWidth val="150"/>
        <c:shape val="box"/>
        <c:axId val="564743816"/>
        <c:axId val="564744600"/>
        <c:axId val="0"/>
      </c:bar3DChart>
      <c:catAx>
        <c:axId val="564743816"/>
        <c:scaling>
          <c:orientation val="minMax"/>
        </c:scaling>
        <c:delete val="0"/>
        <c:axPos val="b"/>
        <c:numFmt formatCode="General" sourceLinked="1"/>
        <c:majorTickMark val="out"/>
        <c:minorTickMark val="none"/>
        <c:tickLblPos val="nextTo"/>
        <c:crossAx val="564744600"/>
        <c:crosses val="autoZero"/>
        <c:auto val="1"/>
        <c:lblAlgn val="ctr"/>
        <c:lblOffset val="100"/>
        <c:noMultiLvlLbl val="0"/>
      </c:catAx>
      <c:valAx>
        <c:axId val="564744600"/>
        <c:scaling>
          <c:orientation val="minMax"/>
        </c:scaling>
        <c:delete val="0"/>
        <c:axPos val="l"/>
        <c:majorGridlines/>
        <c:numFmt formatCode="General" sourceLinked="1"/>
        <c:majorTickMark val="out"/>
        <c:minorTickMark val="none"/>
        <c:tickLblPos val="nextTo"/>
        <c:crossAx val="564743816"/>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606003551560204E-2"/>
          <c:y val="0.17568502449239193"/>
          <c:w val="0.90921896071541908"/>
          <c:h val="0.7059686247904029"/>
        </c:manualLayout>
      </c:layout>
      <c:lineChart>
        <c:grouping val="standard"/>
        <c:varyColors val="0"/>
        <c:ser>
          <c:idx val="0"/>
          <c:order val="0"/>
          <c:tx>
            <c:strRef>
              <c:f>Sheet1!$B$1</c:f>
              <c:strCache>
                <c:ptCount val="1"/>
                <c:pt idx="0">
                  <c:v>prosječan dužina boravka turista u danima</c:v>
                </c:pt>
              </c:strCache>
            </c:strRef>
          </c:tx>
          <c:marker>
            <c:symbol val="none"/>
          </c:marker>
          <c:cat>
            <c:numRef>
              <c:f>Sheet1!$A$2:$A$12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Sheet1!$B$2:$B$12</c:f>
              <c:numCache>
                <c:formatCode>General</c:formatCode>
                <c:ptCount val="11"/>
                <c:pt idx="0">
                  <c:v>6.25</c:v>
                </c:pt>
                <c:pt idx="1">
                  <c:v>6.31</c:v>
                </c:pt>
                <c:pt idx="2">
                  <c:v>6.39</c:v>
                </c:pt>
                <c:pt idx="3">
                  <c:v>6.36</c:v>
                </c:pt>
                <c:pt idx="4">
                  <c:v>6.31</c:v>
                </c:pt>
                <c:pt idx="5">
                  <c:v>6.08</c:v>
                </c:pt>
                <c:pt idx="6">
                  <c:v>6.45</c:v>
                </c:pt>
                <c:pt idx="7">
                  <c:v>6.2</c:v>
                </c:pt>
                <c:pt idx="8">
                  <c:v>5.98</c:v>
                </c:pt>
                <c:pt idx="9">
                  <c:v>5.86</c:v>
                </c:pt>
                <c:pt idx="10">
                  <c:v>5.46</c:v>
                </c:pt>
              </c:numCache>
            </c:numRef>
          </c:val>
          <c:smooth val="0"/>
          <c:extLst>
            <c:ext xmlns:c16="http://schemas.microsoft.com/office/drawing/2014/chart" uri="{C3380CC4-5D6E-409C-BE32-E72D297353CC}">
              <c16:uniqueId val="{00000000-273A-4B65-A9D5-82763C16B5F1}"/>
            </c:ext>
          </c:extLst>
        </c:ser>
        <c:dLbls>
          <c:showLegendKey val="0"/>
          <c:showVal val="0"/>
          <c:showCatName val="0"/>
          <c:showSerName val="0"/>
          <c:showPercent val="0"/>
          <c:showBubbleSize val="0"/>
        </c:dLbls>
        <c:smooth val="0"/>
        <c:axId val="564391640"/>
        <c:axId val="564392816"/>
      </c:lineChart>
      <c:catAx>
        <c:axId val="564391640"/>
        <c:scaling>
          <c:orientation val="minMax"/>
        </c:scaling>
        <c:delete val="0"/>
        <c:axPos val="b"/>
        <c:numFmt formatCode="General" sourceLinked="1"/>
        <c:majorTickMark val="out"/>
        <c:minorTickMark val="none"/>
        <c:tickLblPos val="nextTo"/>
        <c:crossAx val="564392816"/>
        <c:crosses val="autoZero"/>
        <c:auto val="1"/>
        <c:lblAlgn val="ctr"/>
        <c:lblOffset val="100"/>
        <c:noMultiLvlLbl val="0"/>
      </c:catAx>
      <c:valAx>
        <c:axId val="564392816"/>
        <c:scaling>
          <c:orientation val="minMax"/>
        </c:scaling>
        <c:delete val="0"/>
        <c:axPos val="l"/>
        <c:majorGridlines/>
        <c:numFmt formatCode="General" sourceLinked="1"/>
        <c:majorTickMark val="out"/>
        <c:minorTickMark val="none"/>
        <c:tickLblPos val="nextTo"/>
        <c:crossAx val="564391640"/>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'Nivo Crne Gore'!$B$25</c:f>
              <c:strCache>
                <c:ptCount val="1"/>
                <c:pt idx="0">
                  <c:v>Hotels and similar fascilities</c:v>
                </c:pt>
              </c:strCache>
            </c:strRef>
          </c:tx>
          <c:spPr>
            <a:ln w="28575" cap="rnd">
              <a:solidFill>
                <a:schemeClr val="accent1"/>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'Nivo Crne Gore'!$C$24:$E$24</c:f>
              <c:strCache>
                <c:ptCount val="3"/>
                <c:pt idx="0">
                  <c:v>2011.</c:v>
                </c:pt>
                <c:pt idx="1">
                  <c:v>2019.</c:v>
                </c:pt>
                <c:pt idx="2">
                  <c:v>2025.</c:v>
                </c:pt>
              </c:strCache>
            </c:strRef>
          </c:cat>
          <c:val>
            <c:numRef>
              <c:f>'Nivo Crne Gore'!$C$25:$E$25</c:f>
              <c:numCache>
                <c:formatCode>#,##0</c:formatCode>
                <c:ptCount val="3"/>
                <c:pt idx="0">
                  <c:v>35306</c:v>
                </c:pt>
                <c:pt idx="1">
                  <c:v>40814</c:v>
                </c:pt>
                <c:pt idx="2">
                  <c:v>52200</c:v>
                </c:pt>
              </c:numCache>
            </c:numRef>
          </c:val>
          <c:smooth val="0"/>
          <c:extLst>
            <c:ext xmlns:c16="http://schemas.microsoft.com/office/drawing/2014/chart" uri="{C3380CC4-5D6E-409C-BE32-E72D297353CC}">
              <c16:uniqueId val="{00000000-C463-EC47-9451-AACD63DC09B3}"/>
            </c:ext>
          </c:extLst>
        </c:ser>
        <c:ser>
          <c:idx val="1"/>
          <c:order val="1"/>
          <c:tx>
            <c:strRef>
              <c:f>'Nivo Crne Gore'!$B$26</c:f>
              <c:strCache>
                <c:ptCount val="1"/>
                <c:pt idx="0">
                  <c:v>Camps</c:v>
                </c:pt>
              </c:strCache>
            </c:strRef>
          </c:tx>
          <c:spPr>
            <a:ln w="28575" cap="rnd">
              <a:solidFill>
                <a:schemeClr val="accent2"/>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'Nivo Crne Gore'!$C$24:$E$24</c:f>
              <c:strCache>
                <c:ptCount val="3"/>
                <c:pt idx="0">
                  <c:v>2011.</c:v>
                </c:pt>
                <c:pt idx="1">
                  <c:v>2019.</c:v>
                </c:pt>
                <c:pt idx="2">
                  <c:v>2025.</c:v>
                </c:pt>
              </c:strCache>
            </c:strRef>
          </c:cat>
          <c:val>
            <c:numRef>
              <c:f>'Nivo Crne Gore'!$C$26:$E$26</c:f>
              <c:numCache>
                <c:formatCode>General</c:formatCode>
                <c:ptCount val="3"/>
                <c:pt idx="0" formatCode="#,##0">
                  <c:v>2554</c:v>
                </c:pt>
                <c:pt idx="1">
                  <c:v>2925</c:v>
                </c:pt>
                <c:pt idx="2" formatCode="#,##0">
                  <c:v>4500</c:v>
                </c:pt>
              </c:numCache>
            </c:numRef>
          </c:val>
          <c:smooth val="0"/>
          <c:extLst>
            <c:ext xmlns:c16="http://schemas.microsoft.com/office/drawing/2014/chart" uri="{C3380CC4-5D6E-409C-BE32-E72D297353CC}">
              <c16:uniqueId val="{00000001-C463-EC47-9451-AACD63DC09B3}"/>
            </c:ext>
          </c:extLst>
        </c:ser>
        <c:ser>
          <c:idx val="2"/>
          <c:order val="2"/>
          <c:tx>
            <c:strRef>
              <c:f>'Nivo Crne Gore'!$B$27</c:f>
              <c:strCache>
                <c:ptCount val="1"/>
                <c:pt idx="0">
                  <c:v>Private accommodation</c:v>
                </c:pt>
              </c:strCache>
            </c:strRef>
          </c:tx>
          <c:spPr>
            <a:ln w="28575" cap="rnd">
              <a:solidFill>
                <a:schemeClr val="accent6">
                  <a:lumMod val="75000"/>
                </a:schemeClr>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'Nivo Crne Gore'!$C$24:$E$24</c:f>
              <c:strCache>
                <c:ptCount val="3"/>
                <c:pt idx="0">
                  <c:v>2011.</c:v>
                </c:pt>
                <c:pt idx="1">
                  <c:v>2019.</c:v>
                </c:pt>
                <c:pt idx="2">
                  <c:v>2025.</c:v>
                </c:pt>
              </c:strCache>
            </c:strRef>
          </c:cat>
          <c:val>
            <c:numRef>
              <c:f>'Nivo Crne Gore'!$C$27:$E$27</c:f>
              <c:numCache>
                <c:formatCode>#,##0</c:formatCode>
                <c:ptCount val="3"/>
                <c:pt idx="0">
                  <c:v>115508</c:v>
                </c:pt>
                <c:pt idx="1">
                  <c:v>128386</c:v>
                </c:pt>
                <c:pt idx="2">
                  <c:v>139000</c:v>
                </c:pt>
              </c:numCache>
            </c:numRef>
          </c:val>
          <c:smooth val="0"/>
          <c:extLst>
            <c:ext xmlns:c16="http://schemas.microsoft.com/office/drawing/2014/chart" uri="{C3380CC4-5D6E-409C-BE32-E72D297353CC}">
              <c16:uniqueId val="{00000002-C463-EC47-9451-AACD63DC09B3}"/>
            </c:ext>
          </c:extLst>
        </c:ser>
        <c:dLbls>
          <c:dLblPos val="ctr"/>
          <c:showLegendKey val="0"/>
          <c:showVal val="1"/>
          <c:showCatName val="0"/>
          <c:showSerName val="0"/>
          <c:showPercent val="0"/>
          <c:showBubbleSize val="0"/>
        </c:dLbls>
        <c:smooth val="0"/>
        <c:axId val="565280824"/>
        <c:axId val="565282000"/>
      </c:lineChart>
      <c:catAx>
        <c:axId val="56528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5282000"/>
        <c:crosses val="autoZero"/>
        <c:auto val="1"/>
        <c:lblAlgn val="ctr"/>
        <c:lblOffset val="100"/>
        <c:noMultiLvlLbl val="0"/>
      </c:catAx>
      <c:valAx>
        <c:axId val="565282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52808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solidFill>
    <a:ln w="12700" cap="flat" cmpd="sng" algn="ctr">
      <a:solidFill>
        <a:schemeClr val="accent3">
          <a:shade val="50000"/>
        </a:schemeClr>
      </a:solidFill>
      <a:prstDash val="solid"/>
      <a:miter lim="800000"/>
    </a:ln>
    <a:effectLst/>
  </c:spPr>
  <c:txPr>
    <a:bodyPr/>
    <a:lstStyle/>
    <a:p>
      <a:pPr>
        <a:defRPr>
          <a:solidFill>
            <a:schemeClr val="lt1"/>
          </a:solidFill>
          <a:latin typeface="+mn-lt"/>
          <a:ea typeface="+mn-ea"/>
          <a:cs typeface="+mn-cs"/>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'Primorska regija'!$B$27</c:f>
              <c:strCache>
                <c:ptCount val="1"/>
                <c:pt idx="0">
                  <c:v>Hotels and similar fascilities</c:v>
                </c:pt>
              </c:strCache>
            </c:strRef>
          </c:tx>
          <c:spPr>
            <a:ln w="28575" cap="rnd">
              <a:solidFill>
                <a:schemeClr val="accent1"/>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'Primorska regija'!$C$26:$E$26</c:f>
              <c:strCache>
                <c:ptCount val="3"/>
                <c:pt idx="0">
                  <c:v>2011.</c:v>
                </c:pt>
                <c:pt idx="1">
                  <c:v>2019.</c:v>
                </c:pt>
                <c:pt idx="2">
                  <c:v>2025.</c:v>
                </c:pt>
              </c:strCache>
            </c:strRef>
          </c:cat>
          <c:val>
            <c:numRef>
              <c:f>'Primorska regija'!$C$27:$E$27</c:f>
              <c:numCache>
                <c:formatCode>#,##0</c:formatCode>
                <c:ptCount val="3"/>
                <c:pt idx="0">
                  <c:v>31262</c:v>
                </c:pt>
                <c:pt idx="1">
                  <c:v>35289</c:v>
                </c:pt>
                <c:pt idx="2">
                  <c:v>42300</c:v>
                </c:pt>
              </c:numCache>
            </c:numRef>
          </c:val>
          <c:smooth val="0"/>
          <c:extLst>
            <c:ext xmlns:c16="http://schemas.microsoft.com/office/drawing/2014/chart" uri="{C3380CC4-5D6E-409C-BE32-E72D297353CC}">
              <c16:uniqueId val="{00000000-AB3E-CF42-8F95-689C42E6B9A0}"/>
            </c:ext>
          </c:extLst>
        </c:ser>
        <c:ser>
          <c:idx val="1"/>
          <c:order val="1"/>
          <c:tx>
            <c:strRef>
              <c:f>'Primorska regija'!$B$28</c:f>
              <c:strCache>
                <c:ptCount val="1"/>
                <c:pt idx="0">
                  <c:v>Camps</c:v>
                </c:pt>
              </c:strCache>
            </c:strRef>
          </c:tx>
          <c:spPr>
            <a:ln w="28575" cap="rnd">
              <a:solidFill>
                <a:schemeClr val="accent2"/>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'Primorska regija'!$C$26:$E$26</c:f>
              <c:strCache>
                <c:ptCount val="3"/>
                <c:pt idx="0">
                  <c:v>2011.</c:v>
                </c:pt>
                <c:pt idx="1">
                  <c:v>2019.</c:v>
                </c:pt>
                <c:pt idx="2">
                  <c:v>2025.</c:v>
                </c:pt>
              </c:strCache>
            </c:strRef>
          </c:cat>
          <c:val>
            <c:numRef>
              <c:f>'Primorska regija'!$C$28:$E$28</c:f>
              <c:numCache>
                <c:formatCode>#,##0</c:formatCode>
                <c:ptCount val="3"/>
                <c:pt idx="0">
                  <c:v>1869</c:v>
                </c:pt>
                <c:pt idx="1">
                  <c:v>2266</c:v>
                </c:pt>
                <c:pt idx="2">
                  <c:v>3100</c:v>
                </c:pt>
              </c:numCache>
            </c:numRef>
          </c:val>
          <c:smooth val="0"/>
          <c:extLst>
            <c:ext xmlns:c16="http://schemas.microsoft.com/office/drawing/2014/chart" uri="{C3380CC4-5D6E-409C-BE32-E72D297353CC}">
              <c16:uniqueId val="{00000001-AB3E-CF42-8F95-689C42E6B9A0}"/>
            </c:ext>
          </c:extLst>
        </c:ser>
        <c:ser>
          <c:idx val="2"/>
          <c:order val="2"/>
          <c:tx>
            <c:strRef>
              <c:f>'Primorska regija'!$B$29</c:f>
              <c:strCache>
                <c:ptCount val="1"/>
                <c:pt idx="0">
                  <c:v>Private accommodation</c:v>
                </c:pt>
              </c:strCache>
            </c:strRef>
          </c:tx>
          <c:spPr>
            <a:ln w="28575" cap="rnd">
              <a:solidFill>
                <a:schemeClr val="accent6">
                  <a:lumMod val="75000"/>
                </a:schemeClr>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'Primorska regija'!$C$26:$E$26</c:f>
              <c:strCache>
                <c:ptCount val="3"/>
                <c:pt idx="0">
                  <c:v>2011.</c:v>
                </c:pt>
                <c:pt idx="1">
                  <c:v>2019.</c:v>
                </c:pt>
                <c:pt idx="2">
                  <c:v>2025.</c:v>
                </c:pt>
              </c:strCache>
            </c:strRef>
          </c:cat>
          <c:val>
            <c:numRef>
              <c:f>'Primorska regija'!$C$29:$E$29</c:f>
              <c:numCache>
                <c:formatCode>#,##0</c:formatCode>
                <c:ptCount val="3"/>
                <c:pt idx="0">
                  <c:v>114515</c:v>
                </c:pt>
                <c:pt idx="1">
                  <c:v>157781</c:v>
                </c:pt>
                <c:pt idx="2">
                  <c:v>164000</c:v>
                </c:pt>
              </c:numCache>
            </c:numRef>
          </c:val>
          <c:smooth val="0"/>
          <c:extLst>
            <c:ext xmlns:c16="http://schemas.microsoft.com/office/drawing/2014/chart" uri="{C3380CC4-5D6E-409C-BE32-E72D297353CC}">
              <c16:uniqueId val="{00000002-AB3E-CF42-8F95-689C42E6B9A0}"/>
            </c:ext>
          </c:extLst>
        </c:ser>
        <c:dLbls>
          <c:dLblPos val="ctr"/>
          <c:showLegendKey val="0"/>
          <c:showVal val="1"/>
          <c:showCatName val="0"/>
          <c:showSerName val="0"/>
          <c:showPercent val="0"/>
          <c:showBubbleSize val="0"/>
        </c:dLbls>
        <c:smooth val="0"/>
        <c:axId val="565282392"/>
        <c:axId val="565282784"/>
      </c:lineChart>
      <c:catAx>
        <c:axId val="56528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5282784"/>
        <c:crosses val="autoZero"/>
        <c:auto val="1"/>
        <c:lblAlgn val="ctr"/>
        <c:lblOffset val="100"/>
        <c:noMultiLvlLbl val="0"/>
      </c:catAx>
      <c:valAx>
        <c:axId val="565282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5282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solidFill>
    <a:ln w="12700" cap="flat" cmpd="sng" algn="ctr">
      <a:solidFill>
        <a:schemeClr val="accent3">
          <a:shade val="50000"/>
        </a:schemeClr>
      </a:solidFill>
      <a:prstDash val="solid"/>
      <a:miter lim="800000"/>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'Centralna regija'!$B$27</c:f>
              <c:strCache>
                <c:ptCount val="1"/>
                <c:pt idx="0">
                  <c:v>Hotels and similar fascilities</c:v>
                </c:pt>
              </c:strCache>
            </c:strRef>
          </c:tx>
          <c:spPr>
            <a:ln w="28575" cap="rnd">
              <a:solidFill>
                <a:schemeClr val="accent1"/>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'Centralna regija'!$C$26:$E$26</c:f>
              <c:strCache>
                <c:ptCount val="3"/>
                <c:pt idx="0">
                  <c:v>2011.</c:v>
                </c:pt>
                <c:pt idx="1">
                  <c:v>2019.</c:v>
                </c:pt>
                <c:pt idx="2">
                  <c:v>2025.</c:v>
                </c:pt>
              </c:strCache>
            </c:strRef>
          </c:cat>
          <c:val>
            <c:numRef>
              <c:f>'Centralna regija'!$C$27:$E$27</c:f>
              <c:numCache>
                <c:formatCode>#,##0</c:formatCode>
                <c:ptCount val="3"/>
                <c:pt idx="0">
                  <c:v>1845</c:v>
                </c:pt>
                <c:pt idx="1">
                  <c:v>3580</c:v>
                </c:pt>
                <c:pt idx="2">
                  <c:v>4900</c:v>
                </c:pt>
              </c:numCache>
            </c:numRef>
          </c:val>
          <c:smooth val="0"/>
          <c:extLst>
            <c:ext xmlns:c16="http://schemas.microsoft.com/office/drawing/2014/chart" uri="{C3380CC4-5D6E-409C-BE32-E72D297353CC}">
              <c16:uniqueId val="{00000000-61C2-CB41-AD7F-0BD4FA0B1B5A}"/>
            </c:ext>
          </c:extLst>
        </c:ser>
        <c:ser>
          <c:idx val="1"/>
          <c:order val="1"/>
          <c:tx>
            <c:strRef>
              <c:f>'Centralna regija'!$B$28</c:f>
              <c:strCache>
                <c:ptCount val="1"/>
                <c:pt idx="0">
                  <c:v>Camps</c:v>
                </c:pt>
              </c:strCache>
            </c:strRef>
          </c:tx>
          <c:spPr>
            <a:ln w="28575" cap="rnd">
              <a:solidFill>
                <a:schemeClr val="accent2"/>
              </a:solidFill>
              <a:round/>
            </a:ln>
            <a:effectLst/>
          </c:spPr>
          <c:marker>
            <c:symbol val="none"/>
          </c:marker>
          <c:dLbls>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'Centralna regija'!$C$26:$E$26</c:f>
              <c:strCache>
                <c:ptCount val="3"/>
                <c:pt idx="0">
                  <c:v>2011.</c:v>
                </c:pt>
                <c:pt idx="1">
                  <c:v>2019.</c:v>
                </c:pt>
                <c:pt idx="2">
                  <c:v>2025.</c:v>
                </c:pt>
              </c:strCache>
            </c:strRef>
          </c:cat>
          <c:val>
            <c:numRef>
              <c:f>'Centralna regija'!$C$28:$E$28</c:f>
              <c:numCache>
                <c:formatCode>#,##0</c:formatCode>
                <c:ptCount val="3"/>
                <c:pt idx="0">
                  <c:v>0</c:v>
                </c:pt>
                <c:pt idx="1">
                  <c:v>0</c:v>
                </c:pt>
                <c:pt idx="2">
                  <c:v>100</c:v>
                </c:pt>
              </c:numCache>
            </c:numRef>
          </c:val>
          <c:smooth val="0"/>
          <c:extLst>
            <c:ext xmlns:c16="http://schemas.microsoft.com/office/drawing/2014/chart" uri="{C3380CC4-5D6E-409C-BE32-E72D297353CC}">
              <c16:uniqueId val="{00000001-61C2-CB41-AD7F-0BD4FA0B1B5A}"/>
            </c:ext>
          </c:extLst>
        </c:ser>
        <c:ser>
          <c:idx val="2"/>
          <c:order val="2"/>
          <c:tx>
            <c:strRef>
              <c:f>'Centralna regija'!$B$29</c:f>
              <c:strCache>
                <c:ptCount val="1"/>
                <c:pt idx="0">
                  <c:v>Private accommodation</c:v>
                </c:pt>
              </c:strCache>
            </c:strRef>
          </c:tx>
          <c:spPr>
            <a:ln w="28575" cap="rnd">
              <a:solidFill>
                <a:schemeClr val="accent6">
                  <a:lumMod val="75000"/>
                </a:schemeClr>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'Centralna regija'!$C$26:$E$26</c:f>
              <c:strCache>
                <c:ptCount val="3"/>
                <c:pt idx="0">
                  <c:v>2011.</c:v>
                </c:pt>
                <c:pt idx="1">
                  <c:v>2019.</c:v>
                </c:pt>
                <c:pt idx="2">
                  <c:v>2025.</c:v>
                </c:pt>
              </c:strCache>
            </c:strRef>
          </c:cat>
          <c:val>
            <c:numRef>
              <c:f>'Centralna regija'!$C$29:$E$29</c:f>
              <c:numCache>
                <c:formatCode>#,##0</c:formatCode>
                <c:ptCount val="3"/>
                <c:pt idx="0">
                  <c:v>63</c:v>
                </c:pt>
                <c:pt idx="1">
                  <c:v>3605</c:v>
                </c:pt>
                <c:pt idx="2">
                  <c:v>4050</c:v>
                </c:pt>
              </c:numCache>
            </c:numRef>
          </c:val>
          <c:smooth val="0"/>
          <c:extLst>
            <c:ext xmlns:c16="http://schemas.microsoft.com/office/drawing/2014/chart" uri="{C3380CC4-5D6E-409C-BE32-E72D297353CC}">
              <c16:uniqueId val="{00000002-61C2-CB41-AD7F-0BD4FA0B1B5A}"/>
            </c:ext>
          </c:extLst>
        </c:ser>
        <c:dLbls>
          <c:dLblPos val="ctr"/>
          <c:showLegendKey val="0"/>
          <c:showVal val="1"/>
          <c:showCatName val="0"/>
          <c:showSerName val="0"/>
          <c:showPercent val="0"/>
          <c:showBubbleSize val="0"/>
        </c:dLbls>
        <c:smooth val="0"/>
        <c:axId val="565280432"/>
        <c:axId val="564739368"/>
      </c:lineChart>
      <c:catAx>
        <c:axId val="565280432"/>
        <c:scaling>
          <c:orientation val="minMax"/>
        </c:scaling>
        <c:delete val="0"/>
        <c:axPos val="b"/>
        <c:numFmt formatCode="General" sourceLinked="1"/>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crossAx val="564739368"/>
        <c:crosses val="autoZero"/>
        <c:auto val="1"/>
        <c:lblAlgn val="ctr"/>
        <c:lblOffset val="100"/>
        <c:noMultiLvlLbl val="0"/>
      </c:catAx>
      <c:valAx>
        <c:axId val="564739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528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solidFill>
    <a:ln w="12700" cap="flat" cmpd="sng" algn="ctr">
      <a:solidFill>
        <a:schemeClr val="accent3">
          <a:shade val="50000"/>
        </a:schemeClr>
      </a:solidFill>
      <a:prstDash val="solid"/>
      <a:miter lim="800000"/>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'Sjever Crne Gore'!$A$29</c:f>
              <c:strCache>
                <c:ptCount val="1"/>
                <c:pt idx="0">
                  <c:v>Hotels and similar fascilities</c:v>
                </c:pt>
              </c:strCache>
            </c:strRef>
          </c:tx>
          <c:spPr>
            <a:ln w="28575" cap="rnd">
              <a:solidFill>
                <a:schemeClr val="accent1"/>
              </a:solidFill>
              <a:round/>
            </a:ln>
            <a:effectLst/>
          </c:spPr>
          <c:marker>
            <c:symbol val="none"/>
          </c:marker>
          <c:dLbls>
            <c:dLbl>
              <c:idx val="1"/>
              <c:layout>
                <c:manualLayout>
                  <c:x val="-3.8304385864810449E-2"/>
                  <c:y val="-3.5830618892508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B6-5F4F-A5AA-6090E1CBA731}"/>
                </c:ext>
              </c:extLst>
            </c:dLbl>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'Sjever Crne Gore'!$B$28:$D$28</c:f>
              <c:numCache>
                <c:formatCode>General</c:formatCode>
                <c:ptCount val="3"/>
                <c:pt idx="0">
                  <c:v>2011</c:v>
                </c:pt>
                <c:pt idx="1">
                  <c:v>2019</c:v>
                </c:pt>
                <c:pt idx="2">
                  <c:v>2025</c:v>
                </c:pt>
              </c:numCache>
            </c:numRef>
          </c:cat>
          <c:val>
            <c:numRef>
              <c:f>'Sjever Crne Gore'!$B$29:$D$29</c:f>
              <c:numCache>
                <c:formatCode>#,##0</c:formatCode>
                <c:ptCount val="3"/>
                <c:pt idx="0">
                  <c:v>2199</c:v>
                </c:pt>
                <c:pt idx="1">
                  <c:v>1945</c:v>
                </c:pt>
                <c:pt idx="2">
                  <c:v>5000</c:v>
                </c:pt>
              </c:numCache>
            </c:numRef>
          </c:val>
          <c:smooth val="0"/>
          <c:extLst>
            <c:ext xmlns:c16="http://schemas.microsoft.com/office/drawing/2014/chart" uri="{C3380CC4-5D6E-409C-BE32-E72D297353CC}">
              <c16:uniqueId val="{00000000-2D02-E84A-97CD-CBCA6E07E0EE}"/>
            </c:ext>
          </c:extLst>
        </c:ser>
        <c:ser>
          <c:idx val="1"/>
          <c:order val="1"/>
          <c:tx>
            <c:strRef>
              <c:f>'Sjever Crne Gore'!$A$30</c:f>
              <c:strCache>
                <c:ptCount val="1"/>
                <c:pt idx="0">
                  <c:v>Camps</c:v>
                </c:pt>
              </c:strCache>
            </c:strRef>
          </c:tx>
          <c:spPr>
            <a:ln w="28575" cap="rnd">
              <a:solidFill>
                <a:schemeClr val="accent2"/>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'Sjever Crne Gore'!$B$28:$D$28</c:f>
              <c:numCache>
                <c:formatCode>General</c:formatCode>
                <c:ptCount val="3"/>
                <c:pt idx="0">
                  <c:v>2011</c:v>
                </c:pt>
                <c:pt idx="1">
                  <c:v>2019</c:v>
                </c:pt>
                <c:pt idx="2">
                  <c:v>2025</c:v>
                </c:pt>
              </c:numCache>
            </c:numRef>
          </c:cat>
          <c:val>
            <c:numRef>
              <c:f>'Sjever Crne Gore'!$B$30:$D$30</c:f>
              <c:numCache>
                <c:formatCode>#,##0</c:formatCode>
                <c:ptCount val="3"/>
                <c:pt idx="0">
                  <c:v>685</c:v>
                </c:pt>
                <c:pt idx="1">
                  <c:v>659</c:v>
                </c:pt>
                <c:pt idx="2">
                  <c:v>1330</c:v>
                </c:pt>
              </c:numCache>
            </c:numRef>
          </c:val>
          <c:smooth val="0"/>
          <c:extLst>
            <c:ext xmlns:c16="http://schemas.microsoft.com/office/drawing/2014/chart" uri="{C3380CC4-5D6E-409C-BE32-E72D297353CC}">
              <c16:uniqueId val="{00000001-2D02-E84A-97CD-CBCA6E07E0EE}"/>
            </c:ext>
          </c:extLst>
        </c:ser>
        <c:ser>
          <c:idx val="2"/>
          <c:order val="2"/>
          <c:tx>
            <c:strRef>
              <c:f>'Sjever Crne Gore'!$A$31</c:f>
              <c:strCache>
                <c:ptCount val="1"/>
                <c:pt idx="0">
                  <c:v>Private accommodation</c:v>
                </c:pt>
              </c:strCache>
            </c:strRef>
          </c:tx>
          <c:spPr>
            <a:ln w="28575" cap="rnd">
              <a:solidFill>
                <a:schemeClr val="accent6">
                  <a:lumMod val="75000"/>
                </a:schemeClr>
              </a:solidFill>
              <a:round/>
            </a:ln>
            <a:effectLst/>
          </c:spPr>
          <c:marker>
            <c:symbol val="none"/>
          </c:marker>
          <c:dLbls>
            <c:numFmt formatCode="#,##0" sourceLinked="0"/>
            <c:spPr>
              <a:solidFill>
                <a:schemeClr val="bg1"/>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'Sjever Crne Gore'!$B$28:$D$28</c:f>
              <c:numCache>
                <c:formatCode>General</c:formatCode>
                <c:ptCount val="3"/>
                <c:pt idx="0">
                  <c:v>2011</c:v>
                </c:pt>
                <c:pt idx="1">
                  <c:v>2019</c:v>
                </c:pt>
                <c:pt idx="2">
                  <c:v>2025</c:v>
                </c:pt>
              </c:numCache>
            </c:numRef>
          </c:cat>
          <c:val>
            <c:numRef>
              <c:f>'Sjever Crne Gore'!$B$31:$D$31</c:f>
              <c:numCache>
                <c:formatCode>#,##0</c:formatCode>
                <c:ptCount val="3"/>
                <c:pt idx="0">
                  <c:v>935</c:v>
                </c:pt>
                <c:pt idx="1">
                  <c:v>1749</c:v>
                </c:pt>
                <c:pt idx="2">
                  <c:v>1970</c:v>
                </c:pt>
              </c:numCache>
            </c:numRef>
          </c:val>
          <c:smooth val="0"/>
          <c:extLst>
            <c:ext xmlns:c16="http://schemas.microsoft.com/office/drawing/2014/chart" uri="{C3380CC4-5D6E-409C-BE32-E72D297353CC}">
              <c16:uniqueId val="{00000002-2D02-E84A-97CD-CBCA6E07E0EE}"/>
            </c:ext>
          </c:extLst>
        </c:ser>
        <c:dLbls>
          <c:dLblPos val="ctr"/>
          <c:showLegendKey val="0"/>
          <c:showVal val="1"/>
          <c:showCatName val="0"/>
          <c:showSerName val="0"/>
          <c:showPercent val="0"/>
          <c:showBubbleSize val="0"/>
        </c:dLbls>
        <c:smooth val="0"/>
        <c:axId val="564739760"/>
        <c:axId val="564740544"/>
      </c:lineChart>
      <c:catAx>
        <c:axId val="56473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4740544"/>
        <c:crosses val="autoZero"/>
        <c:auto val="1"/>
        <c:lblAlgn val="ctr"/>
        <c:lblOffset val="100"/>
        <c:noMultiLvlLbl val="0"/>
      </c:catAx>
      <c:valAx>
        <c:axId val="56474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64739760"/>
        <c:crosses val="autoZero"/>
        <c:crossBetween val="between"/>
      </c:valAx>
      <c:spPr>
        <a:solidFill>
          <a:schemeClr val="accent3"/>
        </a:solidFill>
        <a:ln w="12700" cap="flat" cmpd="sng" algn="ctr">
          <a:solidFill>
            <a:schemeClr val="accent3">
              <a:shade val="50000"/>
            </a:schemeClr>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solidFill>
    <a:ln w="12700" cap="flat" cmpd="sng" algn="ctr">
      <a:solidFill>
        <a:schemeClr val="accent3">
          <a:shade val="50000"/>
        </a:schemeClr>
      </a:solidFill>
      <a:prstDash val="solid"/>
      <a:miter lim="800000"/>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'[UP-granični prelazi.xlsx]Sheet1'!$F$5</c:f>
              <c:strCache>
                <c:ptCount val="1"/>
                <c:pt idx="0">
                  <c:v>Prihodi u turizmu </c:v>
                </c:pt>
              </c:strCache>
            </c:strRef>
          </c:tx>
          <c:spPr>
            <a:effectLst/>
          </c:spPr>
          <c:cat>
            <c:numRef>
              <c:f>'[UP-granični prelazi.xlsx]Sheet1'!$E$6:$E$16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'[UP-granični prelazi.xlsx]Sheet1'!$F$6:$F$16</c:f>
              <c:numCache>
                <c:formatCode>General</c:formatCode>
                <c:ptCount val="11"/>
                <c:pt idx="0">
                  <c:v>597000000</c:v>
                </c:pt>
                <c:pt idx="1">
                  <c:v>635000000</c:v>
                </c:pt>
                <c:pt idx="2">
                  <c:v>671000000</c:v>
                </c:pt>
                <c:pt idx="3">
                  <c:v>700000000</c:v>
                </c:pt>
                <c:pt idx="4">
                  <c:v>721000000</c:v>
                </c:pt>
                <c:pt idx="5">
                  <c:v>729000000</c:v>
                </c:pt>
                <c:pt idx="6">
                  <c:v>862000000</c:v>
                </c:pt>
                <c:pt idx="7">
                  <c:v>881000000</c:v>
                </c:pt>
                <c:pt idx="8">
                  <c:v>959000000</c:v>
                </c:pt>
                <c:pt idx="9">
                  <c:v>1039000000</c:v>
                </c:pt>
                <c:pt idx="10">
                  <c:v>1140000000</c:v>
                </c:pt>
              </c:numCache>
            </c:numRef>
          </c:val>
          <c:smooth val="0"/>
          <c:extLst>
            <c:ext xmlns:c16="http://schemas.microsoft.com/office/drawing/2014/chart" uri="{C3380CC4-5D6E-409C-BE32-E72D297353CC}">
              <c16:uniqueId val="{00000000-AE24-4D94-BB9F-44AE09784282}"/>
            </c:ext>
          </c:extLst>
        </c:ser>
        <c:dLbls>
          <c:showLegendKey val="0"/>
          <c:showVal val="0"/>
          <c:showCatName val="0"/>
          <c:showSerName val="0"/>
          <c:showPercent val="0"/>
          <c:showBubbleSize val="0"/>
        </c:dLbls>
        <c:marker val="1"/>
        <c:smooth val="0"/>
        <c:axId val="564333096"/>
        <c:axId val="564333488"/>
      </c:lineChart>
      <c:catAx>
        <c:axId val="56433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333488"/>
        <c:crosses val="autoZero"/>
        <c:auto val="1"/>
        <c:lblAlgn val="ctr"/>
        <c:lblOffset val="100"/>
        <c:noMultiLvlLbl val="0"/>
      </c:catAx>
      <c:valAx>
        <c:axId val="56433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333096"/>
        <c:crosses val="autoZero"/>
        <c:crossBetween val="between"/>
        <c:dispUnits>
          <c:builtInUnit val="millions"/>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2009</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General</c:formatCode>
                <c:ptCount val="12"/>
                <c:pt idx="0">
                  <c:v>84398</c:v>
                </c:pt>
                <c:pt idx="1">
                  <c:v>88896</c:v>
                </c:pt>
                <c:pt idx="2">
                  <c:v>83286</c:v>
                </c:pt>
                <c:pt idx="3">
                  <c:v>123582</c:v>
                </c:pt>
                <c:pt idx="4">
                  <c:v>359454</c:v>
                </c:pt>
                <c:pt idx="5">
                  <c:v>741614</c:v>
                </c:pt>
                <c:pt idx="6">
                  <c:v>1974061</c:v>
                </c:pt>
                <c:pt idx="7">
                  <c:v>2934772</c:v>
                </c:pt>
                <c:pt idx="8">
                  <c:v>907092</c:v>
                </c:pt>
                <c:pt idx="9">
                  <c:v>143609</c:v>
                </c:pt>
                <c:pt idx="10">
                  <c:v>63719</c:v>
                </c:pt>
                <c:pt idx="11">
                  <c:v>47523</c:v>
                </c:pt>
              </c:numCache>
            </c:numRef>
          </c:val>
          <c:smooth val="0"/>
          <c:extLst>
            <c:ext xmlns:c16="http://schemas.microsoft.com/office/drawing/2014/chart" uri="{C3380CC4-5D6E-409C-BE32-E72D297353CC}">
              <c16:uniqueId val="{00000000-40A7-4DC6-867C-A74333AF7C5F}"/>
            </c:ext>
          </c:extLst>
        </c:ser>
        <c:ser>
          <c:idx val="1"/>
          <c:order val="1"/>
          <c:tx>
            <c:strRef>
              <c:f>Sheet1!$C$1</c:f>
              <c:strCache>
                <c:ptCount val="1"/>
                <c:pt idx="0">
                  <c:v>2010</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General</c:formatCode>
                <c:ptCount val="12"/>
                <c:pt idx="0">
                  <c:v>57097</c:v>
                </c:pt>
                <c:pt idx="1">
                  <c:v>64460</c:v>
                </c:pt>
                <c:pt idx="2">
                  <c:v>71289</c:v>
                </c:pt>
                <c:pt idx="3">
                  <c:v>97063</c:v>
                </c:pt>
                <c:pt idx="4">
                  <c:v>377725</c:v>
                </c:pt>
                <c:pt idx="5">
                  <c:v>806866</c:v>
                </c:pt>
                <c:pt idx="6">
                  <c:v>2094307</c:v>
                </c:pt>
                <c:pt idx="7">
                  <c:v>3168934</c:v>
                </c:pt>
                <c:pt idx="8">
                  <c:v>991713</c:v>
                </c:pt>
                <c:pt idx="9">
                  <c:v>124167</c:v>
                </c:pt>
                <c:pt idx="10">
                  <c:v>66778</c:v>
                </c:pt>
                <c:pt idx="11">
                  <c:v>44494</c:v>
                </c:pt>
              </c:numCache>
            </c:numRef>
          </c:val>
          <c:smooth val="0"/>
          <c:extLst>
            <c:ext xmlns:c16="http://schemas.microsoft.com/office/drawing/2014/chart" uri="{C3380CC4-5D6E-409C-BE32-E72D297353CC}">
              <c16:uniqueId val="{00000001-40A7-4DC6-867C-A74333AF7C5F}"/>
            </c:ext>
          </c:extLst>
        </c:ser>
        <c:ser>
          <c:idx val="2"/>
          <c:order val="2"/>
          <c:tx>
            <c:strRef>
              <c:f>Sheet1!$D$1</c:f>
              <c:strCache>
                <c:ptCount val="1"/>
                <c:pt idx="0">
                  <c:v>2011</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Sheet1!$D$2:$D$13</c:f>
              <c:numCache>
                <c:formatCode>General</c:formatCode>
                <c:ptCount val="12"/>
                <c:pt idx="0">
                  <c:v>56006</c:v>
                </c:pt>
                <c:pt idx="1">
                  <c:v>0</c:v>
                </c:pt>
                <c:pt idx="2">
                  <c:v>70336</c:v>
                </c:pt>
                <c:pt idx="3">
                  <c:v>117721</c:v>
                </c:pt>
                <c:pt idx="4">
                  <c:v>371486</c:v>
                </c:pt>
                <c:pt idx="5">
                  <c:v>897516</c:v>
                </c:pt>
                <c:pt idx="6">
                  <c:v>2250493</c:v>
                </c:pt>
                <c:pt idx="7">
                  <c:v>3556078</c:v>
                </c:pt>
                <c:pt idx="8">
                  <c:v>1143745</c:v>
                </c:pt>
                <c:pt idx="9">
                  <c:v>138516</c:v>
                </c:pt>
                <c:pt idx="10">
                  <c:v>71170</c:v>
                </c:pt>
                <c:pt idx="11">
                  <c:v>46353</c:v>
                </c:pt>
              </c:numCache>
            </c:numRef>
          </c:val>
          <c:smooth val="0"/>
          <c:extLst>
            <c:ext xmlns:c16="http://schemas.microsoft.com/office/drawing/2014/chart" uri="{C3380CC4-5D6E-409C-BE32-E72D297353CC}">
              <c16:uniqueId val="{00000002-40A7-4DC6-867C-A74333AF7C5F}"/>
            </c:ext>
          </c:extLst>
        </c:ser>
        <c:ser>
          <c:idx val="3"/>
          <c:order val="3"/>
          <c:tx>
            <c:strRef>
              <c:f>Sheet1!$E$1</c:f>
              <c:strCache>
                <c:ptCount val="1"/>
                <c:pt idx="0">
                  <c:v>2012</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Sheet1!$E$2:$E$13</c:f>
              <c:numCache>
                <c:formatCode>General</c:formatCode>
                <c:ptCount val="12"/>
                <c:pt idx="0">
                  <c:v>62247</c:v>
                </c:pt>
                <c:pt idx="1">
                  <c:v>51799</c:v>
                </c:pt>
                <c:pt idx="2">
                  <c:v>80744</c:v>
                </c:pt>
                <c:pt idx="3">
                  <c:v>125010</c:v>
                </c:pt>
                <c:pt idx="4">
                  <c:v>393052</c:v>
                </c:pt>
                <c:pt idx="5">
                  <c:v>965377</c:v>
                </c:pt>
                <c:pt idx="6">
                  <c:v>2375955</c:v>
                </c:pt>
                <c:pt idx="7">
                  <c:v>3611585</c:v>
                </c:pt>
                <c:pt idx="8">
                  <c:v>1222658</c:v>
                </c:pt>
                <c:pt idx="9">
                  <c:v>142121</c:v>
                </c:pt>
                <c:pt idx="10">
                  <c:v>72474</c:v>
                </c:pt>
                <c:pt idx="11">
                  <c:v>48214</c:v>
                </c:pt>
              </c:numCache>
            </c:numRef>
          </c:val>
          <c:smooth val="0"/>
          <c:extLst>
            <c:ext xmlns:c16="http://schemas.microsoft.com/office/drawing/2014/chart" uri="{C3380CC4-5D6E-409C-BE32-E72D297353CC}">
              <c16:uniqueId val="{00000003-40A7-4DC6-867C-A74333AF7C5F}"/>
            </c:ext>
          </c:extLst>
        </c:ser>
        <c:ser>
          <c:idx val="4"/>
          <c:order val="4"/>
          <c:tx>
            <c:strRef>
              <c:f>Sheet1!$F$1</c:f>
              <c:strCache>
                <c:ptCount val="1"/>
                <c:pt idx="0">
                  <c:v>2013</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Sheet1!$F$2:$F$13</c:f>
              <c:numCache>
                <c:formatCode>General</c:formatCode>
                <c:ptCount val="12"/>
                <c:pt idx="0">
                  <c:v>57059</c:v>
                </c:pt>
                <c:pt idx="1">
                  <c:v>53967</c:v>
                </c:pt>
                <c:pt idx="2">
                  <c:v>79580</c:v>
                </c:pt>
                <c:pt idx="3">
                  <c:v>127826</c:v>
                </c:pt>
                <c:pt idx="4">
                  <c:v>421689</c:v>
                </c:pt>
                <c:pt idx="5">
                  <c:v>1008774</c:v>
                </c:pt>
                <c:pt idx="6">
                  <c:v>2289333</c:v>
                </c:pt>
                <c:pt idx="7">
                  <c:v>3765533</c:v>
                </c:pt>
                <c:pt idx="8">
                  <c:v>1290797</c:v>
                </c:pt>
                <c:pt idx="9">
                  <c:v>185226</c:v>
                </c:pt>
                <c:pt idx="10">
                  <c:v>73270</c:v>
                </c:pt>
                <c:pt idx="11">
                  <c:v>58889</c:v>
                </c:pt>
              </c:numCache>
            </c:numRef>
          </c:val>
          <c:smooth val="0"/>
          <c:extLst>
            <c:ext xmlns:c16="http://schemas.microsoft.com/office/drawing/2014/chart" uri="{C3380CC4-5D6E-409C-BE32-E72D297353CC}">
              <c16:uniqueId val="{00000004-40A7-4DC6-867C-A74333AF7C5F}"/>
            </c:ext>
          </c:extLst>
        </c:ser>
        <c:ser>
          <c:idx val="5"/>
          <c:order val="5"/>
          <c:tx>
            <c:strRef>
              <c:f>Sheet1!$G$1</c:f>
              <c:strCache>
                <c:ptCount val="1"/>
                <c:pt idx="0">
                  <c:v>2014</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Sheet1!$G$2:$G$13</c:f>
              <c:numCache>
                <c:formatCode>General</c:formatCode>
                <c:ptCount val="12"/>
                <c:pt idx="0">
                  <c:v>58193</c:v>
                </c:pt>
                <c:pt idx="1">
                  <c:v>64343</c:v>
                </c:pt>
                <c:pt idx="2">
                  <c:v>83765</c:v>
                </c:pt>
                <c:pt idx="3">
                  <c:v>130449</c:v>
                </c:pt>
                <c:pt idx="4">
                  <c:v>403907</c:v>
                </c:pt>
                <c:pt idx="5">
                  <c:v>995861</c:v>
                </c:pt>
                <c:pt idx="6">
                  <c:v>2309232</c:v>
                </c:pt>
                <c:pt idx="7">
                  <c:v>3854301</c:v>
                </c:pt>
                <c:pt idx="8">
                  <c:v>1314909</c:v>
                </c:pt>
                <c:pt idx="9">
                  <c:v>192967</c:v>
                </c:pt>
                <c:pt idx="10">
                  <c:v>82655</c:v>
                </c:pt>
                <c:pt idx="11">
                  <c:v>63201</c:v>
                </c:pt>
              </c:numCache>
            </c:numRef>
          </c:val>
          <c:smooth val="0"/>
          <c:extLst>
            <c:ext xmlns:c16="http://schemas.microsoft.com/office/drawing/2014/chart" uri="{C3380CC4-5D6E-409C-BE32-E72D297353CC}">
              <c16:uniqueId val="{00000005-40A7-4DC6-867C-A74333AF7C5F}"/>
            </c:ext>
          </c:extLst>
        </c:ser>
        <c:ser>
          <c:idx val="6"/>
          <c:order val="6"/>
          <c:tx>
            <c:strRef>
              <c:f>Sheet1!$H$1</c:f>
              <c:strCache>
                <c:ptCount val="1"/>
                <c:pt idx="0">
                  <c:v>2015</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Sheet1!$H$2:$H$13</c:f>
              <c:numCache>
                <c:formatCode>General</c:formatCode>
                <c:ptCount val="12"/>
                <c:pt idx="0">
                  <c:v>74643</c:v>
                </c:pt>
                <c:pt idx="1">
                  <c:v>77847</c:v>
                </c:pt>
                <c:pt idx="2">
                  <c:v>88021</c:v>
                </c:pt>
                <c:pt idx="3">
                  <c:v>144906</c:v>
                </c:pt>
                <c:pt idx="4">
                  <c:v>437602</c:v>
                </c:pt>
                <c:pt idx="5">
                  <c:v>1151018</c:v>
                </c:pt>
                <c:pt idx="6">
                  <c:v>3227083</c:v>
                </c:pt>
                <c:pt idx="7">
                  <c:v>4005286</c:v>
                </c:pt>
                <c:pt idx="8">
                  <c:v>1441103</c:v>
                </c:pt>
                <c:pt idx="9">
                  <c:v>224140</c:v>
                </c:pt>
                <c:pt idx="10">
                  <c:v>104138</c:v>
                </c:pt>
                <c:pt idx="11">
                  <c:v>79160</c:v>
                </c:pt>
              </c:numCache>
            </c:numRef>
          </c:val>
          <c:smooth val="0"/>
          <c:extLst>
            <c:ext xmlns:c16="http://schemas.microsoft.com/office/drawing/2014/chart" uri="{C3380CC4-5D6E-409C-BE32-E72D297353CC}">
              <c16:uniqueId val="{00000006-40A7-4DC6-867C-A74333AF7C5F}"/>
            </c:ext>
          </c:extLst>
        </c:ser>
        <c:ser>
          <c:idx val="7"/>
          <c:order val="7"/>
          <c:tx>
            <c:strRef>
              <c:f>Sheet1!$I$1</c:f>
              <c:strCache>
                <c:ptCount val="1"/>
                <c:pt idx="0">
                  <c:v>2016</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Sheet1!$I$2:$I$13</c:f>
              <c:numCache>
                <c:formatCode>General</c:formatCode>
                <c:ptCount val="12"/>
                <c:pt idx="0">
                  <c:v>84784</c:v>
                </c:pt>
                <c:pt idx="1">
                  <c:v>85652</c:v>
                </c:pt>
                <c:pt idx="2">
                  <c:v>98770</c:v>
                </c:pt>
                <c:pt idx="3">
                  <c:v>159185</c:v>
                </c:pt>
                <c:pt idx="4">
                  <c:v>453314</c:v>
                </c:pt>
                <c:pt idx="5">
                  <c:v>1201434</c:v>
                </c:pt>
                <c:pt idx="6">
                  <c:v>3144240</c:v>
                </c:pt>
                <c:pt idx="7">
                  <c:v>4038338</c:v>
                </c:pt>
                <c:pt idx="8">
                  <c:v>1514083</c:v>
                </c:pt>
                <c:pt idx="9">
                  <c:v>261162</c:v>
                </c:pt>
                <c:pt idx="10">
                  <c:v>112781</c:v>
                </c:pt>
                <c:pt idx="11">
                  <c:v>96262</c:v>
                </c:pt>
              </c:numCache>
            </c:numRef>
          </c:val>
          <c:smooth val="0"/>
          <c:extLst>
            <c:ext xmlns:c16="http://schemas.microsoft.com/office/drawing/2014/chart" uri="{C3380CC4-5D6E-409C-BE32-E72D297353CC}">
              <c16:uniqueId val="{00000007-40A7-4DC6-867C-A74333AF7C5F}"/>
            </c:ext>
          </c:extLst>
        </c:ser>
        <c:ser>
          <c:idx val="8"/>
          <c:order val="8"/>
          <c:tx>
            <c:strRef>
              <c:f>Sheet1!$J$1</c:f>
              <c:strCache>
                <c:ptCount val="1"/>
                <c:pt idx="0">
                  <c:v>2017</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Sheet1!$J$2:$J$13</c:f>
              <c:numCache>
                <c:formatCode>General</c:formatCode>
                <c:ptCount val="12"/>
                <c:pt idx="0">
                  <c:v>131801</c:v>
                </c:pt>
                <c:pt idx="1">
                  <c:v>151734</c:v>
                </c:pt>
                <c:pt idx="2">
                  <c:v>211378</c:v>
                </c:pt>
                <c:pt idx="3">
                  <c:v>326387</c:v>
                </c:pt>
                <c:pt idx="4">
                  <c:v>557980</c:v>
                </c:pt>
                <c:pt idx="5">
                  <c:v>1335928</c:v>
                </c:pt>
                <c:pt idx="6">
                  <c:v>3444200</c:v>
                </c:pt>
                <c:pt idx="7">
                  <c:v>3717837</c:v>
                </c:pt>
                <c:pt idx="8">
                  <c:v>1286155</c:v>
                </c:pt>
                <c:pt idx="9">
                  <c:v>415177</c:v>
                </c:pt>
                <c:pt idx="10">
                  <c:v>200386</c:v>
                </c:pt>
                <c:pt idx="11">
                  <c:v>174353</c:v>
                </c:pt>
              </c:numCache>
            </c:numRef>
          </c:val>
          <c:smooth val="0"/>
          <c:extLst>
            <c:ext xmlns:c16="http://schemas.microsoft.com/office/drawing/2014/chart" uri="{C3380CC4-5D6E-409C-BE32-E72D297353CC}">
              <c16:uniqueId val="{00000008-40A7-4DC6-867C-A74333AF7C5F}"/>
            </c:ext>
          </c:extLst>
        </c:ser>
        <c:ser>
          <c:idx val="9"/>
          <c:order val="9"/>
          <c:tx>
            <c:strRef>
              <c:f>Sheet1!$K$1</c:f>
              <c:strCache>
                <c:ptCount val="1"/>
                <c:pt idx="0">
                  <c:v>2018</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Sheet1!$K$2:$K$13</c:f>
              <c:numCache>
                <c:formatCode>General</c:formatCode>
                <c:ptCount val="12"/>
                <c:pt idx="0">
                  <c:v>165206</c:v>
                </c:pt>
                <c:pt idx="1">
                  <c:v>164281</c:v>
                </c:pt>
                <c:pt idx="2">
                  <c:v>197990</c:v>
                </c:pt>
                <c:pt idx="3">
                  <c:v>354764</c:v>
                </c:pt>
                <c:pt idx="4">
                  <c:v>647452</c:v>
                </c:pt>
                <c:pt idx="5">
                  <c:v>1428763</c:v>
                </c:pt>
                <c:pt idx="6">
                  <c:v>3562024</c:v>
                </c:pt>
                <c:pt idx="7">
                  <c:v>4034636</c:v>
                </c:pt>
                <c:pt idx="8">
                  <c:v>1428025</c:v>
                </c:pt>
                <c:pt idx="9">
                  <c:v>517148</c:v>
                </c:pt>
                <c:pt idx="10">
                  <c:v>232112</c:v>
                </c:pt>
                <c:pt idx="11">
                  <c:v>197933</c:v>
                </c:pt>
              </c:numCache>
            </c:numRef>
          </c:val>
          <c:smooth val="0"/>
          <c:extLst>
            <c:ext xmlns:c16="http://schemas.microsoft.com/office/drawing/2014/chart" uri="{C3380CC4-5D6E-409C-BE32-E72D297353CC}">
              <c16:uniqueId val="{00000009-40A7-4DC6-867C-A74333AF7C5F}"/>
            </c:ext>
          </c:extLst>
        </c:ser>
        <c:ser>
          <c:idx val="10"/>
          <c:order val="10"/>
          <c:tx>
            <c:strRef>
              <c:f>Sheet1!$L$1</c:f>
              <c:strCache>
                <c:ptCount val="1"/>
                <c:pt idx="0">
                  <c:v>2019</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Sheet1!$L$2:$L$13</c:f>
              <c:numCache>
                <c:formatCode>General</c:formatCode>
                <c:ptCount val="12"/>
                <c:pt idx="0">
                  <c:v>181554</c:v>
                </c:pt>
                <c:pt idx="1">
                  <c:v>202841</c:v>
                </c:pt>
                <c:pt idx="2">
                  <c:v>261235</c:v>
                </c:pt>
                <c:pt idx="3">
                  <c:v>444973</c:v>
                </c:pt>
                <c:pt idx="4">
                  <c:v>770222</c:v>
                </c:pt>
                <c:pt idx="5">
                  <c:v>1603838</c:v>
                </c:pt>
                <c:pt idx="6">
                  <c:v>3570202</c:v>
                </c:pt>
                <c:pt idx="7">
                  <c:v>4624438</c:v>
                </c:pt>
                <c:pt idx="8">
                  <c:v>1676518</c:v>
                </c:pt>
                <c:pt idx="9">
                  <c:v>629957</c:v>
                </c:pt>
                <c:pt idx="10">
                  <c:v>267435</c:v>
                </c:pt>
                <c:pt idx="11">
                  <c:v>214667</c:v>
                </c:pt>
              </c:numCache>
            </c:numRef>
          </c:val>
          <c:smooth val="0"/>
          <c:extLst>
            <c:ext xmlns:c16="http://schemas.microsoft.com/office/drawing/2014/chart" uri="{C3380CC4-5D6E-409C-BE32-E72D297353CC}">
              <c16:uniqueId val="{0000000A-40A7-4DC6-867C-A74333AF7C5F}"/>
            </c:ext>
          </c:extLst>
        </c:ser>
        <c:dLbls>
          <c:showLegendKey val="0"/>
          <c:showVal val="0"/>
          <c:showCatName val="0"/>
          <c:showSerName val="0"/>
          <c:showPercent val="0"/>
          <c:showBubbleSize val="0"/>
        </c:dLbls>
        <c:marker val="1"/>
        <c:smooth val="0"/>
        <c:axId val="564336232"/>
        <c:axId val="564332704"/>
      </c:lineChart>
      <c:catAx>
        <c:axId val="564336232"/>
        <c:scaling>
          <c:orientation val="minMax"/>
        </c:scaling>
        <c:delete val="0"/>
        <c:axPos val="b"/>
        <c:numFmt formatCode="General" sourceLinked="1"/>
        <c:majorTickMark val="out"/>
        <c:minorTickMark val="none"/>
        <c:tickLblPos val="nextTo"/>
        <c:crossAx val="564332704"/>
        <c:crosses val="autoZero"/>
        <c:auto val="1"/>
        <c:lblAlgn val="ctr"/>
        <c:lblOffset val="100"/>
        <c:noMultiLvlLbl val="0"/>
      </c:catAx>
      <c:valAx>
        <c:axId val="564332704"/>
        <c:scaling>
          <c:orientation val="minMax"/>
        </c:scaling>
        <c:delete val="0"/>
        <c:axPos val="l"/>
        <c:majorGridlines/>
        <c:numFmt formatCode="General" sourceLinked="1"/>
        <c:majorTickMark val="out"/>
        <c:minorTickMark val="none"/>
        <c:tickLblPos val="nextTo"/>
        <c:crossAx val="56433623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0343886614173229"/>
          <c:w val="0.96636190431015401"/>
          <c:h val="0.79656113385826777"/>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C08-44AC-BE02-A5F66D98A43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C08-44AC-BE02-A5F66D98A43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C08-44AC-BE02-A5F66D98A438}"/>
              </c:ext>
            </c:extLst>
          </c:dPt>
          <c:dLbls>
            <c:dLbl>
              <c:idx val="0"/>
              <c:layout>
                <c:manualLayout>
                  <c:x val="-8.2958210795939666E-2"/>
                  <c:y val="-0.1803908031496064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Coast 
</a:t>
                    </a:r>
                    <a:fld id="{BA31929B-283D-4AE9-A199-F80846E676D0}" type="PERCENTAGE">
                      <a:rPr lang="en-US" baseline="0"/>
                      <a:pPr>
                        <a:defRPr sz="1000" b="1" i="0" u="none" strike="noStrike" kern="1200" baseline="0">
                          <a:solidFill>
                            <a:schemeClr val="lt1"/>
                          </a:solidFill>
                          <a:latin typeface="+mn-lt"/>
                          <a:ea typeface="+mn-ea"/>
                          <a:cs typeface="+mn-cs"/>
                        </a:defRPr>
                      </a:pPr>
                      <a:t>[PERCENTAGE]</a:t>
                    </a:fld>
                    <a:endParaRPr lang="en-US"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1681349413401638"/>
                      <c:h val="0.18182400000000001"/>
                    </c:manualLayout>
                  </c15:layout>
                  <c15:dlblFieldTable/>
                  <c15:showDataLabelsRange val="0"/>
                </c:ext>
                <c:ext xmlns:c16="http://schemas.microsoft.com/office/drawing/2014/chart" uri="{C3380CC4-5D6E-409C-BE32-E72D297353CC}">
                  <c16:uniqueId val="{00000001-7C08-44AC-BE02-A5F66D98A438}"/>
                </c:ext>
              </c:extLst>
            </c:dLbl>
            <c:dLbl>
              <c:idx val="1"/>
              <c:layout>
                <c:manualLayout>
                  <c:x val="-4.5513747905005848E-2"/>
                  <c:y val="9.8968188976377956E-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Central region
</a:t>
                    </a:r>
                    <a:fld id="{F00DE740-2D0E-40A3-B6C3-11F3DA5E4DCC}" type="PERCENTAGE">
                      <a:rPr lang="en-US" baseline="0"/>
                      <a:pPr>
                        <a:defRPr sz="1000" b="1" i="0" u="none" strike="noStrike" kern="1200" baseline="0">
                          <a:solidFill>
                            <a:schemeClr val="lt1"/>
                          </a:solidFill>
                          <a:latin typeface="+mn-lt"/>
                          <a:ea typeface="+mn-ea"/>
                          <a:cs typeface="+mn-cs"/>
                        </a:defRPr>
                      </a:pPr>
                      <a:t>[PERCENTAGE]</a:t>
                    </a:fld>
                    <a:endParaRPr lang="en-US"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17809999841887234"/>
                      <c:h val="0.20102400000000001"/>
                    </c:manualLayout>
                  </c15:layout>
                  <c15:dlblFieldTable/>
                  <c15:showDataLabelsRange val="0"/>
                </c:ext>
                <c:ext xmlns:c16="http://schemas.microsoft.com/office/drawing/2014/chart" uri="{C3380CC4-5D6E-409C-BE32-E72D297353CC}">
                  <c16:uniqueId val="{00000003-7C08-44AC-BE02-A5F66D98A438}"/>
                </c:ext>
              </c:extLst>
            </c:dLbl>
            <c:dLbl>
              <c:idx val="2"/>
              <c:layout>
                <c:manualLayout>
                  <c:x val="0.18294477121082747"/>
                  <c:y val="3.2812346456692912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North 
</a:t>
                    </a:r>
                    <a:fld id="{880CAE92-22E7-4C64-B230-EDA0DA56FAC6}" type="PERCENTAGE">
                      <a:rPr lang="en-US" baseline="0"/>
                      <a:pPr>
                        <a:defRPr sz="1000" b="1" i="0" u="none" strike="noStrike" kern="1200" baseline="0">
                          <a:solidFill>
                            <a:schemeClr val="lt1"/>
                          </a:solidFill>
                          <a:latin typeface="+mn-lt"/>
                          <a:ea typeface="+mn-ea"/>
                          <a:cs typeface="+mn-cs"/>
                        </a:defRPr>
                      </a:pPr>
                      <a:t>[PERCENTAGE]</a:t>
                    </a:fld>
                    <a:endParaRPr lang="en-US"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3405986149321698"/>
                      <c:h val="0.22793524409448818"/>
                    </c:manualLayout>
                  </c15:layout>
                  <c15:dlblFieldTable/>
                  <c15:showDataLabelsRange val="0"/>
                </c:ext>
                <c:ext xmlns:c16="http://schemas.microsoft.com/office/drawing/2014/chart" uri="{C3380CC4-5D6E-409C-BE32-E72D297353CC}">
                  <c16:uniqueId val="{00000005-7C08-44AC-BE02-A5F66D98A43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nocenja!$H$16:$H$18</c:f>
              <c:strCache>
                <c:ptCount val="3"/>
                <c:pt idx="0">
                  <c:v>Primorje</c:v>
                </c:pt>
                <c:pt idx="1">
                  <c:v>Središnji dio</c:v>
                </c:pt>
                <c:pt idx="2">
                  <c:v>Sjever</c:v>
                </c:pt>
              </c:strCache>
            </c:strRef>
          </c:cat>
          <c:val>
            <c:numRef>
              <c:f>nocenja!$I$16:$I$18</c:f>
              <c:numCache>
                <c:formatCode>0.00</c:formatCode>
                <c:ptCount val="3"/>
                <c:pt idx="0">
                  <c:v>94.873339088760872</c:v>
                </c:pt>
                <c:pt idx="1">
                  <c:v>2.9419850137521504</c:v>
                </c:pt>
                <c:pt idx="2">
                  <c:v>2.1846758974869815</c:v>
                </c:pt>
              </c:numCache>
            </c:numRef>
          </c:val>
          <c:extLst>
            <c:ext xmlns:c16="http://schemas.microsoft.com/office/drawing/2014/chart" uri="{C3380CC4-5D6E-409C-BE32-E72D297353CC}">
              <c16:uniqueId val="{00000006-7C08-44AC-BE02-A5F66D98A43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385945968413806E-2"/>
          <c:y val="0.12778257698872131"/>
          <c:w val="0.94483496222053953"/>
          <c:h val="0.5576085145725004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Sheet3!$C$3:$C$38</c:f>
              <c:strCache>
                <c:ptCount val="36"/>
                <c:pt idx="0">
                  <c:v>France</c:v>
                </c:pt>
                <c:pt idx="1">
                  <c:v>Germany </c:v>
                </c:pt>
                <c:pt idx="2">
                  <c:v>Russia</c:v>
                </c:pt>
                <c:pt idx="3">
                  <c:v>United States</c:v>
                </c:pt>
                <c:pt idx="4">
                  <c:v>Belgium </c:v>
                </c:pt>
                <c:pt idx="5">
                  <c:v>Serbia</c:v>
                </c:pt>
                <c:pt idx="6">
                  <c:v>United Kingdom</c:v>
                </c:pt>
                <c:pt idx="7">
                  <c:v>Netherlands</c:v>
                </c:pt>
                <c:pt idx="8">
                  <c:v>Israel </c:v>
                </c:pt>
                <c:pt idx="9">
                  <c:v>Montenegro</c:v>
                </c:pt>
                <c:pt idx="10">
                  <c:v>Italy</c:v>
                </c:pt>
                <c:pt idx="11">
                  <c:v>Poland</c:v>
                </c:pt>
                <c:pt idx="12">
                  <c:v>Check Republic</c:v>
                </c:pt>
                <c:pt idx="13">
                  <c:v>Austria</c:v>
                </c:pt>
                <c:pt idx="14">
                  <c:v>Slovenia</c:v>
                </c:pt>
                <c:pt idx="15">
                  <c:v>Spain </c:v>
                </c:pt>
                <c:pt idx="16">
                  <c:v>Bosnia and Herzegovina</c:v>
                </c:pt>
                <c:pt idx="17">
                  <c:v>Switzerland </c:v>
                </c:pt>
                <c:pt idx="18">
                  <c:v>Ukraine</c:v>
                </c:pt>
                <c:pt idx="19">
                  <c:v>Croatia</c:v>
                </c:pt>
                <c:pt idx="20">
                  <c:v>Scandinavia</c:v>
                </c:pt>
                <c:pt idx="21">
                  <c:v>Bulgaria</c:v>
                </c:pt>
                <c:pt idx="22">
                  <c:v>Turkey</c:v>
                </c:pt>
                <c:pt idx="23">
                  <c:v>New Zealand</c:v>
                </c:pt>
                <c:pt idx="24">
                  <c:v>Australia</c:v>
                </c:pt>
                <c:pt idx="25">
                  <c:v>EU </c:v>
                </c:pt>
                <c:pt idx="26">
                  <c:v>The Balkans</c:v>
                </c:pt>
                <c:pt idx="27">
                  <c:v>Canada</c:v>
                </c:pt>
                <c:pt idx="28">
                  <c:v>Japan</c:v>
                </c:pt>
                <c:pt idx="29">
                  <c:v>Romania</c:v>
                </c:pt>
                <c:pt idx="30">
                  <c:v>China</c:v>
                </c:pt>
                <c:pt idx="31">
                  <c:v>India</c:v>
                </c:pt>
                <c:pt idx="32">
                  <c:v>Ethiopia</c:v>
                </c:pt>
                <c:pt idx="33">
                  <c:v>Albania</c:v>
                </c:pt>
                <c:pt idx="34">
                  <c:v>Diaspora US</c:v>
                </c:pt>
                <c:pt idx="35">
                  <c:v>Diaspora Germany</c:v>
                </c:pt>
              </c:strCache>
            </c:strRef>
          </c:cat>
          <c:val>
            <c:numRef>
              <c:f>Sheet3!$D$3:$D$38</c:f>
              <c:numCache>
                <c:formatCode>General</c:formatCode>
                <c:ptCount val="36"/>
                <c:pt idx="0">
                  <c:v>40</c:v>
                </c:pt>
                <c:pt idx="1">
                  <c:v>35</c:v>
                </c:pt>
                <c:pt idx="2">
                  <c:v>26</c:v>
                </c:pt>
                <c:pt idx="3">
                  <c:v>18</c:v>
                </c:pt>
                <c:pt idx="4">
                  <c:v>17</c:v>
                </c:pt>
                <c:pt idx="5">
                  <c:v>16</c:v>
                </c:pt>
                <c:pt idx="6">
                  <c:v>14</c:v>
                </c:pt>
                <c:pt idx="7">
                  <c:v>12</c:v>
                </c:pt>
                <c:pt idx="8">
                  <c:v>12</c:v>
                </c:pt>
                <c:pt idx="9">
                  <c:v>11</c:v>
                </c:pt>
                <c:pt idx="10">
                  <c:v>9</c:v>
                </c:pt>
                <c:pt idx="11">
                  <c:v>8</c:v>
                </c:pt>
                <c:pt idx="12">
                  <c:v>7</c:v>
                </c:pt>
                <c:pt idx="13">
                  <c:v>6</c:v>
                </c:pt>
                <c:pt idx="14">
                  <c:v>6</c:v>
                </c:pt>
                <c:pt idx="15">
                  <c:v>6</c:v>
                </c:pt>
                <c:pt idx="16">
                  <c:v>6</c:v>
                </c:pt>
                <c:pt idx="17">
                  <c:v>4</c:v>
                </c:pt>
                <c:pt idx="18">
                  <c:v>3</c:v>
                </c:pt>
                <c:pt idx="19">
                  <c:v>3</c:v>
                </c:pt>
                <c:pt idx="20">
                  <c:v>3</c:v>
                </c:pt>
                <c:pt idx="21">
                  <c:v>3</c:v>
                </c:pt>
                <c:pt idx="22">
                  <c:v>3</c:v>
                </c:pt>
                <c:pt idx="23">
                  <c:v>2</c:v>
                </c:pt>
                <c:pt idx="24">
                  <c:v>2</c:v>
                </c:pt>
                <c:pt idx="25">
                  <c:v>2</c:v>
                </c:pt>
                <c:pt idx="26">
                  <c:v>2</c:v>
                </c:pt>
                <c:pt idx="27">
                  <c:v>1</c:v>
                </c:pt>
                <c:pt idx="28">
                  <c:v>1</c:v>
                </c:pt>
                <c:pt idx="29">
                  <c:v>1</c:v>
                </c:pt>
                <c:pt idx="30">
                  <c:v>1</c:v>
                </c:pt>
                <c:pt idx="31">
                  <c:v>1</c:v>
                </c:pt>
                <c:pt idx="32">
                  <c:v>1</c:v>
                </c:pt>
                <c:pt idx="33">
                  <c:v>1</c:v>
                </c:pt>
                <c:pt idx="34">
                  <c:v>1</c:v>
                </c:pt>
                <c:pt idx="35">
                  <c:v>1</c:v>
                </c:pt>
              </c:numCache>
            </c:numRef>
          </c:val>
          <c:extLst>
            <c:ext xmlns:c16="http://schemas.microsoft.com/office/drawing/2014/chart" uri="{C3380CC4-5D6E-409C-BE32-E72D297353CC}">
              <c16:uniqueId val="{00000000-E45C-433E-B1E3-A6C304003093}"/>
            </c:ext>
          </c:extLst>
        </c:ser>
        <c:dLbls>
          <c:showLegendKey val="0"/>
          <c:showVal val="0"/>
          <c:showCatName val="0"/>
          <c:showSerName val="0"/>
          <c:showPercent val="0"/>
          <c:showBubbleSize val="0"/>
        </c:dLbls>
        <c:gapWidth val="219"/>
        <c:overlap val="-27"/>
        <c:axId val="563857480"/>
        <c:axId val="563857872"/>
      </c:barChart>
      <c:catAx>
        <c:axId val="563857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57872"/>
        <c:crosses val="autoZero"/>
        <c:auto val="1"/>
        <c:lblAlgn val="ctr"/>
        <c:lblOffset val="100"/>
        <c:noMultiLvlLbl val="0"/>
      </c:catAx>
      <c:valAx>
        <c:axId val="56385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857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Europa </c:v>
                </c:pt>
              </c:strCache>
            </c:strRef>
          </c:tx>
          <c:invertIfNegative val="0"/>
          <c:cat>
            <c:numRef>
              <c:f>Sheet1!$A$2:$A$3</c:f>
              <c:numCache>
                <c:formatCode>General</c:formatCode>
                <c:ptCount val="2"/>
                <c:pt idx="0">
                  <c:v>2009</c:v>
                </c:pt>
                <c:pt idx="1">
                  <c:v>2019</c:v>
                </c:pt>
              </c:numCache>
            </c:numRef>
          </c:cat>
          <c:val>
            <c:numRef>
              <c:f>Sheet1!$B$2:$B$3</c:f>
              <c:numCache>
                <c:formatCode>General</c:formatCode>
                <c:ptCount val="2"/>
                <c:pt idx="0">
                  <c:v>3140316</c:v>
                </c:pt>
                <c:pt idx="1">
                  <c:v>7872648</c:v>
                </c:pt>
              </c:numCache>
            </c:numRef>
          </c:val>
          <c:extLst>
            <c:ext xmlns:c16="http://schemas.microsoft.com/office/drawing/2014/chart" uri="{C3380CC4-5D6E-409C-BE32-E72D297353CC}">
              <c16:uniqueId val="{00000000-5C7E-449C-9FAE-7B833B2FF94B}"/>
            </c:ext>
          </c:extLst>
        </c:ser>
        <c:ser>
          <c:idx val="1"/>
          <c:order val="1"/>
          <c:tx>
            <c:strRef>
              <c:f>Sheet1!$C$1</c:f>
              <c:strCache>
                <c:ptCount val="1"/>
                <c:pt idx="0">
                  <c:v>Region </c:v>
                </c:pt>
              </c:strCache>
            </c:strRef>
          </c:tx>
          <c:invertIfNegative val="0"/>
          <c:cat>
            <c:numRef>
              <c:f>Sheet1!$A$2:$A$3</c:f>
              <c:numCache>
                <c:formatCode>General</c:formatCode>
                <c:ptCount val="2"/>
                <c:pt idx="0">
                  <c:v>2009</c:v>
                </c:pt>
                <c:pt idx="1">
                  <c:v>2019</c:v>
                </c:pt>
              </c:numCache>
            </c:numRef>
          </c:cat>
          <c:val>
            <c:numRef>
              <c:f>Sheet1!$C$2:$C$3</c:f>
              <c:numCache>
                <c:formatCode>General</c:formatCode>
                <c:ptCount val="2"/>
                <c:pt idx="0">
                  <c:v>3483639</c:v>
                </c:pt>
                <c:pt idx="1">
                  <c:v>5483395</c:v>
                </c:pt>
              </c:numCache>
            </c:numRef>
          </c:val>
          <c:extLst>
            <c:ext xmlns:c16="http://schemas.microsoft.com/office/drawing/2014/chart" uri="{C3380CC4-5D6E-409C-BE32-E72D297353CC}">
              <c16:uniqueId val="{00000001-5C7E-449C-9FAE-7B833B2FF94B}"/>
            </c:ext>
          </c:extLst>
        </c:ser>
        <c:ser>
          <c:idx val="2"/>
          <c:order val="2"/>
          <c:tx>
            <c:strRef>
              <c:f>Sheet1!$D$1</c:f>
              <c:strCache>
                <c:ptCount val="1"/>
                <c:pt idx="0">
                  <c:v>Non-European countries</c:v>
                </c:pt>
              </c:strCache>
            </c:strRef>
          </c:tx>
          <c:invertIfNegative val="0"/>
          <c:cat>
            <c:numRef>
              <c:f>Sheet1!$A$2:$A$3</c:f>
              <c:numCache>
                <c:formatCode>General</c:formatCode>
                <c:ptCount val="2"/>
                <c:pt idx="0">
                  <c:v>2009</c:v>
                </c:pt>
                <c:pt idx="1">
                  <c:v>2019</c:v>
                </c:pt>
              </c:numCache>
            </c:numRef>
          </c:cat>
          <c:val>
            <c:numRef>
              <c:f>Sheet1!$D$2:$D$3</c:f>
              <c:numCache>
                <c:formatCode>General</c:formatCode>
                <c:ptCount val="2"/>
                <c:pt idx="0">
                  <c:v>71719</c:v>
                </c:pt>
                <c:pt idx="1">
                  <c:v>569455</c:v>
                </c:pt>
              </c:numCache>
            </c:numRef>
          </c:val>
          <c:extLst>
            <c:ext xmlns:c16="http://schemas.microsoft.com/office/drawing/2014/chart" uri="{C3380CC4-5D6E-409C-BE32-E72D297353CC}">
              <c16:uniqueId val="{00000002-5C7E-449C-9FAE-7B833B2FF94B}"/>
            </c:ext>
          </c:extLst>
        </c:ser>
        <c:dLbls>
          <c:showLegendKey val="0"/>
          <c:showVal val="0"/>
          <c:showCatName val="0"/>
          <c:showSerName val="0"/>
          <c:showPercent val="0"/>
          <c:showBubbleSize val="0"/>
        </c:dLbls>
        <c:gapWidth val="150"/>
        <c:axId val="565253864"/>
        <c:axId val="565253472"/>
      </c:barChart>
      <c:catAx>
        <c:axId val="565253864"/>
        <c:scaling>
          <c:orientation val="minMax"/>
        </c:scaling>
        <c:delete val="0"/>
        <c:axPos val="b"/>
        <c:numFmt formatCode="General" sourceLinked="1"/>
        <c:majorTickMark val="out"/>
        <c:minorTickMark val="none"/>
        <c:tickLblPos val="nextTo"/>
        <c:crossAx val="565253472"/>
        <c:crosses val="autoZero"/>
        <c:auto val="1"/>
        <c:lblAlgn val="ctr"/>
        <c:lblOffset val="100"/>
        <c:noMultiLvlLbl val="0"/>
      </c:catAx>
      <c:valAx>
        <c:axId val="565253472"/>
        <c:scaling>
          <c:orientation val="minMax"/>
        </c:scaling>
        <c:delete val="0"/>
        <c:axPos val="l"/>
        <c:majorGridlines/>
        <c:numFmt formatCode="General" sourceLinked="1"/>
        <c:majorTickMark val="out"/>
        <c:minorTickMark val="none"/>
        <c:tickLblPos val="nextTo"/>
        <c:crossAx val="565253864"/>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200"/>
              <a:t>IN </a:t>
            </a:r>
            <a:r>
              <a:rPr lang="sr-Latn-ME" sz="1200"/>
              <a:t>2009</a:t>
            </a:r>
          </a:p>
        </c:rich>
      </c:tx>
      <c:layout>
        <c:manualLayout>
          <c:xMode val="edge"/>
          <c:yMode val="edge"/>
          <c:x val="2.5379330076262901E-2"/>
          <c:y val="1.7361111111111112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945-4CD3-8B1A-8F123FA3566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945-4CD3-8B1A-8F123FA3566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945-4CD3-8B1A-8F123FA3566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945-4CD3-8B1A-8F123FA35664}"/>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A945-4CD3-8B1A-8F123FA3566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A945-4CD3-8B1A-8F123FA35664}"/>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A945-4CD3-8B1A-8F123FA35664}"/>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Former</a:t>
                    </a:r>
                    <a:r>
                      <a:rPr lang="en-US" baseline="0"/>
                      <a:t> members of USSR (Ukraine and Belarus) 
</a:t>
                    </a:r>
                    <a:fld id="{4C596A5D-09A0-459B-8719-E25C4D42827F}" type="PERCENTAGE">
                      <a:rPr lang="en-US" baseline="0"/>
                      <a:pPr>
                        <a:defRPr sz="1000" b="1" i="0" u="none" strike="noStrike" kern="1200" spc="0" baseline="0">
                          <a:solidFill>
                            <a:schemeClr val="accent1"/>
                          </a:solidFill>
                          <a:latin typeface="+mn-lt"/>
                          <a:ea typeface="+mn-ea"/>
                          <a:cs typeface="+mn-cs"/>
                        </a:defRPr>
                      </a:pPr>
                      <a:t>[PERCENTAGE]</a:t>
                    </a:fld>
                    <a:endParaRPr lang="en-US" baseline="0"/>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1-A945-4CD3-8B1A-8F123FA35664}"/>
                </c:ext>
              </c:extLst>
            </c:dLbl>
            <c:dLbl>
              <c:idx val="1"/>
              <c:layout>
                <c:manualLayout>
                  <c:x val="4.1344793820041345E-2"/>
                  <c:y val="-3.02648171500630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945-4CD3-8B1A-8F123FA35664}"/>
                </c:ext>
              </c:extLst>
            </c:dLbl>
            <c:dLbl>
              <c:idx val="2"/>
              <c:layout>
                <c:manualLayout>
                  <c:x val="3.9168837710975242E-2"/>
                  <c:y val="0.1109555063498525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r>
                      <a:rPr lang="en-US" baseline="0"/>
                      <a:t>Region (Bosnia and Herzegovina, Kosovo, Macediona and Albania)
</a:t>
                    </a:r>
                    <a:fld id="{C7B28CF3-776C-47D8-A8B7-E3739273E888}" type="PERCENTAGE">
                      <a:rPr lang="en-US" baseline="0"/>
                      <a:pPr>
                        <a:defRPr sz="1000" b="1" i="0" u="none" strike="noStrike" kern="1200" spc="0" baseline="0">
                          <a:solidFill>
                            <a:schemeClr val="accent3"/>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0585355238820585"/>
                      <c:h val="0.35008251333022206"/>
                    </c:manualLayout>
                  </c15:layout>
                  <c15:dlblFieldTable/>
                  <c15:showDataLabelsRange val="0"/>
                </c:ext>
                <c:ext xmlns:c16="http://schemas.microsoft.com/office/drawing/2014/chart" uri="{C3380CC4-5D6E-409C-BE32-E72D297353CC}">
                  <c16:uniqueId val="{00000005-A945-4CD3-8B1A-8F123FA35664}"/>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r>
                      <a:rPr lang="en-US" baseline="0"/>
                      <a:t>Russia
</a:t>
                    </a:r>
                    <a:fld id="{79ECBD00-5CA4-49FA-B53C-663C60722AB4}" type="PERCENTAGE">
                      <a:rPr lang="en-US" baseline="0"/>
                      <a:pPr>
                        <a:defRPr sz="1000" b="1" i="0" u="none" strike="noStrike" kern="1200" spc="0" baseline="0">
                          <a:solidFill>
                            <a:schemeClr val="accent4"/>
                          </a:solidFill>
                          <a:latin typeface="+mn-lt"/>
                          <a:ea typeface="+mn-ea"/>
                          <a:cs typeface="+mn-cs"/>
                        </a:defRPr>
                      </a:pPr>
                      <a:t>[PERCENTAGE]</a:t>
                    </a:fld>
                    <a:endParaRPr lang="en-US" baseline="0"/>
                  </a:p>
                </c:rich>
              </c:tx>
              <c:spPr>
                <a:noFill/>
                <a:ln>
                  <a:noFill/>
                </a:ln>
                <a:effectLst/>
              </c:sp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945-4CD3-8B1A-8F123FA35664}"/>
                </c:ext>
              </c:extLst>
            </c:dLbl>
            <c:dLbl>
              <c:idx val="4"/>
              <c:layout>
                <c:manualLayout>
                  <c:x val="-4.3520835600043724E-3"/>
                  <c:y val="-2.522068095838683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r>
                      <a:rPr lang="en-US"/>
                      <a:t>Other European</a:t>
                    </a:r>
                    <a:r>
                      <a:rPr lang="en-US" baseline="0"/>
                      <a:t> and non-European countries
</a:t>
                    </a:r>
                    <a:fld id="{25D73AE4-EDE1-41CE-8569-ECA9F608F21A}" type="PERCENTAGE">
                      <a:rPr lang="en-US" baseline="0"/>
                      <a:pPr>
                        <a:defRPr sz="1000" b="1" i="0" u="none" strike="noStrike" kern="1200" spc="0" baseline="0">
                          <a:solidFill>
                            <a:schemeClr val="accent5"/>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4046358257007669"/>
                      <c:h val="0.23513260716307058"/>
                    </c:manualLayout>
                  </c15:layout>
                  <c15:dlblFieldTable/>
                  <c15:showDataLabelsRange val="0"/>
                </c:ext>
                <c:ext xmlns:c16="http://schemas.microsoft.com/office/drawing/2014/chart" uri="{C3380CC4-5D6E-409C-BE32-E72D297353CC}">
                  <c16:uniqueId val="{00000009-A945-4CD3-8B1A-8F123FA35664}"/>
                </c:ext>
              </c:extLst>
            </c:dLbl>
            <c:dLbl>
              <c:idx val="5"/>
              <c:layout>
                <c:manualLayout>
                  <c:x val="-2.3936459580023935E-2"/>
                  <c:y val="-1.513240857503152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r>
                      <a:rPr lang="en-US" baseline="0"/>
                      <a:t>Serbia
</a:t>
                    </a:r>
                    <a:fld id="{AFDDDD26-AF59-4F9F-BB0D-74B664D3754B}" type="PERCENTAGE">
                      <a:rPr lang="en-US" baseline="0"/>
                      <a:pPr>
                        <a:defRPr sz="1000" b="1" i="0" u="none" strike="noStrike" kern="1200" spc="0" baseline="0">
                          <a:solidFill>
                            <a:schemeClr val="accent6"/>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A945-4CD3-8B1A-8F123FA35664}"/>
                </c:ext>
              </c:extLst>
            </c:dLbl>
            <c:dLbl>
              <c:idx val="6"/>
              <c:layout>
                <c:manualLayout>
                  <c:x val="-2.1760417800021761E-2"/>
                  <c:y val="-5.0441361916771866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r>
                      <a:rPr lang="en-US" baseline="0"/>
                      <a:t>Domestic Tourists
</a:t>
                    </a:r>
                    <a:fld id="{68381028-6D4D-4477-AD18-725BBB3ED76A}" type="PERCENTAGE">
                      <a:rPr lang="en-US" baseline="0"/>
                      <a:pPr>
                        <a:defRPr sz="1000" b="1" i="0" u="none" strike="noStrike" kern="1200" spc="0" baseline="0">
                          <a:solidFill>
                            <a:schemeClr val="accent1">
                              <a:lumMod val="60000"/>
                            </a:schemeClr>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A945-4CD3-8B1A-8F123FA3566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[1]Sheet1!$A$7:$A$13</c:f>
              <c:strCache>
                <c:ptCount val="7"/>
                <c:pt idx="0">
                  <c:v>Bivše članice SSSR (Ukrajina i Bjelorusija)</c:v>
                </c:pt>
                <c:pt idx="1">
                  <c:v>EU</c:v>
                </c:pt>
                <c:pt idx="2">
                  <c:v>Region</c:v>
                </c:pt>
                <c:pt idx="3">
                  <c:v>Rusija</c:v>
                </c:pt>
                <c:pt idx="4">
                  <c:v>Ostale Evropske i vanevropske zemlje</c:v>
                </c:pt>
                <c:pt idx="5">
                  <c:v>Srbija</c:v>
                </c:pt>
                <c:pt idx="6">
                  <c:v>Domaći</c:v>
                </c:pt>
              </c:strCache>
            </c:strRef>
          </c:cat>
          <c:val>
            <c:numRef>
              <c:f>[1]Sheet1!$C$7:$C$13</c:f>
              <c:numCache>
                <c:formatCode>General</c:formatCode>
                <c:ptCount val="7"/>
                <c:pt idx="0">
                  <c:v>1.375580961391611E-2</c:v>
                </c:pt>
                <c:pt idx="1">
                  <c:v>0.21325994464726203</c:v>
                </c:pt>
                <c:pt idx="2">
                  <c:v>0.19555040587505029</c:v>
                </c:pt>
                <c:pt idx="3">
                  <c:v>0.14044227626944053</c:v>
                </c:pt>
                <c:pt idx="4">
                  <c:v>1.9151099095386134E-2</c:v>
                </c:pt>
                <c:pt idx="5">
                  <c:v>0.30443171533361957</c:v>
                </c:pt>
                <c:pt idx="6">
                  <c:v>0.11340874916532531</c:v>
                </c:pt>
              </c:numCache>
            </c:numRef>
          </c:val>
          <c:extLst>
            <c:ext xmlns:c16="http://schemas.microsoft.com/office/drawing/2014/chart" uri="{C3380CC4-5D6E-409C-BE32-E72D297353CC}">
              <c16:uniqueId val="{0000000E-A945-4CD3-8B1A-8F123FA3566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200"/>
              <a:t>IN </a:t>
            </a:r>
            <a:r>
              <a:rPr lang="sr-Latn-ME" sz="1200"/>
              <a:t>2019</a:t>
            </a:r>
            <a:endParaRPr lang="en-US" sz="1200"/>
          </a:p>
        </c:rich>
      </c:tx>
      <c:layout>
        <c:manualLayout>
          <c:xMode val="edge"/>
          <c:yMode val="edge"/>
          <c:x val="3.3984878995791688E-2"/>
          <c:y val="1.0126471562120591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7"/>
          <c:dPt>
            <c:idx val="0"/>
            <c:bubble3D val="0"/>
            <c:explosion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E57-440D-8B9F-0C4AE4E801FE}"/>
              </c:ext>
            </c:extLst>
          </c:dPt>
          <c:dPt>
            <c:idx val="1"/>
            <c:bubble3D val="0"/>
            <c:explosion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E57-440D-8B9F-0C4AE4E801FE}"/>
              </c:ext>
            </c:extLst>
          </c:dPt>
          <c:dPt>
            <c:idx val="2"/>
            <c:bubble3D val="0"/>
            <c:explosion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E57-440D-8B9F-0C4AE4E801FE}"/>
              </c:ext>
            </c:extLst>
          </c:dPt>
          <c:dPt>
            <c:idx val="3"/>
            <c:bubble3D val="0"/>
            <c:explosion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E57-440D-8B9F-0C4AE4E801FE}"/>
              </c:ext>
            </c:extLst>
          </c:dPt>
          <c:dPt>
            <c:idx val="4"/>
            <c:bubble3D val="0"/>
            <c:explosion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E57-440D-8B9F-0C4AE4E801FE}"/>
              </c:ext>
            </c:extLst>
          </c:dPt>
          <c:dPt>
            <c:idx val="5"/>
            <c:bubble3D val="0"/>
            <c:explosion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E57-440D-8B9F-0C4AE4E801FE}"/>
              </c:ext>
            </c:extLst>
          </c:dPt>
          <c:dPt>
            <c:idx val="6"/>
            <c:bubble3D val="0"/>
            <c:explosion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0E57-440D-8B9F-0C4AE4E801FE}"/>
              </c:ext>
            </c:extLst>
          </c:dPt>
          <c:dLbls>
            <c:dLbl>
              <c:idx val="0"/>
              <c:layout>
                <c:manualLayout>
                  <c:x val="-1.414427157001415E-2"/>
                  <c:y val="-3.1215594341638883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Former members of USSR (Ucraine and </a:t>
                    </a:r>
                  </a:p>
                  <a:p>
                    <a:pPr>
                      <a:defRPr sz="1000" b="1" i="0" u="none" strike="noStrike" kern="1200" spc="0" baseline="0">
                        <a:solidFill>
                          <a:schemeClr val="accent1"/>
                        </a:solidFill>
                        <a:latin typeface="+mn-lt"/>
                        <a:ea typeface="+mn-ea"/>
                        <a:cs typeface="+mn-cs"/>
                      </a:defRPr>
                    </a:pPr>
                    <a:r>
                      <a:rPr lang="en-US"/>
                      <a:t>Belarus)
</a:t>
                    </a:r>
                    <a:fld id="{7F257EDB-6F96-4F29-BAB3-DD1CB975E977}" type="PERCENTAGE">
                      <a:rPr lang="en-US"/>
                      <a:pPr>
                        <a:defRPr sz="1000" b="1" i="0" u="none" strike="noStrike" kern="1200" spc="0" baseline="0">
                          <a:solidFill>
                            <a:schemeClr val="accent1"/>
                          </a:solidFill>
                          <a:latin typeface="+mn-lt"/>
                          <a:ea typeface="+mn-ea"/>
                          <a:cs typeface="+mn-cs"/>
                        </a:defRPr>
                      </a:pPr>
                      <a:t>[PERCENTAGE]</a:t>
                    </a:fld>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4318346345320696"/>
                      <c:h val="0.28123435860914969"/>
                    </c:manualLayout>
                  </c15:layout>
                  <c15:dlblFieldTable/>
                  <c15:showDataLabelsRange val="0"/>
                </c:ext>
                <c:ext xmlns:c16="http://schemas.microsoft.com/office/drawing/2014/chart" uri="{C3380CC4-5D6E-409C-BE32-E72D297353CC}">
                  <c16:uniqueId val="{00000001-0E57-440D-8B9F-0C4AE4E801FE}"/>
                </c:ext>
              </c:extLst>
            </c:dLbl>
            <c:dLbl>
              <c:idx val="1"/>
              <c:layout>
                <c:manualLayout>
                  <c:x val="4.2407821887148076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E57-440D-8B9F-0C4AE4E801FE}"/>
                </c:ext>
              </c:extLst>
            </c:dLbl>
            <c:dLbl>
              <c:idx val="2"/>
              <c:layout>
                <c:manualLayout>
                  <c:x val="4.1344793820041345E-2"/>
                  <c:y val="4.6500813764240876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Region (Bosnia</a:t>
                    </a:r>
                    <a:r>
                      <a:rPr lang="en-US" baseline="0"/>
                      <a:t> and Herzegovina</a:t>
                    </a:r>
                    <a:r>
                      <a:rPr lang="en-US"/>
                      <a:t>, Kosovo, Macedonia</a:t>
                    </a:r>
                    <a:r>
                      <a:rPr lang="en-US" baseline="0"/>
                      <a:t> i Albania</a:t>
                    </a:r>
                    <a:r>
                      <a:rPr lang="en-US"/>
                      <a:t>)</a:t>
                    </a:r>
                    <a:r>
                      <a:rPr lang="en-US" baseline="0"/>
                      <a:t>
</a:t>
                    </a:r>
                    <a:fld id="{E2B418FD-6F4A-455D-BE18-6B8FE47473F3}" type="PERCENTAGE">
                      <a:rPr lang="en-US" baseline="0"/>
                      <a:pPr>
                        <a:defRPr sz="1000" b="1" i="0" u="none" strike="noStrike" kern="1200" spc="0" baseline="0">
                          <a:solidFill>
                            <a:schemeClr val="accent1"/>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0E57-440D-8B9F-0C4AE4E801FE}"/>
                </c:ext>
              </c:extLst>
            </c:dLbl>
            <c:dLbl>
              <c:idx val="3"/>
              <c:layout>
                <c:manualLayout>
                  <c:x val="1.0880208900010841E-2"/>
                  <c:y val="5.870416511816516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r>
                      <a:rPr lang="en-US"/>
                      <a:t>Russia</a:t>
                    </a:r>
                    <a:r>
                      <a:rPr lang="en-US" baseline="0"/>
                      <a:t>
</a:t>
                    </a:r>
                    <a:fld id="{13EFB0AE-0D04-4F4A-8C00-FAB97E0D44B1}" type="PERCENTAGE">
                      <a:rPr lang="en-US" baseline="0"/>
                      <a:pPr>
                        <a:defRPr sz="1000" b="1" i="0" u="none" strike="noStrike" kern="1200" spc="0" baseline="0">
                          <a:solidFill>
                            <a:schemeClr val="accent4"/>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11517789141551518"/>
                      <c:h val="0.12797297297297297"/>
                    </c:manualLayout>
                  </c15:layout>
                  <c15:dlblFieldTable/>
                  <c15:showDataLabelsRange val="0"/>
                </c:ext>
                <c:ext xmlns:c16="http://schemas.microsoft.com/office/drawing/2014/chart" uri="{C3380CC4-5D6E-409C-BE32-E72D297353CC}">
                  <c16:uniqueId val="{00000007-0E57-440D-8B9F-0C4AE4E801FE}"/>
                </c:ext>
              </c:extLst>
            </c:dLbl>
            <c:dLbl>
              <c:idx val="4"/>
              <c:layout>
                <c:manualLayout>
                  <c:x val="-1.3056250680013067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r>
                      <a:rPr lang="en-US"/>
                      <a:t>Other</a:t>
                    </a:r>
                    <a:r>
                      <a:rPr lang="en-US" baseline="0"/>
                      <a:t> European and non-European countries 7%</a:t>
                    </a:r>
                    <a:endParaRPr lang="en-US"/>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E57-440D-8B9F-0C4AE4E801FE}"/>
                </c:ext>
              </c:extLst>
            </c:dLbl>
            <c:dLbl>
              <c:idx val="5"/>
              <c:layout>
                <c:manualLayout>
                  <c:x val="-1.5232292460015232E-2"/>
                  <c:y val="-5.580097651708904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r>
                      <a:rPr lang="en-US" baseline="0"/>
                      <a:t>Serbia
</a:t>
                    </a:r>
                    <a:fld id="{C543535F-E51E-4268-8F9D-84F903C5BD8C}" type="PERCENTAGE">
                      <a:rPr lang="en-US" baseline="0"/>
                      <a:pPr>
                        <a:defRPr sz="1000" b="1" i="0" u="none" strike="noStrike" kern="1200" spc="0" baseline="0">
                          <a:solidFill>
                            <a:schemeClr val="accent6"/>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B-0E57-440D-8B9F-0C4AE4E801FE}"/>
                </c:ext>
              </c:extLst>
            </c:dLbl>
            <c:dLbl>
              <c:idx val="6"/>
              <c:layout>
                <c:manualLayout>
                  <c:x val="0"/>
                  <c:y val="-3.720065101139270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lumMod val="60000"/>
                          </a:schemeClr>
                        </a:solidFill>
                        <a:latin typeface="+mn-lt"/>
                        <a:ea typeface="+mn-ea"/>
                        <a:cs typeface="+mn-cs"/>
                      </a:defRPr>
                    </a:pPr>
                    <a:r>
                      <a:rPr lang="en-US" baseline="0"/>
                      <a:t>Domestic tourists
</a:t>
                    </a:r>
                    <a:fld id="{1350A777-9CA0-423A-AA38-86084516DAC2}" type="PERCENTAGE">
                      <a:rPr lang="en-US" baseline="0"/>
                      <a:pPr>
                        <a:defRPr sz="1000" b="1" i="0" u="none" strike="noStrike" kern="1200" spc="0" baseline="0">
                          <a:solidFill>
                            <a:schemeClr val="accent1">
                              <a:lumMod val="60000"/>
                            </a:schemeClr>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D-0E57-440D-8B9F-0C4AE4E801FE}"/>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Sheet1!$A$7:$A$13</c:f>
              <c:strCache>
                <c:ptCount val="7"/>
                <c:pt idx="0">
                  <c:v>Bivše članice SSSR</c:v>
                </c:pt>
                <c:pt idx="1">
                  <c:v>EU</c:v>
                </c:pt>
                <c:pt idx="2">
                  <c:v>Region</c:v>
                </c:pt>
                <c:pt idx="3">
                  <c:v>Rusija</c:v>
                </c:pt>
                <c:pt idx="4">
                  <c:v>Ostale Evropske i vanevropske zemlje</c:v>
                </c:pt>
                <c:pt idx="5">
                  <c:v>Srbija</c:v>
                </c:pt>
                <c:pt idx="6">
                  <c:v>Domaći</c:v>
                </c:pt>
              </c:strCache>
            </c:strRef>
          </c:cat>
          <c:val>
            <c:numRef>
              <c:f>Sheet1!$D$7:$D$13</c:f>
              <c:numCache>
                <c:formatCode>0.00%</c:formatCode>
                <c:ptCount val="7"/>
                <c:pt idx="0">
                  <c:v>4.3289968122903914E-2</c:v>
                </c:pt>
                <c:pt idx="1">
                  <c:v>0.24333002202618792</c:v>
                </c:pt>
                <c:pt idx="2">
                  <c:v>0.16390410030216832</c:v>
                </c:pt>
                <c:pt idx="3">
                  <c:v>0.24008773119195989</c:v>
                </c:pt>
                <c:pt idx="4">
                  <c:v>6.6500201998959563E-2</c:v>
                </c:pt>
                <c:pt idx="5">
                  <c:v>0.20675077755763888</c:v>
                </c:pt>
                <c:pt idx="6">
                  <c:v>3.6137198800181521E-2</c:v>
                </c:pt>
              </c:numCache>
            </c:numRef>
          </c:val>
          <c:extLst>
            <c:ext xmlns:c16="http://schemas.microsoft.com/office/drawing/2014/chart" uri="{C3380CC4-5D6E-409C-BE32-E72D297353CC}">
              <c16:uniqueId val="{0000000E-0E57-440D-8B9F-0C4AE4E801F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'Udaljena tržišta'!$D$27</c:f>
              <c:strCache>
                <c:ptCount val="1"/>
                <c:pt idx="0">
                  <c:v>2009</c:v>
                </c:pt>
              </c:strCache>
            </c:strRef>
          </c:tx>
          <c:spPr>
            <a:solidFill>
              <a:schemeClr val="accent1"/>
            </a:solidFill>
            <a:ln>
              <a:noFill/>
            </a:ln>
            <a:effectLst/>
          </c:spPr>
          <c:invertIfNegative val="0"/>
          <c:cat>
            <c:strRef>
              <c:f>'Udaljena tržišta'!$C$28:$C$34</c:f>
              <c:strCache>
                <c:ptCount val="7"/>
                <c:pt idx="0">
                  <c:v>USA</c:v>
                </c:pt>
                <c:pt idx="1">
                  <c:v>Israel</c:v>
                </c:pt>
                <c:pt idx="2">
                  <c:v>Canada</c:v>
                </c:pt>
                <c:pt idx="3">
                  <c:v>Australia</c:v>
                </c:pt>
                <c:pt idx="4">
                  <c:v>Japan</c:v>
                </c:pt>
                <c:pt idx="5">
                  <c:v>New Zealand</c:v>
                </c:pt>
                <c:pt idx="6">
                  <c:v>Total </c:v>
                </c:pt>
              </c:strCache>
            </c:strRef>
          </c:cat>
          <c:val>
            <c:numRef>
              <c:f>'Udaljena tržišta'!$D$28:$D$34</c:f>
              <c:numCache>
                <c:formatCode>General</c:formatCode>
                <c:ptCount val="7"/>
                <c:pt idx="0">
                  <c:v>22645</c:v>
                </c:pt>
                <c:pt idx="1">
                  <c:v>20163</c:v>
                </c:pt>
                <c:pt idx="2">
                  <c:v>6120</c:v>
                </c:pt>
                <c:pt idx="3">
                  <c:v>5113</c:v>
                </c:pt>
                <c:pt idx="4">
                  <c:v>1288</c:v>
                </c:pt>
                <c:pt idx="5">
                  <c:v>858</c:v>
                </c:pt>
                <c:pt idx="6">
                  <c:v>56187</c:v>
                </c:pt>
              </c:numCache>
            </c:numRef>
          </c:val>
          <c:extLst>
            <c:ext xmlns:c16="http://schemas.microsoft.com/office/drawing/2014/chart" uri="{C3380CC4-5D6E-409C-BE32-E72D297353CC}">
              <c16:uniqueId val="{00000000-A5DF-4931-AE52-7A5149CA46BF}"/>
            </c:ext>
          </c:extLst>
        </c:ser>
        <c:ser>
          <c:idx val="1"/>
          <c:order val="1"/>
          <c:tx>
            <c:strRef>
              <c:f>'Udaljena tržišta'!$E$27</c:f>
              <c:strCache>
                <c:ptCount val="1"/>
                <c:pt idx="0">
                  <c:v>2019</c:v>
                </c:pt>
              </c:strCache>
            </c:strRef>
          </c:tx>
          <c:spPr>
            <a:solidFill>
              <a:schemeClr val="accent2"/>
            </a:solidFill>
            <a:ln>
              <a:noFill/>
            </a:ln>
            <a:effectLst/>
          </c:spPr>
          <c:invertIfNegative val="0"/>
          <c:cat>
            <c:strRef>
              <c:f>'Udaljena tržišta'!$C$28:$C$34</c:f>
              <c:strCache>
                <c:ptCount val="7"/>
                <c:pt idx="0">
                  <c:v>USA</c:v>
                </c:pt>
                <c:pt idx="1">
                  <c:v>Israel</c:v>
                </c:pt>
                <c:pt idx="2">
                  <c:v>Canada</c:v>
                </c:pt>
                <c:pt idx="3">
                  <c:v>Australia</c:v>
                </c:pt>
                <c:pt idx="4">
                  <c:v>Japan</c:v>
                </c:pt>
                <c:pt idx="5">
                  <c:v>New Zealand</c:v>
                </c:pt>
                <c:pt idx="6">
                  <c:v>Total </c:v>
                </c:pt>
              </c:strCache>
            </c:strRef>
          </c:cat>
          <c:val>
            <c:numRef>
              <c:f>'Udaljena tržišta'!$E$28:$E$34</c:f>
              <c:numCache>
                <c:formatCode>General</c:formatCode>
                <c:ptCount val="7"/>
                <c:pt idx="0">
                  <c:v>123387</c:v>
                </c:pt>
                <c:pt idx="1">
                  <c:v>111978</c:v>
                </c:pt>
                <c:pt idx="2">
                  <c:v>39885</c:v>
                </c:pt>
                <c:pt idx="3">
                  <c:v>33709</c:v>
                </c:pt>
                <c:pt idx="4">
                  <c:v>5020</c:v>
                </c:pt>
                <c:pt idx="5">
                  <c:v>7564</c:v>
                </c:pt>
                <c:pt idx="6">
                  <c:v>321543</c:v>
                </c:pt>
              </c:numCache>
            </c:numRef>
          </c:val>
          <c:extLst>
            <c:ext xmlns:c16="http://schemas.microsoft.com/office/drawing/2014/chart" uri="{C3380CC4-5D6E-409C-BE32-E72D297353CC}">
              <c16:uniqueId val="{00000001-A5DF-4931-AE52-7A5149CA46BF}"/>
            </c:ext>
          </c:extLst>
        </c:ser>
        <c:dLbls>
          <c:showLegendKey val="0"/>
          <c:showVal val="0"/>
          <c:showCatName val="0"/>
          <c:showSerName val="0"/>
          <c:showPercent val="0"/>
          <c:showBubbleSize val="0"/>
        </c:dLbls>
        <c:gapWidth val="219"/>
        <c:overlap val="-27"/>
        <c:axId val="567305112"/>
        <c:axId val="567305504"/>
      </c:barChart>
      <c:catAx>
        <c:axId val="567305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305504"/>
        <c:crosses val="autoZero"/>
        <c:auto val="1"/>
        <c:lblAlgn val="ctr"/>
        <c:lblOffset val="100"/>
        <c:noMultiLvlLbl val="0"/>
      </c:catAx>
      <c:valAx>
        <c:axId val="56730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305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B04D9-1018-49F7-B0EA-99BF543BF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219</Pages>
  <Words>67445</Words>
  <Characters>384439</Characters>
  <Application>Microsoft Office Word</Application>
  <DocSecurity>0</DocSecurity>
  <Lines>3203</Lines>
  <Paragraphs>901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Slavuljica Gardasevic;Jelena Mugosa;Maja Kovacevic;Goranka Lazovic</dc:creator>
  <cp:keywords/>
  <dc:description/>
  <cp:lastModifiedBy>Maja Kovacevic</cp:lastModifiedBy>
  <cp:revision>3</cp:revision>
  <cp:lastPrinted>2022-05-25T11:53:00Z</cp:lastPrinted>
  <dcterms:created xsi:type="dcterms:W3CDTF">2022-05-27T09:02:00Z</dcterms:created>
  <dcterms:modified xsi:type="dcterms:W3CDTF">2022-05-27T09:44:00Z</dcterms:modified>
</cp:coreProperties>
</file>