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92057" w14:textId="5C8184CB" w:rsidR="00230C51" w:rsidRPr="003F6501" w:rsidRDefault="00230C51" w:rsidP="00644F03">
      <w:pPr>
        <w:pStyle w:val="N03Y"/>
        <w:rPr>
          <w:lang w:val="sr-Latn-RS"/>
        </w:rPr>
      </w:pPr>
      <w:bookmarkStart w:id="0" w:name="_Hlk157156373"/>
      <w:r w:rsidRPr="003F6501">
        <w:rPr>
          <w:lang w:val="sr-Latn-RS"/>
        </w:rPr>
        <w:t>ZAKON</w:t>
      </w:r>
      <w:r w:rsidR="00644F03">
        <w:rPr>
          <w:lang w:val="sr-Latn-RS"/>
        </w:rPr>
        <w:t xml:space="preserve"> </w:t>
      </w:r>
      <w:r w:rsidRPr="003F6501">
        <w:rPr>
          <w:lang w:val="sr-Latn-RS"/>
        </w:rPr>
        <w:t>O REGIONALNOM RAZVOJU</w:t>
      </w:r>
    </w:p>
    <w:p w14:paraId="008AA3D1" w14:textId="77777777" w:rsidR="00230C51" w:rsidRPr="003F6501" w:rsidRDefault="00230C51">
      <w:pPr>
        <w:pStyle w:val="N05Y"/>
        <w:rPr>
          <w:lang w:val="sr-Latn-RS"/>
        </w:rPr>
      </w:pPr>
      <w:r w:rsidRPr="003F6501">
        <w:rPr>
          <w:lang w:val="sr-Latn-RS"/>
        </w:rPr>
        <w:t>("Službeni list Crne Gore", br. 020/11 od 15.04.2011, 026/11 od 30.05.2011, 020/15 od 24.04.2015, 047/19 od 12.08.2019)</w:t>
      </w:r>
    </w:p>
    <w:p w14:paraId="61BB464A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I. OSNOVNE ODREDBE</w:t>
      </w:r>
    </w:p>
    <w:p w14:paraId="68847C05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Predmet</w:t>
      </w:r>
    </w:p>
    <w:p w14:paraId="3D96A9C7" w14:textId="77777777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1</w:t>
      </w:r>
    </w:p>
    <w:p w14:paraId="11FE44AC" w14:textId="434259B6" w:rsidR="00103C93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Ovim zakonom uređuje se način podsticanja i planiranja regionalnog razvoja Crne Gore i druga pitanja od značaja za regionalni razvoj.</w:t>
      </w:r>
    </w:p>
    <w:p w14:paraId="7AE265C3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Ciljevi</w:t>
      </w:r>
    </w:p>
    <w:p w14:paraId="5A66F308" w14:textId="77777777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2</w:t>
      </w:r>
    </w:p>
    <w:p w14:paraId="3A866A39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Ciljevi obezbjeđenja društveno-ekonomskog razvoja Crne Gore utvrđuju se politikom regionalnog razvoja Crne Gore u skladu sa načelima održivog razvoja i strateškim razvojnim dokumentima za pojedine oblasti kojima se planira razvoj Crne Gore.</w:t>
      </w:r>
    </w:p>
    <w:p w14:paraId="6197D4C3" w14:textId="618AD7E6" w:rsidR="00960BCC" w:rsidRPr="00887977" w:rsidRDefault="00230C51" w:rsidP="00887977">
      <w:pPr>
        <w:pStyle w:val="T30X"/>
        <w:rPr>
          <w:lang w:val="sr-Latn-ME"/>
        </w:rPr>
      </w:pPr>
      <w:r w:rsidRPr="003F6501">
        <w:rPr>
          <w:lang w:val="sr-Latn-RS"/>
        </w:rPr>
        <w:t xml:space="preserve">Politikom regionalnog razvoja obezbjeđuje se ravnomjerniji rast i razvoj svih jedinica lokalne </w:t>
      </w:r>
      <w:r w:rsidRPr="00887977">
        <w:rPr>
          <w:lang w:val="sr-Latn-ME"/>
        </w:rPr>
        <w:t>smouprave i regiona, zasnovan na konkurentnosti</w:t>
      </w:r>
      <w:r w:rsidR="003C72E3">
        <w:rPr>
          <w:lang w:val="sr-Latn-ME"/>
        </w:rPr>
        <w:t xml:space="preserve"> </w:t>
      </w:r>
      <w:r w:rsidR="00156EBF" w:rsidRPr="00887977">
        <w:rPr>
          <w:lang w:val="sr-Latn-ME"/>
        </w:rPr>
        <w:t xml:space="preserve">i korišćenju sopstvenih razvojnih potencijala. </w:t>
      </w:r>
    </w:p>
    <w:p w14:paraId="49AC0328" w14:textId="25277C46" w:rsidR="00A77FCC" w:rsidRPr="00887977" w:rsidRDefault="00A77FCC" w:rsidP="00887977">
      <w:pPr>
        <w:pStyle w:val="T30X"/>
        <w:rPr>
          <w:lang w:val="sr-Latn-ME"/>
        </w:rPr>
      </w:pPr>
      <w:r w:rsidRPr="00887977">
        <w:rPr>
          <w:lang w:val="sr-Latn-ME"/>
        </w:rPr>
        <w:t xml:space="preserve">Radi postizanja navedenog cilja </w:t>
      </w:r>
      <w:r w:rsidR="00156EBF" w:rsidRPr="00887977">
        <w:rPr>
          <w:lang w:val="sr-Latn-ME"/>
        </w:rPr>
        <w:t>aktivnosti politike r</w:t>
      </w:r>
      <w:r w:rsidRPr="00887977">
        <w:rPr>
          <w:lang w:val="sr-Latn-ME"/>
        </w:rPr>
        <w:t>egionalnog razvoja</w:t>
      </w:r>
      <w:r w:rsidR="00156EBF" w:rsidRPr="00887977">
        <w:rPr>
          <w:lang w:val="sr-Latn-ME"/>
        </w:rPr>
        <w:t xml:space="preserve"> biće usmjerene na: povezanost lokalnih i regionalnih razvojnih potreba sa nacionalnim prioritetima razvoja</w:t>
      </w:r>
      <w:r w:rsidR="00887977" w:rsidRPr="00887977">
        <w:rPr>
          <w:lang w:val="sr-Latn-ME"/>
        </w:rPr>
        <w:t xml:space="preserve">, podršku manje razvijenim jedinicama lokalne samouprave za povećanje i optimalno korištenje sopstevnog razvojnog potencijala, uz otklanjanje uzroka razvojnih poteškoća i ravnomjeran i održivi razvoj svih jedinica lokalne samouprave. </w:t>
      </w:r>
    </w:p>
    <w:p w14:paraId="5378F432" w14:textId="76D75DCC" w:rsidR="003C4354" w:rsidRDefault="00156EBF" w:rsidP="00887977">
      <w:pPr>
        <w:pStyle w:val="T30X"/>
        <w:rPr>
          <w:lang w:val="sr-Latn-RS"/>
        </w:rPr>
      </w:pPr>
      <w:r w:rsidRPr="003F6501">
        <w:rPr>
          <w:lang w:val="sr-Latn-RS"/>
        </w:rPr>
        <w:t>Jedinica lokalne samouprave, u smislu ovog zakona je opština, Glavni grad i Prijestonica.</w:t>
      </w:r>
    </w:p>
    <w:p w14:paraId="5771917C" w14:textId="3AE72208" w:rsidR="003C4354" w:rsidRDefault="003C4354">
      <w:pPr>
        <w:pStyle w:val="T30X"/>
        <w:rPr>
          <w:lang w:val="sr-Latn-RS"/>
        </w:rPr>
      </w:pPr>
    </w:p>
    <w:p w14:paraId="50115A88" w14:textId="77777777" w:rsidR="003C4354" w:rsidRPr="003F6501" w:rsidRDefault="003C4354">
      <w:pPr>
        <w:pStyle w:val="T30X"/>
        <w:rPr>
          <w:lang w:val="sr-Latn-RS"/>
        </w:rPr>
      </w:pPr>
    </w:p>
    <w:p w14:paraId="44151329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Načela podsticanja regionalnog razvoja</w:t>
      </w:r>
    </w:p>
    <w:p w14:paraId="778CE954" w14:textId="77777777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3</w:t>
      </w:r>
    </w:p>
    <w:p w14:paraId="73E028C2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Podsticanje regionalnog razvoja zasniva se na načelima:</w:t>
      </w:r>
    </w:p>
    <w:p w14:paraId="79889462" w14:textId="613AFCBD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1) održivosti, kojim se doprinosi skladnom i uravnoteženom razvoju kojim se obezbjeđuje zaštita i očuvanje životne sredine i unaprjeđenje životnog standarda, uz povećanje razvojnih potencijala;</w:t>
      </w:r>
    </w:p>
    <w:p w14:paraId="07B161D3" w14:textId="3C4FDC3A" w:rsidR="00230C51" w:rsidRPr="003F6501" w:rsidRDefault="00C13108">
      <w:pPr>
        <w:pStyle w:val="T30X"/>
        <w:ind w:left="567" w:hanging="283"/>
        <w:rPr>
          <w:lang w:val="sr-Latn-RS"/>
        </w:rPr>
      </w:pPr>
      <w:r>
        <w:rPr>
          <w:lang w:val="sr-Latn-RS"/>
        </w:rPr>
        <w:t xml:space="preserve">   </w:t>
      </w:r>
      <w:r w:rsidR="00F77641">
        <w:rPr>
          <w:lang w:val="sr-Latn-RS"/>
        </w:rPr>
        <w:t>2</w:t>
      </w:r>
      <w:r>
        <w:rPr>
          <w:lang w:val="sr-Latn-RS"/>
        </w:rPr>
        <w:t xml:space="preserve">) </w:t>
      </w:r>
      <w:r w:rsidR="00230C51" w:rsidRPr="003F6501">
        <w:rPr>
          <w:lang w:val="sr-Latn-RS"/>
        </w:rPr>
        <w:t>solidarnosti, koja se ostvaruje dodatnim podsticajima razvoja jedinica lokalne samouprave koje zaostaju za prosjekom razvoja na nivou Crne Gore;</w:t>
      </w:r>
    </w:p>
    <w:p w14:paraId="3B02969F" w14:textId="235F7680" w:rsidR="00230C5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</w:t>
      </w:r>
      <w:r w:rsidR="00560222">
        <w:rPr>
          <w:lang w:val="sr-Latn-RS"/>
        </w:rPr>
        <w:t>3</w:t>
      </w:r>
      <w:r w:rsidRPr="003F6501">
        <w:rPr>
          <w:lang w:val="sr-Latn-RS"/>
        </w:rPr>
        <w:t>) jednakih mogućnosti, obezbjeđivanjem jednakih mogućnosti za razvoj sopstvenih potencijala jedinica lokalne samouprave;</w:t>
      </w:r>
    </w:p>
    <w:p w14:paraId="2690EDB2" w14:textId="0ADF0241" w:rsidR="00103C93" w:rsidRDefault="00103C93" w:rsidP="00103C93">
      <w:pPr>
        <w:pStyle w:val="T30X"/>
        <w:ind w:left="567" w:hanging="283"/>
        <w:rPr>
          <w:lang w:val="sr-Latn-RS"/>
        </w:rPr>
      </w:pPr>
      <w:r>
        <w:rPr>
          <w:lang w:val="sr-Latn-RS"/>
        </w:rPr>
        <w:t xml:space="preserve">   4</w:t>
      </w:r>
      <w:r w:rsidRPr="003F6501">
        <w:rPr>
          <w:lang w:val="sr-Latn-RS"/>
        </w:rPr>
        <w:t>) partnerstva i saradnje između državnih organa, jedinica lokalne samouprave i domaćih i međunarodnih organizacija i institucija;</w:t>
      </w:r>
    </w:p>
    <w:p w14:paraId="10A2A7DB" w14:textId="28661BE1" w:rsidR="00230C51" w:rsidRDefault="00103C93" w:rsidP="00103C93">
      <w:pPr>
        <w:pStyle w:val="T30X"/>
        <w:ind w:left="567" w:hanging="283"/>
        <w:rPr>
          <w:lang w:val="sr-Latn-RS"/>
        </w:rPr>
      </w:pPr>
      <w:r>
        <w:rPr>
          <w:lang w:val="sr-Latn-RS"/>
        </w:rPr>
        <w:t xml:space="preserve">   5) </w:t>
      </w:r>
      <w:r w:rsidR="00230C51" w:rsidRPr="003F6501">
        <w:rPr>
          <w:lang w:val="sr-Latn-RS"/>
        </w:rPr>
        <w:t>strateškog planiranja, koje se ostvaruje donošenjem i sprovođenjem strategije regionalnog razvoja i strateških planova razvoja jedinica lokalne samouprave;</w:t>
      </w:r>
    </w:p>
    <w:p w14:paraId="34733113" w14:textId="7AD63691" w:rsidR="00103C93" w:rsidRPr="003F6501" w:rsidRDefault="00103C93" w:rsidP="007944E1">
      <w:pPr>
        <w:pStyle w:val="T30X"/>
        <w:ind w:left="567" w:hanging="283"/>
        <w:rPr>
          <w:lang w:val="sr-Latn-RS"/>
        </w:rPr>
      </w:pPr>
      <w:r>
        <w:rPr>
          <w:lang w:val="sr-Latn-RS"/>
        </w:rPr>
        <w:t xml:space="preserve">   6) </w:t>
      </w:r>
      <w:r w:rsidRPr="003F6501">
        <w:rPr>
          <w:lang w:val="sr-Latn-RS"/>
        </w:rPr>
        <w:t>udruživanja finansijskih sredstava iz različitih izvora za sprovođenje strategije regionalnog razvoja i strateških planova razvoja jedinica lokalne samouprave</w:t>
      </w:r>
      <w:r w:rsidR="007944E1">
        <w:rPr>
          <w:lang w:val="sr-Latn-RS"/>
        </w:rPr>
        <w:t>;</w:t>
      </w:r>
    </w:p>
    <w:p w14:paraId="78787068" w14:textId="4806255C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</w:t>
      </w:r>
      <w:r w:rsidR="00E846A2">
        <w:rPr>
          <w:lang w:val="sr-Latn-RS"/>
        </w:rPr>
        <w:t>7</w:t>
      </w:r>
      <w:r w:rsidRPr="003F6501">
        <w:rPr>
          <w:lang w:val="sr-Latn-RS"/>
        </w:rPr>
        <w:t>) praćenja i vrednovanja, sistematskim praćenjem i vrednovanjem sprovođenja politike regionalnog razvoja radi povećanja efikasnosti i efektivnosti uticaja na regionalni razvoj;</w:t>
      </w:r>
    </w:p>
    <w:p w14:paraId="3F7D3F17" w14:textId="2ED415D6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</w:t>
      </w:r>
      <w:r w:rsidR="00E846A2">
        <w:rPr>
          <w:lang w:val="sr-Latn-RS"/>
        </w:rPr>
        <w:t>8</w:t>
      </w:r>
      <w:r w:rsidRPr="003F6501">
        <w:rPr>
          <w:lang w:val="sr-Latn-RS"/>
        </w:rPr>
        <w:t>) samostalnosti jedinica lokalne samouprave, sprovođenjem politike u oblasti regionalnog razvoja u skladu sa Ustavom i zakonom;</w:t>
      </w:r>
    </w:p>
    <w:p w14:paraId="357AACEE" w14:textId="7ADD8270" w:rsidR="002C0875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lastRenderedPageBreak/>
        <w:t xml:space="preserve">   </w:t>
      </w:r>
      <w:r w:rsidR="00E846A2">
        <w:rPr>
          <w:lang w:val="sr-Latn-RS"/>
        </w:rPr>
        <w:t>9</w:t>
      </w:r>
      <w:r w:rsidRPr="003F6501">
        <w:rPr>
          <w:lang w:val="sr-Latn-RS"/>
        </w:rPr>
        <w:t>) javnosti, objavljivanjem razvojnih dokumenata i kriterijuma na osnovu kojih se utvrđuje stepen razvijenosti jedinice lokalne samouprave</w:t>
      </w:r>
    </w:p>
    <w:p w14:paraId="05B205DB" w14:textId="21E9B4FE" w:rsidR="00132873" w:rsidRPr="00132873" w:rsidRDefault="00132873" w:rsidP="00132873">
      <w:pPr>
        <w:pStyle w:val="T30X"/>
        <w:ind w:left="567" w:hanging="283"/>
        <w:rPr>
          <w:lang w:val="sr-Latn-RS"/>
        </w:rPr>
      </w:pPr>
      <w:r>
        <w:rPr>
          <w:lang w:val="sr-Latn-RS"/>
        </w:rPr>
        <w:t xml:space="preserve">   </w:t>
      </w:r>
      <w:r w:rsidRPr="00132873">
        <w:rPr>
          <w:lang w:val="sr-Latn-RS"/>
        </w:rPr>
        <w:t>10) ravnomjernosti regionalnog razvoja, kojim se podstiče brži razvoj nedovoljno razvijenih regiona i jedinica lokalne samouprave;</w:t>
      </w:r>
    </w:p>
    <w:p w14:paraId="1997591C" w14:textId="4DF160C7" w:rsidR="00132873" w:rsidRPr="00132873" w:rsidRDefault="00132873" w:rsidP="00132873">
      <w:pPr>
        <w:pStyle w:val="T30X"/>
        <w:ind w:left="567" w:hanging="283"/>
        <w:rPr>
          <w:lang w:val="sr-Latn-RS"/>
        </w:rPr>
      </w:pPr>
      <w:r>
        <w:rPr>
          <w:lang w:val="sr-Latn-RS"/>
        </w:rPr>
        <w:t xml:space="preserve">   </w:t>
      </w:r>
      <w:r w:rsidRPr="00132873">
        <w:rPr>
          <w:lang w:val="sr-Latn-RS"/>
        </w:rPr>
        <w:t xml:space="preserve">11) dodavanja, kojim se </w:t>
      </w:r>
      <w:r w:rsidRPr="00132873">
        <w:rPr>
          <w:lang w:val="sr-Latn-ME"/>
        </w:rPr>
        <w:t>iznos kofinansiranja za primaoce podrške u programima podrške investicionim i komercijalnim aktivnostima utvrđuje i diferencira u skladu sa nivoom razvijenosti lokalne samouprave ili teritorije koja se posebno podržava</w:t>
      </w:r>
    </w:p>
    <w:p w14:paraId="5E4243A3" w14:textId="3F955B73" w:rsidR="00132873" w:rsidRPr="00132873" w:rsidRDefault="00132873" w:rsidP="00132873">
      <w:pPr>
        <w:pStyle w:val="T30X"/>
        <w:ind w:left="567" w:hanging="283"/>
        <w:rPr>
          <w:lang w:val="sr-Latn-RS"/>
        </w:rPr>
      </w:pPr>
      <w:r>
        <w:rPr>
          <w:lang w:val="sr-Latn-RS"/>
        </w:rPr>
        <w:t xml:space="preserve">   </w:t>
      </w:r>
      <w:r w:rsidRPr="00132873">
        <w:rPr>
          <w:lang w:val="sr-Latn-RS"/>
        </w:rPr>
        <w:t>12) teritorijalnog razvojnog dijaloga, kao načina razrješavanja razvojnih problema i usklađivanja razvojnih odluka koje se donose na različitim teritorijalnim nivoima</w:t>
      </w:r>
    </w:p>
    <w:p w14:paraId="253A0304" w14:textId="34004008" w:rsidR="00B5364D" w:rsidRPr="003F6501" w:rsidRDefault="00B5364D" w:rsidP="00E846A2">
      <w:pPr>
        <w:pStyle w:val="T30X"/>
        <w:ind w:firstLine="0"/>
        <w:rPr>
          <w:lang w:val="sr-Latn-RS"/>
        </w:rPr>
      </w:pPr>
    </w:p>
    <w:p w14:paraId="2D945DAA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II. REGIONI</w:t>
      </w:r>
    </w:p>
    <w:p w14:paraId="2FDA10C2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Određivanje regiona</w:t>
      </w:r>
    </w:p>
    <w:p w14:paraId="5BC1BFB0" w14:textId="77777777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4</w:t>
      </w:r>
    </w:p>
    <w:p w14:paraId="32E39B47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Radi planiranja razvojnih prioriteta i sprovođenja i praćenja politike regionalnog razvoja, više jedinica lokalne samouprave, geografski povezanih, čine region.</w:t>
      </w:r>
    </w:p>
    <w:p w14:paraId="60C8D28D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Regioni iz stava 1 ovog člana su:</w:t>
      </w:r>
    </w:p>
    <w:p w14:paraId="13424A4F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1) Primorski region;</w:t>
      </w:r>
    </w:p>
    <w:p w14:paraId="71297F6E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2) Središnji region;</w:t>
      </w:r>
    </w:p>
    <w:p w14:paraId="600A8AC8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3) Sjeverni region.</w:t>
      </w:r>
    </w:p>
    <w:p w14:paraId="0F7B032F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Primorski region čine opštine: Bar, Budva, Herceg-Novi, Kotor, Tivat i Ulcinj.</w:t>
      </w:r>
    </w:p>
    <w:p w14:paraId="7D35E475" w14:textId="708E673E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Središnji region čine: Glavni grad Podgorica, Prijestonica Cetinje i opštine Danilovgrad, Tuzi</w:t>
      </w:r>
      <w:r w:rsidR="00A52A82">
        <w:rPr>
          <w:lang w:val="sr-Latn-RS"/>
        </w:rPr>
        <w:t>, Zeta</w:t>
      </w:r>
      <w:r w:rsidRPr="003F6501">
        <w:rPr>
          <w:lang w:val="sr-Latn-RS"/>
        </w:rPr>
        <w:t xml:space="preserve"> i Nikšić.</w:t>
      </w:r>
    </w:p>
    <w:p w14:paraId="178A5A29" w14:textId="77777777" w:rsidR="00230C5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Sjeverni region čine opštine: Andrijevica, Berane, Bijelo Polje, Gusinje, Kolašin, Mojkovac, Petnjica, Plav, Plužine, Pljevlja, Rožaje, Šavnik i Žabljak.</w:t>
      </w:r>
    </w:p>
    <w:p w14:paraId="76430CEA" w14:textId="77777777" w:rsidR="00437361" w:rsidRPr="003F6501" w:rsidRDefault="00437361">
      <w:pPr>
        <w:pStyle w:val="T30X"/>
        <w:rPr>
          <w:lang w:val="sr-Latn-RS"/>
        </w:rPr>
      </w:pPr>
    </w:p>
    <w:p w14:paraId="31B1A1E6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III. PLANIRANJE REGIONALNOG RAZVOJA</w:t>
      </w:r>
    </w:p>
    <w:p w14:paraId="069CC794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Dokumenti regionalnog razvoja</w:t>
      </w:r>
    </w:p>
    <w:p w14:paraId="47A13622" w14:textId="77777777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5</w:t>
      </w:r>
    </w:p>
    <w:p w14:paraId="0EA68721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Regionalni razvoj planira se Strategijom regionalnog razvoja Crne Gore (u daljem tekstu: Strategija) i strateškim planovima razvoja jedinica lokalne samouprave (u daljem tekstu: strateški plan).</w:t>
      </w:r>
    </w:p>
    <w:p w14:paraId="259AA91F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Strategija</w:t>
      </w:r>
    </w:p>
    <w:p w14:paraId="3956E394" w14:textId="77777777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6</w:t>
      </w:r>
    </w:p>
    <w:p w14:paraId="55656C05" w14:textId="0271C076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Strategijom se utvrđuju</w:t>
      </w:r>
      <w:r w:rsidR="003A0064">
        <w:rPr>
          <w:lang w:val="sr-Latn-RS"/>
        </w:rPr>
        <w:t xml:space="preserve"> vizija,</w:t>
      </w:r>
      <w:r w:rsidRPr="003F6501">
        <w:rPr>
          <w:lang w:val="sr-Latn-RS"/>
        </w:rPr>
        <w:t xml:space="preserve"> ciljevi, </w:t>
      </w:r>
      <w:r w:rsidR="003A0064">
        <w:rPr>
          <w:lang w:val="sr-Latn-RS"/>
        </w:rPr>
        <w:t xml:space="preserve">i </w:t>
      </w:r>
      <w:r w:rsidRPr="003F6501">
        <w:rPr>
          <w:lang w:val="sr-Latn-RS"/>
        </w:rPr>
        <w:t>aktivnosti radi smanjivanja regionalnih nejednakosti i povećanja nivoa konkurentnosti jedinica lokalne samouprave i regiona, kao i način obezbjeđivanja sredstava za ostvarivanje utvrđenih ciljeva i druga pitanja od značaja za razvoj.</w:t>
      </w:r>
    </w:p>
    <w:p w14:paraId="2EEDF20E" w14:textId="08A54388" w:rsidR="00230C5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Strategiju donosi Vlada Crne Gore (u daljem tekstu: Vlada).</w:t>
      </w:r>
    </w:p>
    <w:p w14:paraId="451F6A64" w14:textId="5B1C5A1D" w:rsidR="00E846A2" w:rsidRDefault="00E846A2" w:rsidP="00E846A2">
      <w:pPr>
        <w:pStyle w:val="T30X"/>
        <w:rPr>
          <w:lang w:val="sr-Latn-RS"/>
        </w:rPr>
      </w:pPr>
      <w:r>
        <w:rPr>
          <w:lang w:val="sr-Latn-RS"/>
        </w:rPr>
        <w:t>Strategiju prate godišnji akcioni planovi sa ključnim razvojnim projektima i procjenom troškova mjera za podsticanje regionalnog razvoja.</w:t>
      </w:r>
    </w:p>
    <w:p w14:paraId="69B9E186" w14:textId="7B900466" w:rsidR="00201828" w:rsidRDefault="00201828" w:rsidP="00201828">
      <w:pPr>
        <w:pStyle w:val="T30X"/>
        <w:rPr>
          <w:lang w:val="sr-Latn-RS"/>
        </w:rPr>
      </w:pPr>
      <w:r w:rsidRPr="003F6501">
        <w:rPr>
          <w:lang w:val="sr-Latn-RS"/>
        </w:rPr>
        <w:t xml:space="preserve">Razvojni projekti, u smislu ovog zakona, su projekti izgradnje i/ili rekonstrukcije saobraćajne, komunalne, obrazovne, zdravstvene, socijalne i energetske infrastrukture i infrastrukture u funkciji zaštite životne sredine, očuvanja i održivog korišćenja kulturnih dobara i unaprjeđenja kapaciteta naučnih, obrazovnih, zdravstvenih, kulturnih i drugih institucija, kao i drugi projekti koji su u </w:t>
      </w:r>
      <w:r w:rsidRPr="003F6501">
        <w:rPr>
          <w:lang w:val="sr-Latn-RS"/>
        </w:rPr>
        <w:lastRenderedPageBreak/>
        <w:t xml:space="preserve">funkciji </w:t>
      </w:r>
      <w:r>
        <w:rPr>
          <w:lang w:val="sr-Latn-RS"/>
        </w:rPr>
        <w:t xml:space="preserve">regionalnog razvoja, jačanja regionalne konkurentnosti i </w:t>
      </w:r>
      <w:r w:rsidRPr="003F6501">
        <w:rPr>
          <w:lang w:val="sr-Latn-RS"/>
        </w:rPr>
        <w:t xml:space="preserve">unaprjeđenja životnog standarda </w:t>
      </w:r>
      <w:r>
        <w:rPr>
          <w:lang w:val="sr-Latn-RS"/>
        </w:rPr>
        <w:t xml:space="preserve">građana. </w:t>
      </w:r>
    </w:p>
    <w:p w14:paraId="112FE358" w14:textId="7185C769" w:rsidR="006A71F4" w:rsidRPr="003F6501" w:rsidRDefault="00E846A2" w:rsidP="00E846A2">
      <w:pPr>
        <w:pStyle w:val="T30X"/>
        <w:rPr>
          <w:lang w:val="sr-Latn-RS"/>
        </w:rPr>
      </w:pPr>
      <w:r>
        <w:rPr>
          <w:lang w:val="sr-Latn-RS"/>
        </w:rPr>
        <w:t>Manji lokalni projekti rekonstrukcije koji čine dio mjera sadržanih u strateškim planovim razvoja jedinica lokalne samouprave ne planiraju se u godišnjem akcionom planu Strategije.</w:t>
      </w:r>
    </w:p>
    <w:p w14:paraId="796BCEAF" w14:textId="60F119B9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Prostorni plan Crne Gore, Strategija, strateški plan i drugi planovi i programi kojima se podstiče regionalni razvoj moraju biti međusobno usklađeni.</w:t>
      </w:r>
    </w:p>
    <w:p w14:paraId="05535D1B" w14:textId="478A018B" w:rsidR="00437361" w:rsidRDefault="00230C51" w:rsidP="00B816DF">
      <w:pPr>
        <w:pStyle w:val="T30X"/>
        <w:rPr>
          <w:lang w:val="sr-Latn-RS"/>
        </w:rPr>
      </w:pPr>
      <w:r w:rsidRPr="003F6501">
        <w:rPr>
          <w:lang w:val="sr-Latn-RS"/>
        </w:rPr>
        <w:t xml:space="preserve">Strategija se donosi za period </w:t>
      </w:r>
      <w:r w:rsidR="00D44B09" w:rsidRPr="00880A90">
        <w:rPr>
          <w:lang w:val="sr-Latn-RS"/>
        </w:rPr>
        <w:t xml:space="preserve">od </w:t>
      </w:r>
      <w:r w:rsidR="00D44B09" w:rsidRPr="00880A90">
        <w:rPr>
          <w:lang w:val="sr-Latn-ME"/>
        </w:rPr>
        <w:t>četiri</w:t>
      </w:r>
      <w:r w:rsidRPr="00880A90">
        <w:rPr>
          <w:lang w:val="sr-Latn-RS"/>
        </w:rPr>
        <w:t xml:space="preserve"> godin</w:t>
      </w:r>
      <w:r w:rsidR="00D44B09" w:rsidRPr="00880A90">
        <w:rPr>
          <w:lang w:val="sr-Latn-RS"/>
        </w:rPr>
        <w:t>e</w:t>
      </w:r>
      <w:r w:rsidRPr="00880A90">
        <w:rPr>
          <w:lang w:val="sr-Latn-RS"/>
        </w:rPr>
        <w:t>.</w:t>
      </w:r>
    </w:p>
    <w:p w14:paraId="23DC5CA9" w14:textId="57DB7EC8" w:rsidR="00B816DF" w:rsidRDefault="00B816DF" w:rsidP="00B816DF">
      <w:pPr>
        <w:pStyle w:val="T30X"/>
        <w:rPr>
          <w:lang w:val="sr-Latn-RS"/>
        </w:rPr>
      </w:pPr>
    </w:p>
    <w:p w14:paraId="6A277E18" w14:textId="77777777" w:rsidR="00437361" w:rsidRPr="003F6501" w:rsidRDefault="00437361">
      <w:pPr>
        <w:pStyle w:val="T30X"/>
        <w:rPr>
          <w:lang w:val="sr-Latn-RS"/>
        </w:rPr>
      </w:pPr>
    </w:p>
    <w:p w14:paraId="08072F3B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Strateški plan</w:t>
      </w:r>
    </w:p>
    <w:p w14:paraId="16AB9FEF" w14:textId="5035807B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 xml:space="preserve">Član </w:t>
      </w:r>
      <w:r w:rsidR="00CD6930">
        <w:rPr>
          <w:lang w:val="sr-Latn-RS"/>
        </w:rPr>
        <w:t>7</w:t>
      </w:r>
    </w:p>
    <w:p w14:paraId="512361D3" w14:textId="12ECF49C" w:rsidR="00230C5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Strateškim planom se utvrđuje postojeće stanje razvoja jedinice lokalne samouprave, opšti cilj razvoja, strateški ciljevi sa prioritetima za njihovo ostvarivanje, mjere i smjernice za ostvarivanje strateškog plana, orijentaciona sredstva za sprovođenje strateškog plana, način njihovog obezbjeđivanja i druga pitanja od značaja za razvoj.</w:t>
      </w:r>
    </w:p>
    <w:p w14:paraId="556CB8DD" w14:textId="4AD9DDEE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Jedinica lokalne samouprave dužna je da predlog strateškog plana dostavi na saglasnost organu državne uprave nadležnom za poslove regionalnog razvoja (u daljem tekstu: Ministarstvo).</w:t>
      </w:r>
    </w:p>
    <w:p w14:paraId="46FCCEA0" w14:textId="6C17DE5D" w:rsidR="00230C51" w:rsidRDefault="00230C51">
      <w:pPr>
        <w:pStyle w:val="T30X"/>
        <w:rPr>
          <w:lang w:val="sr-Latn-RS"/>
        </w:rPr>
      </w:pPr>
      <w:r w:rsidRPr="00F57259">
        <w:rPr>
          <w:lang w:val="sr-Latn-RS"/>
        </w:rPr>
        <w:t xml:space="preserve">Strateški plan, na predlog </w:t>
      </w:r>
      <w:r w:rsidR="007944E1" w:rsidRPr="00F57259">
        <w:rPr>
          <w:lang w:val="sr-Latn-RS"/>
        </w:rPr>
        <w:t>predsjednika opštine, odnosno gradonačelnika</w:t>
      </w:r>
      <w:r w:rsidRPr="00F57259">
        <w:rPr>
          <w:lang w:val="sr-Latn-RS"/>
        </w:rPr>
        <w:t>, donosi nadležni organ jedinice lokalne samouprave na period</w:t>
      </w:r>
      <w:r w:rsidR="00F21C80" w:rsidRPr="00F57259">
        <w:rPr>
          <w:lang w:val="sr-Latn-RS"/>
        </w:rPr>
        <w:t xml:space="preserve"> od četiri godine</w:t>
      </w:r>
      <w:r w:rsidRPr="00F57259">
        <w:rPr>
          <w:lang w:val="sr-Latn-RS"/>
        </w:rPr>
        <w:t>, nakon</w:t>
      </w:r>
      <w:r w:rsidRPr="001472CF">
        <w:rPr>
          <w:lang w:val="sr-Latn-RS"/>
        </w:rPr>
        <w:t xml:space="preserve"> dobijanja saglasnosti o usklađenosti sa Strategijom.</w:t>
      </w:r>
    </w:p>
    <w:p w14:paraId="2C3B6307" w14:textId="769DFD9B" w:rsidR="0012504C" w:rsidRDefault="0012504C">
      <w:pPr>
        <w:pStyle w:val="T30X"/>
        <w:rPr>
          <w:lang w:val="sr-Latn-RS"/>
        </w:rPr>
      </w:pPr>
      <w:r>
        <w:rPr>
          <w:lang w:val="sr-Latn-RS"/>
        </w:rPr>
        <w:t xml:space="preserve">Predsjednik opštine, odnosno gradonačelnik, podnosi nadleznom organu jedinice lokalne samouprave, radi donošenja, predloge godišnjih akcionih planova Strateškog plana razvoja i izvještaje o njihovoj realizaciji za prethodnu godinu, do </w:t>
      </w:r>
      <w:r w:rsidR="005C60AC">
        <w:rPr>
          <w:lang w:val="sr-Latn-RS"/>
        </w:rPr>
        <w:t>1</w:t>
      </w:r>
      <w:r>
        <w:rPr>
          <w:lang w:val="sr-Latn-RS"/>
        </w:rPr>
        <w:t>.marta tekuće godine.</w:t>
      </w:r>
    </w:p>
    <w:p w14:paraId="6B8FAFE2" w14:textId="20CD0428" w:rsidR="00230C51" w:rsidRPr="001472CF" w:rsidRDefault="00230C51">
      <w:pPr>
        <w:pStyle w:val="T30X"/>
        <w:rPr>
          <w:lang w:val="sr-Latn-RS"/>
        </w:rPr>
      </w:pPr>
      <w:r w:rsidRPr="001472CF">
        <w:rPr>
          <w:lang w:val="sr-Latn-RS"/>
        </w:rPr>
        <w:t>U postupku davanja saglasnosti iz stava 2 ovog člana, Ministarstvo provjerava usklađenost predloga strateškog plana sa Strategijom</w:t>
      </w:r>
      <w:r w:rsidR="00511C53" w:rsidRPr="001472CF">
        <w:rPr>
          <w:lang w:val="sr-Latn-RS"/>
        </w:rPr>
        <w:t xml:space="preserve"> </w:t>
      </w:r>
      <w:bookmarkStart w:id="1" w:name="_Hlk167365841"/>
      <w:r w:rsidR="00511C53" w:rsidRPr="001472CF">
        <w:rPr>
          <w:lang w:val="sr-Latn-RS"/>
        </w:rPr>
        <w:t>i Metodologijom izrade Strateškog plana razvoja</w:t>
      </w:r>
      <w:bookmarkEnd w:id="1"/>
    </w:p>
    <w:p w14:paraId="025B5031" w14:textId="77777777" w:rsidR="00230C51" w:rsidRPr="001472CF" w:rsidRDefault="00230C51">
      <w:pPr>
        <w:pStyle w:val="T30X"/>
        <w:rPr>
          <w:lang w:val="sr-Latn-RS"/>
        </w:rPr>
      </w:pPr>
      <w:r w:rsidRPr="001472CF">
        <w:rPr>
          <w:lang w:val="sr-Latn-RS"/>
        </w:rPr>
        <w:t>Ministarstvo je dužno da ocijeni usklađenost predloga strateškog plana sa Strategijom u roku od trideset dana od dana prijema predloga strateškog plana.</w:t>
      </w:r>
    </w:p>
    <w:p w14:paraId="04200840" w14:textId="4A47577B" w:rsidR="00230C51" w:rsidRPr="001472CF" w:rsidRDefault="00230C51">
      <w:pPr>
        <w:pStyle w:val="T30X"/>
        <w:rPr>
          <w:lang w:val="sr-Latn-RS"/>
        </w:rPr>
      </w:pPr>
      <w:r w:rsidRPr="001472CF">
        <w:rPr>
          <w:lang w:val="sr-Latn-RS"/>
        </w:rPr>
        <w:t>Predlog strateškog plana koji nije usklađen sa Strategijom vraća se na doradu.</w:t>
      </w:r>
    </w:p>
    <w:p w14:paraId="50B56D09" w14:textId="77777777" w:rsidR="00B816DF" w:rsidRDefault="00230C51" w:rsidP="00B816DF">
      <w:pPr>
        <w:pStyle w:val="T30X"/>
        <w:rPr>
          <w:lang w:val="sr-Latn-RS"/>
        </w:rPr>
      </w:pPr>
      <w:r w:rsidRPr="001472CF">
        <w:rPr>
          <w:lang w:val="sr-Latn-RS"/>
        </w:rPr>
        <w:t>Donošenjem strateškog plana, jedinica lokalne</w:t>
      </w:r>
      <w:r w:rsidRPr="003F6501">
        <w:rPr>
          <w:lang w:val="sr-Latn-RS"/>
        </w:rPr>
        <w:t xml:space="preserve"> samouprave nije obavezna donositi višegodišnji investicioni plan.</w:t>
      </w:r>
      <w:r w:rsidR="00B816DF" w:rsidRPr="00B816DF">
        <w:rPr>
          <w:lang w:val="sr-Latn-RS"/>
        </w:rPr>
        <w:t xml:space="preserve"> </w:t>
      </w:r>
    </w:p>
    <w:p w14:paraId="6815EED1" w14:textId="559F05FC" w:rsidR="00B816DF" w:rsidRDefault="00B816DF" w:rsidP="00B816DF">
      <w:pPr>
        <w:pStyle w:val="T30X"/>
        <w:rPr>
          <w:lang w:val="sr-Latn-RS"/>
        </w:rPr>
      </w:pPr>
      <w:r w:rsidRPr="001472CF">
        <w:rPr>
          <w:lang w:val="sr-Latn-RS"/>
        </w:rPr>
        <w:t>Jedinica lokalne samouprave dužna je da donese strateški plan u roku od 30 dana od dana dobijanja saglasnosti iz stava 2 ovog člana.</w:t>
      </w:r>
    </w:p>
    <w:p w14:paraId="5BE92551" w14:textId="2F73A1A6" w:rsidR="00230C51" w:rsidRPr="003F6501" w:rsidRDefault="00B816DF" w:rsidP="00B816DF">
      <w:pPr>
        <w:pStyle w:val="T30X"/>
        <w:rPr>
          <w:lang w:val="sr-Latn-RS"/>
        </w:rPr>
      </w:pPr>
      <w:r>
        <w:rPr>
          <w:lang w:val="sr-Latn-RS"/>
        </w:rPr>
        <w:t xml:space="preserve">Jedinica lokalne samouprave dužna je da donese novi Strateški plan najkasnije u roku od </w:t>
      </w:r>
      <w:r w:rsidR="00F24C4C">
        <w:rPr>
          <w:lang w:val="sr-Latn-RS"/>
        </w:rPr>
        <w:t>9</w:t>
      </w:r>
      <w:r>
        <w:rPr>
          <w:lang w:val="sr-Latn-RS"/>
        </w:rPr>
        <w:t>0 dana od dana isteka važenja prethodnog Strateškog plana.</w:t>
      </w:r>
    </w:p>
    <w:p w14:paraId="1A496963" w14:textId="00140089" w:rsidR="00230C5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Metodologija izrade strateškog plana utvrđuje se propisom Ministarstva.</w:t>
      </w:r>
    </w:p>
    <w:p w14:paraId="1A6527C5" w14:textId="35B36A2E" w:rsidR="007F3043" w:rsidRDefault="007F3043">
      <w:pPr>
        <w:pStyle w:val="T30X"/>
        <w:rPr>
          <w:lang w:val="sr-Latn-RS"/>
        </w:rPr>
      </w:pPr>
    </w:p>
    <w:p w14:paraId="3EFD49BB" w14:textId="77777777" w:rsidR="007F3043" w:rsidRDefault="007F3043">
      <w:pPr>
        <w:pStyle w:val="T30X"/>
        <w:rPr>
          <w:lang w:val="sr-Latn-RS"/>
        </w:rPr>
      </w:pPr>
    </w:p>
    <w:p w14:paraId="0D5CC4C6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Priprema i sprovođenje politike regionalnog razvoja</w:t>
      </w:r>
    </w:p>
    <w:p w14:paraId="3AF5902F" w14:textId="74252ED8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 xml:space="preserve">Član </w:t>
      </w:r>
      <w:r w:rsidR="00CD6930">
        <w:rPr>
          <w:lang w:val="sr-Latn-RS"/>
        </w:rPr>
        <w:t>8</w:t>
      </w:r>
    </w:p>
    <w:p w14:paraId="6E00A594" w14:textId="37C9352C" w:rsidR="00C557D5" w:rsidRPr="003F6501" w:rsidRDefault="00230C51" w:rsidP="00860FF9">
      <w:pPr>
        <w:pStyle w:val="T30X"/>
        <w:rPr>
          <w:lang w:val="sr-Latn-RS"/>
        </w:rPr>
      </w:pPr>
      <w:bookmarkStart w:id="2" w:name="_Hlk73344650"/>
      <w:r w:rsidRPr="003F6501">
        <w:rPr>
          <w:lang w:val="sr-Latn-RS"/>
        </w:rPr>
        <w:t xml:space="preserve">U pripremi i sprovođenju politike regionalnog razvoja dužni su da učestvuju organi državne uprave nadležni za poslove: </w:t>
      </w:r>
      <w:r w:rsidR="00860FF9" w:rsidRPr="00F57259">
        <w:rPr>
          <w:lang w:val="sr-Latn-RS"/>
        </w:rPr>
        <w:t>ekonomskog razvoja</w:t>
      </w:r>
      <w:r w:rsidR="00F21C80" w:rsidRPr="00F57259">
        <w:rPr>
          <w:lang w:val="sr-Latn-RS"/>
        </w:rPr>
        <w:t>,</w:t>
      </w:r>
      <w:r w:rsidR="00860FF9" w:rsidRPr="00F57259">
        <w:rPr>
          <w:lang w:val="sr-Latn-RS"/>
        </w:rPr>
        <w:t xml:space="preserve"> energetike</w:t>
      </w:r>
      <w:r w:rsidR="00F21C80" w:rsidRPr="00F57259">
        <w:rPr>
          <w:lang w:val="sr-Latn-RS"/>
        </w:rPr>
        <w:t>,</w:t>
      </w:r>
      <w:r w:rsidR="00860FF9" w:rsidRPr="00F57259">
        <w:rPr>
          <w:lang w:val="sr-Latn-RS"/>
        </w:rPr>
        <w:t>rudarstv</w:t>
      </w:r>
      <w:r w:rsidR="00F21C80" w:rsidRPr="00F57259">
        <w:rPr>
          <w:lang w:val="sr-Latn-RS"/>
        </w:rPr>
        <w:t>a,</w:t>
      </w:r>
      <w:r w:rsidR="00860FF9" w:rsidRPr="00F57259">
        <w:rPr>
          <w:lang w:val="sr-Latn-RS"/>
        </w:rPr>
        <w:t xml:space="preserve"> finansija</w:t>
      </w:r>
      <w:r w:rsidR="00F21C80" w:rsidRPr="00F57259">
        <w:rPr>
          <w:lang w:val="sr-Latn-RS"/>
        </w:rPr>
        <w:t>,</w:t>
      </w:r>
      <w:r w:rsidR="00860FF9" w:rsidRPr="00F57259">
        <w:rPr>
          <w:lang w:val="sr-Latn-RS"/>
        </w:rPr>
        <w:t xml:space="preserve"> javne uprave</w:t>
      </w:r>
      <w:r w:rsidR="00F21C80" w:rsidRPr="00F57259">
        <w:rPr>
          <w:lang w:val="sr-Latn-RS"/>
        </w:rPr>
        <w:t>,</w:t>
      </w:r>
      <w:r w:rsidR="00860FF9" w:rsidRPr="00F57259">
        <w:rPr>
          <w:lang w:val="sr-Latn-RS"/>
        </w:rPr>
        <w:t xml:space="preserve"> kulture i medija; poljoprivrede, šumarstva i vodoprivrede; prostornog planiranja, urbanizma</w:t>
      </w:r>
      <w:r w:rsidR="00F21C80" w:rsidRPr="00F57259">
        <w:rPr>
          <w:lang w:val="sr-Latn-RS"/>
        </w:rPr>
        <w:t xml:space="preserve">, </w:t>
      </w:r>
      <w:r w:rsidR="00860FF9" w:rsidRPr="00F57259">
        <w:rPr>
          <w:lang w:val="sr-Latn-RS"/>
        </w:rPr>
        <w:t>državne imovine; prosvjete, nauke</w:t>
      </w:r>
      <w:r w:rsidR="00F21C80" w:rsidRPr="00F57259">
        <w:rPr>
          <w:lang w:val="sr-Latn-RS"/>
        </w:rPr>
        <w:t xml:space="preserve">, </w:t>
      </w:r>
      <w:r w:rsidR="00860FF9" w:rsidRPr="00F57259">
        <w:rPr>
          <w:lang w:val="sr-Latn-RS"/>
        </w:rPr>
        <w:t>inovacija; rada</w:t>
      </w:r>
      <w:r w:rsidR="00F21C80" w:rsidRPr="00F57259">
        <w:rPr>
          <w:lang w:val="sr-Latn-RS"/>
        </w:rPr>
        <w:t>,</w:t>
      </w:r>
      <w:r w:rsidR="00860FF9" w:rsidRPr="00F57259">
        <w:rPr>
          <w:lang w:val="sr-Latn-RS"/>
        </w:rPr>
        <w:t xml:space="preserve">socijalnog staranja; saobraćaja i pomorstva; sporta i mladih; turizma, ekologije, održivog razvoja i razvoja sjevera; zdravlja; </w:t>
      </w:r>
      <w:r w:rsidR="00CD6930" w:rsidRPr="00F57259">
        <w:rPr>
          <w:lang w:val="sr-Latn-RS"/>
        </w:rPr>
        <w:t>Razvojna banka</w:t>
      </w:r>
      <w:r w:rsidR="00CD6930">
        <w:rPr>
          <w:lang w:val="sr-Latn-RS"/>
        </w:rPr>
        <w:t xml:space="preserve"> </w:t>
      </w:r>
      <w:r w:rsidR="00C557D5" w:rsidRPr="003F6501">
        <w:rPr>
          <w:lang w:val="sr-Latn-RS"/>
        </w:rPr>
        <w:t xml:space="preserve">Crne Gore; Zavod za zapošljavanje Crne Gore; Agencija </w:t>
      </w:r>
      <w:r w:rsidR="00C557D5">
        <w:rPr>
          <w:lang w:val="sr-Latn-RS"/>
        </w:rPr>
        <w:t xml:space="preserve">za investicije </w:t>
      </w:r>
      <w:r w:rsidR="00C557D5" w:rsidRPr="003F6501">
        <w:rPr>
          <w:lang w:val="sr-Latn-RS"/>
        </w:rPr>
        <w:t>Crne Gore; jedinice lokalne samouprave, drugi organi, organizacije i privredna društva u većinskom državnom vlasništvu koja obavljaju poslove kojima se podstiče regionalni razvoj (u daljem tekstu: organi i organizacije).</w:t>
      </w:r>
    </w:p>
    <w:bookmarkEnd w:id="2"/>
    <w:p w14:paraId="5522118D" w14:textId="7533FC12" w:rsidR="00230C5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lastRenderedPageBreak/>
        <w:t>Organi i organizacije iz stava 1 ovog člana dužni su da planove i programe kojima se podstiče regionalni razvoj usaglase sa Strategijom.</w:t>
      </w:r>
    </w:p>
    <w:p w14:paraId="7E3C3B8A" w14:textId="77777777" w:rsidR="008E0FC0" w:rsidRDefault="008E0FC0" w:rsidP="008E0FC0">
      <w:pPr>
        <w:pStyle w:val="T30X"/>
        <w:rPr>
          <w:lang w:val="sr-Latn-RS"/>
        </w:rPr>
      </w:pPr>
      <w:r w:rsidRPr="003F6501">
        <w:rPr>
          <w:lang w:val="sr-Latn-RS"/>
        </w:rPr>
        <w:t>Organi i organizacije iz stav</w:t>
      </w:r>
      <w:r>
        <w:rPr>
          <w:lang w:val="sr-Latn-RS"/>
        </w:rPr>
        <w:t>a</w:t>
      </w:r>
      <w:r w:rsidRPr="003F6501">
        <w:rPr>
          <w:lang w:val="sr-Latn-RS"/>
        </w:rPr>
        <w:t xml:space="preserve"> 1 ovog </w:t>
      </w:r>
      <w:r>
        <w:rPr>
          <w:lang w:val="sr-Latn-RS"/>
        </w:rPr>
        <w:t>člana</w:t>
      </w:r>
      <w:r w:rsidRPr="003F6501">
        <w:rPr>
          <w:lang w:val="sr-Latn-RS"/>
        </w:rPr>
        <w:t xml:space="preserve"> dužni su da programima i planovima koji se donose u skladu sa zakonom i Strategijom opredjeljuju razvojne projekte, obim i vrstu mjera i sredstva za njihovo sprovođenje, primjereno stepenu razvijenosti jedinica lokalne samouprave, na način kojim se obezbjeđuje ravnomjerniji regionalni razvoj.</w:t>
      </w:r>
    </w:p>
    <w:p w14:paraId="665A458F" w14:textId="77777777" w:rsidR="008E0FC0" w:rsidRDefault="008E0FC0">
      <w:pPr>
        <w:pStyle w:val="T30X"/>
        <w:rPr>
          <w:lang w:val="sr-Latn-RS"/>
        </w:rPr>
      </w:pPr>
    </w:p>
    <w:p w14:paraId="7B8A1DC2" w14:textId="38E19188" w:rsidR="006C1688" w:rsidRPr="003F6501" w:rsidRDefault="00230C51" w:rsidP="006C1688">
      <w:pPr>
        <w:pStyle w:val="N01X"/>
        <w:rPr>
          <w:lang w:val="sr-Latn-RS"/>
        </w:rPr>
      </w:pPr>
      <w:r w:rsidRPr="003F6501">
        <w:rPr>
          <w:lang w:val="sr-Latn-RS"/>
        </w:rPr>
        <w:t xml:space="preserve">Poslovi </w:t>
      </w:r>
      <w:r w:rsidR="006C1688">
        <w:rPr>
          <w:lang w:val="sr-Latn-RS"/>
        </w:rPr>
        <w:t>m</w:t>
      </w:r>
      <w:r w:rsidRPr="003F6501">
        <w:rPr>
          <w:lang w:val="sr-Latn-RS"/>
        </w:rPr>
        <w:t xml:space="preserve">inistarstva </w:t>
      </w:r>
      <w:r w:rsidR="006C1688">
        <w:rPr>
          <w:lang w:val="sr-Latn-RS"/>
        </w:rPr>
        <w:t xml:space="preserve">nadležnog za politiku </w:t>
      </w:r>
      <w:r w:rsidRPr="003F6501">
        <w:rPr>
          <w:lang w:val="sr-Latn-RS"/>
        </w:rPr>
        <w:t>regionalnog razvoja</w:t>
      </w:r>
    </w:p>
    <w:p w14:paraId="32FDB10F" w14:textId="4098DC1B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 xml:space="preserve">Član </w:t>
      </w:r>
      <w:r w:rsidR="00CD6930">
        <w:rPr>
          <w:lang w:val="sr-Latn-RS"/>
        </w:rPr>
        <w:t>9</w:t>
      </w:r>
    </w:p>
    <w:p w14:paraId="497E502F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Ministarstvo u oblasti regionalnog razvoja vrši sljedeće poslove:</w:t>
      </w:r>
    </w:p>
    <w:p w14:paraId="0DD6FCB6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1) priprema Strategiju i prati njeno sprovođenje;</w:t>
      </w:r>
    </w:p>
    <w:p w14:paraId="0BA9793C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2) koordinira aktivnosti u sprovođenju politike regionalnog razvoja;</w:t>
      </w:r>
    </w:p>
    <w:p w14:paraId="7F9C9F3A" w14:textId="4340DF82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3) daje saglasnost na strateške planove </w:t>
      </w:r>
    </w:p>
    <w:p w14:paraId="06C78011" w14:textId="77777777" w:rsidR="00B369C0" w:rsidRDefault="00230C51" w:rsidP="00B369C0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4) </w:t>
      </w:r>
      <w:r w:rsidRPr="00216D74">
        <w:rPr>
          <w:lang w:val="sr-Latn-RS"/>
        </w:rPr>
        <w:t>vodi elektronsku bazu podataka o razvojnim projektima</w:t>
      </w:r>
      <w:r w:rsidR="00216D74">
        <w:rPr>
          <w:lang w:val="sr-Latn-RS"/>
        </w:rPr>
        <w:t xml:space="preserve"> i mjera</w:t>
      </w:r>
      <w:r w:rsidR="0012504C">
        <w:rPr>
          <w:lang w:val="sr-Latn-RS"/>
        </w:rPr>
        <w:t>ma</w:t>
      </w:r>
      <w:r w:rsidR="00216D74">
        <w:rPr>
          <w:lang w:val="sr-Latn-RS"/>
        </w:rPr>
        <w:t xml:space="preserve"> podrške region</w:t>
      </w:r>
      <w:r w:rsidR="0012504C">
        <w:rPr>
          <w:lang w:val="sr-Latn-RS"/>
        </w:rPr>
        <w:t>a</w:t>
      </w:r>
      <w:r w:rsidR="00216D74">
        <w:rPr>
          <w:lang w:val="sr-Latn-RS"/>
        </w:rPr>
        <w:t>lnom razvoju</w:t>
      </w:r>
    </w:p>
    <w:p w14:paraId="1CF3E61D" w14:textId="34EFB616" w:rsidR="00230C51" w:rsidRDefault="00B369C0" w:rsidP="00B369C0">
      <w:pPr>
        <w:pStyle w:val="T30X"/>
        <w:ind w:left="567" w:hanging="283"/>
        <w:rPr>
          <w:lang w:val="sr-Latn-RS"/>
        </w:rPr>
      </w:pPr>
      <w:r>
        <w:rPr>
          <w:lang w:val="sr-Latn-RS"/>
        </w:rPr>
        <w:t xml:space="preserve">   </w:t>
      </w:r>
      <w:r w:rsidR="00230C51" w:rsidRPr="003F6501">
        <w:rPr>
          <w:lang w:val="sr-Latn-RS"/>
        </w:rPr>
        <w:t>5) izrađuje mapu resursa koja obuhvata prirodne i kulturne karakteristike, geografski položaj, ljudske i druge resurse sa procjenom optimalnih pravaca specijalizacije regiona;</w:t>
      </w:r>
    </w:p>
    <w:p w14:paraId="4EA76622" w14:textId="76C53E95" w:rsidR="003C72E3" w:rsidRDefault="00E53DC2" w:rsidP="003C72E3">
      <w:pPr>
        <w:pStyle w:val="T30X"/>
        <w:ind w:left="567" w:hanging="283"/>
        <w:rPr>
          <w:lang w:val="sr-Latn-RS"/>
        </w:rPr>
      </w:pPr>
      <w:r>
        <w:rPr>
          <w:lang w:val="sr-Latn-RS"/>
        </w:rPr>
        <w:t xml:space="preserve">   6) daje mišljenja na zakonska i strateska dokumenta koji se odnose na regionalni razvoj i investicije; </w:t>
      </w:r>
    </w:p>
    <w:p w14:paraId="3358D471" w14:textId="10480BBC" w:rsidR="00117ACE" w:rsidRDefault="003C72E3" w:rsidP="003C72E3">
      <w:pPr>
        <w:pStyle w:val="T30X"/>
        <w:ind w:left="567" w:hanging="283"/>
        <w:rPr>
          <w:lang w:val="sr-Latn-RS"/>
        </w:rPr>
      </w:pPr>
      <w:r>
        <w:rPr>
          <w:lang w:val="sr-Latn-RS"/>
        </w:rPr>
        <w:t xml:space="preserve">   7) </w:t>
      </w:r>
      <w:r w:rsidR="00230C51" w:rsidRPr="003F6501">
        <w:rPr>
          <w:lang w:val="sr-Latn-RS"/>
        </w:rPr>
        <w:t>druge poslove u skladu sa zakonom.</w:t>
      </w:r>
    </w:p>
    <w:p w14:paraId="36F6EBE3" w14:textId="77777777" w:rsidR="003C72E3" w:rsidRDefault="003C72E3" w:rsidP="003C72E3">
      <w:pPr>
        <w:pStyle w:val="T30X"/>
        <w:ind w:left="567" w:hanging="283"/>
        <w:rPr>
          <w:lang w:val="sr-Latn-RS"/>
        </w:rPr>
      </w:pPr>
    </w:p>
    <w:p w14:paraId="00F5AAEB" w14:textId="6DC4AF93" w:rsidR="00117ACE" w:rsidRPr="00CD6930" w:rsidRDefault="00117ACE" w:rsidP="00117ACE">
      <w:pPr>
        <w:jc w:val="center"/>
        <w:rPr>
          <w:b/>
          <w:sz w:val="22"/>
          <w:szCs w:val="22"/>
          <w:lang w:val="pl-PL"/>
        </w:rPr>
      </w:pPr>
      <w:r w:rsidRPr="00CD6930">
        <w:rPr>
          <w:b/>
          <w:sz w:val="22"/>
          <w:szCs w:val="22"/>
          <w:lang w:val="pl-PL"/>
        </w:rPr>
        <w:t>Mišljenje na zakonska i strateška dokumenta</w:t>
      </w:r>
    </w:p>
    <w:p w14:paraId="2D90821B" w14:textId="77777777" w:rsidR="00117ACE" w:rsidRPr="00CD6930" w:rsidRDefault="00117ACE" w:rsidP="00117ACE">
      <w:pPr>
        <w:jc w:val="center"/>
        <w:rPr>
          <w:b/>
          <w:sz w:val="22"/>
          <w:szCs w:val="22"/>
          <w:lang w:val="pl-PL"/>
        </w:rPr>
      </w:pPr>
    </w:p>
    <w:p w14:paraId="6BAAAB6C" w14:textId="7D02C6DB" w:rsidR="00117ACE" w:rsidRPr="00CD6930" w:rsidRDefault="00117ACE" w:rsidP="00117ACE">
      <w:pPr>
        <w:jc w:val="center"/>
        <w:rPr>
          <w:b/>
          <w:sz w:val="22"/>
          <w:szCs w:val="22"/>
          <w:lang w:val="pl-PL"/>
        </w:rPr>
      </w:pPr>
      <w:r w:rsidRPr="00CD6930">
        <w:rPr>
          <w:b/>
          <w:sz w:val="22"/>
          <w:szCs w:val="22"/>
          <w:lang w:val="pl-PL"/>
        </w:rPr>
        <w:t xml:space="preserve">Član </w:t>
      </w:r>
      <w:r w:rsidR="00CD6930" w:rsidRPr="00CD6930">
        <w:rPr>
          <w:b/>
          <w:sz w:val="22"/>
          <w:szCs w:val="22"/>
          <w:lang w:val="pl-PL"/>
        </w:rPr>
        <w:t>10</w:t>
      </w:r>
    </w:p>
    <w:p w14:paraId="2D14BDBD" w14:textId="77777777" w:rsidR="00117ACE" w:rsidRPr="00CD6930" w:rsidRDefault="00117ACE" w:rsidP="00117ACE">
      <w:pPr>
        <w:jc w:val="center"/>
        <w:rPr>
          <w:b/>
          <w:sz w:val="22"/>
          <w:szCs w:val="22"/>
          <w:lang w:val="pl-PL"/>
        </w:rPr>
      </w:pPr>
    </w:p>
    <w:p w14:paraId="0D7F34F7" w14:textId="77777777" w:rsidR="00117ACE" w:rsidRPr="00CD6930" w:rsidRDefault="00117ACE" w:rsidP="00117ACE">
      <w:pPr>
        <w:jc w:val="both"/>
        <w:rPr>
          <w:sz w:val="22"/>
          <w:szCs w:val="22"/>
          <w:lang w:val="pl-PL"/>
        </w:rPr>
      </w:pPr>
      <w:r w:rsidRPr="00CD6930">
        <w:rPr>
          <w:sz w:val="22"/>
          <w:szCs w:val="22"/>
          <w:lang w:val="pl-PL"/>
        </w:rPr>
        <w:t xml:space="preserve">     Uz predlog zakona i drugog propisa, kao i strateških i planskih dokumenata koji se odnose na regionalni razvoj i investicije, a prije dostavljanja Vladi, organ državne uprave dužan je da pribavi mišljenje Ministarstva. </w:t>
      </w:r>
    </w:p>
    <w:p w14:paraId="641FA7F1" w14:textId="77777777" w:rsidR="00117ACE" w:rsidRPr="00CD6930" w:rsidRDefault="00117ACE" w:rsidP="00117ACE">
      <w:pPr>
        <w:jc w:val="both"/>
        <w:rPr>
          <w:sz w:val="22"/>
          <w:szCs w:val="22"/>
          <w:lang w:val="pl-PL"/>
        </w:rPr>
      </w:pPr>
      <w:r w:rsidRPr="00CD6930">
        <w:rPr>
          <w:sz w:val="22"/>
          <w:szCs w:val="22"/>
          <w:lang w:val="pl-PL"/>
        </w:rPr>
        <w:t xml:space="preserve">     U postupku davanja mišljenja iz stava 1 ovog člana Ministarstvo naročito cijeni da li je predlog zakona i drugog propisa, kao i strateških i planskih dokumenata predložen u skladu sa državnom politikom regionalnog razvoja i podsticanja investicija. </w:t>
      </w:r>
    </w:p>
    <w:p w14:paraId="2D7ABBF1" w14:textId="77777777" w:rsidR="00117ACE" w:rsidRPr="00CD6930" w:rsidRDefault="00117ACE" w:rsidP="00117ACE">
      <w:pPr>
        <w:jc w:val="both"/>
        <w:rPr>
          <w:sz w:val="22"/>
          <w:szCs w:val="22"/>
          <w:lang w:val="pl-PL"/>
        </w:rPr>
      </w:pPr>
      <w:r w:rsidRPr="00CD6930">
        <w:rPr>
          <w:sz w:val="22"/>
          <w:szCs w:val="22"/>
          <w:lang w:val="pl-PL"/>
        </w:rPr>
        <w:t xml:space="preserve">      Ministarstvo je dužno da misljenje iz stava 1 ovog člana , da u roku od 15 dana od dana dostavljanja predloga iz stava 1 ovog člana. </w:t>
      </w:r>
    </w:p>
    <w:p w14:paraId="4A1C1BAD" w14:textId="39C42CF8" w:rsidR="00117ACE" w:rsidRPr="003C72E3" w:rsidRDefault="00117ACE" w:rsidP="003C72E3">
      <w:pPr>
        <w:jc w:val="both"/>
        <w:rPr>
          <w:sz w:val="22"/>
          <w:szCs w:val="22"/>
          <w:lang w:val="pl-PL"/>
        </w:rPr>
      </w:pPr>
      <w:r w:rsidRPr="00CD6930">
        <w:rPr>
          <w:sz w:val="22"/>
          <w:szCs w:val="22"/>
          <w:lang w:val="pl-PL"/>
        </w:rPr>
        <w:t xml:space="preserve">      Ministarstvo u postupku davanja mišljenja iz stava 1 ovog člana može da zatraži dodatne informacije od organa državne uprave i drugih nadležnih organa državne uprave. </w:t>
      </w:r>
    </w:p>
    <w:p w14:paraId="26E5E577" w14:textId="0597E3CD" w:rsidR="00117ACE" w:rsidRDefault="00117ACE" w:rsidP="00216D74">
      <w:pPr>
        <w:pStyle w:val="N01X"/>
        <w:jc w:val="left"/>
        <w:rPr>
          <w:lang w:val="sr-Latn-RS"/>
        </w:rPr>
      </w:pPr>
    </w:p>
    <w:p w14:paraId="62CF2329" w14:textId="2E8E5F2C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Godišnji izvještaji</w:t>
      </w:r>
    </w:p>
    <w:p w14:paraId="3F84BA9B" w14:textId="3B489FE9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11</w:t>
      </w:r>
    </w:p>
    <w:p w14:paraId="61F79690" w14:textId="1AE70891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Organi i organizacije iz člana 9 stav 1 ovog zakona dužni su da Ministarstvu dostave godišnji izvještaj o realizaciji razvojnih projekata koji su u funkciji sprovođenja Strategije</w:t>
      </w:r>
      <w:r w:rsidR="0068259D">
        <w:rPr>
          <w:lang w:val="sr-Latn-RS"/>
        </w:rPr>
        <w:t xml:space="preserve">, </w:t>
      </w:r>
      <w:r w:rsidR="00403822">
        <w:rPr>
          <w:lang w:val="sr-Latn-RS"/>
        </w:rPr>
        <w:t>i Strateških planova razvoja</w:t>
      </w:r>
      <w:r w:rsidRPr="003F6501">
        <w:rPr>
          <w:lang w:val="sr-Latn-RS"/>
        </w:rPr>
        <w:t xml:space="preserve"> najkasnije do </w:t>
      </w:r>
      <w:r w:rsidR="0068259D">
        <w:rPr>
          <w:lang w:val="sr-Latn-RS"/>
        </w:rPr>
        <w:t xml:space="preserve">31. marta </w:t>
      </w:r>
      <w:r w:rsidRPr="003F6501">
        <w:rPr>
          <w:lang w:val="sr-Latn-RS"/>
        </w:rPr>
        <w:t>tekuće za prethodnu godinu.</w:t>
      </w:r>
    </w:p>
    <w:p w14:paraId="7257EC60" w14:textId="28F6B5BC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 xml:space="preserve">Jedinica lokalne samouprave dužna je da </w:t>
      </w:r>
      <w:r w:rsidR="00216D74">
        <w:rPr>
          <w:lang w:val="sr-Latn-RS"/>
        </w:rPr>
        <w:t xml:space="preserve">izvještaj iz stava 4 član </w:t>
      </w:r>
      <w:r w:rsidR="00CD6930">
        <w:rPr>
          <w:lang w:val="sr-Latn-RS"/>
        </w:rPr>
        <w:t>7</w:t>
      </w:r>
      <w:r w:rsidR="00216D74">
        <w:rPr>
          <w:lang w:val="sr-Latn-RS"/>
        </w:rPr>
        <w:t xml:space="preserve"> </w:t>
      </w:r>
      <w:r w:rsidRPr="003F6501">
        <w:rPr>
          <w:lang w:val="sr-Latn-RS"/>
        </w:rPr>
        <w:t>dostavi Ministarstvu, najkasnije do 3</w:t>
      </w:r>
      <w:r w:rsidR="00B369C0">
        <w:rPr>
          <w:lang w:val="sr-Latn-RS"/>
        </w:rPr>
        <w:t>1</w:t>
      </w:r>
      <w:r w:rsidRPr="003F6501">
        <w:rPr>
          <w:lang w:val="sr-Latn-RS"/>
        </w:rPr>
        <w:t xml:space="preserve">. </w:t>
      </w:r>
      <w:r w:rsidR="00216D74">
        <w:rPr>
          <w:lang w:val="sr-Latn-RS"/>
        </w:rPr>
        <w:t>marta</w:t>
      </w:r>
      <w:r w:rsidRPr="003F6501">
        <w:rPr>
          <w:lang w:val="sr-Latn-RS"/>
        </w:rPr>
        <w:t xml:space="preserve"> tekuće za prethodnu godinu.</w:t>
      </w:r>
    </w:p>
    <w:p w14:paraId="32140574" w14:textId="6FAE36AF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 xml:space="preserve">Godišnji izvještaj o realizaciji Strategije Ministarstvo priprema na osnovu izvještaja iz st. </w:t>
      </w:r>
      <w:r w:rsidRPr="004A0EC6">
        <w:rPr>
          <w:lang w:val="sr-Latn-RS"/>
        </w:rPr>
        <w:t>1 i 2 ovog člana i dostavlja Vladi, najkasnije do 30. juna tekuće za prethodnu godinu.</w:t>
      </w:r>
    </w:p>
    <w:p w14:paraId="4522003E" w14:textId="57B85D3D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lastRenderedPageBreak/>
        <w:t>Godišnji izvještaj o realizaciji Strategije iz stav</w:t>
      </w:r>
      <w:r w:rsidRPr="004A0EC6">
        <w:rPr>
          <w:lang w:val="sr-Latn-RS"/>
        </w:rPr>
        <w:t>a 3</w:t>
      </w:r>
      <w:r w:rsidRPr="003F6501">
        <w:rPr>
          <w:lang w:val="sr-Latn-RS"/>
        </w:rPr>
        <w:t xml:space="preserve"> ovog člana Vlada dostavlja Skupštini na razmatranje, do 31. jula tekuće za prethodnu godinu.</w:t>
      </w:r>
    </w:p>
    <w:p w14:paraId="447020D7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IV. RAZVRSTAVANJE JEDINICA LOKALNE SAMOUPRAVE PREMA STEPENU RAZVIJENOSTI I STEPENU KONKURENTNOSTI</w:t>
      </w:r>
    </w:p>
    <w:p w14:paraId="1CA8BB8A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Stepen razvijenosti</w:t>
      </w:r>
    </w:p>
    <w:p w14:paraId="102F5209" w14:textId="5E4CA275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12</w:t>
      </w:r>
    </w:p>
    <w:p w14:paraId="026ADFE4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Stepen razvijenosti jedinice lokalne samouprave utvrđuje se na osnovu indeksa razvijenosti.</w:t>
      </w:r>
    </w:p>
    <w:p w14:paraId="591BDF48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Indeks razvijenosti iz stava 1 ovog člana izračunava se kao prosjek pokazatelja ekonomske razvijenosti, strukturnih promjena i demografskog stanja.</w:t>
      </w:r>
    </w:p>
    <w:p w14:paraId="1D51A281" w14:textId="32C9A752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 xml:space="preserve">Procenat učešća pokazatelja iz stava 2 ovog člana u indeksu razvijenosti </w:t>
      </w:r>
      <w:r w:rsidR="00223706">
        <w:rPr>
          <w:lang w:val="sr-Latn-RS"/>
        </w:rPr>
        <w:t xml:space="preserve">i bliži način izračunavanja </w:t>
      </w:r>
      <w:r w:rsidRPr="003F6501">
        <w:rPr>
          <w:lang w:val="sr-Latn-RS"/>
        </w:rPr>
        <w:t xml:space="preserve">utvrđuje se </w:t>
      </w:r>
      <w:r w:rsidR="00223706">
        <w:rPr>
          <w:lang w:val="sr-Latn-RS"/>
        </w:rPr>
        <w:t xml:space="preserve">propisom Vlade. </w:t>
      </w:r>
    </w:p>
    <w:p w14:paraId="616D94F2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Utvrđivanje i praćenje stepena razvijenosti</w:t>
      </w:r>
    </w:p>
    <w:p w14:paraId="43F7E6D9" w14:textId="3D014855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13</w:t>
      </w:r>
    </w:p>
    <w:p w14:paraId="185FF1FE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Stepen razvijenosti jedinice lokalne samouprave utvrđuje Ministarstvo.</w:t>
      </w:r>
    </w:p>
    <w:p w14:paraId="33D36AFA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Lista jedinica lokalne samouprave prema stepenu razvijenosti objavljuje se u "Službenom listu Crne Gore".</w:t>
      </w:r>
    </w:p>
    <w:p w14:paraId="50BBBA28" w14:textId="0911DCEA" w:rsidR="00230C5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 xml:space="preserve">Stepen razvijenosti iz stava 1 ovoga člana utvrđuje se </w:t>
      </w:r>
      <w:r w:rsidR="00F21C80">
        <w:rPr>
          <w:lang w:val="sr-Latn-RS"/>
        </w:rPr>
        <w:t>dvogodišnje</w:t>
      </w:r>
      <w:r w:rsidRPr="003F6501">
        <w:rPr>
          <w:lang w:val="sr-Latn-RS"/>
        </w:rPr>
        <w:t>.</w:t>
      </w:r>
    </w:p>
    <w:p w14:paraId="4CE1795B" w14:textId="0D54A2DA" w:rsidR="00230C5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 xml:space="preserve">Organi i organizacije iz člana </w:t>
      </w:r>
      <w:r w:rsidR="00CD6930">
        <w:rPr>
          <w:lang w:val="sr-Latn-RS"/>
        </w:rPr>
        <w:t>8</w:t>
      </w:r>
      <w:r w:rsidRPr="003F6501">
        <w:rPr>
          <w:lang w:val="sr-Latn-RS"/>
        </w:rPr>
        <w:t xml:space="preserve"> stav 1 ovog zakona dužni su da, radi praćenja stepena razvijenosti jedinica lokalne samouprave, na zahtjev Ministarstva, dostave podatke potrebne za izračunavanje stepena razvijenosti, kojima raspolažu.</w:t>
      </w:r>
    </w:p>
    <w:p w14:paraId="5109EA5A" w14:textId="77777777" w:rsidR="00B162C8" w:rsidRPr="003F6501" w:rsidRDefault="00B162C8">
      <w:pPr>
        <w:pStyle w:val="T30X"/>
        <w:rPr>
          <w:lang w:val="sr-Latn-RS"/>
        </w:rPr>
      </w:pPr>
    </w:p>
    <w:p w14:paraId="00F97653" w14:textId="4A798BB6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Razvrstavanje jed</w:t>
      </w:r>
      <w:r w:rsidR="004651E7">
        <w:rPr>
          <w:lang w:val="sr-Latn-RS"/>
        </w:rPr>
        <w:t>i</w:t>
      </w:r>
      <w:r w:rsidRPr="003F6501">
        <w:rPr>
          <w:lang w:val="sr-Latn-RS"/>
        </w:rPr>
        <w:t>nica lokalne samouprave prema stepenu razvijenosti</w:t>
      </w:r>
    </w:p>
    <w:p w14:paraId="7D3CEE98" w14:textId="7540B8F2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1</w:t>
      </w:r>
      <w:r w:rsidR="001A2414">
        <w:rPr>
          <w:lang w:val="sr-Latn-RS"/>
        </w:rPr>
        <w:t>4</w:t>
      </w:r>
    </w:p>
    <w:p w14:paraId="259A3003" w14:textId="30A8891F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 xml:space="preserve">Prema stepenu razvijenosti jedinice lokalne samouprave razvrstavaju se u </w:t>
      </w:r>
      <w:r w:rsidR="00D44B09">
        <w:rPr>
          <w:lang w:val="sr-Latn-RS"/>
        </w:rPr>
        <w:t xml:space="preserve">tri </w:t>
      </w:r>
      <w:r w:rsidRPr="003F6501">
        <w:rPr>
          <w:lang w:val="sr-Latn-RS"/>
        </w:rPr>
        <w:t xml:space="preserve"> grup</w:t>
      </w:r>
      <w:r w:rsidR="00D44B09">
        <w:rPr>
          <w:lang w:val="sr-Latn-RS"/>
        </w:rPr>
        <w:t>e</w:t>
      </w:r>
      <w:r w:rsidRPr="003F6501">
        <w:rPr>
          <w:lang w:val="sr-Latn-RS"/>
        </w:rPr>
        <w:t>, i to:</w:t>
      </w:r>
    </w:p>
    <w:p w14:paraId="2730AC99" w14:textId="6164F326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</w:t>
      </w:r>
    </w:p>
    <w:p w14:paraId="115A2454" w14:textId="7D9B83B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</w:t>
      </w:r>
      <w:r w:rsidR="0062518E">
        <w:rPr>
          <w:lang w:val="sr-Latn-RS"/>
        </w:rPr>
        <w:t>1</w:t>
      </w:r>
      <w:r w:rsidRPr="003F6501">
        <w:rPr>
          <w:lang w:val="sr-Latn-RS"/>
        </w:rPr>
        <w:t xml:space="preserve">) u </w:t>
      </w:r>
      <w:r w:rsidR="0062518E">
        <w:rPr>
          <w:lang w:val="sr-Latn-RS"/>
        </w:rPr>
        <w:t>prvu</w:t>
      </w:r>
      <w:r w:rsidRPr="003F6501">
        <w:rPr>
          <w:lang w:val="sr-Latn-RS"/>
        </w:rPr>
        <w:t xml:space="preserve"> grupu - jedinice lokalne samouprave čija je vrijednost indeksa razvijenosti do </w:t>
      </w:r>
      <w:r w:rsidR="00D44B09">
        <w:rPr>
          <w:lang w:val="sr-Latn-RS"/>
        </w:rPr>
        <w:t>85</w:t>
      </w:r>
      <w:r w:rsidRPr="003F6501">
        <w:rPr>
          <w:lang w:val="sr-Latn-RS"/>
        </w:rPr>
        <w:t>% prosjeka indeksa razvijenosti u Crnoj Gori</w:t>
      </w:r>
      <w:r w:rsidR="00F21C80">
        <w:rPr>
          <w:lang w:val="sr-Latn-RS"/>
        </w:rPr>
        <w:t xml:space="preserve"> – nedovoljno razvijene jedinice loklane samouprave</w:t>
      </w:r>
      <w:r w:rsidRPr="003F6501">
        <w:rPr>
          <w:lang w:val="sr-Latn-RS"/>
        </w:rPr>
        <w:t>;</w:t>
      </w:r>
    </w:p>
    <w:p w14:paraId="4A306D93" w14:textId="5CDAEB8C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</w:t>
      </w:r>
      <w:r w:rsidR="0062518E">
        <w:rPr>
          <w:lang w:val="sr-Latn-RS"/>
        </w:rPr>
        <w:t>2</w:t>
      </w:r>
      <w:r w:rsidRPr="003F6501">
        <w:rPr>
          <w:lang w:val="sr-Latn-RS"/>
        </w:rPr>
        <w:t xml:space="preserve">) u </w:t>
      </w:r>
      <w:r w:rsidR="0062518E">
        <w:rPr>
          <w:lang w:val="sr-Latn-RS"/>
        </w:rPr>
        <w:t>drugu</w:t>
      </w:r>
      <w:r w:rsidRPr="003F6501">
        <w:rPr>
          <w:lang w:val="sr-Latn-RS"/>
        </w:rPr>
        <w:t xml:space="preserve"> grupu - jedinice lokalne samouprave čija je vrijednost indeksa razvijenosti iznad </w:t>
      </w:r>
      <w:r w:rsidR="00D44B09">
        <w:rPr>
          <w:lang w:val="sr-Latn-RS"/>
        </w:rPr>
        <w:t>85</w:t>
      </w:r>
      <w:r w:rsidRPr="003F6501">
        <w:rPr>
          <w:lang w:val="sr-Latn-RS"/>
        </w:rPr>
        <w:t xml:space="preserve">% do </w:t>
      </w:r>
      <w:r w:rsidR="00D44B09">
        <w:rPr>
          <w:lang w:val="sr-Latn-RS"/>
        </w:rPr>
        <w:t>100</w:t>
      </w:r>
      <w:r w:rsidRPr="003F6501">
        <w:rPr>
          <w:lang w:val="sr-Latn-RS"/>
        </w:rPr>
        <w:t>% prosjeka indeksa razvijenosti u Crnoj Gori</w:t>
      </w:r>
      <w:r w:rsidR="00F21C80">
        <w:rPr>
          <w:lang w:val="sr-Latn-RS"/>
        </w:rPr>
        <w:t xml:space="preserve"> – srednje razvijene jedinice lokalne samouprave</w:t>
      </w:r>
      <w:r w:rsidRPr="003F6501">
        <w:rPr>
          <w:lang w:val="sr-Latn-RS"/>
        </w:rPr>
        <w:t>;</w:t>
      </w:r>
    </w:p>
    <w:p w14:paraId="3EE8900C" w14:textId="0B4A5F1B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</w:t>
      </w:r>
      <w:r w:rsidR="0062518E">
        <w:rPr>
          <w:lang w:val="sr-Latn-RS"/>
        </w:rPr>
        <w:t>3</w:t>
      </w:r>
      <w:r w:rsidRPr="003F6501">
        <w:rPr>
          <w:lang w:val="sr-Latn-RS"/>
        </w:rPr>
        <w:t xml:space="preserve">) u </w:t>
      </w:r>
      <w:r w:rsidR="0062518E">
        <w:rPr>
          <w:lang w:val="sr-Latn-RS"/>
        </w:rPr>
        <w:t>treću</w:t>
      </w:r>
      <w:r w:rsidRPr="003F6501">
        <w:rPr>
          <w:lang w:val="sr-Latn-RS"/>
        </w:rPr>
        <w:t xml:space="preserve"> grupu - jedinice lokalne samouprave čija je vrijednost indeksa razvijenosti iznad 100% prosjeka indeksa razvijenosti u Crnoj Gori</w:t>
      </w:r>
      <w:r w:rsidR="00F21C80">
        <w:rPr>
          <w:lang w:val="sr-Latn-RS"/>
        </w:rPr>
        <w:t xml:space="preserve"> – razvijene jedinice loklane samouprave</w:t>
      </w:r>
      <w:r w:rsidRPr="003F6501">
        <w:rPr>
          <w:lang w:val="sr-Latn-RS"/>
        </w:rPr>
        <w:t>;</w:t>
      </w:r>
    </w:p>
    <w:p w14:paraId="20E8ABBD" w14:textId="6641179D" w:rsidR="00230C51" w:rsidRPr="003F6501" w:rsidRDefault="00230C51" w:rsidP="00D44B09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</w:t>
      </w:r>
    </w:p>
    <w:p w14:paraId="44E3DDB1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Stepen konkurentnosti</w:t>
      </w:r>
    </w:p>
    <w:p w14:paraId="74BCB62D" w14:textId="6A9249D6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1</w:t>
      </w:r>
      <w:r w:rsidR="001A2414">
        <w:rPr>
          <w:lang w:val="sr-Latn-RS"/>
        </w:rPr>
        <w:t>5</w:t>
      </w:r>
    </w:p>
    <w:p w14:paraId="06A5C540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Radi vođenja uravnotežene i dugoročno održive politike regionalnog razvoja, odnosno uklanjanja ograničenja koja utiču na stepen razvijenosti, vrši se kvalitativna i kvantitativna procjena poslovnog okruženja i poslovnog sektora jedinice lokalne samouprave (u daljem tekstu: stepen konkurentnosti).</w:t>
      </w:r>
    </w:p>
    <w:p w14:paraId="208CE71E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Stepen konkuretnosti jedinice lokalne samouprave utvrđuje se na osnovu indeksa konkurentnosti.</w:t>
      </w:r>
    </w:p>
    <w:p w14:paraId="588B2C95" w14:textId="0F4E5D6B" w:rsidR="00230C5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lastRenderedPageBreak/>
        <w:t>Indeks konkurentnosti iz stava 2 ovog člana je prosjek pokazatelja poslovnog okruženja i poslovnog sektora, koji se izračunava na osnovu analize kvalitativnih i kvantitativnih podataka.</w:t>
      </w:r>
    </w:p>
    <w:p w14:paraId="4C627E9A" w14:textId="799FC4A4" w:rsidR="00650359" w:rsidRDefault="00650359">
      <w:pPr>
        <w:pStyle w:val="T30X"/>
        <w:rPr>
          <w:lang w:val="sr-Latn-RS"/>
        </w:rPr>
      </w:pPr>
    </w:p>
    <w:p w14:paraId="0147BA99" w14:textId="77777777" w:rsidR="00650359" w:rsidRPr="003F6501" w:rsidRDefault="00650359">
      <w:pPr>
        <w:pStyle w:val="T30X"/>
        <w:rPr>
          <w:lang w:val="sr-Latn-RS"/>
        </w:rPr>
      </w:pPr>
    </w:p>
    <w:p w14:paraId="6E3A434B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Pokazatelji stepena konkurentnosti</w:t>
      </w:r>
    </w:p>
    <w:p w14:paraId="4C34750E" w14:textId="6A6CF0E4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1</w:t>
      </w:r>
      <w:r w:rsidR="001A2414">
        <w:rPr>
          <w:lang w:val="sr-Latn-RS"/>
        </w:rPr>
        <w:t>6</w:t>
      </w:r>
    </w:p>
    <w:p w14:paraId="137B67A4" w14:textId="706243E0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Poslovno okruženje iz člana 15 stav 1 ovog zakona utvrđuje se na osnovu podataka o demografskim kretanjima, infrastrukturi i stepenu obezbjeđenja kadra u oblasti zdravstva, obrazovanja, sporta, kulture, socijalne zaštite, stepena obrazovanja stanovništva, osnovne i poslovne infrastrukture i drugih pokazatelja od značaja za procjenu poslovnog okruženja jedinice lokalne samouprave.</w:t>
      </w:r>
    </w:p>
    <w:p w14:paraId="0043B1FC" w14:textId="04D2DB8B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Poslovni sektor iz člana 15 stav 1 ovog zakona utvrđuje se na osnovu podataka o investicijama i dinamici ulaganja, razvijenosti preduzetništva i nivou i kretanjima ekonomskih pokazatelja jedinice lokalne samouprave.</w:t>
      </w:r>
    </w:p>
    <w:p w14:paraId="400FB4E3" w14:textId="6702D8E6" w:rsidR="00230C51" w:rsidRPr="003F6501" w:rsidRDefault="00F21C80">
      <w:pPr>
        <w:pStyle w:val="T30X"/>
        <w:rPr>
          <w:lang w:val="sr-Latn-RS"/>
        </w:rPr>
      </w:pPr>
      <w:r>
        <w:rPr>
          <w:lang w:val="sr-Latn-RS"/>
        </w:rPr>
        <w:t xml:space="preserve">Bliži način </w:t>
      </w:r>
      <w:r w:rsidR="00230C51" w:rsidRPr="003F6501">
        <w:rPr>
          <w:lang w:val="sr-Latn-RS"/>
        </w:rPr>
        <w:t>izračunavanja stepena konkurentnosti, utvrđuje se propisom Vlade.</w:t>
      </w:r>
    </w:p>
    <w:p w14:paraId="359B45FA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Utvrđivanje i praćenje stepena konkurentnosti</w:t>
      </w:r>
    </w:p>
    <w:p w14:paraId="20D8640F" w14:textId="283D1E04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17</w:t>
      </w:r>
    </w:p>
    <w:p w14:paraId="28835DEE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Stepen konkurentnosti jedinice lokalne samouprave utvrđuje i njihovo razvrstavanje vrši Ministarstvo primjenom indeksa konkurentnosti.</w:t>
      </w:r>
    </w:p>
    <w:p w14:paraId="52B73C11" w14:textId="7347E065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Utvrđivanje stepena konkurentnosti iz stava 1 ovoga člana vrši se</w:t>
      </w:r>
      <w:r w:rsidR="00F21C80">
        <w:rPr>
          <w:lang w:val="sr-Latn-RS"/>
        </w:rPr>
        <w:t xml:space="preserve"> dvogodišnje</w:t>
      </w:r>
      <w:r w:rsidRPr="003F6501">
        <w:rPr>
          <w:lang w:val="sr-Latn-RS"/>
        </w:rPr>
        <w:t>.</w:t>
      </w:r>
    </w:p>
    <w:p w14:paraId="5A883263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Listu stepena konkurentnosti jedinice lokalne samouprave iz stava 1 ovog člana utvrđuje Ministarstvo.</w:t>
      </w:r>
    </w:p>
    <w:p w14:paraId="3601F47B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Lista iz stava 3 ovog člana objavljuje se u "Službenom listu Crne Gore".</w:t>
      </w:r>
    </w:p>
    <w:p w14:paraId="040CD779" w14:textId="277871A9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 xml:space="preserve">Organi i organizacije iz člana </w:t>
      </w:r>
      <w:r w:rsidR="00CD6930">
        <w:rPr>
          <w:lang w:val="sr-Latn-RS"/>
        </w:rPr>
        <w:t>8</w:t>
      </w:r>
      <w:r w:rsidRPr="003F6501">
        <w:rPr>
          <w:lang w:val="sr-Latn-RS"/>
        </w:rPr>
        <w:t xml:space="preserve"> stav 1 ovog zakona dužni su da, radi praćenja stepena konkurentnosti jedinica lokalne samouprave, na zahtjev Ministarstva, dostave podatke potrebne za izračunavanje stepena konkurentnosti, kojima raspolažu.</w:t>
      </w:r>
    </w:p>
    <w:p w14:paraId="7BB2E6B0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V. PODSTICANJE RAVNOMJERNIJEG REGIONALNOG RAZVOJA</w:t>
      </w:r>
    </w:p>
    <w:p w14:paraId="1948F4D0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Podsticajne mjere</w:t>
      </w:r>
    </w:p>
    <w:p w14:paraId="1EE4813E" w14:textId="06634D1B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18</w:t>
      </w:r>
    </w:p>
    <w:p w14:paraId="3F3EEB69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Ravnomjerniji regionalni razvoj Crne Gore obezbjeđuje se:</w:t>
      </w:r>
    </w:p>
    <w:p w14:paraId="6BD9E459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1) ulaganjem u izgradnju, održavanje i unaprjeđenje infrastrukturnih objekata (saobraćajna i komunalna infrastruktura, zdravstvene ustanove, ustanove socijalne i dječje zaštite, obrazovno-vaspitne ustanove i ustanove visokog obrazovanja, sportski objekti, stambeni objekti, objekti kulture i drugi objekti od značaja za regionalni razvoj);</w:t>
      </w:r>
    </w:p>
    <w:p w14:paraId="211A15EE" w14:textId="5AB120B1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2) unaprjeđenjem lokalnog ekonomskog razvoja (strateškim upravljanjem u jedinicama lokalne samouprave, posebno stvaranjem menadžera i menadžerskih timova u funkciji obezbjeđivanja lokalnog razvoja; podsticanjem javno-privatnog partnerstva</w:t>
      </w:r>
      <w:r w:rsidR="00223706">
        <w:rPr>
          <w:lang w:val="sr-Latn-RS"/>
        </w:rPr>
        <w:t xml:space="preserve"> i </w:t>
      </w:r>
      <w:r w:rsidR="009121D8">
        <w:rPr>
          <w:lang w:val="sr-Latn-RS"/>
        </w:rPr>
        <w:t xml:space="preserve">međuopštinske saradnje, </w:t>
      </w:r>
      <w:r w:rsidRPr="003F6501">
        <w:rPr>
          <w:lang w:val="sr-Latn-RS"/>
        </w:rPr>
        <w:t xml:space="preserve">podsticanjem, osnivanjem i razvojem industrijskih parkova, biznis inkubatora i privlačenjem </w:t>
      </w:r>
      <w:r w:rsidR="0068259D">
        <w:rPr>
          <w:lang w:val="sr-Latn-RS"/>
        </w:rPr>
        <w:t xml:space="preserve">direktnih </w:t>
      </w:r>
      <w:r w:rsidRPr="003F6501">
        <w:rPr>
          <w:lang w:val="sr-Latn-RS"/>
        </w:rPr>
        <w:t>investicija);</w:t>
      </w:r>
    </w:p>
    <w:p w14:paraId="00C81F03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3) unaprjeđenjem privrednih grana (tehnološkog nivoa, pristupa novim tehnologijama, promocija istraživanja i razvoja);</w:t>
      </w:r>
    </w:p>
    <w:p w14:paraId="185A5783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4) podrškom razvoju malih i srednjih preduzeća, uključujući pripremu i realizaciju programa i projekata razvoja malih i srednjih preduzeća, edukaciju preduzetnika, kao i staranje o organizovanju regionalnih i lokalnih centara za podršku razvoja malih i srednjih preduzeća;</w:t>
      </w:r>
    </w:p>
    <w:p w14:paraId="5CDBF084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5) podsticanjem zapošljavanja i smanjenjem negativnih demografskih kretanja;</w:t>
      </w:r>
    </w:p>
    <w:p w14:paraId="7CA6D892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lastRenderedPageBreak/>
        <w:t xml:space="preserve">   6) podizanjem nivoa i kvaliteta obrazovanja, u skladu sa potrebama i zahtjevima tržišta, a naročito razvijanjem i osnaživanjem preduzetničkih sposobnosti kod mladih ljudi;</w:t>
      </w:r>
    </w:p>
    <w:p w14:paraId="27CF4EAE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7) unaprjeđenjem usluga u socijalnoj i dječjoj zaštiti;</w:t>
      </w:r>
    </w:p>
    <w:p w14:paraId="570A2394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8) unaprjeđenjem zaštite životne sredine;</w:t>
      </w:r>
    </w:p>
    <w:p w14:paraId="3B03D1B6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9) donošenjem i sprovođenjem prostorno-planskih dokumenata i unaprjeđenjem stanja u prostoru;</w:t>
      </w:r>
    </w:p>
    <w:p w14:paraId="1C911101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10) obezbjeđivanjem adekvatnog kvaliteta komunalnih usluga i isporuke komunalnog proizvoda;</w:t>
      </w:r>
    </w:p>
    <w:p w14:paraId="04461DB2" w14:textId="77777777" w:rsidR="00230C5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11) podsticajima za druge potrebe u skladu sa zakonom.</w:t>
      </w:r>
    </w:p>
    <w:p w14:paraId="251B9CF5" w14:textId="2F613C52" w:rsidR="00CD6930" w:rsidRDefault="00CD6930" w:rsidP="00511C53">
      <w:pPr>
        <w:pStyle w:val="N01X"/>
        <w:jc w:val="both"/>
        <w:rPr>
          <w:b w:val="0"/>
          <w:sz w:val="22"/>
          <w:szCs w:val="22"/>
          <w:lang w:val="sr-Latn-RS"/>
        </w:rPr>
      </w:pPr>
    </w:p>
    <w:p w14:paraId="4053DD0C" w14:textId="77777777" w:rsidR="00CD6930" w:rsidRPr="0068259D" w:rsidRDefault="00CD6930" w:rsidP="00511C53">
      <w:pPr>
        <w:pStyle w:val="N01X"/>
        <w:jc w:val="both"/>
        <w:rPr>
          <w:b w:val="0"/>
          <w:sz w:val="22"/>
          <w:szCs w:val="22"/>
          <w:lang w:val="sr-Latn-RS"/>
        </w:rPr>
      </w:pPr>
    </w:p>
    <w:p w14:paraId="1329CF56" w14:textId="2F6FE2CB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Korisnici podsticaja</w:t>
      </w:r>
    </w:p>
    <w:p w14:paraId="4603E3A5" w14:textId="2A91A986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19</w:t>
      </w:r>
    </w:p>
    <w:p w14:paraId="1E40FCC5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U skladu sa zakonom, korisnici podsticaja mogu biti:</w:t>
      </w:r>
    </w:p>
    <w:p w14:paraId="3E2DE483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1) jedinice lokalne samouprave;</w:t>
      </w:r>
    </w:p>
    <w:p w14:paraId="01A4525B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2) privredna društva, organizacije iz oblasti obrazovanja, nauke i istraživanja, zaštite životne sredine i komunalnih djelatnosti, zdravlja, socijalne i dječje zaštite, kulture, sporta i druga pravna lica, preduzetnici i fizička lica koja obavljaju poslove kojima se doprinosi regionalnom razvoju;</w:t>
      </w:r>
    </w:p>
    <w:p w14:paraId="17F81B98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3) fizička i pravna lica koja obavljaju djelatnost u okviru biznis inkubatora, klastera ili drugih poslovnih udruženja koja doprinose regionalnom razvoju.</w:t>
      </w:r>
    </w:p>
    <w:p w14:paraId="244741FB" w14:textId="6C53E53B" w:rsidR="00230C5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Korisnici podsticaja, kao i kriterijumi i postupak za dodjelu podsticaja bliže se opredjeljuju planskim dokumentima regionalnog razvoja i planovima i programima koje pripremaju i sprovode organi i organizacije iz člana 9 stav 1 ovog zakona.</w:t>
      </w:r>
    </w:p>
    <w:p w14:paraId="698DFA66" w14:textId="77777777" w:rsidR="00CD6930" w:rsidRPr="003F6501" w:rsidRDefault="00CD6930">
      <w:pPr>
        <w:pStyle w:val="T30X"/>
        <w:rPr>
          <w:lang w:val="sr-Latn-RS"/>
        </w:rPr>
      </w:pPr>
    </w:p>
    <w:p w14:paraId="5CBAFC28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Vrste podsticaja</w:t>
      </w:r>
    </w:p>
    <w:p w14:paraId="0C68750C" w14:textId="1500D2E6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19a</w:t>
      </w:r>
    </w:p>
    <w:p w14:paraId="1E5EF560" w14:textId="4125F1B8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Podsticanje razvoja obezbjeđuje se davanjem subvencija, subvencija kamatne stope za zajmove, povoljnih kredita, garancija, fiskalnih olakšica i drugih podsticaja u skladu sa Zakonom.</w:t>
      </w:r>
    </w:p>
    <w:p w14:paraId="3BF81734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Podsticaji iz stava 1 ovog člana mogu se koristiti i za privlačenje direktnih investicija koje su u funkciji razvoja.</w:t>
      </w:r>
    </w:p>
    <w:p w14:paraId="379EE9A0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Uslovi i način podsticanja razvoja kroz privlačenje direktnih investicija, kriterijumi za dodjelu sredstava za podsticanje direktnih investicija, dinamika isplate tih sredstava, kao i druga pitanja od značaja za povećanje konkurentnosti i razvoja Crne Gore kroz priliv direktnih investicija uređuju se propisom Vlade.</w:t>
      </w:r>
    </w:p>
    <w:p w14:paraId="667580C1" w14:textId="6693A6BA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19b</w:t>
      </w:r>
    </w:p>
    <w:p w14:paraId="44D95FF4" w14:textId="203E632A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Pored podsticanja iz člana 19a, ravnomjernijem regionalnom razvoju se doprinosi i kroz osnivanje biznis zona.</w:t>
      </w:r>
    </w:p>
    <w:p w14:paraId="6242E66F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Biznis zona je prostor namijenjen za plansko korišćenje od strane većeg broja privrednih društava i preduzetnika iz oblasti proizvodnje ili usluga koja osim zajedničkog prostora, pruža i dodatne olakšice.</w:t>
      </w:r>
    </w:p>
    <w:p w14:paraId="3B8F2583" w14:textId="49EADF0C" w:rsidR="00230C5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Uslovi za osnivanje biznis zona, klasifikacija prema strateškom značaju, uspostavljanje, uređenje i upravljanje, unapređenje infrastrukture u biznis zonama kao i druga pitanja od značaja za rad biznis zona uređuju se propisom Vlade.</w:t>
      </w:r>
    </w:p>
    <w:p w14:paraId="527BAED1" w14:textId="6DEE717F" w:rsidR="00350DB3" w:rsidRDefault="00350DB3">
      <w:pPr>
        <w:pStyle w:val="T30X"/>
        <w:rPr>
          <w:lang w:val="sr-Latn-RS"/>
        </w:rPr>
      </w:pPr>
    </w:p>
    <w:p w14:paraId="6F8512B7" w14:textId="5F2BE0CD" w:rsidR="00350DB3" w:rsidRDefault="00350DB3">
      <w:pPr>
        <w:pStyle w:val="T30X"/>
        <w:rPr>
          <w:lang w:val="sr-Latn-RS"/>
        </w:rPr>
      </w:pPr>
    </w:p>
    <w:p w14:paraId="315C0F16" w14:textId="77777777" w:rsidR="00350DB3" w:rsidRPr="003F6501" w:rsidRDefault="00350DB3">
      <w:pPr>
        <w:pStyle w:val="T30X"/>
        <w:rPr>
          <w:lang w:val="sr-Latn-RS"/>
        </w:rPr>
      </w:pPr>
    </w:p>
    <w:p w14:paraId="7D9EEFB9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Podsticanje razvoja manje razvijenih jedinica lokalne samouprave</w:t>
      </w:r>
    </w:p>
    <w:p w14:paraId="555F83F1" w14:textId="5710F8CF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20</w:t>
      </w:r>
    </w:p>
    <w:p w14:paraId="4C559894" w14:textId="47EFD682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U cilju podsticanja razvoja manje razvijenih jedinica lokalne samouprave se, pored podsticaja iz člana 19a ovog zakona, obezbjeđuju i dodatne fiskalne olakšice.</w:t>
      </w:r>
    </w:p>
    <w:p w14:paraId="0ACB526A" w14:textId="49702515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Prilikom izrade planova i programa iz člana 18 stav 2 ovog zakona prioritet imaju projekti manje razvijenih jedinica lokalne samouprave i zajednički projekti dvije ili više jedinica lokalne samouprave sa pozitivnim društveno-ekonomskim efektima realizacije i od većeg značaja za Crnu Goru.</w:t>
      </w:r>
    </w:p>
    <w:p w14:paraId="2E0BBFAF" w14:textId="2ABC96B0" w:rsidR="00E00E52" w:rsidRDefault="00E00E52">
      <w:pPr>
        <w:pStyle w:val="T30X"/>
        <w:rPr>
          <w:lang w:val="sr-Latn-RS"/>
        </w:rPr>
      </w:pPr>
    </w:p>
    <w:p w14:paraId="764C382A" w14:textId="77777777" w:rsidR="00E00E52" w:rsidRPr="00CD6930" w:rsidRDefault="00E00E52" w:rsidP="00E00E52">
      <w:pPr>
        <w:jc w:val="center"/>
        <w:rPr>
          <w:b/>
          <w:sz w:val="22"/>
          <w:szCs w:val="22"/>
          <w:lang w:val="pl-PL"/>
        </w:rPr>
      </w:pPr>
      <w:r w:rsidRPr="00CD6930">
        <w:rPr>
          <w:b/>
          <w:sz w:val="22"/>
          <w:szCs w:val="22"/>
          <w:lang w:val="pl-PL"/>
        </w:rPr>
        <w:t>Program podsticaja regionalnog razvoja</w:t>
      </w:r>
    </w:p>
    <w:p w14:paraId="6513AD80" w14:textId="760D0017" w:rsidR="00E00E52" w:rsidRPr="00CD6930" w:rsidRDefault="00E00E52" w:rsidP="00E00E52">
      <w:pPr>
        <w:jc w:val="center"/>
        <w:rPr>
          <w:b/>
          <w:sz w:val="22"/>
          <w:szCs w:val="22"/>
          <w:lang w:val="pl-PL"/>
        </w:rPr>
      </w:pPr>
      <w:r w:rsidRPr="00CD6930">
        <w:rPr>
          <w:b/>
          <w:sz w:val="22"/>
          <w:szCs w:val="22"/>
          <w:lang w:val="pl-PL"/>
        </w:rPr>
        <w:t xml:space="preserve">Član </w:t>
      </w:r>
      <w:r w:rsidR="003C437A">
        <w:rPr>
          <w:b/>
          <w:sz w:val="22"/>
          <w:szCs w:val="22"/>
          <w:lang w:val="pl-PL"/>
        </w:rPr>
        <w:t>20a</w:t>
      </w:r>
    </w:p>
    <w:p w14:paraId="3EF3E649" w14:textId="77777777" w:rsidR="00E00E52" w:rsidRPr="00CD6930" w:rsidRDefault="00E00E52" w:rsidP="00E00E52">
      <w:pPr>
        <w:jc w:val="both"/>
        <w:rPr>
          <w:sz w:val="22"/>
          <w:szCs w:val="22"/>
          <w:lang w:val="pl-PL"/>
        </w:rPr>
      </w:pPr>
      <w:r w:rsidRPr="00CD6930">
        <w:rPr>
          <w:sz w:val="22"/>
          <w:szCs w:val="22"/>
          <w:lang w:val="pl-PL"/>
        </w:rPr>
        <w:t xml:space="preserve">      Vlada na predlog Ministarstva, u prethodno mišljenje organa državne uprave nadležnog za finansije , donosi Program podsticaja regionalnog razvoja Crne Gore ( u daljem tekstu: Program), za period od godinu dana. </w:t>
      </w:r>
    </w:p>
    <w:p w14:paraId="2DD64FBE" w14:textId="77777777" w:rsidR="00E00E52" w:rsidRPr="00CD6930" w:rsidRDefault="00E00E52" w:rsidP="00E00E52">
      <w:pPr>
        <w:jc w:val="both"/>
        <w:rPr>
          <w:sz w:val="22"/>
          <w:szCs w:val="22"/>
          <w:lang w:val="pl-PL"/>
        </w:rPr>
      </w:pPr>
      <w:r w:rsidRPr="00CD6930">
        <w:rPr>
          <w:sz w:val="22"/>
          <w:szCs w:val="22"/>
          <w:lang w:val="pl-PL"/>
        </w:rPr>
        <w:t xml:space="preserve">      Program iz stava 1 ovog člana donosi se na osnovu Strategije RR, indeksa razvijenosti i drugih relevantnih strateških dokumenata na nacionalnom nivou. </w:t>
      </w:r>
    </w:p>
    <w:p w14:paraId="11BE01F8" w14:textId="77777777" w:rsidR="00E00E52" w:rsidRPr="00CD6930" w:rsidRDefault="00E00E52" w:rsidP="00E00E52">
      <w:pPr>
        <w:jc w:val="both"/>
        <w:rPr>
          <w:sz w:val="22"/>
          <w:szCs w:val="22"/>
          <w:lang w:val="pl-PL"/>
        </w:rPr>
      </w:pPr>
      <w:r w:rsidRPr="00CD6930">
        <w:rPr>
          <w:sz w:val="22"/>
          <w:szCs w:val="22"/>
          <w:lang w:val="pl-PL"/>
        </w:rPr>
        <w:t xml:space="preserve">      Programom iz stava 1 ovog člana utvrdjuju se mjere podsticanja regionalnog razvoja, nosioci aktivnosti, izvori sredstava, kriterijumi, način praćenja i sprovodjenja mjera. </w:t>
      </w:r>
    </w:p>
    <w:p w14:paraId="415E47AF" w14:textId="77777777" w:rsidR="00E00E52" w:rsidRPr="00CD6930" w:rsidRDefault="00E00E52" w:rsidP="00E00E52">
      <w:pPr>
        <w:jc w:val="both"/>
        <w:rPr>
          <w:sz w:val="22"/>
          <w:szCs w:val="22"/>
          <w:lang w:val="pl-PL"/>
        </w:rPr>
      </w:pPr>
      <w:r w:rsidRPr="00CD6930">
        <w:rPr>
          <w:sz w:val="22"/>
          <w:szCs w:val="22"/>
          <w:lang w:val="pl-PL"/>
        </w:rPr>
        <w:t xml:space="preserve">      Ministarstvo predlaže Vladi najkasnije u roku od mjesec dana od dana donošenja državnog budžeta Program iz stava 1 ovog člana. </w:t>
      </w:r>
    </w:p>
    <w:p w14:paraId="58F0CE14" w14:textId="77777777" w:rsidR="00E00E52" w:rsidRPr="00CD6930" w:rsidRDefault="00E00E52" w:rsidP="00E00E52">
      <w:pPr>
        <w:jc w:val="both"/>
        <w:rPr>
          <w:sz w:val="22"/>
          <w:szCs w:val="22"/>
          <w:lang w:val="pl-PL"/>
        </w:rPr>
      </w:pPr>
      <w:r w:rsidRPr="00CD6930">
        <w:rPr>
          <w:sz w:val="22"/>
          <w:szCs w:val="22"/>
          <w:lang w:val="pl-PL"/>
        </w:rPr>
        <w:t xml:space="preserve">     Ministarstvo vodi javnu elektronsku bazu podataka projekata finansiranih iz Programa iz stava 1 ovog člana. </w:t>
      </w:r>
    </w:p>
    <w:p w14:paraId="291EB660" w14:textId="77777777" w:rsidR="00E00E52" w:rsidRPr="00CD6930" w:rsidRDefault="00E00E52" w:rsidP="00E00E52">
      <w:pPr>
        <w:jc w:val="both"/>
        <w:rPr>
          <w:sz w:val="22"/>
          <w:szCs w:val="22"/>
          <w:lang w:val="pl-PL"/>
        </w:rPr>
      </w:pPr>
      <w:r w:rsidRPr="00CD6930">
        <w:rPr>
          <w:sz w:val="22"/>
          <w:szCs w:val="22"/>
          <w:lang w:val="pl-PL"/>
        </w:rPr>
        <w:t xml:space="preserve">      Sredstva za sprovodjenje Programa iz stava 1 ovog člana obezbjedjuju se u državnom budžetu, kao i drugih izvora u skladu sa zakonom. </w:t>
      </w:r>
    </w:p>
    <w:p w14:paraId="1A4743F0" w14:textId="73580B43" w:rsidR="00E00E52" w:rsidRPr="00CD6930" w:rsidRDefault="00E00E52" w:rsidP="00E00E52">
      <w:pPr>
        <w:jc w:val="both"/>
        <w:rPr>
          <w:sz w:val="22"/>
          <w:szCs w:val="22"/>
          <w:lang w:val="pl-PL"/>
        </w:rPr>
      </w:pPr>
      <w:r w:rsidRPr="00CD6930">
        <w:rPr>
          <w:sz w:val="22"/>
          <w:szCs w:val="22"/>
          <w:lang w:val="pl-PL"/>
        </w:rPr>
        <w:t xml:space="preserve">      Država obezbjeđuje sredstva za Program iz stava 1 ovog člana, u iznosu od najmanje </w:t>
      </w:r>
      <w:r w:rsidR="003C437A">
        <w:rPr>
          <w:sz w:val="22"/>
          <w:szCs w:val="22"/>
          <w:lang w:val="pl-PL"/>
        </w:rPr>
        <w:t>1</w:t>
      </w:r>
      <w:r w:rsidRPr="00CD6930">
        <w:rPr>
          <w:sz w:val="22"/>
          <w:szCs w:val="22"/>
          <w:lang w:val="pl-PL"/>
        </w:rPr>
        <w:t xml:space="preserve">% </w:t>
      </w:r>
      <w:r w:rsidR="00E71844" w:rsidRPr="00CD6930">
        <w:rPr>
          <w:sz w:val="22"/>
          <w:szCs w:val="22"/>
          <w:lang w:val="pl-PL"/>
        </w:rPr>
        <w:t xml:space="preserve">do </w:t>
      </w:r>
      <w:r w:rsidR="003C437A">
        <w:rPr>
          <w:sz w:val="22"/>
          <w:szCs w:val="22"/>
          <w:lang w:val="pl-PL"/>
        </w:rPr>
        <w:t>2</w:t>
      </w:r>
      <w:r w:rsidR="00E71844" w:rsidRPr="00CD6930">
        <w:rPr>
          <w:sz w:val="22"/>
          <w:szCs w:val="22"/>
          <w:lang w:val="pl-PL"/>
        </w:rPr>
        <w:t xml:space="preserve">% </w:t>
      </w:r>
      <w:r w:rsidRPr="00CD6930">
        <w:rPr>
          <w:sz w:val="22"/>
          <w:szCs w:val="22"/>
          <w:lang w:val="pl-PL"/>
        </w:rPr>
        <w:t>tekućeg godišnjeg budžeta.</w:t>
      </w:r>
    </w:p>
    <w:p w14:paraId="3B061778" w14:textId="0CAFC507" w:rsidR="00E00E52" w:rsidRDefault="00E00E52" w:rsidP="00E00E52">
      <w:pPr>
        <w:jc w:val="both"/>
        <w:rPr>
          <w:sz w:val="22"/>
          <w:szCs w:val="22"/>
          <w:lang w:val="pl-PL"/>
        </w:rPr>
      </w:pPr>
      <w:r w:rsidRPr="00CD6930">
        <w:rPr>
          <w:sz w:val="22"/>
          <w:szCs w:val="22"/>
          <w:lang w:val="pl-PL"/>
        </w:rPr>
        <w:t xml:space="preserve">     Izvjestaj o sprovodjenju programa iz stava 1 ovog člana Ministarstvo podnosi Vladi do drugog kvartala tekuće godine za prethodnu godinu. </w:t>
      </w:r>
    </w:p>
    <w:p w14:paraId="4E265FB4" w14:textId="77777777" w:rsidR="00350DB3" w:rsidRDefault="00350DB3" w:rsidP="00E00E52">
      <w:pPr>
        <w:jc w:val="both"/>
        <w:rPr>
          <w:sz w:val="22"/>
          <w:szCs w:val="22"/>
          <w:lang w:val="pl-PL"/>
        </w:rPr>
      </w:pPr>
    </w:p>
    <w:p w14:paraId="3C39B3B4" w14:textId="77777777" w:rsidR="00350DB3" w:rsidRPr="00CD6930" w:rsidRDefault="00350DB3" w:rsidP="00E00E52">
      <w:pPr>
        <w:jc w:val="both"/>
        <w:rPr>
          <w:sz w:val="22"/>
          <w:szCs w:val="22"/>
          <w:lang w:val="pl-PL"/>
        </w:rPr>
      </w:pPr>
    </w:p>
    <w:p w14:paraId="780DBF20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VI. FINANSIRANJE REGIONALNOG RAZVOJA</w:t>
      </w:r>
    </w:p>
    <w:p w14:paraId="426A3486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Izvori finansiranja</w:t>
      </w:r>
    </w:p>
    <w:p w14:paraId="7F6DC2EE" w14:textId="09513B4F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21</w:t>
      </w:r>
    </w:p>
    <w:p w14:paraId="30DC24E4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Sredstva za finansiranje regionalnog razvoja obezbjeđuju se iz:</w:t>
      </w:r>
    </w:p>
    <w:p w14:paraId="087FFF32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1) budžeta Crne Gore;</w:t>
      </w:r>
    </w:p>
    <w:p w14:paraId="316DD5C4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2) budžeta jedinica lokalne samouprave;</w:t>
      </w:r>
    </w:p>
    <w:p w14:paraId="5DAE874F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3) sredstava obezbijeđenih na osnovu javno-privatnog partnerstva;</w:t>
      </w:r>
    </w:p>
    <w:p w14:paraId="0B89CA01" w14:textId="6E4B659A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4) pretpristupnih i drugih fondova Evropske Unije;</w:t>
      </w:r>
    </w:p>
    <w:p w14:paraId="401735D8" w14:textId="5D85B004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5) bespovratne razvojne pomoći međunarodnih organizacija i drugih programa Evropske Unije;</w:t>
      </w:r>
    </w:p>
    <w:p w14:paraId="5579831F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6) kredita međunarodnih finansijskih i razvojnih institucija;</w:t>
      </w:r>
    </w:p>
    <w:p w14:paraId="31A82C6E" w14:textId="5F36F431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7) kredita domaćih i stranih banaka i </w:t>
      </w:r>
      <w:r w:rsidR="00DC12B2">
        <w:rPr>
          <w:lang w:val="sr-Latn-RS"/>
        </w:rPr>
        <w:t>Razvo</w:t>
      </w:r>
      <w:r w:rsidR="00B369C0">
        <w:rPr>
          <w:lang w:val="sr-Latn-RS"/>
        </w:rPr>
        <w:t xml:space="preserve">jne banke </w:t>
      </w:r>
      <w:bookmarkStart w:id="3" w:name="_GoBack"/>
      <w:bookmarkEnd w:id="3"/>
      <w:r w:rsidRPr="003F6501">
        <w:rPr>
          <w:lang w:val="sr-Latn-RS"/>
        </w:rPr>
        <w:t>Crne Gore;</w:t>
      </w:r>
    </w:p>
    <w:p w14:paraId="1BBD4E95" w14:textId="77777777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8) donacija;</w:t>
      </w:r>
    </w:p>
    <w:p w14:paraId="65FD5688" w14:textId="6CBE7905" w:rsidR="001F44F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lastRenderedPageBreak/>
        <w:t xml:space="preserve">   9) drugih izvora u skladu sa zakonom.</w:t>
      </w:r>
    </w:p>
    <w:p w14:paraId="78075D7F" w14:textId="31326524" w:rsidR="00165137" w:rsidRDefault="00165137">
      <w:pPr>
        <w:pStyle w:val="T30X"/>
        <w:ind w:left="567" w:hanging="283"/>
        <w:rPr>
          <w:lang w:val="sr-Latn-RS"/>
        </w:rPr>
      </w:pPr>
    </w:p>
    <w:p w14:paraId="755EED5E" w14:textId="77777777" w:rsidR="00350DB3" w:rsidRDefault="00350DB3">
      <w:pPr>
        <w:pStyle w:val="T30X"/>
        <w:ind w:left="567" w:hanging="283"/>
        <w:rPr>
          <w:lang w:val="sr-Latn-RS"/>
        </w:rPr>
      </w:pPr>
    </w:p>
    <w:p w14:paraId="10DBFED1" w14:textId="5EEB5F3B" w:rsidR="00230C51" w:rsidRPr="0083712E" w:rsidRDefault="00230C51">
      <w:pPr>
        <w:pStyle w:val="N01X"/>
        <w:rPr>
          <w:sz w:val="22"/>
          <w:szCs w:val="22"/>
          <w:lang w:val="sr-Latn-RS"/>
        </w:rPr>
      </w:pPr>
      <w:r w:rsidRPr="0083712E">
        <w:rPr>
          <w:sz w:val="22"/>
          <w:szCs w:val="22"/>
          <w:lang w:val="sr-Latn-RS"/>
        </w:rPr>
        <w:t>Baza podataka o razvojnim projektima</w:t>
      </w:r>
      <w:r w:rsidR="00DF7B0E">
        <w:rPr>
          <w:sz w:val="22"/>
          <w:szCs w:val="22"/>
          <w:lang w:val="sr-Latn-RS"/>
        </w:rPr>
        <w:t xml:space="preserve"> i mjera</w:t>
      </w:r>
      <w:r w:rsidR="005C60AC">
        <w:rPr>
          <w:sz w:val="22"/>
          <w:szCs w:val="22"/>
          <w:lang w:val="sr-Latn-RS"/>
        </w:rPr>
        <w:t>ma</w:t>
      </w:r>
      <w:r w:rsidR="00DF7B0E">
        <w:rPr>
          <w:sz w:val="22"/>
          <w:szCs w:val="22"/>
          <w:lang w:val="sr-Latn-RS"/>
        </w:rPr>
        <w:t xml:space="preserve"> podrške regionalnom razvoju</w:t>
      </w:r>
    </w:p>
    <w:p w14:paraId="62CB4E9F" w14:textId="33397F41" w:rsidR="00230C51" w:rsidRPr="0083712E" w:rsidRDefault="00230C51">
      <w:pPr>
        <w:pStyle w:val="N01X"/>
        <w:rPr>
          <w:sz w:val="22"/>
          <w:szCs w:val="22"/>
          <w:lang w:val="sr-Latn-RS"/>
        </w:rPr>
      </w:pPr>
      <w:r w:rsidRPr="0083712E">
        <w:rPr>
          <w:sz w:val="22"/>
          <w:szCs w:val="22"/>
          <w:lang w:val="sr-Latn-RS"/>
        </w:rPr>
        <w:t>Član 22</w:t>
      </w:r>
    </w:p>
    <w:p w14:paraId="2C941A88" w14:textId="06B14D14" w:rsidR="00230C51" w:rsidRPr="0083712E" w:rsidRDefault="00230C51" w:rsidP="00BC388B">
      <w:pPr>
        <w:pStyle w:val="N01X"/>
        <w:jc w:val="both"/>
        <w:rPr>
          <w:b w:val="0"/>
          <w:bCs w:val="0"/>
          <w:sz w:val="22"/>
          <w:szCs w:val="22"/>
          <w:lang w:val="sr-Latn-RS"/>
        </w:rPr>
      </w:pPr>
      <w:r w:rsidRPr="0083712E">
        <w:rPr>
          <w:b w:val="0"/>
          <w:bCs w:val="0"/>
          <w:sz w:val="22"/>
          <w:szCs w:val="22"/>
          <w:lang w:val="sr-Latn-RS"/>
        </w:rPr>
        <w:t>Radi praćenja sprovođenja politike regionalnog razvoja i efikasnijeg planiranja, uspostavlja se elektronska baza podataka o razvojnim projektima</w:t>
      </w:r>
      <w:r w:rsidR="00E00E52">
        <w:rPr>
          <w:b w:val="0"/>
          <w:bCs w:val="0"/>
          <w:sz w:val="22"/>
          <w:szCs w:val="22"/>
          <w:lang w:val="sr-Latn-RS"/>
        </w:rPr>
        <w:t xml:space="preserve"> i  mjerama podrš</w:t>
      </w:r>
      <w:r w:rsidR="005C60AC">
        <w:rPr>
          <w:b w:val="0"/>
          <w:bCs w:val="0"/>
          <w:sz w:val="22"/>
          <w:szCs w:val="22"/>
          <w:lang w:val="sr-Latn-RS"/>
        </w:rPr>
        <w:t>k</w:t>
      </w:r>
      <w:r w:rsidR="00E00E52">
        <w:rPr>
          <w:b w:val="0"/>
          <w:bCs w:val="0"/>
          <w:sz w:val="22"/>
          <w:szCs w:val="22"/>
          <w:lang w:val="sr-Latn-RS"/>
        </w:rPr>
        <w:t>e regionalnom razvoju</w:t>
      </w:r>
      <w:r w:rsidRPr="0083712E">
        <w:rPr>
          <w:b w:val="0"/>
          <w:bCs w:val="0"/>
          <w:sz w:val="22"/>
          <w:szCs w:val="22"/>
          <w:lang w:val="sr-Latn-RS"/>
        </w:rPr>
        <w:t xml:space="preserve"> (u daljem tekstu: elektronska baza).</w:t>
      </w:r>
    </w:p>
    <w:p w14:paraId="48CA950B" w14:textId="0A07C4D0" w:rsidR="00230C51" w:rsidRPr="0083712E" w:rsidRDefault="00230C51" w:rsidP="00BC388B">
      <w:pPr>
        <w:pStyle w:val="N01X"/>
        <w:jc w:val="both"/>
        <w:rPr>
          <w:b w:val="0"/>
          <w:bCs w:val="0"/>
          <w:sz w:val="22"/>
          <w:szCs w:val="22"/>
          <w:lang w:val="sr-Latn-RS"/>
        </w:rPr>
      </w:pPr>
      <w:r w:rsidRPr="0083712E">
        <w:rPr>
          <w:b w:val="0"/>
          <w:bCs w:val="0"/>
          <w:sz w:val="22"/>
          <w:szCs w:val="22"/>
          <w:lang w:val="sr-Latn-RS"/>
        </w:rPr>
        <w:t>Elektronsku bazu uspostavlja i vodi Ministarstvo, u saradnji sa organom državne uprave nadležnim za informaciono društvo.</w:t>
      </w:r>
    </w:p>
    <w:p w14:paraId="1EC4A555" w14:textId="20F4656C" w:rsidR="00230C51" w:rsidRPr="0083712E" w:rsidRDefault="00230C51" w:rsidP="00BC388B">
      <w:pPr>
        <w:pStyle w:val="N01X"/>
        <w:jc w:val="both"/>
        <w:rPr>
          <w:b w:val="0"/>
          <w:bCs w:val="0"/>
          <w:sz w:val="22"/>
          <w:szCs w:val="22"/>
          <w:lang w:val="sr-Latn-RS"/>
        </w:rPr>
      </w:pPr>
      <w:r w:rsidRPr="0083712E">
        <w:rPr>
          <w:b w:val="0"/>
          <w:bCs w:val="0"/>
          <w:sz w:val="22"/>
          <w:szCs w:val="22"/>
          <w:lang w:val="sr-Latn-RS"/>
        </w:rPr>
        <w:t xml:space="preserve">Pristup elektronskoj bazi i obavezu unosa podataka o razvojnim projektima, imaju organi i organizacije iz člana </w:t>
      </w:r>
      <w:r w:rsidR="00DC12B2">
        <w:rPr>
          <w:b w:val="0"/>
          <w:bCs w:val="0"/>
          <w:sz w:val="22"/>
          <w:szCs w:val="22"/>
          <w:lang w:val="sr-Latn-RS"/>
        </w:rPr>
        <w:t>8</w:t>
      </w:r>
      <w:r w:rsidRPr="0083712E">
        <w:rPr>
          <w:b w:val="0"/>
          <w:bCs w:val="0"/>
          <w:sz w:val="22"/>
          <w:szCs w:val="22"/>
          <w:lang w:val="sr-Latn-RS"/>
        </w:rPr>
        <w:t xml:space="preserve"> stav 1 ovog zakona.</w:t>
      </w:r>
    </w:p>
    <w:p w14:paraId="79077BA7" w14:textId="5AE3B234" w:rsidR="00230C51" w:rsidRPr="0083712E" w:rsidRDefault="00230C51" w:rsidP="00BC388B">
      <w:pPr>
        <w:pStyle w:val="N01X"/>
        <w:jc w:val="both"/>
        <w:rPr>
          <w:b w:val="0"/>
          <w:bCs w:val="0"/>
          <w:sz w:val="22"/>
          <w:szCs w:val="22"/>
          <w:lang w:val="sr-Latn-RS"/>
        </w:rPr>
      </w:pPr>
      <w:r w:rsidRPr="0083712E">
        <w:rPr>
          <w:b w:val="0"/>
          <w:bCs w:val="0"/>
          <w:sz w:val="22"/>
          <w:szCs w:val="22"/>
          <w:lang w:val="sr-Latn-RS"/>
        </w:rPr>
        <w:t xml:space="preserve">Organi i organizacije iz člana </w:t>
      </w:r>
      <w:r w:rsidR="00DC12B2">
        <w:rPr>
          <w:b w:val="0"/>
          <w:bCs w:val="0"/>
          <w:sz w:val="22"/>
          <w:szCs w:val="22"/>
          <w:lang w:val="sr-Latn-RS"/>
        </w:rPr>
        <w:t>8</w:t>
      </w:r>
      <w:r w:rsidRPr="0083712E">
        <w:rPr>
          <w:b w:val="0"/>
          <w:bCs w:val="0"/>
          <w:sz w:val="22"/>
          <w:szCs w:val="22"/>
          <w:lang w:val="sr-Latn-RS"/>
        </w:rPr>
        <w:t xml:space="preserve"> stav 1 ovog zakona dužni su da najmanje tromjesečno unose i ažuriraju podatke o razvojnim projektima </w:t>
      </w:r>
      <w:r w:rsidR="00DF7B0E">
        <w:rPr>
          <w:b w:val="0"/>
          <w:bCs w:val="0"/>
          <w:sz w:val="22"/>
          <w:szCs w:val="22"/>
          <w:lang w:val="sr-Latn-RS"/>
        </w:rPr>
        <w:t xml:space="preserve">i mjerama podrške regionalnom razviju </w:t>
      </w:r>
      <w:r w:rsidRPr="0083712E">
        <w:rPr>
          <w:b w:val="0"/>
          <w:bCs w:val="0"/>
          <w:sz w:val="22"/>
          <w:szCs w:val="22"/>
          <w:lang w:val="sr-Latn-RS"/>
        </w:rPr>
        <w:t>koje pripremaju i sprovode.</w:t>
      </w:r>
    </w:p>
    <w:p w14:paraId="2F1FA457" w14:textId="55C52070" w:rsidR="00230C51" w:rsidRDefault="00230C51" w:rsidP="00BC388B">
      <w:pPr>
        <w:pStyle w:val="N01X"/>
        <w:jc w:val="both"/>
        <w:rPr>
          <w:b w:val="0"/>
          <w:bCs w:val="0"/>
          <w:sz w:val="22"/>
          <w:szCs w:val="22"/>
          <w:lang w:val="sr-Latn-RS"/>
        </w:rPr>
      </w:pPr>
      <w:r w:rsidRPr="0083712E">
        <w:rPr>
          <w:b w:val="0"/>
          <w:bCs w:val="0"/>
          <w:sz w:val="22"/>
          <w:szCs w:val="22"/>
          <w:lang w:val="sr-Latn-RS"/>
        </w:rPr>
        <w:t>Bliži način unosa i korišćenja podataka, vrstu i obim podataka koji se unose u elektronsku bazu iz stava 1 ovog člana utvrđuje se propisom Ministarstva.</w:t>
      </w:r>
    </w:p>
    <w:p w14:paraId="067A5B1B" w14:textId="77777777" w:rsidR="00350DB3" w:rsidRDefault="00350DB3" w:rsidP="00BC388B">
      <w:pPr>
        <w:pStyle w:val="N01X"/>
        <w:jc w:val="both"/>
        <w:rPr>
          <w:b w:val="0"/>
          <w:bCs w:val="0"/>
          <w:sz w:val="22"/>
          <w:szCs w:val="22"/>
          <w:lang w:val="sr-Latn-RS"/>
        </w:rPr>
      </w:pPr>
    </w:p>
    <w:p w14:paraId="6BF05C05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VII. PARTNERSKI SAVJET ZA REGIONALNI RAZVOJ</w:t>
      </w:r>
    </w:p>
    <w:p w14:paraId="7F07116A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Osnivanje i ovlašćenja</w:t>
      </w:r>
    </w:p>
    <w:p w14:paraId="4D341B66" w14:textId="6235A069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23</w:t>
      </w:r>
    </w:p>
    <w:p w14:paraId="630BF6B0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Radi praćenja i unaprjeđivanja regionalnog razvoja Crne Gore Vlada osniva Partnerski savjet za regionalni razvoj (u daljem tekstu: Partnerski savjet).</w:t>
      </w:r>
    </w:p>
    <w:p w14:paraId="5D03A796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Partnerski savjet:</w:t>
      </w:r>
    </w:p>
    <w:p w14:paraId="704103AD" w14:textId="6C386A27" w:rsidR="00230C51" w:rsidRDefault="00230C51" w:rsidP="00DF7B0E">
      <w:pPr>
        <w:pStyle w:val="T30X"/>
        <w:numPr>
          <w:ilvl w:val="0"/>
          <w:numId w:val="10"/>
        </w:numPr>
        <w:rPr>
          <w:lang w:val="sr-Latn-RS"/>
        </w:rPr>
      </w:pPr>
      <w:r w:rsidRPr="003F6501">
        <w:rPr>
          <w:lang w:val="sr-Latn-RS"/>
        </w:rPr>
        <w:t>prati stanje u oblasti regionalnog razvoja i daje preporuke za preduzimanje mjera za unaprjeđivanje regionalnog razvoja Crne Gore;</w:t>
      </w:r>
    </w:p>
    <w:p w14:paraId="01416021" w14:textId="77777777" w:rsidR="00AB392A" w:rsidRDefault="00117ACE" w:rsidP="00117AC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sr-Latn-RS"/>
        </w:rPr>
      </w:pPr>
      <w:r w:rsidRPr="00DF7B0E">
        <w:rPr>
          <w:rFonts w:ascii="Times New Roman" w:hAnsi="Times New Roman" w:cs="Times New Roman"/>
          <w:lang w:val="sr-Latn-RS"/>
        </w:rPr>
        <w:t>analizira važeće propise i strateška dokumenata sa aspekta njihovog uticaja na  regionalni razvoj, inicira predlaganje izmjena propisa i strateških dokumenata radi unapredjenja regionalnog razvoj</w:t>
      </w:r>
      <w:r w:rsidR="00E71844" w:rsidRPr="00E71844">
        <w:rPr>
          <w:rFonts w:ascii="Times New Roman" w:hAnsi="Times New Roman" w:cs="Times New Roman"/>
          <w:lang w:val="sr-Latn-RS"/>
        </w:rPr>
        <w:t>a</w:t>
      </w:r>
      <w:r w:rsidR="00AB392A">
        <w:rPr>
          <w:rFonts w:ascii="Times New Roman" w:hAnsi="Times New Roman" w:cs="Times New Roman"/>
          <w:lang w:val="sr-Latn-RS"/>
        </w:rPr>
        <w:t xml:space="preserve">, </w:t>
      </w:r>
    </w:p>
    <w:p w14:paraId="1210EA1E" w14:textId="00514D8D" w:rsidR="00117ACE" w:rsidRPr="00DF7B0E" w:rsidRDefault="00AB392A" w:rsidP="00117AC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sugeriše donošenje nekih propisa ili strateških dokumenata ako je to neophodno</w:t>
      </w:r>
      <w:r w:rsidR="00117ACE" w:rsidRPr="00DF7B0E">
        <w:rPr>
          <w:rFonts w:ascii="Times New Roman" w:hAnsi="Times New Roman" w:cs="Times New Roman"/>
          <w:lang w:val="sr-Latn-RS"/>
        </w:rPr>
        <w:t>;</w:t>
      </w:r>
    </w:p>
    <w:p w14:paraId="2DF23979" w14:textId="0814AEEF" w:rsidR="00117ACE" w:rsidRPr="00DF7B0E" w:rsidRDefault="00117ACE" w:rsidP="00117AC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pl-PL"/>
        </w:rPr>
      </w:pPr>
      <w:r w:rsidRPr="00DF7B0E">
        <w:rPr>
          <w:rFonts w:ascii="Times New Roman" w:hAnsi="Times New Roman" w:cs="Times New Roman"/>
          <w:lang w:val="pl-PL"/>
        </w:rPr>
        <w:t>razmatra nacionalna razvojna dokumenta koja su od važnosti za regional</w:t>
      </w:r>
      <w:r w:rsidR="00E71844" w:rsidRPr="00E71844">
        <w:rPr>
          <w:rFonts w:ascii="Times New Roman" w:hAnsi="Times New Roman" w:cs="Times New Roman"/>
          <w:lang w:val="pl-PL"/>
        </w:rPr>
        <w:t>ni razvoj;</w:t>
      </w:r>
      <w:r w:rsidRPr="00DF7B0E">
        <w:rPr>
          <w:rFonts w:ascii="Times New Roman" w:hAnsi="Times New Roman" w:cs="Times New Roman"/>
          <w:lang w:val="pl-PL"/>
        </w:rPr>
        <w:t xml:space="preserve"> </w:t>
      </w:r>
    </w:p>
    <w:p w14:paraId="40938FC1" w14:textId="7C1C3F84" w:rsidR="00117ACE" w:rsidRPr="00DF7B0E" w:rsidRDefault="00117ACE" w:rsidP="00117ACE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pl-PL"/>
        </w:rPr>
      </w:pPr>
      <w:r w:rsidRPr="00DF7B0E">
        <w:rPr>
          <w:rFonts w:ascii="Times New Roman" w:hAnsi="Times New Roman" w:cs="Times New Roman"/>
          <w:lang w:val="pl-PL"/>
        </w:rPr>
        <w:t xml:space="preserve">prati, koordinira i ocjenjuje ključne aktivnosti organa državne uprave i drugih nadležnih organa i institucija za sprovodjenje strateških dokumenata u oblasti regionalnog razvoja; </w:t>
      </w:r>
    </w:p>
    <w:p w14:paraId="24163349" w14:textId="41F5C456" w:rsidR="00E00E52" w:rsidRPr="00DF7B0E" w:rsidRDefault="00117ACE" w:rsidP="00DF7B0E">
      <w:pPr>
        <w:pStyle w:val="ListParagraph"/>
        <w:numPr>
          <w:ilvl w:val="0"/>
          <w:numId w:val="10"/>
        </w:numPr>
        <w:jc w:val="both"/>
        <w:rPr>
          <w:lang w:val="pl-PL"/>
        </w:rPr>
      </w:pPr>
      <w:r w:rsidRPr="00DF7B0E">
        <w:rPr>
          <w:rFonts w:ascii="Times New Roman" w:hAnsi="Times New Roman" w:cs="Times New Roman"/>
          <w:lang w:val="pl-PL"/>
        </w:rPr>
        <w:t xml:space="preserve">promoviše značaj dijaloga izmedju organa državne uprave i jedinica lokalne samouprave, akademske zajednice i civilnog sektora. </w:t>
      </w:r>
    </w:p>
    <w:p w14:paraId="0936EA0E" w14:textId="4B4D3E46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</w:t>
      </w:r>
      <w:r w:rsidR="00117ACE">
        <w:rPr>
          <w:lang w:val="sr-Latn-RS"/>
        </w:rPr>
        <w:t>6</w:t>
      </w:r>
      <w:r w:rsidRPr="003F6501">
        <w:rPr>
          <w:lang w:val="sr-Latn-RS"/>
        </w:rPr>
        <w:t>) daje mišljenje na nacrt Strategije;</w:t>
      </w:r>
    </w:p>
    <w:p w14:paraId="1ABDC546" w14:textId="6D5AD0AE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</w:t>
      </w:r>
      <w:r w:rsidR="00117ACE">
        <w:rPr>
          <w:lang w:val="sr-Latn-RS"/>
        </w:rPr>
        <w:t>7</w:t>
      </w:r>
      <w:r w:rsidRPr="003F6501">
        <w:rPr>
          <w:lang w:val="sr-Latn-RS"/>
        </w:rPr>
        <w:t>) daje preporuke za utvrđivanje prioriteta u realizaciji razvojnih projekata;</w:t>
      </w:r>
    </w:p>
    <w:p w14:paraId="665AC04E" w14:textId="50048777" w:rsidR="005C73B0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</w:t>
      </w:r>
      <w:r w:rsidR="00117ACE">
        <w:rPr>
          <w:lang w:val="sr-Latn-RS"/>
        </w:rPr>
        <w:t>8</w:t>
      </w:r>
      <w:r w:rsidRPr="003F6501">
        <w:rPr>
          <w:lang w:val="sr-Latn-RS"/>
        </w:rPr>
        <w:t xml:space="preserve">) sagledava efekte primjene politike regionalnog razvoja;  </w:t>
      </w:r>
    </w:p>
    <w:p w14:paraId="79B0C17E" w14:textId="58CDBB91" w:rsidR="00230C51" w:rsidRPr="003F6501" w:rsidRDefault="005C73B0">
      <w:pPr>
        <w:pStyle w:val="T30X"/>
        <w:ind w:left="567" w:hanging="283"/>
        <w:rPr>
          <w:lang w:val="sr-Latn-RS"/>
        </w:rPr>
      </w:pPr>
      <w:r>
        <w:rPr>
          <w:lang w:val="sr-Latn-RS"/>
        </w:rPr>
        <w:t xml:space="preserve">  </w:t>
      </w:r>
      <w:r w:rsidR="00230C51" w:rsidRPr="003F6501">
        <w:rPr>
          <w:lang w:val="sr-Latn-RS"/>
        </w:rPr>
        <w:t xml:space="preserve"> </w:t>
      </w:r>
      <w:r w:rsidR="00117ACE">
        <w:rPr>
          <w:lang w:val="sr-Latn-RS"/>
        </w:rPr>
        <w:t>9</w:t>
      </w:r>
      <w:r w:rsidR="00230C51" w:rsidRPr="003F6501">
        <w:rPr>
          <w:lang w:val="sr-Latn-RS"/>
        </w:rPr>
        <w:t>) donosi poslovnik o svom radu;</w:t>
      </w:r>
    </w:p>
    <w:p w14:paraId="0CFBEB59" w14:textId="67A1939F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</w:t>
      </w:r>
      <w:r w:rsidR="00117ACE">
        <w:rPr>
          <w:lang w:val="sr-Latn-RS"/>
        </w:rPr>
        <w:t>10</w:t>
      </w:r>
      <w:r w:rsidRPr="003F6501">
        <w:rPr>
          <w:lang w:val="sr-Latn-RS"/>
        </w:rPr>
        <w:t>) vrši i druge poslove u skladu sa zakonom.</w:t>
      </w:r>
    </w:p>
    <w:p w14:paraId="37807074" w14:textId="425C3202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lastRenderedPageBreak/>
        <w:t xml:space="preserve">Članovi Partnerskog savjeta se imenuju iz reda predstavnika organa državne uprave, jedinica lokalne samouprave, univerziteta, udruženja poslodavaca, nevladinih organizacija u oblasti </w:t>
      </w:r>
      <w:r w:rsidR="004B6D31">
        <w:rPr>
          <w:lang w:val="sr-Latn-RS"/>
        </w:rPr>
        <w:t xml:space="preserve">regionalnog razvoja </w:t>
      </w:r>
      <w:r w:rsidRPr="003F6501">
        <w:rPr>
          <w:lang w:val="sr-Latn-RS"/>
        </w:rPr>
        <w:t>organizacija koje obavljaju poslove kojima se podstiče regionalni razvoj.</w:t>
      </w:r>
    </w:p>
    <w:p w14:paraId="5566D1AE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Bliži sastav, mandat i druga pitanja od značaja za rad Partnerskog savjeta uređuju se aktom o osnivanju.</w:t>
      </w:r>
    </w:p>
    <w:p w14:paraId="6486DB3F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Akt iz stava 4 ovog člana objavljuje se u "Službenom listu Crne Gore".</w:t>
      </w:r>
    </w:p>
    <w:p w14:paraId="2495F454" w14:textId="4ABB9EDE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VIIa VRŠENJE NADZORA</w:t>
      </w:r>
    </w:p>
    <w:p w14:paraId="27CAF855" w14:textId="6D5B535C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23a</w:t>
      </w:r>
    </w:p>
    <w:p w14:paraId="30A5A919" w14:textId="6BC95E7A" w:rsidR="00230C5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Nadzor nad sprovođenjem ovog zakona vrši Ministarstvo.</w:t>
      </w:r>
    </w:p>
    <w:p w14:paraId="273A4C5B" w14:textId="02901767" w:rsidR="003C437A" w:rsidRDefault="003C437A">
      <w:pPr>
        <w:pStyle w:val="T30X"/>
        <w:rPr>
          <w:lang w:val="sr-Latn-RS"/>
        </w:rPr>
      </w:pPr>
    </w:p>
    <w:p w14:paraId="6CDE83D0" w14:textId="77777777" w:rsidR="003C437A" w:rsidRPr="003F6501" w:rsidRDefault="003C437A">
      <w:pPr>
        <w:pStyle w:val="T30X"/>
        <w:rPr>
          <w:lang w:val="sr-Latn-RS"/>
        </w:rPr>
      </w:pPr>
    </w:p>
    <w:p w14:paraId="5E550437" w14:textId="28AD0962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VIII. KAZNENE ODREDBE</w:t>
      </w:r>
    </w:p>
    <w:p w14:paraId="7E8F8D8A" w14:textId="64322BA6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Prekršaji</w:t>
      </w:r>
    </w:p>
    <w:p w14:paraId="4EC0B686" w14:textId="5AAFA9CC" w:rsidR="00230C51" w:rsidRPr="003F6501" w:rsidRDefault="005C73B0">
      <w:pPr>
        <w:pStyle w:val="C30X"/>
        <w:rPr>
          <w:lang w:val="sr-Latn-RS"/>
        </w:rPr>
      </w:pPr>
      <w:r>
        <w:rPr>
          <w:lang w:val="sr-Latn-RS"/>
        </w:rPr>
        <w:t xml:space="preserve"> </w:t>
      </w:r>
      <w:r w:rsidR="00230C51" w:rsidRPr="003F6501">
        <w:rPr>
          <w:lang w:val="sr-Latn-RS"/>
        </w:rPr>
        <w:t>Član 2</w:t>
      </w:r>
      <w:r w:rsidR="00942074">
        <w:rPr>
          <w:lang w:val="sr-Latn-RS"/>
        </w:rPr>
        <w:t>4</w:t>
      </w:r>
    </w:p>
    <w:p w14:paraId="516C3619" w14:textId="0A812A16" w:rsidR="00734522" w:rsidRDefault="00230C51" w:rsidP="00734522">
      <w:pPr>
        <w:pStyle w:val="T30X"/>
        <w:rPr>
          <w:lang w:val="sr-Latn-RS"/>
        </w:rPr>
      </w:pPr>
      <w:r w:rsidRPr="003F6501">
        <w:rPr>
          <w:lang w:val="sr-Latn-RS"/>
        </w:rPr>
        <w:t>Novčanom kaznom u iznosu od 200 eura do 2.000 eura kazniće se za prekršaj odgovorno lice u organu državne uprave, ako:</w:t>
      </w:r>
    </w:p>
    <w:p w14:paraId="0117BEDF" w14:textId="38540644" w:rsidR="00734522" w:rsidRPr="00734522" w:rsidRDefault="00734522" w:rsidP="00734522">
      <w:pPr>
        <w:pStyle w:val="T30X"/>
        <w:numPr>
          <w:ilvl w:val="0"/>
          <w:numId w:val="11"/>
        </w:numPr>
        <w:rPr>
          <w:lang w:val="sr-Latn-RS"/>
        </w:rPr>
      </w:pPr>
      <w:r>
        <w:rPr>
          <w:lang w:val="sr-Latn-RS"/>
        </w:rPr>
        <w:t>ne primjenjuju stepen razvijenosti jedinica lokalne samouprave prilikom kreiranja programa i planova koji se donose u skladu sa zakonom i Strategijom, definisanja njihovog obima i vrste</w:t>
      </w:r>
    </w:p>
    <w:p w14:paraId="3E7CE2F9" w14:textId="67758158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</w:t>
      </w:r>
      <w:r w:rsidR="00734522">
        <w:rPr>
          <w:lang w:val="sr-Latn-RS"/>
        </w:rPr>
        <w:t>2</w:t>
      </w:r>
      <w:r w:rsidRPr="003F6501">
        <w:rPr>
          <w:lang w:val="sr-Latn-RS"/>
        </w:rPr>
        <w:t xml:space="preserve">) ne dostavi Ministarstvu godišnji izvještaj o realizaciji razvojnih projekata koji su u funkciji sprovođenja Strategije i strateških planova, najkasnije do </w:t>
      </w:r>
      <w:r w:rsidR="00942074">
        <w:rPr>
          <w:lang w:val="sr-Latn-RS"/>
        </w:rPr>
        <w:t xml:space="preserve">31. marta </w:t>
      </w:r>
      <w:r w:rsidRPr="003F6501">
        <w:rPr>
          <w:lang w:val="sr-Latn-RS"/>
        </w:rPr>
        <w:t>tekuće za prethodnu godinu (član 11 stav 1);</w:t>
      </w:r>
    </w:p>
    <w:p w14:paraId="16F6A02A" w14:textId="21EFEDB4" w:rsidR="006E264E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</w:t>
      </w:r>
      <w:r w:rsidR="00734522">
        <w:rPr>
          <w:lang w:val="sr-Latn-RS"/>
        </w:rPr>
        <w:t>3</w:t>
      </w:r>
      <w:r w:rsidRPr="003F6501">
        <w:rPr>
          <w:lang w:val="sr-Latn-RS"/>
        </w:rPr>
        <w:t xml:space="preserve">) ne dostavi Ministarstvu podatke kojima raspolaže potrebne za izračunavanje indeksa razvijenosti i indeksa konkurentnosti (član 13 stav 4 i član 17 stav 5);   </w:t>
      </w:r>
    </w:p>
    <w:p w14:paraId="4E3E773F" w14:textId="0C7ED8FA" w:rsidR="00230C51" w:rsidRPr="003F6501" w:rsidRDefault="000E0928">
      <w:pPr>
        <w:pStyle w:val="T30X"/>
        <w:ind w:left="567" w:hanging="283"/>
        <w:rPr>
          <w:lang w:val="sr-Latn-RS"/>
        </w:rPr>
      </w:pPr>
      <w:r>
        <w:rPr>
          <w:lang w:val="sr-Latn-RS"/>
        </w:rPr>
        <w:t xml:space="preserve">   </w:t>
      </w:r>
      <w:r w:rsidR="00734522">
        <w:rPr>
          <w:lang w:val="sr-Latn-RS"/>
        </w:rPr>
        <w:t>4</w:t>
      </w:r>
      <w:r w:rsidR="00230C51" w:rsidRPr="003F6501">
        <w:rPr>
          <w:lang w:val="sr-Latn-RS"/>
        </w:rPr>
        <w:t xml:space="preserve">) ne unese podatke o razvojnim projektima </w:t>
      </w:r>
      <w:r w:rsidR="00DF7B0E">
        <w:rPr>
          <w:lang w:val="sr-Latn-RS"/>
        </w:rPr>
        <w:t xml:space="preserve">i mjerama podrške regionalnom razvoju </w:t>
      </w:r>
      <w:r w:rsidR="00230C51" w:rsidRPr="003F6501">
        <w:rPr>
          <w:lang w:val="sr-Latn-RS"/>
        </w:rPr>
        <w:t>u elektronsku bazu (član 22 stav 3)."</w:t>
      </w:r>
    </w:p>
    <w:p w14:paraId="4D719C5B" w14:textId="7956A657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2</w:t>
      </w:r>
      <w:r w:rsidR="00942074">
        <w:rPr>
          <w:lang w:val="sr-Latn-RS"/>
        </w:rPr>
        <w:t>4a</w:t>
      </w:r>
    </w:p>
    <w:p w14:paraId="1A881B30" w14:textId="77777777" w:rsidR="00230C51" w:rsidRPr="003F650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Novčanom kaznom u iznosu od 200 eura do 2.000 eura kazniće se za prekršaj odgovorno lice u organu lokalne samouprave, ako:</w:t>
      </w:r>
    </w:p>
    <w:p w14:paraId="7287C8E4" w14:textId="0C38484D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1) ne dostavi Ministarstvu predlog strateškog plana na saglasnost (član </w:t>
      </w:r>
      <w:r w:rsidR="00165137">
        <w:rPr>
          <w:lang w:val="sr-Latn-RS"/>
        </w:rPr>
        <w:t>7</w:t>
      </w:r>
      <w:r w:rsidRPr="003F6501">
        <w:rPr>
          <w:lang w:val="sr-Latn-RS"/>
        </w:rPr>
        <w:t xml:space="preserve"> stav 2);</w:t>
      </w:r>
    </w:p>
    <w:p w14:paraId="5E32C578" w14:textId="663A6CA4" w:rsidR="00230C51" w:rsidRPr="003F650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2) ne predloži strateški plan nadležnom organu jedinice lokalne samouprave (član </w:t>
      </w:r>
      <w:r w:rsidR="00165137">
        <w:rPr>
          <w:lang w:val="sr-Latn-RS"/>
        </w:rPr>
        <w:t>7</w:t>
      </w:r>
      <w:r w:rsidRPr="003F6501">
        <w:rPr>
          <w:lang w:val="sr-Latn-RS"/>
        </w:rPr>
        <w:t xml:space="preserve"> stav 3)</w:t>
      </w:r>
    </w:p>
    <w:p w14:paraId="5CCE6322" w14:textId="1F05DC4C" w:rsidR="00230C51" w:rsidRDefault="00230C51">
      <w:pPr>
        <w:pStyle w:val="T30X"/>
        <w:ind w:left="567" w:hanging="283"/>
        <w:rPr>
          <w:lang w:val="sr-Latn-RS"/>
        </w:rPr>
      </w:pPr>
      <w:r w:rsidRPr="003F6501">
        <w:rPr>
          <w:lang w:val="sr-Latn-RS"/>
        </w:rPr>
        <w:t xml:space="preserve">   3) ne dostavi Ministarstvu godišnji </w:t>
      </w:r>
      <w:r w:rsidR="00DF7B0E">
        <w:rPr>
          <w:lang w:val="sr-Latn-RS"/>
        </w:rPr>
        <w:t xml:space="preserve">aktcioni plan i </w:t>
      </w:r>
      <w:r w:rsidRPr="003F6501">
        <w:rPr>
          <w:lang w:val="sr-Latn-RS"/>
        </w:rPr>
        <w:t xml:space="preserve">izvještaj o sprovođenju strateškog plana (član </w:t>
      </w:r>
      <w:r w:rsidR="00126A86">
        <w:rPr>
          <w:lang w:val="sr-Latn-RS"/>
        </w:rPr>
        <w:t>7</w:t>
      </w:r>
      <w:r w:rsidR="00DF7B0E">
        <w:rPr>
          <w:lang w:val="sr-Latn-RS"/>
        </w:rPr>
        <w:t xml:space="preserve"> </w:t>
      </w:r>
      <w:r w:rsidRPr="003F6501">
        <w:rPr>
          <w:lang w:val="sr-Latn-RS"/>
        </w:rPr>
        <w:t xml:space="preserve">stav </w:t>
      </w:r>
      <w:r w:rsidR="00DF7B0E">
        <w:rPr>
          <w:lang w:val="sr-Latn-RS"/>
        </w:rPr>
        <w:t>4</w:t>
      </w:r>
      <w:r w:rsidRPr="003F6501">
        <w:rPr>
          <w:lang w:val="sr-Latn-RS"/>
        </w:rPr>
        <w:t>).</w:t>
      </w:r>
    </w:p>
    <w:p w14:paraId="3EE12002" w14:textId="77777777" w:rsidR="00350DB3" w:rsidRPr="003F6501" w:rsidRDefault="00350DB3">
      <w:pPr>
        <w:pStyle w:val="T30X"/>
        <w:ind w:left="567" w:hanging="283"/>
        <w:rPr>
          <w:lang w:val="sr-Latn-RS"/>
        </w:rPr>
      </w:pPr>
    </w:p>
    <w:p w14:paraId="74BE07AF" w14:textId="316F76FE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t>X. PRELAZNE I ZAVRŠNE ODREDBE</w:t>
      </w:r>
    </w:p>
    <w:p w14:paraId="3939B9D6" w14:textId="1C34AB6B" w:rsidR="00230C51" w:rsidRPr="003F6501" w:rsidRDefault="006E264E">
      <w:pPr>
        <w:pStyle w:val="N01X"/>
        <w:rPr>
          <w:lang w:val="sr-Latn-RS"/>
        </w:rPr>
      </w:pPr>
      <w:r>
        <w:rPr>
          <w:lang w:val="sr-Latn-RS"/>
        </w:rPr>
        <w:t xml:space="preserve">Usklađivanje </w:t>
      </w:r>
      <w:r w:rsidR="00230C51" w:rsidRPr="003F6501">
        <w:rPr>
          <w:lang w:val="sr-Latn-RS"/>
        </w:rPr>
        <w:t>Strategije</w:t>
      </w:r>
    </w:p>
    <w:p w14:paraId="769B2AEB" w14:textId="1219A647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>Član 25</w:t>
      </w:r>
    </w:p>
    <w:p w14:paraId="5D31E1D9" w14:textId="7C46CE81" w:rsidR="00061CCF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 xml:space="preserve">Strategija regionalnog razvoja Crne Gore </w:t>
      </w:r>
      <w:r w:rsidR="006E264E">
        <w:rPr>
          <w:lang w:val="sr-Latn-RS"/>
        </w:rPr>
        <w:t>postepeno se usklađuje sa višegodišnjim finansijskim okvirom EU i ciljevima ekonomske, socijalne i teritorijalne kohezije EU.</w:t>
      </w:r>
    </w:p>
    <w:p w14:paraId="43240181" w14:textId="5D95C2BE" w:rsidR="006E264E" w:rsidRDefault="006E264E" w:rsidP="00350DB3">
      <w:pPr>
        <w:pStyle w:val="T30X"/>
        <w:rPr>
          <w:lang w:val="sr-Latn-RS"/>
        </w:rPr>
      </w:pPr>
      <w:r>
        <w:rPr>
          <w:lang w:val="sr-Latn-RS"/>
        </w:rPr>
        <w:t>Do dana pristupanja EU uspostavlja se pravni i institucionalni okvir politike regionalnog razvoja u skladu sa standardima, regulativom i najboljim praksama država članica EU.</w:t>
      </w:r>
    </w:p>
    <w:p w14:paraId="01B661EA" w14:textId="77777777" w:rsidR="006E264E" w:rsidRPr="003F6501" w:rsidRDefault="006E264E" w:rsidP="006E264E">
      <w:pPr>
        <w:pStyle w:val="T30X"/>
        <w:ind w:firstLine="0"/>
        <w:rPr>
          <w:lang w:val="sr-Latn-RS"/>
        </w:rPr>
      </w:pPr>
    </w:p>
    <w:p w14:paraId="3A84AE6C" w14:textId="77777777" w:rsidR="00230C51" w:rsidRPr="003F6501" w:rsidRDefault="00230C51">
      <w:pPr>
        <w:pStyle w:val="N01X"/>
        <w:rPr>
          <w:lang w:val="sr-Latn-RS"/>
        </w:rPr>
      </w:pPr>
      <w:r w:rsidRPr="003F6501">
        <w:rPr>
          <w:lang w:val="sr-Latn-RS"/>
        </w:rPr>
        <w:lastRenderedPageBreak/>
        <w:t>Stupanje na snagu</w:t>
      </w:r>
    </w:p>
    <w:p w14:paraId="0F242E71" w14:textId="6245774D" w:rsidR="00230C51" w:rsidRPr="003F6501" w:rsidRDefault="00230C51">
      <w:pPr>
        <w:pStyle w:val="C30X"/>
        <w:rPr>
          <w:lang w:val="sr-Latn-RS"/>
        </w:rPr>
      </w:pPr>
      <w:r w:rsidRPr="003F6501">
        <w:rPr>
          <w:lang w:val="sr-Latn-RS"/>
        </w:rPr>
        <w:t xml:space="preserve">Član </w:t>
      </w:r>
      <w:r w:rsidR="00FC10C9">
        <w:rPr>
          <w:lang w:val="sr-Latn-RS"/>
        </w:rPr>
        <w:t>26</w:t>
      </w:r>
    </w:p>
    <w:p w14:paraId="7A166A48" w14:textId="77777777" w:rsidR="00230C51" w:rsidRDefault="00230C51">
      <w:pPr>
        <w:pStyle w:val="T30X"/>
        <w:rPr>
          <w:lang w:val="sr-Latn-RS"/>
        </w:rPr>
      </w:pPr>
      <w:r w:rsidRPr="003F6501">
        <w:rPr>
          <w:lang w:val="sr-Latn-RS"/>
        </w:rPr>
        <w:t>Ovaj zakon stupa na snagu osmog dana od dana objavljivanja u "Službenom listu Crne Gore.</w:t>
      </w:r>
    </w:p>
    <w:p w14:paraId="20059DC0" w14:textId="77777777" w:rsidR="0038454F" w:rsidRDefault="0038454F">
      <w:pPr>
        <w:pStyle w:val="T30X"/>
        <w:rPr>
          <w:lang w:val="sr-Latn-RS"/>
        </w:rPr>
      </w:pPr>
    </w:p>
    <w:bookmarkEnd w:id="0"/>
    <w:p w14:paraId="11C3BD7A" w14:textId="52FF1C9F" w:rsidR="002C3556" w:rsidRPr="00F23E74" w:rsidRDefault="002C3556" w:rsidP="00F23E74">
      <w:pPr>
        <w:autoSpaceDE/>
        <w:autoSpaceDN/>
        <w:adjustRightInd/>
        <w:spacing w:after="160" w:line="259" w:lineRule="auto"/>
        <w:rPr>
          <w:sz w:val="22"/>
          <w:szCs w:val="22"/>
          <w:lang w:val="sr-Latn-RS"/>
        </w:rPr>
      </w:pPr>
    </w:p>
    <w:sectPr w:rsidR="002C3556" w:rsidRPr="00F23E74" w:rsidSect="00F23E74">
      <w:headerReference w:type="even" r:id="rId8"/>
      <w:footerReference w:type="even" r:id="rId9"/>
      <w:footerReference w:type="default" r:id="rId10"/>
      <w:pgSz w:w="11906" w:h="16838"/>
      <w:pgMar w:top="1440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B7E4B" w14:textId="77777777" w:rsidR="00F46963" w:rsidRDefault="00F46963">
      <w:r>
        <w:separator/>
      </w:r>
    </w:p>
  </w:endnote>
  <w:endnote w:type="continuationSeparator" w:id="0">
    <w:p w14:paraId="70246498" w14:textId="77777777" w:rsidR="00F46963" w:rsidRDefault="00F4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A77FCC" w14:paraId="0212E402" w14:textId="77777777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6ADCC2CA" w14:textId="77777777" w:rsidR="00A77FCC" w:rsidRDefault="00F46963">
          <w:pPr>
            <w:pStyle w:val="Fotter"/>
          </w:pPr>
          <w:hyperlink w:anchor="http___www_katalogpropisa_me" w:history="1">
            <w:proofErr w:type="spellStart"/>
            <w:r w:rsidR="00A77FCC">
              <w:rPr>
                <w:rStyle w:val="Hyperlink"/>
                <w:rFonts w:cs="Verdana"/>
              </w:rPr>
              <w:t>Pravni</w:t>
            </w:r>
            <w:proofErr w:type="spellEnd"/>
            <w:r w:rsidR="00A77FCC">
              <w:rPr>
                <w:rStyle w:val="Hyperlink"/>
                <w:rFonts w:cs="Verdana"/>
              </w:rPr>
              <w:t xml:space="preserve"> </w:t>
            </w:r>
            <w:proofErr w:type="spellStart"/>
            <w:r w:rsidR="00A77FCC">
              <w:rPr>
                <w:rStyle w:val="Hyperlink"/>
                <w:rFonts w:cs="Verdana"/>
              </w:rPr>
              <w:t>ekspert</w:t>
            </w:r>
            <w:proofErr w:type="spellEnd"/>
            <w:r w:rsidR="00A77FCC">
              <w:rPr>
                <w:rStyle w:val="Hyperlink"/>
                <w:rFonts w:cs="Verdana"/>
              </w:rPr>
              <w:t xml:space="preserve">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14:paraId="3229A104" w14:textId="77777777" w:rsidR="00A77FCC" w:rsidRDefault="00A77FCC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8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146445"/>
      <w:docPartObj>
        <w:docPartGallery w:val="Page Numbers (Bottom of Page)"/>
        <w:docPartUnique/>
      </w:docPartObj>
    </w:sdtPr>
    <w:sdtEndPr>
      <w:rPr>
        <w:b w:val="0"/>
        <w:noProof/>
        <w:color w:val="auto"/>
      </w:rPr>
    </w:sdtEndPr>
    <w:sdtContent>
      <w:p w14:paraId="46FF5230" w14:textId="4D38F881" w:rsidR="00A77FCC" w:rsidRPr="000428B4" w:rsidRDefault="00A77FCC">
        <w:pPr>
          <w:pStyle w:val="Footer"/>
          <w:rPr>
            <w:b w:val="0"/>
            <w:color w:val="auto"/>
          </w:rPr>
        </w:pPr>
        <w:r w:rsidRPr="000428B4">
          <w:rPr>
            <w:b w:val="0"/>
            <w:color w:val="auto"/>
          </w:rPr>
          <w:fldChar w:fldCharType="begin"/>
        </w:r>
        <w:r w:rsidRPr="000428B4">
          <w:rPr>
            <w:b w:val="0"/>
            <w:color w:val="auto"/>
          </w:rPr>
          <w:instrText xml:space="preserve"> PAGE   \* MERGEFORMAT </w:instrText>
        </w:r>
        <w:r w:rsidRPr="000428B4">
          <w:rPr>
            <w:b w:val="0"/>
            <w:color w:val="auto"/>
          </w:rPr>
          <w:fldChar w:fldCharType="separate"/>
        </w:r>
        <w:r w:rsidR="00F21C80">
          <w:rPr>
            <w:b w:val="0"/>
            <w:noProof/>
            <w:color w:val="auto"/>
          </w:rPr>
          <w:t>12</w:t>
        </w:r>
        <w:r w:rsidRPr="000428B4">
          <w:rPr>
            <w:b w:val="0"/>
            <w:noProof/>
            <w:color w:val="aut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E5EED" w14:textId="77777777" w:rsidR="00F46963" w:rsidRDefault="00F46963">
      <w:r>
        <w:separator/>
      </w:r>
    </w:p>
  </w:footnote>
  <w:footnote w:type="continuationSeparator" w:id="0">
    <w:p w14:paraId="6F06BF27" w14:textId="77777777" w:rsidR="00F46963" w:rsidRDefault="00F46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0DEBB" w14:textId="77777777" w:rsidR="00A77FCC" w:rsidRDefault="00A77FCC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0A24"/>
    <w:multiLevelType w:val="hybridMultilevel"/>
    <w:tmpl w:val="5AE2E414"/>
    <w:lvl w:ilvl="0" w:tplc="69BA5CA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F554E"/>
    <w:multiLevelType w:val="hybridMultilevel"/>
    <w:tmpl w:val="12C42F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C39AB"/>
    <w:multiLevelType w:val="hybridMultilevel"/>
    <w:tmpl w:val="24202898"/>
    <w:lvl w:ilvl="0" w:tplc="D11A7F0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ED776D1"/>
    <w:multiLevelType w:val="hybridMultilevel"/>
    <w:tmpl w:val="FB1865C8"/>
    <w:lvl w:ilvl="0" w:tplc="8FCAC6C2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DB1C89"/>
    <w:multiLevelType w:val="hybridMultilevel"/>
    <w:tmpl w:val="89FC16E6"/>
    <w:lvl w:ilvl="0" w:tplc="8FCAC6C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EC5AB5E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16D30"/>
    <w:multiLevelType w:val="hybridMultilevel"/>
    <w:tmpl w:val="015C901A"/>
    <w:lvl w:ilvl="0" w:tplc="D722B3C4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5E4E22ED"/>
    <w:multiLevelType w:val="hybridMultilevel"/>
    <w:tmpl w:val="0352D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445C9"/>
    <w:multiLevelType w:val="hybridMultilevel"/>
    <w:tmpl w:val="FE14F404"/>
    <w:lvl w:ilvl="0" w:tplc="8FCAC6C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9CDAF1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14AE1"/>
    <w:multiLevelType w:val="hybridMultilevel"/>
    <w:tmpl w:val="AFE6A494"/>
    <w:lvl w:ilvl="0" w:tplc="8FCAC6C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72577"/>
    <w:multiLevelType w:val="hybridMultilevel"/>
    <w:tmpl w:val="F1783E6C"/>
    <w:lvl w:ilvl="0" w:tplc="279291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049A9"/>
    <w:multiLevelType w:val="hybridMultilevel"/>
    <w:tmpl w:val="197637E4"/>
    <w:lvl w:ilvl="0" w:tplc="8FCAC6C2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EC5AB5E8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AA"/>
    <w:rsid w:val="00006675"/>
    <w:rsid w:val="0001602E"/>
    <w:rsid w:val="00022D6E"/>
    <w:rsid w:val="000372A0"/>
    <w:rsid w:val="00037A08"/>
    <w:rsid w:val="000428B4"/>
    <w:rsid w:val="000530FB"/>
    <w:rsid w:val="00061CCF"/>
    <w:rsid w:val="00084BAA"/>
    <w:rsid w:val="000A4103"/>
    <w:rsid w:val="000B50DF"/>
    <w:rsid w:val="000B7A37"/>
    <w:rsid w:val="000C18B5"/>
    <w:rsid w:val="000E0928"/>
    <w:rsid w:val="00103C93"/>
    <w:rsid w:val="001132D5"/>
    <w:rsid w:val="00117ACE"/>
    <w:rsid w:val="00121F6A"/>
    <w:rsid w:val="0012504C"/>
    <w:rsid w:val="001265B4"/>
    <w:rsid w:val="00126A86"/>
    <w:rsid w:val="00132873"/>
    <w:rsid w:val="00134F7D"/>
    <w:rsid w:val="001472CF"/>
    <w:rsid w:val="0015382E"/>
    <w:rsid w:val="00156EBF"/>
    <w:rsid w:val="00165137"/>
    <w:rsid w:val="001871BC"/>
    <w:rsid w:val="001A2414"/>
    <w:rsid w:val="001A41C0"/>
    <w:rsid w:val="001B312E"/>
    <w:rsid w:val="001C221A"/>
    <w:rsid w:val="001C66D4"/>
    <w:rsid w:val="001E53AA"/>
    <w:rsid w:val="001F44F1"/>
    <w:rsid w:val="002014FD"/>
    <w:rsid w:val="00201828"/>
    <w:rsid w:val="00211B80"/>
    <w:rsid w:val="00216D74"/>
    <w:rsid w:val="00223706"/>
    <w:rsid w:val="00227752"/>
    <w:rsid w:val="00230C51"/>
    <w:rsid w:val="00231E00"/>
    <w:rsid w:val="00260065"/>
    <w:rsid w:val="00273459"/>
    <w:rsid w:val="0029194B"/>
    <w:rsid w:val="002C0875"/>
    <w:rsid w:val="002C1546"/>
    <w:rsid w:val="002C3556"/>
    <w:rsid w:val="002D0E14"/>
    <w:rsid w:val="002D235F"/>
    <w:rsid w:val="002D5A8A"/>
    <w:rsid w:val="002E322B"/>
    <w:rsid w:val="002E3C96"/>
    <w:rsid w:val="00342417"/>
    <w:rsid w:val="003479CD"/>
    <w:rsid w:val="00350DB3"/>
    <w:rsid w:val="00354A4B"/>
    <w:rsid w:val="00363A43"/>
    <w:rsid w:val="0038454F"/>
    <w:rsid w:val="003A0064"/>
    <w:rsid w:val="003B59BE"/>
    <w:rsid w:val="003C2D49"/>
    <w:rsid w:val="003C4354"/>
    <w:rsid w:val="003C437A"/>
    <w:rsid w:val="003C72E3"/>
    <w:rsid w:val="003F64CC"/>
    <w:rsid w:val="003F6501"/>
    <w:rsid w:val="00403822"/>
    <w:rsid w:val="00421298"/>
    <w:rsid w:val="0043459E"/>
    <w:rsid w:val="00437361"/>
    <w:rsid w:val="00447F66"/>
    <w:rsid w:val="00460BDC"/>
    <w:rsid w:val="0046112C"/>
    <w:rsid w:val="004651E7"/>
    <w:rsid w:val="004A0EC6"/>
    <w:rsid w:val="004B6D31"/>
    <w:rsid w:val="004C6A99"/>
    <w:rsid w:val="004D4C74"/>
    <w:rsid w:val="004F4B5D"/>
    <w:rsid w:val="00511C53"/>
    <w:rsid w:val="0051681B"/>
    <w:rsid w:val="00530FA7"/>
    <w:rsid w:val="00555352"/>
    <w:rsid w:val="00560222"/>
    <w:rsid w:val="0056634D"/>
    <w:rsid w:val="00582FA9"/>
    <w:rsid w:val="005C60AC"/>
    <w:rsid w:val="005C61F0"/>
    <w:rsid w:val="005C73B0"/>
    <w:rsid w:val="005D3E4B"/>
    <w:rsid w:val="00603B9B"/>
    <w:rsid w:val="00611414"/>
    <w:rsid w:val="0061607D"/>
    <w:rsid w:val="0062518E"/>
    <w:rsid w:val="006345E4"/>
    <w:rsid w:val="00644F03"/>
    <w:rsid w:val="00650359"/>
    <w:rsid w:val="00655027"/>
    <w:rsid w:val="006556EE"/>
    <w:rsid w:val="0068259D"/>
    <w:rsid w:val="00686B41"/>
    <w:rsid w:val="006A71F4"/>
    <w:rsid w:val="006B5862"/>
    <w:rsid w:val="006C1688"/>
    <w:rsid w:val="006C4984"/>
    <w:rsid w:val="006E264E"/>
    <w:rsid w:val="006E5C1B"/>
    <w:rsid w:val="006F5542"/>
    <w:rsid w:val="00705A5F"/>
    <w:rsid w:val="00712A7F"/>
    <w:rsid w:val="007214CF"/>
    <w:rsid w:val="007254F1"/>
    <w:rsid w:val="00734522"/>
    <w:rsid w:val="00783F5A"/>
    <w:rsid w:val="007944E1"/>
    <w:rsid w:val="00796F58"/>
    <w:rsid w:val="007A5E79"/>
    <w:rsid w:val="007A749B"/>
    <w:rsid w:val="007E7969"/>
    <w:rsid w:val="007F3043"/>
    <w:rsid w:val="00805F53"/>
    <w:rsid w:val="008075FD"/>
    <w:rsid w:val="0083712E"/>
    <w:rsid w:val="00842687"/>
    <w:rsid w:val="00844467"/>
    <w:rsid w:val="0085784D"/>
    <w:rsid w:val="00860FF9"/>
    <w:rsid w:val="00875AAE"/>
    <w:rsid w:val="00880A90"/>
    <w:rsid w:val="00887977"/>
    <w:rsid w:val="00893CA2"/>
    <w:rsid w:val="008D50CC"/>
    <w:rsid w:val="008E0FC0"/>
    <w:rsid w:val="008F49D7"/>
    <w:rsid w:val="008F5A92"/>
    <w:rsid w:val="00901166"/>
    <w:rsid w:val="009121D8"/>
    <w:rsid w:val="00924FC7"/>
    <w:rsid w:val="00942074"/>
    <w:rsid w:val="00960BCC"/>
    <w:rsid w:val="00970589"/>
    <w:rsid w:val="009A77C2"/>
    <w:rsid w:val="009B2762"/>
    <w:rsid w:val="009B727D"/>
    <w:rsid w:val="009E46F7"/>
    <w:rsid w:val="009E4C87"/>
    <w:rsid w:val="00A222A0"/>
    <w:rsid w:val="00A237C9"/>
    <w:rsid w:val="00A30A70"/>
    <w:rsid w:val="00A351C1"/>
    <w:rsid w:val="00A43C6B"/>
    <w:rsid w:val="00A52A82"/>
    <w:rsid w:val="00A74520"/>
    <w:rsid w:val="00A77329"/>
    <w:rsid w:val="00A77FCC"/>
    <w:rsid w:val="00A8412B"/>
    <w:rsid w:val="00A9314C"/>
    <w:rsid w:val="00A97C6F"/>
    <w:rsid w:val="00AB355B"/>
    <w:rsid w:val="00AB392A"/>
    <w:rsid w:val="00AB646D"/>
    <w:rsid w:val="00AD0B6C"/>
    <w:rsid w:val="00AD5BFA"/>
    <w:rsid w:val="00AF5592"/>
    <w:rsid w:val="00AF7960"/>
    <w:rsid w:val="00B036DA"/>
    <w:rsid w:val="00B04099"/>
    <w:rsid w:val="00B0560D"/>
    <w:rsid w:val="00B162C8"/>
    <w:rsid w:val="00B245BE"/>
    <w:rsid w:val="00B31774"/>
    <w:rsid w:val="00B369C0"/>
    <w:rsid w:val="00B469D7"/>
    <w:rsid w:val="00B50984"/>
    <w:rsid w:val="00B5364D"/>
    <w:rsid w:val="00B816AC"/>
    <w:rsid w:val="00B816DF"/>
    <w:rsid w:val="00B86D04"/>
    <w:rsid w:val="00BC388B"/>
    <w:rsid w:val="00BC4954"/>
    <w:rsid w:val="00BE0E17"/>
    <w:rsid w:val="00C13108"/>
    <w:rsid w:val="00C13894"/>
    <w:rsid w:val="00C301F7"/>
    <w:rsid w:val="00C50A2C"/>
    <w:rsid w:val="00C5363A"/>
    <w:rsid w:val="00C557D5"/>
    <w:rsid w:val="00C6576C"/>
    <w:rsid w:val="00C84C9B"/>
    <w:rsid w:val="00C90CC6"/>
    <w:rsid w:val="00CC1A1C"/>
    <w:rsid w:val="00CD6366"/>
    <w:rsid w:val="00CD6930"/>
    <w:rsid w:val="00CF24CE"/>
    <w:rsid w:val="00CF46BE"/>
    <w:rsid w:val="00CF7749"/>
    <w:rsid w:val="00D128F6"/>
    <w:rsid w:val="00D30BB5"/>
    <w:rsid w:val="00D31338"/>
    <w:rsid w:val="00D44B09"/>
    <w:rsid w:val="00D57E38"/>
    <w:rsid w:val="00D81C0B"/>
    <w:rsid w:val="00DA6FF7"/>
    <w:rsid w:val="00DC12B2"/>
    <w:rsid w:val="00DF7B0E"/>
    <w:rsid w:val="00E00E52"/>
    <w:rsid w:val="00E15047"/>
    <w:rsid w:val="00E322F2"/>
    <w:rsid w:val="00E3485A"/>
    <w:rsid w:val="00E53DC2"/>
    <w:rsid w:val="00E71844"/>
    <w:rsid w:val="00E846A2"/>
    <w:rsid w:val="00E87586"/>
    <w:rsid w:val="00E875D3"/>
    <w:rsid w:val="00EA18E0"/>
    <w:rsid w:val="00EE4C8B"/>
    <w:rsid w:val="00F06BE6"/>
    <w:rsid w:val="00F14C70"/>
    <w:rsid w:val="00F16151"/>
    <w:rsid w:val="00F21C80"/>
    <w:rsid w:val="00F23E74"/>
    <w:rsid w:val="00F2455D"/>
    <w:rsid w:val="00F24C4C"/>
    <w:rsid w:val="00F37EC5"/>
    <w:rsid w:val="00F4064B"/>
    <w:rsid w:val="00F43AC8"/>
    <w:rsid w:val="00F46963"/>
    <w:rsid w:val="00F57259"/>
    <w:rsid w:val="00F77641"/>
    <w:rsid w:val="00F800DA"/>
    <w:rsid w:val="00F87237"/>
    <w:rsid w:val="00FA2D53"/>
    <w:rsid w:val="00FA3C16"/>
    <w:rsid w:val="00FB1E3E"/>
    <w:rsid w:val="00FC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2E7ADC"/>
  <w14:defaultImageDpi w14:val="96"/>
  <w15:docId w15:val="{6959837D-B206-4F4E-9A02-452D313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  <w:rPr>
      <w:rFonts w:cs="Times New Roman"/>
    </w:rPr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B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4BAA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44F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F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F44F1"/>
    <w:rPr>
      <w:rFonts w:ascii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F44F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F4064B"/>
    <w:pPr>
      <w:spacing w:after="0" w:line="240" w:lineRule="auto"/>
    </w:pPr>
    <w:rPr>
      <w:rFonts w:ascii="Times New Roman" w:hAnsi="Times New Roman"/>
      <w:color w:val="000000"/>
      <w:sz w:val="20"/>
      <w:szCs w:val="20"/>
      <w:lang w:val="en-US" w:eastAsia="en-US"/>
    </w:rPr>
  </w:style>
  <w:style w:type="paragraph" w:customStyle="1" w:styleId="Default">
    <w:name w:val="Default"/>
    <w:rsid w:val="00F2455D"/>
    <w:pPr>
      <w:autoSpaceDE w:val="0"/>
      <w:autoSpaceDN w:val="0"/>
      <w:adjustRightInd w:val="0"/>
      <w:spacing w:after="0" w:line="240" w:lineRule="auto"/>
    </w:pPr>
    <w:rPr>
      <w:rFonts w:ascii="EUAlbertina" w:eastAsiaTheme="minorHAnsi" w:hAnsi="EUAlbertina" w:cs="EUAlbertina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05A5F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sr-Latn-ME"/>
    </w:rPr>
  </w:style>
  <w:style w:type="paragraph" w:styleId="NoSpacing">
    <w:name w:val="No Spacing"/>
    <w:uiPriority w:val="1"/>
    <w:qFormat/>
    <w:rsid w:val="007E7969"/>
    <w:pPr>
      <w:spacing w:after="0" w:line="240" w:lineRule="auto"/>
    </w:pPr>
    <w:rPr>
      <w:rFonts w:ascii="Calibri" w:eastAsia="Times New Roman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96E0A-8C6D-45F7-9C55-894EA60C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3848</Words>
  <Characters>21938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</vt:lpstr>
    </vt:vector>
  </TitlesOfParts>
  <Company/>
  <LinksUpToDate>false</LinksUpToDate>
  <CharactersWithSpaces>25735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</dc:title>
  <dc:subject></dc:subject>
  <dc:creator>;Gordana Djurovic</dc:creator>
  <cp:keywords/>
  <dc:description/>
  <cp:lastModifiedBy>Milena Strugar</cp:lastModifiedBy>
  <cp:revision>8</cp:revision>
  <cp:lastPrinted>2025-01-21T08:35:00Z</cp:lastPrinted>
  <dcterms:created xsi:type="dcterms:W3CDTF">2025-01-14T13:06:00Z</dcterms:created>
  <dcterms:modified xsi:type="dcterms:W3CDTF">2025-01-21T12:11:00Z</dcterms:modified>
</cp:coreProperties>
</file>