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442080A9" w:rsidR="009107C0" w:rsidRPr="00205A29"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DB20CB" w:rsidRPr="00205A29">
        <w:rPr>
          <w:rFonts w:ascii="Arial" w:hAnsi="Arial" w:cs="Arial"/>
          <w:noProof/>
        </w:rPr>
        <w:t>Nacrt</w:t>
      </w:r>
    </w:p>
    <w:p w14:paraId="683389AD" w14:textId="77777777" w:rsidR="003F5D0A" w:rsidRPr="00205A29" w:rsidRDefault="003F5D0A"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2C0BE1" w:rsidRDefault="00A42866" w:rsidP="00A42866">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77739AE0" w14:textId="77777777" w:rsidR="002019F1" w:rsidRPr="00205A29" w:rsidRDefault="002019F1" w:rsidP="002019F1">
      <w:pPr>
        <w:spacing w:after="0"/>
        <w:jc w:val="both"/>
        <w:rPr>
          <w:rFonts w:ascii="Arial" w:hAnsi="Arial" w:cs="Arial"/>
          <w:b/>
          <w:lang w:val="sr-Latn-CS"/>
        </w:rPr>
      </w:pPr>
    </w:p>
    <w:p w14:paraId="2909854D" w14:textId="77777777" w:rsidR="006D48EC" w:rsidRPr="00205A29" w:rsidRDefault="006D48EC" w:rsidP="00D35018">
      <w:pPr>
        <w:spacing w:after="0" w:line="240" w:lineRule="auto"/>
        <w:jc w:val="both"/>
        <w:rPr>
          <w:rFonts w:ascii="Arial" w:hAnsi="Arial" w:cs="Arial"/>
          <w:b/>
          <w:lang w:val="sr-Latn-CS"/>
        </w:rPr>
      </w:pPr>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Pr="00205A29" w:rsidRDefault="002D2601"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Pr="00205A29" w:rsidRDefault="002D2601"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77777777" w:rsidR="00744584" w:rsidRPr="00205A29"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67265CD3" w14:textId="75EFE1A7" w:rsidR="00ED118C" w:rsidRPr="00205A29" w:rsidRDefault="00E952C3" w:rsidP="00D35018">
      <w:pPr>
        <w:spacing w:after="0" w:line="240" w:lineRule="auto"/>
        <w:jc w:val="center"/>
        <w:rPr>
          <w:rFonts w:ascii="Arial" w:hAnsi="Arial" w:cs="Arial"/>
          <w:b/>
          <w:lang w:val="sr-Latn-CS"/>
        </w:rPr>
      </w:pPr>
      <w:r w:rsidRPr="00205A29">
        <w:rPr>
          <w:rFonts w:ascii="Arial" w:hAnsi="Arial" w:cs="Arial"/>
          <w:b/>
          <w:lang w:val="sr-Latn-CS"/>
        </w:rPr>
        <w:t>o</w:t>
      </w:r>
      <w:r w:rsidR="00744584" w:rsidRPr="00205A29">
        <w:rPr>
          <w:rFonts w:ascii="Arial" w:hAnsi="Arial" w:cs="Arial"/>
          <w:b/>
          <w:lang w:val="sr-Latn-CS"/>
        </w:rPr>
        <w:t xml:space="preserve"> </w:t>
      </w:r>
      <w:r w:rsidR="00647A0E" w:rsidRPr="00205A29">
        <w:rPr>
          <w:rFonts w:ascii="Arial" w:hAnsi="Arial" w:cs="Arial"/>
          <w:b/>
          <w:lang w:val="sr-Latn-CS"/>
        </w:rPr>
        <w:t xml:space="preserve">nemetaličnoj </w:t>
      </w:r>
      <w:r w:rsidR="00744584" w:rsidRPr="00205A29">
        <w:rPr>
          <w:rFonts w:ascii="Arial" w:hAnsi="Arial" w:cs="Arial"/>
          <w:b/>
          <w:lang w:val="sr-Latn-CS"/>
        </w:rPr>
        <w:t>mineralnoj sirovin</w:t>
      </w:r>
      <w:r w:rsidR="00DB58E7" w:rsidRPr="00205A29">
        <w:rPr>
          <w:rFonts w:ascii="Arial" w:hAnsi="Arial" w:cs="Arial"/>
          <w:b/>
          <w:lang w:val="sr-Latn-CS"/>
        </w:rPr>
        <w:t xml:space="preserve">i </w:t>
      </w:r>
      <w:r w:rsidR="00A00482">
        <w:rPr>
          <w:rFonts w:ascii="Arial" w:hAnsi="Arial" w:cs="Arial"/>
          <w:b/>
          <w:lang w:val="sr-Latn-CS"/>
        </w:rPr>
        <w:t xml:space="preserve">arhitektonsko-građevinskog kamena </w:t>
      </w:r>
    </w:p>
    <w:p w14:paraId="45C3E983" w14:textId="31CBE0D7" w:rsidR="00744584" w:rsidRPr="00205A29" w:rsidRDefault="00A00482" w:rsidP="00D35018">
      <w:pPr>
        <w:spacing w:after="0" w:line="240" w:lineRule="auto"/>
        <w:jc w:val="center"/>
        <w:rPr>
          <w:rFonts w:ascii="Arial" w:hAnsi="Arial" w:cs="Arial"/>
          <w:b/>
          <w:lang w:val="sr-Latn-CS"/>
        </w:rPr>
      </w:pPr>
      <w:r>
        <w:rPr>
          <w:rFonts w:ascii="Arial" w:hAnsi="Arial" w:cs="Arial"/>
          <w:b/>
          <w:lang w:val="sr-Latn-CS"/>
        </w:rPr>
        <w:t>ležišta</w:t>
      </w:r>
      <w:r w:rsidR="00744584" w:rsidRPr="00205A29">
        <w:rPr>
          <w:rFonts w:ascii="Arial" w:hAnsi="Arial" w:cs="Arial"/>
          <w:b/>
          <w:lang w:val="sr-Latn-CS"/>
        </w:rPr>
        <w:t xml:space="preserve"> </w:t>
      </w:r>
      <w:r w:rsidR="00B24C37">
        <w:rPr>
          <w:rFonts w:ascii="Arial" w:hAnsi="Arial" w:cs="Arial"/>
          <w:b/>
          <w:lang w:val="sr-Latn-CS"/>
        </w:rPr>
        <w:t xml:space="preserve">“Klikovače”, </w:t>
      </w:r>
      <w:r w:rsidR="005E683D">
        <w:rPr>
          <w:rFonts w:ascii="Arial" w:hAnsi="Arial" w:cs="Arial"/>
          <w:b/>
          <w:lang w:val="sr-Latn-CS"/>
        </w:rPr>
        <w:t>opština Danilovgrad</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73452419"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2CE565D2" w:rsidR="00B21F9C" w:rsidRDefault="00995D8E" w:rsidP="00B21F9C">
      <w:pPr>
        <w:suppressAutoHyphens w:val="0"/>
        <w:spacing w:after="0" w:line="240" w:lineRule="auto"/>
        <w:jc w:val="center"/>
        <w:rPr>
          <w:rFonts w:ascii="Arial" w:hAnsi="Arial" w:cs="Arial"/>
          <w:noProof/>
        </w:rPr>
      </w:pPr>
      <w:r>
        <w:rPr>
          <w:rFonts w:ascii="Arial" w:hAnsi="Arial" w:cs="Arial"/>
          <w:b/>
          <w:lang w:val="sr-Latn-CS"/>
        </w:rPr>
        <w:t xml:space="preserve">Podgorica, </w:t>
      </w:r>
      <w:r w:rsidR="000F34A9">
        <w:rPr>
          <w:rFonts w:ascii="Arial" w:hAnsi="Arial" w:cs="Arial"/>
          <w:b/>
          <w:lang w:val="sr-Latn-CS"/>
        </w:rPr>
        <w:t>jun</w:t>
      </w:r>
      <w:r>
        <w:rPr>
          <w:rFonts w:ascii="Arial" w:hAnsi="Arial" w:cs="Arial"/>
          <w:b/>
          <w:lang w:val="sr-Latn-CS"/>
        </w:rPr>
        <w:t xml:space="preserve"> 202</w:t>
      </w:r>
      <w:r w:rsidR="000D15CA">
        <w:rPr>
          <w:rFonts w:ascii="Arial" w:hAnsi="Arial" w:cs="Arial"/>
          <w:b/>
          <w:lang w:val="sr-Latn-CS"/>
        </w:rPr>
        <w:t>2</w:t>
      </w:r>
      <w:r w:rsidR="00A42866" w:rsidRPr="00205A29">
        <w:rPr>
          <w:rFonts w:ascii="Arial" w:hAnsi="Arial" w:cs="Arial"/>
          <w:noProof/>
        </w:rPr>
        <w:t xml:space="preserve">   </w:t>
      </w:r>
    </w:p>
    <w:p w14:paraId="3AF266D3" w14:textId="77777777" w:rsidR="00B21F9C" w:rsidRDefault="00B21F9C" w:rsidP="00B21F9C">
      <w:pPr>
        <w:suppressAutoHyphens w:val="0"/>
        <w:spacing w:after="0" w:line="240" w:lineRule="auto"/>
        <w:jc w:val="center"/>
        <w:rPr>
          <w:rFonts w:ascii="Arial" w:hAnsi="Arial" w:cs="Arial"/>
          <w:noProof/>
        </w:rPr>
      </w:pPr>
    </w:p>
    <w:p w14:paraId="434AF585" w14:textId="77777777" w:rsidR="00ED062B" w:rsidRDefault="00ED062B" w:rsidP="00B21F9C">
      <w:pPr>
        <w:suppressAutoHyphens w:val="0"/>
        <w:spacing w:after="0" w:line="240" w:lineRule="auto"/>
        <w:jc w:val="center"/>
        <w:rPr>
          <w:rFonts w:ascii="Arial" w:hAnsi="Arial" w:cs="Arial"/>
          <w:noProof/>
        </w:rPr>
      </w:pPr>
    </w:p>
    <w:p w14:paraId="51CD4936" w14:textId="127F5BD3" w:rsidR="00A42866" w:rsidRDefault="00A42866" w:rsidP="00B21F9C">
      <w:pPr>
        <w:suppressAutoHyphens w:val="0"/>
        <w:spacing w:after="0" w:line="240" w:lineRule="auto"/>
        <w:jc w:val="center"/>
        <w:rPr>
          <w:rFonts w:ascii="Arial" w:hAnsi="Arial" w:cs="Arial"/>
          <w:b/>
          <w:lang w:val="sr-Latn-CS"/>
        </w:rPr>
      </w:pPr>
      <w:r w:rsidRPr="00205A29">
        <w:rPr>
          <w:rFonts w:ascii="Arial" w:hAnsi="Arial" w:cs="Arial"/>
          <w:noProof/>
        </w:rPr>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lastRenderedPageBreak/>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6655BBEF" w:rsidR="00197D09" w:rsidRPr="00205A2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A00482">
        <w:rPr>
          <w:rFonts w:ascii="Arial" w:hAnsi="Arial" w:cs="Arial"/>
          <w:b/>
          <w:lang w:val="sr-Latn-CS"/>
        </w:rPr>
        <w:t>arhitektonsko-građevinskog kamena ležišta</w:t>
      </w:r>
      <w:r w:rsidR="00744584" w:rsidRPr="00FE7737">
        <w:rPr>
          <w:rFonts w:ascii="Arial" w:hAnsi="Arial" w:cs="Arial"/>
          <w:b/>
          <w:lang w:val="sr-Latn-CS"/>
        </w:rPr>
        <w:t xml:space="preserve"> </w:t>
      </w:r>
      <w:r w:rsidR="00B24C37">
        <w:rPr>
          <w:rFonts w:ascii="Arial" w:hAnsi="Arial" w:cs="Arial"/>
          <w:b/>
          <w:lang w:val="sr-Latn-CS"/>
        </w:rPr>
        <w:t xml:space="preserve">“Klikovače”, </w:t>
      </w:r>
      <w:r w:rsidR="005E683D">
        <w:rPr>
          <w:rFonts w:ascii="Arial" w:hAnsi="Arial" w:cs="Arial"/>
          <w:b/>
          <w:lang w:val="sr-Latn-CS"/>
        </w:rPr>
        <w:t>opština Danilovgrad</w:t>
      </w:r>
    </w:p>
    <w:p w14:paraId="50D06002" w14:textId="063CD3D4" w:rsidR="00E952C3" w:rsidRPr="00FE7737" w:rsidRDefault="00E952C3" w:rsidP="00B21F9C">
      <w:pPr>
        <w:spacing w:after="0" w:line="240" w:lineRule="auto"/>
        <w:jc w:val="both"/>
        <w:rPr>
          <w:rFonts w:ascii="Arial" w:hAnsi="Arial" w:cs="Arial"/>
          <w:b/>
          <w:lang w:val="sr-Latn-CS"/>
        </w:rPr>
      </w:pPr>
    </w:p>
    <w:p w14:paraId="340FBE0A" w14:textId="5EB3DD53" w:rsidR="00197D09" w:rsidRPr="00197D09" w:rsidRDefault="00A42866" w:rsidP="00B21F9C">
      <w:pPr>
        <w:spacing w:after="0" w:line="240" w:lineRule="auto"/>
        <w:jc w:val="both"/>
        <w:rPr>
          <w:rFonts w:ascii="Arial" w:hAnsi="Arial" w:cs="Arial"/>
          <w:noProof/>
        </w:rPr>
      </w:pPr>
      <w:r w:rsidRPr="00DA6313">
        <w:rPr>
          <w:rFonts w:ascii="Arial" w:hAnsi="Arial" w:cs="Arial"/>
          <w:noProof/>
        </w:rPr>
        <w:t xml:space="preserve">Izrada Koncesionog akta izvršena je na osnovu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w:t>
      </w:r>
      <w:r w:rsidR="00C558E9">
        <w:rPr>
          <w:rFonts w:ascii="Arial" w:hAnsi="Arial" w:cs="Arial"/>
          <w:noProof/>
        </w:rPr>
        <w:t>2</w:t>
      </w:r>
      <w:r w:rsidRPr="00DA6313">
        <w:rPr>
          <w:rFonts w:ascii="Arial" w:hAnsi="Arial" w:cs="Arial"/>
          <w:noProof/>
        </w:rPr>
        <w:t>. godinu</w:t>
      </w:r>
      <w:r w:rsidR="00094233">
        <w:rPr>
          <w:rFonts w:ascii="Arial" w:hAnsi="Arial" w:cs="Arial"/>
          <w:noProof/>
        </w:rPr>
        <w:t>,</w:t>
      </w:r>
      <w:r w:rsidR="006227DA">
        <w:rPr>
          <w:rFonts w:ascii="Arial" w:hAnsi="Arial" w:cs="Arial"/>
          <w:noProof/>
        </w:rPr>
        <w:t xml:space="preserve"> koji na</w:t>
      </w:r>
      <w:r w:rsidR="006227DA" w:rsidRPr="006227DA">
        <w:rPr>
          <w:rFonts w:ascii="Arial" w:hAnsi="Arial" w:cs="Arial"/>
          <w:noProof/>
        </w:rPr>
        <w:t xml:space="preserve"> osnovu člana 7 stav 1 Zakona o koncesijama („Sl.list CG“,</w:t>
      </w:r>
      <w:r w:rsidR="00094233" w:rsidRPr="005F22EC">
        <w:rPr>
          <w:rFonts w:ascii="Arial" w:hAnsi="Arial" w:cs="Arial"/>
          <w:noProof/>
        </w:rPr>
        <w:t xml:space="preserve">8/09 i </w:t>
      </w:r>
      <w:r w:rsidR="00094233">
        <w:rPr>
          <w:rFonts w:ascii="Arial" w:hAnsi="Arial" w:cs="Arial"/>
          <w:noProof/>
        </w:rPr>
        <w:t>73/19</w:t>
      </w:r>
      <w:r w:rsidR="006227DA" w:rsidRPr="006227DA">
        <w:rPr>
          <w:rFonts w:ascii="Arial" w:hAnsi="Arial" w:cs="Arial"/>
          <w:noProof/>
        </w:rPr>
        <w:t xml:space="preserve">) </w:t>
      </w:r>
      <w:r w:rsidR="00CA4A3D">
        <w:rPr>
          <w:rFonts w:ascii="Arial" w:hAnsi="Arial" w:cs="Arial"/>
          <w:noProof/>
        </w:rPr>
        <w:t xml:space="preserve">donijela </w:t>
      </w:r>
      <w:r w:rsidR="006227DA" w:rsidRPr="006227DA">
        <w:rPr>
          <w:rFonts w:ascii="Arial" w:hAnsi="Arial" w:cs="Arial"/>
          <w:noProof/>
        </w:rPr>
        <w:t xml:space="preserve">Vlada </w:t>
      </w:r>
      <w:r w:rsidR="00CA4A3D">
        <w:rPr>
          <w:rFonts w:ascii="Arial" w:hAnsi="Arial" w:cs="Arial"/>
          <w:noProof/>
        </w:rPr>
        <w:t>na sjednici odr</w:t>
      </w:r>
      <w:r w:rsidR="00CA4A3D">
        <w:rPr>
          <w:rFonts w:ascii="Arial" w:hAnsi="Arial" w:cs="Arial"/>
          <w:noProof/>
          <w:lang w:val="sr-Latn-ME"/>
        </w:rPr>
        <w:t>žanoj 31. marta 2022. godine</w:t>
      </w:r>
      <w:r>
        <w:rPr>
          <w:rFonts w:ascii="Arial" w:hAnsi="Arial" w:cs="Arial"/>
          <w:noProof/>
        </w:rPr>
        <w:t>, a u koj</w:t>
      </w:r>
      <w:r w:rsidR="00436C34">
        <w:rPr>
          <w:rFonts w:ascii="Arial" w:hAnsi="Arial" w:cs="Arial"/>
          <w:noProof/>
        </w:rPr>
        <w:t>i</w:t>
      </w:r>
      <w:r>
        <w:rPr>
          <w:rFonts w:ascii="Arial" w:hAnsi="Arial" w:cs="Arial"/>
          <w:noProof/>
        </w:rPr>
        <w:t xml:space="preserve"> je uvršten</w:t>
      </w:r>
      <w:r w:rsidR="00A00482">
        <w:rPr>
          <w:rFonts w:ascii="Arial" w:hAnsi="Arial" w:cs="Arial"/>
          <w:noProof/>
        </w:rPr>
        <w:t>o</w:t>
      </w:r>
      <w:r>
        <w:rPr>
          <w:rFonts w:ascii="Arial" w:hAnsi="Arial" w:cs="Arial"/>
          <w:noProof/>
        </w:rPr>
        <w:t xml:space="preserve"> i l</w:t>
      </w:r>
      <w:r w:rsidR="00A00482">
        <w:rPr>
          <w:rFonts w:ascii="Arial" w:hAnsi="Arial" w:cs="Arial"/>
          <w:noProof/>
        </w:rPr>
        <w:t>ežište</w:t>
      </w:r>
      <w:r>
        <w:rPr>
          <w:rFonts w:ascii="Arial" w:hAnsi="Arial" w:cs="Arial"/>
          <w:noProof/>
        </w:rPr>
        <w:t xml:space="preserve"> </w:t>
      </w:r>
      <w:r w:rsidR="00A00482">
        <w:rPr>
          <w:rFonts w:ascii="Arial" w:hAnsi="Arial" w:cs="Arial"/>
          <w:noProof/>
        </w:rPr>
        <w:t>ar</w:t>
      </w:r>
      <w:r w:rsidR="00A75662">
        <w:rPr>
          <w:rFonts w:ascii="Arial" w:hAnsi="Arial" w:cs="Arial"/>
          <w:noProof/>
        </w:rPr>
        <w:t>hitektonsko-građevinskog kamena</w:t>
      </w:r>
      <w:r w:rsidR="00197D09" w:rsidRPr="00197D09">
        <w:rPr>
          <w:rFonts w:ascii="Arial" w:hAnsi="Arial" w:cs="Arial"/>
          <w:noProof/>
        </w:rPr>
        <w:t xml:space="preserve"> </w:t>
      </w:r>
      <w:r w:rsidR="00B24C37">
        <w:rPr>
          <w:rFonts w:ascii="Arial" w:hAnsi="Arial" w:cs="Arial"/>
          <w:noProof/>
        </w:rPr>
        <w:t xml:space="preserve">“Klikovače”, </w:t>
      </w:r>
      <w:r w:rsidR="005E683D">
        <w:rPr>
          <w:rFonts w:ascii="Arial" w:hAnsi="Arial" w:cs="Arial"/>
          <w:noProof/>
        </w:rPr>
        <w:t>opština Danilovgrad</w:t>
      </w:r>
      <w:r w:rsidR="00197D09">
        <w:rPr>
          <w:rFonts w:ascii="Arial" w:hAnsi="Arial" w:cs="Arial"/>
          <w:noProof/>
        </w:rPr>
        <w:t>.</w:t>
      </w:r>
    </w:p>
    <w:p w14:paraId="4CE91BC5" w14:textId="78E7DD95" w:rsidR="00A42866" w:rsidRPr="00DA6313" w:rsidRDefault="00A42866" w:rsidP="00B21F9C">
      <w:pPr>
        <w:spacing w:after="0" w:line="240" w:lineRule="auto"/>
        <w:jc w:val="both"/>
        <w:rPr>
          <w:rFonts w:ascii="Arial" w:hAnsi="Arial" w:cs="Arial"/>
          <w:noProof/>
        </w:rPr>
      </w:pPr>
    </w:p>
    <w:p w14:paraId="396FF467" w14:textId="3EF5A7CA"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00CA4A3D">
        <w:rPr>
          <w:rFonts w:ascii="Arial" w:hAnsi="Arial" w:cs="Arial"/>
          <w:noProof/>
        </w:rPr>
        <w:t xml:space="preserve"> za 2022. godinu</w:t>
      </w:r>
      <w:r>
        <w:rPr>
          <w:rFonts w:ascii="Arial" w:hAnsi="Arial" w:cs="Arial"/>
          <w:noProof/>
        </w:rPr>
        <w:t>,</w:t>
      </w:r>
      <w:r w:rsidRPr="00E70CE1">
        <w:rPr>
          <w:rFonts w:ascii="Arial" w:hAnsi="Arial" w:cs="Arial"/>
          <w:noProof/>
        </w:rPr>
        <w:t xml:space="preserve"> JU Zavod za geološka istraživanja je pripremila kompleksnu geološku podlogu za potrebe izrade Koncesionog akta </w:t>
      </w:r>
      <w:r w:rsidRPr="00DA6313">
        <w:rPr>
          <w:rFonts w:ascii="Arial" w:hAnsi="Arial" w:cs="Arial"/>
          <w:noProof/>
        </w:rPr>
        <w:t xml:space="preserve">za </w:t>
      </w:r>
      <w:r w:rsidR="006C2B6E">
        <w:rPr>
          <w:rFonts w:ascii="Arial" w:hAnsi="Arial" w:cs="Arial"/>
          <w:noProof/>
        </w:rPr>
        <w:t>ležište</w:t>
      </w:r>
      <w:r w:rsidRPr="00DA6313">
        <w:rPr>
          <w:rFonts w:ascii="Arial" w:hAnsi="Arial" w:cs="Arial"/>
          <w:noProof/>
        </w:rPr>
        <w:t xml:space="preserve"> </w:t>
      </w:r>
      <w:r w:rsidR="00A00482">
        <w:rPr>
          <w:rFonts w:ascii="Arial" w:hAnsi="Arial" w:cs="Arial"/>
          <w:lang w:val="sr-Latn-CS"/>
        </w:rPr>
        <w:t xml:space="preserve">arhitektonsko-građevinskog kamena </w:t>
      </w:r>
      <w:r w:rsidR="00B24C37">
        <w:rPr>
          <w:rFonts w:ascii="Arial" w:hAnsi="Arial" w:cs="Arial"/>
          <w:lang w:val="sr-Latn-CS"/>
        </w:rPr>
        <w:t xml:space="preserve">“Klikovače”, </w:t>
      </w:r>
      <w:r w:rsidR="005E683D">
        <w:rPr>
          <w:rFonts w:ascii="Arial" w:hAnsi="Arial" w:cs="Arial"/>
          <w:lang w:val="sr-Latn-CS"/>
        </w:rPr>
        <w:t>opština Danilovgrad</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352C5C77" w14:textId="45A15193" w:rsidR="00197D09" w:rsidRPr="00197D09" w:rsidRDefault="00A42866" w:rsidP="00B21F9C">
      <w:pPr>
        <w:spacing w:after="0" w:line="240" w:lineRule="auto"/>
        <w:jc w:val="both"/>
        <w:rPr>
          <w:rFonts w:ascii="Arial" w:hAnsi="Arial" w:cs="Arial"/>
          <w:noProof/>
        </w:rPr>
      </w:pPr>
      <w:r w:rsidRPr="005F22EC">
        <w:rPr>
          <w:rFonts w:ascii="Arial" w:hAnsi="Arial" w:cs="Arial"/>
          <w:noProof/>
        </w:rPr>
        <w:t xml:space="preserve">U skladu sa Zakonom o koncesijama („Službeni list CG”, broj 8/09 i </w:t>
      </w:r>
      <w:r>
        <w:rPr>
          <w:rFonts w:ascii="Arial" w:hAnsi="Arial" w:cs="Arial"/>
          <w:noProof/>
        </w:rPr>
        <w:t>73/19) 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w:t>
      </w:r>
      <w:r w:rsidR="00C558E9">
        <w:rPr>
          <w:rFonts w:ascii="Arial" w:hAnsi="Arial" w:cs="Arial"/>
          <w:noProof/>
        </w:rPr>
        <w:t>2</w:t>
      </w:r>
      <w:r w:rsidRPr="005F22EC">
        <w:rPr>
          <w:rFonts w:ascii="Arial" w:hAnsi="Arial" w:cs="Arial"/>
          <w:noProof/>
        </w:rPr>
        <w:t xml:space="preserve">. godinu, Ministarstvo </w:t>
      </w:r>
      <w:r>
        <w:rPr>
          <w:rFonts w:ascii="Arial" w:hAnsi="Arial" w:cs="Arial"/>
          <w:noProof/>
        </w:rPr>
        <w:t>kapitalnih investicija</w:t>
      </w:r>
      <w:r w:rsidR="00CA4A3D">
        <w:rPr>
          <w:rFonts w:ascii="Arial" w:hAnsi="Arial" w:cs="Arial"/>
          <w:noProof/>
        </w:rPr>
        <w:t xml:space="preserve"> </w:t>
      </w:r>
      <w:r w:rsidRPr="005F22EC">
        <w:rPr>
          <w:rFonts w:ascii="Arial" w:hAnsi="Arial" w:cs="Arial"/>
          <w:noProof/>
        </w:rPr>
        <w:t>Vlad</w:t>
      </w:r>
      <w:r w:rsidR="00CA4A3D">
        <w:rPr>
          <w:rFonts w:ascii="Arial" w:hAnsi="Arial" w:cs="Arial"/>
          <w:noProof/>
        </w:rPr>
        <w:t>e</w:t>
      </w:r>
      <w:r w:rsidRPr="005F22EC">
        <w:rPr>
          <w:rFonts w:ascii="Arial" w:hAnsi="Arial" w:cs="Arial"/>
          <w:noProof/>
        </w:rPr>
        <w:t xml:space="preserve"> Crne Gore je pripremilo Koncesioni akt </w:t>
      </w:r>
      <w:r w:rsidR="007642A0" w:rsidRPr="00DA6313">
        <w:rPr>
          <w:rFonts w:ascii="Arial" w:hAnsi="Arial" w:cs="Arial"/>
          <w:noProof/>
        </w:rPr>
        <w:t xml:space="preserve">za </w:t>
      </w:r>
      <w:r w:rsidR="007642A0" w:rsidRPr="00205A29">
        <w:rPr>
          <w:rFonts w:ascii="Arial" w:hAnsi="Arial" w:cs="Arial"/>
          <w:lang w:val="sr-Latn-CS"/>
        </w:rPr>
        <w:t xml:space="preserve">za davanje prava na detaljna geološka istraživanja i eksploataciju </w:t>
      </w:r>
      <w:r w:rsidR="00A00482">
        <w:rPr>
          <w:rFonts w:ascii="Arial" w:hAnsi="Arial" w:cs="Arial"/>
          <w:noProof/>
        </w:rPr>
        <w:t>ar</w:t>
      </w:r>
      <w:r w:rsidR="005E7720">
        <w:rPr>
          <w:rFonts w:ascii="Arial" w:hAnsi="Arial" w:cs="Arial"/>
          <w:noProof/>
        </w:rPr>
        <w:t>hitektonsko-građevinskog kamena</w:t>
      </w:r>
      <w:r w:rsidR="007642A0" w:rsidRPr="00205A29">
        <w:rPr>
          <w:rFonts w:ascii="Arial" w:hAnsi="Arial" w:cs="Arial"/>
          <w:lang w:val="sr-Latn-CS"/>
        </w:rPr>
        <w:t xml:space="preserve"> </w:t>
      </w:r>
      <w:r w:rsidR="00A00482">
        <w:rPr>
          <w:rFonts w:ascii="Arial" w:hAnsi="Arial" w:cs="Arial"/>
          <w:lang w:val="sr-Latn-CS"/>
        </w:rPr>
        <w:t>ležišta</w:t>
      </w:r>
      <w:r w:rsidR="007642A0" w:rsidRPr="00205A29">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00197D09">
        <w:rPr>
          <w:rFonts w:ascii="Arial" w:hAnsi="Arial" w:cs="Arial"/>
          <w:noProof/>
        </w:rPr>
        <w:t>.</w:t>
      </w: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4980B152"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Podaci </w:t>
      </w:r>
      <w:r w:rsidR="00B24C37" w:rsidRPr="00385AA9">
        <w:rPr>
          <w:rFonts w:ascii="Arial" w:hAnsi="Arial" w:cs="Arial"/>
          <w:noProof/>
          <w:lang w:val="sr-Latn-ME"/>
        </w:rPr>
        <w:t xml:space="preserve">Uprave za katastar i državnu imovinu – Područna jedinica Danilovgrad (broj:120/917/21-227, </w:t>
      </w:r>
      <w:r w:rsidR="007929DE">
        <w:rPr>
          <w:rFonts w:ascii="Arial" w:hAnsi="Arial" w:cs="Arial"/>
          <w:noProof/>
          <w:lang w:val="sr-Latn-ME"/>
        </w:rPr>
        <w:t>od</w:t>
      </w:r>
      <w:r w:rsidR="00B24C37">
        <w:rPr>
          <w:rFonts w:ascii="Arial" w:hAnsi="Arial" w:cs="Arial"/>
          <w:noProof/>
          <w:lang w:val="sr-Latn-ME"/>
        </w:rPr>
        <w:t xml:space="preserve"> 30.03.2021</w:t>
      </w:r>
      <w:r w:rsidR="00B24C37" w:rsidRPr="00385AA9">
        <w:rPr>
          <w:rFonts w:ascii="Arial" w:hAnsi="Arial" w:cs="Arial"/>
          <w:noProof/>
          <w:lang w:val="sr-Latn-ME"/>
        </w:rPr>
        <w:t>)</w:t>
      </w:r>
      <w:r w:rsidR="00197D09" w:rsidRPr="00205A29">
        <w:rPr>
          <w:rFonts w:ascii="Arial" w:hAnsi="Arial" w:cs="Arial"/>
          <w:lang w:val="sr-Latn-CS"/>
        </w:rPr>
        <w:t xml:space="preserve">; </w:t>
      </w:r>
    </w:p>
    <w:p w14:paraId="7EB7D781" w14:textId="6DB676DC" w:rsidR="00744584" w:rsidRPr="00205A29" w:rsidRDefault="005201A7"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sr-Latn-CS"/>
        </w:rPr>
        <w:t xml:space="preserve">Mišljenje </w:t>
      </w:r>
      <w:proofErr w:type="spellStart"/>
      <w:r w:rsidR="00B24C37" w:rsidRPr="00AC1D5B">
        <w:rPr>
          <w:rFonts w:ascii="Arial" w:hAnsi="Arial" w:cs="Arial"/>
        </w:rPr>
        <w:t>Sekretarijata</w:t>
      </w:r>
      <w:proofErr w:type="spellEnd"/>
      <w:r w:rsidR="00B24C37" w:rsidRPr="00AC1D5B">
        <w:rPr>
          <w:rFonts w:ascii="Arial" w:hAnsi="Arial" w:cs="Arial"/>
        </w:rPr>
        <w:t xml:space="preserve"> za </w:t>
      </w:r>
      <w:proofErr w:type="spellStart"/>
      <w:r w:rsidR="00B24C37" w:rsidRPr="00AC1D5B">
        <w:rPr>
          <w:rFonts w:ascii="Arial" w:hAnsi="Arial" w:cs="Arial"/>
        </w:rPr>
        <w:t>planiranje</w:t>
      </w:r>
      <w:proofErr w:type="spellEnd"/>
      <w:r w:rsidR="00B24C37" w:rsidRPr="00AC1D5B">
        <w:rPr>
          <w:rFonts w:ascii="Arial" w:hAnsi="Arial" w:cs="Arial"/>
        </w:rPr>
        <w:t xml:space="preserve"> </w:t>
      </w:r>
      <w:proofErr w:type="spellStart"/>
      <w:r w:rsidR="00B24C37" w:rsidRPr="00AC1D5B">
        <w:rPr>
          <w:rFonts w:ascii="Arial" w:hAnsi="Arial" w:cs="Arial"/>
        </w:rPr>
        <w:t>i</w:t>
      </w:r>
      <w:proofErr w:type="spellEnd"/>
      <w:r w:rsidR="00B24C37" w:rsidRPr="00AC1D5B">
        <w:rPr>
          <w:rFonts w:ascii="Arial" w:hAnsi="Arial" w:cs="Arial"/>
        </w:rPr>
        <w:t xml:space="preserve"> </w:t>
      </w:r>
      <w:proofErr w:type="spellStart"/>
      <w:r w:rsidR="00B24C37" w:rsidRPr="00AC1D5B">
        <w:rPr>
          <w:rFonts w:ascii="Arial" w:hAnsi="Arial" w:cs="Arial"/>
        </w:rPr>
        <w:t>uređenje</w:t>
      </w:r>
      <w:proofErr w:type="spellEnd"/>
      <w:r w:rsidR="00B24C37" w:rsidRPr="00AC1D5B">
        <w:rPr>
          <w:rFonts w:ascii="Arial" w:hAnsi="Arial" w:cs="Arial"/>
        </w:rPr>
        <w:t xml:space="preserve"> </w:t>
      </w:r>
      <w:proofErr w:type="spellStart"/>
      <w:r w:rsidR="00B24C37" w:rsidRPr="00AC1D5B">
        <w:rPr>
          <w:rFonts w:ascii="Arial" w:hAnsi="Arial" w:cs="Arial"/>
        </w:rPr>
        <w:t>prostora</w:t>
      </w:r>
      <w:proofErr w:type="spellEnd"/>
      <w:r w:rsidR="00B24C37" w:rsidRPr="00AC1D5B">
        <w:rPr>
          <w:rFonts w:ascii="Arial" w:hAnsi="Arial" w:cs="Arial"/>
        </w:rPr>
        <w:t xml:space="preserve"> </w:t>
      </w:r>
      <w:proofErr w:type="spellStart"/>
      <w:r w:rsidR="00B24C37" w:rsidRPr="00AC1D5B">
        <w:rPr>
          <w:rFonts w:ascii="Arial" w:hAnsi="Arial" w:cs="Arial"/>
        </w:rPr>
        <w:t>i</w:t>
      </w:r>
      <w:proofErr w:type="spellEnd"/>
      <w:r w:rsidR="00B24C37" w:rsidRPr="00AC1D5B">
        <w:rPr>
          <w:rFonts w:ascii="Arial" w:hAnsi="Arial" w:cs="Arial"/>
        </w:rPr>
        <w:t xml:space="preserve"> </w:t>
      </w:r>
      <w:proofErr w:type="spellStart"/>
      <w:r w:rsidR="00B24C37" w:rsidRPr="00AC1D5B">
        <w:rPr>
          <w:rFonts w:ascii="Arial" w:hAnsi="Arial" w:cs="Arial"/>
        </w:rPr>
        <w:t>zaštitu</w:t>
      </w:r>
      <w:proofErr w:type="spellEnd"/>
      <w:r w:rsidR="00B24C37" w:rsidRPr="00AC1D5B">
        <w:rPr>
          <w:rFonts w:ascii="Arial" w:hAnsi="Arial" w:cs="Arial"/>
        </w:rPr>
        <w:t xml:space="preserve"> </w:t>
      </w:r>
      <w:proofErr w:type="spellStart"/>
      <w:r w:rsidR="00B24C37" w:rsidRPr="00AC1D5B">
        <w:rPr>
          <w:rFonts w:ascii="Arial" w:hAnsi="Arial" w:cs="Arial"/>
        </w:rPr>
        <w:t>životne</w:t>
      </w:r>
      <w:proofErr w:type="spellEnd"/>
      <w:r w:rsidR="00B24C37" w:rsidRPr="00AC1D5B">
        <w:rPr>
          <w:rFonts w:ascii="Arial" w:hAnsi="Arial" w:cs="Arial"/>
        </w:rPr>
        <w:t xml:space="preserve"> </w:t>
      </w:r>
      <w:proofErr w:type="spellStart"/>
      <w:r w:rsidR="00B24C37" w:rsidRPr="00AC1D5B">
        <w:rPr>
          <w:rFonts w:ascii="Arial" w:hAnsi="Arial" w:cs="Arial"/>
        </w:rPr>
        <w:t>sredine</w:t>
      </w:r>
      <w:proofErr w:type="spellEnd"/>
      <w:r w:rsidR="00B24C37" w:rsidRPr="00AC1D5B">
        <w:rPr>
          <w:rFonts w:ascii="Arial" w:hAnsi="Arial" w:cs="Arial"/>
        </w:rPr>
        <w:t xml:space="preserve">, </w:t>
      </w:r>
      <w:proofErr w:type="spellStart"/>
      <w:r w:rsidR="00B24C37" w:rsidRPr="00AC1D5B">
        <w:rPr>
          <w:rFonts w:ascii="Arial" w:hAnsi="Arial" w:cs="Arial"/>
        </w:rPr>
        <w:t>Područna</w:t>
      </w:r>
      <w:proofErr w:type="spellEnd"/>
      <w:r w:rsidR="00B24C37" w:rsidRPr="00AC1D5B">
        <w:rPr>
          <w:rFonts w:ascii="Arial" w:hAnsi="Arial" w:cs="Arial"/>
        </w:rPr>
        <w:t xml:space="preserve"> </w:t>
      </w:r>
      <w:proofErr w:type="spellStart"/>
      <w:r w:rsidR="00B24C37" w:rsidRPr="00AC1D5B">
        <w:rPr>
          <w:rFonts w:ascii="Arial" w:hAnsi="Arial" w:cs="Arial"/>
        </w:rPr>
        <w:t>jedinica</w:t>
      </w:r>
      <w:proofErr w:type="spellEnd"/>
      <w:r w:rsidR="00B24C37" w:rsidRPr="00AC1D5B">
        <w:rPr>
          <w:rFonts w:ascii="Arial" w:hAnsi="Arial" w:cs="Arial"/>
        </w:rPr>
        <w:t xml:space="preserve"> </w:t>
      </w:r>
      <w:proofErr w:type="spellStart"/>
      <w:r w:rsidR="00B24C37" w:rsidRPr="00AC1D5B">
        <w:rPr>
          <w:rFonts w:ascii="Arial" w:hAnsi="Arial" w:cs="Arial"/>
        </w:rPr>
        <w:t>Danilograd</w:t>
      </w:r>
      <w:proofErr w:type="spellEnd"/>
      <w:r w:rsidR="00B24C37" w:rsidRPr="00AC1D5B">
        <w:rPr>
          <w:rFonts w:ascii="Arial" w:hAnsi="Arial" w:cs="Arial"/>
        </w:rPr>
        <w:t xml:space="preserve">, </w:t>
      </w:r>
      <w:proofErr w:type="spellStart"/>
      <w:r w:rsidR="00B24C37" w:rsidRPr="00AC1D5B">
        <w:rPr>
          <w:rFonts w:ascii="Arial" w:hAnsi="Arial" w:cs="Arial"/>
        </w:rPr>
        <w:t>broj</w:t>
      </w:r>
      <w:proofErr w:type="spellEnd"/>
      <w:r w:rsidR="00B24C37" w:rsidRPr="00AC1D5B">
        <w:rPr>
          <w:rFonts w:ascii="Arial" w:hAnsi="Arial" w:cs="Arial"/>
        </w:rPr>
        <w:t xml:space="preserve"> 06-332/21-269/2 od 30.03.2021.</w:t>
      </w:r>
      <w:r w:rsidR="00B24C37">
        <w:rPr>
          <w:rFonts w:ascii="Arial" w:hAnsi="Arial" w:cs="Arial"/>
        </w:rPr>
        <w:t xml:space="preserve"> </w:t>
      </w:r>
      <w:proofErr w:type="spellStart"/>
      <w:r w:rsidR="00B24C37" w:rsidRPr="00AC1D5B">
        <w:rPr>
          <w:rFonts w:ascii="Arial" w:hAnsi="Arial" w:cs="Arial"/>
        </w:rPr>
        <w:t>godine</w:t>
      </w:r>
      <w:proofErr w:type="spellEnd"/>
      <w:r w:rsidR="0000727F" w:rsidRPr="00205A29">
        <w:rPr>
          <w:rFonts w:ascii="Arial" w:hAnsi="Arial" w:cs="Arial"/>
          <w:lang w:val="sr-Latn-CS"/>
        </w:rPr>
        <w:t>;</w:t>
      </w:r>
    </w:p>
    <w:p w14:paraId="6DD369C5" w14:textId="305F2F9F" w:rsidR="00647A0E" w:rsidRPr="00205A29" w:rsidRDefault="00F2620A"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pl-PL" w:eastAsia="sl-SI"/>
        </w:rPr>
        <w:t>Mišljenje Uprave za zaštitu kulturnih dobara,</w:t>
      </w:r>
      <w:r w:rsidR="00214CB0" w:rsidRPr="00205A29">
        <w:rPr>
          <w:rFonts w:ascii="Arial" w:hAnsi="Arial" w:cs="Arial"/>
          <w:lang w:val="pl-PL" w:eastAsia="sl-SI"/>
        </w:rPr>
        <w:t xml:space="preserve"> akt </w:t>
      </w:r>
      <w:proofErr w:type="spellStart"/>
      <w:r w:rsidR="00B24C37">
        <w:rPr>
          <w:rFonts w:ascii="Arial" w:hAnsi="Arial" w:cs="Arial"/>
        </w:rPr>
        <w:t>broj</w:t>
      </w:r>
      <w:proofErr w:type="spellEnd"/>
      <w:r w:rsidR="00B24C37" w:rsidRPr="00413657">
        <w:rPr>
          <w:rFonts w:ascii="Arial" w:hAnsi="Arial" w:cs="Arial"/>
          <w:lang w:val="pl-PL" w:eastAsia="sl-SI"/>
        </w:rPr>
        <w:t xml:space="preserve"> </w:t>
      </w:r>
      <w:r w:rsidR="00B24C37">
        <w:rPr>
          <w:rFonts w:ascii="Arial" w:hAnsi="Arial" w:cs="Arial"/>
          <w:lang w:val="pl-PL" w:eastAsia="sl-SI"/>
        </w:rPr>
        <w:t>03-128/2021-17/2</w:t>
      </w:r>
      <w:r w:rsidR="00B24C37" w:rsidRPr="00413657">
        <w:rPr>
          <w:rFonts w:ascii="Arial" w:hAnsi="Arial" w:cs="Arial"/>
          <w:lang w:val="pl-PL" w:eastAsia="sl-SI"/>
        </w:rPr>
        <w:t xml:space="preserve"> od </w:t>
      </w:r>
      <w:r w:rsidR="00B24C37">
        <w:rPr>
          <w:rFonts w:ascii="Arial" w:hAnsi="Arial" w:cs="Arial"/>
          <w:lang w:val="pl-PL" w:eastAsia="sl-SI"/>
        </w:rPr>
        <w:t>12.04.202</w:t>
      </w:r>
      <w:r w:rsidR="00CA4A3D">
        <w:rPr>
          <w:rFonts w:ascii="Arial" w:hAnsi="Arial" w:cs="Arial"/>
          <w:lang w:val="pl-PL" w:eastAsia="sl-SI"/>
        </w:rPr>
        <w:t>1</w:t>
      </w:r>
      <w:r w:rsidR="00B24C37" w:rsidRPr="00413657">
        <w:rPr>
          <w:rFonts w:ascii="Arial" w:hAnsi="Arial" w:cs="Arial"/>
          <w:lang w:val="pl-PL" w:eastAsia="sl-SI"/>
        </w:rPr>
        <w:t>.</w:t>
      </w:r>
      <w:r w:rsidR="00B24C37">
        <w:rPr>
          <w:rFonts w:ascii="Arial" w:hAnsi="Arial" w:cs="Arial"/>
          <w:lang w:val="pl-PL" w:eastAsia="sl-SI"/>
        </w:rPr>
        <w:t xml:space="preserve"> </w:t>
      </w:r>
      <w:r w:rsidR="00B24C37" w:rsidRPr="00413657">
        <w:rPr>
          <w:rFonts w:ascii="Arial" w:hAnsi="Arial" w:cs="Arial"/>
          <w:lang w:val="pl-PL" w:eastAsia="sl-SI"/>
        </w:rPr>
        <w:t>godine</w:t>
      </w:r>
      <w:r w:rsidR="00236CDB" w:rsidRPr="00205A29">
        <w:rPr>
          <w:rFonts w:ascii="Arial" w:hAnsi="Arial" w:cs="Arial"/>
          <w:lang w:val="pl-PL" w:eastAsia="sl-SI"/>
        </w:rPr>
        <w:t>;</w:t>
      </w:r>
    </w:p>
    <w:p w14:paraId="145AAF9E" w14:textId="7F5F76C8" w:rsidR="006C2B6E" w:rsidRDefault="006C2B6E" w:rsidP="006C2B6E">
      <w:pPr>
        <w:pStyle w:val="ListParagraph"/>
        <w:numPr>
          <w:ilvl w:val="0"/>
          <w:numId w:val="7"/>
        </w:numPr>
        <w:spacing w:after="0" w:line="240" w:lineRule="auto"/>
        <w:contextualSpacing w:val="0"/>
        <w:jc w:val="both"/>
        <w:rPr>
          <w:rFonts w:ascii="Arial" w:hAnsi="Arial" w:cs="Arial"/>
          <w:lang w:val="pl-PL"/>
        </w:rPr>
      </w:pPr>
      <w:r w:rsidRPr="008B06BE">
        <w:rPr>
          <w:rFonts w:ascii="Arial" w:hAnsi="Arial" w:cs="Arial"/>
          <w:lang w:val="pl-PL"/>
        </w:rPr>
        <w:t xml:space="preserve">Podaci </w:t>
      </w:r>
      <w:r>
        <w:rPr>
          <w:rFonts w:ascii="Arial" w:hAnsi="Arial" w:cs="Arial"/>
          <w:lang w:val="sr-Latn-CS"/>
        </w:rPr>
        <w:t>o prosječno</w:t>
      </w:r>
      <w:r w:rsidRPr="008F4468">
        <w:rPr>
          <w:rFonts w:ascii="Arial" w:hAnsi="Arial" w:cs="Arial"/>
          <w:lang w:val="sr-Latn-CS"/>
        </w:rPr>
        <w:t xml:space="preserve"> ostvarenim prodajnim cijenama </w:t>
      </w:r>
      <w:r>
        <w:rPr>
          <w:rFonts w:ascii="Arial" w:hAnsi="Arial" w:cs="Arial"/>
          <w:lang w:val="sr-Latn-CS"/>
        </w:rPr>
        <w:t>arhitektonsko-građevinskog kamena u Crnoj Gori</w:t>
      </w:r>
      <w:r w:rsidRPr="008F4468">
        <w:rPr>
          <w:rFonts w:ascii="Arial" w:hAnsi="Arial" w:cs="Arial"/>
          <w:lang w:val="sr-Latn-CS"/>
        </w:rPr>
        <w:t xml:space="preserve"> za 202</w:t>
      </w:r>
      <w:r w:rsidR="00C558E9">
        <w:rPr>
          <w:rFonts w:ascii="Arial" w:hAnsi="Arial" w:cs="Arial"/>
          <w:lang w:val="sr-Latn-CS"/>
        </w:rPr>
        <w:t>1</w:t>
      </w:r>
      <w:r w:rsidRPr="008F4468">
        <w:rPr>
          <w:rFonts w:ascii="Arial" w:hAnsi="Arial" w:cs="Arial"/>
          <w:lang w:val="sr-Latn-CS"/>
        </w:rPr>
        <w:t>. godinu</w:t>
      </w:r>
      <w:r>
        <w:rPr>
          <w:rFonts w:ascii="Arial" w:hAnsi="Arial" w:cs="Arial"/>
          <w:lang w:val="sr-Latn-CS"/>
        </w:rPr>
        <w:t>. (Ministarstvo kapitalnih investicija)</w:t>
      </w:r>
      <w:r w:rsidRPr="00205A29">
        <w:rPr>
          <w:rFonts w:ascii="Arial" w:hAnsi="Arial" w:cs="Arial"/>
          <w:lang w:val="pl-PL" w:eastAsia="sl-SI"/>
        </w:rPr>
        <w:t>;</w:t>
      </w:r>
    </w:p>
    <w:p w14:paraId="6D2B3859" w14:textId="59A89AA8" w:rsidR="004F7D71" w:rsidRPr="00F20C68"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 xml:space="preserve">tama graničnih tačaka </w:t>
      </w:r>
      <w:r w:rsidR="00C545B5">
        <w:rPr>
          <w:rFonts w:ascii="Arial" w:hAnsi="Arial" w:cs="Arial"/>
          <w:lang w:val="pl-PL"/>
        </w:rPr>
        <w:t>perspektivnog prostora</w:t>
      </w:r>
      <w:r w:rsidR="004F7D71" w:rsidRPr="00F20C68">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00197D09" w:rsidRPr="00F20C68">
        <w:rPr>
          <w:rFonts w:ascii="Arial" w:hAnsi="Arial" w:cs="Arial"/>
          <w:noProof/>
        </w:rPr>
        <w:t>.</w:t>
      </w:r>
    </w:p>
    <w:p w14:paraId="2E1DACAA" w14:textId="77777777" w:rsidR="004F7D71" w:rsidRPr="00330939" w:rsidRDefault="004F7D71" w:rsidP="00B21F9C">
      <w:pPr>
        <w:pStyle w:val="ListParagraph"/>
        <w:spacing w:after="0" w:line="240" w:lineRule="auto"/>
        <w:jc w:val="both"/>
        <w:rPr>
          <w:rFonts w:ascii="Arial" w:hAnsi="Arial" w:cs="Arial"/>
          <w:lang w:val="sr-Latn-CS"/>
        </w:rPr>
      </w:pPr>
    </w:p>
    <w:p w14:paraId="4375B2D3" w14:textId="77777777" w:rsidR="00684F40" w:rsidRPr="00721330" w:rsidRDefault="00684F40" w:rsidP="00B21F9C">
      <w:pPr>
        <w:spacing w:after="0" w:line="240" w:lineRule="auto"/>
        <w:ind w:left="709"/>
        <w:jc w:val="both"/>
        <w:rPr>
          <w:rFonts w:ascii="Arial" w:hAnsi="Arial" w:cs="Arial"/>
          <w:b/>
          <w:lang w:val="sr-Latn-CS"/>
        </w:rPr>
      </w:pPr>
      <w:r w:rsidRPr="00721330">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003C42E8" w:rsidR="00684F40" w:rsidRPr="00B21F9C" w:rsidRDefault="00684F40" w:rsidP="006C2B6E">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40/16);Uredba o visini sredstava za sanaciju i rekultivaciju prostora na kojem se izvode rudarski radovi, načinu obračunavanja, plaćanja i korišćenja tih sredstava („Sl. list CG“, br. 51/11).</w:t>
      </w:r>
    </w:p>
    <w:p w14:paraId="6A23B947" w14:textId="005F76D6" w:rsidR="00684F40" w:rsidRDefault="00684F40" w:rsidP="00B21F9C">
      <w:pPr>
        <w:spacing w:after="0" w:line="240" w:lineRule="auto"/>
        <w:ind w:left="709"/>
        <w:jc w:val="both"/>
        <w:rPr>
          <w:rFonts w:ascii="Arial" w:hAnsi="Arial" w:cs="Arial"/>
          <w:lang w:val="sr-Latn-CS"/>
        </w:rPr>
      </w:pPr>
    </w:p>
    <w:p w14:paraId="0F118662" w14:textId="017B6367" w:rsidR="00B21F9C" w:rsidRDefault="00684F40" w:rsidP="00B21F9C">
      <w:pPr>
        <w:spacing w:after="0" w:line="240" w:lineRule="auto"/>
        <w:jc w:val="both"/>
        <w:rPr>
          <w:rFonts w:ascii="Arial" w:hAnsi="Arial" w:cs="Arial"/>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 xml:space="preserve">Podgorica, </w:t>
      </w:r>
      <w:r w:rsidR="000F34A9">
        <w:rPr>
          <w:rFonts w:ascii="Arial" w:hAnsi="Arial" w:cs="Arial"/>
          <w:lang w:val="sr-Latn-CS"/>
        </w:rPr>
        <w:t>jun</w:t>
      </w:r>
      <w:r w:rsidR="006610CA">
        <w:rPr>
          <w:rFonts w:ascii="Arial" w:hAnsi="Arial" w:cs="Arial"/>
          <w:lang w:val="sr-Latn-CS"/>
        </w:rPr>
        <w:t xml:space="preserve"> </w:t>
      </w:r>
      <w:r w:rsidRPr="0013332E">
        <w:rPr>
          <w:rFonts w:ascii="Arial" w:hAnsi="Arial" w:cs="Arial"/>
          <w:lang w:val="sr-Latn-CS"/>
        </w:rPr>
        <w:t>202</w:t>
      </w:r>
      <w:r w:rsidR="00162173">
        <w:rPr>
          <w:rFonts w:ascii="Arial" w:hAnsi="Arial" w:cs="Arial"/>
          <w:lang w:val="sr-Latn-CS"/>
        </w:rPr>
        <w:t>2</w:t>
      </w:r>
      <w:r w:rsidRPr="0013332E">
        <w:rPr>
          <w:rFonts w:ascii="Arial" w:hAnsi="Arial" w:cs="Arial"/>
          <w:lang w:val="sr-Latn-CS"/>
        </w:rPr>
        <w:t>. godine</w:t>
      </w:r>
    </w:p>
    <w:p w14:paraId="4892D225" w14:textId="77777777" w:rsidR="00A00482" w:rsidRPr="00B21F9C" w:rsidRDefault="00A00482" w:rsidP="00B21F9C">
      <w:pPr>
        <w:spacing w:after="0" w:line="240" w:lineRule="auto"/>
        <w:jc w:val="both"/>
        <w:rPr>
          <w:rFonts w:ascii="Arial" w:hAnsi="Arial" w:cs="Arial"/>
          <w:b/>
          <w:lang w:val="sr-Latn-CS"/>
        </w:rPr>
      </w:pPr>
    </w:p>
    <w:p w14:paraId="513BF7D8" w14:textId="2B67EC89" w:rsidR="003E777D" w:rsidRPr="00205A29" w:rsidRDefault="003E777D" w:rsidP="00D35018">
      <w:pPr>
        <w:spacing w:after="0" w:line="240" w:lineRule="auto"/>
        <w:jc w:val="both"/>
        <w:rPr>
          <w:rFonts w:ascii="Arial" w:hAnsi="Arial" w:cs="Arial"/>
          <w:b/>
        </w:rPr>
      </w:pPr>
      <w:r w:rsidRPr="00205A29">
        <w:rPr>
          <w:rFonts w:ascii="Arial" w:hAnsi="Arial" w:cs="Arial"/>
          <w:b/>
        </w:rPr>
        <w:t>S A D R Ž A J</w:t>
      </w:r>
    </w:p>
    <w:p w14:paraId="04A00D63" w14:textId="77777777" w:rsidR="003E777D" w:rsidRPr="00205A29"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762"/>
        <w:gridCol w:w="913"/>
      </w:tblGrid>
      <w:tr w:rsidR="00F2620A" w:rsidRPr="00205A29" w14:paraId="1D3CBAB5" w14:textId="77777777" w:rsidTr="0010704C">
        <w:tc>
          <w:tcPr>
            <w:tcW w:w="8926" w:type="dxa"/>
          </w:tcPr>
          <w:p w14:paraId="0B2E425F" w14:textId="77777777" w:rsidR="00F2620A" w:rsidRPr="00205A29" w:rsidRDefault="00F2620A" w:rsidP="00D35018">
            <w:pPr>
              <w:spacing w:after="0" w:line="240" w:lineRule="auto"/>
              <w:jc w:val="both"/>
              <w:rPr>
                <w:rFonts w:ascii="Arial" w:hAnsi="Arial" w:cs="Arial"/>
              </w:rPr>
            </w:pPr>
            <w:proofErr w:type="spellStart"/>
            <w:r w:rsidRPr="00205A29">
              <w:rPr>
                <w:rFonts w:ascii="Arial" w:hAnsi="Arial" w:cs="Arial"/>
              </w:rPr>
              <w:t>Uvod</w:t>
            </w:r>
            <w:proofErr w:type="spellEnd"/>
          </w:p>
        </w:tc>
        <w:tc>
          <w:tcPr>
            <w:tcW w:w="929" w:type="dxa"/>
            <w:vAlign w:val="center"/>
          </w:tcPr>
          <w:p w14:paraId="08B4DADB" w14:textId="77777777" w:rsidR="00F2620A" w:rsidRPr="00205A29" w:rsidRDefault="00F2620A" w:rsidP="00D35018">
            <w:pPr>
              <w:spacing w:after="0" w:line="240" w:lineRule="auto"/>
              <w:jc w:val="center"/>
              <w:rPr>
                <w:rFonts w:ascii="Arial" w:hAnsi="Arial" w:cs="Arial"/>
              </w:rPr>
            </w:pPr>
          </w:p>
        </w:tc>
      </w:tr>
      <w:tr w:rsidR="00F2620A" w:rsidRPr="00205A29" w14:paraId="416230B6" w14:textId="77777777" w:rsidTr="0010704C">
        <w:tc>
          <w:tcPr>
            <w:tcW w:w="8926" w:type="dxa"/>
          </w:tcPr>
          <w:p w14:paraId="3DD37F9B" w14:textId="77777777" w:rsidR="00F2620A" w:rsidRPr="00205A29" w:rsidRDefault="00F2620A" w:rsidP="00D35018">
            <w:pPr>
              <w:spacing w:after="0" w:line="240" w:lineRule="auto"/>
              <w:jc w:val="both"/>
              <w:rPr>
                <w:rFonts w:ascii="Arial" w:hAnsi="Arial" w:cs="Arial"/>
              </w:rPr>
            </w:pPr>
          </w:p>
        </w:tc>
        <w:tc>
          <w:tcPr>
            <w:tcW w:w="929" w:type="dxa"/>
            <w:vAlign w:val="center"/>
          </w:tcPr>
          <w:p w14:paraId="75D32C94" w14:textId="77777777" w:rsidR="00F2620A" w:rsidRPr="00205A29" w:rsidRDefault="00F2620A" w:rsidP="00D35018">
            <w:pPr>
              <w:spacing w:after="0" w:line="240" w:lineRule="auto"/>
              <w:jc w:val="center"/>
              <w:rPr>
                <w:rFonts w:ascii="Arial" w:hAnsi="Arial" w:cs="Arial"/>
              </w:rPr>
            </w:pPr>
          </w:p>
        </w:tc>
      </w:tr>
      <w:tr w:rsidR="00F2620A" w:rsidRPr="00205A29" w14:paraId="1C646996" w14:textId="77777777" w:rsidTr="0010704C">
        <w:tc>
          <w:tcPr>
            <w:tcW w:w="8926" w:type="dxa"/>
          </w:tcPr>
          <w:p w14:paraId="6EF39533" w14:textId="27B74081" w:rsidR="00F2620A" w:rsidRPr="00205A29" w:rsidRDefault="00C01968" w:rsidP="006C2B6E">
            <w:pPr>
              <w:spacing w:after="0" w:line="240" w:lineRule="auto"/>
              <w:jc w:val="both"/>
              <w:rPr>
                <w:rFonts w:ascii="Arial" w:hAnsi="Arial" w:cs="Arial"/>
              </w:rPr>
            </w:pPr>
            <w:r>
              <w:rPr>
                <w:rFonts w:ascii="Arial" w:hAnsi="Arial" w:cs="Arial"/>
              </w:rPr>
              <w:t>1.</w:t>
            </w:r>
            <w:r w:rsidR="00F2620A" w:rsidRPr="00205A29">
              <w:rPr>
                <w:rFonts w:ascii="Arial" w:hAnsi="Arial" w:cs="Arial"/>
              </w:rPr>
              <w:t xml:space="preserve">Tehnički </w:t>
            </w:r>
            <w:proofErr w:type="spellStart"/>
            <w:r w:rsidR="00F2620A" w:rsidRPr="00205A29">
              <w:rPr>
                <w:rFonts w:ascii="Arial" w:hAnsi="Arial" w:cs="Arial"/>
              </w:rPr>
              <w:t>izvještaj</w:t>
            </w:r>
            <w:proofErr w:type="spellEnd"/>
            <w:r w:rsidR="00F2620A" w:rsidRPr="00205A29">
              <w:rPr>
                <w:rFonts w:ascii="Arial" w:hAnsi="Arial" w:cs="Arial"/>
              </w:rPr>
              <w:t xml:space="preserve"> o </w:t>
            </w:r>
            <w:r w:rsidR="006C2B6E">
              <w:rPr>
                <w:rFonts w:ascii="Arial" w:hAnsi="Arial" w:cs="Arial"/>
              </w:rPr>
              <w:t>le</w:t>
            </w:r>
            <w:r w:rsidR="006C2B6E">
              <w:rPr>
                <w:rFonts w:ascii="Arial" w:hAnsi="Arial" w:cs="Arial"/>
                <w:lang w:val="sr-Latn-ME"/>
              </w:rPr>
              <w:t>žištu</w:t>
            </w:r>
            <w:r w:rsidR="00F2620A" w:rsidRPr="00205A29">
              <w:rPr>
                <w:rFonts w:ascii="Arial" w:hAnsi="Arial" w:cs="Arial"/>
              </w:rPr>
              <w:t xml:space="preserve"> </w:t>
            </w:r>
            <w:proofErr w:type="spellStart"/>
            <w:r w:rsidR="006C2B6E">
              <w:rPr>
                <w:rFonts w:ascii="Arial" w:hAnsi="Arial" w:cs="Arial"/>
              </w:rPr>
              <w:t>arhitektonsko</w:t>
            </w:r>
            <w:r w:rsidR="0010704C">
              <w:rPr>
                <w:rFonts w:ascii="Arial" w:hAnsi="Arial" w:cs="Arial"/>
              </w:rPr>
              <w:t>-građevinskog</w:t>
            </w:r>
            <w:proofErr w:type="spellEnd"/>
            <w:r w:rsidR="0010704C">
              <w:rPr>
                <w:rFonts w:ascii="Arial" w:hAnsi="Arial" w:cs="Arial"/>
              </w:rPr>
              <w:t xml:space="preserve"> </w:t>
            </w:r>
            <w:proofErr w:type="spellStart"/>
            <w:r w:rsidR="0010704C">
              <w:rPr>
                <w:rFonts w:ascii="Arial" w:hAnsi="Arial" w:cs="Arial"/>
              </w:rPr>
              <w:t>kamena</w:t>
            </w:r>
            <w:proofErr w:type="spellEnd"/>
            <w:r w:rsidR="0010704C">
              <w:rPr>
                <w:rFonts w:ascii="Arial" w:hAnsi="Arial" w:cs="Arial"/>
              </w:rPr>
              <w:t xml:space="preserve"> </w:t>
            </w:r>
            <w:r w:rsidR="00772844">
              <w:rPr>
                <w:rFonts w:ascii="Arial" w:hAnsi="Arial" w:cs="Arial"/>
                <w:noProof/>
              </w:rPr>
              <w:t>“Klikovače”</w:t>
            </w:r>
          </w:p>
        </w:tc>
        <w:tc>
          <w:tcPr>
            <w:tcW w:w="929" w:type="dxa"/>
            <w:vAlign w:val="center"/>
          </w:tcPr>
          <w:p w14:paraId="11AFB2A0" w14:textId="77777777" w:rsidR="00F2620A" w:rsidRPr="00205A29" w:rsidRDefault="00F2620A" w:rsidP="00D35018">
            <w:pPr>
              <w:spacing w:after="0" w:line="240" w:lineRule="auto"/>
              <w:jc w:val="center"/>
              <w:rPr>
                <w:rFonts w:ascii="Arial" w:hAnsi="Arial" w:cs="Arial"/>
              </w:rPr>
            </w:pPr>
          </w:p>
        </w:tc>
      </w:tr>
      <w:tr w:rsidR="00F2620A" w:rsidRPr="00205A29" w14:paraId="4C0C7245" w14:textId="77777777" w:rsidTr="0010704C">
        <w:tc>
          <w:tcPr>
            <w:tcW w:w="8926" w:type="dxa"/>
          </w:tcPr>
          <w:p w14:paraId="53336194" w14:textId="77777777" w:rsidR="00F2620A" w:rsidRPr="00205A29" w:rsidRDefault="00F2620A" w:rsidP="00C01968">
            <w:pPr>
              <w:spacing w:after="0" w:line="240" w:lineRule="auto"/>
              <w:jc w:val="both"/>
              <w:rPr>
                <w:rFonts w:ascii="Arial" w:hAnsi="Arial" w:cs="Arial"/>
              </w:rPr>
            </w:pPr>
          </w:p>
        </w:tc>
        <w:tc>
          <w:tcPr>
            <w:tcW w:w="929" w:type="dxa"/>
            <w:vAlign w:val="center"/>
          </w:tcPr>
          <w:p w14:paraId="75334C8B" w14:textId="77777777" w:rsidR="00F2620A" w:rsidRPr="00205A29" w:rsidRDefault="00F2620A" w:rsidP="00D35018">
            <w:pPr>
              <w:spacing w:after="0" w:line="240" w:lineRule="auto"/>
              <w:jc w:val="center"/>
              <w:rPr>
                <w:rFonts w:ascii="Arial" w:hAnsi="Arial" w:cs="Arial"/>
              </w:rPr>
            </w:pPr>
          </w:p>
        </w:tc>
      </w:tr>
      <w:tr w:rsidR="00F2620A" w:rsidRPr="00205A29" w14:paraId="1742DB5B" w14:textId="77777777" w:rsidTr="0010704C">
        <w:tc>
          <w:tcPr>
            <w:tcW w:w="8926" w:type="dxa"/>
          </w:tcPr>
          <w:p w14:paraId="1488B1FC" w14:textId="77777777" w:rsidR="00F2620A" w:rsidRPr="00205A29" w:rsidRDefault="00C01968" w:rsidP="00C01968">
            <w:pPr>
              <w:spacing w:after="0" w:line="240" w:lineRule="auto"/>
              <w:jc w:val="both"/>
              <w:rPr>
                <w:rFonts w:ascii="Arial" w:hAnsi="Arial" w:cs="Arial"/>
              </w:rPr>
            </w:pPr>
            <w:r>
              <w:rPr>
                <w:rFonts w:ascii="Arial" w:hAnsi="Arial" w:cs="Arial"/>
              </w:rPr>
              <w:t>2.</w:t>
            </w:r>
            <w:r w:rsidR="00F2620A" w:rsidRPr="00205A29">
              <w:rPr>
                <w:rFonts w:ascii="Arial" w:hAnsi="Arial" w:cs="Arial"/>
              </w:rPr>
              <w:t xml:space="preserve">Rok </w:t>
            </w:r>
            <w:proofErr w:type="spellStart"/>
            <w:r w:rsidR="00F2620A" w:rsidRPr="00205A29">
              <w:rPr>
                <w:rFonts w:ascii="Arial" w:hAnsi="Arial" w:cs="Arial"/>
              </w:rPr>
              <w:t>trajanja</w:t>
            </w:r>
            <w:proofErr w:type="spellEnd"/>
            <w:r w:rsidR="00F2620A" w:rsidRPr="00205A29">
              <w:rPr>
                <w:rFonts w:ascii="Arial" w:hAnsi="Arial" w:cs="Arial"/>
              </w:rPr>
              <w:t xml:space="preserve"> </w:t>
            </w:r>
            <w:proofErr w:type="spellStart"/>
            <w:r w:rsidR="00F2620A" w:rsidRPr="00205A29">
              <w:rPr>
                <w:rFonts w:ascii="Arial" w:hAnsi="Arial" w:cs="Arial"/>
              </w:rPr>
              <w:t>koncesije</w:t>
            </w:r>
            <w:proofErr w:type="spellEnd"/>
          </w:p>
        </w:tc>
        <w:tc>
          <w:tcPr>
            <w:tcW w:w="929" w:type="dxa"/>
            <w:vAlign w:val="center"/>
          </w:tcPr>
          <w:p w14:paraId="5B20E01F" w14:textId="77777777" w:rsidR="00F2620A" w:rsidRPr="00205A29" w:rsidRDefault="00F2620A" w:rsidP="00D90439">
            <w:pPr>
              <w:spacing w:after="0" w:line="240" w:lineRule="auto"/>
              <w:jc w:val="center"/>
              <w:rPr>
                <w:rFonts w:ascii="Arial" w:hAnsi="Arial" w:cs="Arial"/>
              </w:rPr>
            </w:pPr>
          </w:p>
        </w:tc>
      </w:tr>
      <w:tr w:rsidR="00F2620A" w:rsidRPr="00205A29" w14:paraId="7E4E3D0B" w14:textId="77777777" w:rsidTr="0010704C">
        <w:tc>
          <w:tcPr>
            <w:tcW w:w="8926" w:type="dxa"/>
          </w:tcPr>
          <w:p w14:paraId="7AE60095" w14:textId="77777777" w:rsidR="00F2620A" w:rsidRPr="00205A29" w:rsidRDefault="00F2620A" w:rsidP="00C01968">
            <w:pPr>
              <w:spacing w:after="0" w:line="240" w:lineRule="auto"/>
              <w:jc w:val="both"/>
              <w:rPr>
                <w:rFonts w:ascii="Arial" w:hAnsi="Arial" w:cs="Arial"/>
              </w:rPr>
            </w:pPr>
          </w:p>
        </w:tc>
        <w:tc>
          <w:tcPr>
            <w:tcW w:w="929" w:type="dxa"/>
            <w:vAlign w:val="center"/>
          </w:tcPr>
          <w:p w14:paraId="64B13BC1" w14:textId="77777777" w:rsidR="00F2620A" w:rsidRPr="00205A29" w:rsidRDefault="00F2620A" w:rsidP="00D35018">
            <w:pPr>
              <w:spacing w:after="0" w:line="240" w:lineRule="auto"/>
              <w:jc w:val="center"/>
              <w:rPr>
                <w:rFonts w:ascii="Arial" w:hAnsi="Arial" w:cs="Arial"/>
              </w:rPr>
            </w:pPr>
          </w:p>
        </w:tc>
      </w:tr>
      <w:tr w:rsidR="00F2620A" w:rsidRPr="00205A29" w14:paraId="60667A01" w14:textId="77777777" w:rsidTr="0010704C">
        <w:tc>
          <w:tcPr>
            <w:tcW w:w="8926" w:type="dxa"/>
          </w:tcPr>
          <w:p w14:paraId="1A88B859"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3.</w:t>
            </w:r>
            <w:r w:rsidR="00F2620A" w:rsidRPr="00205A29">
              <w:rPr>
                <w:rFonts w:ascii="Arial" w:hAnsi="Arial" w:cs="Arial"/>
                <w:lang w:val="pl-PL"/>
              </w:rPr>
              <w:t>Osnovni parametri za ocjenu ekonomske opravdanosti investicije</w:t>
            </w:r>
          </w:p>
        </w:tc>
        <w:tc>
          <w:tcPr>
            <w:tcW w:w="929" w:type="dxa"/>
            <w:vAlign w:val="center"/>
          </w:tcPr>
          <w:p w14:paraId="0A14F0CC" w14:textId="77777777" w:rsidR="00F2620A" w:rsidRPr="00205A29" w:rsidRDefault="00F2620A" w:rsidP="00D35018">
            <w:pPr>
              <w:spacing w:after="0" w:line="240" w:lineRule="auto"/>
              <w:jc w:val="center"/>
              <w:rPr>
                <w:rFonts w:ascii="Arial" w:hAnsi="Arial" w:cs="Arial"/>
              </w:rPr>
            </w:pPr>
          </w:p>
        </w:tc>
      </w:tr>
      <w:tr w:rsidR="00F2620A" w:rsidRPr="00205A29" w14:paraId="7943337D" w14:textId="77777777" w:rsidTr="0010704C">
        <w:tc>
          <w:tcPr>
            <w:tcW w:w="8926" w:type="dxa"/>
          </w:tcPr>
          <w:p w14:paraId="56636588" w14:textId="77777777" w:rsidR="00F2620A" w:rsidRPr="00205A29" w:rsidRDefault="00F2620A" w:rsidP="00C01968">
            <w:pPr>
              <w:spacing w:after="0" w:line="240" w:lineRule="auto"/>
              <w:jc w:val="both"/>
              <w:rPr>
                <w:rFonts w:ascii="Arial" w:hAnsi="Arial" w:cs="Arial"/>
              </w:rPr>
            </w:pPr>
          </w:p>
        </w:tc>
        <w:tc>
          <w:tcPr>
            <w:tcW w:w="929" w:type="dxa"/>
            <w:vAlign w:val="center"/>
          </w:tcPr>
          <w:p w14:paraId="3E3B0532" w14:textId="77777777" w:rsidR="00F2620A" w:rsidRPr="00205A29" w:rsidRDefault="00F2620A" w:rsidP="00D35018">
            <w:pPr>
              <w:spacing w:after="0" w:line="240" w:lineRule="auto"/>
              <w:jc w:val="center"/>
              <w:rPr>
                <w:rFonts w:ascii="Arial" w:hAnsi="Arial" w:cs="Arial"/>
              </w:rPr>
            </w:pPr>
          </w:p>
        </w:tc>
      </w:tr>
      <w:tr w:rsidR="00F2620A" w:rsidRPr="00205A29" w14:paraId="521A6CBF" w14:textId="77777777" w:rsidTr="0010704C">
        <w:tc>
          <w:tcPr>
            <w:tcW w:w="8926" w:type="dxa"/>
          </w:tcPr>
          <w:p w14:paraId="221B4AEF"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4.</w:t>
            </w:r>
            <w:r w:rsidR="00F2620A" w:rsidRPr="00205A29">
              <w:rPr>
                <w:rFonts w:ascii="Arial" w:hAnsi="Arial" w:cs="Arial"/>
                <w:lang w:val="pl-PL"/>
              </w:rPr>
              <w:t>Mjere za zaštitu životne sredine</w:t>
            </w:r>
          </w:p>
        </w:tc>
        <w:tc>
          <w:tcPr>
            <w:tcW w:w="929" w:type="dxa"/>
            <w:vAlign w:val="center"/>
          </w:tcPr>
          <w:p w14:paraId="0C166481" w14:textId="77777777" w:rsidR="00F2620A" w:rsidRPr="00205A29" w:rsidRDefault="00F2620A" w:rsidP="00DC7002">
            <w:pPr>
              <w:spacing w:after="0" w:line="240" w:lineRule="auto"/>
              <w:jc w:val="center"/>
              <w:rPr>
                <w:rFonts w:ascii="Arial" w:hAnsi="Arial" w:cs="Arial"/>
              </w:rPr>
            </w:pPr>
          </w:p>
        </w:tc>
      </w:tr>
      <w:tr w:rsidR="00F2620A" w:rsidRPr="00205A29" w14:paraId="0AD29DB5" w14:textId="77777777" w:rsidTr="0010704C">
        <w:tc>
          <w:tcPr>
            <w:tcW w:w="8926" w:type="dxa"/>
          </w:tcPr>
          <w:p w14:paraId="5ACACAF4" w14:textId="77777777" w:rsidR="00F2620A" w:rsidRPr="00205A29" w:rsidRDefault="00F2620A" w:rsidP="00C01968">
            <w:pPr>
              <w:spacing w:after="0" w:line="240" w:lineRule="auto"/>
              <w:jc w:val="both"/>
              <w:rPr>
                <w:rFonts w:ascii="Arial" w:hAnsi="Arial" w:cs="Arial"/>
              </w:rPr>
            </w:pPr>
          </w:p>
        </w:tc>
        <w:tc>
          <w:tcPr>
            <w:tcW w:w="929" w:type="dxa"/>
            <w:vAlign w:val="center"/>
          </w:tcPr>
          <w:p w14:paraId="30D8DE3D" w14:textId="77777777" w:rsidR="00F2620A" w:rsidRPr="00205A29" w:rsidRDefault="00F2620A" w:rsidP="00D35018">
            <w:pPr>
              <w:spacing w:after="0" w:line="240" w:lineRule="auto"/>
              <w:jc w:val="center"/>
              <w:rPr>
                <w:rFonts w:ascii="Arial" w:hAnsi="Arial" w:cs="Arial"/>
              </w:rPr>
            </w:pPr>
          </w:p>
        </w:tc>
      </w:tr>
      <w:tr w:rsidR="00F2620A" w:rsidRPr="00205A29" w14:paraId="33601E92" w14:textId="77777777" w:rsidTr="0010704C">
        <w:tc>
          <w:tcPr>
            <w:tcW w:w="8926" w:type="dxa"/>
          </w:tcPr>
          <w:p w14:paraId="4CF8F089" w14:textId="727AE757" w:rsidR="00F2620A" w:rsidRPr="00205A29" w:rsidRDefault="00C01968" w:rsidP="00C01968">
            <w:pPr>
              <w:spacing w:after="0" w:line="240" w:lineRule="auto"/>
              <w:jc w:val="both"/>
              <w:rPr>
                <w:rFonts w:ascii="Arial" w:hAnsi="Arial" w:cs="Arial"/>
                <w:lang w:val="pl-PL"/>
              </w:rPr>
            </w:pPr>
            <w:r>
              <w:rPr>
                <w:rFonts w:ascii="Arial" w:hAnsi="Arial" w:cs="Arial"/>
                <w:lang w:val="pl-PL"/>
              </w:rPr>
              <w:t>5.</w:t>
            </w:r>
            <w:r w:rsidR="00F2620A" w:rsidRPr="00205A29">
              <w:rPr>
                <w:rFonts w:ascii="Arial" w:hAnsi="Arial" w:cs="Arial"/>
                <w:lang w:val="pl-PL"/>
              </w:rPr>
              <w:t xml:space="preserve">Rekultivacija istražno-eksploatacionog prostora </w:t>
            </w:r>
            <w:r w:rsidR="00772844">
              <w:rPr>
                <w:rFonts w:ascii="Arial" w:hAnsi="Arial" w:cs="Arial"/>
                <w:noProof/>
              </w:rPr>
              <w:t>“Klikovače”</w:t>
            </w:r>
          </w:p>
        </w:tc>
        <w:tc>
          <w:tcPr>
            <w:tcW w:w="929" w:type="dxa"/>
            <w:vAlign w:val="center"/>
          </w:tcPr>
          <w:p w14:paraId="05309210" w14:textId="77777777" w:rsidR="00F2620A" w:rsidRPr="00205A29" w:rsidRDefault="00F2620A" w:rsidP="00DC7002">
            <w:pPr>
              <w:spacing w:after="0" w:line="240" w:lineRule="auto"/>
              <w:jc w:val="center"/>
              <w:rPr>
                <w:rFonts w:ascii="Arial" w:hAnsi="Arial" w:cs="Arial"/>
              </w:rPr>
            </w:pPr>
          </w:p>
        </w:tc>
      </w:tr>
      <w:tr w:rsidR="00F2620A" w:rsidRPr="00205A29" w14:paraId="30D5FF46" w14:textId="77777777" w:rsidTr="0010704C">
        <w:tc>
          <w:tcPr>
            <w:tcW w:w="8926" w:type="dxa"/>
          </w:tcPr>
          <w:p w14:paraId="098187B5" w14:textId="77777777" w:rsidR="00F2620A" w:rsidRPr="00205A29" w:rsidRDefault="00F2620A" w:rsidP="00C01968">
            <w:pPr>
              <w:spacing w:after="0" w:line="240" w:lineRule="auto"/>
              <w:jc w:val="both"/>
              <w:rPr>
                <w:rFonts w:ascii="Arial" w:hAnsi="Arial" w:cs="Arial"/>
              </w:rPr>
            </w:pPr>
          </w:p>
        </w:tc>
        <w:tc>
          <w:tcPr>
            <w:tcW w:w="929" w:type="dxa"/>
            <w:vAlign w:val="center"/>
          </w:tcPr>
          <w:p w14:paraId="493FD4DD" w14:textId="77777777" w:rsidR="00F2620A" w:rsidRPr="00205A29" w:rsidRDefault="00F2620A" w:rsidP="00D35018">
            <w:pPr>
              <w:spacing w:after="0" w:line="240" w:lineRule="auto"/>
              <w:jc w:val="center"/>
              <w:rPr>
                <w:rFonts w:ascii="Arial" w:hAnsi="Arial" w:cs="Arial"/>
              </w:rPr>
            </w:pPr>
          </w:p>
        </w:tc>
      </w:tr>
      <w:tr w:rsidR="00F2620A" w:rsidRPr="00205A29" w14:paraId="503950BE" w14:textId="77777777" w:rsidTr="0010704C">
        <w:tc>
          <w:tcPr>
            <w:tcW w:w="8926" w:type="dxa"/>
          </w:tcPr>
          <w:p w14:paraId="1CAEE3DE" w14:textId="77777777" w:rsidR="00F2620A" w:rsidRPr="00205A29" w:rsidRDefault="00C01968" w:rsidP="00C01968">
            <w:pPr>
              <w:spacing w:after="0" w:line="240" w:lineRule="auto"/>
              <w:jc w:val="both"/>
              <w:rPr>
                <w:rFonts w:ascii="Arial" w:hAnsi="Arial" w:cs="Arial"/>
              </w:rPr>
            </w:pPr>
            <w:r>
              <w:rPr>
                <w:rFonts w:ascii="Arial" w:hAnsi="Arial" w:cs="Arial"/>
              </w:rPr>
              <w:t>6.</w:t>
            </w:r>
            <w:r w:rsidR="00F2620A" w:rsidRPr="00205A29">
              <w:rPr>
                <w:rFonts w:ascii="Arial" w:hAnsi="Arial" w:cs="Arial"/>
              </w:rPr>
              <w:t xml:space="preserve">Unapređenje </w:t>
            </w:r>
            <w:proofErr w:type="spellStart"/>
            <w:r w:rsidR="00A04177" w:rsidRPr="00205A29">
              <w:rPr>
                <w:rFonts w:ascii="Arial" w:hAnsi="Arial" w:cs="Arial"/>
              </w:rPr>
              <w:t>energetske</w:t>
            </w:r>
            <w:proofErr w:type="spellEnd"/>
            <w:r w:rsidR="00F2620A" w:rsidRPr="00205A29">
              <w:rPr>
                <w:rFonts w:ascii="Arial" w:hAnsi="Arial" w:cs="Arial"/>
              </w:rPr>
              <w:t xml:space="preserve"> </w:t>
            </w:r>
            <w:proofErr w:type="spellStart"/>
            <w:r w:rsidR="00F2620A" w:rsidRPr="00205A29">
              <w:rPr>
                <w:rFonts w:ascii="Arial" w:hAnsi="Arial" w:cs="Arial"/>
              </w:rPr>
              <w:t>efikasnosti</w:t>
            </w:r>
            <w:proofErr w:type="spellEnd"/>
          </w:p>
        </w:tc>
        <w:tc>
          <w:tcPr>
            <w:tcW w:w="929" w:type="dxa"/>
            <w:vAlign w:val="center"/>
          </w:tcPr>
          <w:p w14:paraId="7C688167" w14:textId="77777777" w:rsidR="00F2620A" w:rsidRPr="00205A29" w:rsidRDefault="00F2620A" w:rsidP="00DC7002">
            <w:pPr>
              <w:spacing w:after="0" w:line="240" w:lineRule="auto"/>
              <w:jc w:val="center"/>
              <w:rPr>
                <w:rFonts w:ascii="Arial" w:hAnsi="Arial" w:cs="Arial"/>
              </w:rPr>
            </w:pPr>
          </w:p>
        </w:tc>
      </w:tr>
      <w:tr w:rsidR="00F2620A" w:rsidRPr="00205A29" w14:paraId="582701A3" w14:textId="77777777" w:rsidTr="0010704C">
        <w:tc>
          <w:tcPr>
            <w:tcW w:w="8926" w:type="dxa"/>
          </w:tcPr>
          <w:p w14:paraId="41DB5A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2A9872" w14:textId="77777777" w:rsidR="00F2620A" w:rsidRPr="00205A29" w:rsidRDefault="00F2620A" w:rsidP="00D35018">
            <w:pPr>
              <w:spacing w:after="0" w:line="240" w:lineRule="auto"/>
              <w:jc w:val="center"/>
              <w:rPr>
                <w:rFonts w:ascii="Arial" w:hAnsi="Arial" w:cs="Arial"/>
              </w:rPr>
            </w:pPr>
          </w:p>
        </w:tc>
      </w:tr>
      <w:tr w:rsidR="00F2620A" w:rsidRPr="00205A29" w14:paraId="14898229" w14:textId="77777777" w:rsidTr="0010704C">
        <w:tc>
          <w:tcPr>
            <w:tcW w:w="8926" w:type="dxa"/>
          </w:tcPr>
          <w:p w14:paraId="6B76BB34" w14:textId="77777777" w:rsidR="00F2620A" w:rsidRPr="00205A29" w:rsidRDefault="00F2620A" w:rsidP="00C01968">
            <w:pPr>
              <w:spacing w:after="0" w:line="240" w:lineRule="auto"/>
              <w:jc w:val="both"/>
              <w:rPr>
                <w:rFonts w:ascii="Arial" w:hAnsi="Arial" w:cs="Arial"/>
                <w:lang w:val="pl-PL"/>
              </w:rPr>
            </w:pPr>
            <w:r w:rsidRPr="00205A29">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205A29" w:rsidRDefault="00F2620A" w:rsidP="00DC7002">
            <w:pPr>
              <w:spacing w:after="0" w:line="240" w:lineRule="auto"/>
              <w:jc w:val="center"/>
              <w:rPr>
                <w:rFonts w:ascii="Arial" w:hAnsi="Arial" w:cs="Arial"/>
              </w:rPr>
            </w:pPr>
          </w:p>
        </w:tc>
      </w:tr>
      <w:tr w:rsidR="00F2620A" w:rsidRPr="00205A29" w14:paraId="70EB3055" w14:textId="77777777" w:rsidTr="0010704C">
        <w:tc>
          <w:tcPr>
            <w:tcW w:w="8926" w:type="dxa"/>
          </w:tcPr>
          <w:p w14:paraId="7A530E65" w14:textId="77777777" w:rsidR="00F2620A" w:rsidRPr="00205A29" w:rsidRDefault="00F2620A" w:rsidP="00C01968">
            <w:pPr>
              <w:spacing w:after="0" w:line="240" w:lineRule="auto"/>
              <w:jc w:val="both"/>
              <w:rPr>
                <w:rFonts w:ascii="Arial" w:hAnsi="Arial" w:cs="Arial"/>
              </w:rPr>
            </w:pPr>
          </w:p>
        </w:tc>
        <w:tc>
          <w:tcPr>
            <w:tcW w:w="929" w:type="dxa"/>
            <w:vAlign w:val="center"/>
          </w:tcPr>
          <w:p w14:paraId="5F5C3F09" w14:textId="77777777" w:rsidR="00F2620A" w:rsidRPr="00205A29" w:rsidRDefault="00F2620A" w:rsidP="00D35018">
            <w:pPr>
              <w:spacing w:after="0" w:line="240" w:lineRule="auto"/>
              <w:jc w:val="center"/>
              <w:rPr>
                <w:rFonts w:ascii="Arial" w:hAnsi="Arial" w:cs="Arial"/>
              </w:rPr>
            </w:pPr>
          </w:p>
        </w:tc>
      </w:tr>
      <w:tr w:rsidR="00F2620A" w:rsidRPr="00205A29" w14:paraId="3F74311E" w14:textId="77777777" w:rsidTr="0010704C">
        <w:tc>
          <w:tcPr>
            <w:tcW w:w="8926" w:type="dxa"/>
          </w:tcPr>
          <w:p w14:paraId="09AA1495"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8.</w:t>
            </w:r>
            <w:r w:rsidR="00F2620A" w:rsidRPr="00205A29">
              <w:rPr>
                <w:rFonts w:ascii="Arial" w:hAnsi="Arial" w:cs="Arial"/>
                <w:lang w:val="pl-PL"/>
              </w:rPr>
              <w:t>Minimalni – početni iznos koncesione naknade</w:t>
            </w:r>
          </w:p>
        </w:tc>
        <w:tc>
          <w:tcPr>
            <w:tcW w:w="929" w:type="dxa"/>
            <w:vAlign w:val="center"/>
          </w:tcPr>
          <w:p w14:paraId="5CE45A97" w14:textId="77777777" w:rsidR="00F2620A" w:rsidRPr="00205A29" w:rsidRDefault="00F2620A" w:rsidP="00DC7002">
            <w:pPr>
              <w:spacing w:after="0" w:line="240" w:lineRule="auto"/>
              <w:jc w:val="center"/>
              <w:rPr>
                <w:rFonts w:ascii="Arial" w:hAnsi="Arial" w:cs="Arial"/>
              </w:rPr>
            </w:pPr>
          </w:p>
        </w:tc>
      </w:tr>
      <w:tr w:rsidR="00F2620A" w:rsidRPr="00205A29" w14:paraId="47A9A70A" w14:textId="77777777" w:rsidTr="0010704C">
        <w:tc>
          <w:tcPr>
            <w:tcW w:w="8926" w:type="dxa"/>
          </w:tcPr>
          <w:p w14:paraId="678D12B4" w14:textId="77777777" w:rsidR="00F2620A" w:rsidRPr="00205A29" w:rsidRDefault="00F2620A" w:rsidP="00C01968">
            <w:pPr>
              <w:spacing w:after="0" w:line="240" w:lineRule="auto"/>
              <w:jc w:val="both"/>
              <w:rPr>
                <w:rFonts w:ascii="Arial" w:hAnsi="Arial" w:cs="Arial"/>
              </w:rPr>
            </w:pPr>
          </w:p>
        </w:tc>
        <w:tc>
          <w:tcPr>
            <w:tcW w:w="929" w:type="dxa"/>
            <w:vAlign w:val="center"/>
          </w:tcPr>
          <w:p w14:paraId="2A13762F" w14:textId="77777777" w:rsidR="00F2620A" w:rsidRPr="00205A29" w:rsidRDefault="00F2620A" w:rsidP="00D35018">
            <w:pPr>
              <w:spacing w:after="0" w:line="240" w:lineRule="auto"/>
              <w:jc w:val="center"/>
              <w:rPr>
                <w:rFonts w:ascii="Arial" w:hAnsi="Arial" w:cs="Arial"/>
              </w:rPr>
            </w:pPr>
          </w:p>
        </w:tc>
      </w:tr>
      <w:tr w:rsidR="00F2620A" w:rsidRPr="00205A29" w14:paraId="30BE4EBE" w14:textId="77777777" w:rsidTr="0010704C">
        <w:tc>
          <w:tcPr>
            <w:tcW w:w="8926" w:type="dxa"/>
          </w:tcPr>
          <w:p w14:paraId="527A0CCA"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9.</w:t>
            </w:r>
            <w:r w:rsidR="00F2620A" w:rsidRPr="00205A29">
              <w:rPr>
                <w:rFonts w:ascii="Arial" w:hAnsi="Arial" w:cs="Arial"/>
                <w:lang w:val="pl-PL"/>
              </w:rPr>
              <w:t>Kriterijumi za izbor najpovoljnije ponude</w:t>
            </w:r>
          </w:p>
        </w:tc>
        <w:tc>
          <w:tcPr>
            <w:tcW w:w="929" w:type="dxa"/>
            <w:vAlign w:val="center"/>
          </w:tcPr>
          <w:p w14:paraId="2F497946" w14:textId="77777777" w:rsidR="00F2620A" w:rsidRPr="00205A29" w:rsidRDefault="00F2620A" w:rsidP="00D35018">
            <w:pPr>
              <w:spacing w:after="0" w:line="240" w:lineRule="auto"/>
              <w:jc w:val="center"/>
              <w:rPr>
                <w:rFonts w:ascii="Arial" w:hAnsi="Arial" w:cs="Arial"/>
              </w:rPr>
            </w:pPr>
          </w:p>
        </w:tc>
      </w:tr>
      <w:tr w:rsidR="00F2620A" w:rsidRPr="00205A29" w14:paraId="7B2FF7A3" w14:textId="77777777" w:rsidTr="0010704C">
        <w:tc>
          <w:tcPr>
            <w:tcW w:w="8926" w:type="dxa"/>
          </w:tcPr>
          <w:p w14:paraId="0FDFA079" w14:textId="77777777" w:rsidR="00F2620A" w:rsidRPr="00205A29" w:rsidRDefault="00F2620A" w:rsidP="00C01968">
            <w:pPr>
              <w:spacing w:after="0" w:line="240" w:lineRule="auto"/>
              <w:jc w:val="both"/>
              <w:rPr>
                <w:rFonts w:ascii="Arial" w:hAnsi="Arial" w:cs="Arial"/>
              </w:rPr>
            </w:pPr>
          </w:p>
        </w:tc>
        <w:tc>
          <w:tcPr>
            <w:tcW w:w="929" w:type="dxa"/>
            <w:vAlign w:val="center"/>
          </w:tcPr>
          <w:p w14:paraId="111C0672" w14:textId="77777777" w:rsidR="00F2620A" w:rsidRPr="00205A29" w:rsidRDefault="00F2620A" w:rsidP="00D35018">
            <w:pPr>
              <w:spacing w:after="0" w:line="240" w:lineRule="auto"/>
              <w:jc w:val="center"/>
              <w:rPr>
                <w:rFonts w:ascii="Arial" w:hAnsi="Arial" w:cs="Arial"/>
              </w:rPr>
            </w:pPr>
          </w:p>
        </w:tc>
      </w:tr>
      <w:tr w:rsidR="00F2620A" w:rsidRPr="00205A29" w14:paraId="05E65029" w14:textId="77777777" w:rsidTr="0010704C">
        <w:tc>
          <w:tcPr>
            <w:tcW w:w="8926" w:type="dxa"/>
          </w:tcPr>
          <w:p w14:paraId="7A3C193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10.</w:t>
            </w:r>
            <w:r w:rsidR="00F2620A" w:rsidRPr="00205A29">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205A29" w:rsidRDefault="00F2620A" w:rsidP="00DC7002">
            <w:pPr>
              <w:spacing w:after="0" w:line="240" w:lineRule="auto"/>
              <w:jc w:val="center"/>
              <w:rPr>
                <w:rFonts w:ascii="Arial" w:hAnsi="Arial" w:cs="Arial"/>
              </w:rPr>
            </w:pPr>
          </w:p>
        </w:tc>
      </w:tr>
      <w:tr w:rsidR="00F2620A" w:rsidRPr="00205A29" w14:paraId="60F1A04C" w14:textId="77777777" w:rsidTr="0010704C">
        <w:tc>
          <w:tcPr>
            <w:tcW w:w="8926" w:type="dxa"/>
          </w:tcPr>
          <w:p w14:paraId="6F9DE4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52DCE9" w14:textId="77777777" w:rsidR="00F2620A" w:rsidRPr="00205A29" w:rsidRDefault="00F2620A" w:rsidP="00D35018">
            <w:pPr>
              <w:spacing w:after="0" w:line="240" w:lineRule="auto"/>
              <w:jc w:val="center"/>
              <w:rPr>
                <w:rFonts w:ascii="Arial" w:hAnsi="Arial" w:cs="Arial"/>
              </w:rPr>
            </w:pPr>
          </w:p>
        </w:tc>
      </w:tr>
      <w:tr w:rsidR="00F2620A" w:rsidRPr="00205A29" w14:paraId="0A96E23A" w14:textId="77777777" w:rsidTr="0010704C">
        <w:tc>
          <w:tcPr>
            <w:tcW w:w="8926" w:type="dxa"/>
          </w:tcPr>
          <w:p w14:paraId="309F72A8"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11.</w:t>
            </w:r>
            <w:r w:rsidR="00F2620A" w:rsidRPr="00205A29">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205A29" w:rsidRDefault="00F2620A" w:rsidP="00DC7002">
            <w:pPr>
              <w:spacing w:after="0" w:line="240" w:lineRule="auto"/>
              <w:jc w:val="center"/>
              <w:rPr>
                <w:rFonts w:ascii="Arial" w:hAnsi="Arial" w:cs="Arial"/>
              </w:rPr>
            </w:pPr>
          </w:p>
        </w:tc>
      </w:tr>
      <w:tr w:rsidR="00F2620A" w:rsidRPr="00205A29" w14:paraId="29BBE2FE" w14:textId="77777777" w:rsidTr="0010704C">
        <w:tc>
          <w:tcPr>
            <w:tcW w:w="8926" w:type="dxa"/>
          </w:tcPr>
          <w:p w14:paraId="5971903A" w14:textId="77777777" w:rsidR="00F2620A" w:rsidRPr="00205A29" w:rsidRDefault="00F2620A" w:rsidP="00C01968">
            <w:pPr>
              <w:spacing w:after="0" w:line="240" w:lineRule="auto"/>
              <w:jc w:val="both"/>
              <w:rPr>
                <w:rFonts w:ascii="Arial" w:hAnsi="Arial" w:cs="Arial"/>
              </w:rPr>
            </w:pPr>
          </w:p>
        </w:tc>
        <w:tc>
          <w:tcPr>
            <w:tcW w:w="929" w:type="dxa"/>
            <w:vAlign w:val="center"/>
          </w:tcPr>
          <w:p w14:paraId="74B6F402" w14:textId="77777777" w:rsidR="00F2620A" w:rsidRPr="00205A29" w:rsidRDefault="00F2620A" w:rsidP="00D35018">
            <w:pPr>
              <w:spacing w:after="0" w:line="240" w:lineRule="auto"/>
              <w:jc w:val="center"/>
              <w:rPr>
                <w:rFonts w:ascii="Arial" w:hAnsi="Arial" w:cs="Arial"/>
              </w:rPr>
            </w:pPr>
          </w:p>
        </w:tc>
      </w:tr>
      <w:tr w:rsidR="00F2620A" w:rsidRPr="00205A29" w14:paraId="4011046D" w14:textId="77777777" w:rsidTr="0010704C">
        <w:tc>
          <w:tcPr>
            <w:tcW w:w="8926" w:type="dxa"/>
          </w:tcPr>
          <w:p w14:paraId="2800044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12.</w:t>
            </w:r>
            <w:r w:rsidR="00F2620A" w:rsidRPr="00205A29">
              <w:rPr>
                <w:rFonts w:ascii="Arial" w:hAnsi="Arial" w:cs="Arial"/>
                <w:lang w:val="pl-PL"/>
              </w:rPr>
              <w:t>Osnovni elementi tenderske dokumentacije (oglas, dokumentacija vezana za ponudu)</w:t>
            </w:r>
          </w:p>
        </w:tc>
        <w:tc>
          <w:tcPr>
            <w:tcW w:w="929" w:type="dxa"/>
            <w:vAlign w:val="center"/>
          </w:tcPr>
          <w:p w14:paraId="23B05DF3" w14:textId="77777777" w:rsidR="00F2620A" w:rsidRPr="00205A29" w:rsidRDefault="00F2620A" w:rsidP="00DC7002">
            <w:pPr>
              <w:spacing w:after="0" w:line="240" w:lineRule="auto"/>
              <w:jc w:val="center"/>
              <w:rPr>
                <w:rFonts w:ascii="Arial" w:hAnsi="Arial" w:cs="Arial"/>
              </w:rPr>
            </w:pPr>
          </w:p>
        </w:tc>
      </w:tr>
      <w:tr w:rsidR="00F2620A" w:rsidRPr="00205A29" w14:paraId="21E795AB" w14:textId="77777777" w:rsidTr="0010704C">
        <w:tc>
          <w:tcPr>
            <w:tcW w:w="8926" w:type="dxa"/>
          </w:tcPr>
          <w:p w14:paraId="67E39892" w14:textId="77777777" w:rsidR="00F2620A" w:rsidRPr="00205A29" w:rsidRDefault="00F2620A" w:rsidP="00C01968">
            <w:pPr>
              <w:spacing w:after="0" w:line="240" w:lineRule="auto"/>
              <w:jc w:val="both"/>
              <w:rPr>
                <w:rFonts w:ascii="Arial" w:hAnsi="Arial" w:cs="Arial"/>
              </w:rPr>
            </w:pPr>
          </w:p>
        </w:tc>
        <w:tc>
          <w:tcPr>
            <w:tcW w:w="929" w:type="dxa"/>
            <w:vAlign w:val="center"/>
          </w:tcPr>
          <w:p w14:paraId="2161041D" w14:textId="77777777" w:rsidR="00F2620A" w:rsidRPr="00205A29" w:rsidRDefault="00F2620A" w:rsidP="00D35018">
            <w:pPr>
              <w:spacing w:after="0" w:line="240" w:lineRule="auto"/>
              <w:jc w:val="center"/>
              <w:rPr>
                <w:rFonts w:ascii="Arial" w:hAnsi="Arial" w:cs="Arial"/>
              </w:rPr>
            </w:pPr>
          </w:p>
        </w:tc>
      </w:tr>
      <w:tr w:rsidR="00F2620A" w:rsidRPr="00205A29" w14:paraId="3B549E42" w14:textId="77777777" w:rsidTr="0010704C">
        <w:tc>
          <w:tcPr>
            <w:tcW w:w="8926" w:type="dxa"/>
          </w:tcPr>
          <w:p w14:paraId="4C657F63"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13.</w:t>
            </w:r>
            <w:r w:rsidR="00F2620A" w:rsidRPr="00205A29">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205A29" w:rsidRDefault="00F2620A" w:rsidP="00D35018">
            <w:pPr>
              <w:spacing w:after="0" w:line="240" w:lineRule="auto"/>
              <w:jc w:val="center"/>
              <w:rPr>
                <w:rFonts w:ascii="Arial" w:hAnsi="Arial" w:cs="Arial"/>
                <w:lang w:val="pl-PL"/>
              </w:rPr>
            </w:pPr>
          </w:p>
        </w:tc>
      </w:tr>
      <w:tr w:rsidR="00F2620A" w:rsidRPr="00205A29" w14:paraId="59B34F11" w14:textId="77777777" w:rsidTr="0010704C">
        <w:tc>
          <w:tcPr>
            <w:tcW w:w="8926" w:type="dxa"/>
          </w:tcPr>
          <w:p w14:paraId="384827DD" w14:textId="77777777" w:rsidR="00F2620A" w:rsidRPr="00205A29"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205A29" w:rsidRDefault="00F2620A" w:rsidP="00D35018">
            <w:pPr>
              <w:spacing w:after="0" w:line="240" w:lineRule="auto"/>
              <w:jc w:val="center"/>
              <w:rPr>
                <w:rFonts w:ascii="Arial" w:hAnsi="Arial" w:cs="Arial"/>
                <w:lang w:val="pl-PL"/>
              </w:rPr>
            </w:pPr>
          </w:p>
        </w:tc>
      </w:tr>
    </w:tbl>
    <w:p w14:paraId="4EED21A2" w14:textId="77777777" w:rsidR="003E777D" w:rsidRPr="00205A29" w:rsidRDefault="003E777D" w:rsidP="00C21E4F">
      <w:pPr>
        <w:pStyle w:val="Heading1"/>
        <w:numPr>
          <w:ilvl w:val="0"/>
          <w:numId w:val="0"/>
        </w:numPr>
        <w:ind w:left="432" w:hanging="432"/>
        <w:rPr>
          <w:rFonts w:ascii="Arial" w:hAnsi="Arial" w:cs="Arial"/>
          <w:sz w:val="22"/>
          <w:szCs w:val="22"/>
        </w:rPr>
      </w:pPr>
    </w:p>
    <w:p w14:paraId="7A301140" w14:textId="77777777" w:rsidR="003E777D" w:rsidRPr="00205A29" w:rsidRDefault="003E777D" w:rsidP="00D35018">
      <w:pPr>
        <w:spacing w:line="240" w:lineRule="auto"/>
        <w:rPr>
          <w:rFonts w:ascii="Arial" w:hAnsi="Arial" w:cs="Arial"/>
          <w:lang w:val="pl-PL"/>
        </w:rPr>
      </w:pPr>
    </w:p>
    <w:p w14:paraId="2112B671" w14:textId="77777777" w:rsidR="003E777D" w:rsidRPr="00205A29" w:rsidRDefault="003E777D" w:rsidP="00D35018">
      <w:pPr>
        <w:spacing w:line="240" w:lineRule="auto"/>
        <w:rPr>
          <w:rFonts w:ascii="Arial" w:hAnsi="Arial" w:cs="Arial"/>
          <w:lang w:val="pl-PL"/>
        </w:rPr>
      </w:pPr>
    </w:p>
    <w:p w14:paraId="65EDDFFF" w14:textId="77777777" w:rsidR="003E777D" w:rsidRPr="00205A29" w:rsidRDefault="003E777D" w:rsidP="00D35018">
      <w:pPr>
        <w:spacing w:line="240" w:lineRule="auto"/>
        <w:rPr>
          <w:rFonts w:ascii="Arial" w:hAnsi="Arial" w:cs="Arial"/>
          <w:lang w:val="pl-PL"/>
        </w:rPr>
      </w:pPr>
    </w:p>
    <w:p w14:paraId="71B71665" w14:textId="77777777" w:rsidR="003E777D" w:rsidRPr="00205A29" w:rsidRDefault="003E777D" w:rsidP="00D35018">
      <w:pPr>
        <w:spacing w:line="240" w:lineRule="auto"/>
        <w:rPr>
          <w:rFonts w:ascii="Arial" w:hAnsi="Arial" w:cs="Arial"/>
          <w:lang w:val="pl-PL"/>
        </w:rPr>
      </w:pPr>
    </w:p>
    <w:p w14:paraId="17E31BF4" w14:textId="77777777" w:rsidR="003E777D" w:rsidRPr="00205A29" w:rsidRDefault="003E777D" w:rsidP="00D35018">
      <w:pPr>
        <w:spacing w:line="240" w:lineRule="auto"/>
        <w:rPr>
          <w:rFonts w:ascii="Arial" w:hAnsi="Arial" w:cs="Arial"/>
          <w:lang w:val="pl-PL"/>
        </w:rPr>
      </w:pPr>
    </w:p>
    <w:p w14:paraId="7EB40B78" w14:textId="77777777" w:rsidR="003E777D" w:rsidRPr="00205A29" w:rsidRDefault="003E777D" w:rsidP="00D35018">
      <w:pPr>
        <w:spacing w:line="240" w:lineRule="auto"/>
        <w:rPr>
          <w:rFonts w:ascii="Arial" w:hAnsi="Arial" w:cs="Arial"/>
          <w:lang w:val="pl-PL"/>
        </w:rPr>
      </w:pPr>
    </w:p>
    <w:p w14:paraId="5C2904C3" w14:textId="77777777" w:rsidR="003E777D" w:rsidRPr="00205A29" w:rsidRDefault="003E777D" w:rsidP="00D35018">
      <w:pPr>
        <w:spacing w:line="240" w:lineRule="auto"/>
        <w:rPr>
          <w:rFonts w:ascii="Arial" w:hAnsi="Arial" w:cs="Arial"/>
          <w:lang w:val="pl-PL"/>
        </w:rPr>
      </w:pPr>
    </w:p>
    <w:p w14:paraId="2CA88495" w14:textId="77777777" w:rsidR="00D35018" w:rsidRPr="00205A29" w:rsidRDefault="00D35018" w:rsidP="00D35018">
      <w:pPr>
        <w:spacing w:line="240" w:lineRule="auto"/>
        <w:rPr>
          <w:rFonts w:ascii="Arial" w:hAnsi="Arial" w:cs="Arial"/>
          <w:lang w:val="pl-PL"/>
        </w:rPr>
      </w:pPr>
    </w:p>
    <w:p w14:paraId="57F31681" w14:textId="77777777" w:rsidR="002A27F9" w:rsidRDefault="002A27F9" w:rsidP="00D35018">
      <w:pPr>
        <w:spacing w:line="240" w:lineRule="auto"/>
        <w:rPr>
          <w:rFonts w:ascii="Arial" w:hAnsi="Arial" w:cs="Arial"/>
          <w:lang w:val="pl-PL"/>
        </w:rPr>
      </w:pPr>
    </w:p>
    <w:p w14:paraId="23B32C8E" w14:textId="77777777" w:rsidR="002305FB" w:rsidRPr="00205A29" w:rsidRDefault="002305FB" w:rsidP="00D35018">
      <w:pPr>
        <w:spacing w:line="240" w:lineRule="auto"/>
        <w:rPr>
          <w:rFonts w:ascii="Arial" w:hAnsi="Arial" w:cs="Arial"/>
          <w:lang w:val="pl-PL"/>
        </w:rPr>
      </w:pPr>
    </w:p>
    <w:p w14:paraId="2BC10753" w14:textId="716C12C9" w:rsidR="003E777D" w:rsidRDefault="003E777D" w:rsidP="00D35018">
      <w:pPr>
        <w:spacing w:after="0" w:line="240" w:lineRule="auto"/>
        <w:jc w:val="both"/>
        <w:rPr>
          <w:rFonts w:ascii="Arial" w:hAnsi="Arial" w:cs="Arial"/>
          <w:lang w:val="sr-Latn-CS"/>
        </w:rPr>
      </w:pPr>
    </w:p>
    <w:p w14:paraId="04FAEC97" w14:textId="77777777" w:rsidR="006610CA" w:rsidRPr="00205A29" w:rsidRDefault="006610CA" w:rsidP="00D35018">
      <w:pPr>
        <w:spacing w:after="0" w:line="240" w:lineRule="auto"/>
        <w:jc w:val="both"/>
        <w:rPr>
          <w:rFonts w:ascii="Arial" w:hAnsi="Arial" w:cs="Arial"/>
          <w:lang w:val="sr-Latn-CS"/>
        </w:rPr>
      </w:pPr>
    </w:p>
    <w:p w14:paraId="2742B66C" w14:textId="77777777"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t>UVOD</w:t>
      </w:r>
      <w:bookmarkEnd w:id="0"/>
      <w:bookmarkEnd w:id="1"/>
      <w:bookmarkEnd w:id="2"/>
      <w:bookmarkEnd w:id="3"/>
    </w:p>
    <w:p w14:paraId="455D1AB6" w14:textId="77777777" w:rsidR="008D636E" w:rsidRPr="00205A29" w:rsidRDefault="008D636E" w:rsidP="00D35018">
      <w:pPr>
        <w:spacing w:after="0" w:line="240" w:lineRule="auto"/>
        <w:jc w:val="both"/>
        <w:rPr>
          <w:rFonts w:ascii="Arial" w:hAnsi="Arial" w:cs="Arial"/>
          <w:lang w:val="sr-Latn-CS"/>
        </w:rPr>
      </w:pPr>
    </w:p>
    <w:p w14:paraId="1FD68AEA" w14:textId="647937B6" w:rsidR="00515AD3" w:rsidRPr="00205A29" w:rsidRDefault="00515AD3" w:rsidP="005E683D">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w:t>
      </w:r>
      <w:r w:rsidR="00C558E9">
        <w:rPr>
          <w:rFonts w:ascii="Arial" w:hAnsi="Arial" w:cs="Arial"/>
          <w:noProof/>
        </w:rPr>
        <w:t>2</w:t>
      </w:r>
      <w:r w:rsidRPr="005F22EC">
        <w:rPr>
          <w:rFonts w:ascii="Arial" w:hAnsi="Arial" w:cs="Arial"/>
          <w:noProof/>
        </w:rPr>
        <w:t xml:space="preserve">. godinu, Ministarstvo </w:t>
      </w:r>
      <w:r w:rsidR="00B237A7">
        <w:rPr>
          <w:rFonts w:ascii="Arial" w:hAnsi="Arial" w:cs="Arial"/>
          <w:noProof/>
        </w:rPr>
        <w:t xml:space="preserve">kapitalnih investicija </w:t>
      </w:r>
      <w:r w:rsidRPr="005F22EC">
        <w:rPr>
          <w:rFonts w:ascii="Arial" w:hAnsi="Arial" w:cs="Arial"/>
          <w:noProof/>
        </w:rPr>
        <w:t xml:space="preserve">Vlade Crne Gore (u daljem tekstu: Ministarstvo)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DA6313">
        <w:rPr>
          <w:rFonts w:ascii="Arial" w:hAnsi="Arial" w:cs="Arial"/>
          <w:noProof/>
        </w:rPr>
        <w:t xml:space="preserve">za </w:t>
      </w:r>
      <w:r w:rsidRPr="00205A29">
        <w:rPr>
          <w:rFonts w:ascii="Arial" w:hAnsi="Arial" w:cs="Arial"/>
          <w:lang w:val="sr-Latn-CS"/>
        </w:rPr>
        <w:t xml:space="preserve">za davanje prava na detaljna geološka istraživanja i eksploataciju </w:t>
      </w:r>
      <w:r w:rsidR="00A00482">
        <w:rPr>
          <w:rFonts w:ascii="Arial" w:hAnsi="Arial" w:cs="Arial"/>
          <w:lang w:val="sr-Latn-CS"/>
        </w:rPr>
        <w:t>arhitektonsko-građevinskog kamena ležišta</w:t>
      </w:r>
      <w:r w:rsidR="006C2B6E">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Pr>
          <w:rFonts w:ascii="Arial" w:hAnsi="Arial" w:cs="Arial"/>
          <w:lang w:val="sr-Latn-CS"/>
        </w:rPr>
        <w:t xml:space="preserve">. </w:t>
      </w:r>
    </w:p>
    <w:p w14:paraId="049C01D6" w14:textId="77777777" w:rsidR="003B7A63" w:rsidRPr="00205A29" w:rsidRDefault="003B7A63" w:rsidP="005E683D">
      <w:pPr>
        <w:spacing w:after="0" w:line="240" w:lineRule="auto"/>
        <w:jc w:val="both"/>
        <w:rPr>
          <w:rFonts w:ascii="Arial" w:hAnsi="Arial" w:cs="Arial"/>
          <w:lang w:val="sr-Latn-CS"/>
        </w:rPr>
      </w:pPr>
    </w:p>
    <w:p w14:paraId="6FFF2583" w14:textId="5C787D60"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10704C">
        <w:rPr>
          <w:rFonts w:ascii="Arial" w:hAnsi="Arial" w:cs="Arial"/>
          <w:lang w:val="sr-Latn-CS"/>
        </w:rPr>
        <w:t xml:space="preserve"> </w:t>
      </w:r>
      <w:r w:rsidR="004D63DD" w:rsidRPr="00205A29">
        <w:rPr>
          <w:rFonts w:ascii="Arial" w:hAnsi="Arial" w:cs="Arial"/>
          <w:lang w:val="sr-Latn-CS"/>
        </w:rPr>
        <w:t xml:space="preserve">na </w:t>
      </w:r>
      <w:r w:rsidR="00EE31D4">
        <w:rPr>
          <w:rFonts w:ascii="Arial" w:hAnsi="Arial" w:cs="Arial"/>
          <w:lang w:val="sr-Latn-CS"/>
        </w:rPr>
        <w:t>ležištu</w:t>
      </w:r>
      <w:r w:rsidR="004D63DD" w:rsidRPr="00205A29">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Pr="00205A29">
        <w:rPr>
          <w:rFonts w:ascii="Arial" w:hAnsi="Arial" w:cs="Arial"/>
          <w:lang w:val="sr-Latn-CS"/>
        </w:rPr>
        <w:t>.</w:t>
      </w:r>
    </w:p>
    <w:p w14:paraId="2A4F0A54" w14:textId="77777777" w:rsidR="00744584" w:rsidRPr="00205A29" w:rsidRDefault="00744584" w:rsidP="005E683D">
      <w:pPr>
        <w:spacing w:after="0" w:line="240" w:lineRule="auto"/>
        <w:jc w:val="both"/>
        <w:rPr>
          <w:rFonts w:ascii="Arial" w:hAnsi="Arial" w:cs="Arial"/>
          <w:lang w:val="sr-Latn-CS"/>
        </w:rPr>
      </w:pPr>
    </w:p>
    <w:p w14:paraId="354BF62F" w14:textId="513FAA7F" w:rsidR="00515AD3" w:rsidRPr="00205A29" w:rsidRDefault="00515AD3" w:rsidP="005E683D">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094233">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w:t>
      </w:r>
      <w:r w:rsidR="00C558E9">
        <w:rPr>
          <w:rFonts w:ascii="Arial" w:hAnsi="Arial" w:cs="Arial"/>
          <w:noProof/>
        </w:rPr>
        <w:t>2</w:t>
      </w:r>
      <w:r w:rsidRPr="00DA6313">
        <w:rPr>
          <w:rFonts w:ascii="Arial" w:hAnsi="Arial" w:cs="Arial"/>
          <w:noProof/>
        </w:rPr>
        <w:t>. godinu</w:t>
      </w:r>
      <w:r>
        <w:rPr>
          <w:rFonts w:ascii="Arial" w:hAnsi="Arial" w:cs="Arial"/>
          <w:noProof/>
        </w:rPr>
        <w:t>, a u koju je uvršten</w:t>
      </w:r>
      <w:r w:rsidR="006C2B6E">
        <w:rPr>
          <w:rFonts w:ascii="Arial" w:hAnsi="Arial" w:cs="Arial"/>
          <w:noProof/>
        </w:rPr>
        <w:t>o</w:t>
      </w:r>
      <w:r>
        <w:rPr>
          <w:rFonts w:ascii="Arial" w:hAnsi="Arial" w:cs="Arial"/>
          <w:noProof/>
        </w:rPr>
        <w:t xml:space="preserve"> i </w:t>
      </w:r>
      <w:r w:rsidR="006C2B6E">
        <w:rPr>
          <w:rFonts w:ascii="Arial" w:hAnsi="Arial" w:cs="Arial"/>
          <w:noProof/>
        </w:rPr>
        <w:t>ležište</w:t>
      </w:r>
      <w:r>
        <w:rPr>
          <w:rFonts w:ascii="Arial" w:hAnsi="Arial" w:cs="Arial"/>
          <w:noProof/>
        </w:rPr>
        <w:t xml:space="preserve"> </w:t>
      </w:r>
      <w:r w:rsidR="00A00482">
        <w:rPr>
          <w:rFonts w:ascii="Arial" w:hAnsi="Arial" w:cs="Arial"/>
          <w:lang w:val="sr-Latn-CS"/>
        </w:rPr>
        <w:t>arhitektonsko-građevins</w:t>
      </w:r>
      <w:r w:rsidR="007929DE">
        <w:rPr>
          <w:rFonts w:ascii="Arial" w:hAnsi="Arial" w:cs="Arial"/>
          <w:lang w:val="sr-Latn-CS"/>
        </w:rPr>
        <w:t>kog kamena</w:t>
      </w:r>
      <w:r w:rsidR="0010704C">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Pr="00205A29">
        <w:rPr>
          <w:rFonts w:ascii="Arial" w:hAnsi="Arial" w:cs="Arial"/>
          <w:lang w:val="sr-Latn-CS"/>
        </w:rPr>
        <w:t>.</w:t>
      </w:r>
    </w:p>
    <w:p w14:paraId="3E302F5B" w14:textId="77777777" w:rsidR="00D35018" w:rsidRPr="00205A29" w:rsidRDefault="00D35018" w:rsidP="005E683D">
      <w:pPr>
        <w:spacing w:after="0" w:line="240" w:lineRule="auto"/>
        <w:jc w:val="both"/>
        <w:rPr>
          <w:rFonts w:ascii="Arial" w:hAnsi="Arial" w:cs="Arial"/>
          <w:lang w:val="sr-Latn-CS"/>
        </w:rPr>
      </w:pPr>
    </w:p>
    <w:p w14:paraId="59959E6F" w14:textId="77777777" w:rsidR="00933D38" w:rsidRPr="00BC305A" w:rsidRDefault="00933D38" w:rsidP="005E683D">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5E683D">
      <w:pPr>
        <w:spacing w:after="0" w:line="240" w:lineRule="auto"/>
        <w:jc w:val="both"/>
        <w:rPr>
          <w:rFonts w:ascii="Arial" w:hAnsi="Arial" w:cs="Arial"/>
          <w:lang w:val="sr-Latn-CS"/>
        </w:rPr>
      </w:pPr>
    </w:p>
    <w:p w14:paraId="03759541" w14:textId="77777777" w:rsidR="00933D38" w:rsidRDefault="00933D38" w:rsidP="005E683D">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5E683D">
      <w:pPr>
        <w:spacing w:after="0" w:line="240" w:lineRule="auto"/>
        <w:jc w:val="both"/>
        <w:rPr>
          <w:rFonts w:ascii="Arial" w:hAnsi="Arial" w:cs="Arial"/>
          <w:lang w:val="sr-Latn-CS"/>
        </w:rPr>
      </w:pPr>
    </w:p>
    <w:p w14:paraId="75F7890E" w14:textId="3E412C0E" w:rsidR="00DF6748"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detaljna geološka istraživanja i</w:t>
      </w:r>
      <w:r w:rsidR="005E683D">
        <w:rPr>
          <w:rFonts w:ascii="Arial" w:hAnsi="Arial" w:cs="Arial"/>
          <w:lang w:val="sr-Latn-CS"/>
        </w:rPr>
        <w:t xml:space="preserve"> </w:t>
      </w:r>
      <w:r w:rsidRPr="00205A29">
        <w:rPr>
          <w:rFonts w:ascii="Arial" w:hAnsi="Arial" w:cs="Arial"/>
          <w:lang w:val="sr-Latn-CS"/>
        </w:rPr>
        <w:t xml:space="preserve">eksploataciju mineralne sirovine </w:t>
      </w:r>
      <w:r w:rsidR="00A00482">
        <w:rPr>
          <w:rFonts w:ascii="Arial" w:hAnsi="Arial" w:cs="Arial"/>
          <w:lang w:val="sr-Latn-CS"/>
        </w:rPr>
        <w:t xml:space="preserve">arhitektonsko-građevinskog kamena </w:t>
      </w:r>
      <w:r w:rsidR="0010704C">
        <w:rPr>
          <w:rFonts w:ascii="Arial" w:hAnsi="Arial" w:cs="Arial"/>
          <w:lang w:val="sr-Latn-CS"/>
        </w:rPr>
        <w:t xml:space="preserve"> </w:t>
      </w:r>
      <w:r w:rsidR="00DB58E7" w:rsidRPr="00205A29">
        <w:rPr>
          <w:rFonts w:ascii="Arial" w:hAnsi="Arial" w:cs="Arial"/>
          <w:lang w:val="sr-Latn-CS"/>
        </w:rPr>
        <w:t xml:space="preserve">na </w:t>
      </w:r>
      <w:r w:rsidR="006C2B6E">
        <w:rPr>
          <w:rFonts w:ascii="Arial" w:hAnsi="Arial" w:cs="Arial"/>
          <w:noProof/>
        </w:rPr>
        <w:t>ležištu</w:t>
      </w:r>
      <w:r w:rsidR="0010704C">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00447714" w:rsidRPr="00205A29">
        <w:rPr>
          <w:rFonts w:ascii="Arial" w:hAnsi="Arial" w:cs="Arial"/>
          <w:lang w:val="sr-Latn-CS"/>
        </w:rPr>
        <w:t>.</w:t>
      </w:r>
    </w:p>
    <w:p w14:paraId="409093AC" w14:textId="4FA95775" w:rsidR="00DF6748" w:rsidRDefault="00744584" w:rsidP="005E683D">
      <w:pPr>
        <w:spacing w:after="0" w:line="240" w:lineRule="auto"/>
        <w:jc w:val="both"/>
        <w:rPr>
          <w:rFonts w:ascii="Arial" w:hAnsi="Arial" w:cs="Arial"/>
          <w:lang w:val="sr-Latn-CS" w:eastAsia="sl-SI"/>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3B180A" w:rsidRPr="00205A29">
        <w:rPr>
          <w:rFonts w:ascii="Arial" w:hAnsi="Arial" w:cs="Arial"/>
          <w:lang w:val="sr-Latn-CS"/>
        </w:rPr>
        <w:t xml:space="preserve"> na </w:t>
      </w:r>
      <w:r w:rsidR="006C2B6E">
        <w:rPr>
          <w:rFonts w:ascii="Arial" w:hAnsi="Arial" w:cs="Arial"/>
          <w:noProof/>
        </w:rPr>
        <w:t>ležištu</w:t>
      </w:r>
      <w:r w:rsidR="00AF5478" w:rsidRPr="00205A29">
        <w:rPr>
          <w:rFonts w:ascii="Arial" w:hAnsi="Arial" w:cs="Arial"/>
          <w:lang w:val="sr-Latn-CS"/>
        </w:rPr>
        <w:t xml:space="preserve"> </w:t>
      </w:r>
      <w:r w:rsidR="00B24C37">
        <w:rPr>
          <w:rFonts w:ascii="Arial" w:hAnsi="Arial" w:cs="Arial"/>
          <w:noProof/>
        </w:rPr>
        <w:t xml:space="preserve">“Klikovače”, </w:t>
      </w:r>
      <w:r w:rsidR="005E683D">
        <w:rPr>
          <w:rFonts w:ascii="Arial" w:hAnsi="Arial" w:cs="Arial"/>
          <w:noProof/>
        </w:rPr>
        <w:t>opština Danilovgrad</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2E8D1459" w14:textId="77777777" w:rsidR="005E683D" w:rsidRPr="00205A29" w:rsidRDefault="005E683D" w:rsidP="005E683D">
      <w:pPr>
        <w:spacing w:after="0" w:line="240" w:lineRule="auto"/>
        <w:jc w:val="both"/>
        <w:rPr>
          <w:rFonts w:ascii="Arial" w:hAnsi="Arial" w:cs="Arial"/>
          <w:lang w:val="sr-Latn-CS"/>
        </w:rPr>
      </w:pPr>
    </w:p>
    <w:p w14:paraId="50475613" w14:textId="4F614C30" w:rsidR="00BC305A" w:rsidRPr="0010704C" w:rsidRDefault="00FE7737" w:rsidP="005E683D">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5E683D">
      <w:pPr>
        <w:spacing w:after="0" w:line="240" w:lineRule="auto"/>
        <w:jc w:val="both"/>
        <w:rPr>
          <w:rFonts w:ascii="Arial" w:hAnsi="Arial" w:cs="Arial"/>
          <w:lang w:val="sr-Latn-CS" w:eastAsia="sl-SI"/>
        </w:rPr>
      </w:pPr>
    </w:p>
    <w:p w14:paraId="39B17CC4" w14:textId="57DD700D" w:rsidR="00BC305A" w:rsidRPr="0010704C" w:rsidRDefault="00BC305A" w:rsidP="005E683D">
      <w:pPr>
        <w:spacing w:after="0" w:line="240" w:lineRule="auto"/>
        <w:jc w:val="both"/>
        <w:rPr>
          <w:rFonts w:ascii="Arial" w:hAnsi="Arial" w:cs="Arial"/>
          <w:lang w:val="sr-Latn-CS" w:eastAsia="sl-SI"/>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u ’’Službenom listu Crne Gore’’.</w:t>
      </w:r>
    </w:p>
    <w:p w14:paraId="057E005C" w14:textId="3B41E1AF" w:rsidR="000E4FD4" w:rsidRPr="0010704C" w:rsidRDefault="000E4FD4" w:rsidP="005E683D">
      <w:pPr>
        <w:spacing w:after="0" w:line="240" w:lineRule="auto"/>
        <w:jc w:val="both"/>
        <w:rPr>
          <w:rFonts w:ascii="Arial" w:hAnsi="Arial" w:cs="Arial"/>
          <w:lang w:val="sr-Latn-CS" w:eastAsia="sl-SI"/>
        </w:rPr>
      </w:pPr>
    </w:p>
    <w:p w14:paraId="4DE078DA" w14:textId="77777777" w:rsidR="00744584" w:rsidRPr="00205A29" w:rsidRDefault="00744584" w:rsidP="005E683D">
      <w:pPr>
        <w:spacing w:after="0" w:line="240" w:lineRule="auto"/>
        <w:jc w:val="both"/>
        <w:rPr>
          <w:rFonts w:ascii="Arial" w:hAnsi="Arial" w:cs="Arial"/>
          <w:lang w:val="sr-Latn-CS" w:eastAsia="sl-SI"/>
        </w:rPr>
      </w:pPr>
    </w:p>
    <w:p w14:paraId="37891C36" w14:textId="77777777" w:rsidR="00AF5478" w:rsidRPr="00205A29" w:rsidRDefault="00AF5478" w:rsidP="00D35018">
      <w:pPr>
        <w:spacing w:after="0" w:line="240" w:lineRule="auto"/>
        <w:jc w:val="both"/>
        <w:rPr>
          <w:rFonts w:ascii="Arial" w:hAnsi="Arial" w:cs="Arial"/>
          <w:lang w:val="sr-Latn-CS" w:eastAsia="sl-SI"/>
        </w:rPr>
      </w:pPr>
    </w:p>
    <w:p w14:paraId="220C155E" w14:textId="77777777" w:rsidR="00AF5478" w:rsidRPr="00205A29" w:rsidRDefault="00AF5478" w:rsidP="00D35018">
      <w:pPr>
        <w:spacing w:after="0" w:line="240" w:lineRule="auto"/>
        <w:jc w:val="both"/>
        <w:rPr>
          <w:rFonts w:ascii="Arial" w:hAnsi="Arial" w:cs="Arial"/>
          <w:lang w:val="sr-Latn-CS" w:eastAsia="sl-SI"/>
        </w:rPr>
      </w:pPr>
    </w:p>
    <w:p w14:paraId="449C7125" w14:textId="77777777" w:rsidR="00AF5478" w:rsidRPr="00205A29" w:rsidRDefault="00AF5478" w:rsidP="00D35018">
      <w:pPr>
        <w:spacing w:after="0" w:line="240" w:lineRule="auto"/>
        <w:jc w:val="both"/>
        <w:rPr>
          <w:rFonts w:ascii="Arial" w:hAnsi="Arial" w:cs="Arial"/>
          <w:lang w:val="sr-Latn-CS" w:eastAsia="sl-SI"/>
        </w:rPr>
      </w:pPr>
    </w:p>
    <w:p w14:paraId="40AD628C" w14:textId="77777777" w:rsidR="00AF5478" w:rsidRPr="00205A29" w:rsidRDefault="00AF5478" w:rsidP="00D35018">
      <w:pPr>
        <w:spacing w:after="0" w:line="240" w:lineRule="auto"/>
        <w:jc w:val="both"/>
        <w:rPr>
          <w:rFonts w:ascii="Arial" w:hAnsi="Arial" w:cs="Arial"/>
          <w:lang w:val="sr-Latn-CS" w:eastAsia="sl-SI"/>
        </w:rPr>
      </w:pPr>
    </w:p>
    <w:p w14:paraId="56AA60FC" w14:textId="77777777" w:rsidR="00AF5478" w:rsidRPr="00205A29" w:rsidRDefault="00AF5478" w:rsidP="00D35018">
      <w:pPr>
        <w:spacing w:after="0" w:line="240" w:lineRule="auto"/>
        <w:jc w:val="both"/>
        <w:rPr>
          <w:rFonts w:ascii="Arial" w:hAnsi="Arial" w:cs="Arial"/>
          <w:lang w:val="sr-Latn-CS" w:eastAsia="sl-SI"/>
        </w:rPr>
      </w:pPr>
    </w:p>
    <w:p w14:paraId="6157925D" w14:textId="3777CCDF" w:rsidR="00AF5478" w:rsidRDefault="00AF5478" w:rsidP="00D35018">
      <w:pPr>
        <w:spacing w:after="0" w:line="240" w:lineRule="auto"/>
        <w:jc w:val="both"/>
        <w:rPr>
          <w:rFonts w:ascii="Arial" w:hAnsi="Arial" w:cs="Arial"/>
          <w:lang w:val="sr-Latn-CS" w:eastAsia="sl-SI"/>
        </w:rPr>
      </w:pPr>
    </w:p>
    <w:p w14:paraId="09FB4F3F" w14:textId="091BDB43" w:rsidR="00F1698B" w:rsidRDefault="00F1698B" w:rsidP="00D35018">
      <w:pPr>
        <w:spacing w:after="0" w:line="240" w:lineRule="auto"/>
        <w:jc w:val="both"/>
        <w:rPr>
          <w:rFonts w:ascii="Arial" w:hAnsi="Arial" w:cs="Arial"/>
          <w:lang w:val="sr-Latn-CS" w:eastAsia="sl-SI"/>
        </w:rPr>
      </w:pPr>
    </w:p>
    <w:p w14:paraId="0CB755BC" w14:textId="77777777" w:rsidR="00F1698B" w:rsidRPr="00205A29" w:rsidRDefault="00F1698B" w:rsidP="00D35018">
      <w:pPr>
        <w:spacing w:after="0" w:line="240" w:lineRule="auto"/>
        <w:jc w:val="both"/>
        <w:rPr>
          <w:rFonts w:ascii="Arial" w:hAnsi="Arial" w:cs="Arial"/>
          <w:lang w:val="sr-Latn-CS" w:eastAsia="sl-SI"/>
        </w:rPr>
      </w:pPr>
    </w:p>
    <w:p w14:paraId="7796EC6C" w14:textId="77777777" w:rsidR="00AF5478" w:rsidRDefault="00AF5478" w:rsidP="00D35018">
      <w:pPr>
        <w:spacing w:after="0" w:line="240" w:lineRule="auto"/>
        <w:jc w:val="both"/>
        <w:rPr>
          <w:rFonts w:ascii="Arial" w:hAnsi="Arial" w:cs="Arial"/>
          <w:lang w:val="sr-Latn-CS" w:eastAsia="sl-SI"/>
        </w:rPr>
      </w:pPr>
    </w:p>
    <w:p w14:paraId="73F8E7FD" w14:textId="77777777" w:rsidR="00E77AD9" w:rsidRDefault="00E77AD9" w:rsidP="00D35018">
      <w:pPr>
        <w:spacing w:after="0" w:line="240" w:lineRule="auto"/>
        <w:jc w:val="both"/>
        <w:rPr>
          <w:rFonts w:ascii="Arial" w:hAnsi="Arial" w:cs="Arial"/>
          <w:lang w:val="sr-Latn-CS" w:eastAsia="sl-SI"/>
        </w:rPr>
      </w:pPr>
    </w:p>
    <w:p w14:paraId="2EE8BF62" w14:textId="77777777" w:rsidR="00E77AD9" w:rsidRDefault="00E77AD9" w:rsidP="00D35018">
      <w:pPr>
        <w:spacing w:after="0" w:line="240" w:lineRule="auto"/>
        <w:jc w:val="both"/>
        <w:rPr>
          <w:rFonts w:ascii="Arial" w:hAnsi="Arial" w:cs="Arial"/>
          <w:lang w:val="sr-Latn-CS" w:eastAsia="sl-SI"/>
        </w:rPr>
      </w:pPr>
    </w:p>
    <w:p w14:paraId="3202F0CA" w14:textId="77777777" w:rsidR="00E77AD9" w:rsidRPr="00205A29" w:rsidRDefault="00E77AD9" w:rsidP="00D35018">
      <w:pPr>
        <w:spacing w:after="0" w:line="240" w:lineRule="auto"/>
        <w:jc w:val="both"/>
        <w:rPr>
          <w:rFonts w:ascii="Arial" w:hAnsi="Arial" w:cs="Arial"/>
          <w:lang w:val="sr-Latn-CS" w:eastAsia="sl-SI"/>
        </w:rPr>
      </w:pPr>
    </w:p>
    <w:p w14:paraId="35DC3539" w14:textId="51564A3C" w:rsidR="00AF5478" w:rsidRDefault="00AF5478" w:rsidP="00D35018">
      <w:pPr>
        <w:spacing w:after="0" w:line="240" w:lineRule="auto"/>
        <w:jc w:val="both"/>
        <w:rPr>
          <w:rFonts w:ascii="Arial" w:hAnsi="Arial" w:cs="Arial"/>
          <w:lang w:val="sr-Latn-CS" w:eastAsia="sl-SI"/>
        </w:rPr>
      </w:pPr>
    </w:p>
    <w:p w14:paraId="766ABA4F" w14:textId="77777777" w:rsidR="007254CE" w:rsidRPr="00205A29" w:rsidRDefault="007254CE" w:rsidP="00D35018">
      <w:pPr>
        <w:spacing w:after="0" w:line="240" w:lineRule="auto"/>
        <w:jc w:val="both"/>
        <w:rPr>
          <w:rFonts w:ascii="Arial" w:hAnsi="Arial" w:cs="Arial"/>
          <w:lang w:val="sr-Latn-CS" w:eastAsia="sl-SI"/>
        </w:rPr>
      </w:pPr>
    </w:p>
    <w:p w14:paraId="5BF29C41" w14:textId="77777777" w:rsidR="00D35018" w:rsidRPr="00205A29" w:rsidRDefault="00D35018" w:rsidP="00D35018">
      <w:pPr>
        <w:spacing w:after="0" w:line="240" w:lineRule="auto"/>
        <w:jc w:val="both"/>
        <w:rPr>
          <w:rFonts w:ascii="Arial" w:hAnsi="Arial" w:cs="Arial"/>
          <w:lang w:val="sr-Latn-CS" w:eastAsia="sl-SI"/>
        </w:rPr>
      </w:pPr>
    </w:p>
    <w:p w14:paraId="33A0783E" w14:textId="77777777" w:rsidR="005871A6" w:rsidRPr="00205A29" w:rsidRDefault="005871A6" w:rsidP="00D35018">
      <w:pPr>
        <w:spacing w:after="0" w:line="240" w:lineRule="auto"/>
        <w:jc w:val="both"/>
        <w:rPr>
          <w:rFonts w:ascii="Arial" w:hAnsi="Arial" w:cs="Arial"/>
          <w:lang w:val="sr-Latn-CS" w:eastAsia="sl-SI"/>
        </w:rPr>
      </w:pPr>
    </w:p>
    <w:p w14:paraId="2E31AAB8" w14:textId="749D7A07" w:rsidR="00744584" w:rsidRPr="00205A29" w:rsidRDefault="00592620" w:rsidP="007254CE">
      <w:pPr>
        <w:pStyle w:val="Heading1"/>
        <w:numPr>
          <w:ilvl w:val="0"/>
          <w:numId w:val="21"/>
        </w:numPr>
        <w:ind w:left="360"/>
        <w:jc w:val="both"/>
        <w:rPr>
          <w:rFonts w:ascii="Arial" w:hAnsi="Arial" w:cs="Arial"/>
          <w:sz w:val="22"/>
          <w:szCs w:val="22"/>
        </w:rPr>
      </w:pPr>
      <w:bookmarkStart w:id="4" w:name="_Toc402262925"/>
      <w:r w:rsidRPr="00205A29">
        <w:rPr>
          <w:rFonts w:ascii="Arial" w:hAnsi="Arial" w:cs="Arial"/>
          <w:sz w:val="22"/>
          <w:szCs w:val="22"/>
        </w:rPr>
        <w:lastRenderedPageBreak/>
        <w:t xml:space="preserve">TEHNIČKI IZVJEŠTAJ O </w:t>
      </w:r>
      <w:r w:rsidR="006C2B6E">
        <w:rPr>
          <w:rFonts w:ascii="Arial" w:hAnsi="Arial" w:cs="Arial"/>
          <w:sz w:val="22"/>
          <w:szCs w:val="22"/>
        </w:rPr>
        <w:t>LEŽIŠTU</w:t>
      </w:r>
      <w:r w:rsidRPr="00205A29">
        <w:rPr>
          <w:rFonts w:ascii="Arial" w:hAnsi="Arial" w:cs="Arial"/>
          <w:sz w:val="22"/>
          <w:szCs w:val="22"/>
        </w:rPr>
        <w:t xml:space="preserve"> </w:t>
      </w:r>
      <w:r w:rsidR="00A00482">
        <w:rPr>
          <w:rFonts w:ascii="Arial" w:hAnsi="Arial" w:cs="Arial"/>
          <w:sz w:val="22"/>
          <w:szCs w:val="22"/>
        </w:rPr>
        <w:t xml:space="preserve">ARHITEKTONSKO-GRAĐEVINSKOG KAMENA </w:t>
      </w:r>
      <w:bookmarkEnd w:id="4"/>
      <w:r w:rsidR="00890D78">
        <w:rPr>
          <w:rFonts w:ascii="Arial" w:hAnsi="Arial" w:cs="Arial"/>
          <w:sz w:val="22"/>
          <w:szCs w:val="22"/>
        </w:rPr>
        <w:t xml:space="preserve">“KLIKOVAČE”, </w:t>
      </w:r>
      <w:r w:rsidR="005E683D">
        <w:rPr>
          <w:rFonts w:ascii="Arial" w:hAnsi="Arial" w:cs="Arial"/>
          <w:sz w:val="22"/>
          <w:szCs w:val="22"/>
        </w:rPr>
        <w:t>OPŠTINA DANILOVGRAD</w:t>
      </w:r>
      <w:r w:rsidR="00890D78" w:rsidRPr="00205A29">
        <w:rPr>
          <w:rFonts w:ascii="Arial" w:hAnsi="Arial" w:cs="Arial"/>
          <w:sz w:val="22"/>
          <w:szCs w:val="22"/>
        </w:rPr>
        <w:t xml:space="preserve"> </w:t>
      </w:r>
    </w:p>
    <w:p w14:paraId="426F1BEA" w14:textId="320990A0" w:rsidR="00744584" w:rsidRDefault="00744584" w:rsidP="005E683D">
      <w:pPr>
        <w:spacing w:after="0" w:line="240" w:lineRule="auto"/>
        <w:jc w:val="both"/>
        <w:rPr>
          <w:rFonts w:ascii="Arial" w:hAnsi="Arial" w:cs="Arial"/>
          <w:lang w:val="sr-Latn-CS"/>
        </w:rPr>
      </w:pPr>
    </w:p>
    <w:p w14:paraId="33FE1AC0" w14:textId="77777777" w:rsidR="007254CE" w:rsidRPr="00205A29" w:rsidRDefault="007254CE" w:rsidP="005E683D">
      <w:pPr>
        <w:spacing w:after="0" w:line="240" w:lineRule="auto"/>
        <w:jc w:val="both"/>
        <w:rPr>
          <w:rFonts w:ascii="Arial" w:hAnsi="Arial" w:cs="Arial"/>
          <w:lang w:val="sr-Latn-CS"/>
        </w:rPr>
      </w:pPr>
    </w:p>
    <w:p w14:paraId="3B8EB1A5" w14:textId="77777777" w:rsidR="00744584" w:rsidRPr="00205A29" w:rsidRDefault="002F04D7" w:rsidP="005E683D">
      <w:pPr>
        <w:pStyle w:val="Heading2"/>
      </w:pPr>
      <w:bookmarkStart w:id="5" w:name="_Toc402262926"/>
      <w:r>
        <w:t>1.1</w:t>
      </w:r>
      <w:r w:rsidR="00744584" w:rsidRPr="00205A29">
        <w:t xml:space="preserve"> Predmet Koncesionog akta</w:t>
      </w:r>
      <w:bookmarkEnd w:id="5"/>
    </w:p>
    <w:p w14:paraId="6C41C9A0" w14:textId="77777777" w:rsidR="00744584" w:rsidRPr="00205A29" w:rsidRDefault="00744584" w:rsidP="005E683D">
      <w:pPr>
        <w:spacing w:after="0" w:line="240" w:lineRule="auto"/>
        <w:jc w:val="both"/>
        <w:rPr>
          <w:rFonts w:ascii="Arial" w:hAnsi="Arial" w:cs="Arial"/>
          <w:b/>
          <w:lang w:val="sr-Latn-CS"/>
        </w:rPr>
      </w:pPr>
    </w:p>
    <w:p w14:paraId="32E0F24A" w14:textId="098FA83A" w:rsidR="00744584" w:rsidRPr="00205A29" w:rsidRDefault="00744584" w:rsidP="005E683D">
      <w:pPr>
        <w:spacing w:after="0" w:line="240" w:lineRule="auto"/>
        <w:rPr>
          <w:rFonts w:ascii="Arial" w:hAnsi="Arial" w:cs="Arial"/>
          <w:lang w:val="sr-Latn-CS"/>
        </w:rPr>
      </w:pPr>
      <w:r w:rsidRPr="00205A29">
        <w:rPr>
          <w:rFonts w:ascii="Arial" w:hAnsi="Arial" w:cs="Arial"/>
          <w:lang w:val="sr-Latn-CS"/>
        </w:rPr>
        <w:t xml:space="preserve">Predmet ovog Koncesionog akta je </w:t>
      </w:r>
      <w:r w:rsidR="006C2B6E">
        <w:rPr>
          <w:rFonts w:ascii="Arial" w:hAnsi="Arial" w:cs="Arial"/>
          <w:noProof/>
        </w:rPr>
        <w:t>ležište</w:t>
      </w:r>
      <w:r w:rsidRPr="00205A29">
        <w:rPr>
          <w:rFonts w:ascii="Arial" w:hAnsi="Arial" w:cs="Arial"/>
          <w:lang w:val="sr-Latn-CS"/>
        </w:rPr>
        <w:t xml:space="preserve"> mineralne sirovine </w:t>
      </w:r>
      <w:r w:rsidR="00A00482">
        <w:rPr>
          <w:rFonts w:ascii="Arial" w:hAnsi="Arial" w:cs="Arial"/>
          <w:lang w:val="sr-Latn-CS"/>
        </w:rPr>
        <w:t>ar</w:t>
      </w:r>
      <w:r w:rsidR="007929DE">
        <w:rPr>
          <w:rFonts w:ascii="Arial" w:hAnsi="Arial" w:cs="Arial"/>
          <w:lang w:val="sr-Latn-CS"/>
        </w:rPr>
        <w:t>hitektonsko-građevinskog kamena</w:t>
      </w:r>
      <w:r w:rsidR="00542272" w:rsidRPr="00205A29">
        <w:rPr>
          <w:rFonts w:ascii="Arial" w:hAnsi="Arial" w:cs="Arial"/>
          <w:lang w:val="sr-Latn-CS"/>
        </w:rPr>
        <w:t xml:space="preserve"> </w:t>
      </w:r>
      <w:r w:rsidR="00B24C37">
        <w:rPr>
          <w:rFonts w:ascii="Arial" w:hAnsi="Arial" w:cs="Arial"/>
          <w:lang w:val="sr-Latn-CS"/>
        </w:rPr>
        <w:t xml:space="preserve">“Klikovače”, </w:t>
      </w:r>
      <w:r w:rsidR="005E683D">
        <w:rPr>
          <w:rFonts w:ascii="Arial" w:hAnsi="Arial" w:cs="Arial"/>
          <w:lang w:val="sr-Latn-CS"/>
        </w:rPr>
        <w:t>opština Danilovgrad</w:t>
      </w:r>
      <w:r w:rsidRPr="00205A29">
        <w:rPr>
          <w:rFonts w:ascii="Arial" w:hAnsi="Arial" w:cs="Arial"/>
          <w:lang w:val="sr-Latn-CS"/>
        </w:rPr>
        <w:t>.</w:t>
      </w:r>
    </w:p>
    <w:p w14:paraId="7ABBE1C3" w14:textId="77777777" w:rsidR="00744584" w:rsidRPr="00205A29" w:rsidRDefault="00744584" w:rsidP="005E683D">
      <w:pPr>
        <w:spacing w:after="0" w:line="240" w:lineRule="auto"/>
        <w:jc w:val="both"/>
        <w:rPr>
          <w:rFonts w:ascii="Arial" w:hAnsi="Arial" w:cs="Arial"/>
          <w:lang w:val="sr-Latn-CS"/>
        </w:rPr>
      </w:pPr>
    </w:p>
    <w:p w14:paraId="5E35D63E" w14:textId="6BEC22BB" w:rsidR="00857A57" w:rsidRDefault="00744584" w:rsidP="005E683D">
      <w:pPr>
        <w:pStyle w:val="Heading2"/>
        <w:numPr>
          <w:ilvl w:val="1"/>
          <w:numId w:val="21"/>
        </w:numPr>
      </w:pPr>
      <w:bookmarkStart w:id="6" w:name="_Toc402262927"/>
      <w:r w:rsidRPr="00205A29">
        <w:t xml:space="preserve">Položaj i opis </w:t>
      </w:r>
      <w:r w:rsidR="00A00482">
        <w:t>ležišta</w:t>
      </w:r>
      <w:bookmarkEnd w:id="6"/>
    </w:p>
    <w:p w14:paraId="633FABE7" w14:textId="77777777" w:rsidR="00857A57" w:rsidRPr="00857A57" w:rsidRDefault="00857A57" w:rsidP="005E683D">
      <w:pPr>
        <w:spacing w:after="0" w:line="240" w:lineRule="auto"/>
        <w:rPr>
          <w:lang w:val="sr-Latn-CS"/>
        </w:rPr>
      </w:pPr>
    </w:p>
    <w:p w14:paraId="6CB4FF76" w14:textId="4517B15C" w:rsidR="00890D78" w:rsidRDefault="00890D78" w:rsidP="005E683D">
      <w:pPr>
        <w:spacing w:after="0" w:line="240" w:lineRule="auto"/>
        <w:jc w:val="both"/>
        <w:rPr>
          <w:rFonts w:ascii="Arial" w:hAnsi="Arial" w:cs="Arial"/>
        </w:rPr>
      </w:pPr>
      <w:proofErr w:type="spellStart"/>
      <w:r w:rsidRPr="00890D78">
        <w:rPr>
          <w:rFonts w:ascii="Arial" w:hAnsi="Arial" w:cs="Arial"/>
        </w:rPr>
        <w:t>Šire</w:t>
      </w:r>
      <w:proofErr w:type="spellEnd"/>
      <w:r w:rsidRPr="00890D78">
        <w:rPr>
          <w:rFonts w:ascii="Arial" w:hAnsi="Arial" w:cs="Arial"/>
        </w:rPr>
        <w:t xml:space="preserve"> </w:t>
      </w:r>
      <w:proofErr w:type="spellStart"/>
      <w:r w:rsidRPr="00890D78">
        <w:rPr>
          <w:rFonts w:ascii="Arial" w:hAnsi="Arial" w:cs="Arial"/>
        </w:rPr>
        <w:t>područje</w:t>
      </w:r>
      <w:proofErr w:type="spellEnd"/>
      <w:r w:rsidRPr="00890D78">
        <w:rPr>
          <w:rFonts w:ascii="Arial" w:hAnsi="Arial" w:cs="Arial"/>
        </w:rPr>
        <w:t xml:space="preserve"> </w:t>
      </w:r>
      <w:proofErr w:type="spellStart"/>
      <w:r w:rsidRPr="00890D78">
        <w:rPr>
          <w:rFonts w:ascii="Arial" w:hAnsi="Arial" w:cs="Arial"/>
        </w:rPr>
        <w:t>ležišta</w:t>
      </w:r>
      <w:proofErr w:type="spellEnd"/>
      <w:r w:rsidRPr="00890D78">
        <w:rPr>
          <w:rFonts w:ascii="Arial" w:hAnsi="Arial" w:cs="Arial"/>
        </w:rPr>
        <w:t xml:space="preserve"> </w:t>
      </w:r>
      <w:proofErr w:type="spellStart"/>
      <w:r w:rsidRPr="00890D78">
        <w:rPr>
          <w:rFonts w:ascii="Arial" w:hAnsi="Arial" w:cs="Arial"/>
        </w:rPr>
        <w:t>arhitektonsko-građevinskog</w:t>
      </w:r>
      <w:proofErr w:type="spellEnd"/>
      <w:r w:rsidRPr="00890D78">
        <w:rPr>
          <w:rFonts w:ascii="Arial" w:hAnsi="Arial" w:cs="Arial"/>
        </w:rPr>
        <w:t xml:space="preserve"> </w:t>
      </w:r>
      <w:proofErr w:type="spellStart"/>
      <w:r w:rsidRPr="00890D78">
        <w:rPr>
          <w:rFonts w:ascii="Arial" w:hAnsi="Arial" w:cs="Arial"/>
        </w:rPr>
        <w:t>kamena</w:t>
      </w:r>
      <w:proofErr w:type="spellEnd"/>
      <w:r w:rsidRPr="00890D78">
        <w:rPr>
          <w:rFonts w:ascii="Arial" w:hAnsi="Arial" w:cs="Arial"/>
        </w:rPr>
        <w:t xml:space="preserve"> "</w:t>
      </w:r>
      <w:proofErr w:type="spellStart"/>
      <w:r w:rsidRPr="00890D78">
        <w:rPr>
          <w:rFonts w:ascii="Arial" w:hAnsi="Arial" w:cs="Arial"/>
        </w:rPr>
        <w:t>Klikovače</w:t>
      </w:r>
      <w:proofErr w:type="spellEnd"/>
      <w:r w:rsidRPr="00890D78">
        <w:rPr>
          <w:rFonts w:ascii="Arial" w:hAnsi="Arial" w:cs="Arial"/>
        </w:rPr>
        <w:t xml:space="preserve">" </w:t>
      </w:r>
      <w:proofErr w:type="spellStart"/>
      <w:r w:rsidRPr="00890D78">
        <w:rPr>
          <w:rFonts w:ascii="Arial" w:hAnsi="Arial" w:cs="Arial"/>
        </w:rPr>
        <w:t>nalazi</w:t>
      </w:r>
      <w:proofErr w:type="spellEnd"/>
      <w:r w:rsidRPr="00890D78">
        <w:rPr>
          <w:rFonts w:ascii="Arial" w:hAnsi="Arial" w:cs="Arial"/>
        </w:rPr>
        <w:t xml:space="preserve"> se u </w:t>
      </w:r>
      <w:proofErr w:type="spellStart"/>
      <w:r w:rsidRPr="00890D78">
        <w:rPr>
          <w:rFonts w:ascii="Arial" w:hAnsi="Arial" w:cs="Arial"/>
        </w:rPr>
        <w:t>jugoistočnom</w:t>
      </w:r>
      <w:proofErr w:type="spellEnd"/>
      <w:r w:rsidRPr="00890D78">
        <w:rPr>
          <w:rFonts w:ascii="Arial" w:hAnsi="Arial" w:cs="Arial"/>
        </w:rPr>
        <w:t xml:space="preserve"> </w:t>
      </w:r>
      <w:proofErr w:type="spellStart"/>
      <w:r w:rsidRPr="00890D78">
        <w:rPr>
          <w:rFonts w:ascii="Arial" w:hAnsi="Arial" w:cs="Arial"/>
        </w:rPr>
        <w:t>dijelu</w:t>
      </w:r>
      <w:proofErr w:type="spellEnd"/>
      <w:r w:rsidRPr="00890D78">
        <w:rPr>
          <w:rFonts w:ascii="Arial" w:hAnsi="Arial" w:cs="Arial"/>
        </w:rPr>
        <w:t xml:space="preserve"> </w:t>
      </w:r>
      <w:proofErr w:type="spellStart"/>
      <w:r w:rsidRPr="00890D78">
        <w:rPr>
          <w:rFonts w:ascii="Arial" w:hAnsi="Arial" w:cs="Arial"/>
        </w:rPr>
        <w:t>Crne</w:t>
      </w:r>
      <w:proofErr w:type="spellEnd"/>
      <w:r w:rsidRPr="00890D78">
        <w:rPr>
          <w:rFonts w:ascii="Arial" w:hAnsi="Arial" w:cs="Arial"/>
        </w:rPr>
        <w:t xml:space="preserve"> Gore </w:t>
      </w:r>
      <w:proofErr w:type="spellStart"/>
      <w:r w:rsidRPr="00890D78">
        <w:rPr>
          <w:rFonts w:ascii="Arial" w:hAnsi="Arial" w:cs="Arial"/>
        </w:rPr>
        <w:t>na</w:t>
      </w:r>
      <w:proofErr w:type="spellEnd"/>
      <w:r w:rsidRPr="00890D78">
        <w:rPr>
          <w:rFonts w:ascii="Arial" w:hAnsi="Arial" w:cs="Arial"/>
        </w:rPr>
        <w:t xml:space="preserve"> </w:t>
      </w:r>
      <w:proofErr w:type="spellStart"/>
      <w:r w:rsidRPr="00890D78">
        <w:rPr>
          <w:rFonts w:ascii="Arial" w:hAnsi="Arial" w:cs="Arial"/>
        </w:rPr>
        <w:t>karstnom</w:t>
      </w:r>
      <w:proofErr w:type="spellEnd"/>
      <w:r w:rsidRPr="00890D78">
        <w:rPr>
          <w:rFonts w:ascii="Arial" w:hAnsi="Arial" w:cs="Arial"/>
        </w:rPr>
        <w:t xml:space="preserve"> </w:t>
      </w:r>
      <w:proofErr w:type="spellStart"/>
      <w:r w:rsidRPr="00890D78">
        <w:rPr>
          <w:rFonts w:ascii="Arial" w:hAnsi="Arial" w:cs="Arial"/>
        </w:rPr>
        <w:t>platou</w:t>
      </w:r>
      <w:proofErr w:type="spellEnd"/>
      <w:r w:rsidRPr="00890D78">
        <w:rPr>
          <w:rFonts w:ascii="Arial" w:hAnsi="Arial" w:cs="Arial"/>
        </w:rPr>
        <w:t xml:space="preserve"> </w:t>
      </w:r>
      <w:proofErr w:type="spellStart"/>
      <w:r w:rsidRPr="00890D78">
        <w:rPr>
          <w:rFonts w:ascii="Arial" w:hAnsi="Arial" w:cs="Arial"/>
        </w:rPr>
        <w:t>Buržine</w:t>
      </w:r>
      <w:proofErr w:type="spellEnd"/>
      <w:r w:rsidR="007929DE">
        <w:rPr>
          <w:rFonts w:ascii="Arial" w:hAnsi="Arial" w:cs="Arial"/>
        </w:rPr>
        <w:t>,</w:t>
      </w:r>
      <w:r w:rsidRPr="00890D78">
        <w:rPr>
          <w:rFonts w:ascii="Arial" w:hAnsi="Arial" w:cs="Arial"/>
        </w:rPr>
        <w:t xml:space="preserve"> koji </w:t>
      </w:r>
      <w:proofErr w:type="spellStart"/>
      <w:r w:rsidRPr="00890D78">
        <w:rPr>
          <w:rFonts w:ascii="Arial" w:hAnsi="Arial" w:cs="Arial"/>
        </w:rPr>
        <w:t>pripada</w:t>
      </w:r>
      <w:proofErr w:type="spellEnd"/>
      <w:r w:rsidRPr="00890D78">
        <w:rPr>
          <w:rFonts w:ascii="Arial" w:hAnsi="Arial" w:cs="Arial"/>
        </w:rPr>
        <w:t xml:space="preserve"> </w:t>
      </w:r>
      <w:proofErr w:type="spellStart"/>
      <w:r w:rsidRPr="00890D78">
        <w:rPr>
          <w:rFonts w:ascii="Arial" w:hAnsi="Arial" w:cs="Arial"/>
        </w:rPr>
        <w:t>mjesnoj</w:t>
      </w:r>
      <w:proofErr w:type="spellEnd"/>
      <w:r w:rsidRPr="00890D78">
        <w:rPr>
          <w:rFonts w:ascii="Arial" w:hAnsi="Arial" w:cs="Arial"/>
        </w:rPr>
        <w:t xml:space="preserve"> </w:t>
      </w:r>
      <w:proofErr w:type="spellStart"/>
      <w:r w:rsidRPr="00890D78">
        <w:rPr>
          <w:rFonts w:ascii="Arial" w:hAnsi="Arial" w:cs="Arial"/>
        </w:rPr>
        <w:t>zajednici</w:t>
      </w:r>
      <w:proofErr w:type="spellEnd"/>
      <w:r w:rsidRPr="00890D78">
        <w:rPr>
          <w:rFonts w:ascii="Arial" w:hAnsi="Arial" w:cs="Arial"/>
        </w:rPr>
        <w:t xml:space="preserve"> Novo </w:t>
      </w:r>
      <w:proofErr w:type="spellStart"/>
      <w:r w:rsidRPr="00890D78">
        <w:rPr>
          <w:rFonts w:ascii="Arial" w:hAnsi="Arial" w:cs="Arial"/>
        </w:rPr>
        <w:t>Selo</w:t>
      </w:r>
      <w:proofErr w:type="spellEnd"/>
      <w:r w:rsidRPr="00890D78">
        <w:rPr>
          <w:rFonts w:ascii="Arial" w:hAnsi="Arial" w:cs="Arial"/>
        </w:rPr>
        <w:t xml:space="preserve">. Od </w:t>
      </w:r>
      <w:proofErr w:type="spellStart"/>
      <w:r w:rsidRPr="00890D78">
        <w:rPr>
          <w:rFonts w:ascii="Arial" w:hAnsi="Arial" w:cs="Arial"/>
        </w:rPr>
        <w:t>Spuža</w:t>
      </w:r>
      <w:proofErr w:type="spellEnd"/>
      <w:r w:rsidRPr="00890D78">
        <w:rPr>
          <w:rFonts w:ascii="Arial" w:hAnsi="Arial" w:cs="Arial"/>
        </w:rPr>
        <w:t xml:space="preserve"> je </w:t>
      </w:r>
      <w:proofErr w:type="spellStart"/>
      <w:r w:rsidRPr="00890D78">
        <w:rPr>
          <w:rFonts w:ascii="Arial" w:hAnsi="Arial" w:cs="Arial"/>
        </w:rPr>
        <w:t>udaljeno</w:t>
      </w:r>
      <w:proofErr w:type="spellEnd"/>
      <w:r w:rsidRPr="00890D78">
        <w:rPr>
          <w:rFonts w:ascii="Arial" w:hAnsi="Arial" w:cs="Arial"/>
        </w:rPr>
        <w:t xml:space="preserve"> </w:t>
      </w:r>
      <w:proofErr w:type="spellStart"/>
      <w:r w:rsidRPr="00890D78">
        <w:rPr>
          <w:rFonts w:ascii="Arial" w:hAnsi="Arial" w:cs="Arial"/>
        </w:rPr>
        <w:t>oko</w:t>
      </w:r>
      <w:proofErr w:type="spellEnd"/>
      <w:r w:rsidRPr="00890D78">
        <w:rPr>
          <w:rFonts w:ascii="Arial" w:hAnsi="Arial" w:cs="Arial"/>
        </w:rPr>
        <w:t xml:space="preserve"> 2 km u </w:t>
      </w:r>
      <w:proofErr w:type="spellStart"/>
      <w:r w:rsidRPr="00890D78">
        <w:rPr>
          <w:rFonts w:ascii="Arial" w:hAnsi="Arial" w:cs="Arial"/>
        </w:rPr>
        <w:t>pravcu</w:t>
      </w:r>
      <w:proofErr w:type="spellEnd"/>
      <w:r w:rsidRPr="00890D78">
        <w:rPr>
          <w:rFonts w:ascii="Arial" w:hAnsi="Arial" w:cs="Arial"/>
        </w:rPr>
        <w:t xml:space="preserve"> </w:t>
      </w:r>
      <w:proofErr w:type="spellStart"/>
      <w:r w:rsidRPr="00890D78">
        <w:rPr>
          <w:rFonts w:ascii="Arial" w:hAnsi="Arial" w:cs="Arial"/>
        </w:rPr>
        <w:t>jugozapada</w:t>
      </w:r>
      <w:proofErr w:type="spellEnd"/>
      <w:r w:rsidRPr="00890D78">
        <w:rPr>
          <w:rFonts w:ascii="Arial" w:hAnsi="Arial" w:cs="Arial"/>
        </w:rPr>
        <w:t xml:space="preserve">. </w:t>
      </w:r>
    </w:p>
    <w:p w14:paraId="3A77FD5C" w14:textId="77777777" w:rsidR="00890D78" w:rsidRDefault="00890D78" w:rsidP="005E683D">
      <w:pPr>
        <w:spacing w:after="0" w:line="240" w:lineRule="auto"/>
        <w:jc w:val="both"/>
        <w:rPr>
          <w:rFonts w:ascii="Arial" w:hAnsi="Arial" w:cs="Arial"/>
        </w:rPr>
      </w:pPr>
    </w:p>
    <w:p w14:paraId="6E1D2D6C" w14:textId="0E9B4BAD" w:rsidR="006C2B6E" w:rsidRPr="00890D78" w:rsidRDefault="00890D78" w:rsidP="005E683D">
      <w:pPr>
        <w:spacing w:after="0" w:line="240" w:lineRule="auto"/>
        <w:jc w:val="both"/>
        <w:rPr>
          <w:rFonts w:ascii="Arial" w:hAnsi="Arial" w:cs="Arial"/>
        </w:rPr>
      </w:pPr>
      <w:proofErr w:type="spellStart"/>
      <w:r w:rsidRPr="00890D78">
        <w:rPr>
          <w:rFonts w:ascii="Arial" w:hAnsi="Arial" w:cs="Arial"/>
        </w:rPr>
        <w:t>Administrativno</w:t>
      </w:r>
      <w:proofErr w:type="spellEnd"/>
      <w:r w:rsidRPr="00890D78">
        <w:rPr>
          <w:rFonts w:ascii="Arial" w:hAnsi="Arial" w:cs="Arial"/>
        </w:rPr>
        <w:t xml:space="preserve"> </w:t>
      </w:r>
      <w:proofErr w:type="spellStart"/>
      <w:r w:rsidRPr="00890D78">
        <w:rPr>
          <w:rFonts w:ascii="Arial" w:hAnsi="Arial" w:cs="Arial"/>
        </w:rPr>
        <w:t>pripada</w:t>
      </w:r>
      <w:proofErr w:type="spellEnd"/>
      <w:r w:rsidRPr="00890D78">
        <w:rPr>
          <w:rFonts w:ascii="Arial" w:hAnsi="Arial" w:cs="Arial"/>
        </w:rPr>
        <w:t xml:space="preserve"> </w:t>
      </w:r>
      <w:proofErr w:type="spellStart"/>
      <w:r w:rsidRPr="00890D78">
        <w:rPr>
          <w:rFonts w:ascii="Arial" w:hAnsi="Arial" w:cs="Arial"/>
        </w:rPr>
        <w:t>opštini</w:t>
      </w:r>
      <w:proofErr w:type="spellEnd"/>
      <w:r w:rsidRPr="00890D78">
        <w:rPr>
          <w:rFonts w:ascii="Arial" w:hAnsi="Arial" w:cs="Arial"/>
        </w:rPr>
        <w:t xml:space="preserve"> </w:t>
      </w:r>
      <w:proofErr w:type="spellStart"/>
      <w:r w:rsidRPr="00890D78">
        <w:rPr>
          <w:rFonts w:ascii="Arial" w:hAnsi="Arial" w:cs="Arial"/>
        </w:rPr>
        <w:t>Danilovgrad</w:t>
      </w:r>
      <w:proofErr w:type="spellEnd"/>
      <w:r w:rsidRPr="00890D78">
        <w:rPr>
          <w:rFonts w:ascii="Arial" w:hAnsi="Arial" w:cs="Arial"/>
        </w:rPr>
        <w:t xml:space="preserve"> </w:t>
      </w:r>
      <w:proofErr w:type="spellStart"/>
      <w:r w:rsidRPr="00890D78">
        <w:rPr>
          <w:rFonts w:ascii="Arial" w:hAnsi="Arial" w:cs="Arial"/>
        </w:rPr>
        <w:t>i</w:t>
      </w:r>
      <w:proofErr w:type="spellEnd"/>
      <w:r w:rsidRPr="00890D78">
        <w:rPr>
          <w:rFonts w:ascii="Arial" w:hAnsi="Arial" w:cs="Arial"/>
        </w:rPr>
        <w:t xml:space="preserve"> </w:t>
      </w:r>
      <w:proofErr w:type="spellStart"/>
      <w:r w:rsidRPr="00890D78">
        <w:rPr>
          <w:rFonts w:ascii="Arial" w:hAnsi="Arial" w:cs="Arial"/>
        </w:rPr>
        <w:t>nalazi</w:t>
      </w:r>
      <w:proofErr w:type="spellEnd"/>
      <w:r w:rsidRPr="00890D78">
        <w:rPr>
          <w:rFonts w:ascii="Arial" w:hAnsi="Arial" w:cs="Arial"/>
        </w:rPr>
        <w:t xml:space="preserve"> se </w:t>
      </w:r>
      <w:proofErr w:type="spellStart"/>
      <w:r w:rsidRPr="00890D78">
        <w:rPr>
          <w:rFonts w:ascii="Arial" w:hAnsi="Arial" w:cs="Arial"/>
        </w:rPr>
        <w:t>na</w:t>
      </w:r>
      <w:proofErr w:type="spellEnd"/>
      <w:r w:rsidRPr="00890D78">
        <w:rPr>
          <w:rFonts w:ascii="Arial" w:hAnsi="Arial" w:cs="Arial"/>
        </w:rPr>
        <w:t xml:space="preserve"> </w:t>
      </w:r>
      <w:proofErr w:type="spellStart"/>
      <w:r w:rsidRPr="00890D78">
        <w:rPr>
          <w:rFonts w:ascii="Arial" w:hAnsi="Arial" w:cs="Arial"/>
        </w:rPr>
        <w:t>topografskom</w:t>
      </w:r>
      <w:proofErr w:type="spellEnd"/>
      <w:r w:rsidRPr="00890D78">
        <w:rPr>
          <w:rFonts w:ascii="Arial" w:hAnsi="Arial" w:cs="Arial"/>
        </w:rPr>
        <w:t xml:space="preserve"> </w:t>
      </w:r>
      <w:proofErr w:type="spellStart"/>
      <w:r w:rsidR="007929DE">
        <w:rPr>
          <w:rFonts w:ascii="Arial" w:hAnsi="Arial" w:cs="Arial"/>
        </w:rPr>
        <w:t>listu</w:t>
      </w:r>
      <w:proofErr w:type="spellEnd"/>
      <w:r w:rsidR="007929DE">
        <w:rPr>
          <w:rFonts w:ascii="Arial" w:hAnsi="Arial" w:cs="Arial"/>
        </w:rPr>
        <w:t xml:space="preserve"> “</w:t>
      </w:r>
      <w:proofErr w:type="spellStart"/>
      <w:r w:rsidR="007929DE">
        <w:rPr>
          <w:rFonts w:ascii="Arial" w:hAnsi="Arial" w:cs="Arial"/>
        </w:rPr>
        <w:t>Danilovgrad</w:t>
      </w:r>
      <w:proofErr w:type="spellEnd"/>
      <w:r w:rsidR="007929DE">
        <w:rPr>
          <w:rFonts w:ascii="Arial" w:hAnsi="Arial" w:cs="Arial"/>
        </w:rPr>
        <w:t xml:space="preserve">” 1:100 000, </w:t>
      </w:r>
      <w:proofErr w:type="spellStart"/>
      <w:r w:rsidRPr="00890D78">
        <w:rPr>
          <w:rFonts w:ascii="Arial" w:hAnsi="Arial" w:cs="Arial"/>
        </w:rPr>
        <w:t>odnosno</w:t>
      </w:r>
      <w:proofErr w:type="spellEnd"/>
      <w:r w:rsidRPr="00890D78">
        <w:rPr>
          <w:rFonts w:ascii="Arial" w:hAnsi="Arial" w:cs="Arial"/>
        </w:rPr>
        <w:t xml:space="preserve"> </w:t>
      </w:r>
      <w:proofErr w:type="spellStart"/>
      <w:r w:rsidRPr="00890D78">
        <w:rPr>
          <w:rFonts w:ascii="Arial" w:hAnsi="Arial" w:cs="Arial"/>
        </w:rPr>
        <w:t>sekciji</w:t>
      </w:r>
      <w:proofErr w:type="spellEnd"/>
      <w:r w:rsidRPr="00890D78">
        <w:rPr>
          <w:rFonts w:ascii="Arial" w:hAnsi="Arial" w:cs="Arial"/>
        </w:rPr>
        <w:t xml:space="preserve"> “</w:t>
      </w:r>
      <w:proofErr w:type="spellStart"/>
      <w:r w:rsidRPr="00890D78">
        <w:rPr>
          <w:rFonts w:ascii="Arial" w:hAnsi="Arial" w:cs="Arial"/>
        </w:rPr>
        <w:t>Spuž</w:t>
      </w:r>
      <w:proofErr w:type="spellEnd"/>
      <w:r w:rsidRPr="00890D78">
        <w:rPr>
          <w:rFonts w:ascii="Arial" w:hAnsi="Arial" w:cs="Arial"/>
        </w:rPr>
        <w:t xml:space="preserve">” 1:25 000.  </w:t>
      </w:r>
    </w:p>
    <w:p w14:paraId="5C31DE17" w14:textId="77777777" w:rsidR="006C2B6E" w:rsidRDefault="006C2B6E" w:rsidP="005E683D">
      <w:pPr>
        <w:spacing w:after="0" w:line="240" w:lineRule="auto"/>
        <w:jc w:val="both"/>
        <w:rPr>
          <w:rFonts w:ascii="Arial" w:hAnsi="Arial" w:cs="Arial"/>
          <w:lang w:val="sr-Latn-ME"/>
        </w:rPr>
      </w:pPr>
    </w:p>
    <w:p w14:paraId="721E0DC5" w14:textId="48D4CDBA" w:rsidR="00E36FF8" w:rsidRPr="0071289F" w:rsidRDefault="00E36FF8" w:rsidP="005E683D">
      <w:pPr>
        <w:spacing w:after="0" w:line="240" w:lineRule="auto"/>
        <w:jc w:val="both"/>
        <w:rPr>
          <w:rFonts w:ascii="Arial" w:hAnsi="Arial" w:cs="Arial"/>
          <w:lang w:val="sr-Latn-CS"/>
        </w:rPr>
      </w:pPr>
      <w:r w:rsidRPr="0071289F">
        <w:rPr>
          <w:rFonts w:ascii="Arial" w:hAnsi="Arial" w:cs="Arial"/>
          <w:lang w:val="sr-Latn-CS"/>
        </w:rPr>
        <w:t xml:space="preserve">Na osnovu zahtjeva JU Zavod za geološka istraživanja – Podgorica, u skladu sa </w:t>
      </w:r>
      <w:r w:rsidR="00C558E9" w:rsidRPr="00E667F4">
        <w:rPr>
          <w:rFonts w:ascii="Arial" w:hAnsi="Arial" w:cs="Arial"/>
          <w:lang w:val="sr-Latn-CS"/>
        </w:rPr>
        <w:t>Uredb</w:t>
      </w:r>
      <w:r w:rsidR="00C558E9">
        <w:rPr>
          <w:rFonts w:ascii="Arial" w:hAnsi="Arial" w:cs="Arial"/>
          <w:lang w:val="sr-Latn-CS"/>
        </w:rPr>
        <w:t>om</w:t>
      </w:r>
      <w:r w:rsidR="00C558E9" w:rsidRPr="00E667F4">
        <w:rPr>
          <w:rFonts w:ascii="Arial" w:hAnsi="Arial" w:cs="Arial"/>
          <w:lang w:val="sr-Latn-CS"/>
        </w:rPr>
        <w:t xml:space="preserve"> o povjeravanju dijela poslova iz nadležnosti Ministarstva </w:t>
      </w:r>
      <w:r w:rsidR="00C558E9">
        <w:rPr>
          <w:rFonts w:ascii="Arial" w:hAnsi="Arial" w:cs="Arial"/>
          <w:lang w:val="sr-Latn-CS"/>
        </w:rPr>
        <w:t>kapitalnih investicija</w:t>
      </w:r>
      <w:r w:rsidR="00C558E9" w:rsidRPr="00E667F4">
        <w:rPr>
          <w:rFonts w:ascii="Arial" w:hAnsi="Arial" w:cs="Arial"/>
          <w:lang w:val="sr-Latn-CS"/>
        </w:rPr>
        <w:t xml:space="preserve"> Javnoj ustanovi Zavod za geološka istraživanja („Sl. list CG“,</w:t>
      </w:r>
      <w:r w:rsidR="00C558E9">
        <w:rPr>
          <w:rFonts w:ascii="Arial" w:hAnsi="Arial" w:cs="Arial"/>
          <w:lang w:val="sr-Latn-CS"/>
        </w:rPr>
        <w:t xml:space="preserve"> broj 17/22</w:t>
      </w:r>
      <w:r w:rsidR="00C558E9" w:rsidRPr="00E667F4">
        <w:rPr>
          <w:rFonts w:ascii="Arial" w:hAnsi="Arial" w:cs="Arial"/>
          <w:lang w:val="sr-Latn-CS"/>
        </w:rPr>
        <w:t>)</w:t>
      </w:r>
      <w:r w:rsidRPr="0071289F">
        <w:rPr>
          <w:rFonts w:ascii="Arial" w:hAnsi="Arial" w:cs="Arial"/>
          <w:lang w:val="sr-Latn-CS"/>
        </w:rPr>
        <w:t xml:space="preserve">, a za potrebe izrade koncesionog akta za </w:t>
      </w:r>
      <w:r w:rsidR="006C2B6E">
        <w:rPr>
          <w:rFonts w:ascii="Arial" w:hAnsi="Arial" w:cs="Arial"/>
          <w:lang w:val="sr-Latn-CS"/>
        </w:rPr>
        <w:t>ležište</w:t>
      </w:r>
      <w:r w:rsidRPr="0071289F">
        <w:rPr>
          <w:rFonts w:ascii="Arial" w:hAnsi="Arial" w:cs="Arial"/>
          <w:lang w:val="sr-Latn-CS"/>
        </w:rPr>
        <w:t xml:space="preserve"> </w:t>
      </w:r>
      <w:r w:rsidR="00A00482">
        <w:rPr>
          <w:rFonts w:ascii="Arial" w:hAnsi="Arial" w:cs="Arial"/>
          <w:lang w:val="sr-Latn-CS"/>
        </w:rPr>
        <w:t xml:space="preserve">arhitektonsko-građevinskog kamena </w:t>
      </w:r>
      <w:r w:rsidR="00B24C37">
        <w:rPr>
          <w:rFonts w:ascii="Arial" w:hAnsi="Arial" w:cs="Arial"/>
          <w:lang w:val="sr-Latn-CS"/>
        </w:rPr>
        <w:t xml:space="preserve">“Klikovače”, </w:t>
      </w:r>
      <w:r w:rsidR="005E683D">
        <w:rPr>
          <w:rFonts w:ascii="Arial" w:hAnsi="Arial" w:cs="Arial"/>
          <w:lang w:val="sr-Latn-CS"/>
        </w:rPr>
        <w:t>opština Danilovgrad</w:t>
      </w:r>
      <w:r w:rsidRPr="0071289F">
        <w:rPr>
          <w:rFonts w:ascii="Arial" w:hAnsi="Arial" w:cs="Arial"/>
          <w:lang w:val="sr-Latn-CS"/>
        </w:rPr>
        <w:t>, preduzeće za izvođenje geodetskih radova Etalon Geo Office d</w:t>
      </w:r>
      <w:r w:rsidR="006C2B6E">
        <w:rPr>
          <w:rFonts w:ascii="Arial" w:hAnsi="Arial" w:cs="Arial"/>
          <w:lang w:val="sr-Latn-CS"/>
        </w:rPr>
        <w:t>.</w:t>
      </w:r>
      <w:r w:rsidRPr="0071289F">
        <w:rPr>
          <w:rFonts w:ascii="Arial" w:hAnsi="Arial" w:cs="Arial"/>
          <w:lang w:val="sr-Latn-CS"/>
        </w:rPr>
        <w:t>o</w:t>
      </w:r>
      <w:r w:rsidR="006C2B6E">
        <w:rPr>
          <w:rFonts w:ascii="Arial" w:hAnsi="Arial" w:cs="Arial"/>
          <w:lang w:val="sr-Latn-CS"/>
        </w:rPr>
        <w:t>.</w:t>
      </w:r>
      <w:r w:rsidRPr="0071289F">
        <w:rPr>
          <w:rFonts w:ascii="Arial" w:hAnsi="Arial" w:cs="Arial"/>
          <w:lang w:val="sr-Latn-CS"/>
        </w:rPr>
        <w:t>o</w:t>
      </w:r>
      <w:r w:rsidR="007929DE">
        <w:rPr>
          <w:rFonts w:ascii="Arial" w:hAnsi="Arial" w:cs="Arial"/>
          <w:lang w:val="sr-Latn-CS"/>
        </w:rPr>
        <w:t>,</w:t>
      </w:r>
      <w:r w:rsidRPr="0071289F">
        <w:rPr>
          <w:rFonts w:ascii="Arial" w:hAnsi="Arial" w:cs="Arial"/>
          <w:lang w:val="sr-Latn-CS"/>
        </w:rPr>
        <w:t xml:space="preserve"> Podgorica, koje je registrovano i licencirano za tu vrstu posla, je uradilo </w:t>
      </w:r>
      <w:r w:rsidR="000B3096" w:rsidRPr="0071289F">
        <w:rPr>
          <w:rFonts w:ascii="Arial" w:hAnsi="Arial" w:cs="Arial"/>
          <w:lang w:val="sr-Latn-CS"/>
        </w:rPr>
        <w:t>Tehnički izvještaj</w:t>
      </w:r>
      <w:r w:rsidRPr="0071289F">
        <w:rPr>
          <w:rFonts w:ascii="Arial" w:hAnsi="Arial" w:cs="Arial"/>
          <w:lang w:val="sr-Latn-CS"/>
        </w:rPr>
        <w:t xml:space="preserve"> o granicama područja uslovne parcelacije i preparcelacije za </w:t>
      </w:r>
      <w:r w:rsidR="00AA0FB1">
        <w:rPr>
          <w:rFonts w:ascii="Arial" w:hAnsi="Arial" w:cs="Arial"/>
          <w:lang w:val="sr-Latn-CS"/>
        </w:rPr>
        <w:t>perspektivni prostor</w:t>
      </w:r>
      <w:r w:rsidRPr="0071289F">
        <w:rPr>
          <w:rFonts w:ascii="Arial" w:hAnsi="Arial" w:cs="Arial"/>
          <w:lang w:val="sr-Latn-CS"/>
        </w:rPr>
        <w:t xml:space="preserve"> </w:t>
      </w:r>
      <w:r w:rsidR="00B24C37">
        <w:rPr>
          <w:rFonts w:ascii="Arial" w:hAnsi="Arial" w:cs="Arial"/>
          <w:lang w:val="sr-Latn-CS"/>
        </w:rPr>
        <w:t xml:space="preserve">“Klikovače”, </w:t>
      </w:r>
      <w:r w:rsidR="005E683D">
        <w:rPr>
          <w:rFonts w:ascii="Arial" w:hAnsi="Arial" w:cs="Arial"/>
          <w:lang w:val="sr-Latn-CS"/>
        </w:rPr>
        <w:t>opština Danilovgrad</w:t>
      </w:r>
      <w:r w:rsidRPr="0071289F">
        <w:rPr>
          <w:rFonts w:ascii="Arial" w:hAnsi="Arial" w:cs="Arial"/>
          <w:lang w:val="sr-Latn-CS"/>
        </w:rPr>
        <w:t>.</w:t>
      </w:r>
      <w:r w:rsidR="00501EBE" w:rsidRPr="0071289F">
        <w:rPr>
          <w:rFonts w:ascii="Arial" w:hAnsi="Arial" w:cs="Arial"/>
          <w:lang w:val="sr-Latn-CS"/>
        </w:rPr>
        <w:t xml:space="preserve"> </w:t>
      </w:r>
    </w:p>
    <w:p w14:paraId="06032A2B" w14:textId="77777777" w:rsidR="00E36FF8" w:rsidRDefault="00E36FF8" w:rsidP="005E683D">
      <w:pPr>
        <w:spacing w:after="0" w:line="240" w:lineRule="auto"/>
        <w:jc w:val="both"/>
        <w:rPr>
          <w:rFonts w:ascii="Arial" w:hAnsi="Arial" w:cs="Arial"/>
          <w:lang w:val="sr-Latn-CS"/>
        </w:rPr>
      </w:pPr>
    </w:p>
    <w:p w14:paraId="6C49678D" w14:textId="60357A3C" w:rsidR="004A47AE" w:rsidRDefault="004A47AE" w:rsidP="005E683D">
      <w:pPr>
        <w:spacing w:after="0" w:line="240" w:lineRule="auto"/>
        <w:jc w:val="both"/>
        <w:rPr>
          <w:rFonts w:ascii="Arial" w:hAnsi="Arial" w:cs="Arial"/>
          <w:lang w:val="sr-Latn-CS"/>
        </w:rPr>
      </w:pPr>
      <w:r w:rsidRPr="004A47AE">
        <w:rPr>
          <w:rFonts w:ascii="Arial" w:hAnsi="Arial" w:cs="Arial"/>
          <w:lang w:val="sr-Latn-CS"/>
        </w:rPr>
        <w:t>Lokalitet je šire definisan prostorno planskom dokumentacijom- prostorno urbanistič</w:t>
      </w:r>
      <w:r>
        <w:rPr>
          <w:rFonts w:ascii="Arial" w:hAnsi="Arial" w:cs="Arial"/>
          <w:lang w:val="sr-Latn-CS"/>
        </w:rPr>
        <w:t xml:space="preserve">kim </w:t>
      </w:r>
      <w:r w:rsidRPr="004A47AE">
        <w:rPr>
          <w:rFonts w:ascii="Arial" w:hAnsi="Arial" w:cs="Arial"/>
          <w:lang w:val="sr-Latn-CS"/>
        </w:rPr>
        <w:t>planom Opštine Danilovgrad, i nakon izvrženih istraš</w:t>
      </w:r>
      <w:r>
        <w:rPr>
          <w:rFonts w:ascii="Arial" w:hAnsi="Arial" w:cs="Arial"/>
          <w:lang w:val="sr-Latn-CS"/>
        </w:rPr>
        <w:t xml:space="preserve">nih radova definisan je u </w:t>
      </w:r>
      <w:r w:rsidRPr="004A47AE">
        <w:rPr>
          <w:rFonts w:ascii="Arial" w:hAnsi="Arial" w:cs="Arial"/>
          <w:lang w:val="sr-Latn-CS"/>
        </w:rPr>
        <w:t>utvrđenim koordinatama državnog koordinatnog sistema (DK</w:t>
      </w:r>
      <w:r>
        <w:rPr>
          <w:rFonts w:ascii="Arial" w:hAnsi="Arial" w:cs="Arial"/>
          <w:lang w:val="sr-Latn-CS"/>
        </w:rPr>
        <w:t xml:space="preserve">S), i prikazan na </w:t>
      </w:r>
      <w:r w:rsidRPr="004A47AE">
        <w:rPr>
          <w:rFonts w:ascii="Arial" w:hAnsi="Arial" w:cs="Arial"/>
          <w:lang w:val="sr-Latn-CS"/>
        </w:rPr>
        <w:t>katast</w:t>
      </w:r>
      <w:r>
        <w:rPr>
          <w:rFonts w:ascii="Arial" w:hAnsi="Arial" w:cs="Arial"/>
          <w:lang w:val="sr-Latn-CS"/>
        </w:rPr>
        <w:t>a</w:t>
      </w:r>
      <w:r w:rsidRPr="004A47AE">
        <w:rPr>
          <w:rFonts w:ascii="Arial" w:hAnsi="Arial" w:cs="Arial"/>
          <w:lang w:val="sr-Latn-CS"/>
        </w:rPr>
        <w:t xml:space="preserve">rskom planu </w:t>
      </w:r>
      <w:r>
        <w:rPr>
          <w:rFonts w:ascii="Arial" w:hAnsi="Arial" w:cs="Arial"/>
          <w:lang w:val="sr-Latn-CS"/>
        </w:rPr>
        <w:t>KO Novo Selo, č</w:t>
      </w:r>
      <w:r w:rsidRPr="004A47AE">
        <w:rPr>
          <w:rFonts w:ascii="Arial" w:hAnsi="Arial" w:cs="Arial"/>
          <w:lang w:val="sr-Latn-CS"/>
        </w:rPr>
        <w:t>ime je utvrđena površina područ</w:t>
      </w:r>
      <w:r>
        <w:rPr>
          <w:rFonts w:ascii="Arial" w:hAnsi="Arial" w:cs="Arial"/>
          <w:lang w:val="sr-Latn-CS"/>
        </w:rPr>
        <w:t xml:space="preserve">ja </w:t>
      </w:r>
      <w:r w:rsidRPr="004A47AE">
        <w:rPr>
          <w:rFonts w:ascii="Arial" w:hAnsi="Arial" w:cs="Arial"/>
          <w:lang w:val="sr-Latn-CS"/>
        </w:rPr>
        <w:t>koncesije i obim područja.</w:t>
      </w:r>
    </w:p>
    <w:p w14:paraId="7E9F3BB1" w14:textId="77777777" w:rsidR="004A47AE" w:rsidRPr="004A47AE" w:rsidRDefault="004A47AE" w:rsidP="005E683D">
      <w:pPr>
        <w:spacing w:after="0" w:line="240" w:lineRule="auto"/>
        <w:jc w:val="both"/>
        <w:rPr>
          <w:rFonts w:ascii="Arial" w:hAnsi="Arial" w:cs="Arial"/>
          <w:lang w:val="sr-Latn-CS"/>
        </w:rPr>
      </w:pPr>
    </w:p>
    <w:p w14:paraId="57167AAA" w14:textId="3DC1E4B8" w:rsidR="004A47AE" w:rsidRPr="004A47AE" w:rsidRDefault="004A47AE" w:rsidP="005E683D">
      <w:pPr>
        <w:spacing w:after="0" w:line="240" w:lineRule="auto"/>
        <w:jc w:val="both"/>
        <w:rPr>
          <w:rFonts w:ascii="Arial" w:hAnsi="Arial" w:cs="Arial"/>
        </w:rPr>
      </w:pPr>
      <w:r w:rsidRPr="004A47AE">
        <w:rPr>
          <w:rFonts w:ascii="Arial" w:hAnsi="Arial" w:cs="Arial"/>
          <w:lang w:val="sr-Latn-CS"/>
        </w:rPr>
        <w:t>Na priloženim skicama prikazano je</w:t>
      </w:r>
      <w:r>
        <w:rPr>
          <w:rFonts w:ascii="Arial" w:hAnsi="Arial" w:cs="Arial"/>
        </w:rPr>
        <w:t>:</w:t>
      </w:r>
    </w:p>
    <w:p w14:paraId="146CC213" w14:textId="77777777" w:rsidR="004A47AE" w:rsidRPr="004A47AE" w:rsidRDefault="004A47AE" w:rsidP="005E683D">
      <w:pPr>
        <w:spacing w:after="0" w:line="240" w:lineRule="auto"/>
        <w:jc w:val="both"/>
        <w:rPr>
          <w:rFonts w:ascii="Arial" w:hAnsi="Arial" w:cs="Arial"/>
          <w:lang w:val="sr-Latn-CS"/>
        </w:rPr>
      </w:pPr>
      <w:r w:rsidRPr="004A47AE">
        <w:rPr>
          <w:rFonts w:ascii="Arial" w:hAnsi="Arial" w:cs="Arial"/>
          <w:lang w:val="sr-Latn-CS"/>
        </w:rPr>
        <w:t>1) Područje koncesije na katastarskom planu kat.opštine Novo Selo sa koordinatama</w:t>
      </w:r>
    </w:p>
    <w:p w14:paraId="2B5DFF1D" w14:textId="77777777" w:rsidR="004A47AE" w:rsidRPr="004A47AE" w:rsidRDefault="004A47AE" w:rsidP="005E683D">
      <w:pPr>
        <w:spacing w:after="0" w:line="240" w:lineRule="auto"/>
        <w:jc w:val="both"/>
        <w:rPr>
          <w:rFonts w:ascii="Arial" w:hAnsi="Arial" w:cs="Arial"/>
          <w:lang w:val="sr-Latn-CS"/>
        </w:rPr>
      </w:pPr>
      <w:r w:rsidRPr="004A47AE">
        <w:rPr>
          <w:rFonts w:ascii="Arial" w:hAnsi="Arial" w:cs="Arial"/>
          <w:lang w:val="sr-Latn-CS"/>
        </w:rPr>
        <w:t>graničnih tačaka u trenutku izrade ovog elaborata,</w:t>
      </w:r>
    </w:p>
    <w:p w14:paraId="5010B574" w14:textId="77777777" w:rsidR="004A47AE" w:rsidRPr="004A47AE" w:rsidRDefault="004A47AE" w:rsidP="005E683D">
      <w:pPr>
        <w:spacing w:after="0" w:line="240" w:lineRule="auto"/>
        <w:jc w:val="both"/>
        <w:rPr>
          <w:rFonts w:ascii="Arial" w:hAnsi="Arial" w:cs="Arial"/>
          <w:lang w:val="sr-Latn-CS"/>
        </w:rPr>
      </w:pPr>
      <w:r w:rsidRPr="004A47AE">
        <w:rPr>
          <w:rFonts w:ascii="Arial" w:hAnsi="Arial" w:cs="Arial"/>
          <w:lang w:val="sr-Latn-CS"/>
        </w:rPr>
        <w:t>2) Područje koncesije na ortofoto karti UZN.</w:t>
      </w:r>
    </w:p>
    <w:p w14:paraId="2C0E0CA4" w14:textId="77777777" w:rsidR="004A47AE" w:rsidRDefault="004A47AE" w:rsidP="005E683D">
      <w:pPr>
        <w:spacing w:after="0" w:line="240" w:lineRule="auto"/>
        <w:jc w:val="both"/>
        <w:rPr>
          <w:rFonts w:ascii="Arial" w:hAnsi="Arial" w:cs="Arial"/>
          <w:lang w:val="sr-Latn-CS"/>
        </w:rPr>
      </w:pPr>
      <w:r w:rsidRPr="004A47AE">
        <w:rPr>
          <w:rFonts w:ascii="Arial" w:hAnsi="Arial" w:cs="Arial"/>
          <w:lang w:val="sr-Latn-CS"/>
        </w:rPr>
        <w:t>3) Područje koncesije na topografskoj karti 1:25000.</w:t>
      </w:r>
    </w:p>
    <w:p w14:paraId="52704494" w14:textId="77777777" w:rsidR="004A47AE" w:rsidRPr="004A47AE" w:rsidRDefault="004A47AE" w:rsidP="005E683D">
      <w:pPr>
        <w:spacing w:after="0" w:line="240" w:lineRule="auto"/>
        <w:jc w:val="both"/>
        <w:rPr>
          <w:rFonts w:ascii="Arial" w:hAnsi="Arial" w:cs="Arial"/>
          <w:lang w:val="sr-Latn-CS"/>
        </w:rPr>
      </w:pPr>
    </w:p>
    <w:p w14:paraId="2F84DEC9" w14:textId="5F4CB331" w:rsidR="00E36FF8" w:rsidRDefault="004A47AE" w:rsidP="005E683D">
      <w:pPr>
        <w:spacing w:after="0" w:line="240" w:lineRule="auto"/>
        <w:jc w:val="both"/>
        <w:rPr>
          <w:rFonts w:ascii="Arial" w:hAnsi="Arial" w:cs="Arial"/>
          <w:lang w:val="sr-Latn-CS"/>
        </w:rPr>
      </w:pPr>
      <w:r>
        <w:rPr>
          <w:rFonts w:ascii="Arial" w:hAnsi="Arial" w:cs="Arial"/>
          <w:lang w:val="sr-Latn-CS"/>
        </w:rPr>
        <w:t>Prostor koji se nalazi na podru</w:t>
      </w:r>
      <w:r>
        <w:rPr>
          <w:rFonts w:ascii="Arial" w:hAnsi="Arial" w:cs="Arial"/>
          <w:lang w:val="sr-Latn-ME"/>
        </w:rPr>
        <w:t>č</w:t>
      </w:r>
      <w:r w:rsidRPr="004A47AE">
        <w:rPr>
          <w:rFonts w:ascii="Arial" w:hAnsi="Arial" w:cs="Arial"/>
          <w:lang w:val="sr-Latn-CS"/>
        </w:rPr>
        <w:t>ju kat</w:t>
      </w:r>
      <w:r w:rsidR="00AA0FB1">
        <w:rPr>
          <w:rFonts w:ascii="Arial" w:hAnsi="Arial" w:cs="Arial"/>
          <w:lang w:val="sr-Latn-CS"/>
        </w:rPr>
        <w:t>a</w:t>
      </w:r>
      <w:r w:rsidRPr="004A47AE">
        <w:rPr>
          <w:rFonts w:ascii="Arial" w:hAnsi="Arial" w:cs="Arial"/>
          <w:lang w:val="sr-Latn-CS"/>
        </w:rPr>
        <w:t>starske opš</w:t>
      </w:r>
      <w:r>
        <w:rPr>
          <w:rFonts w:ascii="Arial" w:hAnsi="Arial" w:cs="Arial"/>
          <w:lang w:val="sr-Latn-CS"/>
        </w:rPr>
        <w:t xml:space="preserve">tine Novo Selo obuhvata </w:t>
      </w:r>
      <w:r w:rsidRPr="004A47AE">
        <w:rPr>
          <w:rFonts w:ascii="Arial" w:hAnsi="Arial" w:cs="Arial"/>
          <w:lang w:val="sr-Latn-CS"/>
        </w:rPr>
        <w:t>katastarske parcele br. 1900/5, 19</w:t>
      </w:r>
      <w:r w:rsidR="0091522A">
        <w:rPr>
          <w:rFonts w:ascii="Arial" w:hAnsi="Arial" w:cs="Arial"/>
          <w:lang w:val="sr-Latn-CS"/>
        </w:rPr>
        <w:t>00</w:t>
      </w:r>
      <w:r w:rsidRPr="004A47AE">
        <w:rPr>
          <w:rFonts w:ascii="Arial" w:hAnsi="Arial" w:cs="Arial"/>
          <w:lang w:val="sr-Latn-CS"/>
        </w:rPr>
        <w:t>/6, 1900/7 i djel</w:t>
      </w:r>
      <w:r>
        <w:rPr>
          <w:rFonts w:ascii="Arial" w:hAnsi="Arial" w:cs="Arial"/>
          <w:lang w:val="sr-Latn-CS"/>
        </w:rPr>
        <w:t xml:space="preserve">ovi kat.parcela 1900/1, 1925/1, </w:t>
      </w:r>
      <w:r w:rsidR="0091522A">
        <w:rPr>
          <w:rFonts w:ascii="Arial" w:hAnsi="Arial" w:cs="Arial"/>
          <w:lang w:val="sr-Latn-CS"/>
        </w:rPr>
        <w:t>1</w:t>
      </w:r>
      <w:r w:rsidRPr="004A47AE">
        <w:rPr>
          <w:rFonts w:ascii="Arial" w:hAnsi="Arial" w:cs="Arial"/>
          <w:lang w:val="sr-Latn-CS"/>
        </w:rPr>
        <w:t>925/7 i 1925/8 sve upisane u LN</w:t>
      </w:r>
      <w:r>
        <w:rPr>
          <w:rFonts w:ascii="Arial" w:hAnsi="Arial" w:cs="Arial"/>
          <w:lang w:val="sr-Latn-CS"/>
        </w:rPr>
        <w:t xml:space="preserve"> 345</w:t>
      </w:r>
      <w:r w:rsidRPr="004A47AE">
        <w:rPr>
          <w:rFonts w:ascii="Arial" w:hAnsi="Arial" w:cs="Arial"/>
          <w:lang w:val="sr-Latn-CS"/>
        </w:rPr>
        <w:t>, KO Novo Selo, svojina drž</w:t>
      </w:r>
      <w:r>
        <w:rPr>
          <w:rFonts w:ascii="Arial" w:hAnsi="Arial" w:cs="Arial"/>
          <w:lang w:val="sr-Latn-CS"/>
        </w:rPr>
        <w:t>ave Crne Gore, raspolaganje V</w:t>
      </w:r>
      <w:r w:rsidRPr="004A47AE">
        <w:rPr>
          <w:rFonts w:ascii="Arial" w:hAnsi="Arial" w:cs="Arial"/>
          <w:lang w:val="sr-Latn-CS"/>
        </w:rPr>
        <w:t>lada Crne Gore.</w:t>
      </w:r>
    </w:p>
    <w:p w14:paraId="3262775D" w14:textId="77777777" w:rsidR="007147A4" w:rsidRDefault="007147A4" w:rsidP="005E683D">
      <w:pPr>
        <w:spacing w:after="0" w:line="240" w:lineRule="auto"/>
        <w:jc w:val="both"/>
        <w:rPr>
          <w:rFonts w:ascii="Arial" w:hAnsi="Arial" w:cs="Arial"/>
          <w:lang w:val="sr-Latn-CS"/>
        </w:rPr>
      </w:pPr>
    </w:p>
    <w:p w14:paraId="3EE6AC08" w14:textId="797E1784" w:rsidR="007147A4" w:rsidRPr="00DE2535" w:rsidRDefault="007147A4" w:rsidP="005E683D">
      <w:pPr>
        <w:tabs>
          <w:tab w:val="left" w:pos="3119"/>
        </w:tabs>
        <w:spacing w:after="0" w:line="240" w:lineRule="auto"/>
        <w:jc w:val="both"/>
        <w:rPr>
          <w:rFonts w:ascii="Arial" w:hAnsi="Arial" w:cs="Arial"/>
          <w:lang w:val="sr-Latn-CS"/>
        </w:rPr>
      </w:pPr>
      <w:r w:rsidRPr="00DE2535">
        <w:rPr>
          <w:rFonts w:ascii="Arial" w:hAnsi="Arial" w:cs="Arial"/>
          <w:lang w:val="sr-Latn-CS"/>
        </w:rPr>
        <w:t xml:space="preserve">Na planu KO </w:t>
      </w:r>
      <w:r>
        <w:rPr>
          <w:rFonts w:ascii="Arial" w:hAnsi="Arial" w:cs="Arial"/>
          <w:lang w:val="sr-Latn-CS"/>
        </w:rPr>
        <w:t>Novo Selo</w:t>
      </w:r>
      <w:r w:rsidRPr="00DE2535">
        <w:rPr>
          <w:rFonts w:ascii="Arial" w:hAnsi="Arial" w:cs="Arial"/>
          <w:lang w:val="sr-Latn-CS"/>
        </w:rPr>
        <w:t>, razmjere 1:2</w:t>
      </w:r>
      <w:r>
        <w:rPr>
          <w:rFonts w:ascii="Arial" w:hAnsi="Arial" w:cs="Arial"/>
          <w:lang w:val="sr-Latn-CS"/>
        </w:rPr>
        <w:t>0</w:t>
      </w:r>
      <w:r w:rsidRPr="00DE2535">
        <w:rPr>
          <w:rFonts w:ascii="Arial" w:hAnsi="Arial" w:cs="Arial"/>
          <w:lang w:val="sr-Latn-CS"/>
        </w:rPr>
        <w:t xml:space="preserve">00, na zemljištu na kojem se nalazi ležište </w:t>
      </w:r>
      <w:proofErr w:type="spellStart"/>
      <w:r w:rsidRPr="00890D78">
        <w:rPr>
          <w:rFonts w:ascii="Arial" w:hAnsi="Arial" w:cs="Arial"/>
        </w:rPr>
        <w:t>arhitektonsko-građevinskog</w:t>
      </w:r>
      <w:proofErr w:type="spellEnd"/>
      <w:r w:rsidRPr="00890D78">
        <w:rPr>
          <w:rFonts w:ascii="Arial" w:hAnsi="Arial" w:cs="Arial"/>
        </w:rPr>
        <w:t xml:space="preserve"> </w:t>
      </w:r>
      <w:proofErr w:type="spellStart"/>
      <w:r w:rsidRPr="00890D78">
        <w:rPr>
          <w:rFonts w:ascii="Arial" w:hAnsi="Arial" w:cs="Arial"/>
        </w:rPr>
        <w:t>kamena</w:t>
      </w:r>
      <w:proofErr w:type="spellEnd"/>
      <w:r w:rsidRPr="00890D78">
        <w:rPr>
          <w:rFonts w:ascii="Arial" w:hAnsi="Arial" w:cs="Arial"/>
        </w:rPr>
        <w:t xml:space="preserve"> "</w:t>
      </w:r>
      <w:proofErr w:type="spellStart"/>
      <w:r w:rsidRPr="00890D78">
        <w:rPr>
          <w:rFonts w:ascii="Arial" w:hAnsi="Arial" w:cs="Arial"/>
        </w:rPr>
        <w:t>Klikovače</w:t>
      </w:r>
      <w:proofErr w:type="spellEnd"/>
      <w:r w:rsidRPr="00890D78">
        <w:rPr>
          <w:rFonts w:ascii="Arial" w:hAnsi="Arial" w:cs="Arial"/>
        </w:rPr>
        <w:t>"</w:t>
      </w:r>
      <w:r w:rsidRPr="00DE2535">
        <w:rPr>
          <w:rFonts w:ascii="Arial" w:hAnsi="Arial" w:cs="Arial"/>
          <w:lang w:val="sr-Latn-CS"/>
        </w:rPr>
        <w:t xml:space="preserve">, definisan je koncesioni prostor sa </w:t>
      </w:r>
      <w:r>
        <w:rPr>
          <w:rFonts w:ascii="Arial" w:hAnsi="Arial" w:cs="Arial"/>
          <w:lang w:val="sr-Latn-CS"/>
        </w:rPr>
        <w:t>42</w:t>
      </w:r>
      <w:r w:rsidRPr="00DE2535">
        <w:rPr>
          <w:rFonts w:ascii="Arial" w:hAnsi="Arial" w:cs="Arial"/>
          <w:lang w:val="sr-Latn-CS"/>
        </w:rPr>
        <w:t xml:space="preserve"> graničn</w:t>
      </w:r>
      <w:r>
        <w:rPr>
          <w:rFonts w:ascii="Arial" w:hAnsi="Arial" w:cs="Arial"/>
          <w:lang w:val="sr-Latn-CS"/>
        </w:rPr>
        <w:t>e</w:t>
      </w:r>
      <w:r w:rsidRPr="00DE2535">
        <w:rPr>
          <w:rFonts w:ascii="Arial" w:hAnsi="Arial" w:cs="Arial"/>
          <w:lang w:val="sr-Latn-CS"/>
        </w:rPr>
        <w:t xml:space="preserve"> tačak</w:t>
      </w:r>
      <w:r>
        <w:rPr>
          <w:rFonts w:ascii="Arial" w:hAnsi="Arial" w:cs="Arial"/>
          <w:lang w:val="sr-Latn-CS"/>
        </w:rPr>
        <w:t>e</w:t>
      </w:r>
      <w:r w:rsidRPr="00DE2535">
        <w:rPr>
          <w:rFonts w:ascii="Arial" w:hAnsi="Arial" w:cs="Arial"/>
          <w:lang w:val="sr-Latn-CS"/>
        </w:rPr>
        <w:t xml:space="preserve"> sa utvrđenim koordinatama državnog koordinatnog sistema (DKS) i površinom od </w:t>
      </w:r>
      <w:r>
        <w:rPr>
          <w:rFonts w:ascii="Arial" w:hAnsi="Arial" w:cs="Arial"/>
          <w:lang w:val="sr-Latn-CS"/>
        </w:rPr>
        <w:t>9</w:t>
      </w:r>
      <w:r w:rsidRPr="00DE2535">
        <w:rPr>
          <w:rFonts w:ascii="Arial" w:hAnsi="Arial" w:cs="Arial"/>
          <w:lang w:val="sr-Latn-CS"/>
        </w:rPr>
        <w:t xml:space="preserve"> ha </w:t>
      </w:r>
      <w:r>
        <w:rPr>
          <w:rFonts w:ascii="Arial" w:hAnsi="Arial" w:cs="Arial"/>
          <w:lang w:val="sr-Latn-CS"/>
        </w:rPr>
        <w:t>6</w:t>
      </w:r>
      <w:r w:rsidRPr="00DE2535">
        <w:rPr>
          <w:rFonts w:ascii="Arial" w:hAnsi="Arial" w:cs="Arial"/>
          <w:lang w:val="sr-Latn-CS"/>
        </w:rPr>
        <w:t xml:space="preserve"> a </w:t>
      </w:r>
      <w:r>
        <w:rPr>
          <w:rFonts w:ascii="Arial" w:hAnsi="Arial" w:cs="Arial"/>
          <w:lang w:val="sr-Latn-CS"/>
        </w:rPr>
        <w:t>15</w:t>
      </w:r>
      <w:r w:rsidRPr="00DE2535">
        <w:rPr>
          <w:rFonts w:ascii="Arial" w:hAnsi="Arial" w:cs="Arial"/>
          <w:lang w:val="sr-Latn-CS"/>
        </w:rPr>
        <w:t xml:space="preserve"> m² </w:t>
      </w:r>
      <w:r>
        <w:rPr>
          <w:rFonts w:ascii="Arial" w:hAnsi="Arial" w:cs="Arial"/>
          <w:lang w:val="sr-Latn-CS"/>
        </w:rPr>
        <w:t>(90.615</w:t>
      </w:r>
      <w:r w:rsidRPr="00DE2535">
        <w:rPr>
          <w:rFonts w:ascii="Arial" w:hAnsi="Arial" w:cs="Arial"/>
          <w:lang w:val="sr-Latn-CS"/>
        </w:rPr>
        <w:t xml:space="preserve"> m²). koju zahvata predmetno područje. </w:t>
      </w:r>
    </w:p>
    <w:p w14:paraId="71AAC223" w14:textId="77777777" w:rsidR="007147A4" w:rsidRDefault="007147A4" w:rsidP="005E683D">
      <w:pPr>
        <w:spacing w:after="0" w:line="240" w:lineRule="auto"/>
        <w:jc w:val="both"/>
        <w:rPr>
          <w:rFonts w:ascii="Arial" w:hAnsi="Arial" w:cs="Arial"/>
          <w:lang w:val="sr-Latn-CS"/>
        </w:rPr>
      </w:pPr>
    </w:p>
    <w:p w14:paraId="78D7C5DC" w14:textId="40CEC333" w:rsidR="00E36FF8" w:rsidRPr="00577044" w:rsidRDefault="00E36FF8" w:rsidP="005E683D">
      <w:pPr>
        <w:pStyle w:val="BodyText"/>
        <w:spacing w:after="0" w:line="240" w:lineRule="auto"/>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proofErr w:type="spellStart"/>
      <w:r w:rsidR="00A00482">
        <w:rPr>
          <w:rFonts w:ascii="Arial" w:hAnsi="Arial" w:cs="Arial"/>
          <w:sz w:val="22"/>
          <w:szCs w:val="22"/>
        </w:rPr>
        <w:t>ležišta</w:t>
      </w:r>
      <w:proofErr w:type="spellEnd"/>
      <w:r w:rsidRPr="00577044">
        <w:rPr>
          <w:rFonts w:ascii="Arial" w:hAnsi="Arial" w:cs="Arial"/>
          <w:sz w:val="22"/>
          <w:szCs w:val="22"/>
        </w:rPr>
        <w:t xml:space="preserve"> </w:t>
      </w:r>
      <w:proofErr w:type="spellStart"/>
      <w:r w:rsidR="00A00482">
        <w:rPr>
          <w:rFonts w:ascii="Arial" w:hAnsi="Arial" w:cs="Arial"/>
          <w:sz w:val="22"/>
          <w:szCs w:val="22"/>
        </w:rPr>
        <w:t>arhitektonsko-građevinskog</w:t>
      </w:r>
      <w:proofErr w:type="spellEnd"/>
      <w:r w:rsidR="00A00482">
        <w:rPr>
          <w:rFonts w:ascii="Arial" w:hAnsi="Arial" w:cs="Arial"/>
          <w:sz w:val="22"/>
          <w:szCs w:val="22"/>
        </w:rPr>
        <w:t xml:space="preserve"> </w:t>
      </w:r>
      <w:proofErr w:type="spellStart"/>
      <w:r w:rsidR="00A00482">
        <w:rPr>
          <w:rFonts w:ascii="Arial" w:hAnsi="Arial" w:cs="Arial"/>
          <w:sz w:val="22"/>
          <w:szCs w:val="22"/>
        </w:rPr>
        <w:t>kamena</w:t>
      </w:r>
      <w:proofErr w:type="spellEnd"/>
      <w:r w:rsidR="00A00482">
        <w:rPr>
          <w:rFonts w:ascii="Arial" w:hAnsi="Arial" w:cs="Arial"/>
          <w:sz w:val="22"/>
          <w:szCs w:val="22"/>
        </w:rPr>
        <w:t xml:space="preserve"> </w:t>
      </w:r>
      <w:r w:rsidRPr="00577044">
        <w:rPr>
          <w:rFonts w:ascii="Arial" w:hAnsi="Arial" w:cs="Arial"/>
          <w:sz w:val="22"/>
          <w:szCs w:val="22"/>
        </w:rPr>
        <w:t xml:space="preserve"> </w:t>
      </w:r>
      <w:r w:rsidR="00B24C37">
        <w:rPr>
          <w:rFonts w:ascii="Arial" w:hAnsi="Arial" w:cs="Arial"/>
          <w:sz w:val="22"/>
          <w:szCs w:val="22"/>
          <w:lang w:val="sr-Latn-CS"/>
        </w:rPr>
        <w:t xml:space="preserve">“Klikovače”, </w:t>
      </w:r>
      <w:r w:rsidR="005E683D">
        <w:rPr>
          <w:rFonts w:ascii="Arial" w:hAnsi="Arial" w:cs="Arial"/>
          <w:sz w:val="22"/>
          <w:szCs w:val="22"/>
          <w:lang w:val="sr-Latn-CS"/>
        </w:rPr>
        <w:t>opština Danilovgrad</w:t>
      </w:r>
      <w:r w:rsidRPr="00577044">
        <w:rPr>
          <w:rFonts w:ascii="Arial" w:hAnsi="Arial" w:cs="Arial"/>
          <w:sz w:val="22"/>
          <w:szCs w:val="22"/>
          <w:lang w:val="pl-PL"/>
        </w:rPr>
        <w:t xml:space="preserve">, dati su u </w:t>
      </w:r>
      <w:r w:rsidR="00501EBE" w:rsidRPr="00577044">
        <w:rPr>
          <w:rFonts w:ascii="Arial" w:hAnsi="Arial" w:cs="Arial"/>
          <w:sz w:val="22"/>
          <w:szCs w:val="22"/>
          <w:lang w:val="pl-PL"/>
        </w:rPr>
        <w:t>Tehničkom izvještaju</w:t>
      </w:r>
      <w:r w:rsidRPr="00577044">
        <w:rPr>
          <w:rFonts w:ascii="Arial" w:hAnsi="Arial" w:cs="Arial"/>
          <w:sz w:val="22"/>
          <w:szCs w:val="22"/>
          <w:lang w:val="pl-PL"/>
        </w:rPr>
        <w:t>, koji je sastavni dio predmetnog Koncesionog akta</w:t>
      </w:r>
      <w:r w:rsidRPr="00577044">
        <w:rPr>
          <w:rFonts w:ascii="Arial" w:hAnsi="Arial" w:cs="Arial"/>
          <w:sz w:val="22"/>
          <w:szCs w:val="22"/>
          <w:lang w:val="sr-Latn-CS"/>
        </w:rPr>
        <w:t>.</w:t>
      </w:r>
    </w:p>
    <w:p w14:paraId="726D309D" w14:textId="77777777" w:rsidR="000E0CEA" w:rsidRPr="00205A29" w:rsidRDefault="000E0CEA" w:rsidP="005E683D">
      <w:pPr>
        <w:spacing w:after="0" w:line="240" w:lineRule="auto"/>
        <w:jc w:val="center"/>
        <w:rPr>
          <w:rFonts w:ascii="Arial" w:hAnsi="Arial" w:cs="Arial"/>
          <w:b/>
          <w:lang w:val="sr-Latn-CS"/>
        </w:rPr>
      </w:pPr>
    </w:p>
    <w:p w14:paraId="61EEEBC6" w14:textId="7E757C2C" w:rsidR="003B180A" w:rsidRPr="00205A29" w:rsidRDefault="002F04D7" w:rsidP="005E683D">
      <w:pPr>
        <w:pStyle w:val="Heading2"/>
      </w:pPr>
      <w:r>
        <w:t xml:space="preserve">1.3 </w:t>
      </w:r>
      <w:r w:rsidR="003B180A" w:rsidRPr="00205A29">
        <w:t xml:space="preserve">Geomorfološke karakteristike područja </w:t>
      </w:r>
      <w:r w:rsidR="00A00482">
        <w:t>ležišta</w:t>
      </w:r>
      <w:r w:rsidR="003B180A" w:rsidRPr="00205A29">
        <w:t xml:space="preserve"> </w:t>
      </w:r>
      <w:r w:rsidR="00772844">
        <w:t>“Klikovače”</w:t>
      </w:r>
      <w:r w:rsidR="0010704C">
        <w:t xml:space="preserve"> </w:t>
      </w:r>
    </w:p>
    <w:p w14:paraId="25D7E4C5" w14:textId="77777777" w:rsidR="00F1340A" w:rsidRPr="00205A29" w:rsidRDefault="00F1340A" w:rsidP="005E683D">
      <w:pPr>
        <w:spacing w:after="0" w:line="240" w:lineRule="auto"/>
        <w:jc w:val="both"/>
        <w:rPr>
          <w:rFonts w:ascii="Arial" w:hAnsi="Arial" w:cs="Arial"/>
          <w:lang w:val="pl-PL"/>
        </w:rPr>
      </w:pPr>
    </w:p>
    <w:p w14:paraId="2C3AF190" w14:textId="18CE92E1" w:rsidR="006A0E55" w:rsidRPr="006A0E55" w:rsidRDefault="0091522A" w:rsidP="005E683D">
      <w:pPr>
        <w:pStyle w:val="BodyText"/>
        <w:spacing w:after="0" w:line="240" w:lineRule="auto"/>
        <w:jc w:val="both"/>
        <w:rPr>
          <w:rFonts w:ascii="Arial" w:hAnsi="Arial" w:cs="Arial"/>
          <w:sz w:val="22"/>
          <w:szCs w:val="22"/>
          <w:lang w:val="pl-PL"/>
        </w:rPr>
      </w:pPr>
      <w:r>
        <w:rPr>
          <w:rFonts w:ascii="Arial" w:hAnsi="Arial" w:cs="Arial"/>
          <w:sz w:val="22"/>
          <w:szCs w:val="22"/>
          <w:lang w:val="pl-PL"/>
        </w:rPr>
        <w:t>Šire područje</w:t>
      </w:r>
      <w:r w:rsidR="006A0E55" w:rsidRPr="006A0E55">
        <w:rPr>
          <w:rFonts w:ascii="Arial" w:hAnsi="Arial" w:cs="Arial"/>
          <w:sz w:val="22"/>
          <w:szCs w:val="22"/>
          <w:lang w:val="pl-PL"/>
        </w:rPr>
        <w:t xml:space="preserve"> ležišta </w:t>
      </w:r>
      <w:proofErr w:type="spellStart"/>
      <w:r w:rsidR="006A0E55">
        <w:rPr>
          <w:rFonts w:ascii="Arial" w:hAnsi="Arial" w:cs="Arial"/>
          <w:sz w:val="22"/>
          <w:szCs w:val="22"/>
        </w:rPr>
        <w:t>arhitektonsko-građevinskog</w:t>
      </w:r>
      <w:proofErr w:type="spellEnd"/>
      <w:r w:rsidR="006A0E55">
        <w:rPr>
          <w:rFonts w:ascii="Arial" w:hAnsi="Arial" w:cs="Arial"/>
          <w:sz w:val="22"/>
          <w:szCs w:val="22"/>
        </w:rPr>
        <w:t xml:space="preserve"> </w:t>
      </w:r>
      <w:proofErr w:type="spellStart"/>
      <w:r w:rsidR="006A0E55">
        <w:rPr>
          <w:rFonts w:ascii="Arial" w:hAnsi="Arial" w:cs="Arial"/>
          <w:sz w:val="22"/>
          <w:szCs w:val="22"/>
        </w:rPr>
        <w:t>kamena</w:t>
      </w:r>
      <w:proofErr w:type="spellEnd"/>
      <w:r w:rsidR="006A0E55">
        <w:rPr>
          <w:rFonts w:ascii="Arial" w:hAnsi="Arial" w:cs="Arial"/>
          <w:sz w:val="22"/>
          <w:szCs w:val="22"/>
        </w:rPr>
        <w:t xml:space="preserve"> </w:t>
      </w:r>
      <w:r w:rsidR="006A0E55" w:rsidRPr="006A0E55">
        <w:rPr>
          <w:rFonts w:ascii="Arial" w:hAnsi="Arial" w:cs="Arial"/>
          <w:sz w:val="22"/>
          <w:szCs w:val="22"/>
          <w:lang w:val="pl-PL"/>
        </w:rPr>
        <w:t xml:space="preserve">“Klikovače” nalazi se na relativno  blago zatalasanoj karstnoj površi Buržine, na njenim južnim padinama. </w:t>
      </w:r>
      <w:r w:rsidR="00466118">
        <w:rPr>
          <w:rFonts w:ascii="Arial" w:hAnsi="Arial" w:cs="Arial"/>
          <w:sz w:val="22"/>
          <w:szCs w:val="22"/>
          <w:lang w:val="pl-PL"/>
        </w:rPr>
        <w:t xml:space="preserve">Prostor </w:t>
      </w:r>
      <w:r w:rsidR="006A0E55" w:rsidRPr="006A0E55">
        <w:rPr>
          <w:rFonts w:ascii="Arial" w:hAnsi="Arial" w:cs="Arial"/>
          <w:sz w:val="22"/>
          <w:szCs w:val="22"/>
          <w:lang w:val="pl-PL"/>
        </w:rPr>
        <w:t xml:space="preserve">Buržine </w:t>
      </w:r>
      <w:r w:rsidR="007929DE">
        <w:rPr>
          <w:rFonts w:ascii="Arial" w:hAnsi="Arial" w:cs="Arial"/>
          <w:sz w:val="22"/>
          <w:szCs w:val="22"/>
          <w:lang w:val="pl-PL"/>
        </w:rPr>
        <w:t>se nalazi</w:t>
      </w:r>
      <w:r w:rsidR="006A0E55" w:rsidRPr="006A0E55">
        <w:rPr>
          <w:rFonts w:ascii="Arial" w:hAnsi="Arial" w:cs="Arial"/>
          <w:sz w:val="22"/>
          <w:szCs w:val="22"/>
          <w:lang w:val="pl-PL"/>
        </w:rPr>
        <w:t xml:space="preserve"> </w:t>
      </w:r>
      <w:r w:rsidR="007929DE">
        <w:rPr>
          <w:rFonts w:ascii="Arial" w:hAnsi="Arial" w:cs="Arial"/>
          <w:sz w:val="22"/>
          <w:szCs w:val="22"/>
          <w:lang w:val="pl-PL"/>
        </w:rPr>
        <w:t xml:space="preserve">na </w:t>
      </w:r>
      <w:r w:rsidR="006A0E55" w:rsidRPr="006A0E55">
        <w:rPr>
          <w:rFonts w:ascii="Arial" w:hAnsi="Arial" w:cs="Arial"/>
          <w:sz w:val="22"/>
          <w:szCs w:val="22"/>
          <w:lang w:val="pl-PL"/>
        </w:rPr>
        <w:t>nadmorskoj visini od oko 50 do 70</w:t>
      </w:r>
      <w:r w:rsidR="007929DE">
        <w:rPr>
          <w:rFonts w:ascii="Arial" w:hAnsi="Arial" w:cs="Arial"/>
          <w:sz w:val="22"/>
          <w:szCs w:val="22"/>
          <w:lang w:val="pl-PL"/>
        </w:rPr>
        <w:t xml:space="preserve"> </w:t>
      </w:r>
      <w:r w:rsidR="006A0E55" w:rsidRPr="006A0E55">
        <w:rPr>
          <w:rFonts w:ascii="Arial" w:hAnsi="Arial" w:cs="Arial"/>
          <w:sz w:val="22"/>
          <w:szCs w:val="22"/>
          <w:lang w:val="pl-PL"/>
        </w:rPr>
        <w:t>m</w:t>
      </w:r>
      <w:r w:rsidR="00C545B5">
        <w:rPr>
          <w:rFonts w:ascii="Arial" w:hAnsi="Arial" w:cs="Arial"/>
          <w:sz w:val="22"/>
          <w:szCs w:val="22"/>
          <w:lang w:val="pl-PL"/>
        </w:rPr>
        <w:t>.n.m</w:t>
      </w:r>
      <w:r w:rsidR="00466118">
        <w:rPr>
          <w:rFonts w:ascii="Arial" w:hAnsi="Arial" w:cs="Arial"/>
          <w:sz w:val="22"/>
          <w:szCs w:val="22"/>
          <w:lang w:val="pl-PL"/>
        </w:rPr>
        <w:t>,</w:t>
      </w:r>
      <w:r w:rsidR="005A6568">
        <w:rPr>
          <w:rFonts w:ascii="Arial" w:hAnsi="Arial" w:cs="Arial"/>
          <w:sz w:val="22"/>
          <w:szCs w:val="22"/>
          <w:lang w:val="pl-PL"/>
        </w:rPr>
        <w:t xml:space="preserve"> </w:t>
      </w:r>
      <w:r w:rsidR="00466118">
        <w:rPr>
          <w:rFonts w:ascii="Arial" w:hAnsi="Arial" w:cs="Arial"/>
          <w:sz w:val="22"/>
          <w:szCs w:val="22"/>
          <w:lang w:val="sr-Latn-ME"/>
        </w:rPr>
        <w:t>izgrađena</w:t>
      </w:r>
      <w:r w:rsidR="00466118">
        <w:rPr>
          <w:rFonts w:ascii="Arial" w:hAnsi="Arial" w:cs="Arial"/>
          <w:sz w:val="22"/>
          <w:szCs w:val="22"/>
          <w:lang w:val="pl-PL"/>
        </w:rPr>
        <w:t xml:space="preserve"> je </w:t>
      </w:r>
      <w:r w:rsidR="005A6568">
        <w:rPr>
          <w:rFonts w:ascii="Arial" w:hAnsi="Arial" w:cs="Arial"/>
          <w:sz w:val="22"/>
          <w:szCs w:val="22"/>
          <w:lang w:val="sr-Latn-ME"/>
        </w:rPr>
        <w:t xml:space="preserve">od karbonatnih sedimenta, </w:t>
      </w:r>
      <w:r w:rsidR="005A6568">
        <w:rPr>
          <w:rFonts w:ascii="Arial" w:hAnsi="Arial" w:cs="Arial"/>
          <w:sz w:val="22"/>
          <w:szCs w:val="22"/>
          <w:lang w:val="pl-PL"/>
        </w:rPr>
        <w:t xml:space="preserve">gdje se </w:t>
      </w:r>
      <w:r w:rsidR="005A6568" w:rsidRPr="006A0E55">
        <w:rPr>
          <w:rFonts w:ascii="Arial" w:hAnsi="Arial" w:cs="Arial"/>
          <w:sz w:val="22"/>
          <w:szCs w:val="22"/>
          <w:lang w:val="pl-PL"/>
        </w:rPr>
        <w:lastRenderedPageBreak/>
        <w:t xml:space="preserve">zapažaju škrape i vrtače kao i </w:t>
      </w:r>
      <w:r w:rsidR="00466118">
        <w:rPr>
          <w:rFonts w:ascii="Arial" w:hAnsi="Arial" w:cs="Arial"/>
          <w:sz w:val="22"/>
          <w:szCs w:val="22"/>
          <w:lang w:val="pl-PL"/>
        </w:rPr>
        <w:t>drugi</w:t>
      </w:r>
      <w:r w:rsidR="005A6568">
        <w:rPr>
          <w:rFonts w:ascii="Arial" w:hAnsi="Arial" w:cs="Arial"/>
          <w:sz w:val="22"/>
          <w:szCs w:val="22"/>
          <w:lang w:val="pl-PL"/>
        </w:rPr>
        <w:t xml:space="preserve"> oblici mikro-karstifikacije. </w:t>
      </w:r>
      <w:r w:rsidR="006A0E55" w:rsidRPr="006A0E55">
        <w:rPr>
          <w:rFonts w:ascii="Arial" w:hAnsi="Arial" w:cs="Arial"/>
          <w:sz w:val="22"/>
          <w:szCs w:val="22"/>
          <w:lang w:val="pl-PL"/>
        </w:rPr>
        <w:t xml:space="preserve">Prema sjeveroistoku prelazi u Bjelopavlićku ravnicu, a prema jugozapadu u zaravnjeni dio Lješkopoljskog luga. </w:t>
      </w:r>
    </w:p>
    <w:p w14:paraId="4FC40E3B" w14:textId="77777777" w:rsidR="00F40EDF" w:rsidRPr="00A069F0" w:rsidRDefault="00F40EDF" w:rsidP="005E683D">
      <w:pPr>
        <w:spacing w:after="0" w:line="240" w:lineRule="auto"/>
        <w:jc w:val="both"/>
        <w:rPr>
          <w:rFonts w:ascii="Arial" w:hAnsi="Arial" w:cs="Arial"/>
          <w:lang w:val="sr-Latn-ME"/>
        </w:rPr>
      </w:pPr>
    </w:p>
    <w:p w14:paraId="55C15687" w14:textId="77777777" w:rsidR="004C7585" w:rsidRDefault="00F16AFB" w:rsidP="005E683D">
      <w:pPr>
        <w:spacing w:after="0" w:line="240" w:lineRule="auto"/>
        <w:jc w:val="both"/>
        <w:rPr>
          <w:rFonts w:ascii="Arial" w:hAnsi="Arial" w:cs="Arial"/>
          <w:b/>
          <w:u w:val="single"/>
          <w:lang w:val="pl-PL" w:eastAsia="sl-SI"/>
        </w:rPr>
      </w:pPr>
      <w:r w:rsidRPr="00205A29">
        <w:rPr>
          <w:rFonts w:ascii="Arial" w:hAnsi="Arial" w:cs="Arial"/>
          <w:b/>
          <w:lang w:val="pl-PL" w:eastAsia="sl-SI"/>
        </w:rPr>
        <w:t xml:space="preserve">1.4. </w:t>
      </w:r>
      <w:r w:rsidR="004C7585" w:rsidRPr="00FE7737">
        <w:rPr>
          <w:rFonts w:ascii="Arial" w:hAnsi="Arial" w:cs="Arial"/>
          <w:b/>
          <w:u w:val="single"/>
          <w:lang w:val="pl-PL" w:eastAsia="sl-SI"/>
        </w:rPr>
        <w:t>Mišljenje Uprave za zaštitu kulturnih dobara</w:t>
      </w:r>
    </w:p>
    <w:p w14:paraId="693E76CF" w14:textId="77777777" w:rsidR="00F659D0" w:rsidRDefault="00F659D0" w:rsidP="005E683D">
      <w:pPr>
        <w:spacing w:after="0" w:line="240" w:lineRule="auto"/>
        <w:jc w:val="both"/>
        <w:rPr>
          <w:rFonts w:ascii="Arial" w:hAnsi="Arial" w:cs="Arial"/>
          <w:b/>
          <w:u w:val="single"/>
          <w:lang w:val="pl-PL" w:eastAsia="sl-SI"/>
        </w:rPr>
      </w:pPr>
    </w:p>
    <w:p w14:paraId="44A0B3F7" w14:textId="77777777" w:rsidR="00F659D0" w:rsidRPr="00413657" w:rsidRDefault="00F659D0" w:rsidP="005E683D">
      <w:pPr>
        <w:spacing w:after="0" w:line="240" w:lineRule="auto"/>
        <w:jc w:val="both"/>
        <w:rPr>
          <w:rFonts w:ascii="Arial" w:hAnsi="Arial" w:cs="Arial"/>
          <w:lang w:val="pl-PL" w:eastAsia="sl-SI"/>
        </w:rPr>
      </w:pPr>
      <w:r w:rsidRPr="00413657">
        <w:rPr>
          <w:rFonts w:ascii="Arial" w:hAnsi="Arial" w:cs="Arial"/>
          <w:lang w:val="pl-PL" w:eastAsia="sl-SI"/>
        </w:rPr>
        <w:t xml:space="preserve">Mišljenjem Uprave za zaštitu kulturnih dobara, br. </w:t>
      </w:r>
      <w:r>
        <w:rPr>
          <w:rFonts w:ascii="Arial" w:hAnsi="Arial" w:cs="Arial"/>
          <w:lang w:val="pl-PL" w:eastAsia="sl-SI"/>
        </w:rPr>
        <w:t>03-128/2021-17/2</w:t>
      </w:r>
      <w:r w:rsidRPr="00413657">
        <w:rPr>
          <w:rFonts w:ascii="Arial" w:hAnsi="Arial" w:cs="Arial"/>
          <w:lang w:val="pl-PL" w:eastAsia="sl-SI"/>
        </w:rPr>
        <w:t xml:space="preserve"> od </w:t>
      </w:r>
      <w:r>
        <w:rPr>
          <w:rFonts w:ascii="Arial" w:hAnsi="Arial" w:cs="Arial"/>
          <w:lang w:val="pl-PL" w:eastAsia="sl-SI"/>
        </w:rPr>
        <w:t>12.04.2020</w:t>
      </w:r>
      <w:r w:rsidRPr="00413657">
        <w:rPr>
          <w:rFonts w:ascii="Arial" w:hAnsi="Arial" w:cs="Arial"/>
          <w:lang w:val="pl-PL" w:eastAsia="sl-SI"/>
        </w:rPr>
        <w:t>.</w:t>
      </w:r>
      <w:r>
        <w:rPr>
          <w:rFonts w:ascii="Arial" w:hAnsi="Arial" w:cs="Arial"/>
          <w:lang w:val="pl-PL" w:eastAsia="sl-SI"/>
        </w:rPr>
        <w:t xml:space="preserve"> </w:t>
      </w:r>
      <w:r w:rsidRPr="00413657">
        <w:rPr>
          <w:rFonts w:ascii="Arial" w:hAnsi="Arial" w:cs="Arial"/>
          <w:lang w:val="pl-PL" w:eastAsia="sl-SI"/>
        </w:rPr>
        <w:t xml:space="preserve">godine, konstatovano je da u predmetnom zahvatu lokaliteta </w:t>
      </w:r>
      <w:r w:rsidRPr="00413657">
        <w:rPr>
          <w:rFonts w:ascii="Arial" w:hAnsi="Arial" w:cs="Arial"/>
        </w:rPr>
        <w:t>“</w:t>
      </w:r>
      <w:proofErr w:type="spellStart"/>
      <w:r>
        <w:rPr>
          <w:rFonts w:ascii="Arial" w:hAnsi="Arial" w:cs="Arial"/>
        </w:rPr>
        <w:t>Klikovače</w:t>
      </w:r>
      <w:proofErr w:type="spellEnd"/>
      <w:r w:rsidRPr="00413657">
        <w:rPr>
          <w:rFonts w:ascii="Arial" w:hAnsi="Arial" w:cs="Arial"/>
        </w:rPr>
        <w:t>”,</w:t>
      </w:r>
      <w:r w:rsidRPr="00413657">
        <w:rPr>
          <w:rFonts w:ascii="Arial" w:hAnsi="Arial" w:cs="Arial"/>
          <w:lang w:val="sr-Latn-CS"/>
        </w:rPr>
        <w:t xml:space="preserve"> </w:t>
      </w:r>
      <w:r>
        <w:rPr>
          <w:rFonts w:ascii="Arial" w:hAnsi="Arial" w:cs="Arial"/>
          <w:lang w:val="pl-PL" w:eastAsia="sl-SI"/>
        </w:rPr>
        <w:t>sa aspekta zaštite kulturnih dobara, može da se pristupi istraživanju i eksploataciji mineralne sirovine na predmetnoj lokaciji, uz obavezu da se uvaže zakonske odredbe konstatovane ovim Mišljenjem.</w:t>
      </w:r>
    </w:p>
    <w:p w14:paraId="6424F474" w14:textId="77777777" w:rsidR="00F659D0" w:rsidRPr="00413657" w:rsidRDefault="00F659D0" w:rsidP="005E683D">
      <w:pPr>
        <w:spacing w:after="0" w:line="240" w:lineRule="auto"/>
        <w:jc w:val="both"/>
        <w:rPr>
          <w:rFonts w:ascii="Arial" w:hAnsi="Arial" w:cs="Arial"/>
          <w:lang w:val="pl-PL" w:eastAsia="sl-SI"/>
        </w:rPr>
      </w:pPr>
    </w:p>
    <w:p w14:paraId="78C2EB4A" w14:textId="77777777" w:rsidR="00F659D0" w:rsidRDefault="00F659D0" w:rsidP="005E683D">
      <w:pPr>
        <w:spacing w:after="0" w:line="240" w:lineRule="auto"/>
        <w:jc w:val="both"/>
        <w:rPr>
          <w:rFonts w:ascii="Arial" w:hAnsi="Arial" w:cs="Arial"/>
          <w:lang w:val="pl-PL" w:eastAsia="sl-SI"/>
        </w:rPr>
      </w:pPr>
      <w:r w:rsidRPr="00413657">
        <w:rPr>
          <w:rFonts w:ascii="Arial" w:hAnsi="Arial" w:cs="Arial"/>
          <w:lang w:val="pl-PL" w:eastAsia="sl-SI"/>
        </w:rPr>
        <w:t xml:space="preserve">U </w:t>
      </w:r>
      <w:r>
        <w:rPr>
          <w:rFonts w:ascii="Arial" w:hAnsi="Arial" w:cs="Arial"/>
          <w:lang w:val="pl-PL" w:eastAsia="sl-SI"/>
        </w:rPr>
        <w:t xml:space="preserve">toku izrade Koncesionog akta i realizacije predmetne koncesije, potrebno je uvrstiti i poštovati odredbe </w:t>
      </w:r>
      <w:r w:rsidRPr="00413657">
        <w:rPr>
          <w:rFonts w:ascii="Arial" w:hAnsi="Arial" w:cs="Arial"/>
          <w:lang w:val="pl-PL" w:eastAsia="sl-SI"/>
        </w:rPr>
        <w:t>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14:paraId="75216B61" w14:textId="77777777" w:rsidR="004C7585" w:rsidRPr="00205A29" w:rsidRDefault="004C7585" w:rsidP="005E683D">
      <w:pPr>
        <w:spacing w:after="0" w:line="240" w:lineRule="auto"/>
        <w:jc w:val="both"/>
        <w:rPr>
          <w:rFonts w:ascii="Arial" w:hAnsi="Arial" w:cs="Arial"/>
          <w:lang w:val="pl-PL"/>
        </w:rPr>
      </w:pPr>
    </w:p>
    <w:p w14:paraId="7B9B6ED6" w14:textId="77777777" w:rsidR="00744584" w:rsidRPr="00205A29" w:rsidRDefault="00744584" w:rsidP="005E683D">
      <w:pPr>
        <w:pStyle w:val="Heading2"/>
        <w:numPr>
          <w:ilvl w:val="1"/>
          <w:numId w:val="19"/>
        </w:numPr>
      </w:pPr>
      <w:bookmarkStart w:id="7" w:name="_Toc402262928"/>
      <w:r w:rsidRPr="00205A29">
        <w:t>Podaci o imovinsko-pravnim odnosima</w:t>
      </w:r>
      <w:bookmarkEnd w:id="7"/>
    </w:p>
    <w:p w14:paraId="14F80A32" w14:textId="77777777" w:rsidR="00DF6748" w:rsidRPr="00205A29" w:rsidRDefault="00DF6748" w:rsidP="005E683D">
      <w:pPr>
        <w:spacing w:after="0" w:line="240" w:lineRule="auto"/>
        <w:jc w:val="both"/>
        <w:rPr>
          <w:rFonts w:ascii="Arial" w:eastAsia="Times New Roman" w:hAnsi="Arial" w:cs="Arial"/>
        </w:rPr>
      </w:pPr>
    </w:p>
    <w:p w14:paraId="15002D84" w14:textId="3DCDFFC2" w:rsidR="00F659D0" w:rsidRDefault="00F659D0" w:rsidP="005E683D">
      <w:pPr>
        <w:spacing w:after="0" w:line="240" w:lineRule="auto"/>
        <w:jc w:val="both"/>
        <w:rPr>
          <w:rFonts w:ascii="Arial" w:hAnsi="Arial" w:cs="Arial"/>
          <w:noProof/>
          <w:lang w:val="sr-Latn-ME"/>
        </w:rPr>
      </w:pPr>
      <w:bookmarkStart w:id="8" w:name="_Toc402262929"/>
      <w:r w:rsidRPr="00385AA9">
        <w:rPr>
          <w:rFonts w:ascii="Arial" w:hAnsi="Arial" w:cs="Arial"/>
          <w:noProof/>
          <w:lang w:val="sr-Latn-ME"/>
        </w:rPr>
        <w:t xml:space="preserve">U aktu Uprave za katastar i državnu imovinu – Područna jedinica Danilovgrad (broj:120/917/21-227, </w:t>
      </w:r>
      <w:r>
        <w:rPr>
          <w:rFonts w:ascii="Arial" w:hAnsi="Arial" w:cs="Arial"/>
          <w:noProof/>
          <w:lang w:val="sr-Latn-ME"/>
        </w:rPr>
        <w:t>od  30.03.2021</w:t>
      </w:r>
      <w:r w:rsidRPr="00385AA9">
        <w:rPr>
          <w:rFonts w:ascii="Arial" w:hAnsi="Arial" w:cs="Arial"/>
          <w:noProof/>
          <w:lang w:val="sr-Latn-ME"/>
        </w:rPr>
        <w:t>), navedeno je, da zemljište na kojem se nalazi lokalitet arhitektonsko-građevinskog kamena „Klikovača“, pripada KO Novo Selo</w:t>
      </w:r>
      <w:r>
        <w:rPr>
          <w:rFonts w:ascii="Arial" w:hAnsi="Arial" w:cs="Arial"/>
          <w:noProof/>
          <w:lang w:val="sr-Latn-ME"/>
        </w:rPr>
        <w:t xml:space="preserve"> a</w:t>
      </w:r>
      <w:r w:rsidRPr="00385AA9">
        <w:rPr>
          <w:rFonts w:ascii="Arial" w:hAnsi="Arial" w:cs="Arial"/>
          <w:noProof/>
          <w:lang w:val="sr-Latn-ME"/>
        </w:rPr>
        <w:t xml:space="preserve"> katastarske parcele </w:t>
      </w:r>
      <w:r w:rsidR="0091522A" w:rsidRPr="004A47AE">
        <w:rPr>
          <w:rFonts w:ascii="Arial" w:hAnsi="Arial" w:cs="Arial"/>
          <w:lang w:val="sr-Latn-CS"/>
        </w:rPr>
        <w:t>br. 1900/5, 19</w:t>
      </w:r>
      <w:r w:rsidR="0091522A">
        <w:rPr>
          <w:rFonts w:ascii="Arial" w:hAnsi="Arial" w:cs="Arial"/>
          <w:lang w:val="sr-Latn-CS"/>
        </w:rPr>
        <w:t>00</w:t>
      </w:r>
      <w:r w:rsidR="0091522A" w:rsidRPr="004A47AE">
        <w:rPr>
          <w:rFonts w:ascii="Arial" w:hAnsi="Arial" w:cs="Arial"/>
          <w:lang w:val="sr-Latn-CS"/>
        </w:rPr>
        <w:t>/6, 1900/7 i djel</w:t>
      </w:r>
      <w:r w:rsidR="0091522A">
        <w:rPr>
          <w:rFonts w:ascii="Arial" w:hAnsi="Arial" w:cs="Arial"/>
          <w:lang w:val="sr-Latn-CS"/>
        </w:rPr>
        <w:t>ovi kat.parcela 1900/1, 1925/1, 1</w:t>
      </w:r>
      <w:r w:rsidR="0091522A" w:rsidRPr="004A47AE">
        <w:rPr>
          <w:rFonts w:ascii="Arial" w:hAnsi="Arial" w:cs="Arial"/>
          <w:lang w:val="sr-Latn-CS"/>
        </w:rPr>
        <w:t>925/7 i 1925/8</w:t>
      </w:r>
      <w:r w:rsidR="004A47AE" w:rsidRPr="004A47AE">
        <w:rPr>
          <w:rFonts w:ascii="Arial" w:hAnsi="Arial" w:cs="Arial"/>
          <w:lang w:val="sr-Latn-CS"/>
        </w:rPr>
        <w:t xml:space="preserve">, </w:t>
      </w:r>
      <w:r>
        <w:rPr>
          <w:rFonts w:ascii="Arial" w:hAnsi="Arial" w:cs="Arial"/>
          <w:noProof/>
          <w:lang w:val="sr-Latn-ME"/>
        </w:rPr>
        <w:t>koje se nalaze u zahvatu ovog prostora su u</w:t>
      </w:r>
      <w:r w:rsidRPr="00385AA9">
        <w:rPr>
          <w:rFonts w:ascii="Arial" w:hAnsi="Arial" w:cs="Arial"/>
          <w:noProof/>
          <w:lang w:val="sr-Latn-ME"/>
        </w:rPr>
        <w:t xml:space="preserve"> vlasništvu </w:t>
      </w:r>
      <w:r>
        <w:rPr>
          <w:rFonts w:ascii="Arial" w:hAnsi="Arial" w:cs="Arial"/>
          <w:noProof/>
          <w:lang w:val="sr-Latn-ME"/>
        </w:rPr>
        <w:t>države Crne Gore</w:t>
      </w:r>
      <w:r w:rsidRPr="00385AA9">
        <w:rPr>
          <w:rFonts w:ascii="Arial" w:hAnsi="Arial" w:cs="Arial"/>
          <w:noProof/>
          <w:lang w:val="sr-Latn-ME"/>
        </w:rPr>
        <w:t xml:space="preserve"> </w:t>
      </w:r>
      <w:r>
        <w:rPr>
          <w:rFonts w:ascii="Arial" w:hAnsi="Arial" w:cs="Arial"/>
          <w:noProof/>
          <w:lang w:val="sr-Latn-ME"/>
        </w:rPr>
        <w:t>(list</w:t>
      </w:r>
      <w:r w:rsidRPr="00385AA9">
        <w:rPr>
          <w:rFonts w:ascii="Arial" w:hAnsi="Arial" w:cs="Arial"/>
          <w:noProof/>
          <w:lang w:val="sr-Latn-ME"/>
        </w:rPr>
        <w:t xml:space="preserve"> nepokretnosti broj 345</w:t>
      </w:r>
      <w:r>
        <w:rPr>
          <w:rFonts w:ascii="Arial" w:hAnsi="Arial" w:cs="Arial"/>
          <w:noProof/>
          <w:lang w:val="sr-Latn-ME"/>
        </w:rPr>
        <w:t>).</w:t>
      </w:r>
    </w:p>
    <w:p w14:paraId="29862623" w14:textId="77777777" w:rsidR="00FA5695" w:rsidRDefault="00FA5695" w:rsidP="005E683D">
      <w:pPr>
        <w:spacing w:after="0" w:line="240" w:lineRule="auto"/>
        <w:jc w:val="both"/>
        <w:rPr>
          <w:rFonts w:ascii="Arial" w:hAnsi="Arial" w:cs="Arial"/>
          <w:noProof/>
          <w:lang w:val="sr-Latn-ME"/>
        </w:rPr>
      </w:pPr>
    </w:p>
    <w:p w14:paraId="79897623" w14:textId="74DF22CA" w:rsidR="00FA5695" w:rsidRPr="00FA6860" w:rsidRDefault="00FA5695" w:rsidP="005E683D">
      <w:pPr>
        <w:shd w:val="clear" w:color="auto" w:fill="FFFFFF"/>
        <w:spacing w:after="0" w:line="240" w:lineRule="auto"/>
        <w:jc w:val="both"/>
        <w:rPr>
          <w:rFonts w:ascii="Arial" w:eastAsia="Times New Roman" w:hAnsi="Arial" w:cs="Arial"/>
          <w:lang w:val="pl-PL"/>
        </w:rPr>
      </w:pPr>
      <w:r w:rsidRPr="00FA6860">
        <w:rPr>
          <w:rFonts w:ascii="Arial" w:eastAsia="Times New Roman" w:hAnsi="Arial" w:cs="Arial"/>
          <w:lang w:val="pl-PL"/>
        </w:rPr>
        <w:t>Članom 45 Zakona o koncesijama na nepokretnosti koj</w:t>
      </w:r>
      <w:r>
        <w:rPr>
          <w:rFonts w:ascii="Arial" w:eastAsia="Times New Roman" w:hAnsi="Arial" w:cs="Arial"/>
          <w:lang w:val="pl-PL"/>
        </w:rPr>
        <w:t>e su</w:t>
      </w:r>
      <w:r w:rsidRPr="00FA6860">
        <w:rPr>
          <w:rFonts w:ascii="Arial" w:eastAsia="Times New Roman" w:hAnsi="Arial" w:cs="Arial"/>
          <w:lang w:val="pl-PL"/>
        </w:rPr>
        <w:t xml:space="preserve"> predmet koncesije upisuje se zabilježba tereta na osnovu zaključenog ugovora o koncesiji, u skladu sa zakonom kojim je uređen upis prava na nepokretnostima.</w:t>
      </w:r>
    </w:p>
    <w:p w14:paraId="7ABEA071" w14:textId="77777777" w:rsidR="0019275F" w:rsidRPr="00321064" w:rsidRDefault="0019275F" w:rsidP="005E683D">
      <w:pPr>
        <w:shd w:val="clear" w:color="auto" w:fill="FFFFFF"/>
        <w:spacing w:after="0" w:line="240" w:lineRule="auto"/>
        <w:jc w:val="both"/>
        <w:rPr>
          <w:rFonts w:ascii="Arial" w:hAnsi="Arial" w:cs="Arial"/>
        </w:rPr>
      </w:pPr>
    </w:p>
    <w:p w14:paraId="79F5A535" w14:textId="77777777" w:rsidR="00744584" w:rsidRPr="00205A29" w:rsidRDefault="00823143" w:rsidP="005E683D">
      <w:pPr>
        <w:pStyle w:val="Heading2"/>
        <w:numPr>
          <w:ilvl w:val="1"/>
          <w:numId w:val="19"/>
        </w:numPr>
      </w:pPr>
      <w:r w:rsidRPr="00205A29">
        <w:t xml:space="preserve">Podaci iz prostorno–urbanističke </w:t>
      </w:r>
      <w:r w:rsidR="00744584" w:rsidRPr="00205A29">
        <w:t>dokumentacije</w:t>
      </w:r>
      <w:bookmarkEnd w:id="8"/>
    </w:p>
    <w:p w14:paraId="5FCFECA5" w14:textId="77777777" w:rsidR="00885CFC" w:rsidRPr="00205A29" w:rsidRDefault="00885CFC" w:rsidP="005E683D">
      <w:pPr>
        <w:shd w:val="clear" w:color="auto" w:fill="FFFFFF"/>
        <w:spacing w:after="0" w:line="240" w:lineRule="auto"/>
        <w:jc w:val="both"/>
        <w:rPr>
          <w:rFonts w:ascii="Arial" w:hAnsi="Arial" w:cs="Arial"/>
          <w:lang w:val="sr-Latn-CS"/>
        </w:rPr>
      </w:pPr>
    </w:p>
    <w:p w14:paraId="09A02BD8" w14:textId="050C3072" w:rsidR="00F659D0" w:rsidRPr="000F34A9" w:rsidRDefault="00F659D0" w:rsidP="005E683D">
      <w:pPr>
        <w:pStyle w:val="ListParagraph"/>
        <w:spacing w:after="0" w:line="240" w:lineRule="auto"/>
        <w:ind w:left="0"/>
        <w:jc w:val="both"/>
        <w:rPr>
          <w:rFonts w:ascii="Arial" w:hAnsi="Arial" w:cs="Arial"/>
          <w:lang w:val="sr-Latn-ME"/>
        </w:rPr>
      </w:pPr>
      <w:bookmarkStart w:id="9" w:name="_Toc402262930"/>
      <w:r w:rsidRPr="00F659D0">
        <w:rPr>
          <w:rFonts w:ascii="Arial" w:hAnsi="Arial" w:cs="Arial"/>
        </w:rPr>
        <w:t xml:space="preserve">Na </w:t>
      </w:r>
      <w:proofErr w:type="spellStart"/>
      <w:r w:rsidRPr="00F659D0">
        <w:rPr>
          <w:rFonts w:ascii="Arial" w:hAnsi="Arial" w:cs="Arial"/>
        </w:rPr>
        <w:t>osnovu</w:t>
      </w:r>
      <w:proofErr w:type="spellEnd"/>
      <w:r w:rsidRPr="00F659D0">
        <w:rPr>
          <w:rFonts w:ascii="Arial" w:hAnsi="Arial" w:cs="Arial"/>
        </w:rPr>
        <w:t xml:space="preserve"> </w:t>
      </w:r>
      <w:proofErr w:type="spellStart"/>
      <w:r w:rsidRPr="00F659D0">
        <w:rPr>
          <w:rFonts w:ascii="Arial" w:hAnsi="Arial" w:cs="Arial"/>
        </w:rPr>
        <w:t>dopisa</w:t>
      </w:r>
      <w:proofErr w:type="spellEnd"/>
      <w:r w:rsidRPr="00F659D0">
        <w:rPr>
          <w:rFonts w:ascii="Arial" w:hAnsi="Arial" w:cs="Arial"/>
        </w:rPr>
        <w:t xml:space="preserve"> </w:t>
      </w:r>
      <w:proofErr w:type="spellStart"/>
      <w:r w:rsidRPr="00F659D0">
        <w:rPr>
          <w:rFonts w:ascii="Arial" w:hAnsi="Arial" w:cs="Arial"/>
        </w:rPr>
        <w:t>Sekretarijata</w:t>
      </w:r>
      <w:proofErr w:type="spellEnd"/>
      <w:r w:rsidRPr="00F659D0">
        <w:rPr>
          <w:rFonts w:ascii="Arial" w:hAnsi="Arial" w:cs="Arial"/>
        </w:rPr>
        <w:t xml:space="preserve"> za </w:t>
      </w:r>
      <w:proofErr w:type="spellStart"/>
      <w:r w:rsidRPr="00F659D0">
        <w:rPr>
          <w:rFonts w:ascii="Arial" w:hAnsi="Arial" w:cs="Arial"/>
        </w:rPr>
        <w:t>planiranje</w:t>
      </w:r>
      <w:proofErr w:type="spellEnd"/>
      <w:r w:rsidRPr="00F659D0">
        <w:rPr>
          <w:rFonts w:ascii="Arial" w:hAnsi="Arial" w:cs="Arial"/>
        </w:rPr>
        <w:t xml:space="preserve"> </w:t>
      </w:r>
      <w:proofErr w:type="spellStart"/>
      <w:r w:rsidRPr="00F659D0">
        <w:rPr>
          <w:rFonts w:ascii="Arial" w:hAnsi="Arial" w:cs="Arial"/>
        </w:rPr>
        <w:t>i</w:t>
      </w:r>
      <w:proofErr w:type="spellEnd"/>
      <w:r w:rsidRPr="00F659D0">
        <w:rPr>
          <w:rFonts w:ascii="Arial" w:hAnsi="Arial" w:cs="Arial"/>
        </w:rPr>
        <w:t xml:space="preserve"> </w:t>
      </w:r>
      <w:proofErr w:type="spellStart"/>
      <w:r w:rsidRPr="00F659D0">
        <w:rPr>
          <w:rFonts w:ascii="Arial" w:hAnsi="Arial" w:cs="Arial"/>
        </w:rPr>
        <w:t>uređenje</w:t>
      </w:r>
      <w:proofErr w:type="spellEnd"/>
      <w:r w:rsidRPr="00F659D0">
        <w:rPr>
          <w:rFonts w:ascii="Arial" w:hAnsi="Arial" w:cs="Arial"/>
        </w:rPr>
        <w:t xml:space="preserve"> </w:t>
      </w:r>
      <w:proofErr w:type="spellStart"/>
      <w:r w:rsidRPr="00F659D0">
        <w:rPr>
          <w:rFonts w:ascii="Arial" w:hAnsi="Arial" w:cs="Arial"/>
        </w:rPr>
        <w:t>prostora</w:t>
      </w:r>
      <w:proofErr w:type="spellEnd"/>
      <w:r w:rsidRPr="00F659D0">
        <w:rPr>
          <w:rFonts w:ascii="Arial" w:hAnsi="Arial" w:cs="Arial"/>
        </w:rPr>
        <w:t xml:space="preserve"> </w:t>
      </w:r>
      <w:proofErr w:type="spellStart"/>
      <w:r w:rsidRPr="00F659D0">
        <w:rPr>
          <w:rFonts w:ascii="Arial" w:hAnsi="Arial" w:cs="Arial"/>
        </w:rPr>
        <w:t>i</w:t>
      </w:r>
      <w:proofErr w:type="spellEnd"/>
      <w:r w:rsidRPr="00F659D0">
        <w:rPr>
          <w:rFonts w:ascii="Arial" w:hAnsi="Arial" w:cs="Arial"/>
        </w:rPr>
        <w:t xml:space="preserve"> </w:t>
      </w:r>
      <w:proofErr w:type="spellStart"/>
      <w:r w:rsidRPr="00F659D0">
        <w:rPr>
          <w:rFonts w:ascii="Arial" w:hAnsi="Arial" w:cs="Arial"/>
        </w:rPr>
        <w:t>zaštitu</w:t>
      </w:r>
      <w:proofErr w:type="spellEnd"/>
      <w:r w:rsidRPr="00F659D0">
        <w:rPr>
          <w:rFonts w:ascii="Arial" w:hAnsi="Arial" w:cs="Arial"/>
        </w:rPr>
        <w:t xml:space="preserve"> </w:t>
      </w:r>
      <w:proofErr w:type="spellStart"/>
      <w:r w:rsidRPr="00F659D0">
        <w:rPr>
          <w:rFonts w:ascii="Arial" w:hAnsi="Arial" w:cs="Arial"/>
        </w:rPr>
        <w:t>životne</w:t>
      </w:r>
      <w:proofErr w:type="spellEnd"/>
      <w:r w:rsidRPr="00F659D0">
        <w:rPr>
          <w:rFonts w:ascii="Arial" w:hAnsi="Arial" w:cs="Arial"/>
        </w:rPr>
        <w:t xml:space="preserve"> </w:t>
      </w:r>
      <w:proofErr w:type="spellStart"/>
      <w:r w:rsidRPr="00F659D0">
        <w:rPr>
          <w:rFonts w:ascii="Arial" w:hAnsi="Arial" w:cs="Arial"/>
        </w:rPr>
        <w:t>sredine</w:t>
      </w:r>
      <w:proofErr w:type="spellEnd"/>
      <w:r w:rsidRPr="00F659D0">
        <w:rPr>
          <w:rFonts w:ascii="Arial" w:hAnsi="Arial" w:cs="Arial"/>
        </w:rPr>
        <w:t xml:space="preserve">, </w:t>
      </w:r>
      <w:proofErr w:type="spellStart"/>
      <w:r w:rsidRPr="00F659D0">
        <w:rPr>
          <w:rFonts w:ascii="Arial" w:hAnsi="Arial" w:cs="Arial"/>
        </w:rPr>
        <w:t>Područna</w:t>
      </w:r>
      <w:proofErr w:type="spellEnd"/>
      <w:r w:rsidRPr="00F659D0">
        <w:rPr>
          <w:rFonts w:ascii="Arial" w:hAnsi="Arial" w:cs="Arial"/>
        </w:rPr>
        <w:t xml:space="preserve"> </w:t>
      </w:r>
      <w:proofErr w:type="spellStart"/>
      <w:r w:rsidRPr="00F659D0">
        <w:rPr>
          <w:rFonts w:ascii="Arial" w:hAnsi="Arial" w:cs="Arial"/>
        </w:rPr>
        <w:t>jedinica</w:t>
      </w:r>
      <w:proofErr w:type="spellEnd"/>
      <w:r w:rsidRPr="00F659D0">
        <w:rPr>
          <w:rFonts w:ascii="Arial" w:hAnsi="Arial" w:cs="Arial"/>
        </w:rPr>
        <w:t xml:space="preserve"> </w:t>
      </w:r>
      <w:proofErr w:type="spellStart"/>
      <w:r w:rsidRPr="00F659D0">
        <w:rPr>
          <w:rFonts w:ascii="Arial" w:hAnsi="Arial" w:cs="Arial"/>
        </w:rPr>
        <w:t>Danilograd</w:t>
      </w:r>
      <w:proofErr w:type="spellEnd"/>
      <w:r w:rsidRPr="00F659D0">
        <w:rPr>
          <w:rFonts w:ascii="Arial" w:hAnsi="Arial" w:cs="Arial"/>
        </w:rPr>
        <w:t xml:space="preserve">, </w:t>
      </w:r>
      <w:proofErr w:type="spellStart"/>
      <w:r w:rsidRPr="00F659D0">
        <w:rPr>
          <w:rFonts w:ascii="Arial" w:hAnsi="Arial" w:cs="Arial"/>
        </w:rPr>
        <w:t>broj</w:t>
      </w:r>
      <w:proofErr w:type="spellEnd"/>
      <w:r w:rsidRPr="00F659D0">
        <w:rPr>
          <w:rFonts w:ascii="Arial" w:hAnsi="Arial" w:cs="Arial"/>
        </w:rPr>
        <w:t xml:space="preserve"> 06-332/21-269/2 od 30.03.2021.godine, </w:t>
      </w:r>
      <w:proofErr w:type="spellStart"/>
      <w:r w:rsidRPr="00F659D0">
        <w:rPr>
          <w:rFonts w:ascii="Arial" w:hAnsi="Arial" w:cs="Arial"/>
        </w:rPr>
        <w:t>predmetni</w:t>
      </w:r>
      <w:proofErr w:type="spellEnd"/>
      <w:r w:rsidRPr="00F659D0">
        <w:rPr>
          <w:rFonts w:ascii="Arial" w:hAnsi="Arial" w:cs="Arial"/>
        </w:rPr>
        <w:t xml:space="preserve"> </w:t>
      </w:r>
      <w:proofErr w:type="spellStart"/>
      <w:r w:rsidRPr="00F659D0">
        <w:rPr>
          <w:rFonts w:ascii="Arial" w:hAnsi="Arial" w:cs="Arial"/>
        </w:rPr>
        <w:t>lokalitet</w:t>
      </w:r>
      <w:proofErr w:type="spellEnd"/>
      <w:r w:rsidRPr="00F659D0">
        <w:rPr>
          <w:rFonts w:ascii="Arial" w:hAnsi="Arial" w:cs="Arial"/>
        </w:rPr>
        <w:t xml:space="preserve"> “</w:t>
      </w:r>
      <w:proofErr w:type="spellStart"/>
      <w:r w:rsidRPr="00F659D0">
        <w:rPr>
          <w:rFonts w:ascii="Arial" w:hAnsi="Arial" w:cs="Arial"/>
        </w:rPr>
        <w:t>Klikovače</w:t>
      </w:r>
      <w:proofErr w:type="spellEnd"/>
      <w:r w:rsidRPr="00F659D0">
        <w:rPr>
          <w:rFonts w:ascii="Arial" w:hAnsi="Arial" w:cs="Arial"/>
        </w:rPr>
        <w:t xml:space="preserve">”, </w:t>
      </w:r>
      <w:proofErr w:type="spellStart"/>
      <w:r w:rsidRPr="00F659D0">
        <w:rPr>
          <w:rFonts w:ascii="Arial" w:hAnsi="Arial" w:cs="Arial"/>
        </w:rPr>
        <w:t>pripada</w:t>
      </w:r>
      <w:proofErr w:type="spellEnd"/>
      <w:r w:rsidRPr="00F659D0">
        <w:rPr>
          <w:rFonts w:ascii="Arial" w:hAnsi="Arial" w:cs="Arial"/>
        </w:rPr>
        <w:t xml:space="preserve"> KO Novo </w:t>
      </w:r>
      <w:proofErr w:type="spellStart"/>
      <w:r w:rsidRPr="00F659D0">
        <w:rPr>
          <w:rFonts w:ascii="Arial" w:hAnsi="Arial" w:cs="Arial"/>
        </w:rPr>
        <w:t>Selo</w:t>
      </w:r>
      <w:proofErr w:type="spellEnd"/>
      <w:r w:rsidRPr="00F659D0">
        <w:rPr>
          <w:rFonts w:ascii="Arial" w:hAnsi="Arial" w:cs="Arial"/>
        </w:rPr>
        <w:t xml:space="preserve"> </w:t>
      </w:r>
      <w:proofErr w:type="spellStart"/>
      <w:r w:rsidRPr="00F659D0">
        <w:rPr>
          <w:rFonts w:ascii="Arial" w:hAnsi="Arial" w:cs="Arial"/>
        </w:rPr>
        <w:t>i</w:t>
      </w:r>
      <w:proofErr w:type="spellEnd"/>
      <w:r w:rsidRPr="00F659D0">
        <w:rPr>
          <w:rFonts w:ascii="Arial" w:hAnsi="Arial" w:cs="Arial"/>
        </w:rPr>
        <w:t xml:space="preserve"> </w:t>
      </w:r>
      <w:proofErr w:type="spellStart"/>
      <w:r w:rsidRPr="00F659D0">
        <w:rPr>
          <w:rFonts w:ascii="Arial" w:hAnsi="Arial" w:cs="Arial"/>
        </w:rPr>
        <w:t>manjim</w:t>
      </w:r>
      <w:proofErr w:type="spellEnd"/>
      <w:r w:rsidRPr="00F659D0">
        <w:rPr>
          <w:rFonts w:ascii="Arial" w:hAnsi="Arial" w:cs="Arial"/>
        </w:rPr>
        <w:t xml:space="preserve"> </w:t>
      </w:r>
      <w:proofErr w:type="spellStart"/>
      <w:r w:rsidRPr="00F659D0">
        <w:rPr>
          <w:rFonts w:ascii="Arial" w:hAnsi="Arial" w:cs="Arial"/>
        </w:rPr>
        <w:t>dijelom</w:t>
      </w:r>
      <w:proofErr w:type="spellEnd"/>
      <w:r w:rsidRPr="00F659D0">
        <w:rPr>
          <w:rFonts w:ascii="Arial" w:hAnsi="Arial" w:cs="Arial"/>
        </w:rPr>
        <w:t xml:space="preserve"> KO </w:t>
      </w:r>
      <w:proofErr w:type="spellStart"/>
      <w:r w:rsidRPr="00F659D0">
        <w:rPr>
          <w:rFonts w:ascii="Arial" w:hAnsi="Arial" w:cs="Arial"/>
        </w:rPr>
        <w:t>Grbe</w:t>
      </w:r>
      <w:proofErr w:type="spellEnd"/>
      <w:r w:rsidRPr="00F659D0">
        <w:rPr>
          <w:rFonts w:ascii="Arial" w:hAnsi="Arial" w:cs="Arial"/>
        </w:rPr>
        <w:t xml:space="preserve">, po PUP </w:t>
      </w:r>
      <w:proofErr w:type="spellStart"/>
      <w:r w:rsidRPr="00F659D0">
        <w:rPr>
          <w:rFonts w:ascii="Arial" w:hAnsi="Arial" w:cs="Arial"/>
        </w:rPr>
        <w:t>opštine</w:t>
      </w:r>
      <w:proofErr w:type="spellEnd"/>
      <w:r w:rsidRPr="00F659D0">
        <w:rPr>
          <w:rFonts w:ascii="Arial" w:hAnsi="Arial" w:cs="Arial"/>
        </w:rPr>
        <w:t xml:space="preserve"> </w:t>
      </w:r>
      <w:proofErr w:type="spellStart"/>
      <w:r w:rsidRPr="00F659D0">
        <w:rPr>
          <w:rFonts w:ascii="Arial" w:hAnsi="Arial" w:cs="Arial"/>
        </w:rPr>
        <w:t>Danilovgrad</w:t>
      </w:r>
      <w:proofErr w:type="spellEnd"/>
      <w:r w:rsidRPr="00F659D0">
        <w:rPr>
          <w:rFonts w:ascii="Arial" w:hAnsi="Arial" w:cs="Arial"/>
        </w:rPr>
        <w:t xml:space="preserve"> </w:t>
      </w:r>
      <w:proofErr w:type="spellStart"/>
      <w:r w:rsidRPr="00F659D0">
        <w:rPr>
          <w:rFonts w:ascii="Arial" w:hAnsi="Arial" w:cs="Arial"/>
        </w:rPr>
        <w:t>pripada</w:t>
      </w:r>
      <w:proofErr w:type="spellEnd"/>
      <w:r w:rsidRPr="00F659D0">
        <w:rPr>
          <w:rFonts w:ascii="Arial" w:hAnsi="Arial" w:cs="Arial"/>
        </w:rPr>
        <w:t xml:space="preserve"> </w:t>
      </w:r>
      <w:proofErr w:type="spellStart"/>
      <w:r w:rsidRPr="00F659D0">
        <w:rPr>
          <w:rFonts w:ascii="Arial" w:hAnsi="Arial" w:cs="Arial"/>
        </w:rPr>
        <w:t>prostorno</w:t>
      </w:r>
      <w:proofErr w:type="spellEnd"/>
      <w:r w:rsidRPr="00F659D0">
        <w:rPr>
          <w:rFonts w:ascii="Arial" w:hAnsi="Arial" w:cs="Arial"/>
        </w:rPr>
        <w:t xml:space="preserve"> </w:t>
      </w:r>
      <w:proofErr w:type="spellStart"/>
      <w:r w:rsidRPr="00F659D0">
        <w:rPr>
          <w:rFonts w:ascii="Arial" w:hAnsi="Arial" w:cs="Arial"/>
        </w:rPr>
        <w:t>funkcionalnoj</w:t>
      </w:r>
      <w:proofErr w:type="spellEnd"/>
      <w:r w:rsidRPr="00F659D0">
        <w:rPr>
          <w:rFonts w:ascii="Arial" w:hAnsi="Arial" w:cs="Arial"/>
        </w:rPr>
        <w:t xml:space="preserve"> </w:t>
      </w:r>
      <w:proofErr w:type="spellStart"/>
      <w:r w:rsidRPr="00F659D0">
        <w:rPr>
          <w:rFonts w:ascii="Arial" w:hAnsi="Arial" w:cs="Arial"/>
        </w:rPr>
        <w:t>zoni-rubni</w:t>
      </w:r>
      <w:proofErr w:type="spellEnd"/>
      <w:r w:rsidRPr="00F659D0">
        <w:rPr>
          <w:rFonts w:ascii="Arial" w:hAnsi="Arial" w:cs="Arial"/>
        </w:rPr>
        <w:t xml:space="preserve"> </w:t>
      </w:r>
      <w:proofErr w:type="spellStart"/>
      <w:r w:rsidRPr="00F659D0">
        <w:rPr>
          <w:rFonts w:ascii="Arial" w:hAnsi="Arial" w:cs="Arial"/>
        </w:rPr>
        <w:t>dijelovi</w:t>
      </w:r>
      <w:proofErr w:type="spellEnd"/>
      <w:r w:rsidRPr="00F659D0">
        <w:rPr>
          <w:rFonts w:ascii="Arial" w:hAnsi="Arial" w:cs="Arial"/>
        </w:rPr>
        <w:t xml:space="preserve"> </w:t>
      </w:r>
      <w:proofErr w:type="spellStart"/>
      <w:r w:rsidRPr="00F659D0">
        <w:rPr>
          <w:rFonts w:ascii="Arial" w:hAnsi="Arial" w:cs="Arial"/>
        </w:rPr>
        <w:t>Bjelopavlićke</w:t>
      </w:r>
      <w:proofErr w:type="spellEnd"/>
      <w:r w:rsidRPr="00F659D0">
        <w:rPr>
          <w:rFonts w:ascii="Arial" w:hAnsi="Arial" w:cs="Arial"/>
        </w:rPr>
        <w:t xml:space="preserve"> </w:t>
      </w:r>
      <w:proofErr w:type="spellStart"/>
      <w:r w:rsidRPr="00F659D0">
        <w:rPr>
          <w:rFonts w:ascii="Arial" w:hAnsi="Arial" w:cs="Arial"/>
        </w:rPr>
        <w:t>ravnice</w:t>
      </w:r>
      <w:proofErr w:type="spellEnd"/>
      <w:r w:rsidRPr="00F659D0">
        <w:rPr>
          <w:rFonts w:ascii="Arial" w:hAnsi="Arial" w:cs="Arial"/>
        </w:rPr>
        <w:t xml:space="preserve">. </w:t>
      </w:r>
      <w:proofErr w:type="spellStart"/>
      <w:r w:rsidRPr="00F659D0">
        <w:rPr>
          <w:rFonts w:ascii="Arial" w:hAnsi="Arial" w:cs="Arial"/>
        </w:rPr>
        <w:t>Predmetno</w:t>
      </w:r>
      <w:proofErr w:type="spellEnd"/>
      <w:r w:rsidRPr="00F659D0">
        <w:rPr>
          <w:rFonts w:ascii="Arial" w:hAnsi="Arial" w:cs="Arial"/>
        </w:rPr>
        <w:t xml:space="preserve"> </w:t>
      </w:r>
      <w:proofErr w:type="spellStart"/>
      <w:r w:rsidRPr="00F659D0">
        <w:rPr>
          <w:rFonts w:ascii="Arial" w:hAnsi="Arial" w:cs="Arial"/>
        </w:rPr>
        <w:t>ležište</w:t>
      </w:r>
      <w:proofErr w:type="spellEnd"/>
      <w:r w:rsidRPr="00F659D0">
        <w:rPr>
          <w:rFonts w:ascii="Arial" w:hAnsi="Arial" w:cs="Arial"/>
        </w:rPr>
        <w:t xml:space="preserve"> </w:t>
      </w:r>
      <w:proofErr w:type="spellStart"/>
      <w:r w:rsidRPr="00F659D0">
        <w:rPr>
          <w:rFonts w:ascii="Arial" w:hAnsi="Arial" w:cs="Arial"/>
        </w:rPr>
        <w:t>pripada</w:t>
      </w:r>
      <w:proofErr w:type="spellEnd"/>
      <w:r w:rsidRPr="00F659D0">
        <w:rPr>
          <w:rFonts w:ascii="Arial" w:hAnsi="Arial" w:cs="Arial"/>
        </w:rPr>
        <w:t xml:space="preserve"> </w:t>
      </w:r>
      <w:proofErr w:type="spellStart"/>
      <w:r w:rsidRPr="00F659D0">
        <w:rPr>
          <w:rFonts w:ascii="Arial" w:hAnsi="Arial" w:cs="Arial"/>
        </w:rPr>
        <w:t>šumskim</w:t>
      </w:r>
      <w:proofErr w:type="spellEnd"/>
      <w:r w:rsidRPr="00F659D0">
        <w:rPr>
          <w:rFonts w:ascii="Arial" w:hAnsi="Arial" w:cs="Arial"/>
        </w:rPr>
        <w:t xml:space="preserve"> </w:t>
      </w:r>
      <w:proofErr w:type="spellStart"/>
      <w:r w:rsidRPr="00F659D0">
        <w:rPr>
          <w:rFonts w:ascii="Arial" w:hAnsi="Arial" w:cs="Arial"/>
        </w:rPr>
        <w:t>površinama</w:t>
      </w:r>
      <w:proofErr w:type="spellEnd"/>
      <w:r w:rsidRPr="00F659D0">
        <w:rPr>
          <w:rFonts w:ascii="Arial" w:hAnsi="Arial" w:cs="Arial"/>
        </w:rPr>
        <w:t xml:space="preserve">, </w:t>
      </w:r>
      <w:proofErr w:type="spellStart"/>
      <w:r w:rsidRPr="00F659D0">
        <w:rPr>
          <w:rFonts w:ascii="Arial" w:hAnsi="Arial" w:cs="Arial"/>
        </w:rPr>
        <w:t>čija</w:t>
      </w:r>
      <w:proofErr w:type="spellEnd"/>
      <w:r w:rsidRPr="00F659D0">
        <w:rPr>
          <w:rFonts w:ascii="Arial" w:hAnsi="Arial" w:cs="Arial"/>
        </w:rPr>
        <w:t xml:space="preserve"> je </w:t>
      </w:r>
      <w:proofErr w:type="spellStart"/>
      <w:r w:rsidRPr="00F659D0">
        <w:rPr>
          <w:rFonts w:ascii="Arial" w:hAnsi="Arial" w:cs="Arial"/>
        </w:rPr>
        <w:t>opšta</w:t>
      </w:r>
      <w:proofErr w:type="spellEnd"/>
      <w:r w:rsidRPr="00F659D0">
        <w:rPr>
          <w:rFonts w:ascii="Arial" w:hAnsi="Arial" w:cs="Arial"/>
        </w:rPr>
        <w:t xml:space="preserve"> </w:t>
      </w:r>
      <w:proofErr w:type="spellStart"/>
      <w:r w:rsidRPr="00F659D0">
        <w:rPr>
          <w:rFonts w:ascii="Arial" w:hAnsi="Arial" w:cs="Arial"/>
        </w:rPr>
        <w:t>namjena</w:t>
      </w:r>
      <w:proofErr w:type="spellEnd"/>
      <w:r w:rsidRPr="00F659D0">
        <w:rPr>
          <w:rFonts w:ascii="Arial" w:hAnsi="Arial" w:cs="Arial"/>
        </w:rPr>
        <w:t xml:space="preserve">- </w:t>
      </w:r>
      <w:proofErr w:type="spellStart"/>
      <w:r w:rsidRPr="00F659D0">
        <w:rPr>
          <w:rFonts w:ascii="Arial" w:hAnsi="Arial" w:cs="Arial"/>
          <w:b/>
        </w:rPr>
        <w:t>privredne</w:t>
      </w:r>
      <w:proofErr w:type="spellEnd"/>
      <w:r w:rsidRPr="00F659D0">
        <w:rPr>
          <w:rFonts w:ascii="Arial" w:hAnsi="Arial" w:cs="Arial"/>
          <w:b/>
        </w:rPr>
        <w:t xml:space="preserve"> </w:t>
      </w:r>
      <w:proofErr w:type="spellStart"/>
      <w:r w:rsidRPr="00F659D0">
        <w:rPr>
          <w:rFonts w:ascii="Arial" w:hAnsi="Arial" w:cs="Arial"/>
          <w:b/>
        </w:rPr>
        <w:t>šume</w:t>
      </w:r>
      <w:proofErr w:type="spellEnd"/>
      <w:r w:rsidRPr="00F659D0">
        <w:rPr>
          <w:rFonts w:ascii="Arial" w:hAnsi="Arial" w:cs="Arial"/>
          <w:b/>
        </w:rPr>
        <w:t xml:space="preserve">, </w:t>
      </w:r>
      <w:proofErr w:type="spellStart"/>
      <w:r w:rsidRPr="00F659D0">
        <w:rPr>
          <w:rFonts w:ascii="Arial" w:hAnsi="Arial" w:cs="Arial"/>
          <w:b/>
        </w:rPr>
        <w:t>visoke</w:t>
      </w:r>
      <w:proofErr w:type="spellEnd"/>
      <w:r w:rsidRPr="00F659D0">
        <w:rPr>
          <w:rFonts w:ascii="Arial" w:hAnsi="Arial" w:cs="Arial"/>
          <w:b/>
        </w:rPr>
        <w:t xml:space="preserve"> </w:t>
      </w:r>
      <w:proofErr w:type="spellStart"/>
      <w:r w:rsidRPr="00F659D0">
        <w:rPr>
          <w:rFonts w:ascii="Arial" w:hAnsi="Arial" w:cs="Arial"/>
          <w:b/>
        </w:rPr>
        <w:t>šume</w:t>
      </w:r>
      <w:proofErr w:type="spellEnd"/>
      <w:r w:rsidRPr="00F659D0">
        <w:rPr>
          <w:rFonts w:ascii="Arial" w:hAnsi="Arial" w:cs="Arial"/>
          <w:b/>
        </w:rPr>
        <w:t xml:space="preserve">, </w:t>
      </w:r>
      <w:proofErr w:type="spellStart"/>
      <w:r w:rsidRPr="00F659D0">
        <w:rPr>
          <w:rFonts w:ascii="Arial" w:hAnsi="Arial" w:cs="Arial"/>
          <w:b/>
        </w:rPr>
        <w:t>niske</w:t>
      </w:r>
      <w:proofErr w:type="spellEnd"/>
      <w:r w:rsidRPr="00F659D0">
        <w:rPr>
          <w:rFonts w:ascii="Arial" w:hAnsi="Arial" w:cs="Arial"/>
          <w:b/>
        </w:rPr>
        <w:t xml:space="preserve"> </w:t>
      </w:r>
      <w:proofErr w:type="spellStart"/>
      <w:r w:rsidRPr="00F659D0">
        <w:rPr>
          <w:rFonts w:ascii="Arial" w:hAnsi="Arial" w:cs="Arial"/>
          <w:b/>
        </w:rPr>
        <w:t>šume</w:t>
      </w:r>
      <w:proofErr w:type="spellEnd"/>
      <w:r w:rsidRPr="00F659D0">
        <w:rPr>
          <w:rFonts w:ascii="Arial" w:hAnsi="Arial" w:cs="Arial"/>
        </w:rPr>
        <w:t xml:space="preserve"> </w:t>
      </w:r>
      <w:proofErr w:type="spellStart"/>
      <w:r w:rsidRPr="00F659D0">
        <w:rPr>
          <w:rFonts w:ascii="Arial" w:hAnsi="Arial" w:cs="Arial"/>
        </w:rPr>
        <w:t>i</w:t>
      </w:r>
      <w:proofErr w:type="spellEnd"/>
      <w:r w:rsidRPr="00F659D0">
        <w:rPr>
          <w:rFonts w:ascii="Arial" w:hAnsi="Arial" w:cs="Arial"/>
        </w:rPr>
        <w:t xml:space="preserve"> </w:t>
      </w:r>
      <w:proofErr w:type="spellStart"/>
      <w:r w:rsidRPr="00F659D0">
        <w:rPr>
          <w:rFonts w:ascii="Arial" w:hAnsi="Arial" w:cs="Arial"/>
        </w:rPr>
        <w:t>površinama</w:t>
      </w:r>
      <w:proofErr w:type="spellEnd"/>
      <w:r w:rsidRPr="00F659D0">
        <w:rPr>
          <w:rFonts w:ascii="Arial" w:hAnsi="Arial" w:cs="Arial"/>
        </w:rPr>
        <w:t xml:space="preserve"> </w:t>
      </w:r>
      <w:proofErr w:type="spellStart"/>
      <w:r w:rsidRPr="00F659D0">
        <w:rPr>
          <w:rFonts w:ascii="Arial" w:hAnsi="Arial" w:cs="Arial"/>
        </w:rPr>
        <w:t>naselja-</w:t>
      </w:r>
      <w:r w:rsidRPr="00F659D0">
        <w:rPr>
          <w:rFonts w:ascii="Arial" w:hAnsi="Arial" w:cs="Arial"/>
          <w:b/>
        </w:rPr>
        <w:t>građevinsko</w:t>
      </w:r>
      <w:proofErr w:type="spellEnd"/>
      <w:r w:rsidRPr="00F659D0">
        <w:rPr>
          <w:rFonts w:ascii="Arial" w:hAnsi="Arial" w:cs="Arial"/>
          <w:b/>
        </w:rPr>
        <w:t xml:space="preserve"> </w:t>
      </w:r>
      <w:proofErr w:type="spellStart"/>
      <w:r w:rsidRPr="00F659D0">
        <w:rPr>
          <w:rFonts w:ascii="Arial" w:hAnsi="Arial" w:cs="Arial"/>
          <w:b/>
        </w:rPr>
        <w:t>zemljište</w:t>
      </w:r>
      <w:proofErr w:type="spellEnd"/>
      <w:r w:rsidRPr="00F659D0">
        <w:rPr>
          <w:rFonts w:ascii="Arial" w:hAnsi="Arial" w:cs="Arial"/>
          <w:b/>
        </w:rPr>
        <w:t xml:space="preserve"> </w:t>
      </w:r>
      <w:proofErr w:type="spellStart"/>
      <w:r w:rsidRPr="00F659D0">
        <w:rPr>
          <w:rFonts w:ascii="Arial" w:hAnsi="Arial" w:cs="Arial"/>
          <w:b/>
        </w:rPr>
        <w:t>naselja</w:t>
      </w:r>
      <w:proofErr w:type="spellEnd"/>
      <w:r w:rsidRPr="00F659D0">
        <w:rPr>
          <w:rFonts w:ascii="Arial" w:hAnsi="Arial" w:cs="Arial"/>
          <w:b/>
        </w:rPr>
        <w:t xml:space="preserve"> </w:t>
      </w:r>
      <w:proofErr w:type="spellStart"/>
      <w:r w:rsidRPr="00F659D0">
        <w:rPr>
          <w:rFonts w:ascii="Arial" w:hAnsi="Arial" w:cs="Arial"/>
          <w:b/>
        </w:rPr>
        <w:t>i</w:t>
      </w:r>
      <w:proofErr w:type="spellEnd"/>
      <w:r w:rsidRPr="00F659D0">
        <w:rPr>
          <w:rFonts w:ascii="Arial" w:hAnsi="Arial" w:cs="Arial"/>
          <w:b/>
        </w:rPr>
        <w:t xml:space="preserve"> </w:t>
      </w:r>
      <w:proofErr w:type="spellStart"/>
      <w:r w:rsidRPr="00F659D0">
        <w:rPr>
          <w:rFonts w:ascii="Arial" w:hAnsi="Arial" w:cs="Arial"/>
          <w:b/>
        </w:rPr>
        <w:t>površinama</w:t>
      </w:r>
      <w:proofErr w:type="spellEnd"/>
      <w:r w:rsidRPr="00F659D0">
        <w:rPr>
          <w:rFonts w:ascii="Arial" w:hAnsi="Arial" w:cs="Arial"/>
          <w:b/>
        </w:rPr>
        <w:t xml:space="preserve"> za </w:t>
      </w:r>
      <w:proofErr w:type="spellStart"/>
      <w:r w:rsidRPr="00F659D0">
        <w:rPr>
          <w:rFonts w:ascii="Arial" w:hAnsi="Arial" w:cs="Arial"/>
          <w:b/>
        </w:rPr>
        <w:t>industriju</w:t>
      </w:r>
      <w:proofErr w:type="spellEnd"/>
      <w:r w:rsidRPr="00F659D0">
        <w:rPr>
          <w:rFonts w:ascii="Arial" w:hAnsi="Arial" w:cs="Arial"/>
          <w:b/>
        </w:rPr>
        <w:t xml:space="preserve"> </w:t>
      </w:r>
      <w:proofErr w:type="spellStart"/>
      <w:r w:rsidRPr="00F659D0">
        <w:rPr>
          <w:rFonts w:ascii="Arial" w:hAnsi="Arial" w:cs="Arial"/>
          <w:b/>
        </w:rPr>
        <w:t>i</w:t>
      </w:r>
      <w:proofErr w:type="spellEnd"/>
      <w:r w:rsidRPr="00F659D0">
        <w:rPr>
          <w:rFonts w:ascii="Arial" w:hAnsi="Arial" w:cs="Arial"/>
          <w:b/>
        </w:rPr>
        <w:t xml:space="preserve"> </w:t>
      </w:r>
      <w:proofErr w:type="spellStart"/>
      <w:r w:rsidRPr="00F659D0">
        <w:rPr>
          <w:rFonts w:ascii="Arial" w:hAnsi="Arial" w:cs="Arial"/>
          <w:b/>
        </w:rPr>
        <w:t>prozvodnjju</w:t>
      </w:r>
      <w:proofErr w:type="spellEnd"/>
      <w:r w:rsidRPr="00F659D0">
        <w:rPr>
          <w:rFonts w:ascii="Arial" w:hAnsi="Arial" w:cs="Arial"/>
          <w:b/>
        </w:rPr>
        <w:t xml:space="preserve">- </w:t>
      </w:r>
      <w:proofErr w:type="spellStart"/>
      <w:r w:rsidRPr="00F659D0">
        <w:rPr>
          <w:rFonts w:ascii="Arial" w:hAnsi="Arial" w:cs="Arial"/>
          <w:b/>
        </w:rPr>
        <w:t>radne</w:t>
      </w:r>
      <w:proofErr w:type="spellEnd"/>
      <w:r w:rsidRPr="00F659D0">
        <w:rPr>
          <w:rFonts w:ascii="Arial" w:hAnsi="Arial" w:cs="Arial"/>
          <w:b/>
        </w:rPr>
        <w:t xml:space="preserve"> zone</w:t>
      </w:r>
      <w:r w:rsidRPr="00F659D0">
        <w:rPr>
          <w:rFonts w:ascii="Arial" w:hAnsi="Arial" w:cs="Arial"/>
        </w:rPr>
        <w:t xml:space="preserve">. U </w:t>
      </w:r>
      <w:proofErr w:type="spellStart"/>
      <w:r w:rsidRPr="00F659D0">
        <w:rPr>
          <w:rFonts w:ascii="Arial" w:hAnsi="Arial" w:cs="Arial"/>
        </w:rPr>
        <w:t>okviru</w:t>
      </w:r>
      <w:proofErr w:type="spellEnd"/>
      <w:r w:rsidRPr="00F659D0">
        <w:rPr>
          <w:rFonts w:ascii="Arial" w:hAnsi="Arial" w:cs="Arial"/>
        </w:rPr>
        <w:t xml:space="preserve"> </w:t>
      </w:r>
      <w:proofErr w:type="spellStart"/>
      <w:r w:rsidRPr="00F659D0">
        <w:rPr>
          <w:rFonts w:ascii="Arial" w:hAnsi="Arial" w:cs="Arial"/>
        </w:rPr>
        <w:t>kompatibilnog</w:t>
      </w:r>
      <w:proofErr w:type="spellEnd"/>
      <w:r w:rsidRPr="00F659D0">
        <w:rPr>
          <w:rFonts w:ascii="Arial" w:hAnsi="Arial" w:cs="Arial"/>
        </w:rPr>
        <w:t xml:space="preserve"> </w:t>
      </w:r>
      <w:proofErr w:type="spellStart"/>
      <w:r w:rsidRPr="00F659D0">
        <w:rPr>
          <w:rFonts w:ascii="Arial" w:hAnsi="Arial" w:cs="Arial"/>
        </w:rPr>
        <w:t>sadržaja</w:t>
      </w:r>
      <w:proofErr w:type="spellEnd"/>
      <w:r w:rsidRPr="00F659D0">
        <w:rPr>
          <w:rFonts w:ascii="Arial" w:hAnsi="Arial" w:cs="Arial"/>
        </w:rPr>
        <w:t xml:space="preserve"> za </w:t>
      </w:r>
      <w:proofErr w:type="spellStart"/>
      <w:r w:rsidRPr="00F659D0">
        <w:rPr>
          <w:rFonts w:ascii="Arial" w:hAnsi="Arial" w:cs="Arial"/>
        </w:rPr>
        <w:t>šumske</w:t>
      </w:r>
      <w:proofErr w:type="spellEnd"/>
      <w:r w:rsidRPr="00F659D0">
        <w:rPr>
          <w:rFonts w:ascii="Arial" w:hAnsi="Arial" w:cs="Arial"/>
        </w:rPr>
        <w:t xml:space="preserve"> </w:t>
      </w:r>
      <w:proofErr w:type="spellStart"/>
      <w:r w:rsidRPr="00F659D0">
        <w:rPr>
          <w:rFonts w:ascii="Arial" w:hAnsi="Arial" w:cs="Arial"/>
        </w:rPr>
        <w:t>površine</w:t>
      </w:r>
      <w:proofErr w:type="spellEnd"/>
      <w:r w:rsidRPr="00F659D0">
        <w:rPr>
          <w:rFonts w:ascii="Arial" w:hAnsi="Arial" w:cs="Arial"/>
        </w:rPr>
        <w:t xml:space="preserve"> </w:t>
      </w:r>
      <w:proofErr w:type="spellStart"/>
      <w:r w:rsidRPr="00F659D0">
        <w:rPr>
          <w:rFonts w:ascii="Arial" w:hAnsi="Arial" w:cs="Arial"/>
        </w:rPr>
        <w:t>navodi</w:t>
      </w:r>
      <w:proofErr w:type="spellEnd"/>
      <w:r w:rsidRPr="00F659D0">
        <w:rPr>
          <w:rFonts w:ascii="Arial" w:hAnsi="Arial" w:cs="Arial"/>
        </w:rPr>
        <w:t xml:space="preserve"> se </w:t>
      </w:r>
      <w:proofErr w:type="spellStart"/>
      <w:r w:rsidRPr="00F659D0">
        <w:rPr>
          <w:rFonts w:ascii="Arial" w:hAnsi="Arial" w:cs="Arial"/>
        </w:rPr>
        <w:t>eksploatacija</w:t>
      </w:r>
      <w:proofErr w:type="spellEnd"/>
      <w:r w:rsidRPr="00F659D0">
        <w:rPr>
          <w:rFonts w:ascii="Arial" w:hAnsi="Arial" w:cs="Arial"/>
        </w:rPr>
        <w:t xml:space="preserve"> </w:t>
      </w:r>
      <w:proofErr w:type="spellStart"/>
      <w:r w:rsidRPr="00F659D0">
        <w:rPr>
          <w:rFonts w:ascii="Arial" w:hAnsi="Arial" w:cs="Arial"/>
        </w:rPr>
        <w:t>mineralnih</w:t>
      </w:r>
      <w:proofErr w:type="spellEnd"/>
      <w:r w:rsidRPr="00F659D0">
        <w:rPr>
          <w:rFonts w:ascii="Arial" w:hAnsi="Arial" w:cs="Arial"/>
        </w:rPr>
        <w:t xml:space="preserve"> </w:t>
      </w:r>
      <w:proofErr w:type="spellStart"/>
      <w:r w:rsidRPr="00F659D0">
        <w:rPr>
          <w:rFonts w:ascii="Arial" w:hAnsi="Arial" w:cs="Arial"/>
        </w:rPr>
        <w:t>sirovina</w:t>
      </w:r>
      <w:proofErr w:type="spellEnd"/>
      <w:r w:rsidRPr="00F659D0">
        <w:rPr>
          <w:rFonts w:ascii="Arial" w:hAnsi="Arial" w:cs="Arial"/>
        </w:rPr>
        <w:t>.</w:t>
      </w:r>
      <w:r w:rsidR="000F34A9">
        <w:rPr>
          <w:rFonts w:ascii="Arial" w:hAnsi="Arial" w:cs="Arial"/>
        </w:rPr>
        <w:t xml:space="preserve"> Na </w:t>
      </w:r>
      <w:proofErr w:type="spellStart"/>
      <w:r w:rsidR="000F34A9">
        <w:rPr>
          <w:rFonts w:ascii="Arial" w:hAnsi="Arial" w:cs="Arial"/>
        </w:rPr>
        <w:t>Planu</w:t>
      </w:r>
      <w:proofErr w:type="spellEnd"/>
      <w:r w:rsidR="000F34A9">
        <w:rPr>
          <w:rFonts w:ascii="Arial" w:hAnsi="Arial" w:cs="Arial"/>
        </w:rPr>
        <w:t xml:space="preserve"> </w:t>
      </w:r>
      <w:proofErr w:type="spellStart"/>
      <w:r w:rsidR="000F34A9">
        <w:rPr>
          <w:rFonts w:ascii="Arial" w:hAnsi="Arial" w:cs="Arial"/>
        </w:rPr>
        <w:t>namjene</w:t>
      </w:r>
      <w:proofErr w:type="spellEnd"/>
      <w:r w:rsidR="000F34A9">
        <w:rPr>
          <w:rFonts w:ascii="Arial" w:hAnsi="Arial" w:cs="Arial"/>
        </w:rPr>
        <w:t xml:space="preserve"> </w:t>
      </w:r>
      <w:proofErr w:type="spellStart"/>
      <w:r w:rsidR="000F34A9">
        <w:rPr>
          <w:rFonts w:ascii="Arial" w:hAnsi="Arial" w:cs="Arial"/>
        </w:rPr>
        <w:t>povr</w:t>
      </w:r>
      <w:proofErr w:type="spellEnd"/>
      <w:r w:rsidR="000F34A9">
        <w:rPr>
          <w:rFonts w:ascii="Arial" w:hAnsi="Arial" w:cs="Arial"/>
          <w:lang w:val="sr-Latn-ME"/>
        </w:rPr>
        <w:t>šina, mreža naselja i centara, mreža javnih objekata predmetni prostor je prepoznat kao rudnik, eksploatacija mineralnih sirovina.</w:t>
      </w:r>
    </w:p>
    <w:p w14:paraId="60BEC2DA" w14:textId="77777777" w:rsidR="00F659D0" w:rsidRPr="00F659D0" w:rsidRDefault="00F659D0" w:rsidP="005E683D">
      <w:pPr>
        <w:pStyle w:val="ListParagraph"/>
        <w:spacing w:after="0" w:line="240" w:lineRule="auto"/>
        <w:ind w:left="360"/>
        <w:jc w:val="both"/>
        <w:rPr>
          <w:rFonts w:ascii="Arial" w:hAnsi="Arial" w:cs="Arial"/>
          <w:i/>
        </w:rPr>
      </w:pPr>
    </w:p>
    <w:p w14:paraId="6F68155A" w14:textId="5EB0775D" w:rsidR="00DF6748" w:rsidRPr="00205A29" w:rsidRDefault="00DF6748" w:rsidP="005E683D">
      <w:pPr>
        <w:pStyle w:val="Heading2"/>
        <w:numPr>
          <w:ilvl w:val="1"/>
          <w:numId w:val="19"/>
        </w:numPr>
      </w:pPr>
      <w:r w:rsidRPr="00205A29">
        <w:t>Infrastruktura</w:t>
      </w:r>
      <w:bookmarkEnd w:id="9"/>
    </w:p>
    <w:p w14:paraId="0707FD9B" w14:textId="77777777" w:rsidR="00DF6748" w:rsidRDefault="00DF6748" w:rsidP="005E683D">
      <w:pPr>
        <w:spacing w:after="0" w:line="240" w:lineRule="auto"/>
        <w:jc w:val="both"/>
        <w:rPr>
          <w:rFonts w:ascii="Arial" w:hAnsi="Arial" w:cs="Arial"/>
          <w:lang w:val="sr-Latn-CS"/>
        </w:rPr>
      </w:pPr>
    </w:p>
    <w:p w14:paraId="53F192B8" w14:textId="330B6A59" w:rsidR="00F659D0" w:rsidRDefault="00F659D0" w:rsidP="005E683D">
      <w:pPr>
        <w:spacing w:after="0" w:line="240" w:lineRule="auto"/>
        <w:jc w:val="both"/>
        <w:rPr>
          <w:rFonts w:ascii="Arial" w:hAnsi="Arial" w:cs="Arial"/>
        </w:rPr>
      </w:pPr>
      <w:proofErr w:type="spellStart"/>
      <w:r w:rsidRPr="00F659D0">
        <w:rPr>
          <w:rFonts w:ascii="Arial" w:hAnsi="Arial" w:cs="Arial"/>
        </w:rPr>
        <w:t>Ležište</w:t>
      </w:r>
      <w:proofErr w:type="spellEnd"/>
      <w:r w:rsidRPr="00F659D0">
        <w:rPr>
          <w:rFonts w:ascii="Arial" w:hAnsi="Arial" w:cs="Arial"/>
        </w:rPr>
        <w:t xml:space="preserve"> je </w:t>
      </w:r>
      <w:proofErr w:type="spellStart"/>
      <w:r w:rsidRPr="00F659D0">
        <w:rPr>
          <w:rFonts w:ascii="Arial" w:hAnsi="Arial" w:cs="Arial"/>
        </w:rPr>
        <w:t>ud</w:t>
      </w:r>
      <w:r w:rsidR="008D10CA">
        <w:rPr>
          <w:rFonts w:ascii="Arial" w:hAnsi="Arial" w:cs="Arial"/>
        </w:rPr>
        <w:t>aljeno</w:t>
      </w:r>
      <w:proofErr w:type="spellEnd"/>
      <w:r w:rsidR="008D10CA">
        <w:rPr>
          <w:rFonts w:ascii="Arial" w:hAnsi="Arial" w:cs="Arial"/>
        </w:rPr>
        <w:t xml:space="preserve"> </w:t>
      </w:r>
      <w:proofErr w:type="spellStart"/>
      <w:r w:rsidR="008D10CA">
        <w:rPr>
          <w:rFonts w:ascii="Arial" w:hAnsi="Arial" w:cs="Arial"/>
        </w:rPr>
        <w:t>oko</w:t>
      </w:r>
      <w:proofErr w:type="spellEnd"/>
      <w:r w:rsidR="008D10CA">
        <w:rPr>
          <w:rFonts w:ascii="Arial" w:hAnsi="Arial" w:cs="Arial"/>
        </w:rPr>
        <w:t xml:space="preserve"> 1,5 </w:t>
      </w:r>
      <w:r w:rsidRPr="00F659D0">
        <w:rPr>
          <w:rFonts w:ascii="Arial" w:hAnsi="Arial" w:cs="Arial"/>
        </w:rPr>
        <w:t xml:space="preserve">km od </w:t>
      </w:r>
      <w:proofErr w:type="spellStart"/>
      <w:r w:rsidRPr="00F659D0">
        <w:rPr>
          <w:rFonts w:ascii="Arial" w:hAnsi="Arial" w:cs="Arial"/>
        </w:rPr>
        <w:t>raskrsnice</w:t>
      </w:r>
      <w:proofErr w:type="spellEnd"/>
      <w:r w:rsidRPr="00F659D0">
        <w:rPr>
          <w:rFonts w:ascii="Arial" w:hAnsi="Arial" w:cs="Arial"/>
        </w:rPr>
        <w:t xml:space="preserve"> </w:t>
      </w:r>
      <w:proofErr w:type="spellStart"/>
      <w:r w:rsidRPr="00F659D0">
        <w:rPr>
          <w:rFonts w:ascii="Arial" w:hAnsi="Arial" w:cs="Arial"/>
        </w:rPr>
        <w:t>Stologlav</w:t>
      </w:r>
      <w:proofErr w:type="spellEnd"/>
      <w:r w:rsidRPr="00F659D0">
        <w:rPr>
          <w:rFonts w:ascii="Arial" w:hAnsi="Arial" w:cs="Arial"/>
        </w:rPr>
        <w:t xml:space="preserve">, </w:t>
      </w:r>
      <w:proofErr w:type="spellStart"/>
      <w:r w:rsidRPr="00F659D0">
        <w:rPr>
          <w:rFonts w:ascii="Arial" w:hAnsi="Arial" w:cs="Arial"/>
        </w:rPr>
        <w:t>odnosno</w:t>
      </w:r>
      <w:proofErr w:type="spellEnd"/>
      <w:r w:rsidRPr="00F659D0">
        <w:rPr>
          <w:rFonts w:ascii="Arial" w:hAnsi="Arial" w:cs="Arial"/>
        </w:rPr>
        <w:t xml:space="preserve"> </w:t>
      </w:r>
      <w:proofErr w:type="spellStart"/>
      <w:r w:rsidRPr="00F659D0">
        <w:rPr>
          <w:rFonts w:ascii="Arial" w:hAnsi="Arial" w:cs="Arial"/>
        </w:rPr>
        <w:t>r</w:t>
      </w:r>
      <w:r w:rsidR="008D10CA">
        <w:rPr>
          <w:rFonts w:ascii="Arial" w:hAnsi="Arial" w:cs="Arial"/>
        </w:rPr>
        <w:t>askrsnice</w:t>
      </w:r>
      <w:proofErr w:type="spellEnd"/>
      <w:r w:rsidR="008D10CA">
        <w:rPr>
          <w:rFonts w:ascii="Arial" w:hAnsi="Arial" w:cs="Arial"/>
        </w:rPr>
        <w:t xml:space="preserve"> </w:t>
      </w:r>
      <w:proofErr w:type="spellStart"/>
      <w:r w:rsidR="008D10CA">
        <w:rPr>
          <w:rFonts w:ascii="Arial" w:hAnsi="Arial" w:cs="Arial"/>
        </w:rPr>
        <w:t>puteva</w:t>
      </w:r>
      <w:proofErr w:type="spellEnd"/>
      <w:r w:rsidR="008D10CA">
        <w:rPr>
          <w:rFonts w:ascii="Arial" w:hAnsi="Arial" w:cs="Arial"/>
        </w:rPr>
        <w:t xml:space="preserve"> Podgorica –</w:t>
      </w:r>
      <w:r w:rsidR="00466118">
        <w:rPr>
          <w:rFonts w:ascii="Arial" w:hAnsi="Arial" w:cs="Arial"/>
        </w:rPr>
        <w:t xml:space="preserve">Novo </w:t>
      </w:r>
      <w:proofErr w:type="spellStart"/>
      <w:r w:rsidR="00466118">
        <w:rPr>
          <w:rFonts w:ascii="Arial" w:hAnsi="Arial" w:cs="Arial"/>
        </w:rPr>
        <w:t>Selo</w:t>
      </w:r>
      <w:r w:rsidR="00915985">
        <w:rPr>
          <w:rFonts w:ascii="Arial" w:hAnsi="Arial" w:cs="Arial"/>
        </w:rPr>
        <w:t>-Danilovgrad</w:t>
      </w:r>
      <w:proofErr w:type="spellEnd"/>
      <w:r w:rsidR="00915985">
        <w:rPr>
          <w:rFonts w:ascii="Arial" w:hAnsi="Arial" w:cs="Arial"/>
        </w:rPr>
        <w:t xml:space="preserve"> </w:t>
      </w:r>
      <w:proofErr w:type="spellStart"/>
      <w:r w:rsidR="00915985">
        <w:rPr>
          <w:rFonts w:ascii="Arial" w:hAnsi="Arial" w:cs="Arial"/>
        </w:rPr>
        <w:t>i</w:t>
      </w:r>
      <w:proofErr w:type="spellEnd"/>
      <w:r w:rsidR="00915985">
        <w:rPr>
          <w:rFonts w:ascii="Arial" w:hAnsi="Arial" w:cs="Arial"/>
        </w:rPr>
        <w:t xml:space="preserve"> </w:t>
      </w:r>
      <w:proofErr w:type="spellStart"/>
      <w:r w:rsidRPr="00F659D0">
        <w:rPr>
          <w:rFonts w:ascii="Arial" w:hAnsi="Arial" w:cs="Arial"/>
        </w:rPr>
        <w:t>Spuž</w:t>
      </w:r>
      <w:r w:rsidR="00915985">
        <w:rPr>
          <w:rFonts w:ascii="Arial" w:hAnsi="Arial" w:cs="Arial"/>
        </w:rPr>
        <w:t>-</w:t>
      </w:r>
      <w:r w:rsidRPr="00F659D0">
        <w:rPr>
          <w:rFonts w:ascii="Arial" w:hAnsi="Arial" w:cs="Arial"/>
        </w:rPr>
        <w:t>Martinići</w:t>
      </w:r>
      <w:proofErr w:type="spellEnd"/>
      <w:r w:rsidRPr="00F659D0">
        <w:rPr>
          <w:rFonts w:ascii="Arial" w:hAnsi="Arial" w:cs="Arial"/>
        </w:rPr>
        <w:t>-</w:t>
      </w:r>
      <w:r w:rsidR="007929DE">
        <w:rPr>
          <w:rFonts w:ascii="Arial" w:hAnsi="Arial" w:cs="Arial"/>
        </w:rPr>
        <w:t xml:space="preserve"> </w:t>
      </w:r>
      <w:proofErr w:type="spellStart"/>
      <w:r w:rsidRPr="00F659D0">
        <w:rPr>
          <w:rFonts w:ascii="Arial" w:hAnsi="Arial" w:cs="Arial"/>
        </w:rPr>
        <w:t>Danilovgrad</w:t>
      </w:r>
      <w:proofErr w:type="spellEnd"/>
      <w:r w:rsidRPr="00F659D0">
        <w:rPr>
          <w:rFonts w:ascii="Arial" w:hAnsi="Arial" w:cs="Arial"/>
        </w:rPr>
        <w:t xml:space="preserve">. Sa </w:t>
      </w:r>
      <w:proofErr w:type="spellStart"/>
      <w:r w:rsidRPr="00F659D0">
        <w:rPr>
          <w:rFonts w:ascii="Arial" w:hAnsi="Arial" w:cs="Arial"/>
        </w:rPr>
        <w:t>Podgoricom</w:t>
      </w:r>
      <w:proofErr w:type="spellEnd"/>
      <w:r w:rsidRPr="00F659D0">
        <w:rPr>
          <w:rFonts w:ascii="Arial" w:hAnsi="Arial" w:cs="Arial"/>
        </w:rPr>
        <w:t xml:space="preserve"> </w:t>
      </w:r>
      <w:proofErr w:type="spellStart"/>
      <w:r w:rsidRPr="00F659D0">
        <w:rPr>
          <w:rFonts w:ascii="Arial" w:hAnsi="Arial" w:cs="Arial"/>
        </w:rPr>
        <w:t>i</w:t>
      </w:r>
      <w:proofErr w:type="spellEnd"/>
      <w:r w:rsidRPr="00F659D0">
        <w:rPr>
          <w:rFonts w:ascii="Arial" w:hAnsi="Arial" w:cs="Arial"/>
        </w:rPr>
        <w:t xml:space="preserve"> </w:t>
      </w:r>
      <w:proofErr w:type="spellStart"/>
      <w:r w:rsidRPr="00F659D0">
        <w:rPr>
          <w:rFonts w:ascii="Arial" w:hAnsi="Arial" w:cs="Arial"/>
        </w:rPr>
        <w:t>Danilovgradom</w:t>
      </w:r>
      <w:proofErr w:type="spellEnd"/>
      <w:r w:rsidRPr="00F659D0">
        <w:rPr>
          <w:rFonts w:ascii="Arial" w:hAnsi="Arial" w:cs="Arial"/>
        </w:rPr>
        <w:t xml:space="preserve"> </w:t>
      </w:r>
      <w:proofErr w:type="spellStart"/>
      <w:r w:rsidRPr="00F659D0">
        <w:rPr>
          <w:rFonts w:ascii="Arial" w:hAnsi="Arial" w:cs="Arial"/>
        </w:rPr>
        <w:t>povezano</w:t>
      </w:r>
      <w:proofErr w:type="spellEnd"/>
      <w:r w:rsidRPr="00F659D0">
        <w:rPr>
          <w:rFonts w:ascii="Arial" w:hAnsi="Arial" w:cs="Arial"/>
        </w:rPr>
        <w:t xml:space="preserve"> je </w:t>
      </w:r>
      <w:proofErr w:type="spellStart"/>
      <w:r w:rsidRPr="00F659D0">
        <w:rPr>
          <w:rFonts w:ascii="Arial" w:hAnsi="Arial" w:cs="Arial"/>
        </w:rPr>
        <w:t>starim</w:t>
      </w:r>
      <w:proofErr w:type="spellEnd"/>
      <w:r w:rsidRPr="00F659D0">
        <w:rPr>
          <w:rFonts w:ascii="Arial" w:hAnsi="Arial" w:cs="Arial"/>
        </w:rPr>
        <w:t xml:space="preserve"> </w:t>
      </w:r>
      <w:proofErr w:type="spellStart"/>
      <w:r w:rsidRPr="00F659D0">
        <w:rPr>
          <w:rFonts w:ascii="Arial" w:hAnsi="Arial" w:cs="Arial"/>
        </w:rPr>
        <w:t>asfaltnim</w:t>
      </w:r>
      <w:proofErr w:type="spellEnd"/>
      <w:r w:rsidRPr="00F659D0">
        <w:rPr>
          <w:rFonts w:ascii="Arial" w:hAnsi="Arial" w:cs="Arial"/>
        </w:rPr>
        <w:t xml:space="preserve"> </w:t>
      </w:r>
      <w:proofErr w:type="spellStart"/>
      <w:r w:rsidRPr="00F659D0">
        <w:rPr>
          <w:rFonts w:ascii="Arial" w:hAnsi="Arial" w:cs="Arial"/>
        </w:rPr>
        <w:t>putem</w:t>
      </w:r>
      <w:proofErr w:type="spellEnd"/>
      <w:r w:rsidRPr="00F659D0">
        <w:rPr>
          <w:rFonts w:ascii="Arial" w:hAnsi="Arial" w:cs="Arial"/>
        </w:rPr>
        <w:t xml:space="preserve">. Od </w:t>
      </w:r>
      <w:proofErr w:type="spellStart"/>
      <w:r w:rsidRPr="00F659D0">
        <w:rPr>
          <w:rFonts w:ascii="Arial" w:hAnsi="Arial" w:cs="Arial"/>
        </w:rPr>
        <w:t>Podgorice</w:t>
      </w:r>
      <w:proofErr w:type="spellEnd"/>
      <w:r w:rsidRPr="00F659D0">
        <w:rPr>
          <w:rFonts w:ascii="Arial" w:hAnsi="Arial" w:cs="Arial"/>
        </w:rPr>
        <w:t xml:space="preserve"> je </w:t>
      </w:r>
      <w:proofErr w:type="spellStart"/>
      <w:r w:rsidRPr="00F659D0">
        <w:rPr>
          <w:rFonts w:ascii="Arial" w:hAnsi="Arial" w:cs="Arial"/>
        </w:rPr>
        <w:t>udaljeno</w:t>
      </w:r>
      <w:proofErr w:type="spellEnd"/>
      <w:r w:rsidRPr="00F659D0">
        <w:rPr>
          <w:rFonts w:ascii="Arial" w:hAnsi="Arial" w:cs="Arial"/>
        </w:rPr>
        <w:t xml:space="preserve"> </w:t>
      </w:r>
      <w:proofErr w:type="spellStart"/>
      <w:r w:rsidRPr="00F659D0">
        <w:rPr>
          <w:rFonts w:ascii="Arial" w:hAnsi="Arial" w:cs="Arial"/>
        </w:rPr>
        <w:t>oko</w:t>
      </w:r>
      <w:proofErr w:type="spellEnd"/>
      <w:r w:rsidRPr="00F659D0">
        <w:rPr>
          <w:rFonts w:ascii="Arial" w:hAnsi="Arial" w:cs="Arial"/>
        </w:rPr>
        <w:t xml:space="preserve"> 15 km, a od </w:t>
      </w:r>
      <w:proofErr w:type="spellStart"/>
      <w:r w:rsidRPr="00F659D0">
        <w:rPr>
          <w:rFonts w:ascii="Arial" w:hAnsi="Arial" w:cs="Arial"/>
        </w:rPr>
        <w:t>Danilovgrada</w:t>
      </w:r>
      <w:proofErr w:type="spellEnd"/>
      <w:r w:rsidRPr="00F659D0">
        <w:rPr>
          <w:rFonts w:ascii="Arial" w:hAnsi="Arial" w:cs="Arial"/>
        </w:rPr>
        <w:t xml:space="preserve"> </w:t>
      </w:r>
      <w:proofErr w:type="spellStart"/>
      <w:r w:rsidRPr="00F659D0">
        <w:rPr>
          <w:rFonts w:ascii="Arial" w:hAnsi="Arial" w:cs="Arial"/>
        </w:rPr>
        <w:t>oko</w:t>
      </w:r>
      <w:proofErr w:type="spellEnd"/>
      <w:r w:rsidRPr="00F659D0">
        <w:rPr>
          <w:rFonts w:ascii="Arial" w:hAnsi="Arial" w:cs="Arial"/>
        </w:rPr>
        <w:t xml:space="preserve"> 12 km. </w:t>
      </w:r>
      <w:proofErr w:type="spellStart"/>
      <w:r w:rsidRPr="00F659D0">
        <w:rPr>
          <w:rFonts w:ascii="Arial" w:hAnsi="Arial" w:cs="Arial"/>
        </w:rPr>
        <w:t>Ležište</w:t>
      </w:r>
      <w:proofErr w:type="spellEnd"/>
      <w:r w:rsidRPr="00F659D0">
        <w:rPr>
          <w:rFonts w:ascii="Arial" w:hAnsi="Arial" w:cs="Arial"/>
        </w:rPr>
        <w:t xml:space="preserve"> je </w:t>
      </w:r>
      <w:proofErr w:type="spellStart"/>
      <w:r w:rsidRPr="00F659D0">
        <w:rPr>
          <w:rFonts w:ascii="Arial" w:hAnsi="Arial" w:cs="Arial"/>
        </w:rPr>
        <w:t>putem</w:t>
      </w:r>
      <w:proofErr w:type="spellEnd"/>
      <w:r w:rsidRPr="00F659D0">
        <w:rPr>
          <w:rFonts w:ascii="Arial" w:hAnsi="Arial" w:cs="Arial"/>
        </w:rPr>
        <w:t xml:space="preserve"> </w:t>
      </w:r>
      <w:proofErr w:type="spellStart"/>
      <w:r w:rsidRPr="00F659D0">
        <w:rPr>
          <w:rFonts w:ascii="Arial" w:hAnsi="Arial" w:cs="Arial"/>
        </w:rPr>
        <w:t>dužine</w:t>
      </w:r>
      <w:proofErr w:type="spellEnd"/>
      <w:r w:rsidRPr="00F659D0">
        <w:rPr>
          <w:rFonts w:ascii="Arial" w:hAnsi="Arial" w:cs="Arial"/>
        </w:rPr>
        <w:t xml:space="preserve"> </w:t>
      </w:r>
      <w:proofErr w:type="spellStart"/>
      <w:r w:rsidRPr="00F659D0">
        <w:rPr>
          <w:rFonts w:ascii="Arial" w:hAnsi="Arial" w:cs="Arial"/>
        </w:rPr>
        <w:t>oko</w:t>
      </w:r>
      <w:proofErr w:type="spellEnd"/>
      <w:r w:rsidRPr="00F659D0">
        <w:rPr>
          <w:rFonts w:ascii="Arial" w:hAnsi="Arial" w:cs="Arial"/>
        </w:rPr>
        <w:t xml:space="preserve"> </w:t>
      </w:r>
      <w:r w:rsidR="007929DE">
        <w:rPr>
          <w:rFonts w:ascii="Arial" w:hAnsi="Arial" w:cs="Arial"/>
        </w:rPr>
        <w:t>3 km</w:t>
      </w:r>
      <w:r w:rsidR="00466118">
        <w:rPr>
          <w:rFonts w:ascii="Arial" w:hAnsi="Arial" w:cs="Arial"/>
        </w:rPr>
        <w:t>,</w:t>
      </w:r>
      <w:r w:rsidR="007929DE">
        <w:rPr>
          <w:rFonts w:ascii="Arial" w:hAnsi="Arial" w:cs="Arial"/>
        </w:rPr>
        <w:t xml:space="preserve"> </w:t>
      </w:r>
      <w:proofErr w:type="spellStart"/>
      <w:r w:rsidR="00466118">
        <w:rPr>
          <w:rFonts w:ascii="Arial" w:hAnsi="Arial" w:cs="Arial"/>
        </w:rPr>
        <w:t>preko</w:t>
      </w:r>
      <w:proofErr w:type="spellEnd"/>
      <w:r w:rsidR="00466118">
        <w:rPr>
          <w:rFonts w:ascii="Arial" w:hAnsi="Arial" w:cs="Arial"/>
        </w:rPr>
        <w:t xml:space="preserve"> </w:t>
      </w:r>
      <w:proofErr w:type="spellStart"/>
      <w:r w:rsidR="00466118">
        <w:rPr>
          <w:rFonts w:ascii="Arial" w:hAnsi="Arial" w:cs="Arial"/>
        </w:rPr>
        <w:t>Novog</w:t>
      </w:r>
      <w:proofErr w:type="spellEnd"/>
      <w:r w:rsidR="00466118">
        <w:rPr>
          <w:rFonts w:ascii="Arial" w:hAnsi="Arial" w:cs="Arial"/>
        </w:rPr>
        <w:t xml:space="preserve"> Sela, </w:t>
      </w:r>
      <w:proofErr w:type="spellStart"/>
      <w:r w:rsidR="007929DE">
        <w:rPr>
          <w:rFonts w:ascii="Arial" w:hAnsi="Arial" w:cs="Arial"/>
        </w:rPr>
        <w:t>povezano</w:t>
      </w:r>
      <w:proofErr w:type="spellEnd"/>
      <w:r w:rsidRPr="00F659D0">
        <w:rPr>
          <w:rFonts w:ascii="Arial" w:hAnsi="Arial" w:cs="Arial"/>
        </w:rPr>
        <w:t xml:space="preserve"> </w:t>
      </w:r>
      <w:proofErr w:type="spellStart"/>
      <w:r w:rsidRPr="00F659D0">
        <w:rPr>
          <w:rFonts w:ascii="Arial" w:hAnsi="Arial" w:cs="Arial"/>
        </w:rPr>
        <w:t>sa</w:t>
      </w:r>
      <w:proofErr w:type="spellEnd"/>
      <w:r w:rsidRPr="00F659D0">
        <w:rPr>
          <w:rFonts w:ascii="Arial" w:hAnsi="Arial" w:cs="Arial"/>
        </w:rPr>
        <w:t xml:space="preserve"> </w:t>
      </w:r>
      <w:proofErr w:type="spellStart"/>
      <w:r w:rsidRPr="00F659D0">
        <w:rPr>
          <w:rFonts w:ascii="Arial" w:hAnsi="Arial" w:cs="Arial"/>
        </w:rPr>
        <w:t>magistralnim</w:t>
      </w:r>
      <w:proofErr w:type="spellEnd"/>
      <w:r w:rsidRPr="00F659D0">
        <w:rPr>
          <w:rFonts w:ascii="Arial" w:hAnsi="Arial" w:cs="Arial"/>
        </w:rPr>
        <w:t xml:space="preserve"> </w:t>
      </w:r>
      <w:proofErr w:type="spellStart"/>
      <w:r w:rsidRPr="00F659D0">
        <w:rPr>
          <w:rFonts w:ascii="Arial" w:hAnsi="Arial" w:cs="Arial"/>
        </w:rPr>
        <w:t>putem</w:t>
      </w:r>
      <w:proofErr w:type="spellEnd"/>
      <w:r w:rsidRPr="00F659D0">
        <w:rPr>
          <w:rFonts w:ascii="Arial" w:hAnsi="Arial" w:cs="Arial"/>
        </w:rPr>
        <w:t xml:space="preserve"> Podgorica -</w:t>
      </w:r>
      <w:proofErr w:type="spellStart"/>
      <w:r w:rsidRPr="00F659D0">
        <w:rPr>
          <w:rFonts w:ascii="Arial" w:hAnsi="Arial" w:cs="Arial"/>
        </w:rPr>
        <w:t>Nikšić</w:t>
      </w:r>
      <w:proofErr w:type="spellEnd"/>
      <w:r w:rsidRPr="00F659D0">
        <w:rPr>
          <w:rFonts w:ascii="Arial" w:hAnsi="Arial" w:cs="Arial"/>
        </w:rPr>
        <w:t>.</w:t>
      </w:r>
    </w:p>
    <w:p w14:paraId="57FBA1FC" w14:textId="77777777" w:rsidR="005E683D" w:rsidRPr="00F659D0" w:rsidRDefault="005E683D" w:rsidP="005E683D">
      <w:pPr>
        <w:spacing w:after="0" w:line="240" w:lineRule="auto"/>
        <w:jc w:val="both"/>
        <w:rPr>
          <w:rFonts w:ascii="Arial" w:hAnsi="Arial" w:cs="Arial"/>
        </w:rPr>
      </w:pPr>
    </w:p>
    <w:p w14:paraId="547CE6ED" w14:textId="77777777" w:rsidR="00744584" w:rsidRPr="00205A29" w:rsidRDefault="00823143" w:rsidP="005E683D">
      <w:pPr>
        <w:pStyle w:val="Heading2"/>
        <w:numPr>
          <w:ilvl w:val="1"/>
          <w:numId w:val="19"/>
        </w:numPr>
      </w:pPr>
      <w:bookmarkStart w:id="10" w:name="_Toc402262931"/>
      <w:r w:rsidRPr="00205A29">
        <w:t xml:space="preserve">Dosadašnja geološka istraživanja, rezerve i kvalitet mineralne sirovine </w:t>
      </w:r>
      <w:bookmarkEnd w:id="10"/>
    </w:p>
    <w:p w14:paraId="56B3F5E7" w14:textId="77777777" w:rsidR="00744584" w:rsidRPr="00205A29" w:rsidRDefault="00744584" w:rsidP="005E683D">
      <w:pPr>
        <w:spacing w:after="0" w:line="240" w:lineRule="auto"/>
        <w:jc w:val="both"/>
        <w:rPr>
          <w:rFonts w:ascii="Arial" w:hAnsi="Arial" w:cs="Arial"/>
          <w:b/>
          <w:lang w:val="sr-Latn-CS"/>
        </w:rPr>
      </w:pPr>
    </w:p>
    <w:p w14:paraId="03B055CC" w14:textId="77777777" w:rsidR="00F54919" w:rsidRPr="00C070B1" w:rsidRDefault="00F54919" w:rsidP="005E683D">
      <w:pPr>
        <w:spacing w:after="0" w:line="240" w:lineRule="auto"/>
        <w:jc w:val="both"/>
        <w:rPr>
          <w:rFonts w:ascii="Arial" w:hAnsi="Arial" w:cs="Arial"/>
        </w:rPr>
      </w:pPr>
      <w:proofErr w:type="spellStart"/>
      <w:r>
        <w:rPr>
          <w:rFonts w:ascii="Arial" w:hAnsi="Arial" w:cs="Arial"/>
        </w:rPr>
        <w:t>Gornjo</w:t>
      </w:r>
      <w:r w:rsidRPr="00C070B1">
        <w:rPr>
          <w:rFonts w:ascii="Arial" w:hAnsi="Arial" w:cs="Arial"/>
        </w:rPr>
        <w:t>kredni</w:t>
      </w:r>
      <w:proofErr w:type="spellEnd"/>
      <w:r w:rsidRPr="00C070B1">
        <w:rPr>
          <w:rFonts w:ascii="Arial" w:hAnsi="Arial" w:cs="Arial"/>
        </w:rPr>
        <w:t xml:space="preserve"> </w:t>
      </w:r>
      <w:proofErr w:type="spellStart"/>
      <w:r w:rsidRPr="00C070B1">
        <w:rPr>
          <w:rFonts w:ascii="Arial" w:hAnsi="Arial" w:cs="Arial"/>
        </w:rPr>
        <w:t>karbonatni</w:t>
      </w:r>
      <w:proofErr w:type="spellEnd"/>
      <w:r w:rsidRPr="00C070B1">
        <w:rPr>
          <w:rFonts w:ascii="Arial" w:hAnsi="Arial" w:cs="Arial"/>
        </w:rPr>
        <w:t xml:space="preserve"> sediment </w:t>
      </w:r>
      <w:proofErr w:type="spellStart"/>
      <w:r w:rsidRPr="00C070B1">
        <w:rPr>
          <w:rFonts w:ascii="Arial" w:hAnsi="Arial" w:cs="Arial"/>
        </w:rPr>
        <w:t>izgrađuju</w:t>
      </w:r>
      <w:proofErr w:type="spellEnd"/>
      <w:r w:rsidRPr="00C070B1">
        <w:rPr>
          <w:rFonts w:ascii="Arial" w:hAnsi="Arial" w:cs="Arial"/>
        </w:rPr>
        <w:t xml:space="preserve"> </w:t>
      </w:r>
      <w:proofErr w:type="spellStart"/>
      <w:r w:rsidRPr="00C070B1">
        <w:rPr>
          <w:rFonts w:ascii="Arial" w:hAnsi="Arial" w:cs="Arial"/>
        </w:rPr>
        <w:t>šire</w:t>
      </w:r>
      <w:proofErr w:type="spellEnd"/>
      <w:r w:rsidRPr="00C070B1">
        <w:rPr>
          <w:rFonts w:ascii="Arial" w:hAnsi="Arial" w:cs="Arial"/>
        </w:rPr>
        <w:t xml:space="preserve"> </w:t>
      </w:r>
      <w:proofErr w:type="spellStart"/>
      <w:r w:rsidRPr="00C070B1">
        <w:rPr>
          <w:rFonts w:ascii="Arial" w:hAnsi="Arial" w:cs="Arial"/>
        </w:rPr>
        <w:t>područje</w:t>
      </w:r>
      <w:proofErr w:type="spellEnd"/>
      <w:r w:rsidRPr="00C070B1">
        <w:rPr>
          <w:rFonts w:ascii="Arial" w:hAnsi="Arial" w:cs="Arial"/>
        </w:rPr>
        <w:t xml:space="preserve"> </w:t>
      </w:r>
      <w:proofErr w:type="spellStart"/>
      <w:r w:rsidRPr="00C070B1">
        <w:rPr>
          <w:rFonts w:ascii="Arial" w:hAnsi="Arial" w:cs="Arial"/>
        </w:rPr>
        <w:t>ležišta</w:t>
      </w:r>
      <w:proofErr w:type="spellEnd"/>
      <w:r w:rsidRPr="00C070B1">
        <w:rPr>
          <w:rFonts w:ascii="Arial" w:hAnsi="Arial" w:cs="Arial"/>
        </w:rPr>
        <w:t xml:space="preserve">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w:t>
      </w:r>
      <w:proofErr w:type="spellStart"/>
      <w:r w:rsidRPr="00C070B1">
        <w:rPr>
          <w:rFonts w:ascii="Arial" w:hAnsi="Arial" w:cs="Arial"/>
        </w:rPr>
        <w:t>Klikovača</w:t>
      </w:r>
      <w:proofErr w:type="spellEnd"/>
      <w:r w:rsidRPr="00C070B1">
        <w:rPr>
          <w:rFonts w:ascii="Arial" w:hAnsi="Arial" w:cs="Arial"/>
        </w:rPr>
        <w:t xml:space="preserve">”. </w:t>
      </w:r>
      <w:proofErr w:type="spellStart"/>
      <w:r w:rsidRPr="00C070B1">
        <w:rPr>
          <w:rFonts w:ascii="Arial" w:hAnsi="Arial" w:cs="Arial"/>
        </w:rPr>
        <w:t>Izdvojene</w:t>
      </w:r>
      <w:proofErr w:type="spellEnd"/>
      <w:r w:rsidRPr="00C070B1">
        <w:rPr>
          <w:rFonts w:ascii="Arial" w:hAnsi="Arial" w:cs="Arial"/>
        </w:rPr>
        <w:t xml:space="preserve"> </w:t>
      </w:r>
      <w:proofErr w:type="spellStart"/>
      <w:r w:rsidRPr="00C070B1">
        <w:rPr>
          <w:rFonts w:ascii="Arial" w:hAnsi="Arial" w:cs="Arial"/>
        </w:rPr>
        <w:t>su</w:t>
      </w:r>
      <w:proofErr w:type="spellEnd"/>
      <w:r w:rsidRPr="00C070B1">
        <w:rPr>
          <w:rFonts w:ascii="Arial" w:hAnsi="Arial" w:cs="Arial"/>
        </w:rPr>
        <w:t xml:space="preserve"> </w:t>
      </w:r>
      <w:proofErr w:type="spellStart"/>
      <w:r w:rsidRPr="00C070B1">
        <w:rPr>
          <w:rFonts w:ascii="Arial" w:hAnsi="Arial" w:cs="Arial"/>
        </w:rPr>
        <w:t>dvije</w:t>
      </w:r>
      <w:proofErr w:type="spellEnd"/>
      <w:r w:rsidRPr="00C070B1">
        <w:rPr>
          <w:rFonts w:ascii="Arial" w:hAnsi="Arial" w:cs="Arial"/>
        </w:rPr>
        <w:t xml:space="preserve"> </w:t>
      </w:r>
      <w:proofErr w:type="spellStart"/>
      <w:r w:rsidRPr="00C070B1">
        <w:rPr>
          <w:rFonts w:ascii="Arial" w:hAnsi="Arial" w:cs="Arial"/>
        </w:rPr>
        <w:t>kartirane</w:t>
      </w:r>
      <w:proofErr w:type="spellEnd"/>
      <w:r w:rsidRPr="00C070B1">
        <w:rPr>
          <w:rFonts w:ascii="Arial" w:hAnsi="Arial" w:cs="Arial"/>
        </w:rPr>
        <w:t xml:space="preserve"> </w:t>
      </w:r>
      <w:proofErr w:type="spellStart"/>
      <w:r w:rsidRPr="00C070B1">
        <w:rPr>
          <w:rFonts w:ascii="Arial" w:hAnsi="Arial" w:cs="Arial"/>
        </w:rPr>
        <w:t>jedinice</w:t>
      </w:r>
      <w:proofErr w:type="spellEnd"/>
      <w:r w:rsidRPr="00C070B1">
        <w:rPr>
          <w:rFonts w:ascii="Arial" w:hAnsi="Arial" w:cs="Arial"/>
        </w:rPr>
        <w:t xml:space="preserve">: </w:t>
      </w:r>
      <w:proofErr w:type="spellStart"/>
      <w:r w:rsidRPr="00C070B1">
        <w:rPr>
          <w:rFonts w:ascii="Arial" w:hAnsi="Arial" w:cs="Arial"/>
        </w:rPr>
        <w:t>krečnjaci</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dolomitični</w:t>
      </w:r>
      <w:proofErr w:type="spellEnd"/>
      <w:r w:rsidRPr="00C070B1">
        <w:rPr>
          <w:rFonts w:ascii="Arial" w:hAnsi="Arial" w:cs="Arial"/>
        </w:rPr>
        <w:t xml:space="preserve"> </w:t>
      </w:r>
      <w:proofErr w:type="spellStart"/>
      <w:r w:rsidRPr="00C070B1">
        <w:rPr>
          <w:rFonts w:ascii="Arial" w:hAnsi="Arial" w:cs="Arial"/>
        </w:rPr>
        <w:t>krečnjaci</w:t>
      </w:r>
      <w:proofErr w:type="spellEnd"/>
      <w:r w:rsidRPr="00C070B1">
        <w:rPr>
          <w:rFonts w:ascii="Arial" w:hAnsi="Arial" w:cs="Arial"/>
        </w:rPr>
        <w:t xml:space="preserve"> </w:t>
      </w:r>
      <w:proofErr w:type="spellStart"/>
      <w:r w:rsidRPr="00C070B1">
        <w:rPr>
          <w:rFonts w:ascii="Arial" w:hAnsi="Arial" w:cs="Arial"/>
        </w:rPr>
        <w:t>senona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bjeličasti</w:t>
      </w:r>
      <w:proofErr w:type="spellEnd"/>
      <w:r w:rsidRPr="00C070B1">
        <w:rPr>
          <w:rFonts w:ascii="Arial" w:hAnsi="Arial" w:cs="Arial"/>
        </w:rPr>
        <w:t xml:space="preserve"> </w:t>
      </w:r>
      <w:proofErr w:type="spellStart"/>
      <w:r w:rsidRPr="00C070B1">
        <w:rPr>
          <w:rFonts w:ascii="Arial" w:hAnsi="Arial" w:cs="Arial"/>
        </w:rPr>
        <w:t>krečnjaci</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mjestimično</w:t>
      </w:r>
      <w:proofErr w:type="spellEnd"/>
      <w:r w:rsidRPr="00C070B1">
        <w:rPr>
          <w:rFonts w:ascii="Arial" w:hAnsi="Arial" w:cs="Arial"/>
        </w:rPr>
        <w:t xml:space="preserve"> </w:t>
      </w:r>
      <w:proofErr w:type="spellStart"/>
      <w:r w:rsidRPr="00C070B1">
        <w:rPr>
          <w:rFonts w:ascii="Arial" w:hAnsi="Arial" w:cs="Arial"/>
        </w:rPr>
        <w:t>laporoviti</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dolomitisani</w:t>
      </w:r>
      <w:proofErr w:type="spellEnd"/>
      <w:r w:rsidRPr="00C070B1">
        <w:rPr>
          <w:rFonts w:ascii="Arial" w:hAnsi="Arial" w:cs="Arial"/>
        </w:rPr>
        <w:t xml:space="preserve"> </w:t>
      </w:r>
      <w:proofErr w:type="spellStart"/>
      <w:r w:rsidRPr="00C070B1">
        <w:rPr>
          <w:rFonts w:ascii="Arial" w:hAnsi="Arial" w:cs="Arial"/>
        </w:rPr>
        <w:t>krečnjaci</w:t>
      </w:r>
      <w:proofErr w:type="spellEnd"/>
      <w:r w:rsidRPr="00C070B1">
        <w:rPr>
          <w:rFonts w:ascii="Arial" w:hAnsi="Arial" w:cs="Arial"/>
        </w:rPr>
        <w:t xml:space="preserve"> </w:t>
      </w:r>
      <w:proofErr w:type="spellStart"/>
      <w:r w:rsidRPr="00C070B1">
        <w:rPr>
          <w:rFonts w:ascii="Arial" w:hAnsi="Arial" w:cs="Arial"/>
        </w:rPr>
        <w:t>mastrihta</w:t>
      </w:r>
      <w:proofErr w:type="spellEnd"/>
      <w:r w:rsidRPr="00C070B1">
        <w:rPr>
          <w:rFonts w:ascii="Arial" w:hAnsi="Arial" w:cs="Arial"/>
        </w:rPr>
        <w:t xml:space="preserve">. </w:t>
      </w:r>
    </w:p>
    <w:p w14:paraId="1ED837D2" w14:textId="4CC26EA3" w:rsidR="00F54919" w:rsidRPr="00C070B1" w:rsidRDefault="00F54919" w:rsidP="00F54919">
      <w:pPr>
        <w:jc w:val="both"/>
        <w:rPr>
          <w:rFonts w:ascii="Arial" w:hAnsi="Arial" w:cs="Arial"/>
        </w:rPr>
      </w:pPr>
      <w:proofErr w:type="spellStart"/>
      <w:r w:rsidRPr="00C070B1">
        <w:rPr>
          <w:rFonts w:ascii="Arial" w:hAnsi="Arial" w:cs="Arial"/>
        </w:rPr>
        <w:t>Proizvodnja</w:t>
      </w:r>
      <w:proofErr w:type="spellEnd"/>
      <w:r w:rsidRPr="00C070B1">
        <w:rPr>
          <w:rFonts w:ascii="Arial" w:hAnsi="Arial" w:cs="Arial"/>
        </w:rPr>
        <w:t xml:space="preserve"> </w:t>
      </w:r>
      <w:proofErr w:type="spellStart"/>
      <w:r w:rsidRPr="00C070B1">
        <w:rPr>
          <w:rFonts w:ascii="Arial" w:hAnsi="Arial" w:cs="Arial"/>
        </w:rPr>
        <w:t>komercijalnih</w:t>
      </w:r>
      <w:proofErr w:type="spellEnd"/>
      <w:r w:rsidRPr="00C070B1">
        <w:rPr>
          <w:rFonts w:ascii="Arial" w:hAnsi="Arial" w:cs="Arial"/>
        </w:rPr>
        <w:t xml:space="preserve"> </w:t>
      </w:r>
      <w:proofErr w:type="spellStart"/>
      <w:r w:rsidRPr="00C070B1">
        <w:rPr>
          <w:rFonts w:ascii="Arial" w:hAnsi="Arial" w:cs="Arial"/>
        </w:rPr>
        <w:t>blokova</w:t>
      </w:r>
      <w:proofErr w:type="spellEnd"/>
      <w:r w:rsidRPr="00C070B1">
        <w:rPr>
          <w:rFonts w:ascii="Arial" w:hAnsi="Arial" w:cs="Arial"/>
        </w:rPr>
        <w:t xml:space="preserve">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w:t>
      </w:r>
      <w:proofErr w:type="spellStart"/>
      <w:r w:rsidRPr="00C070B1">
        <w:rPr>
          <w:rFonts w:ascii="Arial" w:hAnsi="Arial" w:cs="Arial"/>
        </w:rPr>
        <w:t>izležišta</w:t>
      </w:r>
      <w:proofErr w:type="spellEnd"/>
      <w:r w:rsidRPr="00C070B1">
        <w:rPr>
          <w:rFonts w:ascii="Arial" w:hAnsi="Arial" w:cs="Arial"/>
        </w:rPr>
        <w:t xml:space="preserve"> “</w:t>
      </w:r>
      <w:proofErr w:type="spellStart"/>
      <w:r w:rsidRPr="00C070B1">
        <w:rPr>
          <w:rFonts w:ascii="Arial" w:hAnsi="Arial" w:cs="Arial"/>
        </w:rPr>
        <w:t>Klikovače</w:t>
      </w:r>
      <w:proofErr w:type="spellEnd"/>
      <w:r w:rsidRPr="00C070B1">
        <w:rPr>
          <w:rFonts w:ascii="Arial" w:hAnsi="Arial" w:cs="Arial"/>
        </w:rPr>
        <w:t xml:space="preserve">”, </w:t>
      </w:r>
      <w:proofErr w:type="spellStart"/>
      <w:r w:rsidRPr="00C070B1">
        <w:rPr>
          <w:rFonts w:ascii="Arial" w:hAnsi="Arial" w:cs="Arial"/>
        </w:rPr>
        <w:t>prema</w:t>
      </w:r>
      <w:proofErr w:type="spellEnd"/>
      <w:r w:rsidRPr="00C070B1">
        <w:rPr>
          <w:rFonts w:ascii="Arial" w:hAnsi="Arial" w:cs="Arial"/>
        </w:rPr>
        <w:t xml:space="preserve"> </w:t>
      </w:r>
      <w:proofErr w:type="spellStart"/>
      <w:r w:rsidRPr="00C070B1">
        <w:rPr>
          <w:rFonts w:ascii="Arial" w:hAnsi="Arial" w:cs="Arial"/>
        </w:rPr>
        <w:t>raspoloživoj</w:t>
      </w:r>
      <w:proofErr w:type="spellEnd"/>
      <w:r w:rsidRPr="00C070B1">
        <w:rPr>
          <w:rFonts w:ascii="Arial" w:hAnsi="Arial" w:cs="Arial"/>
        </w:rPr>
        <w:t xml:space="preserve"> </w:t>
      </w:r>
      <w:proofErr w:type="spellStart"/>
      <w:r w:rsidRPr="00C070B1">
        <w:rPr>
          <w:rFonts w:ascii="Arial" w:hAnsi="Arial" w:cs="Arial"/>
        </w:rPr>
        <w:t>dokumentaciji</w:t>
      </w:r>
      <w:proofErr w:type="spellEnd"/>
      <w:r w:rsidRPr="00C070B1">
        <w:rPr>
          <w:rFonts w:ascii="Arial" w:hAnsi="Arial" w:cs="Arial"/>
        </w:rPr>
        <w:t xml:space="preserve">, </w:t>
      </w:r>
      <w:proofErr w:type="spellStart"/>
      <w:r w:rsidRPr="00C070B1">
        <w:rPr>
          <w:rFonts w:ascii="Arial" w:hAnsi="Arial" w:cs="Arial"/>
        </w:rPr>
        <w:t>počela</w:t>
      </w:r>
      <w:proofErr w:type="spellEnd"/>
      <w:r w:rsidRPr="00C070B1">
        <w:rPr>
          <w:rFonts w:ascii="Arial" w:hAnsi="Arial" w:cs="Arial"/>
        </w:rPr>
        <w:t xml:space="preserve"> je </w:t>
      </w:r>
      <w:proofErr w:type="spellStart"/>
      <w:r w:rsidRPr="00C070B1">
        <w:rPr>
          <w:rFonts w:ascii="Arial" w:hAnsi="Arial" w:cs="Arial"/>
        </w:rPr>
        <w:t>izradom</w:t>
      </w:r>
      <w:proofErr w:type="spellEnd"/>
      <w:r w:rsidRPr="00C070B1">
        <w:rPr>
          <w:rFonts w:ascii="Arial" w:hAnsi="Arial" w:cs="Arial"/>
        </w:rPr>
        <w:t xml:space="preserve"> </w:t>
      </w:r>
      <w:proofErr w:type="spellStart"/>
      <w:r w:rsidRPr="00C070B1">
        <w:rPr>
          <w:rFonts w:ascii="Arial" w:hAnsi="Arial" w:cs="Arial"/>
        </w:rPr>
        <w:t>probno-eksploatacione</w:t>
      </w:r>
      <w:proofErr w:type="spellEnd"/>
      <w:r w:rsidRPr="00C070B1">
        <w:rPr>
          <w:rFonts w:ascii="Arial" w:hAnsi="Arial" w:cs="Arial"/>
        </w:rPr>
        <w:t xml:space="preserve"> </w:t>
      </w:r>
      <w:proofErr w:type="spellStart"/>
      <w:r w:rsidRPr="00C070B1">
        <w:rPr>
          <w:rFonts w:ascii="Arial" w:hAnsi="Arial" w:cs="Arial"/>
        </w:rPr>
        <w:t>etaže</w:t>
      </w:r>
      <w:proofErr w:type="spellEnd"/>
      <w:r w:rsidRPr="00C070B1">
        <w:rPr>
          <w:rFonts w:ascii="Arial" w:hAnsi="Arial" w:cs="Arial"/>
        </w:rPr>
        <w:t xml:space="preserve"> 1964.</w:t>
      </w:r>
      <w:r>
        <w:rPr>
          <w:rFonts w:ascii="Arial" w:hAnsi="Arial" w:cs="Arial"/>
        </w:rPr>
        <w:t xml:space="preserve"> </w:t>
      </w:r>
      <w:proofErr w:type="spellStart"/>
      <w:r w:rsidRPr="00C070B1">
        <w:rPr>
          <w:rFonts w:ascii="Arial" w:hAnsi="Arial" w:cs="Arial"/>
        </w:rPr>
        <w:t>godine</w:t>
      </w:r>
      <w:proofErr w:type="spellEnd"/>
      <w:r w:rsidRPr="00C070B1">
        <w:rPr>
          <w:rFonts w:ascii="Arial" w:hAnsi="Arial" w:cs="Arial"/>
        </w:rPr>
        <w:t>.</w:t>
      </w:r>
    </w:p>
    <w:p w14:paraId="67E23C6B" w14:textId="081441BC" w:rsidR="00F54919" w:rsidRDefault="00F54919" w:rsidP="005E683D">
      <w:pPr>
        <w:spacing w:after="0" w:line="240" w:lineRule="auto"/>
        <w:jc w:val="both"/>
        <w:rPr>
          <w:rFonts w:ascii="Arial" w:hAnsi="Arial" w:cs="Arial"/>
        </w:rPr>
      </w:pPr>
      <w:r w:rsidRPr="00C070B1">
        <w:rPr>
          <w:rFonts w:ascii="Arial" w:hAnsi="Arial" w:cs="Arial"/>
        </w:rPr>
        <w:lastRenderedPageBreak/>
        <w:t xml:space="preserve">Na </w:t>
      </w:r>
      <w:proofErr w:type="spellStart"/>
      <w:r w:rsidRPr="00C070B1">
        <w:rPr>
          <w:rFonts w:ascii="Arial" w:hAnsi="Arial" w:cs="Arial"/>
        </w:rPr>
        <w:t>istražno-eksploatacionom</w:t>
      </w:r>
      <w:proofErr w:type="spellEnd"/>
      <w:r w:rsidRPr="00C070B1">
        <w:rPr>
          <w:rFonts w:ascii="Arial" w:hAnsi="Arial" w:cs="Arial"/>
        </w:rPr>
        <w:t xml:space="preserve"> </w:t>
      </w:r>
      <w:proofErr w:type="spellStart"/>
      <w:r>
        <w:rPr>
          <w:rFonts w:ascii="Arial" w:hAnsi="Arial" w:cs="Arial"/>
        </w:rPr>
        <w:t>prostoru</w:t>
      </w:r>
      <w:proofErr w:type="spellEnd"/>
      <w:r w:rsidRPr="00C070B1">
        <w:rPr>
          <w:rFonts w:ascii="Arial" w:hAnsi="Arial" w:cs="Arial"/>
        </w:rPr>
        <w:t xml:space="preserve"> </w:t>
      </w:r>
      <w:proofErr w:type="spellStart"/>
      <w:r w:rsidRPr="00C070B1">
        <w:rPr>
          <w:rFonts w:ascii="Arial" w:hAnsi="Arial" w:cs="Arial"/>
        </w:rPr>
        <w:t>ležišta</w:t>
      </w:r>
      <w:proofErr w:type="spellEnd"/>
      <w:r>
        <w:rPr>
          <w:rFonts w:ascii="Arial" w:hAnsi="Arial" w:cs="Arial"/>
        </w:rPr>
        <w:t>,</w:t>
      </w:r>
      <w:r w:rsidRPr="00C070B1">
        <w:rPr>
          <w:rFonts w:ascii="Arial" w:hAnsi="Arial" w:cs="Arial"/>
        </w:rPr>
        <w:t xml:space="preserve"> u </w:t>
      </w:r>
      <w:proofErr w:type="spellStart"/>
      <w:r>
        <w:rPr>
          <w:rFonts w:ascii="Arial" w:hAnsi="Arial" w:cs="Arial"/>
        </w:rPr>
        <w:t>prethodnom</w:t>
      </w:r>
      <w:proofErr w:type="spellEnd"/>
      <w:r w:rsidRPr="00C070B1">
        <w:rPr>
          <w:rFonts w:ascii="Arial" w:hAnsi="Arial" w:cs="Arial"/>
        </w:rPr>
        <w:t xml:space="preserve"> </w:t>
      </w:r>
      <w:proofErr w:type="spellStart"/>
      <w:r>
        <w:rPr>
          <w:rFonts w:ascii="Arial" w:hAnsi="Arial" w:cs="Arial"/>
        </w:rPr>
        <w:t>periodu</w:t>
      </w:r>
      <w:proofErr w:type="spellEnd"/>
      <w:r>
        <w:rPr>
          <w:rFonts w:ascii="Arial" w:hAnsi="Arial" w:cs="Arial"/>
        </w:rPr>
        <w:t>,</w:t>
      </w:r>
      <w:r w:rsidRPr="00C070B1">
        <w:rPr>
          <w:rFonts w:ascii="Arial" w:hAnsi="Arial" w:cs="Arial"/>
        </w:rPr>
        <w:t xml:space="preserve"> </w:t>
      </w:r>
      <w:proofErr w:type="spellStart"/>
      <w:r w:rsidRPr="00C070B1">
        <w:rPr>
          <w:rFonts w:ascii="Arial" w:hAnsi="Arial" w:cs="Arial"/>
        </w:rPr>
        <w:t>eksploataciona</w:t>
      </w:r>
      <w:proofErr w:type="spellEnd"/>
      <w:r w:rsidRPr="00C070B1">
        <w:rPr>
          <w:rFonts w:ascii="Arial" w:hAnsi="Arial" w:cs="Arial"/>
        </w:rPr>
        <w:t xml:space="preserve"> </w:t>
      </w:r>
      <w:proofErr w:type="spellStart"/>
      <w:r w:rsidRPr="00C070B1">
        <w:rPr>
          <w:rFonts w:ascii="Arial" w:hAnsi="Arial" w:cs="Arial"/>
        </w:rPr>
        <w:t>istraživanja</w:t>
      </w:r>
      <w:proofErr w:type="spellEnd"/>
      <w:r w:rsidRPr="00C070B1">
        <w:rPr>
          <w:rFonts w:ascii="Arial" w:hAnsi="Arial" w:cs="Arial"/>
        </w:rPr>
        <w:t xml:space="preserve">, </w:t>
      </w:r>
      <w:proofErr w:type="spellStart"/>
      <w:r w:rsidRPr="00C070B1">
        <w:rPr>
          <w:rFonts w:ascii="Arial" w:hAnsi="Arial" w:cs="Arial"/>
        </w:rPr>
        <w:t>sa</w:t>
      </w:r>
      <w:proofErr w:type="spellEnd"/>
      <w:r w:rsidRPr="00C070B1">
        <w:rPr>
          <w:rFonts w:ascii="Arial" w:hAnsi="Arial" w:cs="Arial"/>
        </w:rPr>
        <w:t xml:space="preserve"> </w:t>
      </w:r>
      <w:proofErr w:type="spellStart"/>
      <w:r w:rsidRPr="00C070B1">
        <w:rPr>
          <w:rFonts w:ascii="Arial" w:hAnsi="Arial" w:cs="Arial"/>
        </w:rPr>
        <w:t>aspekta</w:t>
      </w:r>
      <w:proofErr w:type="spellEnd"/>
      <w:r w:rsidRPr="00C070B1">
        <w:rPr>
          <w:rFonts w:ascii="Arial" w:hAnsi="Arial" w:cs="Arial"/>
        </w:rPr>
        <w:t xml:space="preserve"> </w:t>
      </w:r>
      <w:proofErr w:type="spellStart"/>
      <w:r w:rsidRPr="00C070B1">
        <w:rPr>
          <w:rFonts w:ascii="Arial" w:hAnsi="Arial" w:cs="Arial"/>
        </w:rPr>
        <w:t>utvrđivanja</w:t>
      </w:r>
      <w:proofErr w:type="spellEnd"/>
      <w:r w:rsidRPr="00C070B1">
        <w:rPr>
          <w:rFonts w:ascii="Arial" w:hAnsi="Arial" w:cs="Arial"/>
        </w:rPr>
        <w:t xml:space="preserve"> </w:t>
      </w:r>
      <w:proofErr w:type="spellStart"/>
      <w:r w:rsidRPr="00C070B1">
        <w:rPr>
          <w:rFonts w:ascii="Arial" w:hAnsi="Arial" w:cs="Arial"/>
        </w:rPr>
        <w:t>mogućnosti</w:t>
      </w:r>
      <w:proofErr w:type="spellEnd"/>
      <w:r w:rsidRPr="00C070B1">
        <w:rPr>
          <w:rFonts w:ascii="Arial" w:hAnsi="Arial" w:cs="Arial"/>
        </w:rPr>
        <w:t xml:space="preserve"> </w:t>
      </w:r>
      <w:proofErr w:type="spellStart"/>
      <w:r w:rsidRPr="00C070B1">
        <w:rPr>
          <w:rFonts w:ascii="Arial" w:hAnsi="Arial" w:cs="Arial"/>
        </w:rPr>
        <w:t>vađenja</w:t>
      </w:r>
      <w:proofErr w:type="spellEnd"/>
      <w:r w:rsidRPr="00C070B1">
        <w:rPr>
          <w:rFonts w:ascii="Arial" w:hAnsi="Arial" w:cs="Arial"/>
        </w:rPr>
        <w:t xml:space="preserve"> </w:t>
      </w:r>
      <w:proofErr w:type="spellStart"/>
      <w:r w:rsidRPr="00C070B1">
        <w:rPr>
          <w:rFonts w:ascii="Arial" w:hAnsi="Arial" w:cs="Arial"/>
        </w:rPr>
        <w:t>komercijalnih</w:t>
      </w:r>
      <w:proofErr w:type="spellEnd"/>
      <w:r w:rsidRPr="00C070B1">
        <w:rPr>
          <w:rFonts w:ascii="Arial" w:hAnsi="Arial" w:cs="Arial"/>
        </w:rPr>
        <w:t xml:space="preserve"> </w:t>
      </w:r>
      <w:proofErr w:type="spellStart"/>
      <w:r w:rsidRPr="00C070B1">
        <w:rPr>
          <w:rFonts w:ascii="Arial" w:hAnsi="Arial" w:cs="Arial"/>
        </w:rPr>
        <w:t>blokova</w:t>
      </w:r>
      <w:proofErr w:type="spellEnd"/>
      <w:r w:rsidRPr="00C070B1">
        <w:rPr>
          <w:rFonts w:ascii="Arial" w:hAnsi="Arial" w:cs="Arial"/>
        </w:rPr>
        <w:t xml:space="preserve">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w:t>
      </w:r>
      <w:proofErr w:type="spellStart"/>
      <w:r w:rsidRPr="00C070B1">
        <w:rPr>
          <w:rFonts w:ascii="Arial" w:hAnsi="Arial" w:cs="Arial"/>
        </w:rPr>
        <w:t>vršena</w:t>
      </w:r>
      <w:proofErr w:type="spellEnd"/>
      <w:r w:rsidRPr="00C070B1">
        <w:rPr>
          <w:rFonts w:ascii="Arial" w:hAnsi="Arial" w:cs="Arial"/>
        </w:rPr>
        <w:t xml:space="preserve"> </w:t>
      </w:r>
      <w:proofErr w:type="spellStart"/>
      <w:r w:rsidRPr="00C070B1">
        <w:rPr>
          <w:rFonts w:ascii="Arial" w:hAnsi="Arial" w:cs="Arial"/>
        </w:rPr>
        <w:t>su</w:t>
      </w:r>
      <w:proofErr w:type="spellEnd"/>
      <w:r w:rsidRPr="00C070B1">
        <w:rPr>
          <w:rFonts w:ascii="Arial" w:hAnsi="Arial" w:cs="Arial"/>
        </w:rPr>
        <w:t xml:space="preserve"> </w:t>
      </w:r>
      <w:proofErr w:type="spellStart"/>
      <w:r w:rsidRPr="00C070B1">
        <w:rPr>
          <w:rFonts w:ascii="Arial" w:hAnsi="Arial" w:cs="Arial"/>
        </w:rPr>
        <w:t>na</w:t>
      </w:r>
      <w:proofErr w:type="spellEnd"/>
      <w:r w:rsidRPr="00C070B1">
        <w:rPr>
          <w:rFonts w:ascii="Arial" w:hAnsi="Arial" w:cs="Arial"/>
        </w:rPr>
        <w:t xml:space="preserve"> tri </w:t>
      </w:r>
      <w:proofErr w:type="spellStart"/>
      <w:r w:rsidRPr="00C070B1">
        <w:rPr>
          <w:rFonts w:ascii="Arial" w:hAnsi="Arial" w:cs="Arial"/>
        </w:rPr>
        <w:t>mikrolokacije</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to, </w:t>
      </w:r>
      <w:proofErr w:type="spellStart"/>
      <w:r w:rsidRPr="00C070B1">
        <w:rPr>
          <w:rFonts w:ascii="Arial" w:hAnsi="Arial" w:cs="Arial"/>
        </w:rPr>
        <w:t>dvije</w:t>
      </w:r>
      <w:proofErr w:type="spellEnd"/>
      <w:r w:rsidRPr="00C070B1">
        <w:rPr>
          <w:rFonts w:ascii="Arial" w:hAnsi="Arial" w:cs="Arial"/>
        </w:rPr>
        <w:t xml:space="preserve"> u </w:t>
      </w:r>
      <w:proofErr w:type="spellStart"/>
      <w:r w:rsidRPr="00C070B1">
        <w:rPr>
          <w:rFonts w:ascii="Arial" w:hAnsi="Arial" w:cs="Arial"/>
        </w:rPr>
        <w:t>okviru</w:t>
      </w:r>
      <w:proofErr w:type="spellEnd"/>
      <w:r w:rsidRPr="00C070B1">
        <w:rPr>
          <w:rFonts w:ascii="Arial" w:hAnsi="Arial" w:cs="Arial"/>
        </w:rPr>
        <w:t xml:space="preserve"> </w:t>
      </w:r>
      <w:proofErr w:type="spellStart"/>
      <w:r>
        <w:rPr>
          <w:rFonts w:ascii="Arial" w:hAnsi="Arial" w:cs="Arial"/>
        </w:rPr>
        <w:t>postojećeg</w:t>
      </w:r>
      <w:proofErr w:type="spellEnd"/>
      <w:r>
        <w:rPr>
          <w:rFonts w:ascii="Arial" w:hAnsi="Arial" w:cs="Arial"/>
        </w:rPr>
        <w:t xml:space="preserve"> </w:t>
      </w:r>
      <w:proofErr w:type="spellStart"/>
      <w:r>
        <w:rPr>
          <w:rFonts w:ascii="Arial" w:hAnsi="Arial" w:cs="Arial"/>
        </w:rPr>
        <w:t>ležita</w:t>
      </w:r>
      <w:proofErr w:type="spellEnd"/>
      <w:r>
        <w:rPr>
          <w:rFonts w:ascii="Arial" w:hAnsi="Arial" w:cs="Arial"/>
        </w:rPr>
        <w:t xml:space="preserve"> “</w:t>
      </w:r>
      <w:proofErr w:type="spellStart"/>
      <w:r>
        <w:rPr>
          <w:rFonts w:ascii="Arial" w:hAnsi="Arial" w:cs="Arial"/>
        </w:rPr>
        <w:t>Klikovače</w:t>
      </w:r>
      <w:proofErr w:type="spellEnd"/>
      <w:r>
        <w:rPr>
          <w:rFonts w:ascii="Arial" w:hAnsi="Arial" w:cs="Arial"/>
        </w:rPr>
        <w:t>” (</w:t>
      </w:r>
      <w:proofErr w:type="spellStart"/>
      <w:r w:rsidRPr="00C070B1">
        <w:rPr>
          <w:rFonts w:ascii="Arial" w:hAnsi="Arial" w:cs="Arial"/>
        </w:rPr>
        <w:t>postojeći</w:t>
      </w:r>
      <w:proofErr w:type="spellEnd"/>
      <w:r w:rsidRPr="00C070B1">
        <w:rPr>
          <w:rFonts w:ascii="Arial" w:hAnsi="Arial" w:cs="Arial"/>
        </w:rPr>
        <w:t xml:space="preserve"> kop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istražna</w:t>
      </w:r>
      <w:proofErr w:type="spellEnd"/>
      <w:r w:rsidRPr="00C070B1">
        <w:rPr>
          <w:rFonts w:ascii="Arial" w:hAnsi="Arial" w:cs="Arial"/>
        </w:rPr>
        <w:t xml:space="preserve"> </w:t>
      </w:r>
      <w:proofErr w:type="spellStart"/>
      <w:r w:rsidRPr="00C070B1">
        <w:rPr>
          <w:rFonts w:ascii="Arial" w:hAnsi="Arial" w:cs="Arial"/>
        </w:rPr>
        <w:t>etaža</w:t>
      </w:r>
      <w:proofErr w:type="spellEnd"/>
      <w:r w:rsidRPr="00C070B1">
        <w:rPr>
          <w:rFonts w:ascii="Arial" w:hAnsi="Arial" w:cs="Arial"/>
        </w:rPr>
        <w:t xml:space="preserve"> "</w:t>
      </w:r>
      <w:proofErr w:type="spellStart"/>
      <w:r w:rsidRPr="00C070B1">
        <w:rPr>
          <w:rFonts w:ascii="Arial" w:hAnsi="Arial" w:cs="Arial"/>
        </w:rPr>
        <w:t>Klikovače</w:t>
      </w:r>
      <w:proofErr w:type="spellEnd"/>
      <w:r w:rsidRPr="00C070B1">
        <w:rPr>
          <w:rFonts w:ascii="Arial" w:hAnsi="Arial" w:cs="Arial"/>
        </w:rPr>
        <w:t xml:space="preserve"> II")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rudnoj</w:t>
      </w:r>
      <w:proofErr w:type="spellEnd"/>
      <w:r w:rsidRPr="00C070B1">
        <w:rPr>
          <w:rFonts w:ascii="Arial" w:hAnsi="Arial" w:cs="Arial"/>
        </w:rPr>
        <w:t xml:space="preserve"> </w:t>
      </w:r>
      <w:proofErr w:type="spellStart"/>
      <w:r w:rsidRPr="00C070B1">
        <w:rPr>
          <w:rFonts w:ascii="Arial" w:hAnsi="Arial" w:cs="Arial"/>
        </w:rPr>
        <w:t>pojavi</w:t>
      </w:r>
      <w:proofErr w:type="spellEnd"/>
      <w:r w:rsidRPr="00C070B1">
        <w:rPr>
          <w:rFonts w:ascii="Arial" w:hAnsi="Arial" w:cs="Arial"/>
        </w:rPr>
        <w:t xml:space="preserve"> “</w:t>
      </w:r>
      <w:proofErr w:type="spellStart"/>
      <w:r w:rsidRPr="00C070B1">
        <w:rPr>
          <w:rFonts w:ascii="Arial" w:hAnsi="Arial" w:cs="Arial"/>
        </w:rPr>
        <w:t>Buržine</w:t>
      </w:r>
      <w:proofErr w:type="spellEnd"/>
      <w:r w:rsidRPr="00C070B1">
        <w:rPr>
          <w:rFonts w:ascii="Arial" w:hAnsi="Arial" w:cs="Arial"/>
        </w:rPr>
        <w:t xml:space="preserve">”, </w:t>
      </w:r>
      <w:proofErr w:type="spellStart"/>
      <w:r w:rsidRPr="00C070B1">
        <w:rPr>
          <w:rFonts w:ascii="Arial" w:hAnsi="Arial" w:cs="Arial"/>
        </w:rPr>
        <w:t>koja</w:t>
      </w:r>
      <w:proofErr w:type="spellEnd"/>
      <w:r w:rsidRPr="00C070B1">
        <w:rPr>
          <w:rFonts w:ascii="Arial" w:hAnsi="Arial" w:cs="Arial"/>
        </w:rPr>
        <w:t xml:space="preserve"> se </w:t>
      </w:r>
      <w:proofErr w:type="spellStart"/>
      <w:r w:rsidRPr="00C070B1">
        <w:rPr>
          <w:rFonts w:ascii="Arial" w:hAnsi="Arial" w:cs="Arial"/>
        </w:rPr>
        <w:t>nalazi</w:t>
      </w:r>
      <w:proofErr w:type="spellEnd"/>
      <w:r w:rsidRPr="00C070B1">
        <w:rPr>
          <w:rFonts w:ascii="Arial" w:hAnsi="Arial" w:cs="Arial"/>
        </w:rPr>
        <w:t xml:space="preserve"> </w:t>
      </w:r>
      <w:proofErr w:type="spellStart"/>
      <w:r w:rsidRPr="00C070B1">
        <w:rPr>
          <w:rFonts w:ascii="Arial" w:hAnsi="Arial" w:cs="Arial"/>
        </w:rPr>
        <w:t>na</w:t>
      </w:r>
      <w:proofErr w:type="spellEnd"/>
      <w:r w:rsidRPr="00C070B1">
        <w:rPr>
          <w:rFonts w:ascii="Arial" w:hAnsi="Arial" w:cs="Arial"/>
        </w:rPr>
        <w:t xml:space="preserve"> </w:t>
      </w:r>
      <w:proofErr w:type="spellStart"/>
      <w:r w:rsidRPr="00C070B1">
        <w:rPr>
          <w:rFonts w:ascii="Arial" w:hAnsi="Arial" w:cs="Arial"/>
        </w:rPr>
        <w:t>oko</w:t>
      </w:r>
      <w:proofErr w:type="spellEnd"/>
      <w:r w:rsidRPr="00C070B1">
        <w:rPr>
          <w:rFonts w:ascii="Arial" w:hAnsi="Arial" w:cs="Arial"/>
        </w:rPr>
        <w:t xml:space="preserve"> 600 m </w:t>
      </w:r>
      <w:proofErr w:type="spellStart"/>
      <w:r w:rsidRPr="00C070B1">
        <w:rPr>
          <w:rFonts w:ascii="Arial" w:hAnsi="Arial" w:cs="Arial"/>
        </w:rPr>
        <w:t>jugozapadno</w:t>
      </w:r>
      <w:proofErr w:type="spellEnd"/>
      <w:r w:rsidRPr="00C070B1">
        <w:rPr>
          <w:rFonts w:ascii="Arial" w:hAnsi="Arial" w:cs="Arial"/>
        </w:rPr>
        <w:t xml:space="preserve"> od </w:t>
      </w:r>
      <w:proofErr w:type="spellStart"/>
      <w:r w:rsidRPr="00C070B1">
        <w:rPr>
          <w:rFonts w:ascii="Arial" w:hAnsi="Arial" w:cs="Arial"/>
        </w:rPr>
        <w:t>kopa</w:t>
      </w:r>
      <w:proofErr w:type="spellEnd"/>
      <w:r w:rsidRPr="00C070B1">
        <w:rPr>
          <w:rFonts w:ascii="Arial" w:hAnsi="Arial" w:cs="Arial"/>
        </w:rPr>
        <w:t xml:space="preserve"> “</w:t>
      </w:r>
      <w:proofErr w:type="spellStart"/>
      <w:r w:rsidRPr="00C070B1">
        <w:rPr>
          <w:rFonts w:ascii="Arial" w:hAnsi="Arial" w:cs="Arial"/>
        </w:rPr>
        <w:t>Klikovače</w:t>
      </w:r>
      <w:proofErr w:type="spellEnd"/>
      <w:r w:rsidRPr="00C070B1">
        <w:rPr>
          <w:rFonts w:ascii="Arial" w:hAnsi="Arial" w:cs="Arial"/>
        </w:rPr>
        <w:t xml:space="preserve">”. </w:t>
      </w:r>
    </w:p>
    <w:p w14:paraId="0C2A80F9" w14:textId="77777777" w:rsidR="005E683D" w:rsidRPr="00C070B1" w:rsidRDefault="005E683D" w:rsidP="005E683D">
      <w:pPr>
        <w:spacing w:after="0" w:line="240" w:lineRule="auto"/>
        <w:jc w:val="both"/>
        <w:rPr>
          <w:rFonts w:ascii="Arial" w:hAnsi="Arial" w:cs="Arial"/>
        </w:rPr>
      </w:pPr>
    </w:p>
    <w:p w14:paraId="6D34B97F" w14:textId="5EC9B6A3" w:rsidR="00F54919" w:rsidRPr="00CB1296" w:rsidRDefault="00F54919" w:rsidP="005E683D">
      <w:pPr>
        <w:spacing w:after="0" w:line="240" w:lineRule="auto"/>
        <w:jc w:val="both"/>
        <w:rPr>
          <w:rFonts w:ascii="Arial" w:hAnsi="Arial" w:cs="Arial"/>
        </w:rPr>
      </w:pPr>
      <w:proofErr w:type="spellStart"/>
      <w:r w:rsidRPr="00B92E77">
        <w:rPr>
          <w:rFonts w:ascii="Arial" w:hAnsi="Arial" w:cs="Arial"/>
        </w:rPr>
        <w:t>Ukupno</w:t>
      </w:r>
      <w:proofErr w:type="spellEnd"/>
      <w:r w:rsidRPr="00B92E77">
        <w:rPr>
          <w:rFonts w:ascii="Arial" w:hAnsi="Arial" w:cs="Arial"/>
        </w:rPr>
        <w:t xml:space="preserve"> </w:t>
      </w:r>
      <w:proofErr w:type="spellStart"/>
      <w:r w:rsidRPr="00B92E77">
        <w:rPr>
          <w:rFonts w:ascii="Arial" w:hAnsi="Arial" w:cs="Arial"/>
        </w:rPr>
        <w:t>proračunate</w:t>
      </w:r>
      <w:proofErr w:type="spellEnd"/>
      <w:r w:rsidRPr="00B92E77">
        <w:rPr>
          <w:rFonts w:ascii="Arial" w:hAnsi="Arial" w:cs="Arial"/>
        </w:rPr>
        <w:t xml:space="preserve"> </w:t>
      </w:r>
      <w:proofErr w:type="spellStart"/>
      <w:r w:rsidRPr="00B92E77">
        <w:rPr>
          <w:rFonts w:ascii="Arial" w:hAnsi="Arial" w:cs="Arial"/>
        </w:rPr>
        <w:t>eksploatacione</w:t>
      </w:r>
      <w:proofErr w:type="spellEnd"/>
      <w:r w:rsidRPr="00B92E77">
        <w:rPr>
          <w:rFonts w:ascii="Arial" w:hAnsi="Arial" w:cs="Arial"/>
        </w:rPr>
        <w:t xml:space="preserve"> </w:t>
      </w:r>
      <w:proofErr w:type="spellStart"/>
      <w:r w:rsidRPr="00B92E77">
        <w:rPr>
          <w:rFonts w:ascii="Arial" w:hAnsi="Arial" w:cs="Arial"/>
        </w:rPr>
        <w:t>rezerve</w:t>
      </w:r>
      <w:proofErr w:type="spellEnd"/>
      <w:r w:rsidRPr="00B92E77">
        <w:rPr>
          <w:rFonts w:ascii="Arial" w:hAnsi="Arial" w:cs="Arial"/>
        </w:rPr>
        <w:t xml:space="preserve"> </w:t>
      </w:r>
      <w:proofErr w:type="spellStart"/>
      <w:r w:rsidRPr="00B92E77">
        <w:rPr>
          <w:rFonts w:ascii="Arial" w:hAnsi="Arial" w:cs="Arial"/>
        </w:rPr>
        <w:t>stijenske</w:t>
      </w:r>
      <w:proofErr w:type="spellEnd"/>
      <w:r w:rsidRPr="00B92E77">
        <w:rPr>
          <w:rFonts w:ascii="Arial" w:hAnsi="Arial" w:cs="Arial"/>
        </w:rPr>
        <w:t xml:space="preserve"> mase </w:t>
      </w:r>
      <w:proofErr w:type="spellStart"/>
      <w:r w:rsidRPr="00B92E77">
        <w:rPr>
          <w:rFonts w:ascii="Arial" w:hAnsi="Arial" w:cs="Arial"/>
        </w:rPr>
        <w:t>arhitektonsko-građevinskog</w:t>
      </w:r>
      <w:proofErr w:type="spellEnd"/>
      <w:r w:rsidRPr="00B92E77">
        <w:rPr>
          <w:rFonts w:ascii="Arial" w:hAnsi="Arial" w:cs="Arial"/>
        </w:rPr>
        <w:t xml:space="preserve"> </w:t>
      </w:r>
      <w:proofErr w:type="spellStart"/>
      <w:r w:rsidRPr="00B92E77">
        <w:rPr>
          <w:rFonts w:ascii="Arial" w:hAnsi="Arial" w:cs="Arial"/>
        </w:rPr>
        <w:t>kamena</w:t>
      </w:r>
      <w:proofErr w:type="spellEnd"/>
      <w:r w:rsidRPr="00B92E77">
        <w:rPr>
          <w:rFonts w:ascii="Arial" w:hAnsi="Arial" w:cs="Arial"/>
        </w:rPr>
        <w:t xml:space="preserve"> u </w:t>
      </w:r>
      <w:proofErr w:type="spellStart"/>
      <w:r w:rsidR="0029797A">
        <w:rPr>
          <w:rFonts w:ascii="Arial" w:hAnsi="Arial" w:cs="Arial"/>
        </w:rPr>
        <w:t>ležištu</w:t>
      </w:r>
      <w:proofErr w:type="spellEnd"/>
      <w:r w:rsidR="0029797A">
        <w:rPr>
          <w:rFonts w:ascii="Arial" w:hAnsi="Arial" w:cs="Arial"/>
        </w:rPr>
        <w:t xml:space="preserve"> "</w:t>
      </w:r>
      <w:proofErr w:type="spellStart"/>
      <w:r w:rsidR="0029797A">
        <w:rPr>
          <w:rFonts w:ascii="Arial" w:hAnsi="Arial" w:cs="Arial"/>
        </w:rPr>
        <w:t>Klikovače</w:t>
      </w:r>
      <w:proofErr w:type="spellEnd"/>
      <w:r w:rsidR="0029797A">
        <w:rPr>
          <w:rFonts w:ascii="Arial" w:hAnsi="Arial" w:cs="Arial"/>
        </w:rPr>
        <w:t xml:space="preserve">", </w:t>
      </w:r>
      <w:proofErr w:type="spellStart"/>
      <w:r w:rsidR="0029797A">
        <w:rPr>
          <w:rFonts w:ascii="Arial" w:hAnsi="Arial" w:cs="Arial"/>
        </w:rPr>
        <w:t>sa</w:t>
      </w:r>
      <w:proofErr w:type="spellEnd"/>
      <w:r w:rsidR="0029797A">
        <w:rPr>
          <w:rFonts w:ascii="Arial" w:hAnsi="Arial" w:cs="Arial"/>
        </w:rPr>
        <w:t xml:space="preserve"> </w:t>
      </w:r>
      <w:proofErr w:type="spellStart"/>
      <w:r w:rsidR="0029797A">
        <w:rPr>
          <w:rFonts w:ascii="Arial" w:hAnsi="Arial" w:cs="Arial"/>
        </w:rPr>
        <w:t>stanjem</w:t>
      </w:r>
      <w:proofErr w:type="spellEnd"/>
      <w:r w:rsidR="0029797A">
        <w:rPr>
          <w:rFonts w:ascii="Arial" w:hAnsi="Arial" w:cs="Arial"/>
        </w:rPr>
        <w:t xml:space="preserve"> </w:t>
      </w:r>
      <w:r w:rsidRPr="00B92E77">
        <w:rPr>
          <w:rFonts w:ascii="Arial" w:hAnsi="Arial" w:cs="Arial"/>
        </w:rPr>
        <w:t>31.12.2005.</w:t>
      </w:r>
      <w:r w:rsidR="0029797A">
        <w:rPr>
          <w:rFonts w:ascii="Arial" w:hAnsi="Arial" w:cs="Arial"/>
        </w:rPr>
        <w:t xml:space="preserve"> </w:t>
      </w:r>
      <w:proofErr w:type="spellStart"/>
      <w:r w:rsidRPr="00B92E77">
        <w:rPr>
          <w:rFonts w:ascii="Arial" w:hAnsi="Arial" w:cs="Arial"/>
        </w:rPr>
        <w:t>godine</w:t>
      </w:r>
      <w:proofErr w:type="spellEnd"/>
      <w:r w:rsidR="0029797A">
        <w:rPr>
          <w:rFonts w:ascii="Arial" w:hAnsi="Arial" w:cs="Arial"/>
        </w:rPr>
        <w:t>,</w:t>
      </w:r>
      <w:r w:rsidRPr="00B92E77">
        <w:rPr>
          <w:rFonts w:ascii="Arial" w:hAnsi="Arial" w:cs="Arial"/>
        </w:rPr>
        <w:t xml:space="preserve"> </w:t>
      </w:r>
      <w:proofErr w:type="spellStart"/>
      <w:r w:rsidRPr="00B92E77">
        <w:rPr>
          <w:rFonts w:ascii="Arial" w:hAnsi="Arial" w:cs="Arial"/>
        </w:rPr>
        <w:t>iznose</w:t>
      </w:r>
      <w:proofErr w:type="spellEnd"/>
      <w:r w:rsidRPr="00B92E77">
        <w:rPr>
          <w:rFonts w:ascii="Arial" w:hAnsi="Arial" w:cs="Arial"/>
        </w:rPr>
        <w:t xml:space="preserve"> </w:t>
      </w:r>
      <w:proofErr w:type="spellStart"/>
      <w:r w:rsidRPr="00B92E77">
        <w:rPr>
          <w:rFonts w:ascii="Arial" w:hAnsi="Arial" w:cs="Arial"/>
        </w:rPr>
        <w:t>oko</w:t>
      </w:r>
      <w:proofErr w:type="spellEnd"/>
      <w:r w:rsidRPr="00B92E77">
        <w:rPr>
          <w:rFonts w:ascii="Arial" w:hAnsi="Arial" w:cs="Arial"/>
        </w:rPr>
        <w:t xml:space="preserve"> 1 228 500 </w:t>
      </w:r>
      <w:r w:rsidRPr="00CB1296">
        <w:rPr>
          <w:rFonts w:ascii="Arial" w:hAnsi="Arial" w:cs="Arial"/>
        </w:rPr>
        <w:t>m</w:t>
      </w:r>
      <w:proofErr w:type="gramStart"/>
      <w:r w:rsidRPr="00CB1296">
        <w:rPr>
          <w:rFonts w:ascii="Arial" w:hAnsi="Arial" w:cs="Arial"/>
          <w:vertAlign w:val="superscript"/>
        </w:rPr>
        <w:t xml:space="preserve">3  </w:t>
      </w:r>
      <w:proofErr w:type="spellStart"/>
      <w:r w:rsidR="00CB1296" w:rsidRPr="00CB1296">
        <w:rPr>
          <w:rFonts w:ascii="Arial" w:hAnsi="Arial" w:cs="Arial"/>
        </w:rPr>
        <w:t>i</w:t>
      </w:r>
      <w:proofErr w:type="spellEnd"/>
      <w:proofErr w:type="gramEnd"/>
      <w:r w:rsidRPr="00CB1296">
        <w:rPr>
          <w:rFonts w:ascii="Arial" w:hAnsi="Arial" w:cs="Arial"/>
        </w:rPr>
        <w:t xml:space="preserve"> </w:t>
      </w:r>
      <w:r w:rsidRPr="00CB1296">
        <w:rPr>
          <w:rFonts w:ascii="Arial" w:hAnsi="Arial" w:cs="Arial"/>
          <w:iCs/>
        </w:rPr>
        <w:t>307 126</w:t>
      </w:r>
      <w:r w:rsidR="00CB1296">
        <w:rPr>
          <w:rFonts w:ascii="Arial" w:hAnsi="Arial" w:cs="Arial"/>
          <w:iCs/>
        </w:rPr>
        <w:t xml:space="preserve"> </w:t>
      </w:r>
      <w:r w:rsidR="00CB1296" w:rsidRPr="00CB1296">
        <w:rPr>
          <w:rFonts w:ascii="Arial" w:hAnsi="Arial" w:cs="Arial"/>
        </w:rPr>
        <w:t>m</w:t>
      </w:r>
      <w:r w:rsidR="00CB1296" w:rsidRPr="00CB1296">
        <w:rPr>
          <w:rFonts w:ascii="Arial" w:hAnsi="Arial" w:cs="Arial"/>
          <w:vertAlign w:val="superscript"/>
        </w:rPr>
        <w:t>3</w:t>
      </w:r>
      <w:r w:rsidR="00CB1296" w:rsidRPr="00CB1296">
        <w:rPr>
          <w:rFonts w:ascii="Arial" w:hAnsi="Arial" w:cs="Arial"/>
          <w:iCs/>
        </w:rPr>
        <w:t xml:space="preserve"> </w:t>
      </w:r>
      <w:proofErr w:type="spellStart"/>
      <w:r w:rsidR="00CB1296" w:rsidRPr="00CB1296">
        <w:rPr>
          <w:rFonts w:ascii="Arial" w:hAnsi="Arial" w:cs="Arial"/>
          <w:iCs/>
        </w:rPr>
        <w:t>rezervi</w:t>
      </w:r>
      <w:proofErr w:type="spellEnd"/>
      <w:r w:rsidR="00CB1296" w:rsidRPr="00CB1296">
        <w:rPr>
          <w:rFonts w:ascii="Arial" w:hAnsi="Arial" w:cs="Arial"/>
          <w:iCs/>
        </w:rPr>
        <w:t xml:space="preserve"> </w:t>
      </w:r>
      <w:proofErr w:type="spellStart"/>
      <w:r w:rsidR="00CB1296">
        <w:rPr>
          <w:rFonts w:ascii="Arial" w:hAnsi="Arial" w:cs="Arial"/>
          <w:iCs/>
        </w:rPr>
        <w:t>komercijlnog</w:t>
      </w:r>
      <w:proofErr w:type="spellEnd"/>
      <w:r w:rsidR="00CB1296">
        <w:rPr>
          <w:rFonts w:ascii="Arial" w:hAnsi="Arial" w:cs="Arial"/>
          <w:iCs/>
        </w:rPr>
        <w:t xml:space="preserve"> </w:t>
      </w:r>
      <w:proofErr w:type="spellStart"/>
      <w:r w:rsidR="00CB1296" w:rsidRPr="00CB1296">
        <w:rPr>
          <w:rFonts w:ascii="Arial" w:hAnsi="Arial" w:cs="Arial"/>
          <w:iCs/>
        </w:rPr>
        <w:t>bloka</w:t>
      </w:r>
      <w:proofErr w:type="spellEnd"/>
      <w:r w:rsidR="00CB1296">
        <w:rPr>
          <w:rFonts w:ascii="Arial" w:hAnsi="Arial" w:cs="Arial"/>
          <w:iCs/>
        </w:rPr>
        <w:t>,</w:t>
      </w:r>
      <w:r w:rsidR="00CB1296" w:rsidRPr="00CB1296">
        <w:rPr>
          <w:rFonts w:ascii="Arial" w:hAnsi="Arial" w:cs="Arial"/>
          <w:iCs/>
        </w:rPr>
        <w:t xml:space="preserve"> </w:t>
      </w:r>
      <w:proofErr w:type="spellStart"/>
      <w:r w:rsidR="00CB1296" w:rsidRPr="00CB1296">
        <w:rPr>
          <w:rFonts w:ascii="Arial" w:hAnsi="Arial" w:cs="Arial"/>
          <w:iCs/>
        </w:rPr>
        <w:t>uz</w:t>
      </w:r>
      <w:proofErr w:type="spellEnd"/>
      <w:r w:rsidR="00CB1296" w:rsidRPr="00CB1296">
        <w:rPr>
          <w:rFonts w:ascii="Arial" w:hAnsi="Arial" w:cs="Arial"/>
          <w:iCs/>
        </w:rPr>
        <w:t xml:space="preserve"> </w:t>
      </w:r>
      <w:proofErr w:type="spellStart"/>
      <w:r w:rsidR="00CB1296" w:rsidRPr="00CB1296">
        <w:rPr>
          <w:rFonts w:ascii="Arial" w:hAnsi="Arial" w:cs="Arial"/>
          <w:iCs/>
        </w:rPr>
        <w:t>iskorišćenje</w:t>
      </w:r>
      <w:proofErr w:type="spellEnd"/>
      <w:r w:rsidR="00CB1296" w:rsidRPr="00CB1296">
        <w:rPr>
          <w:rFonts w:ascii="Arial" w:hAnsi="Arial" w:cs="Arial"/>
          <w:iCs/>
        </w:rPr>
        <w:t xml:space="preserve"> od 25%</w:t>
      </w:r>
      <w:r w:rsidRPr="00CB1296">
        <w:rPr>
          <w:rFonts w:ascii="Arial" w:hAnsi="Arial" w:cs="Arial"/>
        </w:rPr>
        <w:t>.</w:t>
      </w:r>
    </w:p>
    <w:p w14:paraId="1ABD3B2B" w14:textId="77777777" w:rsidR="00F54919" w:rsidRDefault="00F54919" w:rsidP="005E683D">
      <w:pPr>
        <w:spacing w:after="0" w:line="240" w:lineRule="auto"/>
        <w:jc w:val="both"/>
        <w:rPr>
          <w:rFonts w:ascii="Arial" w:hAnsi="Arial" w:cs="Arial"/>
        </w:rPr>
      </w:pPr>
    </w:p>
    <w:p w14:paraId="6893A82D" w14:textId="77777777" w:rsidR="00F54919" w:rsidRPr="00C070B1" w:rsidRDefault="00F54919" w:rsidP="005E683D">
      <w:pPr>
        <w:spacing w:after="0" w:line="240" w:lineRule="auto"/>
        <w:jc w:val="both"/>
        <w:rPr>
          <w:rFonts w:ascii="Arial" w:hAnsi="Arial" w:cs="Arial"/>
        </w:rPr>
      </w:pPr>
      <w:proofErr w:type="spellStart"/>
      <w:r w:rsidRPr="00C070B1">
        <w:rPr>
          <w:rFonts w:ascii="Arial" w:hAnsi="Arial" w:cs="Arial"/>
        </w:rPr>
        <w:t>Kvalitet</w:t>
      </w:r>
      <w:proofErr w:type="spellEnd"/>
      <w:r w:rsidRPr="00C070B1">
        <w:rPr>
          <w:rFonts w:ascii="Arial" w:hAnsi="Arial" w:cs="Arial"/>
        </w:rPr>
        <w:t xml:space="preserve"> </w:t>
      </w:r>
      <w:proofErr w:type="spellStart"/>
      <w:r w:rsidRPr="00C070B1">
        <w:rPr>
          <w:rFonts w:ascii="Arial" w:hAnsi="Arial" w:cs="Arial"/>
        </w:rPr>
        <w:t>rezervi</w:t>
      </w:r>
      <w:proofErr w:type="spellEnd"/>
      <w:r w:rsidRPr="00C070B1">
        <w:rPr>
          <w:rFonts w:ascii="Arial" w:hAnsi="Arial" w:cs="Arial"/>
        </w:rPr>
        <w:t xml:space="preserve"> </w:t>
      </w:r>
      <w:proofErr w:type="spellStart"/>
      <w:r w:rsidRPr="00C070B1">
        <w:rPr>
          <w:rFonts w:ascii="Arial" w:hAnsi="Arial" w:cs="Arial"/>
        </w:rPr>
        <w:t>dokazan</w:t>
      </w:r>
      <w:proofErr w:type="spellEnd"/>
      <w:r w:rsidRPr="00C070B1">
        <w:rPr>
          <w:rFonts w:ascii="Arial" w:hAnsi="Arial" w:cs="Arial"/>
        </w:rPr>
        <w:t xml:space="preserve"> je </w:t>
      </w:r>
      <w:proofErr w:type="spellStart"/>
      <w:r w:rsidRPr="00C070B1">
        <w:rPr>
          <w:rFonts w:ascii="Arial" w:hAnsi="Arial" w:cs="Arial"/>
        </w:rPr>
        <w:t>ranije</w:t>
      </w:r>
      <w:proofErr w:type="spellEnd"/>
      <w:r w:rsidRPr="00C070B1">
        <w:rPr>
          <w:rFonts w:ascii="Arial" w:hAnsi="Arial" w:cs="Arial"/>
        </w:rPr>
        <w:t xml:space="preserve"> </w:t>
      </w:r>
      <w:proofErr w:type="spellStart"/>
      <w:r w:rsidRPr="00C070B1">
        <w:rPr>
          <w:rFonts w:ascii="Arial" w:hAnsi="Arial" w:cs="Arial"/>
        </w:rPr>
        <w:t>obavljenim</w:t>
      </w:r>
      <w:proofErr w:type="spellEnd"/>
      <w:r w:rsidRPr="00C070B1">
        <w:rPr>
          <w:rFonts w:ascii="Arial" w:hAnsi="Arial" w:cs="Arial"/>
        </w:rPr>
        <w:t xml:space="preserve"> </w:t>
      </w:r>
      <w:proofErr w:type="spellStart"/>
      <w:r w:rsidRPr="00C070B1">
        <w:rPr>
          <w:rFonts w:ascii="Arial" w:hAnsi="Arial" w:cs="Arial"/>
        </w:rPr>
        <w:t>ispitivanjima</w:t>
      </w:r>
      <w:proofErr w:type="spellEnd"/>
      <w:r w:rsidRPr="00C070B1">
        <w:rPr>
          <w:rFonts w:ascii="Arial" w:hAnsi="Arial" w:cs="Arial"/>
        </w:rPr>
        <w:t xml:space="preserve"> </w:t>
      </w:r>
      <w:proofErr w:type="spellStart"/>
      <w:r w:rsidRPr="00C070B1">
        <w:rPr>
          <w:rFonts w:ascii="Arial" w:hAnsi="Arial" w:cs="Arial"/>
        </w:rPr>
        <w:t>fizičko-mehaničkih</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drugih</w:t>
      </w:r>
      <w:proofErr w:type="spellEnd"/>
      <w:r w:rsidRPr="00C070B1">
        <w:rPr>
          <w:rFonts w:ascii="Arial" w:hAnsi="Arial" w:cs="Arial"/>
        </w:rPr>
        <w:t xml:space="preserve"> </w:t>
      </w:r>
      <w:proofErr w:type="spellStart"/>
      <w:r w:rsidRPr="00C070B1">
        <w:rPr>
          <w:rFonts w:ascii="Arial" w:hAnsi="Arial" w:cs="Arial"/>
        </w:rPr>
        <w:t>karakteristika</w:t>
      </w:r>
      <w:proofErr w:type="spellEnd"/>
      <w:r w:rsidRPr="00C070B1">
        <w:rPr>
          <w:rFonts w:ascii="Arial" w:hAnsi="Arial" w:cs="Arial"/>
        </w:rPr>
        <w:t xml:space="preserve">, </w:t>
      </w:r>
      <w:proofErr w:type="spellStart"/>
      <w:r w:rsidRPr="00C070B1">
        <w:rPr>
          <w:rFonts w:ascii="Arial" w:hAnsi="Arial" w:cs="Arial"/>
        </w:rPr>
        <w:t>čiji</w:t>
      </w:r>
      <w:proofErr w:type="spellEnd"/>
      <w:r w:rsidRPr="00C070B1">
        <w:rPr>
          <w:rFonts w:ascii="Arial" w:hAnsi="Arial" w:cs="Arial"/>
        </w:rPr>
        <w:t xml:space="preserve"> </w:t>
      </w:r>
      <w:proofErr w:type="spellStart"/>
      <w:r w:rsidRPr="00C070B1">
        <w:rPr>
          <w:rFonts w:ascii="Arial" w:hAnsi="Arial" w:cs="Arial"/>
        </w:rPr>
        <w:t>rezultati</w:t>
      </w:r>
      <w:proofErr w:type="spellEnd"/>
      <w:r w:rsidRPr="00C070B1">
        <w:rPr>
          <w:rFonts w:ascii="Arial" w:hAnsi="Arial" w:cs="Arial"/>
        </w:rPr>
        <w:t xml:space="preserve"> </w:t>
      </w:r>
      <w:proofErr w:type="spellStart"/>
      <w:r w:rsidRPr="00C070B1">
        <w:rPr>
          <w:rFonts w:ascii="Arial" w:hAnsi="Arial" w:cs="Arial"/>
        </w:rPr>
        <w:t>su</w:t>
      </w:r>
      <w:proofErr w:type="spellEnd"/>
      <w:r w:rsidRPr="00C070B1">
        <w:rPr>
          <w:rFonts w:ascii="Arial" w:hAnsi="Arial" w:cs="Arial"/>
        </w:rPr>
        <w:t xml:space="preserve"> </w:t>
      </w:r>
      <w:proofErr w:type="spellStart"/>
      <w:r w:rsidRPr="00C070B1">
        <w:rPr>
          <w:rFonts w:ascii="Arial" w:hAnsi="Arial" w:cs="Arial"/>
        </w:rPr>
        <w:t>prikazivani</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u </w:t>
      </w:r>
      <w:proofErr w:type="spellStart"/>
      <w:r w:rsidRPr="00C070B1">
        <w:rPr>
          <w:rFonts w:ascii="Arial" w:hAnsi="Arial" w:cs="Arial"/>
        </w:rPr>
        <w:t>prethodnim</w:t>
      </w:r>
      <w:proofErr w:type="spellEnd"/>
      <w:r w:rsidRPr="00C070B1">
        <w:rPr>
          <w:rFonts w:ascii="Arial" w:hAnsi="Arial" w:cs="Arial"/>
        </w:rPr>
        <w:t xml:space="preserve"> </w:t>
      </w:r>
      <w:proofErr w:type="spellStart"/>
      <w:r w:rsidRPr="00C070B1">
        <w:rPr>
          <w:rFonts w:ascii="Arial" w:hAnsi="Arial" w:cs="Arial"/>
        </w:rPr>
        <w:t>Elaboratima</w:t>
      </w:r>
      <w:proofErr w:type="spellEnd"/>
      <w:r w:rsidRPr="00C070B1">
        <w:rPr>
          <w:rFonts w:ascii="Arial" w:hAnsi="Arial" w:cs="Arial"/>
        </w:rPr>
        <w:t xml:space="preserve"> ..., </w:t>
      </w:r>
      <w:proofErr w:type="spellStart"/>
      <w:r w:rsidRPr="00C070B1">
        <w:rPr>
          <w:rFonts w:ascii="Arial" w:hAnsi="Arial" w:cs="Arial"/>
        </w:rPr>
        <w:t>kojim</w:t>
      </w:r>
      <w:proofErr w:type="spellEnd"/>
      <w:r w:rsidRPr="00C070B1">
        <w:rPr>
          <w:rFonts w:ascii="Arial" w:hAnsi="Arial" w:cs="Arial"/>
        </w:rPr>
        <w:t xml:space="preserve"> je </w:t>
      </w:r>
      <w:proofErr w:type="spellStart"/>
      <w:r w:rsidRPr="00C070B1">
        <w:rPr>
          <w:rFonts w:ascii="Arial" w:hAnsi="Arial" w:cs="Arial"/>
        </w:rPr>
        <w:t>dokazano</w:t>
      </w:r>
      <w:proofErr w:type="spellEnd"/>
      <w:r w:rsidRPr="00C070B1">
        <w:rPr>
          <w:rFonts w:ascii="Arial" w:hAnsi="Arial" w:cs="Arial"/>
        </w:rPr>
        <w:t xml:space="preserve"> da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w:t>
      </w:r>
      <w:proofErr w:type="spellStart"/>
      <w:r w:rsidRPr="00C070B1">
        <w:rPr>
          <w:rFonts w:ascii="Arial" w:hAnsi="Arial" w:cs="Arial"/>
        </w:rPr>
        <w:t>ležišta</w:t>
      </w:r>
      <w:proofErr w:type="spellEnd"/>
      <w:r w:rsidRPr="00C070B1">
        <w:rPr>
          <w:rFonts w:ascii="Arial" w:hAnsi="Arial" w:cs="Arial"/>
        </w:rPr>
        <w:t xml:space="preserve"> "</w:t>
      </w:r>
      <w:proofErr w:type="spellStart"/>
      <w:r w:rsidRPr="00C070B1">
        <w:rPr>
          <w:rFonts w:ascii="Arial" w:hAnsi="Arial" w:cs="Arial"/>
        </w:rPr>
        <w:t>Klikovače</w:t>
      </w:r>
      <w:proofErr w:type="spellEnd"/>
      <w:r w:rsidRPr="00C070B1">
        <w:rPr>
          <w:rFonts w:ascii="Arial" w:hAnsi="Arial" w:cs="Arial"/>
        </w:rPr>
        <w:t xml:space="preserve">" </w:t>
      </w:r>
      <w:proofErr w:type="spellStart"/>
      <w:r w:rsidRPr="00C070B1">
        <w:rPr>
          <w:rFonts w:ascii="Arial" w:hAnsi="Arial" w:cs="Arial"/>
        </w:rPr>
        <w:t>ima</w:t>
      </w:r>
      <w:proofErr w:type="spellEnd"/>
      <w:r w:rsidRPr="00C070B1">
        <w:rPr>
          <w:rFonts w:ascii="Arial" w:hAnsi="Arial" w:cs="Arial"/>
        </w:rPr>
        <w:t xml:space="preserve"> dobra </w:t>
      </w:r>
      <w:proofErr w:type="spellStart"/>
      <w:r w:rsidRPr="00C070B1">
        <w:rPr>
          <w:rFonts w:ascii="Arial" w:hAnsi="Arial" w:cs="Arial"/>
        </w:rPr>
        <w:t>fizičko-mehanička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dekorativna</w:t>
      </w:r>
      <w:proofErr w:type="spellEnd"/>
      <w:r w:rsidRPr="00C070B1">
        <w:rPr>
          <w:rFonts w:ascii="Arial" w:hAnsi="Arial" w:cs="Arial"/>
        </w:rPr>
        <w:t xml:space="preserve"> </w:t>
      </w:r>
      <w:proofErr w:type="spellStart"/>
      <w:r w:rsidRPr="00C070B1">
        <w:rPr>
          <w:rFonts w:ascii="Arial" w:hAnsi="Arial" w:cs="Arial"/>
        </w:rPr>
        <w:t>svojstva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široku</w:t>
      </w:r>
      <w:proofErr w:type="spellEnd"/>
      <w:r w:rsidRPr="00C070B1">
        <w:rPr>
          <w:rFonts w:ascii="Arial" w:hAnsi="Arial" w:cs="Arial"/>
        </w:rPr>
        <w:t xml:space="preserve"> </w:t>
      </w:r>
      <w:proofErr w:type="spellStart"/>
      <w:r w:rsidRPr="00C070B1">
        <w:rPr>
          <w:rFonts w:ascii="Arial" w:hAnsi="Arial" w:cs="Arial"/>
        </w:rPr>
        <w:t>primjenu</w:t>
      </w:r>
      <w:proofErr w:type="spellEnd"/>
      <w:r w:rsidRPr="00C070B1">
        <w:rPr>
          <w:rFonts w:ascii="Arial" w:hAnsi="Arial" w:cs="Arial"/>
        </w:rPr>
        <w:t xml:space="preserve"> </w:t>
      </w:r>
      <w:proofErr w:type="spellStart"/>
      <w:r w:rsidRPr="00C070B1">
        <w:rPr>
          <w:rFonts w:ascii="Arial" w:hAnsi="Arial" w:cs="Arial"/>
        </w:rPr>
        <w:t>kao</w:t>
      </w:r>
      <w:proofErr w:type="spellEnd"/>
      <w:r w:rsidRPr="00C070B1">
        <w:rPr>
          <w:rFonts w:ascii="Arial" w:hAnsi="Arial" w:cs="Arial"/>
        </w:rPr>
        <w:t xml:space="preserve">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za </w:t>
      </w:r>
      <w:proofErr w:type="spellStart"/>
      <w:r w:rsidRPr="00C070B1">
        <w:rPr>
          <w:rFonts w:ascii="Arial" w:hAnsi="Arial" w:cs="Arial"/>
        </w:rPr>
        <w:t>unutrašnja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spoljašnja</w:t>
      </w:r>
      <w:proofErr w:type="spellEnd"/>
      <w:r w:rsidRPr="00C070B1">
        <w:rPr>
          <w:rFonts w:ascii="Arial" w:hAnsi="Arial" w:cs="Arial"/>
        </w:rPr>
        <w:t xml:space="preserve"> </w:t>
      </w:r>
      <w:proofErr w:type="spellStart"/>
      <w:r w:rsidRPr="00C070B1">
        <w:rPr>
          <w:rFonts w:ascii="Arial" w:hAnsi="Arial" w:cs="Arial"/>
        </w:rPr>
        <w:t>horizontalna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vertikalna</w:t>
      </w:r>
      <w:proofErr w:type="spellEnd"/>
      <w:r w:rsidRPr="00C070B1">
        <w:rPr>
          <w:rFonts w:ascii="Arial" w:hAnsi="Arial" w:cs="Arial"/>
        </w:rPr>
        <w:t xml:space="preserve"> </w:t>
      </w:r>
      <w:proofErr w:type="spellStart"/>
      <w:r w:rsidRPr="00C070B1">
        <w:rPr>
          <w:rFonts w:ascii="Arial" w:hAnsi="Arial" w:cs="Arial"/>
        </w:rPr>
        <w:t>oblaganja</w:t>
      </w:r>
      <w:proofErr w:type="spellEnd"/>
      <w:r w:rsidRPr="00C070B1">
        <w:rPr>
          <w:rFonts w:ascii="Arial" w:hAnsi="Arial" w:cs="Arial"/>
        </w:rPr>
        <w:t xml:space="preserve">. </w:t>
      </w:r>
    </w:p>
    <w:p w14:paraId="03A7B219" w14:textId="77777777" w:rsidR="00F54919" w:rsidRPr="00C070B1" w:rsidRDefault="00F54919" w:rsidP="005E683D">
      <w:pPr>
        <w:spacing w:after="0" w:line="240" w:lineRule="auto"/>
        <w:jc w:val="both"/>
        <w:rPr>
          <w:rFonts w:ascii="Arial" w:hAnsi="Arial" w:cs="Arial"/>
        </w:rPr>
      </w:pPr>
      <w:proofErr w:type="spellStart"/>
      <w:r w:rsidRPr="00C070B1">
        <w:rPr>
          <w:rFonts w:ascii="Arial" w:hAnsi="Arial" w:cs="Arial"/>
        </w:rPr>
        <w:t>Saglasno</w:t>
      </w:r>
      <w:proofErr w:type="spellEnd"/>
      <w:r w:rsidRPr="00C070B1">
        <w:rPr>
          <w:rFonts w:ascii="Arial" w:hAnsi="Arial" w:cs="Arial"/>
        </w:rPr>
        <w:t xml:space="preserve"> </w:t>
      </w:r>
      <w:proofErr w:type="spellStart"/>
      <w:r w:rsidRPr="00C070B1">
        <w:rPr>
          <w:rFonts w:ascii="Arial" w:hAnsi="Arial" w:cs="Arial"/>
        </w:rPr>
        <w:t>utvrđenim</w:t>
      </w:r>
      <w:proofErr w:type="spellEnd"/>
      <w:r w:rsidRPr="00C070B1">
        <w:rPr>
          <w:rFonts w:ascii="Arial" w:hAnsi="Arial" w:cs="Arial"/>
        </w:rPr>
        <w:t xml:space="preserve"> </w:t>
      </w:r>
      <w:proofErr w:type="spellStart"/>
      <w:r w:rsidRPr="00C070B1">
        <w:rPr>
          <w:rFonts w:ascii="Arial" w:hAnsi="Arial" w:cs="Arial"/>
        </w:rPr>
        <w:t>mineraloško-petrografskim</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fizičko-mehaničkim</w:t>
      </w:r>
      <w:proofErr w:type="spellEnd"/>
      <w:r w:rsidRPr="00C070B1">
        <w:rPr>
          <w:rFonts w:ascii="Arial" w:hAnsi="Arial" w:cs="Arial"/>
        </w:rPr>
        <w:t xml:space="preserve"> </w:t>
      </w:r>
      <w:proofErr w:type="spellStart"/>
      <w:r w:rsidRPr="00C070B1">
        <w:rPr>
          <w:rFonts w:ascii="Arial" w:hAnsi="Arial" w:cs="Arial"/>
        </w:rPr>
        <w:t>svojstvima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odredbama</w:t>
      </w:r>
      <w:proofErr w:type="spellEnd"/>
      <w:r w:rsidRPr="00C070B1">
        <w:rPr>
          <w:rFonts w:ascii="Arial" w:hAnsi="Arial" w:cs="Arial"/>
        </w:rPr>
        <w:t xml:space="preserve"> </w:t>
      </w:r>
      <w:proofErr w:type="spellStart"/>
      <w:r>
        <w:rPr>
          <w:rFonts w:ascii="Arial" w:hAnsi="Arial" w:cs="Arial"/>
        </w:rPr>
        <w:t>važećih</w:t>
      </w:r>
      <w:proofErr w:type="spellEnd"/>
      <w:r>
        <w:rPr>
          <w:rFonts w:ascii="Arial" w:hAnsi="Arial" w:cs="Arial"/>
        </w:rPr>
        <w:t xml:space="preserve"> </w:t>
      </w:r>
      <w:proofErr w:type="spellStart"/>
      <w:r w:rsidRPr="00C070B1">
        <w:rPr>
          <w:rFonts w:ascii="Arial" w:hAnsi="Arial" w:cs="Arial"/>
        </w:rPr>
        <w:t>standarda</w:t>
      </w:r>
      <w:proofErr w:type="spellEnd"/>
      <w:r>
        <w:rPr>
          <w:rFonts w:ascii="Arial" w:hAnsi="Arial" w:cs="Arial"/>
        </w:rPr>
        <w:t>,</w:t>
      </w:r>
      <w:r w:rsidRPr="00C070B1">
        <w:rPr>
          <w:rFonts w:ascii="Arial" w:hAnsi="Arial" w:cs="Arial"/>
        </w:rPr>
        <w:t xml:space="preserve"> </w:t>
      </w:r>
      <w:proofErr w:type="spellStart"/>
      <w:r w:rsidRPr="00C070B1">
        <w:rPr>
          <w:rFonts w:ascii="Arial" w:hAnsi="Arial" w:cs="Arial"/>
        </w:rPr>
        <w:t>kamen</w:t>
      </w:r>
      <w:proofErr w:type="spellEnd"/>
      <w:r w:rsidRPr="00C070B1">
        <w:rPr>
          <w:rFonts w:ascii="Arial" w:hAnsi="Arial" w:cs="Arial"/>
        </w:rPr>
        <w:t xml:space="preserve"> </w:t>
      </w:r>
      <w:proofErr w:type="spellStart"/>
      <w:r w:rsidRPr="00C070B1">
        <w:rPr>
          <w:rFonts w:ascii="Arial" w:hAnsi="Arial" w:cs="Arial"/>
        </w:rPr>
        <w:t>leži</w:t>
      </w:r>
      <w:r>
        <w:rPr>
          <w:rFonts w:ascii="Arial" w:hAnsi="Arial" w:cs="Arial"/>
        </w:rPr>
        <w:t>šta</w:t>
      </w:r>
      <w:proofErr w:type="spellEnd"/>
      <w:r>
        <w:rPr>
          <w:rFonts w:ascii="Arial" w:hAnsi="Arial" w:cs="Arial"/>
        </w:rPr>
        <w:t xml:space="preserve"> "</w:t>
      </w:r>
      <w:proofErr w:type="spellStart"/>
      <w:r>
        <w:rPr>
          <w:rFonts w:ascii="Arial" w:hAnsi="Arial" w:cs="Arial"/>
        </w:rPr>
        <w:t>Klikovače</w:t>
      </w:r>
      <w:proofErr w:type="spellEnd"/>
      <w:r>
        <w:rPr>
          <w:rFonts w:ascii="Arial" w:hAnsi="Arial" w:cs="Arial"/>
        </w:rPr>
        <w:t xml:space="preserve">", </w:t>
      </w:r>
      <w:proofErr w:type="spellStart"/>
      <w:r>
        <w:rPr>
          <w:rFonts w:ascii="Arial" w:hAnsi="Arial" w:cs="Arial"/>
        </w:rPr>
        <w:t>kako</w:t>
      </w:r>
      <w:proofErr w:type="spellEnd"/>
      <w:r>
        <w:rPr>
          <w:rFonts w:ascii="Arial" w:hAnsi="Arial" w:cs="Arial"/>
        </w:rPr>
        <w:t xml:space="preserve"> </w:t>
      </w:r>
      <w:proofErr w:type="spellStart"/>
      <w:r>
        <w:rPr>
          <w:rFonts w:ascii="Arial" w:hAnsi="Arial" w:cs="Arial"/>
        </w:rPr>
        <w:t>varijetet</w:t>
      </w:r>
      <w:proofErr w:type="spellEnd"/>
      <w:r>
        <w:rPr>
          <w:rFonts w:ascii="Arial" w:hAnsi="Arial" w:cs="Arial"/>
        </w:rPr>
        <w:t xml:space="preserve"> “</w:t>
      </w:r>
      <w:proofErr w:type="spellStart"/>
      <w:r>
        <w:rPr>
          <w:rFonts w:ascii="Arial" w:hAnsi="Arial" w:cs="Arial"/>
        </w:rPr>
        <w:t>fiorito</w:t>
      </w:r>
      <w:proofErr w:type="spellEnd"/>
      <w:r>
        <w:rPr>
          <w:rFonts w:ascii="Arial" w:hAnsi="Arial" w:cs="Arial"/>
        </w:rPr>
        <w:t xml:space="preserve">”, </w:t>
      </w:r>
      <w:proofErr w:type="spellStart"/>
      <w:r>
        <w:rPr>
          <w:rFonts w:ascii="Arial" w:hAnsi="Arial" w:cs="Arial"/>
        </w:rPr>
        <w:t>tako</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varijetet</w:t>
      </w:r>
      <w:proofErr w:type="spellEnd"/>
      <w:r w:rsidRPr="00C070B1">
        <w:rPr>
          <w:rFonts w:ascii="Arial" w:hAnsi="Arial" w:cs="Arial"/>
        </w:rPr>
        <w:t xml:space="preserve"> “</w:t>
      </w:r>
      <w:proofErr w:type="spellStart"/>
      <w:r w:rsidRPr="00C070B1">
        <w:rPr>
          <w:rFonts w:ascii="Arial" w:hAnsi="Arial" w:cs="Arial"/>
        </w:rPr>
        <w:t>unito</w:t>
      </w:r>
      <w:proofErr w:type="spellEnd"/>
      <w:r w:rsidRPr="00C070B1">
        <w:rPr>
          <w:rFonts w:ascii="Arial" w:hAnsi="Arial" w:cs="Arial"/>
        </w:rPr>
        <w:t xml:space="preserve">”, </w:t>
      </w:r>
      <w:proofErr w:type="spellStart"/>
      <w:r w:rsidRPr="00C070B1">
        <w:rPr>
          <w:rFonts w:ascii="Arial" w:hAnsi="Arial" w:cs="Arial"/>
        </w:rPr>
        <w:t>može</w:t>
      </w:r>
      <w:proofErr w:type="spellEnd"/>
      <w:r w:rsidRPr="00C070B1">
        <w:rPr>
          <w:rFonts w:ascii="Arial" w:hAnsi="Arial" w:cs="Arial"/>
        </w:rPr>
        <w:t xml:space="preserve"> se </w:t>
      </w:r>
      <w:proofErr w:type="spellStart"/>
      <w:r w:rsidRPr="00C070B1">
        <w:rPr>
          <w:rFonts w:ascii="Arial" w:hAnsi="Arial" w:cs="Arial"/>
        </w:rPr>
        <w:t>koristiti</w:t>
      </w:r>
      <w:proofErr w:type="spellEnd"/>
      <w:r w:rsidRPr="00C070B1">
        <w:rPr>
          <w:rFonts w:ascii="Arial" w:hAnsi="Arial" w:cs="Arial"/>
        </w:rPr>
        <w:t xml:space="preserve"> </w:t>
      </w:r>
      <w:proofErr w:type="spellStart"/>
      <w:r w:rsidRPr="00C070B1">
        <w:rPr>
          <w:rFonts w:ascii="Arial" w:hAnsi="Arial" w:cs="Arial"/>
        </w:rPr>
        <w:t>kao</w:t>
      </w:r>
      <w:proofErr w:type="spellEnd"/>
      <w:r w:rsidRPr="00C070B1">
        <w:rPr>
          <w:rFonts w:ascii="Arial" w:hAnsi="Arial" w:cs="Arial"/>
        </w:rPr>
        <w:t xml:space="preserve"> </w:t>
      </w:r>
      <w:proofErr w:type="spellStart"/>
      <w:r w:rsidRPr="00C070B1">
        <w:rPr>
          <w:rFonts w:ascii="Arial" w:hAnsi="Arial" w:cs="Arial"/>
        </w:rPr>
        <w:t>arhitektonsk</w:t>
      </w:r>
      <w:r>
        <w:rPr>
          <w:rFonts w:ascii="Arial" w:hAnsi="Arial" w:cs="Arial"/>
        </w:rPr>
        <w:t>o</w:t>
      </w:r>
      <w:proofErr w:type="spellEnd"/>
      <w:r w:rsidRPr="00C070B1">
        <w:rPr>
          <w:rFonts w:ascii="Arial" w:hAnsi="Arial" w:cs="Arial"/>
        </w:rPr>
        <w:t xml:space="preserve">- </w:t>
      </w:r>
      <w:proofErr w:type="spellStart"/>
      <w:r w:rsidRPr="00C070B1">
        <w:rPr>
          <w:rFonts w:ascii="Arial" w:hAnsi="Arial" w:cs="Arial"/>
        </w:rPr>
        <w:t>građevinski</w:t>
      </w:r>
      <w:proofErr w:type="spellEnd"/>
      <w:r w:rsidRPr="00C070B1">
        <w:rPr>
          <w:rFonts w:ascii="Arial" w:hAnsi="Arial" w:cs="Arial"/>
        </w:rPr>
        <w:t xml:space="preserve"> </w:t>
      </w:r>
      <w:proofErr w:type="spellStart"/>
      <w:r w:rsidRPr="00C070B1">
        <w:rPr>
          <w:rFonts w:ascii="Arial" w:hAnsi="Arial" w:cs="Arial"/>
        </w:rPr>
        <w:t>kamen</w:t>
      </w:r>
      <w:proofErr w:type="spellEnd"/>
      <w:r w:rsidRPr="00C070B1">
        <w:rPr>
          <w:rFonts w:ascii="Arial" w:hAnsi="Arial" w:cs="Arial"/>
        </w:rPr>
        <w:t xml:space="preserve"> </w:t>
      </w:r>
      <w:proofErr w:type="spellStart"/>
      <w:r w:rsidRPr="00C070B1">
        <w:rPr>
          <w:rFonts w:ascii="Arial" w:hAnsi="Arial" w:cs="Arial"/>
        </w:rPr>
        <w:t>pogodan</w:t>
      </w:r>
      <w:proofErr w:type="spellEnd"/>
      <w:r w:rsidRPr="00C070B1">
        <w:rPr>
          <w:rFonts w:ascii="Arial" w:hAnsi="Arial" w:cs="Arial"/>
        </w:rPr>
        <w:t xml:space="preserve"> za:  </w:t>
      </w:r>
    </w:p>
    <w:p w14:paraId="53682433" w14:textId="77777777" w:rsidR="00F54919" w:rsidRPr="00C070B1" w:rsidRDefault="00F54919" w:rsidP="005E683D">
      <w:pPr>
        <w:pStyle w:val="ListParagraph"/>
        <w:numPr>
          <w:ilvl w:val="0"/>
          <w:numId w:val="32"/>
        </w:numPr>
        <w:suppressAutoHyphens w:val="0"/>
        <w:spacing w:after="0" w:line="240" w:lineRule="auto"/>
        <w:jc w:val="both"/>
        <w:rPr>
          <w:rFonts w:ascii="Arial" w:hAnsi="Arial" w:cs="Arial"/>
        </w:rPr>
      </w:pPr>
      <w:proofErr w:type="spellStart"/>
      <w:r w:rsidRPr="00C070B1">
        <w:rPr>
          <w:rFonts w:ascii="Arial" w:hAnsi="Arial" w:cs="Arial"/>
        </w:rPr>
        <w:t>proizvodnju</w:t>
      </w:r>
      <w:proofErr w:type="spellEnd"/>
      <w:r w:rsidRPr="00C070B1">
        <w:rPr>
          <w:rFonts w:ascii="Arial" w:hAnsi="Arial" w:cs="Arial"/>
        </w:rPr>
        <w:t xml:space="preserve"> </w:t>
      </w:r>
      <w:proofErr w:type="spellStart"/>
      <w:r w:rsidRPr="00C070B1">
        <w:rPr>
          <w:rFonts w:ascii="Arial" w:hAnsi="Arial" w:cs="Arial"/>
        </w:rPr>
        <w:t>ploča</w:t>
      </w:r>
      <w:proofErr w:type="spellEnd"/>
      <w:r w:rsidRPr="00C070B1">
        <w:rPr>
          <w:rFonts w:ascii="Arial" w:hAnsi="Arial" w:cs="Arial"/>
        </w:rPr>
        <w:t xml:space="preserve"> za </w:t>
      </w:r>
      <w:proofErr w:type="spellStart"/>
      <w:r w:rsidRPr="00C070B1">
        <w:rPr>
          <w:rFonts w:ascii="Arial" w:hAnsi="Arial" w:cs="Arial"/>
        </w:rPr>
        <w:t>oblaganje</w:t>
      </w:r>
      <w:proofErr w:type="spellEnd"/>
      <w:r w:rsidRPr="00C070B1">
        <w:rPr>
          <w:rFonts w:ascii="Arial" w:hAnsi="Arial" w:cs="Arial"/>
        </w:rPr>
        <w:t xml:space="preserve"> </w:t>
      </w:r>
      <w:proofErr w:type="spellStart"/>
      <w:r w:rsidRPr="00C070B1">
        <w:rPr>
          <w:rFonts w:ascii="Arial" w:hAnsi="Arial" w:cs="Arial"/>
        </w:rPr>
        <w:t>unutrašnjih</w:t>
      </w:r>
      <w:proofErr w:type="spellEnd"/>
      <w:r w:rsidRPr="00C070B1">
        <w:rPr>
          <w:rFonts w:ascii="Arial" w:hAnsi="Arial" w:cs="Arial"/>
        </w:rPr>
        <w:t xml:space="preserve"> </w:t>
      </w:r>
      <w:proofErr w:type="spellStart"/>
      <w:r w:rsidRPr="00C070B1">
        <w:rPr>
          <w:rFonts w:ascii="Arial" w:hAnsi="Arial" w:cs="Arial"/>
        </w:rPr>
        <w:t>vertikalnih</w:t>
      </w:r>
      <w:proofErr w:type="spellEnd"/>
      <w:r w:rsidRPr="00C070B1">
        <w:rPr>
          <w:rFonts w:ascii="Arial" w:hAnsi="Arial" w:cs="Arial"/>
        </w:rPr>
        <w:t xml:space="preserve"> (UV)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horizontalnih</w:t>
      </w:r>
      <w:proofErr w:type="spellEnd"/>
      <w:r w:rsidRPr="00C070B1">
        <w:rPr>
          <w:rFonts w:ascii="Arial" w:hAnsi="Arial" w:cs="Arial"/>
        </w:rPr>
        <w:t xml:space="preserve"> </w:t>
      </w:r>
      <w:proofErr w:type="spellStart"/>
      <w:r w:rsidRPr="00C070B1">
        <w:rPr>
          <w:rFonts w:ascii="Arial" w:hAnsi="Arial" w:cs="Arial"/>
        </w:rPr>
        <w:t>površina</w:t>
      </w:r>
      <w:proofErr w:type="spellEnd"/>
      <w:r w:rsidRPr="00C070B1">
        <w:rPr>
          <w:rFonts w:ascii="Arial" w:hAnsi="Arial" w:cs="Arial"/>
        </w:rPr>
        <w:t xml:space="preserve"> (UH-2 </w:t>
      </w:r>
      <w:proofErr w:type="spellStart"/>
      <w:r w:rsidRPr="00C070B1">
        <w:rPr>
          <w:rFonts w:ascii="Arial" w:hAnsi="Arial" w:cs="Arial"/>
        </w:rPr>
        <w:t>i</w:t>
      </w:r>
      <w:proofErr w:type="spellEnd"/>
      <w:r w:rsidRPr="00C070B1">
        <w:rPr>
          <w:rFonts w:ascii="Arial" w:hAnsi="Arial" w:cs="Arial"/>
        </w:rPr>
        <w:t xml:space="preserve"> UH-3) </w:t>
      </w:r>
      <w:proofErr w:type="spellStart"/>
      <w:r w:rsidRPr="00C070B1">
        <w:rPr>
          <w:rFonts w:ascii="Arial" w:hAnsi="Arial" w:cs="Arial"/>
        </w:rPr>
        <w:t>gdje</w:t>
      </w:r>
      <w:proofErr w:type="spellEnd"/>
      <w:r w:rsidRPr="00C070B1">
        <w:rPr>
          <w:rFonts w:ascii="Arial" w:hAnsi="Arial" w:cs="Arial"/>
        </w:rPr>
        <w:t xml:space="preserve"> se </w:t>
      </w:r>
      <w:proofErr w:type="spellStart"/>
      <w:r w:rsidRPr="00C070B1">
        <w:rPr>
          <w:rFonts w:ascii="Arial" w:hAnsi="Arial" w:cs="Arial"/>
        </w:rPr>
        <w:t>obavlja</w:t>
      </w:r>
      <w:proofErr w:type="spellEnd"/>
      <w:r w:rsidRPr="00C070B1">
        <w:rPr>
          <w:rFonts w:ascii="Arial" w:hAnsi="Arial" w:cs="Arial"/>
        </w:rPr>
        <w:t xml:space="preserve"> </w:t>
      </w:r>
      <w:proofErr w:type="spellStart"/>
      <w:r w:rsidRPr="00C070B1">
        <w:rPr>
          <w:rFonts w:ascii="Arial" w:hAnsi="Arial" w:cs="Arial"/>
        </w:rPr>
        <w:t>intezivan</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umjeren</w:t>
      </w:r>
      <w:proofErr w:type="spellEnd"/>
      <w:r w:rsidRPr="00C070B1">
        <w:rPr>
          <w:rFonts w:ascii="Arial" w:hAnsi="Arial" w:cs="Arial"/>
        </w:rPr>
        <w:t xml:space="preserve"> </w:t>
      </w:r>
      <w:proofErr w:type="spellStart"/>
      <w:r w:rsidRPr="00C070B1">
        <w:rPr>
          <w:rFonts w:ascii="Arial" w:hAnsi="Arial" w:cs="Arial"/>
        </w:rPr>
        <w:t>pješački</w:t>
      </w:r>
      <w:proofErr w:type="spellEnd"/>
      <w:r w:rsidRPr="00C070B1">
        <w:rPr>
          <w:rFonts w:ascii="Arial" w:hAnsi="Arial" w:cs="Arial"/>
        </w:rPr>
        <w:t xml:space="preserve"> </w:t>
      </w:r>
      <w:proofErr w:type="spellStart"/>
      <w:r w:rsidRPr="00C070B1">
        <w:rPr>
          <w:rFonts w:ascii="Arial" w:hAnsi="Arial" w:cs="Arial"/>
        </w:rPr>
        <w:t>saobraćaj</w:t>
      </w:r>
      <w:proofErr w:type="spellEnd"/>
      <w:r w:rsidRPr="00C070B1">
        <w:rPr>
          <w:rFonts w:ascii="Arial" w:hAnsi="Arial" w:cs="Arial"/>
        </w:rPr>
        <w:t>.</w:t>
      </w:r>
    </w:p>
    <w:p w14:paraId="5D419E6E" w14:textId="77777777" w:rsidR="00F54919" w:rsidRPr="00C070B1" w:rsidRDefault="00F54919" w:rsidP="005E683D">
      <w:pPr>
        <w:pStyle w:val="ListParagraph"/>
        <w:numPr>
          <w:ilvl w:val="0"/>
          <w:numId w:val="32"/>
        </w:numPr>
        <w:suppressAutoHyphens w:val="0"/>
        <w:spacing w:after="0" w:line="240" w:lineRule="auto"/>
        <w:jc w:val="both"/>
        <w:rPr>
          <w:rFonts w:ascii="Arial" w:hAnsi="Arial" w:cs="Arial"/>
        </w:rPr>
      </w:pPr>
      <w:proofErr w:type="spellStart"/>
      <w:r w:rsidRPr="00C070B1">
        <w:rPr>
          <w:rFonts w:ascii="Arial" w:hAnsi="Arial" w:cs="Arial"/>
        </w:rPr>
        <w:t>proizvodnju</w:t>
      </w:r>
      <w:proofErr w:type="spellEnd"/>
      <w:r w:rsidRPr="00C070B1">
        <w:rPr>
          <w:rFonts w:ascii="Arial" w:hAnsi="Arial" w:cs="Arial"/>
        </w:rPr>
        <w:t xml:space="preserve"> </w:t>
      </w:r>
      <w:proofErr w:type="spellStart"/>
      <w:r w:rsidRPr="00C070B1">
        <w:rPr>
          <w:rFonts w:ascii="Arial" w:hAnsi="Arial" w:cs="Arial"/>
        </w:rPr>
        <w:t>ploča</w:t>
      </w:r>
      <w:proofErr w:type="spellEnd"/>
      <w:r w:rsidRPr="00C070B1">
        <w:rPr>
          <w:rFonts w:ascii="Arial" w:hAnsi="Arial" w:cs="Arial"/>
        </w:rPr>
        <w:t xml:space="preserve"> za </w:t>
      </w:r>
      <w:proofErr w:type="spellStart"/>
      <w:r w:rsidRPr="00C070B1">
        <w:rPr>
          <w:rFonts w:ascii="Arial" w:hAnsi="Arial" w:cs="Arial"/>
        </w:rPr>
        <w:t>oblaganje</w:t>
      </w:r>
      <w:proofErr w:type="spellEnd"/>
      <w:r w:rsidRPr="00C070B1">
        <w:rPr>
          <w:rFonts w:ascii="Arial" w:hAnsi="Arial" w:cs="Arial"/>
        </w:rPr>
        <w:t xml:space="preserve"> </w:t>
      </w:r>
      <w:proofErr w:type="spellStart"/>
      <w:r w:rsidRPr="00C070B1">
        <w:rPr>
          <w:rFonts w:ascii="Arial" w:hAnsi="Arial" w:cs="Arial"/>
        </w:rPr>
        <w:t>spoljašnjih</w:t>
      </w:r>
      <w:proofErr w:type="spellEnd"/>
      <w:r w:rsidRPr="00C070B1">
        <w:rPr>
          <w:rFonts w:ascii="Arial" w:hAnsi="Arial" w:cs="Arial"/>
        </w:rPr>
        <w:t xml:space="preserve"> </w:t>
      </w:r>
      <w:proofErr w:type="spellStart"/>
      <w:r w:rsidRPr="00C070B1">
        <w:rPr>
          <w:rFonts w:ascii="Arial" w:hAnsi="Arial" w:cs="Arial"/>
        </w:rPr>
        <w:t>vertikalnih</w:t>
      </w:r>
      <w:proofErr w:type="spellEnd"/>
      <w:r w:rsidRPr="00C070B1">
        <w:rPr>
          <w:rFonts w:ascii="Arial" w:hAnsi="Arial" w:cs="Arial"/>
        </w:rPr>
        <w:t xml:space="preserve"> </w:t>
      </w:r>
      <w:proofErr w:type="spellStart"/>
      <w:r w:rsidRPr="00C070B1">
        <w:rPr>
          <w:rFonts w:ascii="Arial" w:hAnsi="Arial" w:cs="Arial"/>
        </w:rPr>
        <w:t>površina</w:t>
      </w:r>
      <w:proofErr w:type="spellEnd"/>
      <w:r w:rsidRPr="00C070B1">
        <w:rPr>
          <w:rFonts w:ascii="Arial" w:hAnsi="Arial" w:cs="Arial"/>
        </w:rPr>
        <w:t xml:space="preserve"> </w:t>
      </w:r>
      <w:proofErr w:type="spellStart"/>
      <w:r w:rsidRPr="00C070B1">
        <w:rPr>
          <w:rFonts w:ascii="Arial" w:hAnsi="Arial" w:cs="Arial"/>
        </w:rPr>
        <w:t>objekata</w:t>
      </w:r>
      <w:proofErr w:type="spellEnd"/>
      <w:r w:rsidRPr="00C070B1">
        <w:rPr>
          <w:rFonts w:ascii="Arial" w:hAnsi="Arial" w:cs="Arial"/>
        </w:rPr>
        <w:t xml:space="preserve"> do 10 </w:t>
      </w:r>
      <w:proofErr w:type="gramStart"/>
      <w:r w:rsidRPr="00C070B1">
        <w:rPr>
          <w:rFonts w:ascii="Arial" w:hAnsi="Arial" w:cs="Arial"/>
        </w:rPr>
        <w:t xml:space="preserve">m  </w:t>
      </w:r>
      <w:proofErr w:type="spellStart"/>
      <w:r w:rsidRPr="00C070B1">
        <w:rPr>
          <w:rFonts w:ascii="Arial" w:hAnsi="Arial" w:cs="Arial"/>
        </w:rPr>
        <w:t>visine</w:t>
      </w:r>
      <w:proofErr w:type="spellEnd"/>
      <w:proofErr w:type="gramEnd"/>
      <w:r w:rsidRPr="00C070B1">
        <w:rPr>
          <w:rFonts w:ascii="Arial" w:hAnsi="Arial" w:cs="Arial"/>
        </w:rPr>
        <w:t xml:space="preserve"> </w:t>
      </w:r>
      <w:proofErr w:type="spellStart"/>
      <w:r w:rsidRPr="00C070B1">
        <w:rPr>
          <w:rFonts w:ascii="Arial" w:hAnsi="Arial" w:cs="Arial"/>
        </w:rPr>
        <w:t>iznad</w:t>
      </w:r>
      <w:proofErr w:type="spellEnd"/>
      <w:r w:rsidRPr="00C070B1">
        <w:rPr>
          <w:rFonts w:ascii="Arial" w:hAnsi="Arial" w:cs="Arial"/>
        </w:rPr>
        <w:t xml:space="preserve"> </w:t>
      </w:r>
      <w:proofErr w:type="spellStart"/>
      <w:r w:rsidRPr="00C070B1">
        <w:rPr>
          <w:rFonts w:ascii="Arial" w:hAnsi="Arial" w:cs="Arial"/>
        </w:rPr>
        <w:t>terena</w:t>
      </w:r>
      <w:proofErr w:type="spellEnd"/>
      <w:r w:rsidRPr="00C070B1">
        <w:rPr>
          <w:rFonts w:ascii="Arial" w:hAnsi="Arial" w:cs="Arial"/>
        </w:rPr>
        <w:t xml:space="preserve">  ( SV-3).</w:t>
      </w:r>
    </w:p>
    <w:p w14:paraId="3967BD00" w14:textId="55A2825C" w:rsidR="00F54919" w:rsidRDefault="00F54919" w:rsidP="005E683D">
      <w:pPr>
        <w:pStyle w:val="ListParagraph"/>
        <w:numPr>
          <w:ilvl w:val="0"/>
          <w:numId w:val="32"/>
        </w:numPr>
        <w:suppressAutoHyphens w:val="0"/>
        <w:spacing w:after="0" w:line="240" w:lineRule="auto"/>
        <w:jc w:val="both"/>
        <w:rPr>
          <w:rFonts w:ascii="Arial" w:hAnsi="Arial" w:cs="Arial"/>
        </w:rPr>
      </w:pPr>
      <w:proofErr w:type="spellStart"/>
      <w:r w:rsidRPr="00C070B1">
        <w:rPr>
          <w:rFonts w:ascii="Arial" w:hAnsi="Arial" w:cs="Arial"/>
        </w:rPr>
        <w:t>proizvodnju</w:t>
      </w:r>
      <w:proofErr w:type="spellEnd"/>
      <w:r w:rsidRPr="00C070B1">
        <w:rPr>
          <w:rFonts w:ascii="Arial" w:hAnsi="Arial" w:cs="Arial"/>
        </w:rPr>
        <w:t xml:space="preserve"> </w:t>
      </w:r>
      <w:proofErr w:type="spellStart"/>
      <w:r w:rsidRPr="00C070B1">
        <w:rPr>
          <w:rFonts w:ascii="Arial" w:hAnsi="Arial" w:cs="Arial"/>
        </w:rPr>
        <w:t>ploča</w:t>
      </w:r>
      <w:proofErr w:type="spellEnd"/>
      <w:r w:rsidRPr="00C070B1">
        <w:rPr>
          <w:rFonts w:ascii="Arial" w:hAnsi="Arial" w:cs="Arial"/>
        </w:rPr>
        <w:t xml:space="preserve"> za </w:t>
      </w:r>
      <w:proofErr w:type="spellStart"/>
      <w:r w:rsidRPr="00C070B1">
        <w:rPr>
          <w:rFonts w:ascii="Arial" w:hAnsi="Arial" w:cs="Arial"/>
        </w:rPr>
        <w:t>oblaganje</w:t>
      </w:r>
      <w:proofErr w:type="spellEnd"/>
      <w:r w:rsidRPr="00C070B1">
        <w:rPr>
          <w:rFonts w:ascii="Arial" w:hAnsi="Arial" w:cs="Arial"/>
        </w:rPr>
        <w:t xml:space="preserve"> </w:t>
      </w:r>
      <w:proofErr w:type="spellStart"/>
      <w:r w:rsidRPr="00C070B1">
        <w:rPr>
          <w:rFonts w:ascii="Arial" w:hAnsi="Arial" w:cs="Arial"/>
        </w:rPr>
        <w:t>spoljašnjih</w:t>
      </w:r>
      <w:proofErr w:type="spellEnd"/>
      <w:r w:rsidRPr="00C070B1">
        <w:rPr>
          <w:rFonts w:ascii="Arial" w:hAnsi="Arial" w:cs="Arial"/>
        </w:rPr>
        <w:t xml:space="preserve"> </w:t>
      </w:r>
      <w:proofErr w:type="spellStart"/>
      <w:r w:rsidRPr="00C070B1">
        <w:rPr>
          <w:rFonts w:ascii="Arial" w:hAnsi="Arial" w:cs="Arial"/>
        </w:rPr>
        <w:t>horizontalnih</w:t>
      </w:r>
      <w:proofErr w:type="spellEnd"/>
      <w:r w:rsidRPr="00C070B1">
        <w:rPr>
          <w:rFonts w:ascii="Arial" w:hAnsi="Arial" w:cs="Arial"/>
        </w:rPr>
        <w:t xml:space="preserve"> </w:t>
      </w:r>
      <w:proofErr w:type="spellStart"/>
      <w:r w:rsidRPr="00C070B1">
        <w:rPr>
          <w:rFonts w:ascii="Arial" w:hAnsi="Arial" w:cs="Arial"/>
        </w:rPr>
        <w:t>površina</w:t>
      </w:r>
      <w:proofErr w:type="spellEnd"/>
      <w:r w:rsidRPr="00C070B1">
        <w:rPr>
          <w:rFonts w:ascii="Arial" w:hAnsi="Arial" w:cs="Arial"/>
        </w:rPr>
        <w:t xml:space="preserve"> </w:t>
      </w:r>
      <w:proofErr w:type="gramStart"/>
      <w:r w:rsidRPr="00C070B1">
        <w:rPr>
          <w:rFonts w:ascii="Arial" w:hAnsi="Arial" w:cs="Arial"/>
        </w:rPr>
        <w:t>( SH</w:t>
      </w:r>
      <w:proofErr w:type="gramEnd"/>
      <w:r w:rsidRPr="00C070B1">
        <w:rPr>
          <w:rFonts w:ascii="Arial" w:hAnsi="Arial" w:cs="Arial"/>
        </w:rPr>
        <w:t xml:space="preserve">-3) </w:t>
      </w:r>
      <w:proofErr w:type="spellStart"/>
      <w:r w:rsidRPr="00C070B1">
        <w:rPr>
          <w:rFonts w:ascii="Arial" w:hAnsi="Arial" w:cs="Arial"/>
        </w:rPr>
        <w:t>gdje</w:t>
      </w:r>
      <w:proofErr w:type="spellEnd"/>
      <w:r w:rsidRPr="00C070B1">
        <w:rPr>
          <w:rFonts w:ascii="Arial" w:hAnsi="Arial" w:cs="Arial"/>
        </w:rPr>
        <w:t xml:space="preserve"> se </w:t>
      </w:r>
      <w:proofErr w:type="spellStart"/>
      <w:r w:rsidRPr="00C070B1">
        <w:rPr>
          <w:rFonts w:ascii="Arial" w:hAnsi="Arial" w:cs="Arial"/>
        </w:rPr>
        <w:t>obavlja</w:t>
      </w:r>
      <w:proofErr w:type="spellEnd"/>
      <w:r w:rsidRPr="00C070B1">
        <w:rPr>
          <w:rFonts w:ascii="Arial" w:hAnsi="Arial" w:cs="Arial"/>
        </w:rPr>
        <w:t xml:space="preserve">  </w:t>
      </w:r>
      <w:proofErr w:type="spellStart"/>
      <w:r w:rsidRPr="00C070B1">
        <w:rPr>
          <w:rFonts w:ascii="Arial" w:hAnsi="Arial" w:cs="Arial"/>
        </w:rPr>
        <w:t>umjereni</w:t>
      </w:r>
      <w:proofErr w:type="spellEnd"/>
      <w:r w:rsidRPr="00C070B1">
        <w:rPr>
          <w:rFonts w:ascii="Arial" w:hAnsi="Arial" w:cs="Arial"/>
        </w:rPr>
        <w:t xml:space="preserve"> </w:t>
      </w:r>
      <w:proofErr w:type="spellStart"/>
      <w:r w:rsidRPr="00C070B1">
        <w:rPr>
          <w:rFonts w:ascii="Arial" w:hAnsi="Arial" w:cs="Arial"/>
        </w:rPr>
        <w:t>pješački</w:t>
      </w:r>
      <w:proofErr w:type="spellEnd"/>
      <w:r w:rsidRPr="00C070B1">
        <w:rPr>
          <w:rFonts w:ascii="Arial" w:hAnsi="Arial" w:cs="Arial"/>
        </w:rPr>
        <w:t xml:space="preserve"> </w:t>
      </w:r>
      <w:proofErr w:type="spellStart"/>
      <w:r w:rsidRPr="00C070B1">
        <w:rPr>
          <w:rFonts w:ascii="Arial" w:hAnsi="Arial" w:cs="Arial"/>
        </w:rPr>
        <w:t>saobraćaj</w:t>
      </w:r>
      <w:proofErr w:type="spellEnd"/>
      <w:r w:rsidRPr="00C070B1">
        <w:rPr>
          <w:rFonts w:ascii="Arial" w:hAnsi="Arial" w:cs="Arial"/>
        </w:rPr>
        <w:t>.</w:t>
      </w:r>
    </w:p>
    <w:p w14:paraId="566FDC36" w14:textId="77777777" w:rsidR="005E683D" w:rsidRPr="00E50D71" w:rsidRDefault="005E683D" w:rsidP="005E683D">
      <w:pPr>
        <w:pStyle w:val="ListParagraph"/>
        <w:suppressAutoHyphens w:val="0"/>
        <w:spacing w:after="0" w:line="240" w:lineRule="auto"/>
        <w:jc w:val="both"/>
        <w:rPr>
          <w:rFonts w:ascii="Arial" w:hAnsi="Arial" w:cs="Arial"/>
        </w:rPr>
      </w:pPr>
    </w:p>
    <w:p w14:paraId="134545D0" w14:textId="77777777" w:rsidR="00744584" w:rsidRPr="00205A29" w:rsidRDefault="00744584" w:rsidP="007254CE">
      <w:pPr>
        <w:pStyle w:val="Heading2"/>
        <w:numPr>
          <w:ilvl w:val="1"/>
          <w:numId w:val="19"/>
        </w:numPr>
      </w:pPr>
      <w:r w:rsidRPr="00205A29">
        <w:t>Hidrogeološke karakteristike</w:t>
      </w:r>
    </w:p>
    <w:p w14:paraId="63940A69" w14:textId="77777777" w:rsidR="00744584" w:rsidRDefault="00744584" w:rsidP="007254CE">
      <w:pPr>
        <w:spacing w:after="0" w:line="240" w:lineRule="auto"/>
        <w:jc w:val="both"/>
        <w:rPr>
          <w:rFonts w:ascii="Arial" w:hAnsi="Arial" w:cs="Arial"/>
          <w:b/>
          <w:lang w:val="sr-Latn-CS"/>
        </w:rPr>
      </w:pPr>
    </w:p>
    <w:p w14:paraId="1F680807" w14:textId="099473FA" w:rsidR="006A0E55" w:rsidRPr="006A0E55" w:rsidRDefault="006A0E55" w:rsidP="005E683D">
      <w:pPr>
        <w:pStyle w:val="BodyText"/>
        <w:spacing w:after="0" w:line="240" w:lineRule="auto"/>
        <w:jc w:val="both"/>
        <w:rPr>
          <w:rFonts w:ascii="Arial" w:hAnsi="Arial" w:cs="Arial"/>
          <w:sz w:val="22"/>
          <w:szCs w:val="22"/>
          <w:lang w:val="sr-Cyrl-CS"/>
        </w:rPr>
      </w:pPr>
      <w:r w:rsidRPr="006A0E55">
        <w:rPr>
          <w:rFonts w:ascii="Arial" w:hAnsi="Arial" w:cs="Arial"/>
          <w:sz w:val="22"/>
          <w:szCs w:val="22"/>
          <w:lang w:val="sr-Cyrl-CS"/>
        </w:rPr>
        <w:t>Buržine, zajedno sa Komunicom i Veljim brdom, čine krečnjačku prečagu, pravca pružanja SZ-JI, između stalnih vodotoka  Zete i Matice. Na oko 2 km jugoistočno od ležišta “Klikovača” nalazi se izvor Mareza, a na oko 5 km zapadno nalaze se izvori Vučiji studenac i izvorište Matice</w:t>
      </w:r>
      <w:r w:rsidR="007929DE">
        <w:rPr>
          <w:rFonts w:ascii="Arial" w:hAnsi="Arial" w:cs="Arial"/>
          <w:sz w:val="22"/>
          <w:szCs w:val="22"/>
          <w:lang w:val="sr-Latn-ME"/>
        </w:rPr>
        <w:t xml:space="preserve"> </w:t>
      </w:r>
      <w:r w:rsidRPr="006A0E55">
        <w:rPr>
          <w:rFonts w:ascii="Arial" w:hAnsi="Arial" w:cs="Arial"/>
          <w:sz w:val="22"/>
          <w:szCs w:val="22"/>
          <w:lang w:val="sr-Cyrl-CS"/>
        </w:rPr>
        <w:t>-</w:t>
      </w:r>
      <w:r w:rsidR="007929DE">
        <w:rPr>
          <w:rFonts w:ascii="Arial" w:hAnsi="Arial" w:cs="Arial"/>
          <w:sz w:val="22"/>
          <w:szCs w:val="22"/>
          <w:lang w:val="sr-Latn-ME"/>
        </w:rPr>
        <w:t xml:space="preserve"> </w:t>
      </w:r>
      <w:r w:rsidRPr="006A0E55">
        <w:rPr>
          <w:rFonts w:ascii="Arial" w:hAnsi="Arial" w:cs="Arial"/>
          <w:sz w:val="22"/>
          <w:szCs w:val="22"/>
          <w:lang w:val="sr-Cyrl-CS"/>
        </w:rPr>
        <w:t>Modro oko.</w:t>
      </w:r>
    </w:p>
    <w:p w14:paraId="3E1A696E" w14:textId="77777777" w:rsidR="001354C9" w:rsidRDefault="001354C9" w:rsidP="005E683D">
      <w:pPr>
        <w:suppressAutoHyphens w:val="0"/>
        <w:spacing w:after="0" w:line="240" w:lineRule="auto"/>
        <w:jc w:val="both"/>
        <w:rPr>
          <w:rFonts w:ascii="Arial" w:hAnsi="Arial" w:cs="Arial"/>
          <w:lang w:val="sr-Cyrl-CS"/>
        </w:rPr>
      </w:pPr>
    </w:p>
    <w:p w14:paraId="34C5032C" w14:textId="4E5CD512" w:rsidR="00744584" w:rsidRPr="00205A29" w:rsidRDefault="00744584" w:rsidP="005E683D">
      <w:pPr>
        <w:pStyle w:val="Heading2"/>
        <w:numPr>
          <w:ilvl w:val="1"/>
          <w:numId w:val="19"/>
        </w:numPr>
      </w:pPr>
      <w:r w:rsidRPr="00205A29">
        <w:t>Inžen</w:t>
      </w:r>
      <w:r w:rsidR="00FA73E2" w:rsidRPr="00205A29">
        <w:t xml:space="preserve">jersko-geološke karakteristike </w:t>
      </w:r>
      <w:r w:rsidR="00A00482">
        <w:t>ležišta</w:t>
      </w:r>
    </w:p>
    <w:p w14:paraId="05176EC1" w14:textId="77777777" w:rsidR="00FA73E2" w:rsidRPr="00205A29" w:rsidRDefault="00FA73E2" w:rsidP="005E683D">
      <w:pPr>
        <w:pStyle w:val="BodyText"/>
        <w:spacing w:after="0" w:line="240" w:lineRule="auto"/>
        <w:jc w:val="both"/>
        <w:rPr>
          <w:rFonts w:ascii="Arial" w:hAnsi="Arial" w:cs="Arial"/>
          <w:sz w:val="22"/>
          <w:szCs w:val="22"/>
        </w:rPr>
      </w:pPr>
    </w:p>
    <w:p w14:paraId="770F5958" w14:textId="5C339923" w:rsidR="001354C9" w:rsidRDefault="001354C9" w:rsidP="005E683D">
      <w:pPr>
        <w:pStyle w:val="BodyText"/>
        <w:spacing w:after="0" w:line="240" w:lineRule="auto"/>
        <w:jc w:val="both"/>
        <w:rPr>
          <w:rFonts w:ascii="Arial" w:hAnsi="Arial" w:cs="Arial"/>
          <w:sz w:val="22"/>
          <w:szCs w:val="22"/>
          <w:lang w:val="sr-Cyrl-CS"/>
        </w:rPr>
      </w:pPr>
      <w:r w:rsidRPr="00EB7C49">
        <w:rPr>
          <w:rFonts w:ascii="Arial" w:hAnsi="Arial" w:cs="Arial"/>
          <w:sz w:val="22"/>
          <w:szCs w:val="22"/>
          <w:lang w:val="sr-Cyrl-CS"/>
        </w:rPr>
        <w:t xml:space="preserve">Ležište </w:t>
      </w:r>
      <w:r w:rsidRPr="00EB7C49">
        <w:rPr>
          <w:rFonts w:ascii="Arial" w:hAnsi="Arial" w:cs="Arial"/>
          <w:sz w:val="22"/>
          <w:szCs w:val="22"/>
          <w:lang w:val="sr-Latn-ME"/>
        </w:rPr>
        <w:t>arhitektonsko</w:t>
      </w:r>
      <w:r w:rsidRPr="00EB7C49">
        <w:rPr>
          <w:rFonts w:ascii="Arial" w:hAnsi="Arial" w:cs="Arial"/>
          <w:sz w:val="22"/>
          <w:szCs w:val="22"/>
          <w:lang w:val="sr-Cyrl-CS"/>
        </w:rPr>
        <w:t xml:space="preserve">-građevinskog kamena </w:t>
      </w:r>
      <w:r w:rsidR="00772844">
        <w:rPr>
          <w:rFonts w:ascii="Arial" w:hAnsi="Arial" w:cs="Arial"/>
          <w:sz w:val="22"/>
          <w:szCs w:val="22"/>
          <w:lang w:val="sr-Cyrl-CS"/>
        </w:rPr>
        <w:t>“Klikovače”</w:t>
      </w:r>
      <w:r w:rsidRPr="00EB7C49">
        <w:rPr>
          <w:rFonts w:ascii="Arial" w:hAnsi="Arial" w:cs="Arial"/>
          <w:sz w:val="22"/>
          <w:szCs w:val="22"/>
          <w:lang w:val="sr-Latn-ME"/>
        </w:rPr>
        <w:t xml:space="preserve"> </w:t>
      </w:r>
      <w:r w:rsidRPr="00EB7C49">
        <w:rPr>
          <w:rFonts w:ascii="Arial" w:hAnsi="Arial" w:cs="Arial"/>
          <w:sz w:val="22"/>
          <w:szCs w:val="22"/>
          <w:lang w:val="sr-Cyrl-CS"/>
        </w:rPr>
        <w:t>i njegovo uže područje izgrađeno je od krutih, vezanih, okamenjenih karbonatnih stijena</w:t>
      </w:r>
      <w:r w:rsidRPr="00EB7C49">
        <w:rPr>
          <w:rFonts w:ascii="Arial" w:hAnsi="Arial" w:cs="Arial"/>
          <w:sz w:val="22"/>
          <w:szCs w:val="22"/>
          <w:lang w:val="sr-Latn-ME"/>
        </w:rPr>
        <w:t xml:space="preserve">. </w:t>
      </w:r>
      <w:r w:rsidRPr="00EB7C49">
        <w:rPr>
          <w:rFonts w:ascii="Arial" w:hAnsi="Arial" w:cs="Arial"/>
          <w:sz w:val="22"/>
          <w:szCs w:val="22"/>
          <w:lang w:val="sr-Cyrl-CS"/>
        </w:rPr>
        <w:t xml:space="preserve">Takve stijene predstavljaju povoljnu radnu sredinu koja ima dobru nosivost i stabilne kosine - padine. </w:t>
      </w:r>
    </w:p>
    <w:p w14:paraId="7A0BFA0A" w14:textId="77777777" w:rsidR="006C25A6" w:rsidRPr="00EB7C49" w:rsidRDefault="006C25A6" w:rsidP="005E683D">
      <w:pPr>
        <w:pStyle w:val="BodyText"/>
        <w:spacing w:after="0" w:line="240" w:lineRule="auto"/>
        <w:jc w:val="both"/>
        <w:rPr>
          <w:rFonts w:ascii="Arial" w:hAnsi="Arial" w:cs="Arial"/>
          <w:sz w:val="22"/>
          <w:szCs w:val="22"/>
          <w:lang w:val="sr-Cyrl-CS"/>
        </w:rPr>
      </w:pPr>
    </w:p>
    <w:p w14:paraId="09D6036D" w14:textId="77777777" w:rsidR="00823143" w:rsidRPr="00205A29" w:rsidRDefault="00823143" w:rsidP="005E683D">
      <w:pPr>
        <w:pStyle w:val="Heading2"/>
        <w:numPr>
          <w:ilvl w:val="1"/>
          <w:numId w:val="19"/>
        </w:numPr>
      </w:pPr>
      <w:r w:rsidRPr="00205A29">
        <w:t>Klimatske karakteristike</w:t>
      </w:r>
    </w:p>
    <w:p w14:paraId="724E21CA" w14:textId="77777777" w:rsidR="00744584" w:rsidRPr="00205A29" w:rsidRDefault="00744584" w:rsidP="005E683D">
      <w:pPr>
        <w:suppressAutoHyphens w:val="0"/>
        <w:spacing w:after="0" w:line="240" w:lineRule="auto"/>
        <w:jc w:val="both"/>
        <w:rPr>
          <w:rFonts w:ascii="Arial" w:hAnsi="Arial" w:cs="Arial"/>
          <w:b/>
          <w:lang w:val="sr-Latn-CS"/>
        </w:rPr>
      </w:pPr>
    </w:p>
    <w:p w14:paraId="4C897AE5" w14:textId="38844A1E" w:rsidR="006A0E55" w:rsidRDefault="006A0E55" w:rsidP="005E683D">
      <w:pPr>
        <w:pStyle w:val="BodyTextIndent"/>
        <w:tabs>
          <w:tab w:val="left" w:pos="-2430"/>
        </w:tabs>
        <w:spacing w:after="0" w:line="240" w:lineRule="auto"/>
        <w:ind w:left="0"/>
        <w:jc w:val="both"/>
        <w:rPr>
          <w:rFonts w:ascii="Arial" w:hAnsi="Arial" w:cs="Arial"/>
          <w:sz w:val="22"/>
          <w:szCs w:val="22"/>
          <w:lang w:val="sr-Cyrl-CS"/>
        </w:rPr>
      </w:pPr>
      <w:r w:rsidRPr="006A0E55">
        <w:rPr>
          <w:rFonts w:ascii="Arial" w:hAnsi="Arial" w:cs="Arial"/>
          <w:sz w:val="22"/>
          <w:szCs w:val="22"/>
          <w:lang w:val="sr-Cyrl-CS"/>
        </w:rPr>
        <w:t>Širi prostor ležišta  je pod uticajem  blage kontinentalne klime koja se miješa sa mediteranskom. Sniježne padavine su rijetke. Ipak, ovo područje obiluje relativno visokim godišnjim padavina, neravnomjerno raspoređenim po mjesecima. Maksimalne padavine pretežno se bilježe u novembru i decembru, a minimalne u julu i avgustu.</w:t>
      </w:r>
    </w:p>
    <w:p w14:paraId="50A58A23" w14:textId="77777777" w:rsidR="006A0E55" w:rsidRPr="006A0E55" w:rsidRDefault="006A0E55" w:rsidP="005E683D">
      <w:pPr>
        <w:pStyle w:val="BodyTextIndent"/>
        <w:tabs>
          <w:tab w:val="left" w:pos="-2430"/>
        </w:tabs>
        <w:spacing w:after="0" w:line="240" w:lineRule="auto"/>
        <w:ind w:left="0"/>
        <w:jc w:val="both"/>
        <w:rPr>
          <w:rFonts w:ascii="Arial" w:hAnsi="Arial" w:cs="Arial"/>
          <w:sz w:val="22"/>
          <w:szCs w:val="22"/>
          <w:lang w:val="sr-Cyrl-CS"/>
        </w:rPr>
      </w:pPr>
    </w:p>
    <w:p w14:paraId="29C3307E" w14:textId="785FBFE4" w:rsidR="006A0E55" w:rsidRDefault="006A0E55" w:rsidP="005E683D">
      <w:pPr>
        <w:pStyle w:val="BodyTextIndent"/>
        <w:tabs>
          <w:tab w:val="left" w:pos="-2430"/>
        </w:tabs>
        <w:spacing w:after="0" w:line="240" w:lineRule="auto"/>
        <w:ind w:left="0"/>
        <w:jc w:val="both"/>
        <w:rPr>
          <w:rFonts w:ascii="Arial" w:hAnsi="Arial" w:cs="Arial"/>
          <w:sz w:val="22"/>
          <w:szCs w:val="22"/>
          <w:lang w:val="sr-Cyrl-CS"/>
        </w:rPr>
      </w:pPr>
      <w:r w:rsidRPr="006A0E55">
        <w:rPr>
          <w:rFonts w:ascii="Arial" w:hAnsi="Arial" w:cs="Arial"/>
          <w:sz w:val="22"/>
          <w:szCs w:val="22"/>
          <w:lang w:val="sr-Cyrl-CS"/>
        </w:rPr>
        <w:t xml:space="preserve">U ovom </w:t>
      </w:r>
      <w:r w:rsidR="007929DE">
        <w:rPr>
          <w:rFonts w:ascii="Arial" w:hAnsi="Arial" w:cs="Arial"/>
          <w:sz w:val="22"/>
          <w:szCs w:val="22"/>
          <w:lang w:val="sr-Cyrl-CS"/>
        </w:rPr>
        <w:t>području najveću čestinu imaju vjetrovi iz sjevernog pravca</w:t>
      </w:r>
      <w:r w:rsidRPr="006A0E55">
        <w:rPr>
          <w:rFonts w:ascii="Arial" w:hAnsi="Arial" w:cs="Arial"/>
          <w:sz w:val="22"/>
          <w:szCs w:val="22"/>
          <w:lang w:val="sr-Cyrl-CS"/>
        </w:rPr>
        <w:t xml:space="preserve"> koji učestvuju sa 22%, zatim iz južnog pravca koji učestvuju sa 13%</w:t>
      </w:r>
      <w:r w:rsidR="006C25A6">
        <w:rPr>
          <w:rFonts w:ascii="Arial" w:hAnsi="Arial" w:cs="Arial"/>
          <w:sz w:val="22"/>
          <w:szCs w:val="22"/>
        </w:rPr>
        <w:t>,</w:t>
      </w:r>
      <w:r w:rsidRPr="006A0E55">
        <w:rPr>
          <w:rFonts w:ascii="Arial" w:hAnsi="Arial" w:cs="Arial"/>
          <w:sz w:val="22"/>
          <w:szCs w:val="22"/>
          <w:lang w:val="sr-Cyrl-CS"/>
        </w:rPr>
        <w:t xml:space="preserve"> dok v</w:t>
      </w:r>
      <w:r w:rsidR="006C25A6">
        <w:rPr>
          <w:rFonts w:ascii="Arial" w:hAnsi="Arial" w:cs="Arial"/>
          <w:sz w:val="22"/>
          <w:szCs w:val="22"/>
          <w:lang w:val="sr-Cyrl-CS"/>
        </w:rPr>
        <w:t xml:space="preserve">jetrovi iz svih drugih pravaca </w:t>
      </w:r>
      <w:r w:rsidRPr="006A0E55">
        <w:rPr>
          <w:rFonts w:ascii="Arial" w:hAnsi="Arial" w:cs="Arial"/>
          <w:sz w:val="22"/>
          <w:szCs w:val="22"/>
          <w:lang w:val="sr-Cyrl-CS"/>
        </w:rPr>
        <w:t>učestv</w:t>
      </w:r>
      <w:r w:rsidR="00882EC0">
        <w:rPr>
          <w:rFonts w:ascii="Arial" w:hAnsi="Arial" w:cs="Arial"/>
          <w:sz w:val="22"/>
          <w:szCs w:val="22"/>
          <w:lang w:val="sr-Cyrl-CS"/>
        </w:rPr>
        <w:t>uju sa 20%. Tišine učestvuju sa</w:t>
      </w:r>
      <w:r w:rsidRPr="006A0E55">
        <w:rPr>
          <w:rFonts w:ascii="Arial" w:hAnsi="Arial" w:cs="Arial"/>
          <w:sz w:val="22"/>
          <w:szCs w:val="22"/>
          <w:lang w:val="sr-Cyrl-CS"/>
        </w:rPr>
        <w:t xml:space="preserve"> 45%.</w:t>
      </w:r>
    </w:p>
    <w:p w14:paraId="5B35D039" w14:textId="77777777" w:rsidR="006A0E55" w:rsidRDefault="006A0E55" w:rsidP="005E683D">
      <w:pPr>
        <w:pStyle w:val="BodyTextIndent"/>
        <w:tabs>
          <w:tab w:val="left" w:pos="-2430"/>
        </w:tabs>
        <w:spacing w:after="0" w:line="240" w:lineRule="auto"/>
        <w:ind w:left="0"/>
        <w:jc w:val="both"/>
        <w:rPr>
          <w:rFonts w:ascii="Arial" w:hAnsi="Arial" w:cs="Arial"/>
          <w:sz w:val="22"/>
          <w:szCs w:val="22"/>
          <w:lang w:val="sr-Cyrl-CS"/>
        </w:rPr>
      </w:pPr>
    </w:p>
    <w:p w14:paraId="2FDEF2CB" w14:textId="6D118332" w:rsidR="006A0E55" w:rsidRDefault="006A0E55" w:rsidP="005E683D">
      <w:pPr>
        <w:pStyle w:val="BodyTextIndent"/>
        <w:tabs>
          <w:tab w:val="left" w:pos="-2430"/>
        </w:tabs>
        <w:spacing w:after="0" w:line="240" w:lineRule="auto"/>
        <w:ind w:left="0"/>
        <w:jc w:val="both"/>
        <w:rPr>
          <w:rFonts w:ascii="Arial" w:hAnsi="Arial" w:cs="Arial"/>
          <w:sz w:val="22"/>
          <w:szCs w:val="22"/>
          <w:lang w:val="sr-Cyrl-CS"/>
        </w:rPr>
      </w:pPr>
      <w:r w:rsidRPr="006A0E55">
        <w:rPr>
          <w:rFonts w:ascii="Arial" w:hAnsi="Arial" w:cs="Arial"/>
          <w:sz w:val="22"/>
          <w:szCs w:val="22"/>
          <w:lang w:val="sr-Cyrl-CS"/>
        </w:rPr>
        <w:t>Srednja godišnja temperatura vazduha je oko 16</w:t>
      </w:r>
      <w:r w:rsidR="00882EC0">
        <w:rPr>
          <w:rFonts w:ascii="Arial" w:hAnsi="Arial" w:cs="Arial"/>
          <w:sz w:val="22"/>
          <w:szCs w:val="22"/>
          <w:lang w:val="sr-Cyrl-CS"/>
        </w:rPr>
        <w:t>º</w:t>
      </w:r>
      <w:r w:rsidRPr="006A0E55">
        <w:rPr>
          <w:rFonts w:ascii="Arial" w:hAnsi="Arial" w:cs="Arial"/>
          <w:sz w:val="22"/>
          <w:szCs w:val="22"/>
          <w:lang w:val="sr-Cyrl-CS"/>
        </w:rPr>
        <w:t>C, dok je godišnja temperaturna amplituda oko 55</w:t>
      </w:r>
      <w:r w:rsidR="00882EC0">
        <w:rPr>
          <w:rFonts w:ascii="Arial" w:hAnsi="Arial" w:cs="Arial"/>
          <w:sz w:val="22"/>
          <w:szCs w:val="22"/>
          <w:lang w:val="sr-Cyrl-CS"/>
        </w:rPr>
        <w:t>º</w:t>
      </w:r>
      <w:r w:rsidRPr="006A0E55">
        <w:rPr>
          <w:rFonts w:ascii="Arial" w:hAnsi="Arial" w:cs="Arial"/>
          <w:sz w:val="22"/>
          <w:szCs w:val="22"/>
          <w:lang w:val="sr-Cyrl-CS"/>
        </w:rPr>
        <w:t>C. Najveći broj dana (oko132) je sa temperraturom većom od 25</w:t>
      </w:r>
      <w:r w:rsidR="00882EC0">
        <w:rPr>
          <w:rFonts w:ascii="Arial" w:hAnsi="Arial" w:cs="Arial"/>
          <w:sz w:val="22"/>
          <w:szCs w:val="22"/>
          <w:lang w:val="sr-Cyrl-CS"/>
        </w:rPr>
        <w:t>º</w:t>
      </w:r>
      <w:r w:rsidRPr="006A0E55">
        <w:rPr>
          <w:rFonts w:ascii="Arial" w:hAnsi="Arial" w:cs="Arial"/>
          <w:sz w:val="22"/>
          <w:szCs w:val="22"/>
          <w:lang w:val="sr-Cyrl-CS"/>
        </w:rPr>
        <w:t>C, dok je svega oko 22 dana sa temperatura većom od 30</w:t>
      </w:r>
      <w:r w:rsidR="00882EC0">
        <w:rPr>
          <w:rFonts w:ascii="Arial" w:hAnsi="Arial" w:cs="Arial"/>
          <w:sz w:val="22"/>
          <w:szCs w:val="22"/>
          <w:lang w:val="sr-Cyrl-CS"/>
        </w:rPr>
        <w:t>º</w:t>
      </w:r>
      <w:r w:rsidRPr="006A0E55">
        <w:rPr>
          <w:rFonts w:ascii="Arial" w:hAnsi="Arial" w:cs="Arial"/>
          <w:sz w:val="22"/>
          <w:szCs w:val="22"/>
          <w:lang w:val="sr-Cyrl-CS"/>
        </w:rPr>
        <w:t>C u toku godine.</w:t>
      </w:r>
    </w:p>
    <w:p w14:paraId="53E313B8" w14:textId="77777777" w:rsidR="005E683D" w:rsidRDefault="005E683D" w:rsidP="005E683D">
      <w:pPr>
        <w:pStyle w:val="BodyTextIndent"/>
        <w:tabs>
          <w:tab w:val="left" w:pos="-2430"/>
        </w:tabs>
        <w:spacing w:after="0" w:line="240" w:lineRule="auto"/>
        <w:ind w:left="0"/>
        <w:jc w:val="both"/>
        <w:rPr>
          <w:rFonts w:ascii="Arial" w:hAnsi="Arial" w:cs="Arial"/>
          <w:sz w:val="22"/>
          <w:szCs w:val="22"/>
          <w:lang w:val="sr-Cyrl-CS"/>
        </w:rPr>
      </w:pPr>
    </w:p>
    <w:p w14:paraId="3A81F1ED" w14:textId="77777777" w:rsidR="006A0E55" w:rsidRPr="006A0E55" w:rsidRDefault="006A0E55" w:rsidP="005E683D">
      <w:pPr>
        <w:pStyle w:val="BodyTextIndent"/>
        <w:tabs>
          <w:tab w:val="left" w:pos="-2430"/>
        </w:tabs>
        <w:spacing w:after="0" w:line="240" w:lineRule="auto"/>
        <w:ind w:left="0"/>
        <w:jc w:val="both"/>
        <w:rPr>
          <w:rFonts w:ascii="Arial" w:hAnsi="Arial" w:cs="Arial"/>
          <w:sz w:val="22"/>
          <w:szCs w:val="22"/>
          <w:lang w:val="sr-Cyrl-CS"/>
        </w:rPr>
      </w:pPr>
    </w:p>
    <w:p w14:paraId="30913968" w14:textId="77777777" w:rsidR="00744584" w:rsidRPr="00205A29" w:rsidRDefault="00592620" w:rsidP="005E683D">
      <w:pPr>
        <w:pStyle w:val="Heading1"/>
        <w:numPr>
          <w:ilvl w:val="0"/>
          <w:numId w:val="19"/>
        </w:numPr>
        <w:ind w:left="0" w:firstLine="0"/>
        <w:jc w:val="both"/>
        <w:rPr>
          <w:rFonts w:ascii="Arial" w:hAnsi="Arial" w:cs="Arial"/>
          <w:sz w:val="22"/>
          <w:szCs w:val="22"/>
        </w:rPr>
      </w:pPr>
      <w:bookmarkStart w:id="11" w:name="_Toc402262933"/>
      <w:r w:rsidRPr="00205A29">
        <w:rPr>
          <w:rFonts w:ascii="Arial" w:hAnsi="Arial" w:cs="Arial"/>
          <w:sz w:val="22"/>
          <w:szCs w:val="22"/>
        </w:rPr>
        <w:lastRenderedPageBreak/>
        <w:t>ROK TRAJANJA KONCESIJE</w:t>
      </w:r>
      <w:bookmarkEnd w:id="11"/>
    </w:p>
    <w:p w14:paraId="4E540A78" w14:textId="77777777" w:rsidR="00744584" w:rsidRPr="00205A29" w:rsidRDefault="00744584" w:rsidP="005E683D">
      <w:pPr>
        <w:shd w:val="clear" w:color="auto" w:fill="FFFFFF"/>
        <w:spacing w:after="0" w:line="240" w:lineRule="auto"/>
        <w:jc w:val="both"/>
        <w:rPr>
          <w:rFonts w:ascii="Arial" w:hAnsi="Arial" w:cs="Arial"/>
          <w:lang w:val="sr-Latn-CS"/>
        </w:rPr>
      </w:pPr>
    </w:p>
    <w:p w14:paraId="09228692" w14:textId="77777777" w:rsidR="000B353B" w:rsidRPr="00205A29" w:rsidRDefault="00744584" w:rsidP="005E683D">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5E683D">
      <w:pPr>
        <w:shd w:val="clear" w:color="auto" w:fill="FFFFFF"/>
        <w:spacing w:after="0" w:line="240" w:lineRule="auto"/>
        <w:jc w:val="both"/>
        <w:rPr>
          <w:rFonts w:ascii="Arial" w:hAnsi="Arial" w:cs="Arial"/>
          <w:lang w:val="sr-Latn-CS"/>
        </w:rPr>
      </w:pPr>
    </w:p>
    <w:p w14:paraId="5BEB9B20" w14:textId="4013C607" w:rsidR="0089751C" w:rsidRPr="0068598F" w:rsidRDefault="00744584" w:rsidP="005E683D">
      <w:pPr>
        <w:shd w:val="clear" w:color="auto" w:fill="FFFFFF"/>
        <w:spacing w:after="0" w:line="240" w:lineRule="auto"/>
        <w:jc w:val="both"/>
        <w:rPr>
          <w:rFonts w:ascii="Arial" w:hAnsi="Arial" w:cs="Arial"/>
          <w:lang w:val="sr-Latn-CS"/>
        </w:rPr>
      </w:pPr>
      <w:r w:rsidRPr="00205A29">
        <w:rPr>
          <w:rFonts w:ascii="Arial" w:hAnsi="Arial" w:cs="Arial"/>
          <w:lang w:val="sr-Latn-CS"/>
        </w:rPr>
        <w:t>Ovim kon</w:t>
      </w:r>
      <w:r w:rsidR="008916D9" w:rsidRPr="00205A29">
        <w:rPr>
          <w:rFonts w:ascii="Arial" w:hAnsi="Arial" w:cs="Arial"/>
          <w:lang w:val="sr-Latn-CS"/>
        </w:rPr>
        <w:t>cesionim aktom daje se maksimalni</w:t>
      </w:r>
      <w:r w:rsidR="00EE018A" w:rsidRPr="00205A29">
        <w:rPr>
          <w:rFonts w:ascii="Arial" w:hAnsi="Arial" w:cs="Arial"/>
          <w:lang w:val="sr-Latn-CS"/>
        </w:rPr>
        <w:t xml:space="preserve"> rok </w:t>
      </w:r>
      <w:r w:rsidR="00915985">
        <w:rPr>
          <w:rFonts w:ascii="Arial" w:hAnsi="Arial" w:cs="Arial"/>
          <w:lang w:val="sr-Latn-CS"/>
        </w:rPr>
        <w:t xml:space="preserve">trajanja </w:t>
      </w:r>
      <w:r w:rsidR="00EE018A" w:rsidRPr="00205A29">
        <w:rPr>
          <w:rFonts w:ascii="Arial" w:hAnsi="Arial" w:cs="Arial"/>
          <w:lang w:val="sr-Latn-CS"/>
        </w:rPr>
        <w:t xml:space="preserve">koncesije </w:t>
      </w:r>
      <w:r w:rsidRPr="00205A29">
        <w:rPr>
          <w:rFonts w:ascii="Arial" w:hAnsi="Arial" w:cs="Arial"/>
          <w:lang w:val="sr-Latn-CS"/>
        </w:rPr>
        <w:t xml:space="preserve">za </w:t>
      </w:r>
      <w:r w:rsidR="00915985">
        <w:rPr>
          <w:rFonts w:ascii="Arial" w:hAnsi="Arial" w:cs="Arial"/>
          <w:lang w:val="sr-Latn-CS"/>
        </w:rPr>
        <w:t xml:space="preserve">istraživanje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0B353B" w:rsidRPr="00205A29">
        <w:rPr>
          <w:rFonts w:ascii="Arial" w:hAnsi="Arial" w:cs="Arial"/>
          <w:lang w:val="sr-Latn-CS"/>
        </w:rPr>
        <w:t xml:space="preserve"> iz </w:t>
      </w:r>
      <w:r w:rsidR="00A00482">
        <w:rPr>
          <w:rFonts w:ascii="Arial" w:hAnsi="Arial" w:cs="Arial"/>
          <w:lang w:val="sr-Latn-CS"/>
        </w:rPr>
        <w:t>ležišta</w:t>
      </w:r>
      <w:r w:rsidR="000B353B" w:rsidRPr="00205A29">
        <w:rPr>
          <w:rFonts w:ascii="Arial" w:hAnsi="Arial" w:cs="Arial"/>
          <w:lang w:val="sr-Latn-CS"/>
        </w:rPr>
        <w:t xml:space="preserve"> </w:t>
      </w:r>
      <w:r w:rsidR="00772844">
        <w:rPr>
          <w:rFonts w:ascii="Arial" w:hAnsi="Arial" w:cs="Arial"/>
          <w:lang w:val="sr-Latn-CS"/>
        </w:rPr>
        <w:t>“Klikovače”</w:t>
      </w:r>
      <w:r w:rsidR="00A6195D" w:rsidRPr="00205A29">
        <w:rPr>
          <w:rFonts w:ascii="Arial" w:hAnsi="Arial" w:cs="Arial"/>
          <w:lang w:val="sr-Latn-CS"/>
        </w:rPr>
        <w:t xml:space="preserve"> </w:t>
      </w:r>
      <w:r w:rsidR="008916D9" w:rsidRPr="00205A29">
        <w:rPr>
          <w:rFonts w:ascii="Arial" w:hAnsi="Arial" w:cs="Arial"/>
          <w:lang w:val="sr-Latn-CS"/>
        </w:rPr>
        <w:t>na period od 30 godina</w:t>
      </w:r>
      <w:r w:rsidR="007E4CAB" w:rsidRPr="00205A29">
        <w:rPr>
          <w:rFonts w:ascii="Arial" w:hAnsi="Arial" w:cs="Arial"/>
          <w:lang w:val="sr-Latn-CS"/>
        </w:rPr>
        <w:t xml:space="preserve">, sa </w:t>
      </w:r>
      <w:r w:rsidRPr="00205A29">
        <w:rPr>
          <w:rFonts w:ascii="Arial" w:hAnsi="Arial" w:cs="Arial"/>
          <w:lang w:val="sr-Latn-CS"/>
        </w:rPr>
        <w:t>minimalnom godiš</w:t>
      </w:r>
      <w:r w:rsidR="008916D9" w:rsidRPr="00205A29">
        <w:rPr>
          <w:rFonts w:ascii="Arial" w:hAnsi="Arial" w:cs="Arial"/>
          <w:lang w:val="sr-Latn-CS"/>
        </w:rPr>
        <w:t xml:space="preserve">njom proizvodnjom </w:t>
      </w:r>
      <w:r w:rsidR="008916D9" w:rsidRPr="005775CA">
        <w:rPr>
          <w:rFonts w:ascii="Arial" w:hAnsi="Arial" w:cs="Arial"/>
          <w:color w:val="000000" w:themeColor="text1"/>
          <w:lang w:val="sr-Latn-CS"/>
        </w:rPr>
        <w:t xml:space="preserve">od </w:t>
      </w:r>
      <w:r w:rsidR="000B353B" w:rsidRPr="005775CA">
        <w:rPr>
          <w:rFonts w:ascii="Arial" w:hAnsi="Arial" w:cs="Arial"/>
          <w:color w:val="000000" w:themeColor="text1"/>
          <w:lang w:val="sr-Latn-CS"/>
        </w:rPr>
        <w:t xml:space="preserve">oko </w:t>
      </w:r>
      <w:r w:rsidR="00882EC0">
        <w:rPr>
          <w:rFonts w:ascii="Arial" w:hAnsi="Arial" w:cs="Arial"/>
          <w:color w:val="000000" w:themeColor="text1"/>
          <w:lang w:val="sr-Latn-CS"/>
        </w:rPr>
        <w:t>1</w:t>
      </w:r>
      <w:r w:rsidR="005775CA" w:rsidRPr="005775CA">
        <w:rPr>
          <w:rFonts w:ascii="Arial" w:hAnsi="Arial" w:cs="Arial"/>
          <w:color w:val="000000" w:themeColor="text1"/>
          <w:lang w:val="sr-Latn-CS"/>
        </w:rPr>
        <w:t>000</w:t>
      </w:r>
      <w:r w:rsidR="000B353B" w:rsidRPr="005775CA">
        <w:rPr>
          <w:rFonts w:ascii="Arial" w:hAnsi="Arial" w:cs="Arial"/>
          <w:color w:val="000000" w:themeColor="text1"/>
          <w:lang w:val="sr-Latn-CS"/>
        </w:rPr>
        <w:t xml:space="preserve"> m</w:t>
      </w:r>
      <w:r w:rsidR="000B353B" w:rsidRPr="005775CA">
        <w:rPr>
          <w:rFonts w:ascii="Arial" w:hAnsi="Arial" w:cs="Arial"/>
          <w:color w:val="000000" w:themeColor="text1"/>
          <w:vertAlign w:val="superscript"/>
          <w:lang w:val="sr-Latn-CS"/>
        </w:rPr>
        <w:t>3</w:t>
      </w:r>
      <w:r w:rsidR="000B353B" w:rsidRPr="005775CA">
        <w:rPr>
          <w:rFonts w:ascii="Arial" w:hAnsi="Arial" w:cs="Arial"/>
          <w:color w:val="000000" w:themeColor="text1"/>
          <w:lang w:val="sr-Latn-CS"/>
        </w:rPr>
        <w:t xml:space="preserve"> </w:t>
      </w:r>
      <w:r w:rsidR="0089751C" w:rsidRPr="005775CA">
        <w:rPr>
          <w:rFonts w:ascii="Arial" w:hAnsi="Arial" w:cs="Arial"/>
          <w:color w:val="000000" w:themeColor="text1"/>
          <w:lang w:val="sr-Latn-CS"/>
        </w:rPr>
        <w:t xml:space="preserve">komercijalnih </w:t>
      </w:r>
      <w:r w:rsidR="0089751C" w:rsidRPr="0068598F">
        <w:rPr>
          <w:rFonts w:ascii="Arial" w:hAnsi="Arial" w:cs="Arial"/>
          <w:lang w:val="sr-Latn-CS"/>
        </w:rPr>
        <w:t xml:space="preserve">blokova </w:t>
      </w:r>
      <w:r w:rsidR="0029797A">
        <w:rPr>
          <w:rFonts w:ascii="Arial" w:hAnsi="Arial" w:cs="Arial"/>
          <w:lang w:val="sr-Latn-CS"/>
        </w:rPr>
        <w:t xml:space="preserve">i tombolona </w:t>
      </w:r>
      <w:r w:rsidR="0089751C" w:rsidRPr="0068598F">
        <w:rPr>
          <w:rFonts w:ascii="Arial" w:hAnsi="Arial" w:cs="Arial"/>
          <w:lang w:val="sr-Latn-CS"/>
        </w:rPr>
        <w:t>arhitektonsko-građevinskog kamena.</w:t>
      </w:r>
    </w:p>
    <w:p w14:paraId="2FDC91BA" w14:textId="6F8EFF78" w:rsidR="00744584" w:rsidRPr="00205A29" w:rsidRDefault="00744584" w:rsidP="005E683D">
      <w:pPr>
        <w:shd w:val="clear" w:color="auto" w:fill="FFFFFF"/>
        <w:spacing w:after="0" w:line="240" w:lineRule="auto"/>
        <w:jc w:val="both"/>
        <w:rPr>
          <w:rFonts w:ascii="Arial" w:hAnsi="Arial" w:cs="Arial"/>
          <w:lang w:val="sr-Latn-CS"/>
        </w:rPr>
      </w:pPr>
    </w:p>
    <w:p w14:paraId="3BCF69DB" w14:textId="51A0DB33" w:rsidR="00744584" w:rsidRPr="00205A29" w:rsidRDefault="00744584" w:rsidP="005E683D">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 xml:space="preserve">Koncesija za </w:t>
      </w:r>
      <w:r w:rsidR="00915985">
        <w:rPr>
          <w:rFonts w:ascii="Arial" w:eastAsia="Times New Roman" w:hAnsi="Arial" w:cs="Arial"/>
          <w:lang w:val="sr-Latn-CS"/>
        </w:rPr>
        <w:t xml:space="preserve">istraživanje i </w:t>
      </w:r>
      <w:r w:rsidRPr="00205A29">
        <w:rPr>
          <w:rFonts w:ascii="Arial" w:eastAsia="Times New Roman" w:hAnsi="Arial" w:cs="Arial"/>
          <w:lang w:val="sr-Latn-CS"/>
        </w:rPr>
        <w:t>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A00482">
        <w:rPr>
          <w:rFonts w:ascii="Arial" w:eastAsia="Times New Roman" w:hAnsi="Arial" w:cs="Arial"/>
          <w:lang w:val="sr-Latn-CS"/>
        </w:rPr>
        <w:t xml:space="preserve">arhitektonsko-građevinskog kamena </w:t>
      </w:r>
      <w:r w:rsidR="008916D9" w:rsidRPr="00205A29">
        <w:rPr>
          <w:rFonts w:ascii="Arial" w:eastAsia="Times New Roman" w:hAnsi="Arial" w:cs="Arial"/>
          <w:lang w:val="sr-Latn-CS"/>
        </w:rPr>
        <w:t xml:space="preserve"> iz </w:t>
      </w:r>
      <w:r w:rsidR="00A00482">
        <w:rPr>
          <w:rFonts w:ascii="Arial" w:hAnsi="Arial" w:cs="Arial"/>
          <w:lang w:val="sr-Latn-CS"/>
        </w:rPr>
        <w:t>ležišta</w:t>
      </w:r>
      <w:r w:rsidR="000B353B" w:rsidRPr="00205A29">
        <w:rPr>
          <w:rFonts w:ascii="Arial" w:hAnsi="Arial" w:cs="Arial"/>
          <w:lang w:val="sr-Latn-CS"/>
        </w:rPr>
        <w:t xml:space="preserve"> </w:t>
      </w:r>
      <w:r w:rsidR="00772844">
        <w:rPr>
          <w:rFonts w:ascii="Arial" w:hAnsi="Arial" w:cs="Arial"/>
          <w:lang w:val="sr-Latn-CS"/>
        </w:rPr>
        <w:t>“Klikovače”</w:t>
      </w:r>
      <w:r w:rsidR="0010704C">
        <w:rPr>
          <w:rFonts w:ascii="Arial" w:hAnsi="Arial" w:cs="Arial"/>
          <w:lang w:val="sr-Latn-CS"/>
        </w:rPr>
        <w:t xml:space="preserve">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5E683D">
      <w:pPr>
        <w:shd w:val="clear" w:color="auto" w:fill="FFFFFF"/>
        <w:spacing w:after="0" w:line="240" w:lineRule="auto"/>
        <w:jc w:val="both"/>
        <w:rPr>
          <w:rFonts w:ascii="Arial" w:eastAsia="Times New Roman" w:hAnsi="Arial" w:cs="Arial"/>
          <w:lang w:val="sr-Latn-CS"/>
        </w:rPr>
      </w:pPr>
    </w:p>
    <w:p w14:paraId="30458149" w14:textId="71EE8D9B" w:rsidR="000B353B" w:rsidRPr="00100C7F" w:rsidRDefault="00744584" w:rsidP="005E683D">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100C7F">
        <w:rPr>
          <w:rFonts w:ascii="Arial" w:eastAsia="Times New Roman" w:hAnsi="Arial" w:cs="Arial"/>
          <w:lang w:val="sr-Latn-CS"/>
        </w:rPr>
        <w:t xml:space="preserve">jedna </w:t>
      </w:r>
      <w:r w:rsidR="00CA4F16" w:rsidRPr="00100C7F">
        <w:rPr>
          <w:rFonts w:ascii="Arial" w:eastAsia="Times New Roman" w:hAnsi="Arial" w:cs="Arial"/>
          <w:lang w:val="sr-Latn-CS"/>
        </w:rPr>
        <w:t xml:space="preserve">(1) </w:t>
      </w:r>
      <w:r w:rsidRPr="00100C7F">
        <w:rPr>
          <w:rFonts w:ascii="Arial" w:eastAsia="Times New Roman" w:hAnsi="Arial" w:cs="Arial"/>
          <w:lang w:val="sr-Latn-CS"/>
        </w:rPr>
        <w:t xml:space="preserve">godina za </w:t>
      </w:r>
      <w:r w:rsidR="000E197C" w:rsidRPr="00100C7F">
        <w:rPr>
          <w:rFonts w:ascii="Arial" w:eastAsia="Times New Roman" w:hAnsi="Arial" w:cs="Arial"/>
          <w:lang w:val="sr-Latn-CS"/>
        </w:rPr>
        <w:t xml:space="preserve">detaljna geološka istraživanja, </w:t>
      </w:r>
    </w:p>
    <w:p w14:paraId="757DACFA" w14:textId="42190D31" w:rsidR="003E1049" w:rsidRPr="00100C7F" w:rsidRDefault="003E1049" w:rsidP="005E683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proofErr w:type="spellStart"/>
      <w:r w:rsidRPr="00100C7F">
        <w:rPr>
          <w:rFonts w:ascii="Arial" w:hAnsi="Arial" w:cs="Arial"/>
        </w:rPr>
        <w:t>jedna</w:t>
      </w:r>
      <w:proofErr w:type="spellEnd"/>
      <w:r w:rsidR="00CA4F16" w:rsidRPr="00100C7F">
        <w:rPr>
          <w:rFonts w:ascii="Arial" w:hAnsi="Arial" w:cs="Arial"/>
        </w:rPr>
        <w:t xml:space="preserve"> (1) </w:t>
      </w:r>
      <w:proofErr w:type="spellStart"/>
      <w:r w:rsidRPr="00100C7F">
        <w:rPr>
          <w:rFonts w:ascii="Arial" w:hAnsi="Arial" w:cs="Arial"/>
        </w:rPr>
        <w:t>godina</w:t>
      </w:r>
      <w:proofErr w:type="spellEnd"/>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proofErr w:type="spellStart"/>
      <w:r w:rsidRPr="00100C7F">
        <w:rPr>
          <w:rFonts w:ascii="Arial" w:hAnsi="Arial" w:cs="Arial"/>
        </w:rPr>
        <w:t>izradu</w:t>
      </w:r>
      <w:proofErr w:type="spellEnd"/>
      <w:r w:rsidRPr="00100C7F">
        <w:rPr>
          <w:rFonts w:ascii="Arial" w:hAnsi="Arial" w:cs="Arial"/>
          <w:lang w:val="sr-Latn-CS"/>
        </w:rPr>
        <w:t xml:space="preserve"> </w:t>
      </w:r>
      <w:proofErr w:type="spellStart"/>
      <w:r w:rsidRPr="00100C7F">
        <w:rPr>
          <w:rFonts w:ascii="Arial" w:hAnsi="Arial" w:cs="Arial"/>
        </w:rPr>
        <w:t>rudarske</w:t>
      </w:r>
      <w:proofErr w:type="spellEnd"/>
      <w:r w:rsidRPr="00100C7F">
        <w:rPr>
          <w:rFonts w:ascii="Arial" w:hAnsi="Arial" w:cs="Arial"/>
          <w:lang w:val="sr-Latn-CS"/>
        </w:rPr>
        <w:t xml:space="preserve"> </w:t>
      </w:r>
      <w:proofErr w:type="spellStart"/>
      <w:r w:rsidRPr="00100C7F">
        <w:rPr>
          <w:rFonts w:ascii="Arial" w:hAnsi="Arial" w:cs="Arial"/>
        </w:rPr>
        <w:t>dokumentacije</w:t>
      </w:r>
      <w:proofErr w:type="spellEnd"/>
      <w:r w:rsidRPr="00100C7F">
        <w:rPr>
          <w:rFonts w:ascii="Arial" w:hAnsi="Arial" w:cs="Arial"/>
          <w:lang w:val="sr-Latn-CS"/>
        </w:rPr>
        <w:t xml:space="preserve">, </w:t>
      </w:r>
      <w:proofErr w:type="spellStart"/>
      <w:r w:rsidRPr="00100C7F">
        <w:rPr>
          <w:rFonts w:ascii="Arial" w:hAnsi="Arial" w:cs="Arial"/>
        </w:rPr>
        <w:t>pribavljanja</w:t>
      </w:r>
      <w:proofErr w:type="spellEnd"/>
      <w:r w:rsidRPr="00100C7F">
        <w:rPr>
          <w:rFonts w:ascii="Arial" w:hAnsi="Arial" w:cs="Arial"/>
          <w:lang w:val="sr-Latn-CS"/>
        </w:rPr>
        <w:t xml:space="preserve"> </w:t>
      </w:r>
      <w:proofErr w:type="spellStart"/>
      <w:r w:rsidRPr="00100C7F">
        <w:rPr>
          <w:rFonts w:ascii="Arial" w:hAnsi="Arial" w:cs="Arial"/>
        </w:rPr>
        <w:t>odobrenja</w:t>
      </w:r>
      <w:proofErr w:type="spellEnd"/>
      <w:r w:rsidR="002F04D7" w:rsidRPr="00100C7F">
        <w:rPr>
          <w:rFonts w:ascii="Arial" w:hAnsi="Arial" w:cs="Arial"/>
        </w:rPr>
        <w:t xml:space="preserve"> </w:t>
      </w:r>
      <w:proofErr w:type="spellStart"/>
      <w:r w:rsidR="002F04D7" w:rsidRPr="00100C7F">
        <w:rPr>
          <w:rFonts w:ascii="Arial" w:hAnsi="Arial" w:cs="Arial"/>
        </w:rPr>
        <w:t>i</w:t>
      </w:r>
      <w:proofErr w:type="spellEnd"/>
      <w:r w:rsidRPr="00100C7F">
        <w:rPr>
          <w:rFonts w:ascii="Arial" w:hAnsi="Arial" w:cs="Arial"/>
          <w:lang w:val="sr-Latn-CS"/>
        </w:rPr>
        <w:t xml:space="preserve"> </w:t>
      </w:r>
      <w:proofErr w:type="spellStart"/>
      <w:r w:rsidRPr="00100C7F">
        <w:rPr>
          <w:rFonts w:ascii="Arial" w:hAnsi="Arial" w:cs="Arial"/>
        </w:rPr>
        <w:t>saglasnosti</w:t>
      </w:r>
      <w:proofErr w:type="spellEnd"/>
      <w:r w:rsidR="002F04D7"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proofErr w:type="spellStart"/>
      <w:r w:rsidRPr="00100C7F">
        <w:rPr>
          <w:rFonts w:ascii="Arial" w:hAnsi="Arial" w:cs="Arial"/>
        </w:rPr>
        <w:t>izvo</w:t>
      </w:r>
      <w:proofErr w:type="spellEnd"/>
      <w:r w:rsidRPr="00100C7F">
        <w:rPr>
          <w:rFonts w:ascii="Arial" w:hAnsi="Arial" w:cs="Arial"/>
          <w:lang w:val="sr-Latn-CS"/>
        </w:rPr>
        <w:t>đ</w:t>
      </w:r>
      <w:proofErr w:type="spellStart"/>
      <w:r w:rsidRPr="00100C7F">
        <w:rPr>
          <w:rFonts w:ascii="Arial" w:hAnsi="Arial" w:cs="Arial"/>
        </w:rPr>
        <w:t>enje</w:t>
      </w:r>
      <w:proofErr w:type="spellEnd"/>
      <w:r w:rsidRPr="00100C7F">
        <w:rPr>
          <w:rFonts w:ascii="Arial" w:hAnsi="Arial" w:cs="Arial"/>
          <w:lang w:val="sr-Latn-CS"/>
        </w:rPr>
        <w:t xml:space="preserve"> </w:t>
      </w:r>
      <w:proofErr w:type="spellStart"/>
      <w:r w:rsidRPr="00100C7F">
        <w:rPr>
          <w:rFonts w:ascii="Arial" w:hAnsi="Arial" w:cs="Arial"/>
        </w:rPr>
        <w:t>radova</w:t>
      </w:r>
      <w:proofErr w:type="spellEnd"/>
      <w:r w:rsidRPr="00100C7F">
        <w:rPr>
          <w:rFonts w:ascii="Arial" w:hAnsi="Arial" w:cs="Arial"/>
          <w:lang w:val="sr-Latn-CS"/>
        </w:rPr>
        <w:t xml:space="preserve"> </w:t>
      </w:r>
      <w:r w:rsidRPr="00100C7F">
        <w:rPr>
          <w:rFonts w:ascii="Arial" w:hAnsi="Arial" w:cs="Arial"/>
        </w:rPr>
        <w:t>po</w:t>
      </w:r>
      <w:r w:rsidRPr="00100C7F">
        <w:rPr>
          <w:rFonts w:ascii="Arial" w:hAnsi="Arial" w:cs="Arial"/>
          <w:lang w:val="sr-Latn-CS"/>
        </w:rPr>
        <w:t xml:space="preserve"> </w:t>
      </w:r>
      <w:proofErr w:type="spellStart"/>
      <w:r w:rsidRPr="00100C7F">
        <w:rPr>
          <w:rFonts w:ascii="Arial" w:hAnsi="Arial" w:cs="Arial"/>
        </w:rPr>
        <w:t>istoj</w:t>
      </w:r>
      <w:proofErr w:type="spellEnd"/>
      <w:r w:rsidRPr="00100C7F">
        <w:rPr>
          <w:rFonts w:ascii="Arial" w:hAnsi="Arial" w:cs="Arial"/>
          <w:lang w:val="sr-Latn-CS"/>
        </w:rPr>
        <w:t xml:space="preserve">, </w:t>
      </w:r>
      <w:proofErr w:type="spellStart"/>
      <w:r w:rsidRPr="00100C7F">
        <w:rPr>
          <w:rFonts w:ascii="Arial" w:hAnsi="Arial" w:cs="Arial"/>
        </w:rPr>
        <w:t>pripremu</w:t>
      </w:r>
      <w:proofErr w:type="spellEnd"/>
      <w:r w:rsidRPr="00100C7F">
        <w:rPr>
          <w:rFonts w:ascii="Arial" w:hAnsi="Arial" w:cs="Arial"/>
          <w:lang w:val="sr-Latn-CS"/>
        </w:rPr>
        <w:t xml:space="preserve"> </w:t>
      </w:r>
      <w:r w:rsidRPr="00100C7F">
        <w:rPr>
          <w:rFonts w:ascii="Arial" w:hAnsi="Arial" w:cs="Arial"/>
        </w:rPr>
        <w:t>le</w:t>
      </w:r>
      <w:r w:rsidRPr="00100C7F">
        <w:rPr>
          <w:rFonts w:ascii="Arial" w:hAnsi="Arial" w:cs="Arial"/>
          <w:lang w:val="sr-Latn-CS"/>
        </w:rPr>
        <w:t>ž</w:t>
      </w:r>
      <w:proofErr w:type="spellStart"/>
      <w:r w:rsidRPr="00100C7F">
        <w:rPr>
          <w:rFonts w:ascii="Arial" w:hAnsi="Arial" w:cs="Arial"/>
        </w:rPr>
        <w:t>i</w:t>
      </w:r>
      <w:proofErr w:type="spellEnd"/>
      <w:r w:rsidRPr="00100C7F">
        <w:rPr>
          <w:rFonts w:ascii="Arial" w:hAnsi="Arial" w:cs="Arial"/>
          <w:lang w:val="sr-Latn-CS"/>
        </w:rPr>
        <w:t>š</w:t>
      </w:r>
      <w:r w:rsidRPr="00100C7F">
        <w:rPr>
          <w:rFonts w:ascii="Arial" w:hAnsi="Arial" w:cs="Arial"/>
        </w:rPr>
        <w:t>ta</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proofErr w:type="spellStart"/>
      <w:r w:rsidRPr="00100C7F">
        <w:rPr>
          <w:rFonts w:ascii="Arial" w:hAnsi="Arial" w:cs="Arial"/>
        </w:rPr>
        <w:t>eksploataciju</w:t>
      </w:r>
      <w:proofErr w:type="spellEnd"/>
      <w:r w:rsidRPr="00100C7F">
        <w:rPr>
          <w:rFonts w:ascii="Arial" w:hAnsi="Arial" w:cs="Arial"/>
          <w:lang w:val="sr-Latn-CS"/>
        </w:rPr>
        <w:t xml:space="preserve">, </w:t>
      </w:r>
      <w:proofErr w:type="spellStart"/>
      <w:r w:rsidRPr="00100C7F">
        <w:rPr>
          <w:rFonts w:ascii="Arial" w:hAnsi="Arial" w:cs="Arial"/>
        </w:rPr>
        <w:t>instaliranje</w:t>
      </w:r>
      <w:proofErr w:type="spellEnd"/>
      <w:r w:rsidRPr="00100C7F">
        <w:rPr>
          <w:rFonts w:ascii="Arial" w:hAnsi="Arial" w:cs="Arial"/>
          <w:lang w:val="sr-Latn-CS"/>
        </w:rPr>
        <w:t xml:space="preserve"> </w:t>
      </w:r>
      <w:proofErr w:type="spellStart"/>
      <w:r w:rsidRPr="00100C7F">
        <w:rPr>
          <w:rFonts w:ascii="Arial" w:hAnsi="Arial" w:cs="Arial"/>
        </w:rPr>
        <w:t>postrojenja</w:t>
      </w:r>
      <w:proofErr w:type="spellEnd"/>
      <w:r w:rsidRPr="00100C7F">
        <w:rPr>
          <w:rFonts w:ascii="Arial" w:hAnsi="Arial" w:cs="Arial"/>
          <w:lang w:val="sr-Latn-CS"/>
        </w:rPr>
        <w:t xml:space="preserve"> </w:t>
      </w:r>
      <w:proofErr w:type="spellStart"/>
      <w:r w:rsidRPr="00100C7F">
        <w:rPr>
          <w:rFonts w:ascii="Arial" w:hAnsi="Arial" w:cs="Arial"/>
        </w:rPr>
        <w:t>i</w:t>
      </w:r>
      <w:proofErr w:type="spellEnd"/>
      <w:r w:rsidRPr="00100C7F">
        <w:rPr>
          <w:rFonts w:ascii="Arial" w:hAnsi="Arial" w:cs="Arial"/>
          <w:lang w:val="sr-Latn-CS"/>
        </w:rPr>
        <w:t xml:space="preserve"> </w:t>
      </w:r>
      <w:proofErr w:type="spellStart"/>
      <w:r w:rsidRPr="00100C7F">
        <w:rPr>
          <w:rFonts w:ascii="Arial" w:hAnsi="Arial" w:cs="Arial"/>
        </w:rPr>
        <w:t>opreme</w:t>
      </w:r>
      <w:proofErr w:type="spellEnd"/>
      <w:r w:rsidRPr="00100C7F">
        <w:rPr>
          <w:rFonts w:ascii="Arial" w:hAnsi="Arial" w:cs="Arial"/>
          <w:lang w:val="sr-Latn-CS"/>
        </w:rPr>
        <w:t xml:space="preserve"> </w:t>
      </w:r>
      <w:proofErr w:type="spellStart"/>
      <w:r w:rsidRPr="00100C7F">
        <w:rPr>
          <w:rFonts w:ascii="Arial" w:hAnsi="Arial" w:cs="Arial"/>
        </w:rPr>
        <w:t>potrebne</w:t>
      </w:r>
      <w:proofErr w:type="spellEnd"/>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proofErr w:type="spellStart"/>
      <w:r w:rsidRPr="00100C7F">
        <w:rPr>
          <w:rFonts w:ascii="Arial" w:hAnsi="Arial" w:cs="Arial"/>
        </w:rPr>
        <w:t>eksploataciju</w:t>
      </w:r>
      <w:proofErr w:type="spellEnd"/>
      <w:r w:rsidRPr="00100C7F">
        <w:rPr>
          <w:rFonts w:ascii="Arial" w:hAnsi="Arial" w:cs="Arial"/>
          <w:lang w:val="sr-Latn-CS"/>
        </w:rPr>
        <w:t xml:space="preserve">, </w:t>
      </w:r>
      <w:proofErr w:type="spellStart"/>
      <w:r w:rsidRPr="00100C7F">
        <w:rPr>
          <w:rFonts w:ascii="Arial" w:hAnsi="Arial" w:cs="Arial"/>
        </w:rPr>
        <w:t>kao</w:t>
      </w:r>
      <w:proofErr w:type="spellEnd"/>
      <w:r w:rsidRPr="00100C7F">
        <w:rPr>
          <w:rFonts w:ascii="Arial" w:hAnsi="Arial" w:cs="Arial"/>
          <w:lang w:val="sr-Latn-CS"/>
        </w:rPr>
        <w:t xml:space="preserve"> </w:t>
      </w:r>
      <w:proofErr w:type="spellStart"/>
      <w:r w:rsidRPr="00100C7F">
        <w:rPr>
          <w:rFonts w:ascii="Arial" w:hAnsi="Arial" w:cs="Arial"/>
        </w:rPr>
        <w:t>i</w:t>
      </w:r>
      <w:proofErr w:type="spellEnd"/>
      <w:r w:rsidRPr="00100C7F">
        <w:rPr>
          <w:rFonts w:ascii="Arial" w:hAnsi="Arial" w:cs="Arial"/>
          <w:lang w:val="sr-Latn-CS"/>
        </w:rPr>
        <w:t xml:space="preserve"> </w:t>
      </w:r>
      <w:proofErr w:type="spellStart"/>
      <w:r w:rsidRPr="00100C7F">
        <w:rPr>
          <w:rFonts w:ascii="Arial" w:hAnsi="Arial" w:cs="Arial"/>
        </w:rPr>
        <w:t>pribavljanje</w:t>
      </w:r>
      <w:proofErr w:type="spellEnd"/>
      <w:r w:rsidRPr="00100C7F">
        <w:rPr>
          <w:rFonts w:ascii="Arial" w:hAnsi="Arial" w:cs="Arial"/>
          <w:lang w:val="sr-Latn-CS"/>
        </w:rPr>
        <w:t xml:space="preserve"> </w:t>
      </w:r>
      <w:proofErr w:type="spellStart"/>
      <w:r w:rsidRPr="00100C7F">
        <w:rPr>
          <w:rFonts w:ascii="Arial" w:hAnsi="Arial" w:cs="Arial"/>
        </w:rPr>
        <w:t>upotrebne</w:t>
      </w:r>
      <w:proofErr w:type="spellEnd"/>
      <w:r w:rsidRPr="00100C7F">
        <w:rPr>
          <w:rFonts w:ascii="Arial" w:hAnsi="Arial" w:cs="Arial"/>
          <w:lang w:val="sr-Latn-CS"/>
        </w:rPr>
        <w:t xml:space="preserve"> </w:t>
      </w:r>
      <w:proofErr w:type="spellStart"/>
      <w:r w:rsidRPr="00100C7F">
        <w:rPr>
          <w:rFonts w:ascii="Arial" w:hAnsi="Arial" w:cs="Arial"/>
        </w:rPr>
        <w:t>dozvole</w:t>
      </w:r>
      <w:proofErr w:type="spellEnd"/>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proofErr w:type="spellStart"/>
      <w:r w:rsidRPr="00100C7F">
        <w:rPr>
          <w:rFonts w:ascii="Arial" w:hAnsi="Arial" w:cs="Arial"/>
        </w:rPr>
        <w:t>izgra</w:t>
      </w:r>
      <w:proofErr w:type="spellEnd"/>
      <w:r w:rsidRPr="00100C7F">
        <w:rPr>
          <w:rFonts w:ascii="Arial" w:hAnsi="Arial" w:cs="Arial"/>
          <w:lang w:val="sr-Latn-CS"/>
        </w:rPr>
        <w:t>đ</w:t>
      </w:r>
      <w:proofErr w:type="spellStart"/>
      <w:r w:rsidRPr="00100C7F">
        <w:rPr>
          <w:rFonts w:ascii="Arial" w:hAnsi="Arial" w:cs="Arial"/>
        </w:rPr>
        <w:t>ene</w:t>
      </w:r>
      <w:proofErr w:type="spellEnd"/>
      <w:r w:rsidRPr="00100C7F">
        <w:rPr>
          <w:rFonts w:ascii="Arial" w:hAnsi="Arial" w:cs="Arial"/>
          <w:lang w:val="sr-Latn-CS"/>
        </w:rPr>
        <w:t xml:space="preserve"> </w:t>
      </w:r>
      <w:proofErr w:type="spellStart"/>
      <w:r w:rsidRPr="00100C7F">
        <w:rPr>
          <w:rFonts w:ascii="Arial" w:hAnsi="Arial" w:cs="Arial"/>
        </w:rPr>
        <w:t>objekte</w:t>
      </w:r>
      <w:proofErr w:type="spellEnd"/>
      <w:r w:rsidRPr="00100C7F">
        <w:rPr>
          <w:rFonts w:ascii="Arial" w:hAnsi="Arial" w:cs="Arial"/>
          <w:lang w:val="sr-Latn-CS"/>
        </w:rPr>
        <w:t xml:space="preserve"> </w:t>
      </w:r>
    </w:p>
    <w:p w14:paraId="7161DC64" w14:textId="7D33AD41" w:rsidR="00744584" w:rsidRPr="00205A29" w:rsidRDefault="008916D9" w:rsidP="005E683D">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2</w:t>
      </w:r>
      <w:r w:rsidR="000B353B" w:rsidRPr="00205A29">
        <w:rPr>
          <w:rFonts w:ascii="Arial" w:eastAsia="Times New Roman" w:hAnsi="Arial" w:cs="Arial"/>
          <w:lang w:val="sr-Latn-CS"/>
        </w:rPr>
        <w:t>8</w:t>
      </w:r>
      <w:r w:rsidR="003E1049" w:rsidRPr="00205A29">
        <w:rPr>
          <w:rFonts w:ascii="Arial" w:eastAsia="Times New Roman" w:hAnsi="Arial" w:cs="Arial"/>
          <w:lang w:val="sr-Latn-CS"/>
        </w:rPr>
        <w:t xml:space="preserve"> </w:t>
      </w:r>
      <w:r w:rsidRPr="00205A29">
        <w:rPr>
          <w:rFonts w:ascii="Arial" w:eastAsia="Times New Roman" w:hAnsi="Arial" w:cs="Arial"/>
          <w:lang w:val="sr-Latn-CS"/>
        </w:rPr>
        <w:t>(</w:t>
      </w:r>
      <w:r w:rsidR="00744584" w:rsidRPr="00205A29">
        <w:rPr>
          <w:rFonts w:ascii="Arial" w:eastAsia="Times New Roman" w:hAnsi="Arial" w:cs="Arial"/>
          <w:lang w:val="sr-Latn-CS"/>
        </w:rPr>
        <w:t>dvadeset</w:t>
      </w:r>
      <w:r w:rsidR="005F1E4C">
        <w:rPr>
          <w:rFonts w:ascii="Arial" w:eastAsia="Times New Roman" w:hAnsi="Arial" w:cs="Arial"/>
          <w:lang w:val="sr-Latn-CS"/>
        </w:rPr>
        <w:t xml:space="preserve"> </w:t>
      </w:r>
      <w:r w:rsidR="009930FA" w:rsidRPr="00205A29">
        <w:rPr>
          <w:rFonts w:ascii="Arial" w:eastAsia="Times New Roman" w:hAnsi="Arial" w:cs="Arial"/>
          <w:lang w:val="sr-Latn-CS"/>
        </w:rPr>
        <w:t>osam</w:t>
      </w:r>
      <w:r w:rsidRPr="00205A29">
        <w:rPr>
          <w:rFonts w:ascii="Arial" w:eastAsia="Times New Roman" w:hAnsi="Arial" w:cs="Arial"/>
          <w:lang w:val="sr-Latn-CS"/>
        </w:rPr>
        <w:t>)</w:t>
      </w:r>
      <w:r w:rsidR="00744584" w:rsidRPr="00205A29">
        <w:rPr>
          <w:rFonts w:ascii="Arial" w:eastAsia="Times New Roman" w:hAnsi="Arial" w:cs="Arial"/>
          <w:lang w:val="sr-Latn-CS"/>
        </w:rPr>
        <w:t xml:space="preserve"> godina za eksploataciju mineralne sirovine.</w:t>
      </w:r>
    </w:p>
    <w:p w14:paraId="5250E5FB" w14:textId="77777777" w:rsidR="008916D9" w:rsidRPr="00205A29" w:rsidRDefault="008916D9" w:rsidP="005E683D">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205A29" w:rsidRDefault="008916D9" w:rsidP="005E683D">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5E683D">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5E683D">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2" w:name="_Toc402262934"/>
    </w:p>
    <w:p w14:paraId="71FF6BEC" w14:textId="77777777" w:rsidR="007254CE" w:rsidRDefault="007254CE" w:rsidP="005E683D">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5E683D">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t>OSNOVNI PARAMETRI ZA OCJENU EKONOMSKE OPRAVDANOSTI INVESTICIJE</w:t>
      </w:r>
      <w:bookmarkEnd w:id="12"/>
    </w:p>
    <w:p w14:paraId="10F4FB2F" w14:textId="77777777" w:rsidR="00744584" w:rsidRPr="00205A29" w:rsidRDefault="00744584" w:rsidP="005E683D">
      <w:pPr>
        <w:spacing w:after="0" w:line="240" w:lineRule="auto"/>
        <w:jc w:val="both"/>
        <w:rPr>
          <w:rFonts w:ascii="Arial" w:hAnsi="Arial" w:cs="Arial"/>
          <w:lang w:val="sr-Latn-CS"/>
        </w:rPr>
      </w:pPr>
    </w:p>
    <w:p w14:paraId="21550155" w14:textId="77777777" w:rsidR="003E1049" w:rsidRPr="00205A29" w:rsidRDefault="003E1049" w:rsidP="005E683D">
      <w:pPr>
        <w:pStyle w:val="ListParagraph"/>
        <w:spacing w:after="0" w:line="240" w:lineRule="auto"/>
        <w:ind w:left="0"/>
        <w:rPr>
          <w:rFonts w:ascii="Arial" w:hAnsi="Arial" w:cs="Arial"/>
          <w:i/>
          <w:u w:val="single"/>
          <w:lang w:val="sr-Latn-CS"/>
        </w:rPr>
      </w:pPr>
      <w:proofErr w:type="spellStart"/>
      <w:r w:rsidRPr="00205A29">
        <w:rPr>
          <w:rFonts w:ascii="Arial" w:hAnsi="Arial" w:cs="Arial"/>
          <w:i/>
          <w:u w:val="single"/>
        </w:rPr>
        <w:t>Opis</w:t>
      </w:r>
      <w:proofErr w:type="spellEnd"/>
      <w:r w:rsidRPr="00205A29">
        <w:rPr>
          <w:rFonts w:ascii="Arial" w:hAnsi="Arial" w:cs="Arial"/>
          <w:i/>
          <w:u w:val="single"/>
          <w:lang w:val="sr-Latn-CS"/>
        </w:rPr>
        <w:t xml:space="preserve"> </w:t>
      </w:r>
      <w:proofErr w:type="spellStart"/>
      <w:r w:rsidRPr="00205A29">
        <w:rPr>
          <w:rFonts w:ascii="Arial" w:hAnsi="Arial" w:cs="Arial"/>
          <w:i/>
          <w:u w:val="single"/>
        </w:rPr>
        <w:t>tehni</w:t>
      </w:r>
      <w:proofErr w:type="spellEnd"/>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proofErr w:type="spellStart"/>
      <w:r w:rsidRPr="00205A29">
        <w:rPr>
          <w:rFonts w:ascii="Arial" w:hAnsi="Arial" w:cs="Arial"/>
          <w:i/>
          <w:u w:val="single"/>
        </w:rPr>
        <w:t>tehnolo</w:t>
      </w:r>
      <w:proofErr w:type="spellEnd"/>
      <w:r w:rsidRPr="00205A29">
        <w:rPr>
          <w:rFonts w:ascii="Arial" w:hAnsi="Arial" w:cs="Arial"/>
          <w:i/>
          <w:u w:val="single"/>
          <w:lang w:val="sr-Latn-CS"/>
        </w:rPr>
        <w:t>š</w:t>
      </w:r>
      <w:proofErr w:type="spellStart"/>
      <w:r w:rsidRPr="00205A29">
        <w:rPr>
          <w:rFonts w:ascii="Arial" w:hAnsi="Arial" w:cs="Arial"/>
          <w:i/>
          <w:u w:val="single"/>
        </w:rPr>
        <w:t>kog</w:t>
      </w:r>
      <w:proofErr w:type="spellEnd"/>
      <w:r w:rsidRPr="00205A29">
        <w:rPr>
          <w:rFonts w:ascii="Arial" w:hAnsi="Arial" w:cs="Arial"/>
          <w:i/>
          <w:u w:val="single"/>
          <w:lang w:val="sr-Latn-CS"/>
        </w:rPr>
        <w:t xml:space="preserve"> </w:t>
      </w:r>
      <w:proofErr w:type="spellStart"/>
      <w:r w:rsidRPr="00205A29">
        <w:rPr>
          <w:rFonts w:ascii="Arial" w:hAnsi="Arial" w:cs="Arial"/>
          <w:i/>
          <w:u w:val="single"/>
        </w:rPr>
        <w:t>procesa</w:t>
      </w:r>
      <w:proofErr w:type="spellEnd"/>
      <w:r w:rsidRPr="00205A29">
        <w:rPr>
          <w:rFonts w:ascii="Arial" w:hAnsi="Arial" w:cs="Arial"/>
          <w:i/>
          <w:u w:val="single"/>
          <w:lang w:val="sr-Latn-CS"/>
        </w:rPr>
        <w:t xml:space="preserve"> </w:t>
      </w:r>
      <w:proofErr w:type="spellStart"/>
      <w:r w:rsidRPr="00205A29">
        <w:rPr>
          <w:rFonts w:ascii="Arial" w:hAnsi="Arial" w:cs="Arial"/>
          <w:i/>
          <w:u w:val="single"/>
        </w:rPr>
        <w:t>eksploatacije</w:t>
      </w:r>
      <w:proofErr w:type="spellEnd"/>
    </w:p>
    <w:p w14:paraId="5520E9C0" w14:textId="77777777" w:rsidR="003E1049" w:rsidRPr="00205A29" w:rsidRDefault="003E1049" w:rsidP="005E683D">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proofErr w:type="spellStart"/>
      <w:r w:rsidRPr="00205A29">
        <w:rPr>
          <w:rFonts w:ascii="Arial" w:hAnsi="Arial" w:cs="Arial"/>
        </w:rPr>
        <w:t>ovom</w:t>
      </w:r>
      <w:proofErr w:type="spellEnd"/>
      <w:r w:rsidRPr="00205A29">
        <w:rPr>
          <w:rFonts w:ascii="Arial" w:hAnsi="Arial" w:cs="Arial"/>
          <w:lang w:val="sr-Latn-CS"/>
        </w:rPr>
        <w:t xml:space="preserve"> </w:t>
      </w:r>
      <w:proofErr w:type="spellStart"/>
      <w:r w:rsidRPr="00205A29">
        <w:rPr>
          <w:rFonts w:ascii="Arial" w:hAnsi="Arial" w:cs="Arial"/>
        </w:rPr>
        <w:t>poglavlju</w:t>
      </w:r>
      <w:proofErr w:type="spellEnd"/>
      <w:r w:rsidRPr="00205A29">
        <w:rPr>
          <w:rFonts w:ascii="Arial" w:hAnsi="Arial" w:cs="Arial"/>
          <w:lang w:val="sr-Latn-CS"/>
        </w:rPr>
        <w:t xml:space="preserve"> </w:t>
      </w:r>
      <w:proofErr w:type="spellStart"/>
      <w:r w:rsidRPr="00205A29">
        <w:rPr>
          <w:rFonts w:ascii="Arial" w:hAnsi="Arial" w:cs="Arial"/>
        </w:rPr>
        <w:t>daju</w:t>
      </w:r>
      <w:proofErr w:type="spellEnd"/>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proofErr w:type="spellStart"/>
      <w:r w:rsidRPr="00205A29">
        <w:rPr>
          <w:rFonts w:ascii="Arial" w:hAnsi="Arial" w:cs="Arial"/>
        </w:rPr>
        <w:t>osnovni</w:t>
      </w:r>
      <w:proofErr w:type="spellEnd"/>
      <w:r w:rsidRPr="00205A29">
        <w:rPr>
          <w:rFonts w:ascii="Arial" w:hAnsi="Arial" w:cs="Arial"/>
          <w:lang w:val="sr-Latn-CS"/>
        </w:rPr>
        <w:t xml:space="preserve"> </w:t>
      </w:r>
      <w:proofErr w:type="spellStart"/>
      <w:r w:rsidRPr="00205A29">
        <w:rPr>
          <w:rFonts w:ascii="Arial" w:hAnsi="Arial" w:cs="Arial"/>
        </w:rPr>
        <w:t>parametri</w:t>
      </w:r>
      <w:proofErr w:type="spellEnd"/>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proofErr w:type="spellStart"/>
      <w:r w:rsidRPr="00205A29">
        <w:rPr>
          <w:rFonts w:ascii="Arial" w:hAnsi="Arial" w:cs="Arial"/>
        </w:rPr>
        <w:t>treba</w:t>
      </w:r>
      <w:proofErr w:type="spellEnd"/>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proofErr w:type="spellStart"/>
      <w:r w:rsidRPr="00205A29">
        <w:rPr>
          <w:rFonts w:ascii="Arial" w:hAnsi="Arial" w:cs="Arial"/>
        </w:rPr>
        <w:t>poslu</w:t>
      </w:r>
      <w:proofErr w:type="spellEnd"/>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proofErr w:type="spellStart"/>
      <w:r w:rsidRPr="00205A29">
        <w:rPr>
          <w:rFonts w:ascii="Arial" w:hAnsi="Arial" w:cs="Arial"/>
        </w:rPr>
        <w:t>ponu</w:t>
      </w:r>
      <w:proofErr w:type="spellEnd"/>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proofErr w:type="spellStart"/>
      <w:r w:rsidRPr="00205A29">
        <w:rPr>
          <w:rFonts w:ascii="Arial" w:hAnsi="Arial" w:cs="Arial"/>
        </w:rPr>
        <w:t>ima</w:t>
      </w:r>
      <w:proofErr w:type="spellEnd"/>
      <w:r w:rsidRPr="00205A29">
        <w:rPr>
          <w:rFonts w:ascii="Arial" w:hAnsi="Arial" w:cs="Arial"/>
          <w:lang w:val="sr-Latn-CS"/>
        </w:rPr>
        <w:t xml:space="preserve">, </w:t>
      </w:r>
      <w:proofErr w:type="spellStart"/>
      <w:r w:rsidRPr="00205A29">
        <w:rPr>
          <w:rFonts w:ascii="Arial" w:hAnsi="Arial" w:cs="Arial"/>
        </w:rPr>
        <w:t>odnosno</w:t>
      </w:r>
      <w:proofErr w:type="spellEnd"/>
      <w:r w:rsidRPr="00205A29">
        <w:rPr>
          <w:rFonts w:ascii="Arial" w:hAnsi="Arial" w:cs="Arial"/>
          <w:lang w:val="sr-Latn-CS"/>
        </w:rPr>
        <w:t xml:space="preserve"> </w:t>
      </w:r>
      <w:proofErr w:type="spellStart"/>
      <w:r w:rsidRPr="00205A29">
        <w:rPr>
          <w:rFonts w:ascii="Arial" w:hAnsi="Arial" w:cs="Arial"/>
        </w:rPr>
        <w:t>potencijalnim</w:t>
      </w:r>
      <w:proofErr w:type="spellEnd"/>
      <w:r w:rsidRPr="00205A29">
        <w:rPr>
          <w:rFonts w:ascii="Arial" w:hAnsi="Arial" w:cs="Arial"/>
          <w:lang w:val="sr-Latn-CS"/>
        </w:rPr>
        <w:t xml:space="preserve"> </w:t>
      </w:r>
      <w:proofErr w:type="spellStart"/>
      <w:r w:rsidRPr="00205A29">
        <w:rPr>
          <w:rFonts w:ascii="Arial" w:hAnsi="Arial" w:cs="Arial"/>
        </w:rPr>
        <w:t>investitorima</w:t>
      </w:r>
      <w:proofErr w:type="spellEnd"/>
      <w:r w:rsidRPr="00205A29">
        <w:rPr>
          <w:rFonts w:ascii="Arial" w:hAnsi="Arial" w:cs="Arial"/>
          <w:lang w:val="sr-Latn-CS"/>
        </w:rPr>
        <w:t xml:space="preserve"> </w:t>
      </w:r>
      <w:proofErr w:type="spellStart"/>
      <w:r w:rsidRPr="00205A29">
        <w:rPr>
          <w:rFonts w:ascii="Arial" w:hAnsi="Arial" w:cs="Arial"/>
        </w:rPr>
        <w:t>pri</w:t>
      </w:r>
      <w:proofErr w:type="spellEnd"/>
      <w:r w:rsidRPr="00205A29">
        <w:rPr>
          <w:rFonts w:ascii="Arial" w:hAnsi="Arial" w:cs="Arial"/>
          <w:lang w:val="sr-Latn-CS"/>
        </w:rPr>
        <w:t xml:space="preserve"> </w:t>
      </w:r>
      <w:proofErr w:type="spellStart"/>
      <w:r w:rsidRPr="00205A29">
        <w:rPr>
          <w:rFonts w:ascii="Arial" w:hAnsi="Arial" w:cs="Arial"/>
        </w:rPr>
        <w:t>obradi</w:t>
      </w:r>
      <w:proofErr w:type="spellEnd"/>
      <w:r w:rsidRPr="00205A29">
        <w:rPr>
          <w:rFonts w:ascii="Arial" w:hAnsi="Arial" w:cs="Arial"/>
          <w:lang w:val="sr-Latn-CS"/>
        </w:rPr>
        <w:t xml:space="preserve"> </w:t>
      </w:r>
      <w:proofErr w:type="spellStart"/>
      <w:r w:rsidRPr="00205A29">
        <w:rPr>
          <w:rFonts w:ascii="Arial" w:hAnsi="Arial" w:cs="Arial"/>
        </w:rPr>
        <w:t>proizvodnog</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ekonomskog</w:t>
      </w:r>
      <w:proofErr w:type="spellEnd"/>
      <w:r w:rsidRPr="00205A29">
        <w:rPr>
          <w:rFonts w:ascii="Arial" w:hAnsi="Arial" w:cs="Arial"/>
          <w:lang w:val="sr-Latn-CS"/>
        </w:rPr>
        <w:t xml:space="preserve"> </w:t>
      </w:r>
      <w:proofErr w:type="spellStart"/>
      <w:r w:rsidRPr="00205A29">
        <w:rPr>
          <w:rFonts w:ascii="Arial" w:hAnsi="Arial" w:cs="Arial"/>
        </w:rPr>
        <w:t>aspekta</w:t>
      </w:r>
      <w:proofErr w:type="spellEnd"/>
      <w:r w:rsidRPr="00205A29">
        <w:rPr>
          <w:rFonts w:ascii="Arial" w:hAnsi="Arial" w:cs="Arial"/>
          <w:lang w:val="sr-Latn-CS"/>
        </w:rPr>
        <w:t xml:space="preserve"> </w:t>
      </w:r>
      <w:proofErr w:type="spellStart"/>
      <w:r w:rsidRPr="00205A29">
        <w:rPr>
          <w:rFonts w:ascii="Arial" w:hAnsi="Arial" w:cs="Arial"/>
        </w:rPr>
        <w:t>ponude</w:t>
      </w:r>
      <w:proofErr w:type="spellEnd"/>
      <w:r w:rsidRPr="00205A29">
        <w:rPr>
          <w:rFonts w:ascii="Arial" w:hAnsi="Arial" w:cs="Arial"/>
          <w:lang w:val="sr-Latn-CS"/>
        </w:rPr>
        <w:t xml:space="preserve"> </w:t>
      </w:r>
      <w:proofErr w:type="spellStart"/>
      <w:r w:rsidRPr="00205A29">
        <w:rPr>
          <w:rFonts w:ascii="Arial" w:hAnsi="Arial" w:cs="Arial"/>
        </w:rPr>
        <w:t>i</w:t>
      </w:r>
      <w:proofErr w:type="spellEnd"/>
      <w:r w:rsidRPr="00205A29">
        <w:rPr>
          <w:rFonts w:ascii="Arial" w:hAnsi="Arial" w:cs="Arial"/>
          <w:lang w:val="sr-Latn-CS"/>
        </w:rPr>
        <w:t xml:space="preserve"> </w:t>
      </w:r>
      <w:proofErr w:type="spellStart"/>
      <w:r w:rsidRPr="00205A29">
        <w:rPr>
          <w:rFonts w:ascii="Arial" w:hAnsi="Arial" w:cs="Arial"/>
        </w:rPr>
        <w:t>tehni</w:t>
      </w:r>
      <w:proofErr w:type="spellEnd"/>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proofErr w:type="spellStart"/>
      <w:r w:rsidRPr="00205A29">
        <w:rPr>
          <w:rFonts w:ascii="Arial" w:hAnsi="Arial" w:cs="Arial"/>
        </w:rPr>
        <w:t>ekonomske</w:t>
      </w:r>
      <w:proofErr w:type="spellEnd"/>
      <w:r w:rsidRPr="00205A29">
        <w:rPr>
          <w:rFonts w:ascii="Arial" w:hAnsi="Arial" w:cs="Arial"/>
          <w:lang w:val="sr-Latn-CS"/>
        </w:rPr>
        <w:t xml:space="preserve"> </w:t>
      </w:r>
      <w:proofErr w:type="spellStart"/>
      <w:r w:rsidRPr="00205A29">
        <w:rPr>
          <w:rFonts w:ascii="Arial" w:hAnsi="Arial" w:cs="Arial"/>
        </w:rPr>
        <w:t>ocjene</w:t>
      </w:r>
      <w:proofErr w:type="spellEnd"/>
      <w:r w:rsidRPr="00205A29">
        <w:rPr>
          <w:rFonts w:ascii="Arial" w:hAnsi="Arial" w:cs="Arial"/>
          <w:lang w:val="sr-Latn-CS"/>
        </w:rPr>
        <w:t xml:space="preserve"> </w:t>
      </w:r>
      <w:proofErr w:type="spellStart"/>
      <w:r w:rsidRPr="00205A29">
        <w:rPr>
          <w:rFonts w:ascii="Arial" w:hAnsi="Arial" w:cs="Arial"/>
        </w:rPr>
        <w:t>opravdanosti</w:t>
      </w:r>
      <w:proofErr w:type="spellEnd"/>
      <w:r w:rsidRPr="00205A29">
        <w:rPr>
          <w:rFonts w:ascii="Arial" w:hAnsi="Arial" w:cs="Arial"/>
          <w:lang w:val="sr-Latn-CS"/>
        </w:rPr>
        <w:t xml:space="preserve"> </w:t>
      </w:r>
      <w:proofErr w:type="spellStart"/>
      <w:r w:rsidRPr="00205A29">
        <w:rPr>
          <w:rFonts w:ascii="Arial" w:hAnsi="Arial" w:cs="Arial"/>
        </w:rPr>
        <w:t>ove</w:t>
      </w:r>
      <w:proofErr w:type="spellEnd"/>
      <w:r w:rsidRPr="00205A29">
        <w:rPr>
          <w:rFonts w:ascii="Arial" w:hAnsi="Arial" w:cs="Arial"/>
          <w:lang w:val="sr-Latn-CS"/>
        </w:rPr>
        <w:t xml:space="preserve"> </w:t>
      </w:r>
      <w:proofErr w:type="spellStart"/>
      <w:r w:rsidRPr="00205A29">
        <w:rPr>
          <w:rFonts w:ascii="Arial" w:hAnsi="Arial" w:cs="Arial"/>
        </w:rPr>
        <w:t>investicije</w:t>
      </w:r>
      <w:proofErr w:type="spellEnd"/>
      <w:r w:rsidRPr="00205A29">
        <w:rPr>
          <w:rFonts w:ascii="Arial" w:hAnsi="Arial" w:cs="Arial"/>
          <w:lang w:val="sr-Latn-CS"/>
        </w:rPr>
        <w:t>.</w:t>
      </w:r>
    </w:p>
    <w:p w14:paraId="6AB45CB7" w14:textId="77777777" w:rsidR="00744584" w:rsidRPr="00205A29" w:rsidRDefault="00744584" w:rsidP="005E683D">
      <w:pPr>
        <w:spacing w:after="0" w:line="240" w:lineRule="auto"/>
        <w:jc w:val="both"/>
        <w:rPr>
          <w:rFonts w:ascii="Arial" w:eastAsia="Calibri" w:hAnsi="Arial" w:cs="Arial"/>
          <w:lang w:val="sr-Latn-CS"/>
        </w:rPr>
      </w:pPr>
    </w:p>
    <w:p w14:paraId="2455BCE3" w14:textId="77777777" w:rsidR="00744584" w:rsidRPr="00205A29" w:rsidRDefault="00744584" w:rsidP="005E683D">
      <w:pPr>
        <w:pStyle w:val="Heading2"/>
        <w:numPr>
          <w:ilvl w:val="1"/>
          <w:numId w:val="20"/>
        </w:numPr>
      </w:pPr>
      <w:bookmarkStart w:id="13" w:name="_Toc402262936"/>
      <w:r w:rsidRPr="00205A29">
        <w:t>Ocjena mogućnosti korišćenja mineralne sirovine</w:t>
      </w:r>
      <w:bookmarkEnd w:id="13"/>
    </w:p>
    <w:p w14:paraId="083C133B" w14:textId="77777777" w:rsidR="00744584" w:rsidRPr="00205A29" w:rsidRDefault="00744584" w:rsidP="005E683D">
      <w:pPr>
        <w:spacing w:after="0" w:line="240" w:lineRule="auto"/>
        <w:jc w:val="both"/>
        <w:rPr>
          <w:rFonts w:ascii="Arial" w:hAnsi="Arial" w:cs="Arial"/>
          <w:lang w:val="sr-Latn-CS"/>
        </w:rPr>
      </w:pPr>
    </w:p>
    <w:p w14:paraId="03BA6BD8" w14:textId="396EAE6C" w:rsidR="00744584" w:rsidRDefault="008916D9" w:rsidP="005E683D">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FE7737" w:rsidRPr="00581343">
        <w:rPr>
          <w:rFonts w:ascii="Arial" w:eastAsia="Calibri" w:hAnsi="Arial" w:cs="Arial"/>
          <w:lang w:val="sr-Latn-CS"/>
        </w:rPr>
        <w:t>9</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73C388FC" w14:textId="77777777" w:rsidR="007C27BF" w:rsidRDefault="007C27BF" w:rsidP="005E683D">
      <w:pPr>
        <w:spacing w:after="0" w:line="240" w:lineRule="auto"/>
        <w:jc w:val="both"/>
        <w:rPr>
          <w:rFonts w:ascii="Arial" w:eastAsia="Calibri" w:hAnsi="Arial" w:cs="Arial"/>
          <w:lang w:val="sr-Latn-CS"/>
        </w:rPr>
      </w:pPr>
    </w:p>
    <w:p w14:paraId="0EE080AD" w14:textId="77777777" w:rsidR="00754CD0" w:rsidRPr="00205A29" w:rsidRDefault="00744584" w:rsidP="005E683D">
      <w:pPr>
        <w:pStyle w:val="Heading2"/>
        <w:numPr>
          <w:ilvl w:val="1"/>
          <w:numId w:val="20"/>
        </w:numPr>
      </w:pPr>
      <w:bookmarkStart w:id="14" w:name="_Toc402262937"/>
      <w:r w:rsidRPr="00205A29">
        <w:t>Proizvodni kapacitet i vijek eksploatacije</w:t>
      </w:r>
      <w:bookmarkEnd w:id="14"/>
    </w:p>
    <w:p w14:paraId="3C891CF4" w14:textId="77777777" w:rsidR="0089751C" w:rsidRDefault="0089751C" w:rsidP="005E683D">
      <w:pPr>
        <w:spacing w:after="0" w:line="240" w:lineRule="auto"/>
        <w:jc w:val="both"/>
        <w:rPr>
          <w:rFonts w:ascii="Arial" w:hAnsi="Arial" w:cs="Arial"/>
        </w:rPr>
      </w:pPr>
    </w:p>
    <w:p w14:paraId="47759616" w14:textId="40A0BD9F" w:rsidR="001850F7" w:rsidRDefault="001850F7" w:rsidP="005E683D">
      <w:pPr>
        <w:spacing w:after="0" w:line="240" w:lineRule="auto"/>
        <w:jc w:val="both"/>
        <w:rPr>
          <w:rFonts w:ascii="Arial" w:hAnsi="Arial" w:cs="Arial"/>
          <w:iCs/>
        </w:rPr>
      </w:pPr>
      <w:r w:rsidRPr="00AD2209">
        <w:rPr>
          <w:rFonts w:ascii="Arial" w:hAnsi="Arial" w:cs="Arial"/>
        </w:rPr>
        <w:t xml:space="preserve">Na </w:t>
      </w:r>
      <w:proofErr w:type="spellStart"/>
      <w:r w:rsidRPr="00AD2209">
        <w:rPr>
          <w:rFonts w:ascii="Arial" w:hAnsi="Arial" w:cs="Arial"/>
        </w:rPr>
        <w:t>osnovu</w:t>
      </w:r>
      <w:proofErr w:type="spellEnd"/>
      <w:r w:rsidRPr="00AD2209">
        <w:rPr>
          <w:rFonts w:ascii="Arial" w:hAnsi="Arial" w:cs="Arial"/>
        </w:rPr>
        <w:t xml:space="preserve"> </w:t>
      </w:r>
      <w:proofErr w:type="spellStart"/>
      <w:r w:rsidRPr="00AD2209">
        <w:rPr>
          <w:rFonts w:ascii="Arial" w:hAnsi="Arial" w:cs="Arial"/>
        </w:rPr>
        <w:t>podataka</w:t>
      </w:r>
      <w:proofErr w:type="spellEnd"/>
      <w:r w:rsidRPr="00AD2209">
        <w:rPr>
          <w:rFonts w:ascii="Arial" w:hAnsi="Arial" w:cs="Arial"/>
        </w:rPr>
        <w:t xml:space="preserve"> </w:t>
      </w:r>
      <w:proofErr w:type="spellStart"/>
      <w:r w:rsidRPr="00AD2209">
        <w:rPr>
          <w:rFonts w:ascii="Arial" w:hAnsi="Arial" w:cs="Arial"/>
        </w:rPr>
        <w:t>geoloških</w:t>
      </w:r>
      <w:proofErr w:type="spellEnd"/>
      <w:r w:rsidRPr="00AD2209">
        <w:rPr>
          <w:rFonts w:ascii="Arial" w:hAnsi="Arial" w:cs="Arial"/>
        </w:rPr>
        <w:t xml:space="preserve"> </w:t>
      </w:r>
      <w:proofErr w:type="spellStart"/>
      <w:r w:rsidRPr="00AD2209">
        <w:rPr>
          <w:rFonts w:ascii="Arial" w:hAnsi="Arial" w:cs="Arial"/>
        </w:rPr>
        <w:t>istraživanja</w:t>
      </w:r>
      <w:proofErr w:type="spellEnd"/>
      <w:r w:rsidRPr="00AD2209">
        <w:rPr>
          <w:rFonts w:ascii="Arial" w:hAnsi="Arial" w:cs="Arial"/>
        </w:rPr>
        <w:t xml:space="preserve">, </w:t>
      </w:r>
      <w:r>
        <w:rPr>
          <w:rFonts w:ascii="Arial" w:hAnsi="Arial" w:cs="Arial"/>
        </w:rPr>
        <w:t>u</w:t>
      </w:r>
      <w:r w:rsidRPr="00AD2209">
        <w:rPr>
          <w:rFonts w:ascii="Arial" w:hAnsi="Arial" w:cs="Arial"/>
        </w:rPr>
        <w:t xml:space="preserve"> </w:t>
      </w:r>
      <w:proofErr w:type="spellStart"/>
      <w:r w:rsidRPr="00AD2209">
        <w:rPr>
          <w:rFonts w:ascii="Arial" w:hAnsi="Arial" w:cs="Arial"/>
        </w:rPr>
        <w:t>Elaboratu</w:t>
      </w:r>
      <w:proofErr w:type="spellEnd"/>
      <w:r w:rsidRPr="00AD2209">
        <w:rPr>
          <w:rFonts w:ascii="Arial" w:hAnsi="Arial" w:cs="Arial"/>
        </w:rPr>
        <w:t xml:space="preserve"> </w:t>
      </w:r>
      <w:proofErr w:type="spellStart"/>
      <w:r w:rsidRPr="00AD2209">
        <w:rPr>
          <w:rFonts w:ascii="Arial" w:hAnsi="Arial" w:cs="Arial"/>
        </w:rPr>
        <w:t>iz</w:t>
      </w:r>
      <w:proofErr w:type="spellEnd"/>
      <w:r w:rsidRPr="00AD2209">
        <w:rPr>
          <w:rFonts w:ascii="Arial" w:hAnsi="Arial" w:cs="Arial"/>
        </w:rPr>
        <w:t xml:space="preserve"> </w:t>
      </w:r>
      <w:r>
        <w:rPr>
          <w:rFonts w:ascii="Arial" w:hAnsi="Arial" w:cs="Arial"/>
        </w:rPr>
        <w:t>2005</w:t>
      </w:r>
      <w:r w:rsidRPr="00AD2209">
        <w:rPr>
          <w:rFonts w:ascii="Arial" w:hAnsi="Arial" w:cs="Arial"/>
        </w:rPr>
        <w:t xml:space="preserve">. </w:t>
      </w:r>
      <w:proofErr w:type="spellStart"/>
      <w:r w:rsidRPr="00AD2209">
        <w:rPr>
          <w:rFonts w:ascii="Arial" w:hAnsi="Arial" w:cs="Arial"/>
        </w:rPr>
        <w:t>godine</w:t>
      </w:r>
      <w:proofErr w:type="spellEnd"/>
      <w:r>
        <w:rPr>
          <w:rFonts w:ascii="Arial" w:hAnsi="Arial" w:cs="Arial"/>
        </w:rPr>
        <w:t xml:space="preserve"> (S. </w:t>
      </w:r>
      <w:proofErr w:type="spellStart"/>
      <w:r>
        <w:rPr>
          <w:rFonts w:ascii="Arial" w:hAnsi="Arial" w:cs="Arial"/>
        </w:rPr>
        <w:t>Radusinović</w:t>
      </w:r>
      <w:proofErr w:type="spellEnd"/>
      <w:r>
        <w:rPr>
          <w:rFonts w:ascii="Arial" w:hAnsi="Arial" w:cs="Arial"/>
        </w:rPr>
        <w:t>)</w:t>
      </w:r>
      <w:r w:rsidRPr="00AD2209">
        <w:rPr>
          <w:rFonts w:ascii="Arial" w:hAnsi="Arial" w:cs="Arial"/>
        </w:rPr>
        <w:t xml:space="preserve"> </w:t>
      </w:r>
      <w:proofErr w:type="spellStart"/>
      <w:r w:rsidRPr="00AD2209">
        <w:rPr>
          <w:rFonts w:ascii="Arial" w:hAnsi="Arial" w:cs="Arial"/>
        </w:rPr>
        <w:t>proračunate</w:t>
      </w:r>
      <w:proofErr w:type="spellEnd"/>
      <w:r w:rsidRPr="00AD2209">
        <w:rPr>
          <w:rFonts w:ascii="Arial" w:hAnsi="Arial" w:cs="Arial"/>
        </w:rPr>
        <w:t xml:space="preserve"> </w:t>
      </w:r>
      <w:proofErr w:type="spellStart"/>
      <w:r w:rsidRPr="00AD2209">
        <w:rPr>
          <w:rFonts w:ascii="Arial" w:hAnsi="Arial" w:cs="Arial"/>
        </w:rPr>
        <w:t>su</w:t>
      </w:r>
      <w:proofErr w:type="spellEnd"/>
      <w:r w:rsidRPr="00AD2209">
        <w:rPr>
          <w:rFonts w:ascii="Arial" w:hAnsi="Arial" w:cs="Arial"/>
        </w:rPr>
        <w:t xml:space="preserve"> </w:t>
      </w:r>
      <w:proofErr w:type="spellStart"/>
      <w:r>
        <w:rPr>
          <w:rFonts w:ascii="Arial" w:hAnsi="Arial" w:cs="Arial"/>
        </w:rPr>
        <w:t>eksploatacione</w:t>
      </w:r>
      <w:proofErr w:type="spellEnd"/>
      <w:r>
        <w:rPr>
          <w:rFonts w:ascii="Arial" w:hAnsi="Arial" w:cs="Arial"/>
        </w:rPr>
        <w:t xml:space="preserve"> </w:t>
      </w:r>
      <w:proofErr w:type="spellStart"/>
      <w:r w:rsidRPr="00AD2209">
        <w:rPr>
          <w:rFonts w:ascii="Arial" w:hAnsi="Arial" w:cs="Arial"/>
        </w:rPr>
        <w:t>rezerve</w:t>
      </w:r>
      <w:proofErr w:type="spellEnd"/>
      <w:r w:rsidRPr="00AD2209">
        <w:rPr>
          <w:rFonts w:ascii="Arial" w:hAnsi="Arial" w:cs="Arial"/>
        </w:rPr>
        <w:t xml:space="preserve"> </w:t>
      </w:r>
      <w:proofErr w:type="spellStart"/>
      <w:r w:rsidRPr="00AD2209">
        <w:rPr>
          <w:rFonts w:ascii="Arial" w:hAnsi="Arial" w:cs="Arial"/>
        </w:rPr>
        <w:t>arhitektonsko-građevinskog</w:t>
      </w:r>
      <w:proofErr w:type="spellEnd"/>
      <w:r w:rsidRPr="00AD2209">
        <w:rPr>
          <w:rFonts w:ascii="Arial" w:hAnsi="Arial" w:cs="Arial"/>
        </w:rPr>
        <w:t xml:space="preserve"> </w:t>
      </w:r>
      <w:proofErr w:type="spellStart"/>
      <w:r w:rsidRPr="00AD2209">
        <w:rPr>
          <w:rFonts w:ascii="Arial" w:hAnsi="Arial" w:cs="Arial"/>
        </w:rPr>
        <w:t>kamena</w:t>
      </w:r>
      <w:proofErr w:type="spellEnd"/>
      <w:r w:rsidRPr="00AD2209">
        <w:rPr>
          <w:rFonts w:ascii="Arial" w:hAnsi="Arial" w:cs="Arial"/>
        </w:rPr>
        <w:t xml:space="preserve"> </w:t>
      </w:r>
      <w:proofErr w:type="spellStart"/>
      <w:r w:rsidRPr="00AD2209">
        <w:rPr>
          <w:rFonts w:ascii="Arial" w:hAnsi="Arial" w:cs="Arial"/>
        </w:rPr>
        <w:t>ležišta</w:t>
      </w:r>
      <w:proofErr w:type="spellEnd"/>
      <w:r w:rsidRPr="00AD2209">
        <w:rPr>
          <w:rFonts w:ascii="Arial" w:hAnsi="Arial" w:cs="Arial"/>
        </w:rPr>
        <w:t xml:space="preserve"> </w:t>
      </w:r>
      <w:r>
        <w:rPr>
          <w:rFonts w:ascii="Arial" w:hAnsi="Arial" w:cs="Arial"/>
        </w:rPr>
        <w:t>“</w:t>
      </w:r>
      <w:proofErr w:type="spellStart"/>
      <w:r>
        <w:rPr>
          <w:rFonts w:ascii="Arial" w:hAnsi="Arial" w:cs="Arial"/>
        </w:rPr>
        <w:t>Klikovače</w:t>
      </w:r>
      <w:proofErr w:type="spellEnd"/>
      <w:r>
        <w:rPr>
          <w:rFonts w:ascii="Arial" w:hAnsi="Arial" w:cs="Arial"/>
        </w:rPr>
        <w:t xml:space="preserve">”, </w:t>
      </w:r>
      <w:proofErr w:type="spellStart"/>
      <w:r w:rsidRPr="00AD2209">
        <w:rPr>
          <w:rFonts w:ascii="Arial" w:hAnsi="Arial" w:cs="Arial"/>
        </w:rPr>
        <w:t>koje</w:t>
      </w:r>
      <w:proofErr w:type="spellEnd"/>
      <w:r w:rsidRPr="00AD2209">
        <w:rPr>
          <w:rFonts w:ascii="Arial" w:hAnsi="Arial" w:cs="Arial"/>
        </w:rPr>
        <w:t xml:space="preserve"> </w:t>
      </w:r>
      <w:proofErr w:type="spellStart"/>
      <w:r w:rsidRPr="00AD2209">
        <w:rPr>
          <w:rFonts w:ascii="Arial" w:hAnsi="Arial" w:cs="Arial"/>
        </w:rPr>
        <w:t>iznose</w:t>
      </w:r>
      <w:proofErr w:type="spellEnd"/>
      <w:r w:rsidRPr="00AD2209">
        <w:rPr>
          <w:rFonts w:ascii="Arial" w:hAnsi="Arial" w:cs="Arial"/>
        </w:rPr>
        <w:t xml:space="preserve"> </w:t>
      </w:r>
      <w:r w:rsidRPr="00B92E77">
        <w:rPr>
          <w:rFonts w:ascii="Arial" w:hAnsi="Arial" w:cs="Arial"/>
        </w:rPr>
        <w:t xml:space="preserve">1 228 500 </w:t>
      </w:r>
      <w:r w:rsidRPr="00CB1296">
        <w:rPr>
          <w:rFonts w:ascii="Arial" w:hAnsi="Arial" w:cs="Arial"/>
        </w:rPr>
        <w:t>m</w:t>
      </w:r>
      <w:r w:rsidRPr="00CB1296">
        <w:rPr>
          <w:rFonts w:ascii="Arial" w:hAnsi="Arial" w:cs="Arial"/>
          <w:vertAlign w:val="superscript"/>
        </w:rPr>
        <w:t xml:space="preserve">3 </w:t>
      </w:r>
      <w:proofErr w:type="spellStart"/>
      <w:r>
        <w:rPr>
          <w:rFonts w:ascii="Arial" w:hAnsi="Arial" w:cs="Arial"/>
        </w:rPr>
        <w:t>č.s.m</w:t>
      </w:r>
      <w:proofErr w:type="spellEnd"/>
      <w:r>
        <w:rPr>
          <w:rFonts w:ascii="Arial" w:hAnsi="Arial" w:cs="Arial"/>
        </w:rPr>
        <w:t xml:space="preserve"> </w:t>
      </w:r>
      <w:proofErr w:type="spellStart"/>
      <w:r w:rsidRPr="00CB1296">
        <w:rPr>
          <w:rFonts w:ascii="Arial" w:hAnsi="Arial" w:cs="Arial"/>
        </w:rPr>
        <w:t>i</w:t>
      </w:r>
      <w:proofErr w:type="spellEnd"/>
      <w:r w:rsidRPr="00CB1296">
        <w:rPr>
          <w:rFonts w:ascii="Arial" w:hAnsi="Arial" w:cs="Arial"/>
        </w:rPr>
        <w:t xml:space="preserve"> </w:t>
      </w:r>
      <w:r w:rsidRPr="00CB1296">
        <w:rPr>
          <w:rFonts w:ascii="Arial" w:hAnsi="Arial" w:cs="Arial"/>
          <w:iCs/>
        </w:rPr>
        <w:t>307 126</w:t>
      </w:r>
      <w:r>
        <w:rPr>
          <w:rFonts w:ascii="Arial" w:hAnsi="Arial" w:cs="Arial"/>
          <w:iCs/>
        </w:rPr>
        <w:t xml:space="preserve"> </w:t>
      </w:r>
      <w:r w:rsidRPr="00CB1296">
        <w:rPr>
          <w:rFonts w:ascii="Arial" w:hAnsi="Arial" w:cs="Arial"/>
        </w:rPr>
        <w:t>m</w:t>
      </w:r>
      <w:r w:rsidRPr="00CB1296">
        <w:rPr>
          <w:rFonts w:ascii="Arial" w:hAnsi="Arial" w:cs="Arial"/>
          <w:vertAlign w:val="superscript"/>
        </w:rPr>
        <w:t>3</w:t>
      </w:r>
      <w:r w:rsidRPr="00CB1296">
        <w:rPr>
          <w:rFonts w:ascii="Arial" w:hAnsi="Arial" w:cs="Arial"/>
          <w:iCs/>
        </w:rPr>
        <w:t xml:space="preserve"> </w:t>
      </w:r>
      <w:proofErr w:type="spellStart"/>
      <w:r>
        <w:rPr>
          <w:rFonts w:ascii="Arial" w:hAnsi="Arial" w:cs="Arial"/>
          <w:iCs/>
        </w:rPr>
        <w:t>rezervi</w:t>
      </w:r>
      <w:proofErr w:type="spellEnd"/>
      <w:r>
        <w:rPr>
          <w:rFonts w:ascii="Arial" w:hAnsi="Arial" w:cs="Arial"/>
          <w:iCs/>
        </w:rPr>
        <w:t xml:space="preserve"> </w:t>
      </w:r>
      <w:proofErr w:type="spellStart"/>
      <w:r>
        <w:rPr>
          <w:rFonts w:ascii="Arial" w:hAnsi="Arial" w:cs="Arial"/>
          <w:iCs/>
        </w:rPr>
        <w:t>komercijalnog</w:t>
      </w:r>
      <w:proofErr w:type="spellEnd"/>
      <w:r>
        <w:rPr>
          <w:rFonts w:ascii="Arial" w:hAnsi="Arial" w:cs="Arial"/>
          <w:iCs/>
        </w:rPr>
        <w:t xml:space="preserve"> </w:t>
      </w:r>
      <w:proofErr w:type="spellStart"/>
      <w:r>
        <w:rPr>
          <w:rFonts w:ascii="Arial" w:hAnsi="Arial" w:cs="Arial"/>
          <w:iCs/>
        </w:rPr>
        <w:t>bloka</w:t>
      </w:r>
      <w:proofErr w:type="spellEnd"/>
      <w:r w:rsidR="00D90CC6">
        <w:rPr>
          <w:rFonts w:ascii="Arial" w:hAnsi="Arial" w:cs="Arial"/>
          <w:iCs/>
        </w:rPr>
        <w:t>.</w:t>
      </w:r>
      <w:r>
        <w:rPr>
          <w:rFonts w:ascii="Arial" w:hAnsi="Arial" w:cs="Arial"/>
          <w:iCs/>
        </w:rPr>
        <w:t xml:space="preserve"> </w:t>
      </w:r>
    </w:p>
    <w:p w14:paraId="062525AC" w14:textId="77777777" w:rsidR="0055507C" w:rsidRDefault="0055507C" w:rsidP="005E683D">
      <w:pPr>
        <w:spacing w:after="0" w:line="240" w:lineRule="auto"/>
        <w:jc w:val="both"/>
        <w:rPr>
          <w:rFonts w:ascii="Arial" w:hAnsi="Arial" w:cs="Arial"/>
          <w:iCs/>
        </w:rPr>
      </w:pPr>
    </w:p>
    <w:p w14:paraId="3CA8B2F5" w14:textId="3AC62F7E" w:rsidR="0055507C" w:rsidRDefault="0055507C" w:rsidP="005E683D">
      <w:pPr>
        <w:spacing w:after="0" w:line="240" w:lineRule="auto"/>
        <w:jc w:val="both"/>
        <w:rPr>
          <w:rFonts w:ascii="Arial" w:hAnsi="Arial" w:cs="Arial"/>
          <w:iCs/>
        </w:rPr>
      </w:pPr>
      <w:r>
        <w:rPr>
          <w:rFonts w:ascii="Arial" w:hAnsi="Arial" w:cs="Arial"/>
          <w:iCs/>
        </w:rPr>
        <w:t xml:space="preserve">S </w:t>
      </w:r>
      <w:proofErr w:type="spellStart"/>
      <w:r>
        <w:rPr>
          <w:rFonts w:ascii="Arial" w:hAnsi="Arial" w:cs="Arial"/>
          <w:iCs/>
        </w:rPr>
        <w:t>obzirom</w:t>
      </w:r>
      <w:proofErr w:type="spellEnd"/>
      <w:r>
        <w:rPr>
          <w:rFonts w:ascii="Arial" w:hAnsi="Arial" w:cs="Arial"/>
          <w:iCs/>
        </w:rPr>
        <w:t xml:space="preserve"> da </w:t>
      </w:r>
      <w:proofErr w:type="spellStart"/>
      <w:r>
        <w:rPr>
          <w:rFonts w:ascii="Arial" w:hAnsi="Arial" w:cs="Arial"/>
          <w:iCs/>
        </w:rPr>
        <w:t>su</w:t>
      </w:r>
      <w:proofErr w:type="spellEnd"/>
      <w:r>
        <w:rPr>
          <w:rFonts w:ascii="Arial" w:hAnsi="Arial" w:cs="Arial"/>
          <w:iCs/>
        </w:rPr>
        <w:t xml:space="preserve"> </w:t>
      </w:r>
      <w:proofErr w:type="spellStart"/>
      <w:r>
        <w:rPr>
          <w:rFonts w:ascii="Arial" w:hAnsi="Arial" w:cs="Arial"/>
          <w:iCs/>
        </w:rPr>
        <w:t>ove</w:t>
      </w:r>
      <w:proofErr w:type="spellEnd"/>
      <w:r>
        <w:rPr>
          <w:rFonts w:ascii="Arial" w:hAnsi="Arial" w:cs="Arial"/>
          <w:iCs/>
        </w:rPr>
        <w:t xml:space="preserve">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proračunate</w:t>
      </w:r>
      <w:proofErr w:type="spellEnd"/>
      <w:r>
        <w:rPr>
          <w:rFonts w:ascii="Arial" w:hAnsi="Arial" w:cs="Arial"/>
          <w:iCs/>
        </w:rPr>
        <w:t xml:space="preserve"> za </w:t>
      </w:r>
      <w:proofErr w:type="spellStart"/>
      <w:r>
        <w:rPr>
          <w:rFonts w:ascii="Arial" w:hAnsi="Arial" w:cs="Arial"/>
          <w:iCs/>
        </w:rPr>
        <w:t>prostor</w:t>
      </w:r>
      <w:proofErr w:type="spellEnd"/>
      <w:r>
        <w:rPr>
          <w:rFonts w:ascii="Arial" w:hAnsi="Arial" w:cs="Arial"/>
          <w:iCs/>
        </w:rPr>
        <w:t xml:space="preserve"> koji je </w:t>
      </w:r>
      <w:proofErr w:type="spellStart"/>
      <w:r>
        <w:rPr>
          <w:rFonts w:ascii="Arial" w:hAnsi="Arial" w:cs="Arial"/>
          <w:iCs/>
        </w:rPr>
        <w:t>veći</w:t>
      </w:r>
      <w:proofErr w:type="spellEnd"/>
      <w:r>
        <w:rPr>
          <w:rFonts w:ascii="Arial" w:hAnsi="Arial" w:cs="Arial"/>
          <w:iCs/>
        </w:rPr>
        <w:t xml:space="preserve"> </w:t>
      </w:r>
      <w:proofErr w:type="spellStart"/>
      <w:r>
        <w:rPr>
          <w:rFonts w:ascii="Arial" w:hAnsi="Arial" w:cs="Arial"/>
          <w:iCs/>
        </w:rPr>
        <w:t>od</w:t>
      </w:r>
      <w:proofErr w:type="spellEnd"/>
      <w:r>
        <w:rPr>
          <w:rFonts w:ascii="Arial" w:hAnsi="Arial" w:cs="Arial"/>
          <w:iCs/>
        </w:rPr>
        <w:t xml:space="preserve"> </w:t>
      </w:r>
      <w:proofErr w:type="spellStart"/>
      <w:r>
        <w:rPr>
          <w:rFonts w:ascii="Arial" w:hAnsi="Arial" w:cs="Arial"/>
          <w:iCs/>
        </w:rPr>
        <w:t>prostora</w:t>
      </w:r>
      <w:proofErr w:type="spellEnd"/>
      <w:r>
        <w:rPr>
          <w:rFonts w:ascii="Arial" w:hAnsi="Arial" w:cs="Arial"/>
          <w:iCs/>
        </w:rPr>
        <w:t xml:space="preserve"> za koji se </w:t>
      </w:r>
      <w:proofErr w:type="spellStart"/>
      <w:r>
        <w:rPr>
          <w:rFonts w:ascii="Arial" w:hAnsi="Arial" w:cs="Arial"/>
          <w:iCs/>
        </w:rPr>
        <w:t>traži</w:t>
      </w:r>
      <w:proofErr w:type="spellEnd"/>
      <w:r>
        <w:rPr>
          <w:rFonts w:ascii="Arial" w:hAnsi="Arial" w:cs="Arial"/>
          <w:iCs/>
        </w:rPr>
        <w:t xml:space="preserve"> </w:t>
      </w:r>
      <w:proofErr w:type="spellStart"/>
      <w:r>
        <w:rPr>
          <w:rFonts w:ascii="Arial" w:hAnsi="Arial" w:cs="Arial"/>
          <w:iCs/>
        </w:rPr>
        <w:t>koncesija</w:t>
      </w:r>
      <w:proofErr w:type="spellEnd"/>
      <w:r>
        <w:rPr>
          <w:rFonts w:ascii="Arial" w:hAnsi="Arial" w:cs="Arial"/>
          <w:iCs/>
        </w:rPr>
        <w:t xml:space="preserve"> </w:t>
      </w:r>
      <w:proofErr w:type="spellStart"/>
      <w:r w:rsidR="00915985">
        <w:rPr>
          <w:rFonts w:ascii="Arial" w:hAnsi="Arial" w:cs="Arial"/>
          <w:iCs/>
        </w:rPr>
        <w:t>i</w:t>
      </w:r>
      <w:proofErr w:type="spellEnd"/>
      <w:r>
        <w:rPr>
          <w:rFonts w:ascii="Arial" w:hAnsi="Arial" w:cs="Arial"/>
          <w:iCs/>
        </w:rPr>
        <w:t xml:space="preserve"> koji je </w:t>
      </w:r>
      <w:proofErr w:type="spellStart"/>
      <w:r>
        <w:rPr>
          <w:rFonts w:ascii="Arial" w:hAnsi="Arial" w:cs="Arial"/>
          <w:iCs/>
        </w:rPr>
        <w:t>predmet</w:t>
      </w:r>
      <w:proofErr w:type="spellEnd"/>
      <w:r>
        <w:rPr>
          <w:rFonts w:ascii="Arial" w:hAnsi="Arial" w:cs="Arial"/>
          <w:iCs/>
        </w:rPr>
        <w:t xml:space="preserve"> </w:t>
      </w:r>
      <w:proofErr w:type="spellStart"/>
      <w:r>
        <w:rPr>
          <w:rFonts w:ascii="Arial" w:hAnsi="Arial" w:cs="Arial"/>
          <w:iCs/>
        </w:rPr>
        <w:t>ovog</w:t>
      </w:r>
      <w:proofErr w:type="spellEnd"/>
      <w:r>
        <w:rPr>
          <w:rFonts w:ascii="Arial" w:hAnsi="Arial" w:cs="Arial"/>
          <w:iCs/>
        </w:rPr>
        <w:t xml:space="preserve"> </w:t>
      </w:r>
      <w:proofErr w:type="spellStart"/>
      <w:r>
        <w:rPr>
          <w:rFonts w:ascii="Arial" w:hAnsi="Arial" w:cs="Arial"/>
          <w:iCs/>
        </w:rPr>
        <w:t>Koncesionog</w:t>
      </w:r>
      <w:proofErr w:type="spellEnd"/>
      <w:r>
        <w:rPr>
          <w:rFonts w:ascii="Arial" w:hAnsi="Arial" w:cs="Arial"/>
          <w:iCs/>
        </w:rPr>
        <w:t xml:space="preserve"> </w:t>
      </w:r>
      <w:proofErr w:type="spellStart"/>
      <w:r>
        <w:rPr>
          <w:rFonts w:ascii="Arial" w:hAnsi="Arial" w:cs="Arial"/>
          <w:iCs/>
        </w:rPr>
        <w:t>akta</w:t>
      </w:r>
      <w:proofErr w:type="spellEnd"/>
      <w:r>
        <w:rPr>
          <w:rFonts w:ascii="Arial" w:hAnsi="Arial" w:cs="Arial"/>
          <w:iCs/>
        </w:rPr>
        <w:t xml:space="preserve">, za </w:t>
      </w:r>
      <w:proofErr w:type="spellStart"/>
      <w:r>
        <w:rPr>
          <w:rFonts w:ascii="Arial" w:hAnsi="Arial" w:cs="Arial"/>
          <w:iCs/>
        </w:rPr>
        <w:t>očekivati</w:t>
      </w:r>
      <w:proofErr w:type="spellEnd"/>
      <w:r>
        <w:rPr>
          <w:rFonts w:ascii="Arial" w:hAnsi="Arial" w:cs="Arial"/>
          <w:iCs/>
        </w:rPr>
        <w:t xml:space="preserve"> je da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budu</w:t>
      </w:r>
      <w:proofErr w:type="spellEnd"/>
      <w:r>
        <w:rPr>
          <w:rFonts w:ascii="Arial" w:hAnsi="Arial" w:cs="Arial"/>
          <w:iCs/>
        </w:rPr>
        <w:t xml:space="preserve"> </w:t>
      </w:r>
      <w:proofErr w:type="spellStart"/>
      <w:r>
        <w:rPr>
          <w:rFonts w:ascii="Arial" w:hAnsi="Arial" w:cs="Arial"/>
          <w:iCs/>
        </w:rPr>
        <w:t>manje</w:t>
      </w:r>
      <w:proofErr w:type="spellEnd"/>
      <w:r w:rsidR="00915985">
        <w:rPr>
          <w:rFonts w:ascii="Arial" w:hAnsi="Arial" w:cs="Arial"/>
          <w:iCs/>
        </w:rPr>
        <w:t xml:space="preserve"> u </w:t>
      </w:r>
      <w:proofErr w:type="spellStart"/>
      <w:r w:rsidR="00915985">
        <w:rPr>
          <w:rFonts w:ascii="Arial" w:hAnsi="Arial" w:cs="Arial"/>
          <w:iCs/>
        </w:rPr>
        <w:t>odnosu</w:t>
      </w:r>
      <w:proofErr w:type="spellEnd"/>
      <w:r w:rsidR="00915985">
        <w:rPr>
          <w:rFonts w:ascii="Arial" w:hAnsi="Arial" w:cs="Arial"/>
          <w:iCs/>
        </w:rPr>
        <w:t xml:space="preserve"> </w:t>
      </w:r>
      <w:proofErr w:type="spellStart"/>
      <w:r w:rsidR="00915985">
        <w:rPr>
          <w:rFonts w:ascii="Arial" w:hAnsi="Arial" w:cs="Arial"/>
          <w:iCs/>
        </w:rPr>
        <w:t>na</w:t>
      </w:r>
      <w:proofErr w:type="spellEnd"/>
      <w:r w:rsidR="00915985">
        <w:rPr>
          <w:rFonts w:ascii="Arial" w:hAnsi="Arial" w:cs="Arial"/>
          <w:iCs/>
        </w:rPr>
        <w:t xml:space="preserve"> </w:t>
      </w:r>
      <w:proofErr w:type="spellStart"/>
      <w:r w:rsidR="00915985">
        <w:rPr>
          <w:rFonts w:ascii="Arial" w:hAnsi="Arial" w:cs="Arial"/>
          <w:iCs/>
        </w:rPr>
        <w:t>rezerve</w:t>
      </w:r>
      <w:proofErr w:type="spellEnd"/>
      <w:r w:rsidR="00915985">
        <w:rPr>
          <w:rFonts w:ascii="Arial" w:hAnsi="Arial" w:cs="Arial"/>
          <w:iCs/>
        </w:rPr>
        <w:t xml:space="preserve"> </w:t>
      </w:r>
      <w:proofErr w:type="spellStart"/>
      <w:r w:rsidR="00915985">
        <w:rPr>
          <w:rFonts w:ascii="Arial" w:hAnsi="Arial" w:cs="Arial"/>
          <w:iCs/>
        </w:rPr>
        <w:t>koje</w:t>
      </w:r>
      <w:proofErr w:type="spellEnd"/>
      <w:r w:rsidR="00915985">
        <w:rPr>
          <w:rFonts w:ascii="Arial" w:hAnsi="Arial" w:cs="Arial"/>
          <w:iCs/>
        </w:rPr>
        <w:t xml:space="preserve"> </w:t>
      </w:r>
      <w:proofErr w:type="spellStart"/>
      <w:r w:rsidR="00915985">
        <w:rPr>
          <w:rFonts w:ascii="Arial" w:hAnsi="Arial" w:cs="Arial"/>
          <w:iCs/>
        </w:rPr>
        <w:t>su</w:t>
      </w:r>
      <w:proofErr w:type="spellEnd"/>
      <w:r w:rsidR="00915985">
        <w:rPr>
          <w:rFonts w:ascii="Arial" w:hAnsi="Arial" w:cs="Arial"/>
          <w:iCs/>
        </w:rPr>
        <w:t xml:space="preserve"> </w:t>
      </w:r>
      <w:proofErr w:type="spellStart"/>
      <w:r w:rsidR="00915985">
        <w:rPr>
          <w:rFonts w:ascii="Arial" w:hAnsi="Arial" w:cs="Arial"/>
          <w:iCs/>
        </w:rPr>
        <w:t>proračunate</w:t>
      </w:r>
      <w:proofErr w:type="spellEnd"/>
      <w:r w:rsidR="00915985">
        <w:rPr>
          <w:rFonts w:ascii="Arial" w:hAnsi="Arial" w:cs="Arial"/>
          <w:iCs/>
        </w:rPr>
        <w:t xml:space="preserve"> </w:t>
      </w:r>
      <w:proofErr w:type="spellStart"/>
      <w:r w:rsidR="00915985">
        <w:rPr>
          <w:rFonts w:ascii="Arial" w:hAnsi="Arial" w:cs="Arial"/>
          <w:iCs/>
        </w:rPr>
        <w:t>i</w:t>
      </w:r>
      <w:proofErr w:type="spellEnd"/>
      <w:r w:rsidR="00915985">
        <w:rPr>
          <w:rFonts w:ascii="Arial" w:hAnsi="Arial" w:cs="Arial"/>
          <w:iCs/>
        </w:rPr>
        <w:t xml:space="preserve"> </w:t>
      </w:r>
      <w:proofErr w:type="spellStart"/>
      <w:r w:rsidR="00915985">
        <w:rPr>
          <w:rFonts w:ascii="Arial" w:hAnsi="Arial" w:cs="Arial"/>
          <w:iCs/>
        </w:rPr>
        <w:t>prikazane</w:t>
      </w:r>
      <w:proofErr w:type="spellEnd"/>
      <w:r w:rsidR="00915985">
        <w:rPr>
          <w:rFonts w:ascii="Arial" w:hAnsi="Arial" w:cs="Arial"/>
          <w:iCs/>
        </w:rPr>
        <w:t xml:space="preserve"> </w:t>
      </w:r>
      <w:r w:rsidR="00915985">
        <w:rPr>
          <w:rFonts w:ascii="Arial" w:hAnsi="Arial" w:cs="Arial"/>
        </w:rPr>
        <w:t>u</w:t>
      </w:r>
      <w:r w:rsidR="00915985" w:rsidRPr="00AD2209">
        <w:rPr>
          <w:rFonts w:ascii="Arial" w:hAnsi="Arial" w:cs="Arial"/>
        </w:rPr>
        <w:t xml:space="preserve"> </w:t>
      </w:r>
      <w:proofErr w:type="spellStart"/>
      <w:r w:rsidR="00915985" w:rsidRPr="00AD2209">
        <w:rPr>
          <w:rFonts w:ascii="Arial" w:hAnsi="Arial" w:cs="Arial"/>
        </w:rPr>
        <w:t>Elaboratu</w:t>
      </w:r>
      <w:proofErr w:type="spellEnd"/>
      <w:r w:rsidR="00915985" w:rsidRPr="00AD2209">
        <w:rPr>
          <w:rFonts w:ascii="Arial" w:hAnsi="Arial" w:cs="Arial"/>
        </w:rPr>
        <w:t xml:space="preserve"> </w:t>
      </w:r>
      <w:proofErr w:type="spellStart"/>
      <w:r w:rsidR="00915985" w:rsidRPr="00AD2209">
        <w:rPr>
          <w:rFonts w:ascii="Arial" w:hAnsi="Arial" w:cs="Arial"/>
        </w:rPr>
        <w:t>iz</w:t>
      </w:r>
      <w:proofErr w:type="spellEnd"/>
      <w:r w:rsidR="00915985" w:rsidRPr="00AD2209">
        <w:rPr>
          <w:rFonts w:ascii="Arial" w:hAnsi="Arial" w:cs="Arial"/>
        </w:rPr>
        <w:t xml:space="preserve"> </w:t>
      </w:r>
      <w:r w:rsidR="00915985">
        <w:rPr>
          <w:rFonts w:ascii="Arial" w:hAnsi="Arial" w:cs="Arial"/>
        </w:rPr>
        <w:t>2005</w:t>
      </w:r>
      <w:r w:rsidR="00915985" w:rsidRPr="00AD2209">
        <w:rPr>
          <w:rFonts w:ascii="Arial" w:hAnsi="Arial" w:cs="Arial"/>
        </w:rPr>
        <w:t xml:space="preserve">. </w:t>
      </w:r>
      <w:proofErr w:type="spellStart"/>
      <w:r w:rsidR="00915985" w:rsidRPr="00AD2209">
        <w:rPr>
          <w:rFonts w:ascii="Arial" w:hAnsi="Arial" w:cs="Arial"/>
        </w:rPr>
        <w:t>godine</w:t>
      </w:r>
      <w:proofErr w:type="spellEnd"/>
      <w:r w:rsidR="00915985">
        <w:rPr>
          <w:rFonts w:ascii="Arial" w:hAnsi="Arial" w:cs="Arial"/>
        </w:rPr>
        <w:t>.</w:t>
      </w:r>
    </w:p>
    <w:p w14:paraId="72579EAE" w14:textId="77777777" w:rsidR="009F7581" w:rsidRDefault="009F7581" w:rsidP="005E683D">
      <w:pPr>
        <w:spacing w:after="0" w:line="240" w:lineRule="auto"/>
        <w:jc w:val="both"/>
        <w:rPr>
          <w:rFonts w:ascii="Arial" w:hAnsi="Arial" w:cs="Arial"/>
          <w:iCs/>
        </w:rPr>
      </w:pPr>
    </w:p>
    <w:p w14:paraId="47DFD642" w14:textId="4CD4261B" w:rsidR="00632B4D" w:rsidRPr="006030FA" w:rsidRDefault="009F7581" w:rsidP="005E683D">
      <w:pPr>
        <w:spacing w:after="0" w:line="240" w:lineRule="auto"/>
        <w:jc w:val="both"/>
        <w:rPr>
          <w:rFonts w:ascii="Arial" w:hAnsi="Arial" w:cs="Arial"/>
          <w:lang w:val="sr-Latn-CS"/>
        </w:rPr>
      </w:pPr>
      <w:r w:rsidRPr="008F027E">
        <w:rPr>
          <w:rFonts w:ascii="Arial" w:hAnsi="Arial" w:cs="Arial"/>
          <w:color w:val="000000"/>
          <w:lang w:val="sr-Latn-CS"/>
        </w:rPr>
        <w:t xml:space="preserve"> </w:t>
      </w:r>
      <w:r w:rsidR="00632B4D" w:rsidRPr="006030FA">
        <w:rPr>
          <w:rFonts w:ascii="Arial" w:eastAsia="Calibri" w:hAnsi="Arial" w:cs="Arial"/>
          <w:lang w:val="sr-Latn-CS"/>
        </w:rPr>
        <w:t xml:space="preserve">Za predloženi period trajanja koncesije od 28 godina (za eksploataciju) </w:t>
      </w:r>
      <w:r w:rsidR="007C27BF" w:rsidRPr="006030FA">
        <w:rPr>
          <w:rFonts w:ascii="Arial" w:eastAsia="Calibri" w:hAnsi="Arial" w:cs="Arial"/>
          <w:lang w:val="sr-Latn-CS"/>
        </w:rPr>
        <w:t xml:space="preserve">očekivani </w:t>
      </w:r>
      <w:r w:rsidR="0042571B" w:rsidRPr="006030FA">
        <w:rPr>
          <w:rFonts w:ascii="Arial" w:eastAsia="Calibri" w:hAnsi="Arial" w:cs="Arial"/>
          <w:lang w:val="sr-Latn-CS"/>
        </w:rPr>
        <w:t xml:space="preserve">godišnji </w:t>
      </w:r>
      <w:r w:rsidR="00632B4D" w:rsidRPr="006030FA">
        <w:rPr>
          <w:rFonts w:ascii="Arial" w:eastAsia="Calibri" w:hAnsi="Arial" w:cs="Arial"/>
          <w:lang w:val="sr-Latn-CS"/>
        </w:rPr>
        <w:t xml:space="preserve">proizvodni kapacitet će iznositi </w:t>
      </w:r>
      <w:r w:rsidR="006030FA">
        <w:rPr>
          <w:rFonts w:ascii="Arial" w:eastAsia="Calibri" w:hAnsi="Arial" w:cs="Arial"/>
          <w:lang w:val="sr-Latn-CS"/>
        </w:rPr>
        <w:t>6700</w:t>
      </w:r>
      <w:r w:rsidR="00632B4D" w:rsidRPr="006030FA">
        <w:rPr>
          <w:rFonts w:ascii="Arial" w:hAnsi="Arial" w:cs="Arial"/>
          <w:lang w:val="sr-Latn-CS"/>
        </w:rPr>
        <w:t xml:space="preserve"> m</w:t>
      </w:r>
      <w:r w:rsidR="00632B4D" w:rsidRPr="006030FA">
        <w:rPr>
          <w:rFonts w:ascii="Arial" w:hAnsi="Arial" w:cs="Arial"/>
          <w:vertAlign w:val="superscript"/>
          <w:lang w:val="sr-Latn-CS"/>
        </w:rPr>
        <w:t>3</w:t>
      </w:r>
      <w:r w:rsidR="00632B4D" w:rsidRPr="006030FA">
        <w:rPr>
          <w:rFonts w:ascii="Arial" w:hAnsi="Arial" w:cs="Arial"/>
          <w:lang w:val="sr-Latn-CS"/>
        </w:rPr>
        <w:t xml:space="preserve"> č.s.m. odnosno uz pretpostavljeno iskorišćenje stijenske mase od </w:t>
      </w:r>
      <w:r w:rsidR="00FE4A99">
        <w:rPr>
          <w:rFonts w:ascii="Arial" w:hAnsi="Arial" w:cs="Arial"/>
          <w:lang w:val="sr-Latn-CS"/>
        </w:rPr>
        <w:t>oko</w:t>
      </w:r>
      <w:r w:rsidR="0086014C" w:rsidRPr="006030FA">
        <w:rPr>
          <w:rFonts w:ascii="Arial" w:hAnsi="Arial" w:cs="Arial"/>
          <w:lang w:val="sr-Latn-CS"/>
        </w:rPr>
        <w:t xml:space="preserve"> </w:t>
      </w:r>
      <w:r w:rsidR="006030FA" w:rsidRPr="006030FA">
        <w:rPr>
          <w:rFonts w:ascii="Arial" w:hAnsi="Arial" w:cs="Arial"/>
          <w:lang w:val="sr-Latn-CS"/>
        </w:rPr>
        <w:t>15</w:t>
      </w:r>
      <w:r w:rsidR="00632B4D" w:rsidRPr="006030FA">
        <w:rPr>
          <w:rFonts w:ascii="Arial" w:hAnsi="Arial" w:cs="Arial"/>
          <w:lang w:val="sr-Latn-CS"/>
        </w:rPr>
        <w:t xml:space="preserve">%, </w:t>
      </w:r>
      <w:r w:rsidR="001850F7" w:rsidRPr="006030FA">
        <w:rPr>
          <w:rFonts w:ascii="Arial" w:hAnsi="Arial" w:cs="Arial"/>
          <w:lang w:val="sr-Latn-CS"/>
        </w:rPr>
        <w:t>1</w:t>
      </w:r>
      <w:r w:rsidR="00632B4D" w:rsidRPr="006030FA">
        <w:rPr>
          <w:rFonts w:ascii="Arial" w:hAnsi="Arial" w:cs="Arial"/>
          <w:lang w:val="sr-Latn-CS"/>
        </w:rPr>
        <w:t>000 m</w:t>
      </w:r>
      <w:r w:rsidR="00632B4D" w:rsidRPr="006030FA">
        <w:rPr>
          <w:rFonts w:ascii="Arial" w:hAnsi="Arial" w:cs="Arial"/>
          <w:vertAlign w:val="superscript"/>
          <w:lang w:val="sr-Latn-CS"/>
        </w:rPr>
        <w:t xml:space="preserve">3 </w:t>
      </w:r>
      <w:r w:rsidR="00632B4D" w:rsidRPr="006030FA">
        <w:rPr>
          <w:rFonts w:ascii="Arial" w:hAnsi="Arial" w:cs="Arial"/>
          <w:lang w:val="sr-Latn-CS"/>
        </w:rPr>
        <w:t>komercijalnih blokova i tombolona arhitektonsko-građevinskog kamena.</w:t>
      </w:r>
    </w:p>
    <w:p w14:paraId="712B7A2A" w14:textId="77777777" w:rsidR="00632B4D" w:rsidRPr="006030FA" w:rsidRDefault="00632B4D" w:rsidP="005E683D">
      <w:pPr>
        <w:spacing w:after="0" w:line="240" w:lineRule="auto"/>
        <w:jc w:val="both"/>
        <w:rPr>
          <w:rFonts w:ascii="Arial" w:eastAsia="Calibri" w:hAnsi="Arial" w:cs="Arial"/>
          <w:lang w:val="sr-Latn-CS"/>
        </w:rPr>
      </w:pPr>
    </w:p>
    <w:p w14:paraId="10424792" w14:textId="721D87A9" w:rsidR="00FE4A99" w:rsidRDefault="00632B4D" w:rsidP="005E683D">
      <w:pPr>
        <w:spacing w:after="0" w:line="240" w:lineRule="auto"/>
        <w:jc w:val="both"/>
        <w:rPr>
          <w:rFonts w:ascii="Arial" w:hAnsi="Arial" w:cs="Arial"/>
          <w:lang w:val="sr-Latn-CS"/>
        </w:rPr>
      </w:pPr>
      <w:r w:rsidRPr="006030FA">
        <w:rPr>
          <w:rFonts w:ascii="Arial" w:eastAsia="Calibri" w:hAnsi="Arial" w:cs="Arial"/>
          <w:lang w:val="sr-Latn-CS"/>
        </w:rPr>
        <w:t xml:space="preserve">Za </w:t>
      </w:r>
      <w:r w:rsidR="00915985">
        <w:rPr>
          <w:rFonts w:ascii="Arial" w:eastAsia="Calibri" w:hAnsi="Arial" w:cs="Arial"/>
          <w:lang w:val="sr-Latn-CS"/>
        </w:rPr>
        <w:t xml:space="preserve">očekivani </w:t>
      </w:r>
      <w:r w:rsidRPr="006030FA">
        <w:rPr>
          <w:rFonts w:ascii="Arial" w:eastAsia="Calibri" w:hAnsi="Arial" w:cs="Arial"/>
          <w:lang w:val="sr-Latn-CS"/>
        </w:rPr>
        <w:t xml:space="preserve">godišnji kapacitet površinskog kopa od </w:t>
      </w:r>
      <w:r w:rsidR="00003278">
        <w:rPr>
          <w:rFonts w:ascii="Arial" w:hAnsi="Arial" w:cs="Arial"/>
          <w:lang w:val="sr-Latn-CS"/>
        </w:rPr>
        <w:t>6700</w:t>
      </w:r>
      <w:r w:rsidR="0042571B" w:rsidRPr="006030FA">
        <w:rPr>
          <w:rFonts w:ascii="Arial" w:hAnsi="Arial" w:cs="Arial"/>
          <w:lang w:val="sr-Latn-CS"/>
        </w:rPr>
        <w:t xml:space="preserve"> m</w:t>
      </w:r>
      <w:r w:rsidR="0042571B" w:rsidRPr="006030FA">
        <w:rPr>
          <w:rFonts w:ascii="Arial" w:hAnsi="Arial" w:cs="Arial"/>
          <w:vertAlign w:val="superscript"/>
          <w:lang w:val="sr-Latn-CS"/>
        </w:rPr>
        <w:t>3</w:t>
      </w:r>
      <w:r w:rsidRPr="006030FA">
        <w:rPr>
          <w:rFonts w:ascii="Arial" w:hAnsi="Arial" w:cs="Arial"/>
          <w:lang w:val="sr-Latn-CS"/>
        </w:rPr>
        <w:t xml:space="preserve"> č.s.m. odnosno </w:t>
      </w:r>
      <w:r w:rsidR="001850F7" w:rsidRPr="006030FA">
        <w:rPr>
          <w:rFonts w:ascii="Arial" w:hAnsi="Arial" w:cs="Arial"/>
          <w:lang w:val="sr-Latn-CS"/>
        </w:rPr>
        <w:t>1</w:t>
      </w:r>
      <w:r w:rsidR="0042571B" w:rsidRPr="006030FA">
        <w:rPr>
          <w:rFonts w:ascii="Arial" w:hAnsi="Arial" w:cs="Arial"/>
          <w:lang w:val="sr-Latn-CS"/>
        </w:rPr>
        <w:t>000</w:t>
      </w:r>
      <w:r w:rsidRPr="006030FA">
        <w:rPr>
          <w:rFonts w:ascii="Arial" w:hAnsi="Arial" w:cs="Arial"/>
          <w:lang w:val="sr-Latn-CS"/>
        </w:rPr>
        <w:t xml:space="preserve"> m</w:t>
      </w:r>
      <w:r w:rsidRPr="006030FA">
        <w:rPr>
          <w:rFonts w:ascii="Arial" w:hAnsi="Arial" w:cs="Arial"/>
          <w:vertAlign w:val="superscript"/>
          <w:lang w:val="sr-Latn-CS"/>
        </w:rPr>
        <w:t xml:space="preserve">3 </w:t>
      </w:r>
      <w:r w:rsidR="00D90CC6">
        <w:rPr>
          <w:rFonts w:ascii="Arial" w:hAnsi="Arial" w:cs="Arial"/>
          <w:lang w:val="sr-Latn-CS"/>
        </w:rPr>
        <w:t>komercijalnih blokova i tombolo</w:t>
      </w:r>
      <w:r w:rsidRPr="006030FA">
        <w:rPr>
          <w:rFonts w:ascii="Arial" w:hAnsi="Arial" w:cs="Arial"/>
          <w:lang w:val="sr-Latn-CS"/>
        </w:rPr>
        <w:t>na arhitektonsko-građevinskog kamena</w:t>
      </w:r>
      <w:r w:rsidRPr="006030FA">
        <w:rPr>
          <w:rFonts w:ascii="Arial" w:eastAsia="Calibri" w:hAnsi="Arial" w:cs="Arial"/>
          <w:lang w:val="sr-Latn-CS"/>
        </w:rPr>
        <w:t xml:space="preserve">, u predviđenom periodu </w:t>
      </w:r>
      <w:r w:rsidRPr="006030FA">
        <w:rPr>
          <w:rFonts w:ascii="Arial" w:eastAsia="Calibri" w:hAnsi="Arial" w:cs="Arial"/>
          <w:lang w:val="sr-Latn-CS"/>
        </w:rPr>
        <w:lastRenderedPageBreak/>
        <w:t xml:space="preserve">eksploatacije od 28 godina, potrebno je </w:t>
      </w:r>
      <w:r w:rsidR="0086014C" w:rsidRPr="006030FA">
        <w:rPr>
          <w:rFonts w:ascii="Arial" w:eastAsia="Calibri" w:hAnsi="Arial" w:cs="Arial"/>
          <w:lang w:val="sr-Latn-CS"/>
        </w:rPr>
        <w:t xml:space="preserve">oko </w:t>
      </w:r>
      <w:r w:rsidR="006030FA">
        <w:rPr>
          <w:rFonts w:ascii="Arial" w:eastAsia="Calibri" w:hAnsi="Arial" w:cs="Arial"/>
          <w:lang w:val="sr-Latn-CS"/>
        </w:rPr>
        <w:t>187</w:t>
      </w:r>
      <w:r w:rsidR="0086014C" w:rsidRPr="006030FA">
        <w:rPr>
          <w:rFonts w:ascii="Arial" w:eastAsia="Calibri" w:hAnsi="Arial" w:cs="Arial"/>
          <w:lang w:val="sr-Latn-CS"/>
        </w:rPr>
        <w:t xml:space="preserve"> </w:t>
      </w:r>
      <w:r w:rsidR="006030FA">
        <w:rPr>
          <w:rFonts w:ascii="Arial" w:eastAsia="Calibri" w:hAnsi="Arial" w:cs="Arial"/>
          <w:lang w:val="sr-Latn-CS"/>
        </w:rPr>
        <w:t>600</w:t>
      </w:r>
      <w:r w:rsidRPr="006030FA">
        <w:rPr>
          <w:rFonts w:ascii="Arial" w:eastAsia="Calibri" w:hAnsi="Arial" w:cs="Arial"/>
          <w:lang w:val="sr-Latn-CS"/>
        </w:rPr>
        <w:t xml:space="preserve"> m</w:t>
      </w:r>
      <w:r w:rsidRPr="006030FA">
        <w:rPr>
          <w:rFonts w:ascii="Arial" w:eastAsia="Calibri" w:hAnsi="Arial" w:cs="Arial"/>
          <w:vertAlign w:val="superscript"/>
          <w:lang w:val="sr-Latn-CS"/>
        </w:rPr>
        <w:t xml:space="preserve">3 </w:t>
      </w:r>
      <w:r w:rsidRPr="006030FA">
        <w:rPr>
          <w:rFonts w:ascii="Arial" w:eastAsia="Calibri" w:hAnsi="Arial" w:cs="Arial"/>
          <w:lang w:val="sr-Latn-CS"/>
        </w:rPr>
        <w:t xml:space="preserve">č.s.m, </w:t>
      </w:r>
      <w:r w:rsidRPr="006030FA">
        <w:rPr>
          <w:rFonts w:ascii="Arial" w:hAnsi="Arial" w:cs="Arial"/>
          <w:lang w:val="sr-Latn-CS"/>
        </w:rPr>
        <w:t xml:space="preserve">odnosno </w:t>
      </w:r>
      <w:r w:rsidR="001850F7" w:rsidRPr="006030FA">
        <w:rPr>
          <w:rFonts w:ascii="Arial" w:hAnsi="Arial" w:cs="Arial"/>
          <w:lang w:val="sr-Latn-CS"/>
        </w:rPr>
        <w:t>28</w:t>
      </w:r>
      <w:r w:rsidR="0042571B" w:rsidRPr="006030FA">
        <w:rPr>
          <w:rFonts w:ascii="Arial" w:hAnsi="Arial" w:cs="Arial"/>
          <w:lang w:val="sr-Latn-CS"/>
        </w:rPr>
        <w:t xml:space="preserve"> 0</w:t>
      </w:r>
      <w:r w:rsidRPr="006030FA">
        <w:rPr>
          <w:rFonts w:ascii="Arial" w:hAnsi="Arial" w:cs="Arial"/>
          <w:lang w:val="sr-Latn-CS"/>
        </w:rPr>
        <w:t>00 m</w:t>
      </w:r>
      <w:r w:rsidRPr="006030FA">
        <w:rPr>
          <w:rFonts w:ascii="Arial" w:hAnsi="Arial" w:cs="Arial"/>
          <w:vertAlign w:val="superscript"/>
          <w:lang w:val="sr-Latn-CS"/>
        </w:rPr>
        <w:t xml:space="preserve">3 </w:t>
      </w:r>
      <w:r w:rsidRPr="006030FA">
        <w:rPr>
          <w:rFonts w:ascii="Arial" w:hAnsi="Arial" w:cs="Arial"/>
          <w:lang w:val="sr-Latn-CS"/>
        </w:rPr>
        <w:t xml:space="preserve">komercijalnih blokova </w:t>
      </w:r>
      <w:r w:rsidR="00BE7D1A" w:rsidRPr="006030FA">
        <w:rPr>
          <w:rFonts w:ascii="Arial" w:hAnsi="Arial" w:cs="Arial"/>
          <w:lang w:val="sr-Latn-CS"/>
        </w:rPr>
        <w:t>i tombolona</w:t>
      </w:r>
      <w:r w:rsidR="009F7581">
        <w:rPr>
          <w:rFonts w:ascii="Arial" w:hAnsi="Arial" w:cs="Arial"/>
          <w:lang w:val="sr-Latn-CS"/>
        </w:rPr>
        <w:t xml:space="preserve">. </w:t>
      </w:r>
    </w:p>
    <w:p w14:paraId="294A9749" w14:textId="77777777" w:rsidR="00FE4A99" w:rsidRDefault="00FE4A99" w:rsidP="005E683D">
      <w:pPr>
        <w:spacing w:after="0" w:line="240" w:lineRule="auto"/>
        <w:jc w:val="both"/>
        <w:rPr>
          <w:rFonts w:ascii="Arial" w:hAnsi="Arial" w:cs="Arial"/>
          <w:lang w:val="sr-Latn-CS"/>
        </w:rPr>
      </w:pPr>
    </w:p>
    <w:p w14:paraId="2BFA9572" w14:textId="6AE85BB4" w:rsidR="00632B4D" w:rsidRPr="006030FA" w:rsidRDefault="00632B4D" w:rsidP="005E683D">
      <w:pPr>
        <w:spacing w:after="0" w:line="240" w:lineRule="auto"/>
        <w:jc w:val="both"/>
        <w:rPr>
          <w:rFonts w:ascii="Arial" w:eastAsia="Calibri" w:hAnsi="Arial" w:cs="Arial"/>
          <w:lang w:val="sr-Latn-CS"/>
        </w:rPr>
      </w:pPr>
      <w:r w:rsidRPr="006030FA">
        <w:rPr>
          <w:rFonts w:ascii="Arial" w:eastAsia="Calibri" w:hAnsi="Arial" w:cs="Arial"/>
          <w:lang w:val="sr-Latn-CS"/>
        </w:rPr>
        <w:t>To znači, da rezerve</w:t>
      </w:r>
      <w:r w:rsidR="00BE7D1A" w:rsidRPr="006030FA">
        <w:rPr>
          <w:rFonts w:ascii="Arial" w:eastAsia="Calibri" w:hAnsi="Arial" w:cs="Arial"/>
          <w:lang w:val="sr-Latn-CS"/>
        </w:rPr>
        <w:t xml:space="preserve"> </w:t>
      </w:r>
      <w:proofErr w:type="spellStart"/>
      <w:r w:rsidR="00915985">
        <w:rPr>
          <w:rFonts w:ascii="Arial" w:hAnsi="Arial" w:cs="Arial"/>
          <w:iCs/>
        </w:rPr>
        <w:t>prikazane</w:t>
      </w:r>
      <w:proofErr w:type="spellEnd"/>
      <w:r w:rsidR="00915985">
        <w:rPr>
          <w:rFonts w:ascii="Arial" w:hAnsi="Arial" w:cs="Arial"/>
          <w:iCs/>
        </w:rPr>
        <w:t xml:space="preserve"> </w:t>
      </w:r>
      <w:r w:rsidR="00915985">
        <w:rPr>
          <w:rFonts w:ascii="Arial" w:hAnsi="Arial" w:cs="Arial"/>
        </w:rPr>
        <w:t>u</w:t>
      </w:r>
      <w:r w:rsidR="00915985" w:rsidRPr="00AD2209">
        <w:rPr>
          <w:rFonts w:ascii="Arial" w:hAnsi="Arial" w:cs="Arial"/>
        </w:rPr>
        <w:t xml:space="preserve"> </w:t>
      </w:r>
      <w:proofErr w:type="spellStart"/>
      <w:r w:rsidR="00915985" w:rsidRPr="00AD2209">
        <w:rPr>
          <w:rFonts w:ascii="Arial" w:hAnsi="Arial" w:cs="Arial"/>
        </w:rPr>
        <w:t>Elaboratu</w:t>
      </w:r>
      <w:proofErr w:type="spellEnd"/>
      <w:r w:rsidR="00915985" w:rsidRPr="00AD2209">
        <w:rPr>
          <w:rFonts w:ascii="Arial" w:hAnsi="Arial" w:cs="Arial"/>
        </w:rPr>
        <w:t xml:space="preserve"> </w:t>
      </w:r>
      <w:proofErr w:type="spellStart"/>
      <w:r w:rsidR="00915985" w:rsidRPr="00AD2209">
        <w:rPr>
          <w:rFonts w:ascii="Arial" w:hAnsi="Arial" w:cs="Arial"/>
        </w:rPr>
        <w:t>iz</w:t>
      </w:r>
      <w:proofErr w:type="spellEnd"/>
      <w:r w:rsidR="00915985" w:rsidRPr="00AD2209">
        <w:rPr>
          <w:rFonts w:ascii="Arial" w:hAnsi="Arial" w:cs="Arial"/>
        </w:rPr>
        <w:t xml:space="preserve"> </w:t>
      </w:r>
      <w:r w:rsidR="00915985">
        <w:rPr>
          <w:rFonts w:ascii="Arial" w:hAnsi="Arial" w:cs="Arial"/>
        </w:rPr>
        <w:t>2005</w:t>
      </w:r>
      <w:r w:rsidR="00915985" w:rsidRPr="00AD2209">
        <w:rPr>
          <w:rFonts w:ascii="Arial" w:hAnsi="Arial" w:cs="Arial"/>
        </w:rPr>
        <w:t xml:space="preserve">. </w:t>
      </w:r>
      <w:proofErr w:type="spellStart"/>
      <w:r w:rsidR="00915985" w:rsidRPr="00AD2209">
        <w:rPr>
          <w:rFonts w:ascii="Arial" w:hAnsi="Arial" w:cs="Arial"/>
        </w:rPr>
        <w:t>godine</w:t>
      </w:r>
      <w:proofErr w:type="spellEnd"/>
      <w:r w:rsidR="00915985" w:rsidRPr="00B92E77">
        <w:rPr>
          <w:rFonts w:ascii="Arial" w:hAnsi="Arial" w:cs="Arial"/>
        </w:rPr>
        <w:t xml:space="preserve"> </w:t>
      </w:r>
      <w:r w:rsidR="00915985">
        <w:rPr>
          <w:rFonts w:ascii="Arial" w:hAnsi="Arial" w:cs="Arial"/>
        </w:rPr>
        <w:t xml:space="preserve">od </w:t>
      </w:r>
      <w:r w:rsidR="00BF2A9F" w:rsidRPr="00B92E77">
        <w:rPr>
          <w:rFonts w:ascii="Arial" w:hAnsi="Arial" w:cs="Arial"/>
        </w:rPr>
        <w:t xml:space="preserve">1 228 500 </w:t>
      </w:r>
      <w:r w:rsidR="00BE7D1A" w:rsidRPr="006030FA">
        <w:rPr>
          <w:rFonts w:ascii="Arial" w:hAnsi="Arial" w:cs="Arial"/>
        </w:rPr>
        <w:t>m</w:t>
      </w:r>
      <w:r w:rsidR="00BE7D1A" w:rsidRPr="006030FA">
        <w:rPr>
          <w:rFonts w:ascii="Arial" w:hAnsi="Arial" w:cs="Arial"/>
          <w:vertAlign w:val="superscript"/>
        </w:rPr>
        <w:t>3</w:t>
      </w:r>
      <w:r w:rsidR="00BE7D1A" w:rsidRPr="006030FA">
        <w:rPr>
          <w:rFonts w:ascii="Arial" w:hAnsi="Arial" w:cs="Arial"/>
        </w:rPr>
        <w:t xml:space="preserve"> </w:t>
      </w:r>
      <w:r w:rsidR="00BE7D1A" w:rsidRPr="006030FA">
        <w:rPr>
          <w:rFonts w:ascii="Arial" w:eastAsia="Calibri" w:hAnsi="Arial" w:cs="Arial"/>
          <w:lang w:val="sr-Latn-CS"/>
        </w:rPr>
        <w:t>č.s.m</w:t>
      </w:r>
      <w:r w:rsidR="00D90CC6">
        <w:rPr>
          <w:rFonts w:ascii="Arial" w:eastAsia="Calibri" w:hAnsi="Arial" w:cs="Arial"/>
          <w:lang w:val="sr-Latn-CS"/>
        </w:rPr>
        <w:t>.</w:t>
      </w:r>
      <w:r w:rsidR="00BE7D1A" w:rsidRPr="006030FA">
        <w:rPr>
          <w:rFonts w:ascii="Arial" w:eastAsia="Calibri" w:hAnsi="Arial" w:cs="Arial"/>
          <w:lang w:val="sr-Latn-CS"/>
        </w:rPr>
        <w:t xml:space="preserve"> </w:t>
      </w:r>
      <w:r w:rsidRPr="006030FA">
        <w:rPr>
          <w:rFonts w:ascii="Arial" w:eastAsia="Calibri" w:hAnsi="Arial" w:cs="Arial"/>
          <w:lang w:val="sr-Latn-CS"/>
        </w:rPr>
        <w:t xml:space="preserve">daju mogućnost rada na ovom </w:t>
      </w:r>
      <w:r w:rsidR="00BE7D1A" w:rsidRPr="006030FA">
        <w:rPr>
          <w:rFonts w:ascii="Arial" w:eastAsia="Calibri" w:hAnsi="Arial" w:cs="Arial"/>
          <w:lang w:val="sr-Latn-CS"/>
        </w:rPr>
        <w:t>ležištu,</w:t>
      </w:r>
      <w:r w:rsidRPr="006030FA">
        <w:rPr>
          <w:rFonts w:ascii="Arial" w:eastAsia="Calibri" w:hAnsi="Arial" w:cs="Arial"/>
          <w:lang w:val="sr-Latn-CS"/>
        </w:rPr>
        <w:t xml:space="preserve"> ne samo za predviđeni period trajanja koncesije</w:t>
      </w:r>
      <w:r w:rsidR="00BE7D1A" w:rsidRPr="006030FA">
        <w:rPr>
          <w:rFonts w:ascii="Arial" w:eastAsia="Calibri" w:hAnsi="Arial" w:cs="Arial"/>
          <w:lang w:val="sr-Latn-CS"/>
        </w:rPr>
        <w:t>,</w:t>
      </w:r>
      <w:r w:rsidRPr="006030FA">
        <w:rPr>
          <w:rFonts w:ascii="Arial" w:eastAsia="Calibri" w:hAnsi="Arial" w:cs="Arial"/>
          <w:lang w:val="sr-Latn-CS"/>
        </w:rPr>
        <w:t xml:space="preserve"> nego </w:t>
      </w:r>
      <w:r w:rsidR="00BE7D1A" w:rsidRPr="006030FA">
        <w:rPr>
          <w:rFonts w:ascii="Arial" w:eastAsia="Calibri" w:hAnsi="Arial" w:cs="Arial"/>
          <w:lang w:val="sr-Latn-CS"/>
        </w:rPr>
        <w:t xml:space="preserve">i </w:t>
      </w:r>
      <w:r w:rsidR="006030FA" w:rsidRPr="006030FA">
        <w:rPr>
          <w:rFonts w:ascii="Arial" w:eastAsia="Calibri" w:hAnsi="Arial" w:cs="Arial"/>
          <w:lang w:val="sr-Latn-CS"/>
        </w:rPr>
        <w:t xml:space="preserve">mnogo </w:t>
      </w:r>
      <w:r w:rsidRPr="006030FA">
        <w:rPr>
          <w:rFonts w:ascii="Arial" w:eastAsia="Calibri" w:hAnsi="Arial" w:cs="Arial"/>
          <w:lang w:val="sr-Latn-CS"/>
        </w:rPr>
        <w:t xml:space="preserve">duže. </w:t>
      </w:r>
    </w:p>
    <w:p w14:paraId="15760A39" w14:textId="77777777" w:rsidR="00632B4D" w:rsidRDefault="00632B4D" w:rsidP="005E683D">
      <w:pPr>
        <w:spacing w:after="0" w:line="240" w:lineRule="auto"/>
        <w:jc w:val="both"/>
        <w:rPr>
          <w:rFonts w:ascii="Arial" w:eastAsia="Calibri" w:hAnsi="Arial" w:cs="Arial"/>
          <w:lang w:val="sr-Latn-CS"/>
        </w:rPr>
      </w:pPr>
    </w:p>
    <w:p w14:paraId="4D01B168" w14:textId="6F12E599" w:rsidR="009F7581" w:rsidRPr="00FE4A99" w:rsidRDefault="00FE4A99" w:rsidP="005E683D">
      <w:pPr>
        <w:spacing w:after="0" w:line="240" w:lineRule="auto"/>
        <w:jc w:val="both"/>
        <w:rPr>
          <w:rFonts w:ascii="Arial" w:hAnsi="Arial" w:cs="Arial"/>
          <w:lang w:val="sr-Latn-CS"/>
        </w:rPr>
      </w:pPr>
      <w:r w:rsidRPr="008F027E">
        <w:rPr>
          <w:rFonts w:ascii="Arial" w:hAnsi="Arial" w:cs="Arial"/>
          <w:color w:val="000000"/>
          <w:lang w:val="sr-Latn-CS"/>
        </w:rPr>
        <w:t>Naravno</w:t>
      </w:r>
      <w:r>
        <w:rPr>
          <w:rFonts w:ascii="Arial" w:hAnsi="Arial" w:cs="Arial"/>
          <w:color w:val="000000"/>
          <w:lang w:val="sr-Latn-CS"/>
        </w:rPr>
        <w:t>,</w:t>
      </w:r>
      <w:r w:rsidR="00915985">
        <w:rPr>
          <w:rFonts w:ascii="Arial" w:hAnsi="Arial" w:cs="Arial"/>
          <w:color w:val="000000"/>
          <w:lang w:val="sr-Latn-CS"/>
        </w:rPr>
        <w:t xml:space="preserve"> </w:t>
      </w:r>
      <w:r>
        <w:rPr>
          <w:rFonts w:ascii="Arial" w:hAnsi="Arial" w:cs="Arial"/>
          <w:lang w:val="pl-PL"/>
        </w:rPr>
        <w:t>da</w:t>
      </w:r>
      <w:r w:rsidR="009F7581" w:rsidRPr="008F027E">
        <w:rPr>
          <w:rFonts w:ascii="Arial" w:hAnsi="Arial" w:cs="Arial"/>
          <w:lang w:val="pl-PL"/>
        </w:rPr>
        <w:t xml:space="preserve"> bi se dostigao optimalni stepen poznavanja ležišta, u smislu postojanja rezervi viših kategorija,</w:t>
      </w:r>
      <w:r>
        <w:rPr>
          <w:rFonts w:ascii="Arial" w:hAnsi="Arial" w:cs="Arial"/>
          <w:lang w:val="pl-PL"/>
        </w:rPr>
        <w:t xml:space="preserve"> iskorišćenja stijenske mase,</w:t>
      </w:r>
      <w:r w:rsidR="009F7581" w:rsidRPr="008F027E">
        <w:rPr>
          <w:rFonts w:ascii="Arial" w:hAnsi="Arial" w:cs="Arial"/>
          <w:lang w:val="pl-PL"/>
        </w:rPr>
        <w:t xml:space="preserve"> ispitivanja njihovih kvalitativnih svojstava, ležišnih uslova, i u vezi sa tim mogućnosti primjene i plasmana na tržištu, potrebno je izvršiti detaljna geološka istraživanja, na način i sa obimom koji će se definisati Projektom detaljnih geoloških</w:t>
      </w:r>
      <w:r>
        <w:rPr>
          <w:rFonts w:ascii="Arial" w:hAnsi="Arial" w:cs="Arial"/>
          <w:lang w:val="pl-PL"/>
        </w:rPr>
        <w:t xml:space="preserve"> istraživanja.</w:t>
      </w:r>
      <w:r w:rsidR="009F7581" w:rsidRPr="008F027E">
        <w:rPr>
          <w:rFonts w:ascii="Arial" w:hAnsi="Arial" w:cs="Arial"/>
          <w:lang w:val="pl-PL"/>
        </w:rPr>
        <w:t xml:space="preserve"> </w:t>
      </w:r>
    </w:p>
    <w:p w14:paraId="247759DC" w14:textId="77777777" w:rsidR="009F7581" w:rsidRPr="006030FA" w:rsidRDefault="009F7581" w:rsidP="005E683D">
      <w:pPr>
        <w:spacing w:after="0" w:line="240" w:lineRule="auto"/>
        <w:jc w:val="both"/>
        <w:rPr>
          <w:rFonts w:ascii="Arial" w:eastAsia="Calibri" w:hAnsi="Arial" w:cs="Arial"/>
          <w:lang w:val="sr-Latn-CS"/>
        </w:rPr>
      </w:pPr>
    </w:p>
    <w:p w14:paraId="4743F760" w14:textId="77777777" w:rsidR="00632B4D" w:rsidRPr="006030FA" w:rsidRDefault="00632B4D" w:rsidP="005E683D">
      <w:pPr>
        <w:spacing w:after="0" w:line="240" w:lineRule="auto"/>
        <w:jc w:val="both"/>
        <w:rPr>
          <w:rFonts w:ascii="Arial" w:eastAsia="Calibri" w:hAnsi="Arial" w:cs="Arial"/>
          <w:lang w:val="sr-Latn-CS"/>
        </w:rPr>
      </w:pPr>
      <w:r w:rsidRPr="006030FA">
        <w:rPr>
          <w:rFonts w:ascii="Arial" w:eastAsia="Calibri" w:hAnsi="Arial" w:cs="Arial"/>
          <w:lang w:val="sr-Latn-CS"/>
        </w:rPr>
        <w:t>S obzirom na utvrđene rezerve, konfiguraciju terena, mogući razvoj kopa i druge povoljnosti, godišnji kapacitet se može povećati u odnosu na početni - minimalni godišnji kapacitet. To predstavlja značajnu povoljnost za ponuđače.</w:t>
      </w:r>
    </w:p>
    <w:p w14:paraId="03C44CEC" w14:textId="77777777" w:rsidR="00BE7D1A" w:rsidRPr="00390111" w:rsidRDefault="00BE7D1A" w:rsidP="005E683D">
      <w:pPr>
        <w:spacing w:after="0" w:line="240" w:lineRule="auto"/>
        <w:jc w:val="both"/>
        <w:rPr>
          <w:rFonts w:ascii="Arial" w:eastAsia="Calibri" w:hAnsi="Arial" w:cs="Arial"/>
          <w:color w:val="FF0000"/>
          <w:lang w:val="sr-Latn-CS"/>
        </w:rPr>
      </w:pPr>
    </w:p>
    <w:p w14:paraId="169B6ECD" w14:textId="77777777" w:rsidR="00744584" w:rsidRPr="00205A29" w:rsidRDefault="00744584" w:rsidP="005E683D">
      <w:pPr>
        <w:pStyle w:val="Heading2"/>
        <w:numPr>
          <w:ilvl w:val="1"/>
          <w:numId w:val="20"/>
        </w:numPr>
      </w:pPr>
      <w:bookmarkStart w:id="15" w:name="_Toc402262938"/>
      <w:r w:rsidRPr="00205A29">
        <w:t>Opis tehničko-tehnološkog procesa eksploatacije</w:t>
      </w:r>
      <w:bookmarkEnd w:id="15"/>
    </w:p>
    <w:p w14:paraId="63F65A87" w14:textId="77777777" w:rsidR="00744584" w:rsidRPr="00205A29" w:rsidRDefault="00744584" w:rsidP="005E683D">
      <w:pPr>
        <w:spacing w:after="0" w:line="240" w:lineRule="auto"/>
        <w:jc w:val="both"/>
        <w:rPr>
          <w:rFonts w:ascii="Arial" w:hAnsi="Arial" w:cs="Arial"/>
          <w:lang w:val="sr-Latn-CS"/>
        </w:rPr>
      </w:pPr>
    </w:p>
    <w:p w14:paraId="3BCA3DC8" w14:textId="77777777" w:rsidR="00BE7D1A" w:rsidRPr="00714FCC" w:rsidRDefault="00BE7D1A" w:rsidP="005E683D">
      <w:pPr>
        <w:pStyle w:val="Default"/>
        <w:jc w:val="both"/>
        <w:rPr>
          <w:rFonts w:ascii="Arial" w:hAnsi="Arial" w:cs="Arial"/>
          <w:color w:val="auto"/>
          <w:sz w:val="22"/>
          <w:szCs w:val="22"/>
          <w:lang w:val="sr-Latn-CS"/>
        </w:rPr>
      </w:pPr>
      <w:r>
        <w:rPr>
          <w:rFonts w:ascii="Arial" w:hAnsi="Arial" w:cs="Arial"/>
          <w:color w:val="auto"/>
          <w:sz w:val="22"/>
          <w:szCs w:val="22"/>
          <w:lang w:val="sr-Latn-CS"/>
        </w:rPr>
        <w:t xml:space="preserve">Na ovom ležištu tip površinskog kopa </w:t>
      </w:r>
      <w:r w:rsidRPr="00714FCC">
        <w:rPr>
          <w:rFonts w:ascii="Arial" w:hAnsi="Arial" w:cs="Arial"/>
          <w:color w:val="auto"/>
          <w:sz w:val="22"/>
          <w:szCs w:val="22"/>
          <w:lang w:val="sr-Latn-CS"/>
        </w:rPr>
        <w:t>je tipično brds</w:t>
      </w:r>
      <w:r>
        <w:rPr>
          <w:rFonts w:ascii="Arial" w:hAnsi="Arial" w:cs="Arial"/>
          <w:color w:val="auto"/>
          <w:sz w:val="22"/>
          <w:szCs w:val="22"/>
          <w:lang w:val="sr-Latn-CS"/>
        </w:rPr>
        <w:t>ki,</w:t>
      </w:r>
      <w:r w:rsidRPr="00714FCC">
        <w:rPr>
          <w:rFonts w:ascii="Arial" w:hAnsi="Arial" w:cs="Arial"/>
          <w:color w:val="auto"/>
          <w:sz w:val="22"/>
          <w:szCs w:val="22"/>
          <w:lang w:val="sr-Latn-CS"/>
        </w:rPr>
        <w:t xml:space="preserve"> </w:t>
      </w:r>
      <w:r>
        <w:rPr>
          <w:rFonts w:ascii="Arial" w:hAnsi="Arial" w:cs="Arial"/>
          <w:color w:val="auto"/>
          <w:sz w:val="22"/>
          <w:szCs w:val="22"/>
          <w:lang w:val="sr-Latn-CS"/>
        </w:rPr>
        <w:t>što</w:t>
      </w:r>
      <w:r w:rsidRPr="00714FCC">
        <w:rPr>
          <w:rFonts w:ascii="Arial" w:hAnsi="Arial" w:cs="Arial"/>
          <w:color w:val="auto"/>
          <w:sz w:val="22"/>
          <w:szCs w:val="22"/>
          <w:lang w:val="sr-Latn-CS"/>
        </w:rPr>
        <w:t xml:space="preserve"> omogućuje primjenu klasične tehnologije na kopu, eksploatacija </w:t>
      </w:r>
      <w:r>
        <w:rPr>
          <w:rFonts w:ascii="Arial" w:hAnsi="Arial" w:cs="Arial"/>
          <w:color w:val="auto"/>
          <w:sz w:val="22"/>
          <w:szCs w:val="22"/>
          <w:lang w:val="sr-Latn-CS"/>
        </w:rPr>
        <w:t>arhitektonsko-građevinskog kamena</w:t>
      </w:r>
      <w:r w:rsidRPr="00714FCC">
        <w:rPr>
          <w:rFonts w:ascii="Arial" w:hAnsi="Arial" w:cs="Arial"/>
          <w:color w:val="auto"/>
          <w:sz w:val="22"/>
          <w:szCs w:val="22"/>
          <w:lang w:val="sr-Latn-CS"/>
        </w:rPr>
        <w:t xml:space="preserve"> vršiće se od najvisočije etaže prema najnižoj.</w:t>
      </w:r>
    </w:p>
    <w:p w14:paraId="58B0E504" w14:textId="77777777" w:rsidR="00BE7D1A" w:rsidRPr="00714FCC" w:rsidRDefault="00BE7D1A" w:rsidP="005E683D">
      <w:pPr>
        <w:pStyle w:val="Default"/>
        <w:jc w:val="both"/>
        <w:rPr>
          <w:rFonts w:ascii="Arial" w:hAnsi="Arial" w:cs="Arial"/>
          <w:color w:val="auto"/>
          <w:sz w:val="22"/>
          <w:szCs w:val="22"/>
          <w:lang w:val="sr-Latn-CS"/>
        </w:rPr>
      </w:pPr>
      <w:r w:rsidRPr="00714FCC">
        <w:rPr>
          <w:rFonts w:ascii="Arial" w:hAnsi="Arial" w:cs="Arial"/>
          <w:color w:val="auto"/>
          <w:sz w:val="22"/>
          <w:szCs w:val="22"/>
          <w:lang w:val="sr-Latn-CS"/>
        </w:rPr>
        <w:t>Tehnološki proces rada na površinskom kopu sastoji se od radnih operacija:</w:t>
      </w:r>
    </w:p>
    <w:p w14:paraId="154EAF9C" w14:textId="77777777" w:rsidR="00BE7D1A" w:rsidRPr="00714FCC" w:rsidRDefault="00BE7D1A" w:rsidP="005E683D">
      <w:pPr>
        <w:pStyle w:val="Default"/>
        <w:jc w:val="both"/>
        <w:rPr>
          <w:rFonts w:ascii="Arial" w:hAnsi="Arial" w:cs="Arial"/>
          <w:color w:val="auto"/>
          <w:sz w:val="22"/>
          <w:szCs w:val="22"/>
          <w:lang w:val="sr-Latn-CS"/>
        </w:rPr>
      </w:pPr>
    </w:p>
    <w:p w14:paraId="06B3AF65" w14:textId="77777777" w:rsidR="00BE7D1A" w:rsidRPr="00714FCC" w:rsidRDefault="00BE7D1A" w:rsidP="005E683D">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 xml:space="preserve">pripremni radovi, </w:t>
      </w:r>
    </w:p>
    <w:p w14:paraId="365C6040" w14:textId="77777777" w:rsidR="00BE7D1A" w:rsidRDefault="00BE7D1A" w:rsidP="005E683D">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bušenje</w:t>
      </w:r>
      <w:r>
        <w:rPr>
          <w:rFonts w:ascii="Arial" w:hAnsi="Arial" w:cs="Arial"/>
          <w:color w:val="auto"/>
          <w:sz w:val="22"/>
          <w:szCs w:val="22"/>
          <w:lang w:val="sr-Latn-CS"/>
        </w:rPr>
        <w:t xml:space="preserve"> i miniranje</w:t>
      </w:r>
      <w:r w:rsidRPr="00714FCC">
        <w:rPr>
          <w:rFonts w:ascii="Arial" w:hAnsi="Arial" w:cs="Arial"/>
          <w:color w:val="auto"/>
          <w:sz w:val="22"/>
          <w:szCs w:val="22"/>
          <w:lang w:val="sr-Latn-CS"/>
        </w:rPr>
        <w:t>,</w:t>
      </w:r>
    </w:p>
    <w:p w14:paraId="10E557B0" w14:textId="77777777" w:rsidR="00BE7D1A" w:rsidRPr="00FA37AB" w:rsidRDefault="00BE7D1A" w:rsidP="005E683D">
      <w:pPr>
        <w:pStyle w:val="Default"/>
        <w:numPr>
          <w:ilvl w:val="0"/>
          <w:numId w:val="3"/>
        </w:numPr>
        <w:ind w:left="0" w:firstLine="0"/>
        <w:jc w:val="both"/>
        <w:rPr>
          <w:rFonts w:ascii="Arial" w:hAnsi="Arial" w:cs="Arial"/>
          <w:color w:val="auto"/>
          <w:sz w:val="22"/>
          <w:szCs w:val="22"/>
          <w:lang w:val="sr-Latn-CS"/>
        </w:rPr>
      </w:pPr>
      <w:r>
        <w:rPr>
          <w:rFonts w:ascii="Arial" w:hAnsi="Arial" w:cs="Arial"/>
          <w:color w:val="auto"/>
          <w:sz w:val="22"/>
          <w:szCs w:val="22"/>
          <w:lang w:val="sr-Latn-CS"/>
        </w:rPr>
        <w:t>r</w:t>
      </w:r>
      <w:r w:rsidRPr="002C64A1">
        <w:rPr>
          <w:rFonts w:ascii="Arial" w:hAnsi="Arial" w:cs="Arial"/>
          <w:color w:val="auto"/>
          <w:sz w:val="22"/>
          <w:szCs w:val="22"/>
          <w:lang w:val="sr-Latn-CS"/>
        </w:rPr>
        <w:t>ezanje komercijalnog bloka</w:t>
      </w:r>
      <w:r>
        <w:rPr>
          <w:rFonts w:ascii="Arial" w:hAnsi="Arial" w:cs="Arial"/>
          <w:color w:val="auto"/>
          <w:sz w:val="22"/>
          <w:szCs w:val="22"/>
          <w:lang w:val="sr-Latn-CS"/>
        </w:rPr>
        <w:t xml:space="preserve"> i tombolona</w:t>
      </w:r>
      <w:r w:rsidRPr="00714FCC">
        <w:rPr>
          <w:rFonts w:ascii="Arial" w:hAnsi="Arial" w:cs="Arial"/>
          <w:color w:val="auto"/>
          <w:sz w:val="22"/>
          <w:szCs w:val="22"/>
          <w:lang w:val="sr-Latn-CS"/>
        </w:rPr>
        <w:t xml:space="preserve"> </w:t>
      </w:r>
    </w:p>
    <w:p w14:paraId="4961A5A5" w14:textId="77777777" w:rsidR="00BE7D1A" w:rsidRDefault="00BE7D1A" w:rsidP="005E683D">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utovar</w:t>
      </w:r>
      <w:r>
        <w:rPr>
          <w:rFonts w:ascii="Arial" w:hAnsi="Arial" w:cs="Arial"/>
          <w:color w:val="auto"/>
          <w:sz w:val="22"/>
          <w:szCs w:val="22"/>
          <w:lang w:val="sr-Latn-CS"/>
        </w:rPr>
        <w:t xml:space="preserve"> i transport</w:t>
      </w:r>
      <w:r w:rsidRPr="00714FCC">
        <w:rPr>
          <w:rFonts w:ascii="Arial" w:hAnsi="Arial" w:cs="Arial"/>
          <w:color w:val="auto"/>
          <w:sz w:val="22"/>
          <w:szCs w:val="22"/>
          <w:lang w:val="sr-Latn-CS"/>
        </w:rPr>
        <w:t xml:space="preserve">, </w:t>
      </w:r>
    </w:p>
    <w:p w14:paraId="421C9950" w14:textId="77777777" w:rsidR="00BE7D1A" w:rsidRPr="00714FCC" w:rsidRDefault="00BE7D1A" w:rsidP="005E683D">
      <w:pPr>
        <w:pStyle w:val="Default"/>
        <w:jc w:val="both"/>
        <w:rPr>
          <w:rFonts w:ascii="Arial" w:hAnsi="Arial" w:cs="Arial"/>
          <w:color w:val="auto"/>
          <w:sz w:val="22"/>
          <w:szCs w:val="22"/>
          <w:lang w:val="sr-Latn-CS"/>
        </w:rPr>
      </w:pPr>
    </w:p>
    <w:p w14:paraId="5E325AE4" w14:textId="5993AECC" w:rsidR="00BE7D1A" w:rsidRDefault="00BE7D1A" w:rsidP="005E683D">
      <w:pPr>
        <w:pStyle w:val="Default"/>
        <w:numPr>
          <w:ilvl w:val="0"/>
          <w:numId w:val="4"/>
        </w:numPr>
        <w:ind w:left="0" w:firstLine="0"/>
        <w:jc w:val="both"/>
        <w:rPr>
          <w:rFonts w:ascii="Arial" w:hAnsi="Arial" w:cs="Arial"/>
          <w:b/>
          <w:bCs/>
          <w:i/>
          <w:iCs/>
          <w:color w:val="auto"/>
          <w:sz w:val="22"/>
          <w:szCs w:val="22"/>
          <w:lang w:val="sr-Latn-CS"/>
        </w:rPr>
      </w:pPr>
      <w:r w:rsidRPr="00714FCC">
        <w:rPr>
          <w:rFonts w:ascii="Arial" w:hAnsi="Arial" w:cs="Arial"/>
          <w:b/>
          <w:bCs/>
          <w:i/>
          <w:iCs/>
          <w:color w:val="auto"/>
          <w:sz w:val="22"/>
          <w:szCs w:val="22"/>
          <w:lang w:val="sr-Latn-CS"/>
        </w:rPr>
        <w:t>Pripremni radovi</w:t>
      </w:r>
    </w:p>
    <w:p w14:paraId="4CD5CBF2" w14:textId="77777777" w:rsidR="00BE7D1A" w:rsidRDefault="00BE7D1A" w:rsidP="005E683D">
      <w:pPr>
        <w:pStyle w:val="Default"/>
        <w:jc w:val="both"/>
        <w:rPr>
          <w:rFonts w:ascii="Arial" w:hAnsi="Arial" w:cs="Arial"/>
          <w:b/>
          <w:bCs/>
          <w:i/>
          <w:iCs/>
          <w:color w:val="auto"/>
          <w:sz w:val="22"/>
          <w:szCs w:val="22"/>
          <w:lang w:val="sr-Latn-CS"/>
        </w:rPr>
      </w:pPr>
    </w:p>
    <w:p w14:paraId="40FDEB11" w14:textId="77777777" w:rsidR="00BE7D1A" w:rsidRPr="00B74B32" w:rsidRDefault="00BE7D1A" w:rsidP="005E683D">
      <w:pPr>
        <w:pStyle w:val="Default"/>
        <w:jc w:val="both"/>
        <w:rPr>
          <w:rFonts w:ascii="Arial" w:hAnsi="Arial" w:cs="Arial"/>
          <w:color w:val="auto"/>
          <w:sz w:val="22"/>
          <w:szCs w:val="22"/>
          <w:lang w:val="sr-Latn-CS"/>
        </w:rPr>
      </w:pPr>
      <w:r w:rsidRPr="00B74B32">
        <w:rPr>
          <w:rFonts w:ascii="Arial" w:hAnsi="Arial" w:cs="Arial"/>
          <w:color w:val="auto"/>
          <w:sz w:val="22"/>
          <w:szCs w:val="22"/>
          <w:lang w:val="sr-Latn-CS"/>
        </w:rPr>
        <w:t>Pripremni radovi obuhvataju: izrada pristupnog puta, čišćenje i ravnanje terena, izradu objekta otvaranja i pripremu prostora za jalovnik. Pripremni radovi izvodiće se bagerom kašikarom sa dubinskom korpom i pikamerom, utovarivačem i kamionom</w:t>
      </w:r>
    </w:p>
    <w:p w14:paraId="682FB115" w14:textId="77777777" w:rsidR="00BE7D1A" w:rsidRPr="00714FCC" w:rsidRDefault="00BE7D1A" w:rsidP="005E683D">
      <w:pPr>
        <w:pStyle w:val="Default"/>
        <w:jc w:val="both"/>
        <w:rPr>
          <w:rFonts w:ascii="Arial" w:hAnsi="Arial" w:cs="Arial"/>
          <w:color w:val="auto"/>
          <w:sz w:val="22"/>
          <w:szCs w:val="22"/>
          <w:lang w:val="sr-Latn-CS"/>
        </w:rPr>
      </w:pPr>
    </w:p>
    <w:p w14:paraId="08A95E88" w14:textId="77777777" w:rsidR="00BE7D1A" w:rsidRPr="00B74B32" w:rsidRDefault="00BE7D1A" w:rsidP="005E683D">
      <w:pPr>
        <w:pStyle w:val="Default"/>
        <w:numPr>
          <w:ilvl w:val="0"/>
          <w:numId w:val="4"/>
        </w:numPr>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t>Bušenje i miniranje</w:t>
      </w:r>
    </w:p>
    <w:p w14:paraId="649C2A19" w14:textId="77777777" w:rsidR="00BE7D1A" w:rsidRPr="00616F6E" w:rsidRDefault="00BE7D1A" w:rsidP="005E683D">
      <w:pPr>
        <w:pStyle w:val="Default"/>
        <w:jc w:val="both"/>
        <w:rPr>
          <w:rFonts w:ascii="Arial" w:hAnsi="Arial" w:cs="Arial"/>
          <w:color w:val="FF0000"/>
          <w:sz w:val="22"/>
          <w:szCs w:val="22"/>
          <w:lang w:val="sr-Latn-CS"/>
        </w:rPr>
      </w:pPr>
    </w:p>
    <w:p w14:paraId="5607DEBE" w14:textId="77777777" w:rsidR="00BE7D1A" w:rsidRDefault="00BE7D1A" w:rsidP="005E683D">
      <w:pPr>
        <w:pStyle w:val="Default"/>
        <w:jc w:val="both"/>
        <w:rPr>
          <w:rFonts w:ascii="Arial" w:hAnsi="Arial" w:cs="Arial"/>
          <w:color w:val="auto"/>
          <w:sz w:val="22"/>
          <w:szCs w:val="22"/>
          <w:lang w:val="sr-Latn-CS"/>
        </w:rPr>
      </w:pPr>
      <w:r w:rsidRPr="00B74B32">
        <w:rPr>
          <w:rFonts w:ascii="Arial" w:hAnsi="Arial" w:cs="Arial"/>
          <w:color w:val="auto"/>
          <w:sz w:val="22"/>
          <w:szCs w:val="22"/>
          <w:lang w:val="sr-Latn-CS"/>
        </w:rPr>
        <w:t>Za bušenje če se koristiti zračna bušilica (sonda) i kompresor. Potrošnja bušilice je 6000 l/min vazduha. Izrađivat će se bušotine prečnika 90 mm i 150 mm. Kompresor je snage 58 kW i kapaciteta 9,1÷11,1 m 3 /min. Za izvođenje radova potrebna je jedna bušilica i jedan kompresor.</w:t>
      </w:r>
    </w:p>
    <w:p w14:paraId="28414BEF" w14:textId="77777777" w:rsidR="00FF7343" w:rsidRDefault="00FF7343" w:rsidP="005E683D">
      <w:pPr>
        <w:pStyle w:val="Default"/>
        <w:jc w:val="both"/>
        <w:rPr>
          <w:rFonts w:ascii="Arial" w:hAnsi="Arial" w:cs="Arial"/>
          <w:color w:val="auto"/>
          <w:sz w:val="22"/>
          <w:szCs w:val="22"/>
          <w:lang w:val="sr-Latn-CS"/>
        </w:rPr>
      </w:pPr>
    </w:p>
    <w:p w14:paraId="18BAC499" w14:textId="77777777" w:rsidR="00BE7D1A" w:rsidRPr="00B74B32" w:rsidRDefault="00BE7D1A" w:rsidP="005E683D">
      <w:pPr>
        <w:pStyle w:val="Default"/>
        <w:numPr>
          <w:ilvl w:val="0"/>
          <w:numId w:val="4"/>
        </w:numPr>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t>Sječenje, odvajanje primarnih blokova i dobijanje komercialnih</w:t>
      </w:r>
    </w:p>
    <w:p w14:paraId="5014DC8D" w14:textId="77777777" w:rsidR="00BE7D1A" w:rsidRPr="00B74B32" w:rsidRDefault="00BE7D1A" w:rsidP="005E683D">
      <w:pPr>
        <w:pStyle w:val="Default"/>
        <w:jc w:val="both"/>
        <w:rPr>
          <w:rFonts w:ascii="Arial" w:hAnsi="Arial" w:cs="Arial"/>
          <w:b/>
          <w:bCs/>
          <w:i/>
          <w:iCs/>
          <w:color w:val="FF0000"/>
          <w:sz w:val="22"/>
          <w:szCs w:val="22"/>
          <w:lang w:val="sr-Latn-CS"/>
        </w:rPr>
      </w:pPr>
    </w:p>
    <w:p w14:paraId="4B5DE530" w14:textId="77777777"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Nakon izrade bušotina pristupa se sječenju dijamantskom perlom da bi se odvojili primarni blokovi od masiva, a potom se pristupa sječenju primarnih blokova kako bi se dobili komercijalni blokovi . Sječenje stijenske mase obavlja se sjekačicom sa dijamantskom perlom snage 37 kW i potrošnjom vode 15 l/min. Odvajanje (obaljivanje) primarnih blokova obavlja če se bagerom, a dobijanje komercijalnih blokova sjekačicom. Sve radove na sječenju zadovoljava jedna sjekačica</w:t>
      </w:r>
      <w:r>
        <w:rPr>
          <w:rFonts w:ascii="Arial" w:hAnsi="Arial" w:cs="Arial"/>
          <w:color w:val="auto"/>
          <w:sz w:val="22"/>
          <w:szCs w:val="22"/>
          <w:lang w:val="sr-Latn-CS"/>
        </w:rPr>
        <w:t>.</w:t>
      </w:r>
    </w:p>
    <w:p w14:paraId="6C2E45B7" w14:textId="77777777" w:rsidR="00BE7D1A" w:rsidRPr="00B74B32" w:rsidRDefault="00BE7D1A" w:rsidP="00BE7D1A">
      <w:pPr>
        <w:pStyle w:val="Default"/>
        <w:spacing w:line="276" w:lineRule="auto"/>
        <w:jc w:val="both"/>
        <w:rPr>
          <w:rFonts w:ascii="Arial" w:hAnsi="Arial" w:cs="Arial"/>
          <w:color w:val="auto"/>
          <w:sz w:val="22"/>
          <w:szCs w:val="22"/>
          <w:lang w:val="sr-Latn-CS"/>
        </w:rPr>
      </w:pPr>
    </w:p>
    <w:p w14:paraId="4635712B" w14:textId="77777777" w:rsidR="00BE7D1A" w:rsidRPr="00714FCC"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714FCC">
        <w:rPr>
          <w:rFonts w:ascii="Arial" w:hAnsi="Arial" w:cs="Arial"/>
          <w:b/>
          <w:bCs/>
          <w:i/>
          <w:iCs/>
          <w:color w:val="auto"/>
          <w:sz w:val="22"/>
          <w:szCs w:val="22"/>
          <w:lang w:val="sr-Latn-CS"/>
        </w:rPr>
        <w:t>Utovar</w:t>
      </w:r>
      <w:r>
        <w:rPr>
          <w:rFonts w:ascii="Arial" w:hAnsi="Arial" w:cs="Arial"/>
          <w:b/>
          <w:bCs/>
          <w:i/>
          <w:iCs/>
          <w:color w:val="auto"/>
          <w:sz w:val="22"/>
          <w:szCs w:val="22"/>
          <w:lang w:val="sr-Latn-CS"/>
        </w:rPr>
        <w:t xml:space="preserve"> i transport</w:t>
      </w:r>
    </w:p>
    <w:p w14:paraId="0B4369D9"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34405A89" w14:textId="77777777"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Transport blokova do prostora za odlaganje obavlja se utovarivačem, a transport jalovine do jalovnika kamionom zapremine sanduka od 12 m3 i snage motora od 195 kW. Utovar jalovine obavlja će se utovarivačem zapremine korpe 3,0 m3 i snage motora od 162 kW. Za ove radove potreban je jedan utovarivač i jedan kamion</w:t>
      </w:r>
      <w:r>
        <w:rPr>
          <w:rFonts w:ascii="Arial" w:hAnsi="Arial" w:cs="Arial"/>
          <w:color w:val="auto"/>
          <w:sz w:val="22"/>
          <w:szCs w:val="22"/>
          <w:lang w:val="sr-Latn-CS"/>
        </w:rPr>
        <w:t>.</w:t>
      </w:r>
    </w:p>
    <w:p w14:paraId="23DE1628"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1A04D4F3" w14:textId="77777777" w:rsidR="00BE7D1A" w:rsidRPr="00714FCC" w:rsidRDefault="00BE7D1A" w:rsidP="00BE7D1A">
      <w:pPr>
        <w:pStyle w:val="Heading2"/>
      </w:pPr>
      <w:bookmarkStart w:id="16" w:name="_Toc402262939"/>
      <w:r w:rsidRPr="00714FCC">
        <w:t>Snabdijevanje električnom energijom, gorivom, vodom i eksplozivom i eksplozivnim sredstvima</w:t>
      </w:r>
      <w:bookmarkEnd w:id="16"/>
    </w:p>
    <w:p w14:paraId="466A2EA4" w14:textId="77777777" w:rsidR="00BE7D1A" w:rsidRPr="00714FCC" w:rsidRDefault="00BE7D1A" w:rsidP="00BE7D1A">
      <w:pPr>
        <w:spacing w:after="0"/>
        <w:jc w:val="both"/>
        <w:rPr>
          <w:rFonts w:ascii="Arial" w:hAnsi="Arial" w:cs="Arial"/>
          <w:lang w:val="sr-Latn-CS"/>
        </w:rPr>
      </w:pPr>
    </w:p>
    <w:p w14:paraId="728C248A" w14:textId="77777777" w:rsidR="00BE7D1A" w:rsidRDefault="00BE7D1A" w:rsidP="00BE7D1A">
      <w:pPr>
        <w:spacing w:after="0"/>
        <w:jc w:val="both"/>
        <w:rPr>
          <w:rFonts w:ascii="Arial" w:hAnsi="Arial" w:cs="Arial"/>
          <w:lang w:val="sr-Latn-CS"/>
        </w:rPr>
      </w:pPr>
      <w:r w:rsidRPr="00714FCC">
        <w:rPr>
          <w:rFonts w:ascii="Arial" w:hAnsi="Arial" w:cs="Arial"/>
          <w:lang w:val="sr-Latn-CS"/>
        </w:rPr>
        <w:t>Snabdijevanje električnom energijom je s</w:t>
      </w:r>
      <w:r w:rsidRPr="00773782">
        <w:rPr>
          <w:rFonts w:ascii="Arial" w:hAnsi="Arial" w:cs="Arial"/>
          <w:lang w:val="sr-Latn-CS"/>
        </w:rPr>
        <w:t>a postojeće trafostanice, vodom iz gradskog vodovoda</w:t>
      </w:r>
      <w:bookmarkStart w:id="17" w:name="_Toc402262940"/>
      <w:r>
        <w:rPr>
          <w:rFonts w:ascii="Arial" w:hAnsi="Arial" w:cs="Arial"/>
          <w:lang w:val="sr-Latn-CS"/>
        </w:rPr>
        <w:t xml:space="preserve"> i po potrebi iz cistjerni.</w:t>
      </w:r>
    </w:p>
    <w:p w14:paraId="0562AF9B" w14:textId="77777777" w:rsidR="00BE7D1A" w:rsidRDefault="00BE7D1A" w:rsidP="00BE7D1A">
      <w:pPr>
        <w:spacing w:after="0"/>
        <w:jc w:val="both"/>
        <w:rPr>
          <w:rFonts w:ascii="Arial" w:hAnsi="Arial" w:cs="Arial"/>
          <w:lang w:val="sr-Latn-CS"/>
        </w:rPr>
      </w:pPr>
      <w:r>
        <w:rPr>
          <w:rFonts w:ascii="Arial" w:hAnsi="Arial" w:cs="Arial"/>
          <w:lang w:val="sr-Latn-CS"/>
        </w:rPr>
        <w:t xml:space="preserve"> </w:t>
      </w:r>
    </w:p>
    <w:p w14:paraId="35F78F52" w14:textId="77777777" w:rsidR="00BE7D1A" w:rsidRPr="00714FCC" w:rsidRDefault="00BE7D1A" w:rsidP="00BE7D1A">
      <w:pPr>
        <w:pStyle w:val="Heading2"/>
      </w:pPr>
      <w:r w:rsidRPr="00714FCC">
        <w:t>Potrebna oprema i mehanizacija</w:t>
      </w:r>
      <w:bookmarkEnd w:id="17"/>
    </w:p>
    <w:p w14:paraId="75421799" w14:textId="77777777" w:rsidR="00BE7D1A" w:rsidRPr="00714FCC" w:rsidRDefault="00BE7D1A" w:rsidP="00BE7D1A">
      <w:pPr>
        <w:spacing w:after="0"/>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915"/>
        <w:gridCol w:w="1072"/>
        <w:gridCol w:w="1260"/>
      </w:tblGrid>
      <w:tr w:rsidR="00BE7D1A" w:rsidRPr="00714FCC" w14:paraId="6714DA0A" w14:textId="77777777" w:rsidTr="005E683D">
        <w:trPr>
          <w:jc w:val="center"/>
        </w:trPr>
        <w:tc>
          <w:tcPr>
            <w:tcW w:w="829" w:type="dxa"/>
            <w:vAlign w:val="center"/>
          </w:tcPr>
          <w:p w14:paraId="03904E7C" w14:textId="2861463D" w:rsidR="00BE7D1A" w:rsidRPr="005E683D" w:rsidRDefault="005E683D" w:rsidP="005E683D">
            <w:pPr>
              <w:spacing w:after="0"/>
              <w:jc w:val="center"/>
              <w:rPr>
                <w:rFonts w:ascii="Arial" w:hAnsi="Arial" w:cs="Arial"/>
                <w:b/>
                <w:sz w:val="20"/>
                <w:szCs w:val="20"/>
                <w:lang w:val="sr-Latn-CS"/>
              </w:rPr>
            </w:pPr>
            <w:r w:rsidRPr="005E683D">
              <w:rPr>
                <w:rFonts w:ascii="Arial" w:hAnsi="Arial" w:cs="Arial"/>
                <w:b/>
                <w:sz w:val="20"/>
                <w:szCs w:val="20"/>
                <w:lang w:val="sr-Latn-CS"/>
              </w:rPr>
              <w:t>r.</w:t>
            </w:r>
            <w:r w:rsidR="00BE7D1A" w:rsidRPr="005E683D">
              <w:rPr>
                <w:rFonts w:ascii="Arial" w:hAnsi="Arial" w:cs="Arial"/>
                <w:b/>
                <w:sz w:val="20"/>
                <w:szCs w:val="20"/>
                <w:lang w:val="sr-Latn-CS"/>
              </w:rPr>
              <w:t>b</w:t>
            </w:r>
            <w:r w:rsidRPr="005E683D">
              <w:rPr>
                <w:rFonts w:ascii="Arial" w:hAnsi="Arial" w:cs="Arial"/>
                <w:b/>
                <w:sz w:val="20"/>
                <w:szCs w:val="20"/>
                <w:lang w:val="sr-Latn-CS"/>
              </w:rPr>
              <w:t>.</w:t>
            </w:r>
          </w:p>
        </w:tc>
        <w:tc>
          <w:tcPr>
            <w:tcW w:w="2915" w:type="dxa"/>
            <w:vAlign w:val="center"/>
          </w:tcPr>
          <w:p w14:paraId="521F8EF0" w14:textId="77777777" w:rsidR="00BE7D1A" w:rsidRPr="005E683D" w:rsidRDefault="00BE7D1A" w:rsidP="005E683D">
            <w:pPr>
              <w:spacing w:after="0"/>
              <w:jc w:val="center"/>
              <w:rPr>
                <w:rFonts w:ascii="Arial" w:hAnsi="Arial" w:cs="Arial"/>
                <w:b/>
                <w:sz w:val="20"/>
                <w:szCs w:val="20"/>
                <w:lang w:val="sr-Latn-CS"/>
              </w:rPr>
            </w:pPr>
            <w:r w:rsidRPr="005E683D">
              <w:rPr>
                <w:rFonts w:ascii="Arial" w:hAnsi="Arial" w:cs="Arial"/>
                <w:b/>
                <w:sz w:val="20"/>
                <w:szCs w:val="20"/>
                <w:lang w:val="sr-Latn-CS"/>
              </w:rPr>
              <w:t>Naziv</w:t>
            </w:r>
          </w:p>
        </w:tc>
        <w:tc>
          <w:tcPr>
            <w:tcW w:w="1072" w:type="dxa"/>
            <w:vAlign w:val="center"/>
          </w:tcPr>
          <w:p w14:paraId="1FBB6741" w14:textId="77777777" w:rsidR="00BE7D1A" w:rsidRPr="005E683D" w:rsidRDefault="00BE7D1A" w:rsidP="005E683D">
            <w:pPr>
              <w:spacing w:after="0"/>
              <w:jc w:val="center"/>
              <w:rPr>
                <w:rFonts w:ascii="Arial" w:hAnsi="Arial" w:cs="Arial"/>
                <w:b/>
                <w:sz w:val="20"/>
                <w:szCs w:val="20"/>
                <w:lang w:val="sr-Latn-CS"/>
              </w:rPr>
            </w:pPr>
            <w:r w:rsidRPr="005E683D">
              <w:rPr>
                <w:rFonts w:ascii="Arial" w:hAnsi="Arial" w:cs="Arial"/>
                <w:b/>
                <w:sz w:val="20"/>
                <w:szCs w:val="20"/>
                <w:lang w:val="sr-Latn-CS"/>
              </w:rPr>
              <w:t>Količina</w:t>
            </w:r>
          </w:p>
        </w:tc>
        <w:tc>
          <w:tcPr>
            <w:tcW w:w="1260" w:type="dxa"/>
            <w:vAlign w:val="center"/>
          </w:tcPr>
          <w:p w14:paraId="7374E8D3" w14:textId="77777777" w:rsidR="00BE7D1A" w:rsidRPr="005E683D" w:rsidRDefault="00BE7D1A" w:rsidP="005E683D">
            <w:pPr>
              <w:spacing w:after="0"/>
              <w:jc w:val="center"/>
              <w:rPr>
                <w:rFonts w:ascii="Arial" w:hAnsi="Arial" w:cs="Arial"/>
                <w:b/>
                <w:sz w:val="20"/>
                <w:szCs w:val="20"/>
                <w:lang w:val="sr-Latn-CS"/>
              </w:rPr>
            </w:pPr>
            <w:r w:rsidRPr="005E683D">
              <w:rPr>
                <w:rFonts w:ascii="Arial" w:hAnsi="Arial" w:cs="Arial"/>
                <w:b/>
                <w:sz w:val="20"/>
                <w:szCs w:val="20"/>
                <w:lang w:val="sr-Latn-CS"/>
              </w:rPr>
              <w:t>Cijena (€)</w:t>
            </w:r>
          </w:p>
        </w:tc>
      </w:tr>
      <w:tr w:rsidR="00BE7D1A" w:rsidRPr="00714FCC" w14:paraId="4CC9D0C0" w14:textId="77777777" w:rsidTr="005E683D">
        <w:trPr>
          <w:jc w:val="center"/>
        </w:trPr>
        <w:tc>
          <w:tcPr>
            <w:tcW w:w="829" w:type="dxa"/>
            <w:vAlign w:val="center"/>
          </w:tcPr>
          <w:p w14:paraId="25FDA759"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2915" w:type="dxa"/>
            <w:vAlign w:val="center"/>
          </w:tcPr>
          <w:p w14:paraId="0F09C286"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Utovarivač</w:t>
            </w:r>
          </w:p>
        </w:tc>
        <w:tc>
          <w:tcPr>
            <w:tcW w:w="1072" w:type="dxa"/>
            <w:vAlign w:val="center"/>
          </w:tcPr>
          <w:p w14:paraId="04784335"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14B70865"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80.000</w:t>
            </w:r>
          </w:p>
        </w:tc>
      </w:tr>
      <w:tr w:rsidR="00BE7D1A" w:rsidRPr="00714FCC" w14:paraId="5959D180" w14:textId="77777777" w:rsidTr="005E683D">
        <w:trPr>
          <w:jc w:val="center"/>
        </w:trPr>
        <w:tc>
          <w:tcPr>
            <w:tcW w:w="829" w:type="dxa"/>
            <w:vAlign w:val="center"/>
          </w:tcPr>
          <w:p w14:paraId="755A2938"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2.</w:t>
            </w:r>
          </w:p>
        </w:tc>
        <w:tc>
          <w:tcPr>
            <w:tcW w:w="2915" w:type="dxa"/>
            <w:vAlign w:val="center"/>
          </w:tcPr>
          <w:p w14:paraId="1EEC3086"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Bušaći čekići</w:t>
            </w:r>
          </w:p>
        </w:tc>
        <w:tc>
          <w:tcPr>
            <w:tcW w:w="1072" w:type="dxa"/>
            <w:vAlign w:val="center"/>
          </w:tcPr>
          <w:p w14:paraId="660E3CCD"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4B3F602F" w14:textId="20B387AE"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6000</w:t>
            </w:r>
          </w:p>
        </w:tc>
      </w:tr>
      <w:tr w:rsidR="00BE7D1A" w:rsidRPr="00714FCC" w14:paraId="463B01EB" w14:textId="77777777" w:rsidTr="005E683D">
        <w:trPr>
          <w:jc w:val="center"/>
        </w:trPr>
        <w:tc>
          <w:tcPr>
            <w:tcW w:w="829" w:type="dxa"/>
            <w:vAlign w:val="center"/>
          </w:tcPr>
          <w:p w14:paraId="65C700F3"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3.</w:t>
            </w:r>
          </w:p>
        </w:tc>
        <w:tc>
          <w:tcPr>
            <w:tcW w:w="2915" w:type="dxa"/>
            <w:vAlign w:val="center"/>
          </w:tcPr>
          <w:p w14:paraId="1E7C683C"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Kamion</w:t>
            </w:r>
          </w:p>
        </w:tc>
        <w:tc>
          <w:tcPr>
            <w:tcW w:w="1072" w:type="dxa"/>
            <w:vAlign w:val="center"/>
          </w:tcPr>
          <w:p w14:paraId="25B7863D"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0CA58DBB"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40.000</w:t>
            </w:r>
          </w:p>
        </w:tc>
      </w:tr>
      <w:tr w:rsidR="00BE7D1A" w:rsidRPr="00714FCC" w14:paraId="230195D9" w14:textId="77777777" w:rsidTr="005E683D">
        <w:trPr>
          <w:jc w:val="center"/>
        </w:trPr>
        <w:tc>
          <w:tcPr>
            <w:tcW w:w="829" w:type="dxa"/>
            <w:vAlign w:val="center"/>
          </w:tcPr>
          <w:p w14:paraId="60C57D0B"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4.</w:t>
            </w:r>
          </w:p>
        </w:tc>
        <w:tc>
          <w:tcPr>
            <w:tcW w:w="2915" w:type="dxa"/>
            <w:vAlign w:val="center"/>
          </w:tcPr>
          <w:p w14:paraId="135B05B0"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Kompresor</w:t>
            </w:r>
          </w:p>
        </w:tc>
        <w:tc>
          <w:tcPr>
            <w:tcW w:w="1072" w:type="dxa"/>
            <w:vAlign w:val="center"/>
          </w:tcPr>
          <w:p w14:paraId="25F5D9A0"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63AA9ACD"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18 500</w:t>
            </w:r>
          </w:p>
        </w:tc>
      </w:tr>
      <w:tr w:rsidR="00BE7D1A" w:rsidRPr="00714FCC" w14:paraId="4EC75B2C" w14:textId="77777777" w:rsidTr="005E683D">
        <w:trPr>
          <w:jc w:val="center"/>
        </w:trPr>
        <w:tc>
          <w:tcPr>
            <w:tcW w:w="829" w:type="dxa"/>
            <w:vAlign w:val="center"/>
          </w:tcPr>
          <w:p w14:paraId="0EDE647A"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5.</w:t>
            </w:r>
          </w:p>
        </w:tc>
        <w:tc>
          <w:tcPr>
            <w:tcW w:w="2915" w:type="dxa"/>
            <w:vAlign w:val="center"/>
          </w:tcPr>
          <w:p w14:paraId="04C14A1B"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Dijamantska pila TD25</w:t>
            </w:r>
          </w:p>
        </w:tc>
        <w:tc>
          <w:tcPr>
            <w:tcW w:w="1072" w:type="dxa"/>
            <w:vAlign w:val="center"/>
          </w:tcPr>
          <w:p w14:paraId="0644A09D"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11D2605C"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20.000</w:t>
            </w:r>
          </w:p>
        </w:tc>
      </w:tr>
      <w:tr w:rsidR="00BE7D1A" w:rsidRPr="00714FCC" w14:paraId="3D49DB16" w14:textId="77777777" w:rsidTr="005E683D">
        <w:trPr>
          <w:jc w:val="center"/>
        </w:trPr>
        <w:tc>
          <w:tcPr>
            <w:tcW w:w="829" w:type="dxa"/>
            <w:vAlign w:val="center"/>
          </w:tcPr>
          <w:p w14:paraId="51019833"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6.</w:t>
            </w:r>
          </w:p>
        </w:tc>
        <w:tc>
          <w:tcPr>
            <w:tcW w:w="2915" w:type="dxa"/>
            <w:vAlign w:val="center"/>
          </w:tcPr>
          <w:p w14:paraId="4538C7F9"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Viljuškar</w:t>
            </w:r>
          </w:p>
        </w:tc>
        <w:tc>
          <w:tcPr>
            <w:tcW w:w="1072" w:type="dxa"/>
            <w:vAlign w:val="center"/>
          </w:tcPr>
          <w:p w14:paraId="2E5C876E"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2EC456FC"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35.000</w:t>
            </w:r>
          </w:p>
        </w:tc>
      </w:tr>
      <w:tr w:rsidR="00BE7D1A" w:rsidRPr="00714FCC" w14:paraId="7689B807" w14:textId="77777777" w:rsidTr="005E683D">
        <w:trPr>
          <w:jc w:val="center"/>
        </w:trPr>
        <w:tc>
          <w:tcPr>
            <w:tcW w:w="829" w:type="dxa"/>
            <w:vAlign w:val="center"/>
          </w:tcPr>
          <w:p w14:paraId="5566B727"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7.</w:t>
            </w:r>
          </w:p>
        </w:tc>
        <w:tc>
          <w:tcPr>
            <w:tcW w:w="2915" w:type="dxa"/>
            <w:vAlign w:val="center"/>
          </w:tcPr>
          <w:p w14:paraId="608D3D0A"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Hidraulična sonda Ø90 mm</w:t>
            </w:r>
          </w:p>
        </w:tc>
        <w:tc>
          <w:tcPr>
            <w:tcW w:w="1072" w:type="dxa"/>
            <w:vAlign w:val="center"/>
          </w:tcPr>
          <w:p w14:paraId="256B9BBA"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2C41E20C"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15.000</w:t>
            </w:r>
          </w:p>
        </w:tc>
      </w:tr>
      <w:tr w:rsidR="00BE7D1A" w:rsidRPr="00714FCC" w14:paraId="09742BA0" w14:textId="77777777" w:rsidTr="005E683D">
        <w:trPr>
          <w:jc w:val="center"/>
        </w:trPr>
        <w:tc>
          <w:tcPr>
            <w:tcW w:w="829" w:type="dxa"/>
            <w:vAlign w:val="center"/>
          </w:tcPr>
          <w:p w14:paraId="1C65E44C"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8.</w:t>
            </w:r>
          </w:p>
        </w:tc>
        <w:tc>
          <w:tcPr>
            <w:tcW w:w="2915" w:type="dxa"/>
            <w:vAlign w:val="center"/>
          </w:tcPr>
          <w:p w14:paraId="0BF405EA"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Cistijerna za vodu</w:t>
            </w:r>
          </w:p>
        </w:tc>
        <w:tc>
          <w:tcPr>
            <w:tcW w:w="1072" w:type="dxa"/>
            <w:vAlign w:val="center"/>
          </w:tcPr>
          <w:p w14:paraId="2B938E5E"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1260" w:type="dxa"/>
            <w:vAlign w:val="center"/>
          </w:tcPr>
          <w:p w14:paraId="56C97401"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15.000</w:t>
            </w:r>
          </w:p>
        </w:tc>
      </w:tr>
      <w:tr w:rsidR="00BE7D1A" w:rsidRPr="00714FCC" w14:paraId="375B88E2" w14:textId="77777777" w:rsidTr="005E683D">
        <w:trPr>
          <w:jc w:val="center"/>
        </w:trPr>
        <w:tc>
          <w:tcPr>
            <w:tcW w:w="829" w:type="dxa"/>
            <w:vAlign w:val="center"/>
          </w:tcPr>
          <w:p w14:paraId="48BA43C2"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9.</w:t>
            </w:r>
          </w:p>
        </w:tc>
        <w:tc>
          <w:tcPr>
            <w:tcW w:w="2915" w:type="dxa"/>
            <w:vAlign w:val="center"/>
          </w:tcPr>
          <w:p w14:paraId="2CC650E1"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Ostala oprema</w:t>
            </w:r>
          </w:p>
        </w:tc>
        <w:tc>
          <w:tcPr>
            <w:tcW w:w="1072" w:type="dxa"/>
            <w:vAlign w:val="center"/>
          </w:tcPr>
          <w:p w14:paraId="4F1994B0" w14:textId="77777777" w:rsidR="00BE7D1A" w:rsidRPr="005E683D" w:rsidRDefault="00BE7D1A" w:rsidP="005E683D">
            <w:pPr>
              <w:spacing w:after="0"/>
              <w:jc w:val="center"/>
              <w:rPr>
                <w:rFonts w:ascii="Arial" w:hAnsi="Arial" w:cs="Arial"/>
                <w:sz w:val="20"/>
                <w:szCs w:val="20"/>
                <w:lang w:val="sr-Latn-CS"/>
              </w:rPr>
            </w:pPr>
          </w:p>
        </w:tc>
        <w:tc>
          <w:tcPr>
            <w:tcW w:w="1260" w:type="dxa"/>
            <w:vAlign w:val="center"/>
          </w:tcPr>
          <w:p w14:paraId="236A12AF"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5000</w:t>
            </w:r>
          </w:p>
        </w:tc>
      </w:tr>
      <w:tr w:rsidR="00BE7D1A" w:rsidRPr="00714FCC" w14:paraId="2CA2471D" w14:textId="77777777" w:rsidTr="005E683D">
        <w:trPr>
          <w:jc w:val="center"/>
        </w:trPr>
        <w:tc>
          <w:tcPr>
            <w:tcW w:w="4816" w:type="dxa"/>
            <w:gridSpan w:val="3"/>
            <w:vAlign w:val="center"/>
          </w:tcPr>
          <w:p w14:paraId="4D9F209D" w14:textId="77777777" w:rsidR="00BE7D1A" w:rsidRPr="005E683D" w:rsidRDefault="00BE7D1A" w:rsidP="005E683D">
            <w:pPr>
              <w:spacing w:after="0"/>
              <w:jc w:val="center"/>
              <w:rPr>
                <w:rFonts w:ascii="Arial" w:hAnsi="Arial" w:cs="Arial"/>
                <w:b/>
                <w:sz w:val="20"/>
                <w:szCs w:val="20"/>
                <w:lang w:val="sr-Latn-CS"/>
              </w:rPr>
            </w:pPr>
            <w:r w:rsidRPr="005E683D">
              <w:rPr>
                <w:rFonts w:ascii="Arial" w:hAnsi="Arial" w:cs="Arial"/>
                <w:b/>
                <w:sz w:val="20"/>
                <w:szCs w:val="20"/>
                <w:lang w:val="sr-Latn-CS"/>
              </w:rPr>
              <w:t>UKUPNO</w:t>
            </w:r>
          </w:p>
        </w:tc>
        <w:tc>
          <w:tcPr>
            <w:tcW w:w="1260" w:type="dxa"/>
            <w:vAlign w:val="center"/>
          </w:tcPr>
          <w:p w14:paraId="6CB3110E" w14:textId="77777777" w:rsidR="00BE7D1A" w:rsidRPr="005E683D" w:rsidRDefault="00BE7D1A" w:rsidP="005E683D">
            <w:pPr>
              <w:spacing w:after="0"/>
              <w:jc w:val="center"/>
              <w:rPr>
                <w:rFonts w:ascii="Arial" w:hAnsi="Arial" w:cs="Arial"/>
                <w:b/>
                <w:sz w:val="20"/>
                <w:szCs w:val="20"/>
                <w:lang w:val="sr-Latn-CS"/>
              </w:rPr>
            </w:pPr>
            <w:r w:rsidRPr="005E683D">
              <w:rPr>
                <w:rFonts w:ascii="Arial" w:hAnsi="Arial" w:cs="Arial"/>
                <w:b/>
                <w:sz w:val="20"/>
                <w:szCs w:val="20"/>
                <w:lang w:val="sr-Latn-CS"/>
              </w:rPr>
              <w:t>234.500</w:t>
            </w:r>
          </w:p>
        </w:tc>
      </w:tr>
    </w:tbl>
    <w:p w14:paraId="688EF548" w14:textId="77777777" w:rsidR="00BE7D1A" w:rsidRDefault="00BE7D1A" w:rsidP="00BE7D1A">
      <w:pPr>
        <w:spacing w:after="0"/>
        <w:jc w:val="both"/>
        <w:rPr>
          <w:rFonts w:ascii="Arial" w:hAnsi="Arial" w:cs="Arial"/>
          <w:lang w:val="sr-Latn-CS"/>
        </w:rPr>
      </w:pPr>
    </w:p>
    <w:p w14:paraId="4F64AB83" w14:textId="77777777" w:rsidR="00BE7D1A" w:rsidRPr="00714FCC" w:rsidRDefault="00BE7D1A" w:rsidP="00BE7D1A">
      <w:pPr>
        <w:pStyle w:val="Heading2"/>
      </w:pPr>
      <w:bookmarkStart w:id="18" w:name="_Toc402262941"/>
      <w:r w:rsidRPr="00714FCC">
        <w:t>Objekti</w:t>
      </w:r>
      <w:bookmarkEnd w:id="18"/>
    </w:p>
    <w:p w14:paraId="6414B10E" w14:textId="77777777" w:rsidR="00BE7D1A" w:rsidRPr="00714FCC" w:rsidRDefault="00BE7D1A" w:rsidP="00BE7D1A">
      <w:pPr>
        <w:spacing w:after="0"/>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10"/>
        <w:gridCol w:w="1072"/>
        <w:gridCol w:w="1260"/>
      </w:tblGrid>
      <w:tr w:rsidR="00BE7D1A" w:rsidRPr="00714FCC" w14:paraId="733EA295" w14:textId="77777777" w:rsidTr="00F730F8">
        <w:trPr>
          <w:jc w:val="center"/>
        </w:trPr>
        <w:tc>
          <w:tcPr>
            <w:tcW w:w="1134" w:type="dxa"/>
          </w:tcPr>
          <w:p w14:paraId="08D95894"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Redni broj</w:t>
            </w:r>
          </w:p>
        </w:tc>
        <w:tc>
          <w:tcPr>
            <w:tcW w:w="2610" w:type="dxa"/>
          </w:tcPr>
          <w:p w14:paraId="1527EE39"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Naziv</w:t>
            </w:r>
          </w:p>
        </w:tc>
        <w:tc>
          <w:tcPr>
            <w:tcW w:w="1072" w:type="dxa"/>
          </w:tcPr>
          <w:p w14:paraId="37EACCFC"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Količina</w:t>
            </w:r>
          </w:p>
        </w:tc>
        <w:tc>
          <w:tcPr>
            <w:tcW w:w="1260" w:type="dxa"/>
          </w:tcPr>
          <w:p w14:paraId="45C6B5F0"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Cijena (€)</w:t>
            </w:r>
          </w:p>
        </w:tc>
      </w:tr>
      <w:tr w:rsidR="00BE7D1A" w:rsidRPr="00714FCC" w14:paraId="0CDC5C04" w14:textId="77777777" w:rsidTr="00F730F8">
        <w:trPr>
          <w:jc w:val="center"/>
        </w:trPr>
        <w:tc>
          <w:tcPr>
            <w:tcW w:w="1134" w:type="dxa"/>
            <w:vAlign w:val="center"/>
          </w:tcPr>
          <w:p w14:paraId="44F02BA2"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c>
          <w:tcPr>
            <w:tcW w:w="2610" w:type="dxa"/>
          </w:tcPr>
          <w:p w14:paraId="4CC6C948"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Kontejner za kancelarije i magacin (20m</w:t>
            </w:r>
            <w:r w:rsidRPr="005E683D">
              <w:rPr>
                <w:rFonts w:ascii="Arial" w:hAnsi="Arial" w:cs="Arial"/>
                <w:sz w:val="20"/>
                <w:szCs w:val="20"/>
                <w:vertAlign w:val="superscript"/>
                <w:lang w:val="sr-Latn-CS"/>
              </w:rPr>
              <w:t>2</w:t>
            </w:r>
            <w:r w:rsidRPr="005E683D">
              <w:rPr>
                <w:rFonts w:ascii="Arial" w:hAnsi="Arial" w:cs="Arial"/>
                <w:sz w:val="20"/>
                <w:szCs w:val="20"/>
                <w:lang w:val="sr-Latn-CS"/>
              </w:rPr>
              <w:t>)</w:t>
            </w:r>
          </w:p>
        </w:tc>
        <w:tc>
          <w:tcPr>
            <w:tcW w:w="1072" w:type="dxa"/>
            <w:vAlign w:val="center"/>
          </w:tcPr>
          <w:p w14:paraId="0124AA6C"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2</w:t>
            </w:r>
          </w:p>
        </w:tc>
        <w:tc>
          <w:tcPr>
            <w:tcW w:w="1260" w:type="dxa"/>
            <w:vAlign w:val="center"/>
          </w:tcPr>
          <w:p w14:paraId="76AAADD9"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10.000</w:t>
            </w:r>
          </w:p>
        </w:tc>
      </w:tr>
      <w:tr w:rsidR="00BE7D1A" w:rsidRPr="00714FCC" w14:paraId="2AAC5777" w14:textId="77777777" w:rsidTr="00F730F8">
        <w:trPr>
          <w:jc w:val="center"/>
        </w:trPr>
        <w:tc>
          <w:tcPr>
            <w:tcW w:w="4816" w:type="dxa"/>
            <w:gridSpan w:val="3"/>
          </w:tcPr>
          <w:p w14:paraId="7CC2BFF8"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UKUPNO</w:t>
            </w:r>
          </w:p>
        </w:tc>
        <w:tc>
          <w:tcPr>
            <w:tcW w:w="1260" w:type="dxa"/>
          </w:tcPr>
          <w:p w14:paraId="564B87FA"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10.000</w:t>
            </w:r>
          </w:p>
        </w:tc>
      </w:tr>
    </w:tbl>
    <w:p w14:paraId="0FDD7D14" w14:textId="77777777" w:rsidR="000C6770" w:rsidRDefault="000C6770" w:rsidP="00BE7D1A">
      <w:pPr>
        <w:spacing w:after="0"/>
        <w:jc w:val="both"/>
        <w:rPr>
          <w:rFonts w:ascii="Arial" w:hAnsi="Arial" w:cs="Arial"/>
          <w:lang w:val="sr-Latn-CS"/>
        </w:rPr>
      </w:pPr>
      <w:bookmarkStart w:id="19" w:name="_Toc402262942"/>
    </w:p>
    <w:p w14:paraId="7BC07CC6" w14:textId="77777777" w:rsidR="00BE7D1A" w:rsidRDefault="00BE7D1A" w:rsidP="00BE7D1A">
      <w:pPr>
        <w:pStyle w:val="Heading2"/>
      </w:pPr>
      <w:r w:rsidRPr="00714FCC">
        <w:t>Radna snaga</w:t>
      </w:r>
      <w:bookmarkEnd w:id="19"/>
    </w:p>
    <w:p w14:paraId="227FBDA4" w14:textId="77777777" w:rsidR="00BE7D1A" w:rsidRPr="00714FCC" w:rsidRDefault="00BE7D1A" w:rsidP="00BE7D1A">
      <w:pPr>
        <w:spacing w:after="0"/>
        <w:jc w:val="both"/>
        <w:rPr>
          <w:rFonts w:ascii="Arial" w:eastAsia="Calibri" w:hAnsi="Arial" w:cs="Arial"/>
          <w:b/>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041"/>
        <w:gridCol w:w="1227"/>
        <w:gridCol w:w="2627"/>
        <w:gridCol w:w="987"/>
      </w:tblGrid>
      <w:tr w:rsidR="00BE7D1A" w:rsidRPr="00714FCC" w14:paraId="42E97D0A" w14:textId="77777777" w:rsidTr="005E683D">
        <w:trPr>
          <w:jc w:val="center"/>
        </w:trPr>
        <w:tc>
          <w:tcPr>
            <w:tcW w:w="522" w:type="dxa"/>
            <w:vAlign w:val="center"/>
          </w:tcPr>
          <w:p w14:paraId="199B08A2" w14:textId="15CA1D71" w:rsidR="00BE7D1A" w:rsidRPr="005E683D" w:rsidRDefault="005E683D" w:rsidP="005E683D">
            <w:pPr>
              <w:spacing w:after="0"/>
              <w:jc w:val="center"/>
              <w:rPr>
                <w:rFonts w:ascii="Arial" w:hAnsi="Arial" w:cs="Arial"/>
                <w:b/>
                <w:sz w:val="18"/>
                <w:szCs w:val="18"/>
                <w:lang w:val="sr-Latn-CS"/>
              </w:rPr>
            </w:pPr>
            <w:r w:rsidRPr="005E683D">
              <w:rPr>
                <w:rFonts w:ascii="Arial" w:hAnsi="Arial" w:cs="Arial"/>
                <w:b/>
                <w:sz w:val="18"/>
                <w:szCs w:val="18"/>
                <w:lang w:val="sr-Latn-CS"/>
              </w:rPr>
              <w:t>r.b.</w:t>
            </w:r>
          </w:p>
        </w:tc>
        <w:tc>
          <w:tcPr>
            <w:tcW w:w="3041" w:type="dxa"/>
            <w:vAlign w:val="center"/>
          </w:tcPr>
          <w:p w14:paraId="6BA6F056" w14:textId="77777777" w:rsidR="00BE7D1A" w:rsidRPr="005E683D" w:rsidRDefault="00BE7D1A" w:rsidP="005E683D">
            <w:pPr>
              <w:spacing w:after="0"/>
              <w:jc w:val="center"/>
              <w:rPr>
                <w:rFonts w:ascii="Arial" w:hAnsi="Arial" w:cs="Arial"/>
                <w:b/>
                <w:sz w:val="18"/>
                <w:szCs w:val="18"/>
                <w:lang w:val="sr-Latn-CS"/>
              </w:rPr>
            </w:pPr>
            <w:r w:rsidRPr="005E683D">
              <w:rPr>
                <w:rFonts w:ascii="Arial" w:hAnsi="Arial" w:cs="Arial"/>
                <w:b/>
                <w:sz w:val="18"/>
                <w:szCs w:val="18"/>
                <w:lang w:val="sr-Latn-CS"/>
              </w:rPr>
              <w:t>Naziv radnog mjesta</w:t>
            </w:r>
          </w:p>
        </w:tc>
        <w:tc>
          <w:tcPr>
            <w:tcW w:w="1227" w:type="dxa"/>
          </w:tcPr>
          <w:p w14:paraId="7E5F0A00" w14:textId="77777777" w:rsidR="00BE7D1A" w:rsidRPr="005E683D" w:rsidRDefault="00BE7D1A" w:rsidP="00EE31D4">
            <w:pPr>
              <w:spacing w:after="0"/>
              <w:jc w:val="both"/>
              <w:rPr>
                <w:rFonts w:ascii="Arial" w:hAnsi="Arial" w:cs="Arial"/>
                <w:b/>
                <w:sz w:val="18"/>
                <w:szCs w:val="18"/>
                <w:lang w:val="sr-Latn-CS"/>
              </w:rPr>
            </w:pPr>
            <w:r w:rsidRPr="005E683D">
              <w:rPr>
                <w:rFonts w:ascii="Arial" w:hAnsi="Arial" w:cs="Arial"/>
                <w:b/>
                <w:sz w:val="18"/>
                <w:szCs w:val="18"/>
                <w:lang w:val="sr-Latn-CS"/>
              </w:rPr>
              <w:t>Potrebna kvalifikacija</w:t>
            </w:r>
          </w:p>
        </w:tc>
        <w:tc>
          <w:tcPr>
            <w:tcW w:w="2627" w:type="dxa"/>
            <w:vAlign w:val="center"/>
          </w:tcPr>
          <w:p w14:paraId="1F0F9E75" w14:textId="77777777" w:rsidR="00BE7D1A" w:rsidRPr="005E683D" w:rsidRDefault="00BE7D1A" w:rsidP="005E683D">
            <w:pPr>
              <w:spacing w:after="0"/>
              <w:jc w:val="center"/>
              <w:rPr>
                <w:rFonts w:ascii="Arial" w:hAnsi="Arial" w:cs="Arial"/>
                <w:b/>
                <w:sz w:val="18"/>
                <w:szCs w:val="18"/>
                <w:lang w:val="sr-Latn-CS"/>
              </w:rPr>
            </w:pPr>
            <w:r w:rsidRPr="005E683D">
              <w:rPr>
                <w:rFonts w:ascii="Arial" w:hAnsi="Arial" w:cs="Arial"/>
                <w:b/>
                <w:sz w:val="18"/>
                <w:szCs w:val="18"/>
                <w:lang w:val="sr-Latn-CS"/>
              </w:rPr>
              <w:t>Struka</w:t>
            </w:r>
          </w:p>
        </w:tc>
        <w:tc>
          <w:tcPr>
            <w:tcW w:w="856" w:type="dxa"/>
            <w:vAlign w:val="center"/>
          </w:tcPr>
          <w:p w14:paraId="353EBD1B" w14:textId="77777777" w:rsidR="00BE7D1A" w:rsidRPr="005E683D" w:rsidRDefault="00BE7D1A" w:rsidP="005E683D">
            <w:pPr>
              <w:spacing w:after="0"/>
              <w:jc w:val="center"/>
              <w:rPr>
                <w:rFonts w:ascii="Arial" w:hAnsi="Arial" w:cs="Arial"/>
                <w:b/>
                <w:sz w:val="18"/>
                <w:szCs w:val="18"/>
                <w:lang w:val="sr-Latn-CS"/>
              </w:rPr>
            </w:pPr>
            <w:r w:rsidRPr="005E683D">
              <w:rPr>
                <w:rFonts w:ascii="Arial" w:hAnsi="Arial" w:cs="Arial"/>
                <w:b/>
                <w:sz w:val="18"/>
                <w:szCs w:val="18"/>
                <w:lang w:val="sr-Latn-CS"/>
              </w:rPr>
              <w:t>Broj izvršioca</w:t>
            </w:r>
          </w:p>
        </w:tc>
      </w:tr>
      <w:tr w:rsidR="00BE7D1A" w:rsidRPr="00714FCC" w14:paraId="60BA7228" w14:textId="77777777" w:rsidTr="005E683D">
        <w:trPr>
          <w:jc w:val="center"/>
        </w:trPr>
        <w:tc>
          <w:tcPr>
            <w:tcW w:w="522" w:type="dxa"/>
            <w:vAlign w:val="center"/>
          </w:tcPr>
          <w:p w14:paraId="126EC65F"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1.</w:t>
            </w:r>
          </w:p>
        </w:tc>
        <w:tc>
          <w:tcPr>
            <w:tcW w:w="3041" w:type="dxa"/>
            <w:vAlign w:val="center"/>
          </w:tcPr>
          <w:p w14:paraId="3EBCE6E8"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Upravnik</w:t>
            </w:r>
          </w:p>
        </w:tc>
        <w:tc>
          <w:tcPr>
            <w:tcW w:w="1227" w:type="dxa"/>
            <w:vAlign w:val="center"/>
          </w:tcPr>
          <w:p w14:paraId="6FF31531"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VSS</w:t>
            </w:r>
          </w:p>
        </w:tc>
        <w:tc>
          <w:tcPr>
            <w:tcW w:w="2627" w:type="dxa"/>
          </w:tcPr>
          <w:p w14:paraId="5B80DA82"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Dipl.inž. rudarstva</w:t>
            </w:r>
          </w:p>
        </w:tc>
        <w:tc>
          <w:tcPr>
            <w:tcW w:w="856" w:type="dxa"/>
            <w:vAlign w:val="center"/>
          </w:tcPr>
          <w:p w14:paraId="794B81AB"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584D048E" w14:textId="77777777" w:rsidTr="005E683D">
        <w:trPr>
          <w:jc w:val="center"/>
        </w:trPr>
        <w:tc>
          <w:tcPr>
            <w:tcW w:w="522" w:type="dxa"/>
            <w:vAlign w:val="center"/>
          </w:tcPr>
          <w:p w14:paraId="6BBA5E3E"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2.</w:t>
            </w:r>
          </w:p>
        </w:tc>
        <w:tc>
          <w:tcPr>
            <w:tcW w:w="3041" w:type="dxa"/>
            <w:vAlign w:val="center"/>
          </w:tcPr>
          <w:p w14:paraId="67BE5812"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Poslovođa</w:t>
            </w:r>
          </w:p>
        </w:tc>
        <w:tc>
          <w:tcPr>
            <w:tcW w:w="1227" w:type="dxa"/>
            <w:vAlign w:val="center"/>
          </w:tcPr>
          <w:p w14:paraId="0C45ABF2"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SSS</w:t>
            </w:r>
          </w:p>
        </w:tc>
        <w:tc>
          <w:tcPr>
            <w:tcW w:w="2627" w:type="dxa"/>
          </w:tcPr>
          <w:p w14:paraId="67E20AA0"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Rudarski tehničar</w:t>
            </w:r>
          </w:p>
        </w:tc>
        <w:tc>
          <w:tcPr>
            <w:tcW w:w="856" w:type="dxa"/>
            <w:vAlign w:val="center"/>
          </w:tcPr>
          <w:p w14:paraId="65BE804D"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79EA4B0D" w14:textId="77777777" w:rsidTr="005E683D">
        <w:trPr>
          <w:trHeight w:val="584"/>
          <w:jc w:val="center"/>
        </w:trPr>
        <w:tc>
          <w:tcPr>
            <w:tcW w:w="522" w:type="dxa"/>
            <w:vAlign w:val="center"/>
          </w:tcPr>
          <w:p w14:paraId="1DB49BB9" w14:textId="77777777" w:rsidR="00BE7D1A" w:rsidRPr="005E683D" w:rsidRDefault="00BE7D1A" w:rsidP="005E683D">
            <w:pPr>
              <w:jc w:val="center"/>
              <w:rPr>
                <w:rFonts w:ascii="Arial" w:hAnsi="Arial" w:cs="Arial"/>
                <w:sz w:val="18"/>
                <w:szCs w:val="18"/>
                <w:lang w:val="sr-Latn-CS"/>
              </w:rPr>
            </w:pPr>
            <w:r w:rsidRPr="005E683D">
              <w:rPr>
                <w:rFonts w:ascii="Arial" w:hAnsi="Arial" w:cs="Arial"/>
                <w:sz w:val="18"/>
                <w:szCs w:val="18"/>
                <w:lang w:val="sr-Latn-CS"/>
              </w:rPr>
              <w:t>3.</w:t>
            </w:r>
          </w:p>
        </w:tc>
        <w:tc>
          <w:tcPr>
            <w:tcW w:w="3041" w:type="dxa"/>
            <w:vAlign w:val="center"/>
          </w:tcPr>
          <w:p w14:paraId="34C6BD68" w14:textId="37238E26" w:rsidR="00BE7D1A" w:rsidRPr="005E683D" w:rsidRDefault="00BE7D1A" w:rsidP="005E683D">
            <w:pPr>
              <w:jc w:val="center"/>
              <w:rPr>
                <w:rFonts w:ascii="Arial" w:hAnsi="Arial" w:cs="Arial"/>
                <w:sz w:val="20"/>
                <w:szCs w:val="20"/>
                <w:lang w:val="sr-Latn-CS"/>
              </w:rPr>
            </w:pPr>
            <w:r w:rsidRPr="005E683D">
              <w:rPr>
                <w:rFonts w:ascii="Arial" w:hAnsi="Arial" w:cs="Arial"/>
                <w:sz w:val="20"/>
                <w:szCs w:val="20"/>
                <w:lang w:val="sr-Latn-CS"/>
              </w:rPr>
              <w:t>Rukovalac bušilice</w:t>
            </w:r>
          </w:p>
        </w:tc>
        <w:tc>
          <w:tcPr>
            <w:tcW w:w="1227" w:type="dxa"/>
            <w:vAlign w:val="center"/>
          </w:tcPr>
          <w:p w14:paraId="475D1745" w14:textId="77777777" w:rsidR="00BE7D1A" w:rsidRPr="005E683D" w:rsidRDefault="00BE7D1A" w:rsidP="005E683D">
            <w:pPr>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59529FC3" w14:textId="0689E87F" w:rsidR="00BE7D1A" w:rsidRPr="005E683D" w:rsidRDefault="005E683D" w:rsidP="005E683D">
            <w:pPr>
              <w:jc w:val="center"/>
              <w:rPr>
                <w:rFonts w:ascii="Arial" w:hAnsi="Arial" w:cs="Arial"/>
                <w:sz w:val="20"/>
                <w:szCs w:val="20"/>
                <w:lang w:val="sr-Latn-CS"/>
              </w:rPr>
            </w:pPr>
            <w:r w:rsidRPr="005E683D">
              <w:rPr>
                <w:rFonts w:ascii="Arial" w:hAnsi="Arial" w:cs="Arial"/>
                <w:sz w:val="20"/>
                <w:szCs w:val="20"/>
                <w:lang w:val="sr-Latn-CS"/>
              </w:rPr>
              <w:t>Rukovalac rud.-građ. mašina</w:t>
            </w:r>
          </w:p>
        </w:tc>
        <w:tc>
          <w:tcPr>
            <w:tcW w:w="856" w:type="dxa"/>
            <w:vAlign w:val="center"/>
          </w:tcPr>
          <w:p w14:paraId="51C7D2AE"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3B733920" w14:textId="77777777" w:rsidTr="005E683D">
        <w:trPr>
          <w:jc w:val="center"/>
        </w:trPr>
        <w:tc>
          <w:tcPr>
            <w:tcW w:w="522" w:type="dxa"/>
            <w:vAlign w:val="center"/>
          </w:tcPr>
          <w:p w14:paraId="2C4E3CDE"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4.</w:t>
            </w:r>
          </w:p>
        </w:tc>
        <w:tc>
          <w:tcPr>
            <w:tcW w:w="3041" w:type="dxa"/>
            <w:vAlign w:val="center"/>
          </w:tcPr>
          <w:p w14:paraId="5081CFF6"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Rukovalac utovarača</w:t>
            </w:r>
          </w:p>
        </w:tc>
        <w:tc>
          <w:tcPr>
            <w:tcW w:w="1227" w:type="dxa"/>
            <w:vAlign w:val="center"/>
          </w:tcPr>
          <w:p w14:paraId="1F13FCDE"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5CD884B9"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Rukovalac rud.-građ. mašina</w:t>
            </w:r>
          </w:p>
        </w:tc>
        <w:tc>
          <w:tcPr>
            <w:tcW w:w="856" w:type="dxa"/>
            <w:vAlign w:val="center"/>
          </w:tcPr>
          <w:p w14:paraId="79689042"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5C240D94" w14:textId="77777777" w:rsidTr="005E683D">
        <w:trPr>
          <w:jc w:val="center"/>
        </w:trPr>
        <w:tc>
          <w:tcPr>
            <w:tcW w:w="522" w:type="dxa"/>
            <w:vAlign w:val="center"/>
          </w:tcPr>
          <w:p w14:paraId="4E6351EC"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5.</w:t>
            </w:r>
          </w:p>
        </w:tc>
        <w:tc>
          <w:tcPr>
            <w:tcW w:w="3041" w:type="dxa"/>
            <w:vAlign w:val="center"/>
          </w:tcPr>
          <w:p w14:paraId="534AA7A5"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Radnik za elektro mašinsko održavanje</w:t>
            </w:r>
          </w:p>
        </w:tc>
        <w:tc>
          <w:tcPr>
            <w:tcW w:w="1227" w:type="dxa"/>
            <w:vAlign w:val="center"/>
          </w:tcPr>
          <w:p w14:paraId="720E47C5"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28E440D0"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Rukovalac rud.-građ. mašina</w:t>
            </w:r>
          </w:p>
        </w:tc>
        <w:tc>
          <w:tcPr>
            <w:tcW w:w="856" w:type="dxa"/>
            <w:vAlign w:val="center"/>
          </w:tcPr>
          <w:p w14:paraId="579722EF"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2</w:t>
            </w:r>
          </w:p>
        </w:tc>
      </w:tr>
      <w:tr w:rsidR="00BE7D1A" w:rsidRPr="00714FCC" w14:paraId="0A18EF3B" w14:textId="77777777" w:rsidTr="005E683D">
        <w:trPr>
          <w:jc w:val="center"/>
        </w:trPr>
        <w:tc>
          <w:tcPr>
            <w:tcW w:w="522" w:type="dxa"/>
            <w:vAlign w:val="center"/>
          </w:tcPr>
          <w:p w14:paraId="6E29D00A"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7.</w:t>
            </w:r>
          </w:p>
        </w:tc>
        <w:tc>
          <w:tcPr>
            <w:tcW w:w="3041" w:type="dxa"/>
            <w:vAlign w:val="center"/>
          </w:tcPr>
          <w:p w14:paraId="551EF157"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Rukovalac dijamantske pile</w:t>
            </w:r>
          </w:p>
        </w:tc>
        <w:tc>
          <w:tcPr>
            <w:tcW w:w="1227" w:type="dxa"/>
            <w:vAlign w:val="center"/>
          </w:tcPr>
          <w:p w14:paraId="1F1D6B0D"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46A0A066" w14:textId="77777777" w:rsidR="00BE7D1A" w:rsidRPr="005E683D" w:rsidRDefault="00BE7D1A" w:rsidP="00EE31D4">
            <w:pPr>
              <w:spacing w:after="0"/>
              <w:jc w:val="center"/>
              <w:rPr>
                <w:rFonts w:ascii="Arial" w:hAnsi="Arial" w:cs="Arial"/>
                <w:sz w:val="20"/>
                <w:szCs w:val="20"/>
                <w:lang w:val="sr-Latn-CS"/>
              </w:rPr>
            </w:pPr>
          </w:p>
        </w:tc>
        <w:tc>
          <w:tcPr>
            <w:tcW w:w="856" w:type="dxa"/>
            <w:vAlign w:val="center"/>
          </w:tcPr>
          <w:p w14:paraId="1B363842"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576F0A84" w14:textId="77777777" w:rsidTr="005E683D">
        <w:trPr>
          <w:jc w:val="center"/>
        </w:trPr>
        <w:tc>
          <w:tcPr>
            <w:tcW w:w="522" w:type="dxa"/>
            <w:vAlign w:val="center"/>
          </w:tcPr>
          <w:p w14:paraId="799E6732"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8.</w:t>
            </w:r>
          </w:p>
        </w:tc>
        <w:tc>
          <w:tcPr>
            <w:tcW w:w="3041" w:type="dxa"/>
            <w:vAlign w:val="center"/>
          </w:tcPr>
          <w:p w14:paraId="4CE9F548"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Vozač</w:t>
            </w:r>
          </w:p>
        </w:tc>
        <w:tc>
          <w:tcPr>
            <w:tcW w:w="1227" w:type="dxa"/>
            <w:vAlign w:val="center"/>
          </w:tcPr>
          <w:p w14:paraId="46739868"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5BAAB209"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vozač</w:t>
            </w:r>
          </w:p>
        </w:tc>
        <w:tc>
          <w:tcPr>
            <w:tcW w:w="856" w:type="dxa"/>
            <w:vAlign w:val="center"/>
          </w:tcPr>
          <w:p w14:paraId="3E7CDE75"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2</w:t>
            </w:r>
          </w:p>
        </w:tc>
      </w:tr>
      <w:tr w:rsidR="00BE7D1A" w:rsidRPr="00714FCC" w14:paraId="53841D51" w14:textId="77777777" w:rsidTr="005E683D">
        <w:trPr>
          <w:jc w:val="center"/>
        </w:trPr>
        <w:tc>
          <w:tcPr>
            <w:tcW w:w="522" w:type="dxa"/>
            <w:vAlign w:val="center"/>
          </w:tcPr>
          <w:p w14:paraId="59F345E4"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9.</w:t>
            </w:r>
          </w:p>
        </w:tc>
        <w:tc>
          <w:tcPr>
            <w:tcW w:w="3041" w:type="dxa"/>
            <w:vAlign w:val="center"/>
          </w:tcPr>
          <w:p w14:paraId="64CD10CB"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Bušač</w:t>
            </w:r>
          </w:p>
        </w:tc>
        <w:tc>
          <w:tcPr>
            <w:tcW w:w="1227" w:type="dxa"/>
            <w:vAlign w:val="center"/>
          </w:tcPr>
          <w:p w14:paraId="2A0A3B33"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KV</w:t>
            </w:r>
          </w:p>
        </w:tc>
        <w:tc>
          <w:tcPr>
            <w:tcW w:w="2627" w:type="dxa"/>
          </w:tcPr>
          <w:p w14:paraId="658DEC3E" w14:textId="77777777" w:rsidR="00BE7D1A" w:rsidRPr="005E683D" w:rsidRDefault="00BE7D1A" w:rsidP="00EE31D4">
            <w:pPr>
              <w:spacing w:after="0"/>
              <w:jc w:val="center"/>
              <w:rPr>
                <w:rFonts w:ascii="Arial" w:hAnsi="Arial" w:cs="Arial"/>
                <w:sz w:val="20"/>
                <w:szCs w:val="20"/>
                <w:lang w:val="sr-Latn-CS"/>
              </w:rPr>
            </w:pPr>
          </w:p>
        </w:tc>
        <w:tc>
          <w:tcPr>
            <w:tcW w:w="856" w:type="dxa"/>
            <w:vAlign w:val="center"/>
          </w:tcPr>
          <w:p w14:paraId="10ACE2C3"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75174F9D" w14:textId="77777777" w:rsidTr="005E683D">
        <w:trPr>
          <w:jc w:val="center"/>
        </w:trPr>
        <w:tc>
          <w:tcPr>
            <w:tcW w:w="522" w:type="dxa"/>
            <w:vAlign w:val="center"/>
          </w:tcPr>
          <w:p w14:paraId="0E659B66"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10.</w:t>
            </w:r>
          </w:p>
        </w:tc>
        <w:tc>
          <w:tcPr>
            <w:tcW w:w="3041" w:type="dxa"/>
            <w:vAlign w:val="center"/>
          </w:tcPr>
          <w:p w14:paraId="6B074BE7"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Stražar</w:t>
            </w:r>
          </w:p>
        </w:tc>
        <w:tc>
          <w:tcPr>
            <w:tcW w:w="1227" w:type="dxa"/>
            <w:vAlign w:val="center"/>
          </w:tcPr>
          <w:p w14:paraId="11F7D16F"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PK</w:t>
            </w:r>
          </w:p>
        </w:tc>
        <w:tc>
          <w:tcPr>
            <w:tcW w:w="2627" w:type="dxa"/>
          </w:tcPr>
          <w:p w14:paraId="6B2A542E" w14:textId="77777777" w:rsidR="00BE7D1A" w:rsidRPr="005E683D" w:rsidRDefault="00BE7D1A" w:rsidP="00EE31D4">
            <w:pPr>
              <w:spacing w:after="0"/>
              <w:jc w:val="center"/>
              <w:rPr>
                <w:rFonts w:ascii="Arial" w:hAnsi="Arial" w:cs="Arial"/>
                <w:sz w:val="20"/>
                <w:szCs w:val="20"/>
                <w:lang w:val="sr-Latn-CS"/>
              </w:rPr>
            </w:pPr>
          </w:p>
        </w:tc>
        <w:tc>
          <w:tcPr>
            <w:tcW w:w="856" w:type="dxa"/>
            <w:vAlign w:val="center"/>
          </w:tcPr>
          <w:p w14:paraId="51EC6624"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2</w:t>
            </w:r>
          </w:p>
        </w:tc>
      </w:tr>
      <w:tr w:rsidR="00BE7D1A" w:rsidRPr="00714FCC" w14:paraId="7C69036C" w14:textId="77777777" w:rsidTr="005E683D">
        <w:trPr>
          <w:jc w:val="center"/>
        </w:trPr>
        <w:tc>
          <w:tcPr>
            <w:tcW w:w="522" w:type="dxa"/>
            <w:vAlign w:val="center"/>
          </w:tcPr>
          <w:p w14:paraId="1A562064" w14:textId="77777777" w:rsidR="00BE7D1A" w:rsidRPr="005E683D" w:rsidRDefault="00BE7D1A" w:rsidP="005E683D">
            <w:pPr>
              <w:spacing w:after="0"/>
              <w:jc w:val="center"/>
              <w:rPr>
                <w:rFonts w:ascii="Arial" w:hAnsi="Arial" w:cs="Arial"/>
                <w:sz w:val="18"/>
                <w:szCs w:val="18"/>
                <w:lang w:val="sr-Latn-CS"/>
              </w:rPr>
            </w:pPr>
            <w:r w:rsidRPr="005E683D">
              <w:rPr>
                <w:rFonts w:ascii="Arial" w:hAnsi="Arial" w:cs="Arial"/>
                <w:sz w:val="18"/>
                <w:szCs w:val="18"/>
                <w:lang w:val="sr-Latn-CS"/>
              </w:rPr>
              <w:t>11.</w:t>
            </w:r>
          </w:p>
        </w:tc>
        <w:tc>
          <w:tcPr>
            <w:tcW w:w="3041" w:type="dxa"/>
            <w:vAlign w:val="center"/>
          </w:tcPr>
          <w:p w14:paraId="75255499"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Pomoćni radnik</w:t>
            </w:r>
          </w:p>
        </w:tc>
        <w:tc>
          <w:tcPr>
            <w:tcW w:w="1227" w:type="dxa"/>
            <w:vAlign w:val="center"/>
          </w:tcPr>
          <w:p w14:paraId="342B5B3B" w14:textId="77777777" w:rsidR="00BE7D1A" w:rsidRPr="005E683D" w:rsidRDefault="00BE7D1A" w:rsidP="005E683D">
            <w:pPr>
              <w:spacing w:after="0"/>
              <w:jc w:val="center"/>
              <w:rPr>
                <w:rFonts w:ascii="Arial" w:hAnsi="Arial" w:cs="Arial"/>
                <w:sz w:val="20"/>
                <w:szCs w:val="20"/>
                <w:lang w:val="sr-Latn-CS"/>
              </w:rPr>
            </w:pPr>
            <w:r w:rsidRPr="005E683D">
              <w:rPr>
                <w:rFonts w:ascii="Arial" w:hAnsi="Arial" w:cs="Arial"/>
                <w:sz w:val="20"/>
                <w:szCs w:val="20"/>
                <w:lang w:val="sr-Latn-CS"/>
              </w:rPr>
              <w:t>NK</w:t>
            </w:r>
          </w:p>
        </w:tc>
        <w:tc>
          <w:tcPr>
            <w:tcW w:w="2627" w:type="dxa"/>
          </w:tcPr>
          <w:p w14:paraId="7E57C4C4" w14:textId="77777777" w:rsidR="00BE7D1A" w:rsidRPr="005E683D" w:rsidRDefault="00BE7D1A" w:rsidP="00EE31D4">
            <w:pPr>
              <w:spacing w:after="0"/>
              <w:jc w:val="center"/>
              <w:rPr>
                <w:rFonts w:ascii="Arial" w:hAnsi="Arial" w:cs="Arial"/>
                <w:sz w:val="20"/>
                <w:szCs w:val="20"/>
                <w:lang w:val="sr-Latn-CS"/>
              </w:rPr>
            </w:pPr>
          </w:p>
        </w:tc>
        <w:tc>
          <w:tcPr>
            <w:tcW w:w="856" w:type="dxa"/>
            <w:vAlign w:val="center"/>
          </w:tcPr>
          <w:p w14:paraId="08248759" w14:textId="77777777" w:rsidR="00BE7D1A" w:rsidRPr="005E683D" w:rsidRDefault="00BE7D1A" w:rsidP="00EE31D4">
            <w:pPr>
              <w:spacing w:after="0"/>
              <w:jc w:val="center"/>
              <w:rPr>
                <w:rFonts w:ascii="Arial" w:hAnsi="Arial" w:cs="Arial"/>
                <w:sz w:val="20"/>
                <w:szCs w:val="20"/>
                <w:lang w:val="sr-Latn-CS"/>
              </w:rPr>
            </w:pPr>
            <w:r w:rsidRPr="005E683D">
              <w:rPr>
                <w:rFonts w:ascii="Arial" w:hAnsi="Arial" w:cs="Arial"/>
                <w:sz w:val="20"/>
                <w:szCs w:val="20"/>
                <w:lang w:val="sr-Latn-CS"/>
              </w:rPr>
              <w:t>1</w:t>
            </w:r>
          </w:p>
        </w:tc>
      </w:tr>
      <w:tr w:rsidR="00BE7D1A" w:rsidRPr="00714FCC" w14:paraId="39F66C58" w14:textId="77777777" w:rsidTr="005E683D">
        <w:trPr>
          <w:trHeight w:val="243"/>
          <w:jc w:val="center"/>
        </w:trPr>
        <w:tc>
          <w:tcPr>
            <w:tcW w:w="7417" w:type="dxa"/>
            <w:gridSpan w:val="4"/>
          </w:tcPr>
          <w:p w14:paraId="63B538DF" w14:textId="6576E98F" w:rsidR="00BE7D1A" w:rsidRPr="005E683D" w:rsidRDefault="005E683D" w:rsidP="00EE31D4">
            <w:pPr>
              <w:spacing w:after="0"/>
              <w:jc w:val="both"/>
              <w:rPr>
                <w:rFonts w:ascii="Arial" w:hAnsi="Arial" w:cs="Arial"/>
                <w:b/>
                <w:sz w:val="20"/>
                <w:szCs w:val="20"/>
                <w:lang w:val="sr-Latn-CS"/>
              </w:rPr>
            </w:pPr>
            <w:r>
              <w:rPr>
                <w:rFonts w:ascii="Arial" w:hAnsi="Arial" w:cs="Arial"/>
                <w:b/>
                <w:sz w:val="20"/>
                <w:szCs w:val="20"/>
                <w:lang w:val="sr-Latn-CS"/>
              </w:rPr>
              <w:t xml:space="preserve">                                                                                                                 </w:t>
            </w:r>
            <w:r w:rsidR="00BE7D1A" w:rsidRPr="005E683D">
              <w:rPr>
                <w:rFonts w:ascii="Arial" w:hAnsi="Arial" w:cs="Arial"/>
                <w:b/>
                <w:sz w:val="20"/>
                <w:szCs w:val="20"/>
                <w:lang w:val="sr-Latn-CS"/>
              </w:rPr>
              <w:t>UKUPNO</w:t>
            </w:r>
          </w:p>
        </w:tc>
        <w:tc>
          <w:tcPr>
            <w:tcW w:w="856" w:type="dxa"/>
          </w:tcPr>
          <w:p w14:paraId="3A53BFEB" w14:textId="77777777" w:rsidR="00BE7D1A" w:rsidRPr="005E683D" w:rsidRDefault="00BE7D1A" w:rsidP="00EE31D4">
            <w:pPr>
              <w:spacing w:after="0"/>
              <w:jc w:val="center"/>
              <w:rPr>
                <w:rFonts w:ascii="Arial" w:hAnsi="Arial" w:cs="Arial"/>
                <w:b/>
                <w:sz w:val="20"/>
                <w:szCs w:val="20"/>
                <w:lang w:val="sr-Latn-CS"/>
              </w:rPr>
            </w:pPr>
            <w:r w:rsidRPr="005E683D">
              <w:rPr>
                <w:rFonts w:ascii="Arial" w:hAnsi="Arial" w:cs="Arial"/>
                <w:b/>
                <w:sz w:val="20"/>
                <w:szCs w:val="20"/>
                <w:lang w:val="sr-Latn-CS"/>
              </w:rPr>
              <w:t>13</w:t>
            </w:r>
          </w:p>
        </w:tc>
      </w:tr>
    </w:tbl>
    <w:p w14:paraId="3DA73ADE" w14:textId="77777777" w:rsidR="00BE7D1A" w:rsidRPr="00714FCC" w:rsidRDefault="00BE7D1A" w:rsidP="00BE7D1A">
      <w:pPr>
        <w:spacing w:after="0"/>
        <w:jc w:val="both"/>
        <w:rPr>
          <w:rFonts w:ascii="Arial" w:eastAsia="Calibri" w:hAnsi="Arial" w:cs="Arial"/>
          <w:b/>
          <w:lang w:val="sr-Latn-CS"/>
        </w:rPr>
      </w:pPr>
    </w:p>
    <w:p w14:paraId="1CED208E" w14:textId="5A648FA5" w:rsidR="00435E93" w:rsidRPr="005E683D" w:rsidRDefault="00BE7D1A" w:rsidP="005E683D">
      <w:pPr>
        <w:spacing w:after="0"/>
        <w:jc w:val="both"/>
        <w:rPr>
          <w:rFonts w:ascii="Arial" w:eastAsia="Calibri" w:hAnsi="Arial" w:cs="Arial"/>
          <w:lang w:val="sr-Latn-CS"/>
        </w:rPr>
      </w:pPr>
      <w:r w:rsidRPr="00714FCC">
        <w:rPr>
          <w:rFonts w:ascii="Arial" w:eastAsia="Calibri" w:hAnsi="Arial" w:cs="Arial"/>
          <w:b/>
          <w:lang w:val="sr-Latn-CS"/>
        </w:rPr>
        <w:t>Napomena:</w:t>
      </w:r>
      <w:r w:rsidRPr="00714FCC">
        <w:rPr>
          <w:rFonts w:ascii="Arial" w:eastAsia="Calibri" w:hAnsi="Arial" w:cs="Arial"/>
          <w:lang w:val="sr-Latn-CS"/>
        </w:rPr>
        <w:t xml:space="preserve"> Zaposleni treba da ispunjavaju uslove propisane čl. 93 Zakona o rudarstvu („Sl. list CG“, br. 65/08, 74/10 i 40/11). </w:t>
      </w:r>
    </w:p>
    <w:p w14:paraId="5006A135" w14:textId="77777777" w:rsidR="00744584" w:rsidRPr="00205A29" w:rsidRDefault="00DF73D1" w:rsidP="007254CE">
      <w:pPr>
        <w:pStyle w:val="Heading1"/>
        <w:numPr>
          <w:ilvl w:val="0"/>
          <w:numId w:val="20"/>
        </w:numPr>
        <w:ind w:left="0" w:firstLine="0"/>
        <w:jc w:val="both"/>
        <w:rPr>
          <w:rFonts w:ascii="Arial" w:hAnsi="Arial" w:cs="Arial"/>
          <w:sz w:val="22"/>
          <w:szCs w:val="22"/>
        </w:rPr>
      </w:pPr>
      <w:bookmarkStart w:id="20" w:name="_Toc402262948"/>
      <w:r w:rsidRPr="00205A29">
        <w:rPr>
          <w:rFonts w:ascii="Arial" w:hAnsi="Arial" w:cs="Arial"/>
          <w:sz w:val="22"/>
          <w:szCs w:val="22"/>
        </w:rPr>
        <w:lastRenderedPageBreak/>
        <w:t>MJERE ZA ZAŠTITU ŽIVOTNE SREDINE</w:t>
      </w:r>
      <w:bookmarkEnd w:id="20"/>
    </w:p>
    <w:p w14:paraId="29633BE2" w14:textId="77777777" w:rsidR="00744584" w:rsidRPr="00205A29" w:rsidRDefault="00744584" w:rsidP="007254CE">
      <w:pPr>
        <w:spacing w:after="0" w:line="240" w:lineRule="auto"/>
        <w:jc w:val="both"/>
        <w:rPr>
          <w:rFonts w:ascii="Arial" w:hAnsi="Arial" w:cs="Arial"/>
          <w:lang w:val="sr-Latn-CS"/>
        </w:rPr>
      </w:pPr>
    </w:p>
    <w:p w14:paraId="5EFD0778" w14:textId="737AB9FD"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i obrada mineralne sirovine, a time i </w:t>
      </w:r>
      <w:r w:rsidR="00A00482">
        <w:rPr>
          <w:rFonts w:ascii="Arial" w:hAnsi="Arial" w:cs="Arial"/>
          <w:lang w:val="sr-Latn-CS"/>
        </w:rPr>
        <w:t>arhitektonsko-građevins</w:t>
      </w:r>
      <w:r w:rsidR="00650A2E">
        <w:rPr>
          <w:rFonts w:ascii="Arial" w:hAnsi="Arial" w:cs="Arial"/>
          <w:lang w:val="sr-Latn-CS"/>
        </w:rPr>
        <w:t>kog kamena</w:t>
      </w:r>
      <w:r w:rsidRPr="00205A29">
        <w:rPr>
          <w:rFonts w:ascii="Arial" w:hAnsi="Arial" w:cs="Arial"/>
          <w:lang w:val="sr-Latn-CS"/>
        </w:rPr>
        <w:t>, je proces koji se, sa aspekta ekologije, smatra rizičnim.</w:t>
      </w:r>
    </w:p>
    <w:p w14:paraId="2C14738B" w14:textId="77777777" w:rsidR="00744584" w:rsidRPr="00205A29" w:rsidRDefault="00744584" w:rsidP="005E683D">
      <w:pPr>
        <w:spacing w:after="0" w:line="240" w:lineRule="auto"/>
        <w:jc w:val="both"/>
        <w:rPr>
          <w:rFonts w:ascii="Arial" w:hAnsi="Arial" w:cs="Arial"/>
          <w:lang w:val="sr-Latn-CS"/>
        </w:rPr>
      </w:pPr>
    </w:p>
    <w:p w14:paraId="27A15305"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5E683D">
      <w:pPr>
        <w:spacing w:after="0" w:line="240" w:lineRule="auto"/>
        <w:jc w:val="both"/>
        <w:rPr>
          <w:rFonts w:ascii="Arial" w:hAnsi="Arial" w:cs="Arial"/>
          <w:lang w:val="sr-Latn-CS"/>
        </w:rPr>
      </w:pPr>
    </w:p>
    <w:p w14:paraId="166AB97A" w14:textId="3A53DCCB"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772844">
        <w:rPr>
          <w:rFonts w:ascii="Arial" w:hAnsi="Arial" w:cs="Arial"/>
          <w:lang w:val="sr-Latn-CS"/>
        </w:rPr>
        <w:t>“Klikovače”</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205A29" w:rsidRDefault="00744584" w:rsidP="005E683D">
      <w:pPr>
        <w:spacing w:after="0" w:line="240" w:lineRule="auto"/>
        <w:jc w:val="both"/>
        <w:rPr>
          <w:rFonts w:ascii="Arial" w:hAnsi="Arial" w:cs="Arial"/>
          <w:lang w:val="sr-Latn-CS"/>
        </w:rPr>
      </w:pPr>
    </w:p>
    <w:p w14:paraId="7B5C44C7"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5E683D">
      <w:pPr>
        <w:spacing w:after="0" w:line="240" w:lineRule="auto"/>
        <w:jc w:val="both"/>
        <w:rPr>
          <w:rFonts w:ascii="Arial" w:hAnsi="Arial" w:cs="Arial"/>
          <w:lang w:val="sr-Latn-CS"/>
        </w:rPr>
      </w:pPr>
    </w:p>
    <w:p w14:paraId="07C7E72F"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5E683D">
      <w:pPr>
        <w:spacing w:after="0" w:line="240" w:lineRule="auto"/>
        <w:jc w:val="both"/>
        <w:rPr>
          <w:rFonts w:ascii="Arial" w:hAnsi="Arial" w:cs="Arial"/>
          <w:lang w:val="sr-Latn-CS"/>
        </w:rPr>
      </w:pPr>
    </w:p>
    <w:p w14:paraId="6AF5ACE6" w14:textId="77777777" w:rsidR="00E77AD9" w:rsidRPr="00DA6313" w:rsidRDefault="00E77AD9" w:rsidP="005E683D">
      <w:pPr>
        <w:spacing w:after="0" w:line="240" w:lineRule="auto"/>
        <w:jc w:val="both"/>
        <w:rPr>
          <w:rFonts w:ascii="Arial" w:hAnsi="Arial" w:cs="Arial"/>
          <w:noProof/>
        </w:rPr>
      </w:pPr>
      <w:bookmarkStart w:id="21" w:name="_Toc402262949"/>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p>
    <w:p w14:paraId="6DF6EE49" w14:textId="77777777" w:rsidR="00E77AD9" w:rsidRPr="00DA6313" w:rsidRDefault="00E77AD9" w:rsidP="005E683D">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352054BD" w14:textId="0F2249F7" w:rsidR="00E77AD9" w:rsidRDefault="00E77AD9" w:rsidP="005E683D">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5E683D">
      <w:pPr>
        <w:spacing w:after="0" w:line="240" w:lineRule="auto"/>
        <w:jc w:val="both"/>
        <w:rPr>
          <w:rFonts w:ascii="Arial" w:hAnsi="Arial" w:cs="Arial"/>
          <w:noProof/>
        </w:rPr>
      </w:pPr>
    </w:p>
    <w:p w14:paraId="17827ABC" w14:textId="77777777" w:rsidR="00FF7343" w:rsidRPr="00DA6313" w:rsidRDefault="00FF7343" w:rsidP="005E683D">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03AB33E0" w14:textId="77777777" w:rsidR="00FF7343" w:rsidRPr="00FF7343" w:rsidRDefault="00FF7343" w:rsidP="005E683D">
      <w:pPr>
        <w:pStyle w:val="ListParagraph"/>
        <w:numPr>
          <w:ilvl w:val="0"/>
          <w:numId w:val="30"/>
        </w:numPr>
        <w:spacing w:after="0" w:line="240" w:lineRule="auto"/>
        <w:ind w:left="630"/>
        <w:jc w:val="both"/>
        <w:rPr>
          <w:rFonts w:ascii="Arial" w:hAnsi="Arial" w:cs="Arial"/>
          <w:noProof/>
        </w:rPr>
      </w:pPr>
      <w:r w:rsidRPr="00FF7343">
        <w:rPr>
          <w:rFonts w:ascii="Arial" w:hAnsi="Arial" w:cs="Arial"/>
          <w:noProof/>
        </w:rPr>
        <w:t>Zakon o zaštiti prirode („Sl. list CG“, br. 54/16 i 18/19);</w:t>
      </w:r>
    </w:p>
    <w:p w14:paraId="59F1C6FB" w14:textId="77777777" w:rsidR="00FF7343" w:rsidRPr="00FF7343" w:rsidRDefault="00FF7343" w:rsidP="005E683D">
      <w:pPr>
        <w:pStyle w:val="ListParagraph"/>
        <w:numPr>
          <w:ilvl w:val="0"/>
          <w:numId w:val="30"/>
        </w:numPr>
        <w:spacing w:after="0" w:line="240" w:lineRule="auto"/>
        <w:ind w:left="630"/>
        <w:jc w:val="both"/>
        <w:rPr>
          <w:rFonts w:ascii="Arial" w:hAnsi="Arial" w:cs="Arial"/>
          <w:noProof/>
        </w:rPr>
      </w:pPr>
      <w:proofErr w:type="spellStart"/>
      <w:r w:rsidRPr="00FF7343">
        <w:rPr>
          <w:rFonts w:ascii="Arial" w:hAnsi="Arial" w:cs="Arial"/>
          <w:bCs/>
        </w:rPr>
        <w:t>Zakona</w:t>
      </w:r>
      <w:proofErr w:type="spellEnd"/>
      <w:r w:rsidRPr="00FF7343">
        <w:rPr>
          <w:rFonts w:ascii="Arial" w:hAnsi="Arial" w:cs="Arial"/>
          <w:bCs/>
        </w:rPr>
        <w:t xml:space="preserve"> o </w:t>
      </w:r>
      <w:proofErr w:type="spellStart"/>
      <w:r w:rsidRPr="00FF7343">
        <w:rPr>
          <w:rFonts w:ascii="Arial" w:hAnsi="Arial" w:cs="Arial"/>
          <w:bCs/>
        </w:rPr>
        <w:t>vodama</w:t>
      </w:r>
      <w:proofErr w:type="spellEnd"/>
      <w:r w:rsidRPr="00FF7343">
        <w:rPr>
          <w:rFonts w:ascii="Arial" w:hAnsi="Arial" w:cs="Arial"/>
          <w:bCs/>
        </w:rPr>
        <w:t xml:space="preserve"> (''</w:t>
      </w:r>
      <w:proofErr w:type="spellStart"/>
      <w:r w:rsidRPr="00FF7343">
        <w:rPr>
          <w:rFonts w:ascii="Arial" w:hAnsi="Arial" w:cs="Arial"/>
          <w:bCs/>
        </w:rPr>
        <w:t>Sl.list</w:t>
      </w:r>
      <w:proofErr w:type="spellEnd"/>
      <w:r w:rsidRPr="00FF7343">
        <w:rPr>
          <w:rFonts w:ascii="Arial" w:hAnsi="Arial" w:cs="Arial"/>
          <w:bCs/>
        </w:rPr>
        <w:t xml:space="preserve"> RCG'', </w:t>
      </w:r>
      <w:proofErr w:type="spellStart"/>
      <w:r w:rsidRPr="00FF7343">
        <w:rPr>
          <w:rFonts w:ascii="Arial" w:hAnsi="Arial" w:cs="Arial"/>
          <w:bCs/>
        </w:rPr>
        <w:t>broj</w:t>
      </w:r>
      <w:proofErr w:type="spellEnd"/>
      <w:r w:rsidRPr="00FF7343">
        <w:rPr>
          <w:rFonts w:ascii="Arial" w:hAnsi="Arial" w:cs="Arial"/>
          <w:bCs/>
        </w:rPr>
        <w:t xml:space="preserve"> 27/07 </w:t>
      </w:r>
      <w:proofErr w:type="spellStart"/>
      <w:r w:rsidRPr="00FF7343">
        <w:rPr>
          <w:rFonts w:ascii="Arial" w:hAnsi="Arial" w:cs="Arial"/>
          <w:bCs/>
        </w:rPr>
        <w:t>i</w:t>
      </w:r>
      <w:proofErr w:type="spellEnd"/>
      <w:r w:rsidRPr="00FF7343">
        <w:rPr>
          <w:rFonts w:ascii="Arial" w:hAnsi="Arial" w:cs="Arial"/>
          <w:bCs/>
        </w:rPr>
        <w:t xml:space="preserve"> ''</w:t>
      </w:r>
      <w:proofErr w:type="spellStart"/>
      <w:r w:rsidRPr="00FF7343">
        <w:rPr>
          <w:rFonts w:ascii="Arial" w:hAnsi="Arial" w:cs="Arial"/>
          <w:bCs/>
        </w:rPr>
        <w:t>Sl.list</w:t>
      </w:r>
      <w:proofErr w:type="spellEnd"/>
      <w:r w:rsidRPr="00FF7343">
        <w:rPr>
          <w:rFonts w:ascii="Arial" w:hAnsi="Arial" w:cs="Arial"/>
          <w:bCs/>
        </w:rPr>
        <w:t xml:space="preserve"> CG'', br.32/11, 48/15, 52/16 </w:t>
      </w:r>
      <w:proofErr w:type="spellStart"/>
      <w:r w:rsidRPr="00FF7343">
        <w:rPr>
          <w:rFonts w:ascii="Arial" w:hAnsi="Arial" w:cs="Arial"/>
          <w:bCs/>
        </w:rPr>
        <w:t>i</w:t>
      </w:r>
      <w:proofErr w:type="spellEnd"/>
      <w:r w:rsidRPr="00FF7343">
        <w:rPr>
          <w:rFonts w:ascii="Arial" w:hAnsi="Arial" w:cs="Arial"/>
          <w:bCs/>
        </w:rPr>
        <w:t xml:space="preserve"> 84/18)</w:t>
      </w:r>
    </w:p>
    <w:p w14:paraId="2B6B6446" w14:textId="77777777" w:rsidR="00FF7343" w:rsidRPr="00DA6313" w:rsidRDefault="00FF7343" w:rsidP="005E683D">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51F2AA25" w14:textId="77777777" w:rsidR="00FF7343" w:rsidRPr="00BC074D" w:rsidRDefault="00FF7343" w:rsidP="005E683D">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657629AD" w14:textId="77777777" w:rsidR="00FF7343" w:rsidRPr="00BC074D" w:rsidRDefault="00FF7343" w:rsidP="005E683D">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0129C2B2" w14:textId="77777777" w:rsidR="00FF7343" w:rsidRPr="00BC074D" w:rsidRDefault="00FF7343" w:rsidP="005E683D">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3A1EC8E8" w14:textId="77777777" w:rsidR="00FF7343" w:rsidRDefault="00FF7343" w:rsidP="005E683D">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15269274" w14:textId="77777777" w:rsidR="007254CE" w:rsidRPr="007254CE" w:rsidRDefault="007254CE" w:rsidP="005E683D">
      <w:pPr>
        <w:spacing w:after="0" w:line="240" w:lineRule="auto"/>
        <w:jc w:val="both"/>
        <w:rPr>
          <w:rFonts w:ascii="Arial" w:hAnsi="Arial" w:cs="Arial"/>
          <w:noProof/>
        </w:rPr>
      </w:pPr>
    </w:p>
    <w:p w14:paraId="3F60B437" w14:textId="7F9E9090" w:rsidR="008B6DB0" w:rsidRPr="00205A29" w:rsidRDefault="00592620" w:rsidP="005E683D">
      <w:pPr>
        <w:pStyle w:val="Heading1"/>
        <w:numPr>
          <w:ilvl w:val="0"/>
          <w:numId w:val="28"/>
        </w:numPr>
        <w:ind w:left="360"/>
        <w:jc w:val="both"/>
        <w:rPr>
          <w:rFonts w:ascii="Arial" w:hAnsi="Arial" w:cs="Arial"/>
          <w:sz w:val="22"/>
          <w:szCs w:val="22"/>
        </w:rPr>
      </w:pPr>
      <w:r w:rsidRPr="00004B4A">
        <w:rPr>
          <w:rFonts w:ascii="Arial" w:hAnsi="Arial" w:cs="Arial"/>
          <w:sz w:val="22"/>
          <w:szCs w:val="22"/>
        </w:rPr>
        <w:t>REKULTIVACIJA</w:t>
      </w:r>
      <w:r w:rsidRPr="00205A29">
        <w:rPr>
          <w:rFonts w:ascii="Arial" w:hAnsi="Arial" w:cs="Arial"/>
          <w:sz w:val="22"/>
          <w:szCs w:val="22"/>
        </w:rPr>
        <w:t xml:space="preserve"> ISTRAŽNO-EKSPLOATACIONOG </w:t>
      </w:r>
      <w:r w:rsidR="001850F7" w:rsidRPr="00205A29">
        <w:rPr>
          <w:rFonts w:ascii="Arial" w:hAnsi="Arial" w:cs="Arial"/>
          <w:sz w:val="22"/>
          <w:szCs w:val="22"/>
        </w:rPr>
        <w:t xml:space="preserve">PROSTORA </w:t>
      </w:r>
      <w:r w:rsidR="001850F7">
        <w:rPr>
          <w:rFonts w:ascii="Arial" w:hAnsi="Arial" w:cs="Arial"/>
          <w:sz w:val="22"/>
          <w:szCs w:val="22"/>
        </w:rPr>
        <w:t>“KLIKOVAČE”</w:t>
      </w:r>
      <w:bookmarkEnd w:id="21"/>
    </w:p>
    <w:p w14:paraId="7BEE88B4" w14:textId="77777777" w:rsidR="00744584" w:rsidRPr="00205A29" w:rsidRDefault="00744584" w:rsidP="005E683D">
      <w:pPr>
        <w:spacing w:after="0" w:line="240" w:lineRule="auto"/>
        <w:jc w:val="both"/>
        <w:rPr>
          <w:rFonts w:ascii="Arial" w:hAnsi="Arial" w:cs="Arial"/>
          <w:lang w:val="sr-Latn-CS"/>
        </w:rPr>
      </w:pPr>
    </w:p>
    <w:p w14:paraId="08FF62B8" w14:textId="7777C816"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 xml:space="preserve">šinskom kopu </w:t>
      </w:r>
      <w:r w:rsidR="00772844">
        <w:rPr>
          <w:rFonts w:ascii="Arial" w:hAnsi="Arial" w:cs="Arial"/>
          <w:lang w:val="sr-Latn-CS"/>
        </w:rPr>
        <w:t>“Klikovače”</w:t>
      </w:r>
      <w:r w:rsidR="00175925" w:rsidRPr="00205A29">
        <w:rPr>
          <w:rFonts w:ascii="Arial" w:hAnsi="Arial" w:cs="Arial"/>
          <w:lang w:val="sr-Latn-CS"/>
        </w:rPr>
        <w:t xml:space="preserve"> </w:t>
      </w:r>
      <w:r w:rsidRPr="00205A29">
        <w:rPr>
          <w:rFonts w:ascii="Arial" w:hAnsi="Arial" w:cs="Arial"/>
          <w:lang w:val="sr-Latn-CS"/>
        </w:rPr>
        <w:t xml:space="preserve">sa kvalitativnom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5E683D">
      <w:pPr>
        <w:spacing w:after="0" w:line="240" w:lineRule="auto"/>
        <w:jc w:val="both"/>
        <w:rPr>
          <w:rFonts w:ascii="Arial" w:hAnsi="Arial" w:cs="Arial"/>
          <w:lang w:val="sr-Latn-CS"/>
        </w:rPr>
      </w:pPr>
    </w:p>
    <w:p w14:paraId="2FF3595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7254CE">
      <w:pPr>
        <w:spacing w:after="0" w:line="240" w:lineRule="auto"/>
        <w:jc w:val="both"/>
        <w:rPr>
          <w:rFonts w:ascii="Arial" w:hAnsi="Arial" w:cs="Arial"/>
          <w:lang w:val="sr-Latn-CS"/>
        </w:rPr>
      </w:pPr>
    </w:p>
    <w:p w14:paraId="621C62BB" w14:textId="4A554646"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lastRenderedPageBreak/>
        <w:t xml:space="preserve">Novi zakonski uslovi za eksploataciju zahtijevaju da se izvrši rekultivacija prostora koji će biti degradiran obavljanjem koncesione djelatnosti, a sve to u cilju poboljšanja ekoloških uslova na samom </w:t>
      </w:r>
      <w:r w:rsidR="001850F7">
        <w:rPr>
          <w:rFonts w:ascii="Arial" w:hAnsi="Arial" w:cs="Arial"/>
          <w:lang w:val="sr-Latn-CS"/>
        </w:rPr>
        <w:t>ležišt</w:t>
      </w:r>
      <w:r w:rsidRPr="00205A29">
        <w:rPr>
          <w:rFonts w:ascii="Arial" w:hAnsi="Arial" w:cs="Arial"/>
          <w:lang w:val="sr-Latn-CS"/>
        </w:rPr>
        <w:t>u i neposrednoj okolini.</w:t>
      </w:r>
    </w:p>
    <w:p w14:paraId="7604890E" w14:textId="77777777" w:rsidR="00744584" w:rsidRPr="00205A29" w:rsidRDefault="00744584" w:rsidP="005E683D">
      <w:pPr>
        <w:spacing w:after="0" w:line="240" w:lineRule="auto"/>
        <w:jc w:val="both"/>
        <w:rPr>
          <w:rFonts w:ascii="Arial" w:hAnsi="Arial" w:cs="Arial"/>
          <w:lang w:val="sr-Latn-CS"/>
        </w:rPr>
      </w:pPr>
    </w:p>
    <w:p w14:paraId="6615B92E" w14:textId="006802D7" w:rsidR="00251A33" w:rsidRPr="00251A33" w:rsidRDefault="00744584" w:rsidP="005E683D">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A6DF592" w14:textId="77777777" w:rsidR="00744584" w:rsidRPr="00484F44" w:rsidRDefault="00744584" w:rsidP="005E683D">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5E683D">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5E683D">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5E683D">
      <w:pPr>
        <w:spacing w:after="0" w:line="240" w:lineRule="auto"/>
        <w:jc w:val="both"/>
        <w:rPr>
          <w:rFonts w:ascii="Arial" w:hAnsi="Arial" w:cs="Arial"/>
          <w:lang w:val="sr-Latn-CS"/>
        </w:rPr>
      </w:pPr>
    </w:p>
    <w:p w14:paraId="642C96C6" w14:textId="56E65C98"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650A2E">
        <w:rPr>
          <w:rFonts w:ascii="Arial" w:hAnsi="Arial" w:cs="Arial"/>
          <w:lang w:val="sr-Latn-CS"/>
        </w:rPr>
        <w:t>ležišt</w:t>
      </w:r>
      <w:r w:rsidRPr="00205A29">
        <w:rPr>
          <w:rFonts w:ascii="Arial" w:hAnsi="Arial" w:cs="Arial"/>
          <w:lang w:val="sr-Latn-CS"/>
        </w:rPr>
        <w:t xml:space="preserve">u, sasvim moguće. </w:t>
      </w:r>
    </w:p>
    <w:p w14:paraId="1DA10905" w14:textId="77777777" w:rsidR="00744584" w:rsidRPr="00205A29" w:rsidRDefault="00744584" w:rsidP="005E683D">
      <w:pPr>
        <w:spacing w:after="0" w:line="240" w:lineRule="auto"/>
        <w:jc w:val="both"/>
        <w:rPr>
          <w:rFonts w:ascii="Arial" w:hAnsi="Arial" w:cs="Arial"/>
          <w:lang w:val="sr-Latn-CS"/>
        </w:rPr>
      </w:pPr>
    </w:p>
    <w:p w14:paraId="45E3BC30" w14:textId="77777777" w:rsidR="00C4558C" w:rsidRDefault="00744584" w:rsidP="005E683D">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p>
    <w:p w14:paraId="4CB76031" w14:textId="77777777" w:rsidR="00C4558C" w:rsidRDefault="00C4558C" w:rsidP="005E683D">
      <w:pPr>
        <w:spacing w:after="0" w:line="240" w:lineRule="auto"/>
        <w:jc w:val="both"/>
        <w:rPr>
          <w:rFonts w:ascii="Arial" w:hAnsi="Arial" w:cs="Arial"/>
          <w:lang w:val="sr-Latn-CS"/>
        </w:rPr>
      </w:pPr>
    </w:p>
    <w:p w14:paraId="31F22114"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p>
    <w:p w14:paraId="30EBB79C" w14:textId="77777777" w:rsidR="00744584" w:rsidRPr="00205A29" w:rsidRDefault="00744584" w:rsidP="005E683D">
      <w:pPr>
        <w:spacing w:after="0" w:line="240" w:lineRule="auto"/>
        <w:jc w:val="both"/>
        <w:rPr>
          <w:rFonts w:ascii="Arial" w:hAnsi="Arial" w:cs="Arial"/>
          <w:lang w:val="sr-Latn-CS"/>
        </w:rPr>
      </w:pPr>
    </w:p>
    <w:p w14:paraId="5DEFB01D" w14:textId="77777777" w:rsidR="00744584" w:rsidRDefault="00744584" w:rsidP="005E683D">
      <w:pPr>
        <w:spacing w:after="0" w:line="240" w:lineRule="auto"/>
        <w:jc w:val="both"/>
        <w:rPr>
          <w:rFonts w:ascii="Arial" w:hAnsi="Arial" w:cs="Arial"/>
          <w:lang w:val="sr-Latn-CS"/>
        </w:rPr>
      </w:pPr>
      <w:r w:rsidRPr="00205A29">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205A29" w:rsidRDefault="00E77AD9" w:rsidP="005E683D">
      <w:pPr>
        <w:spacing w:after="0" w:line="240" w:lineRule="auto"/>
        <w:jc w:val="both"/>
        <w:rPr>
          <w:rFonts w:ascii="Arial" w:hAnsi="Arial" w:cs="Arial"/>
          <w:lang w:val="sr-Latn-CS"/>
        </w:rPr>
      </w:pPr>
    </w:p>
    <w:p w14:paraId="07FAFF9B" w14:textId="77777777" w:rsidR="00754CD0"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205A29" w:rsidRDefault="002305FB" w:rsidP="005E683D">
      <w:pPr>
        <w:spacing w:after="0" w:line="240" w:lineRule="auto"/>
        <w:jc w:val="both"/>
        <w:rPr>
          <w:rFonts w:ascii="Arial" w:hAnsi="Arial" w:cs="Arial"/>
          <w:lang w:val="sr-Latn-CS"/>
        </w:rPr>
      </w:pPr>
    </w:p>
    <w:p w14:paraId="22DA6205" w14:textId="77777777" w:rsidR="00744584" w:rsidRPr="00004B4A" w:rsidRDefault="00A41658" w:rsidP="005E683D">
      <w:pPr>
        <w:pStyle w:val="Heading2"/>
      </w:pPr>
      <w:bookmarkStart w:id="22" w:name="_Toc402262950"/>
      <w:r w:rsidRPr="00004B4A">
        <w:t xml:space="preserve">5.1 </w:t>
      </w:r>
      <w:r w:rsidR="00744584" w:rsidRPr="00004B4A">
        <w:t>Zaključak</w:t>
      </w:r>
      <w:bookmarkEnd w:id="22"/>
    </w:p>
    <w:p w14:paraId="2EEF26EB" w14:textId="77777777" w:rsidR="00744584" w:rsidRPr="00004B4A" w:rsidRDefault="00744584" w:rsidP="005E683D">
      <w:pPr>
        <w:spacing w:after="0" w:line="240" w:lineRule="auto"/>
        <w:jc w:val="both"/>
        <w:rPr>
          <w:rFonts w:ascii="Arial" w:hAnsi="Arial" w:cs="Arial"/>
          <w:lang w:val="sr-Latn-CS"/>
        </w:rPr>
      </w:pPr>
    </w:p>
    <w:p w14:paraId="27B4DBB1" w14:textId="77777777" w:rsidR="00744584" w:rsidRPr="00205A29" w:rsidRDefault="00436FEF" w:rsidP="005E683D">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5E683D">
      <w:pPr>
        <w:spacing w:after="0" w:line="240" w:lineRule="auto"/>
        <w:jc w:val="both"/>
        <w:rPr>
          <w:rFonts w:ascii="Arial" w:hAnsi="Arial" w:cs="Arial"/>
          <w:lang w:val="sr-Latn-CS"/>
        </w:rPr>
      </w:pPr>
    </w:p>
    <w:p w14:paraId="63FF3B69"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5E683D">
      <w:pPr>
        <w:spacing w:after="0" w:line="240" w:lineRule="auto"/>
        <w:jc w:val="both"/>
        <w:rPr>
          <w:rFonts w:ascii="Arial" w:hAnsi="Arial" w:cs="Arial"/>
          <w:lang w:val="sr-Latn-CS"/>
        </w:rPr>
      </w:pPr>
    </w:p>
    <w:p w14:paraId="2B05B971" w14:textId="77777777" w:rsidR="00744584" w:rsidRPr="00205A29" w:rsidRDefault="00744584" w:rsidP="005E683D">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5E683D">
      <w:pPr>
        <w:spacing w:after="0" w:line="240" w:lineRule="auto"/>
        <w:jc w:val="both"/>
        <w:rPr>
          <w:rFonts w:ascii="Arial" w:hAnsi="Arial" w:cs="Arial"/>
          <w:lang w:val="sr-Latn-CS"/>
        </w:rPr>
      </w:pPr>
    </w:p>
    <w:p w14:paraId="65C76773" w14:textId="3141A342"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(“Sl. list CG”, br. 51/11).</w:t>
      </w:r>
    </w:p>
    <w:p w14:paraId="666ED7B2" w14:textId="731440EE" w:rsidR="00744584" w:rsidRPr="00205A29" w:rsidRDefault="00592620" w:rsidP="007254CE">
      <w:pPr>
        <w:pStyle w:val="Heading1"/>
        <w:numPr>
          <w:ilvl w:val="0"/>
          <w:numId w:val="28"/>
        </w:numPr>
        <w:jc w:val="both"/>
        <w:rPr>
          <w:rFonts w:ascii="Arial" w:hAnsi="Arial" w:cs="Arial"/>
          <w:sz w:val="22"/>
          <w:szCs w:val="22"/>
        </w:rPr>
      </w:pPr>
      <w:bookmarkStart w:id="23" w:name="_Toc402262951"/>
      <w:r w:rsidRPr="00004B4A">
        <w:rPr>
          <w:rFonts w:ascii="Arial" w:hAnsi="Arial" w:cs="Arial"/>
          <w:sz w:val="22"/>
          <w:szCs w:val="22"/>
        </w:rPr>
        <w:lastRenderedPageBreak/>
        <w:t>UNAPREĐENJE ENERGETSKE</w:t>
      </w:r>
      <w:r w:rsidRPr="00205A29">
        <w:rPr>
          <w:rFonts w:ascii="Arial" w:hAnsi="Arial" w:cs="Arial"/>
          <w:sz w:val="22"/>
          <w:szCs w:val="22"/>
        </w:rPr>
        <w:t xml:space="preserve"> EFIKASNOSTI</w:t>
      </w:r>
      <w:bookmarkEnd w:id="23"/>
    </w:p>
    <w:p w14:paraId="4555C2B2" w14:textId="77777777" w:rsidR="00744584" w:rsidRPr="00205A29" w:rsidRDefault="00744584" w:rsidP="007254CE">
      <w:pPr>
        <w:spacing w:after="0" w:line="240" w:lineRule="auto"/>
        <w:jc w:val="both"/>
        <w:rPr>
          <w:rFonts w:ascii="Arial" w:hAnsi="Arial" w:cs="Arial"/>
          <w:lang w:val="sr-Latn-CS"/>
        </w:rPr>
      </w:pPr>
    </w:p>
    <w:p w14:paraId="061B0A3F"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7254CE">
      <w:pPr>
        <w:spacing w:after="0" w:line="240" w:lineRule="auto"/>
        <w:jc w:val="both"/>
        <w:rPr>
          <w:rFonts w:ascii="Arial" w:hAnsi="Arial" w:cs="Arial"/>
          <w:noProof/>
        </w:rPr>
      </w:pPr>
    </w:p>
    <w:p w14:paraId="7567F4F1" w14:textId="77777777" w:rsidR="00E77AD9" w:rsidRDefault="00E77AD9" w:rsidP="007254C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9CDAF0A" w14:textId="77777777" w:rsidR="004A14DB" w:rsidRDefault="004A14DB" w:rsidP="007254CE">
      <w:pPr>
        <w:spacing w:after="0" w:line="240" w:lineRule="auto"/>
        <w:jc w:val="both"/>
        <w:rPr>
          <w:rFonts w:ascii="Arial" w:hAnsi="Arial" w:cs="Arial"/>
          <w:b/>
          <w:lang w:val="sr-Latn-CS"/>
        </w:rPr>
      </w:pPr>
    </w:p>
    <w:p w14:paraId="5BAE7CEA" w14:textId="77777777" w:rsidR="007254CE" w:rsidRPr="00205A29" w:rsidRDefault="007254CE" w:rsidP="007254CE">
      <w:pPr>
        <w:spacing w:after="0" w:line="240" w:lineRule="auto"/>
        <w:jc w:val="both"/>
        <w:rPr>
          <w:rFonts w:ascii="Arial" w:hAnsi="Arial" w:cs="Arial"/>
          <w:b/>
          <w:lang w:val="sr-Latn-CS"/>
        </w:rPr>
      </w:pPr>
    </w:p>
    <w:p w14:paraId="355BE203" w14:textId="77777777" w:rsidR="00592620" w:rsidRPr="00004B4A" w:rsidRDefault="00A41658" w:rsidP="007254CE">
      <w:pPr>
        <w:pStyle w:val="Heading1"/>
        <w:numPr>
          <w:ilvl w:val="0"/>
          <w:numId w:val="0"/>
        </w:numPr>
        <w:ind w:left="360"/>
        <w:jc w:val="both"/>
        <w:rPr>
          <w:rFonts w:ascii="Arial" w:hAnsi="Arial" w:cs="Arial"/>
          <w:sz w:val="22"/>
          <w:szCs w:val="22"/>
        </w:rPr>
      </w:pPr>
      <w:bookmarkStart w:id="24" w:name="_Toc390549906"/>
      <w:bookmarkStart w:id="25" w:name="_Toc402262952"/>
      <w:r>
        <w:rPr>
          <w:rFonts w:ascii="Arial" w:hAnsi="Arial" w:cs="Arial"/>
          <w:sz w:val="22"/>
          <w:szCs w:val="22"/>
        </w:rPr>
        <w:t>7</w:t>
      </w:r>
      <w:r w:rsidRPr="00004B4A">
        <w:rPr>
          <w:rFonts w:ascii="Arial" w:hAnsi="Arial" w:cs="Arial"/>
          <w:sz w:val="22"/>
          <w:szCs w:val="22"/>
        </w:rPr>
        <w:t xml:space="preserve">. </w:t>
      </w:r>
      <w:r w:rsidR="00592620" w:rsidRPr="00004B4A">
        <w:rPr>
          <w:rFonts w:ascii="Arial" w:hAnsi="Arial" w:cs="Arial"/>
          <w:sz w:val="22"/>
          <w:szCs w:val="22"/>
        </w:rPr>
        <w:t xml:space="preserve">USLOVI KOJE JE DUŽAN DA ISPUNJAVA KONCESIONAR U POGLEDU TEHNIČKE </w:t>
      </w:r>
    </w:p>
    <w:p w14:paraId="3D5D7766" w14:textId="0197B937" w:rsidR="00744584" w:rsidRPr="00205A29" w:rsidRDefault="00592620" w:rsidP="00B21F9C">
      <w:pPr>
        <w:pStyle w:val="Heading1"/>
        <w:numPr>
          <w:ilvl w:val="0"/>
          <w:numId w:val="0"/>
        </w:numPr>
        <w:ind w:left="720"/>
        <w:jc w:val="both"/>
        <w:rPr>
          <w:rFonts w:ascii="Arial" w:hAnsi="Arial" w:cs="Arial"/>
          <w:sz w:val="22"/>
          <w:szCs w:val="22"/>
        </w:rPr>
      </w:pPr>
      <w:r w:rsidRPr="00004B4A">
        <w:rPr>
          <w:rFonts w:ascii="Arial" w:hAnsi="Arial" w:cs="Arial"/>
          <w:sz w:val="22"/>
          <w:szCs w:val="22"/>
        </w:rPr>
        <w:t>OPREMLJENOSTI</w:t>
      </w:r>
      <w:r w:rsidRPr="00205A29">
        <w:rPr>
          <w:rFonts w:ascii="Arial" w:hAnsi="Arial" w:cs="Arial"/>
          <w:sz w:val="22"/>
          <w:szCs w:val="22"/>
        </w:rPr>
        <w:t>, FINANSIJSKE SPOSOBNOSTI I OSTALE REFERENCE I DOKAZE O ISPUNJAVANJU TIH USLOVA</w:t>
      </w:r>
      <w:bookmarkEnd w:id="24"/>
      <w:bookmarkEnd w:id="25"/>
    </w:p>
    <w:p w14:paraId="45BA4E02" w14:textId="77777777" w:rsidR="00744584" w:rsidRPr="00205A29" w:rsidRDefault="00744584" w:rsidP="007254CE">
      <w:pPr>
        <w:spacing w:after="0" w:line="240" w:lineRule="auto"/>
        <w:jc w:val="both"/>
        <w:rPr>
          <w:rFonts w:ascii="Arial" w:hAnsi="Arial" w:cs="Arial"/>
          <w:b/>
          <w:lang w:val="sr-Latn-CS"/>
        </w:rPr>
      </w:pPr>
    </w:p>
    <w:p w14:paraId="174F8748"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7254CE">
      <w:pPr>
        <w:spacing w:after="0" w:line="240" w:lineRule="auto"/>
        <w:jc w:val="both"/>
        <w:rPr>
          <w:rFonts w:ascii="Arial" w:hAnsi="Arial" w:cs="Arial"/>
          <w:b/>
          <w:lang w:val="sr-Latn-CS"/>
        </w:rPr>
      </w:pPr>
    </w:p>
    <w:p w14:paraId="332FBF6E" w14:textId="20DFEB98"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5DEF131F" w:rsidR="00744584"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4A14DB">
        <w:rPr>
          <w:rFonts w:ascii="Arial" w:hAnsi="Arial" w:cs="Arial"/>
          <w:lang w:val="sr-Latn-CS"/>
        </w:rPr>
        <w:t>ležišt</w:t>
      </w:r>
      <w:r w:rsidRPr="00205A29">
        <w:rPr>
          <w:rFonts w:ascii="Arial" w:hAnsi="Arial" w:cs="Arial"/>
          <w:lang w:val="sr-Latn-CS"/>
        </w:rPr>
        <w:t>u;</w:t>
      </w:r>
    </w:p>
    <w:p w14:paraId="59A67776" w14:textId="7B906C79" w:rsidR="00BA5DA7"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7254C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Pr="00C12E10" w:rsidRDefault="00C12E10" w:rsidP="007254CE">
      <w:pPr>
        <w:numPr>
          <w:ilvl w:val="0"/>
          <w:numId w:val="11"/>
        </w:numPr>
        <w:spacing w:after="0" w:line="240" w:lineRule="auto"/>
        <w:jc w:val="both"/>
        <w:rPr>
          <w:rFonts w:ascii="Arial" w:hAnsi="Arial" w:cs="Arial"/>
          <w:lang w:val="sr-Latn-CS"/>
        </w:rPr>
      </w:pPr>
      <w:r w:rsidRPr="00C12E1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C1C96DC" w14:textId="77777777" w:rsidR="006610CA" w:rsidRPr="00205A29" w:rsidRDefault="006610CA" w:rsidP="007254CE">
      <w:pPr>
        <w:spacing w:after="0" w:line="240" w:lineRule="auto"/>
        <w:jc w:val="both"/>
        <w:rPr>
          <w:rFonts w:ascii="Arial" w:hAnsi="Arial" w:cs="Arial"/>
          <w:lang w:val="sr-Latn-CS"/>
        </w:rPr>
      </w:pPr>
    </w:p>
    <w:p w14:paraId="5639B75D" w14:textId="77777777" w:rsidR="00744584" w:rsidRPr="00205A29" w:rsidRDefault="00592620" w:rsidP="007254CE">
      <w:pPr>
        <w:pStyle w:val="Heading1"/>
        <w:numPr>
          <w:ilvl w:val="0"/>
          <w:numId w:val="29"/>
        </w:numPr>
        <w:jc w:val="both"/>
        <w:rPr>
          <w:rFonts w:ascii="Arial" w:hAnsi="Arial" w:cs="Arial"/>
          <w:sz w:val="22"/>
          <w:szCs w:val="22"/>
        </w:rPr>
      </w:pPr>
      <w:bookmarkStart w:id="26"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6"/>
    </w:p>
    <w:p w14:paraId="7F3C52B5" w14:textId="77777777" w:rsidR="00744584" w:rsidRPr="00205A29" w:rsidRDefault="00744584" w:rsidP="007254CE">
      <w:pPr>
        <w:spacing w:after="0" w:line="240" w:lineRule="auto"/>
        <w:jc w:val="both"/>
        <w:rPr>
          <w:rFonts w:ascii="Arial" w:hAnsi="Arial" w:cs="Arial"/>
          <w:lang w:val="sr-Latn-CS"/>
        </w:rPr>
      </w:pPr>
    </w:p>
    <w:p w14:paraId="483DE77C" w14:textId="77777777"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7254CE">
      <w:pPr>
        <w:spacing w:after="0" w:line="240" w:lineRule="auto"/>
        <w:jc w:val="both"/>
        <w:rPr>
          <w:rFonts w:ascii="Arial" w:hAnsi="Arial" w:cs="Arial"/>
          <w:lang w:val="sr-Latn-CS"/>
        </w:rPr>
      </w:pPr>
    </w:p>
    <w:p w14:paraId="63E83896" w14:textId="7E6B3B53" w:rsidR="00E77AD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7254CE">
      <w:pPr>
        <w:spacing w:after="0" w:line="240" w:lineRule="auto"/>
        <w:jc w:val="both"/>
        <w:rPr>
          <w:rFonts w:ascii="Arial" w:hAnsi="Arial" w:cs="Arial"/>
          <w:lang w:val="sr-Latn-CS"/>
        </w:rPr>
      </w:pPr>
    </w:p>
    <w:p w14:paraId="5ECFB27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7254CE">
      <w:pPr>
        <w:spacing w:after="0" w:line="240" w:lineRule="auto"/>
        <w:jc w:val="both"/>
        <w:rPr>
          <w:rFonts w:ascii="Arial" w:hAnsi="Arial" w:cs="Arial"/>
          <w:lang w:val="sr-Latn-CS"/>
        </w:rPr>
      </w:pPr>
    </w:p>
    <w:p w14:paraId="281687A6" w14:textId="77777777" w:rsidR="00297F2E" w:rsidRPr="00004B4A" w:rsidRDefault="001E4D4F" w:rsidP="007254CE">
      <w:pPr>
        <w:pStyle w:val="Heading2"/>
      </w:pPr>
      <w:bookmarkStart w:id="27" w:name="_Toc402262954"/>
      <w:r w:rsidRPr="00004B4A">
        <w:t xml:space="preserve">8.1 </w:t>
      </w:r>
      <w:r w:rsidR="00744584" w:rsidRPr="00004B4A">
        <w:t>Minimalni - početni iznos koncesione naknade za eksploataciju</w:t>
      </w:r>
      <w:bookmarkEnd w:id="27"/>
    </w:p>
    <w:p w14:paraId="035EB1E4" w14:textId="77777777" w:rsidR="00933594" w:rsidRPr="00004B4A" w:rsidRDefault="00933594" w:rsidP="007254CE">
      <w:pPr>
        <w:spacing w:after="0" w:line="240" w:lineRule="auto"/>
        <w:jc w:val="both"/>
        <w:rPr>
          <w:rFonts w:ascii="Arial" w:hAnsi="Arial" w:cs="Arial"/>
          <w:lang w:val="sr-Latn-CS"/>
        </w:rPr>
      </w:pPr>
    </w:p>
    <w:p w14:paraId="62DB2F59" w14:textId="77777777" w:rsidR="00744584" w:rsidRDefault="00744584"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0DB45A07" w14:textId="77777777" w:rsidR="005278F9" w:rsidRPr="00004B4A" w:rsidRDefault="005278F9" w:rsidP="007254CE">
      <w:pPr>
        <w:spacing w:after="0" w:line="240" w:lineRule="auto"/>
        <w:jc w:val="both"/>
        <w:rPr>
          <w:rFonts w:ascii="Arial" w:hAnsi="Arial" w:cs="Arial"/>
          <w:lang w:val="sr-Latn-CS"/>
        </w:rPr>
      </w:pPr>
    </w:p>
    <w:p w14:paraId="5AEE7936"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rezervi mineralne sirovine koja je predmet koncesije;</w:t>
      </w:r>
    </w:p>
    <w:p w14:paraId="09ACEF14"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pripadnosti grupi ležišta;</w:t>
      </w:r>
    </w:p>
    <w:p w14:paraId="4A5C794E"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proofErr w:type="spellStart"/>
      <w:r w:rsidRPr="00004B4A">
        <w:rPr>
          <w:rFonts w:ascii="Arial" w:hAnsi="Arial" w:cs="Arial"/>
        </w:rPr>
        <w:t>kvaliteta</w:t>
      </w:r>
      <w:proofErr w:type="spellEnd"/>
      <w:r w:rsidRPr="00004B4A">
        <w:rPr>
          <w:rFonts w:ascii="Arial" w:hAnsi="Arial" w:cs="Arial"/>
        </w:rPr>
        <w:t xml:space="preserve"> </w:t>
      </w:r>
      <w:proofErr w:type="spellStart"/>
      <w:r w:rsidRPr="00004B4A">
        <w:rPr>
          <w:rFonts w:ascii="Arial" w:hAnsi="Arial" w:cs="Arial"/>
        </w:rPr>
        <w:t>mineralne</w:t>
      </w:r>
      <w:proofErr w:type="spellEnd"/>
      <w:r w:rsidRPr="00004B4A">
        <w:rPr>
          <w:rFonts w:ascii="Arial" w:hAnsi="Arial" w:cs="Arial"/>
        </w:rPr>
        <w:t xml:space="preserve"> </w:t>
      </w:r>
      <w:proofErr w:type="spellStart"/>
      <w:r w:rsidRPr="00004B4A">
        <w:rPr>
          <w:rFonts w:ascii="Arial" w:hAnsi="Arial" w:cs="Arial"/>
        </w:rPr>
        <w:t>sirovine</w:t>
      </w:r>
      <w:proofErr w:type="spellEnd"/>
    </w:p>
    <w:p w14:paraId="04502B35" w14:textId="6ED8E698" w:rsidR="00DC7002"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FE5012" w:rsidRDefault="00B21F9C" w:rsidP="00FE5012">
      <w:pPr>
        <w:spacing w:after="0" w:line="240" w:lineRule="auto"/>
        <w:jc w:val="both"/>
        <w:rPr>
          <w:rFonts w:ascii="Arial" w:hAnsi="Arial" w:cs="Arial"/>
          <w:lang w:val="sr-Latn-CS"/>
        </w:rPr>
      </w:pPr>
    </w:p>
    <w:p w14:paraId="129646A8" w14:textId="77777777" w:rsidR="00744584" w:rsidRPr="00004B4A" w:rsidRDefault="00A41658" w:rsidP="007254CE">
      <w:pPr>
        <w:pStyle w:val="Heading3"/>
        <w:spacing w:after="0" w:line="240" w:lineRule="auto"/>
        <w:jc w:val="both"/>
        <w:rPr>
          <w:rFonts w:ascii="Arial" w:hAnsi="Arial" w:cs="Arial"/>
          <w:sz w:val="22"/>
          <w:szCs w:val="22"/>
        </w:rPr>
      </w:pPr>
      <w:bookmarkStart w:id="28" w:name="_Toc402262955"/>
      <w:r w:rsidRPr="00004B4A">
        <w:rPr>
          <w:rFonts w:ascii="Arial" w:hAnsi="Arial" w:cs="Arial"/>
          <w:sz w:val="22"/>
          <w:szCs w:val="22"/>
        </w:rPr>
        <w:t>8</w:t>
      </w:r>
      <w:r w:rsidR="0097368A" w:rsidRPr="00004B4A">
        <w:rPr>
          <w:rFonts w:ascii="Arial" w:hAnsi="Arial" w:cs="Arial"/>
          <w:sz w:val="22"/>
          <w:szCs w:val="22"/>
        </w:rPr>
        <w:t xml:space="preserve">.1.1 </w:t>
      </w:r>
      <w:r w:rsidR="00744584" w:rsidRPr="00004B4A">
        <w:rPr>
          <w:rFonts w:ascii="Arial" w:hAnsi="Arial" w:cs="Arial"/>
          <w:sz w:val="22"/>
          <w:szCs w:val="22"/>
        </w:rPr>
        <w:t>Rezerve mineralne sirovine</w:t>
      </w:r>
      <w:bookmarkEnd w:id="28"/>
    </w:p>
    <w:p w14:paraId="2A214990" w14:textId="77777777" w:rsidR="000E197C" w:rsidRPr="00004B4A" w:rsidRDefault="000E197C" w:rsidP="007254CE">
      <w:pPr>
        <w:spacing w:after="0" w:line="240" w:lineRule="auto"/>
        <w:rPr>
          <w:rFonts w:ascii="Arial" w:hAnsi="Arial" w:cs="Arial"/>
          <w:lang w:val="sr-Latn-CS"/>
        </w:rPr>
      </w:pPr>
    </w:p>
    <w:p w14:paraId="04C62B8E" w14:textId="412571CD" w:rsidR="00390111" w:rsidRDefault="00B078E5" w:rsidP="00390111">
      <w:pPr>
        <w:spacing w:after="0"/>
        <w:jc w:val="both"/>
        <w:rPr>
          <w:rFonts w:ascii="Arial" w:hAnsi="Arial" w:cs="Arial"/>
          <w:iCs/>
        </w:rPr>
      </w:pPr>
      <w:r w:rsidRPr="00AD2209">
        <w:rPr>
          <w:rFonts w:ascii="Arial" w:hAnsi="Arial" w:cs="Arial"/>
        </w:rPr>
        <w:t xml:space="preserve">Na </w:t>
      </w:r>
      <w:proofErr w:type="spellStart"/>
      <w:r w:rsidRPr="00AD2209">
        <w:rPr>
          <w:rFonts w:ascii="Arial" w:hAnsi="Arial" w:cs="Arial"/>
        </w:rPr>
        <w:t>osnovu</w:t>
      </w:r>
      <w:proofErr w:type="spellEnd"/>
      <w:r w:rsidRPr="00AD2209">
        <w:rPr>
          <w:rFonts w:ascii="Arial" w:hAnsi="Arial" w:cs="Arial"/>
        </w:rPr>
        <w:t xml:space="preserve"> </w:t>
      </w:r>
      <w:proofErr w:type="spellStart"/>
      <w:r w:rsidRPr="00AD2209">
        <w:rPr>
          <w:rFonts w:ascii="Arial" w:hAnsi="Arial" w:cs="Arial"/>
        </w:rPr>
        <w:t>podataka</w:t>
      </w:r>
      <w:proofErr w:type="spellEnd"/>
      <w:r w:rsidRPr="00AD2209">
        <w:rPr>
          <w:rFonts w:ascii="Arial" w:hAnsi="Arial" w:cs="Arial"/>
        </w:rPr>
        <w:t xml:space="preserve"> </w:t>
      </w:r>
      <w:proofErr w:type="spellStart"/>
      <w:r w:rsidRPr="00AD2209">
        <w:rPr>
          <w:rFonts w:ascii="Arial" w:hAnsi="Arial" w:cs="Arial"/>
        </w:rPr>
        <w:t>geoloških</w:t>
      </w:r>
      <w:proofErr w:type="spellEnd"/>
      <w:r w:rsidRPr="00AD2209">
        <w:rPr>
          <w:rFonts w:ascii="Arial" w:hAnsi="Arial" w:cs="Arial"/>
        </w:rPr>
        <w:t xml:space="preserve"> </w:t>
      </w:r>
      <w:proofErr w:type="spellStart"/>
      <w:r w:rsidRPr="00AD2209">
        <w:rPr>
          <w:rFonts w:ascii="Arial" w:hAnsi="Arial" w:cs="Arial"/>
        </w:rPr>
        <w:t>istraživanja</w:t>
      </w:r>
      <w:proofErr w:type="spellEnd"/>
      <w:r w:rsidRPr="00AD2209">
        <w:rPr>
          <w:rFonts w:ascii="Arial" w:hAnsi="Arial" w:cs="Arial"/>
        </w:rPr>
        <w:t xml:space="preserve">, </w:t>
      </w:r>
      <w:r w:rsidR="00390111">
        <w:rPr>
          <w:rFonts w:ascii="Arial" w:hAnsi="Arial" w:cs="Arial"/>
        </w:rPr>
        <w:t>u</w:t>
      </w:r>
      <w:r w:rsidRPr="00AD2209">
        <w:rPr>
          <w:rFonts w:ascii="Arial" w:hAnsi="Arial" w:cs="Arial"/>
        </w:rPr>
        <w:t xml:space="preserve"> </w:t>
      </w:r>
      <w:proofErr w:type="spellStart"/>
      <w:r w:rsidRPr="00AD2209">
        <w:rPr>
          <w:rFonts w:ascii="Arial" w:hAnsi="Arial" w:cs="Arial"/>
        </w:rPr>
        <w:t>Elaboratu</w:t>
      </w:r>
      <w:proofErr w:type="spellEnd"/>
      <w:r w:rsidRPr="00AD2209">
        <w:rPr>
          <w:rFonts w:ascii="Arial" w:hAnsi="Arial" w:cs="Arial"/>
        </w:rPr>
        <w:t xml:space="preserve"> </w:t>
      </w:r>
      <w:proofErr w:type="spellStart"/>
      <w:r w:rsidRPr="00AD2209">
        <w:rPr>
          <w:rFonts w:ascii="Arial" w:hAnsi="Arial" w:cs="Arial"/>
        </w:rPr>
        <w:t>iz</w:t>
      </w:r>
      <w:proofErr w:type="spellEnd"/>
      <w:r w:rsidRPr="00AD2209">
        <w:rPr>
          <w:rFonts w:ascii="Arial" w:hAnsi="Arial" w:cs="Arial"/>
        </w:rPr>
        <w:t xml:space="preserve"> </w:t>
      </w:r>
      <w:r w:rsidR="00390111">
        <w:rPr>
          <w:rFonts w:ascii="Arial" w:hAnsi="Arial" w:cs="Arial"/>
        </w:rPr>
        <w:t>2005</w:t>
      </w:r>
      <w:r w:rsidRPr="00AD2209">
        <w:rPr>
          <w:rFonts w:ascii="Arial" w:hAnsi="Arial" w:cs="Arial"/>
        </w:rPr>
        <w:t xml:space="preserve">. </w:t>
      </w:r>
      <w:proofErr w:type="spellStart"/>
      <w:r w:rsidRPr="00AD2209">
        <w:rPr>
          <w:rFonts w:ascii="Arial" w:hAnsi="Arial" w:cs="Arial"/>
        </w:rPr>
        <w:t>godine</w:t>
      </w:r>
      <w:proofErr w:type="spellEnd"/>
      <w:r>
        <w:rPr>
          <w:rFonts w:ascii="Arial" w:hAnsi="Arial" w:cs="Arial"/>
        </w:rPr>
        <w:t xml:space="preserve"> (</w:t>
      </w:r>
      <w:r w:rsidR="00390111">
        <w:rPr>
          <w:rFonts w:ascii="Arial" w:hAnsi="Arial" w:cs="Arial"/>
        </w:rPr>
        <w:t>S</w:t>
      </w:r>
      <w:r>
        <w:rPr>
          <w:rFonts w:ascii="Arial" w:hAnsi="Arial" w:cs="Arial"/>
        </w:rPr>
        <w:t xml:space="preserve">. </w:t>
      </w:r>
      <w:proofErr w:type="spellStart"/>
      <w:r w:rsidR="00390111">
        <w:rPr>
          <w:rFonts w:ascii="Arial" w:hAnsi="Arial" w:cs="Arial"/>
        </w:rPr>
        <w:t>Radusinović</w:t>
      </w:r>
      <w:proofErr w:type="spellEnd"/>
      <w:r>
        <w:rPr>
          <w:rFonts w:ascii="Arial" w:hAnsi="Arial" w:cs="Arial"/>
        </w:rPr>
        <w:t>)</w:t>
      </w:r>
      <w:r w:rsidRPr="00AD2209">
        <w:rPr>
          <w:rFonts w:ascii="Arial" w:hAnsi="Arial" w:cs="Arial"/>
        </w:rPr>
        <w:t xml:space="preserve"> </w:t>
      </w:r>
      <w:proofErr w:type="spellStart"/>
      <w:r w:rsidRPr="00AD2209">
        <w:rPr>
          <w:rFonts w:ascii="Arial" w:hAnsi="Arial" w:cs="Arial"/>
        </w:rPr>
        <w:t>proračunate</w:t>
      </w:r>
      <w:proofErr w:type="spellEnd"/>
      <w:r w:rsidRPr="00AD2209">
        <w:rPr>
          <w:rFonts w:ascii="Arial" w:hAnsi="Arial" w:cs="Arial"/>
        </w:rPr>
        <w:t xml:space="preserve"> </w:t>
      </w:r>
      <w:proofErr w:type="spellStart"/>
      <w:r w:rsidRPr="00AD2209">
        <w:rPr>
          <w:rFonts w:ascii="Arial" w:hAnsi="Arial" w:cs="Arial"/>
        </w:rPr>
        <w:t>su</w:t>
      </w:r>
      <w:proofErr w:type="spellEnd"/>
      <w:r w:rsidRPr="00AD2209">
        <w:rPr>
          <w:rFonts w:ascii="Arial" w:hAnsi="Arial" w:cs="Arial"/>
        </w:rPr>
        <w:t xml:space="preserve"> </w:t>
      </w:r>
      <w:proofErr w:type="spellStart"/>
      <w:r w:rsidR="00390111">
        <w:rPr>
          <w:rFonts w:ascii="Arial" w:hAnsi="Arial" w:cs="Arial"/>
        </w:rPr>
        <w:t>eksploatacione</w:t>
      </w:r>
      <w:proofErr w:type="spellEnd"/>
      <w:r w:rsidR="00390111">
        <w:rPr>
          <w:rFonts w:ascii="Arial" w:hAnsi="Arial" w:cs="Arial"/>
        </w:rPr>
        <w:t xml:space="preserve"> </w:t>
      </w:r>
      <w:proofErr w:type="spellStart"/>
      <w:r w:rsidRPr="00AD2209">
        <w:rPr>
          <w:rFonts w:ascii="Arial" w:hAnsi="Arial" w:cs="Arial"/>
        </w:rPr>
        <w:t>rezerve</w:t>
      </w:r>
      <w:proofErr w:type="spellEnd"/>
      <w:r w:rsidRPr="00AD2209">
        <w:rPr>
          <w:rFonts w:ascii="Arial" w:hAnsi="Arial" w:cs="Arial"/>
        </w:rPr>
        <w:t xml:space="preserve"> </w:t>
      </w:r>
      <w:proofErr w:type="spellStart"/>
      <w:r w:rsidRPr="00AD2209">
        <w:rPr>
          <w:rFonts w:ascii="Arial" w:hAnsi="Arial" w:cs="Arial"/>
        </w:rPr>
        <w:t>arhitektonsko-građevinskog</w:t>
      </w:r>
      <w:proofErr w:type="spellEnd"/>
      <w:r w:rsidRPr="00AD2209">
        <w:rPr>
          <w:rFonts w:ascii="Arial" w:hAnsi="Arial" w:cs="Arial"/>
        </w:rPr>
        <w:t xml:space="preserve"> </w:t>
      </w:r>
      <w:proofErr w:type="spellStart"/>
      <w:r w:rsidRPr="00AD2209">
        <w:rPr>
          <w:rFonts w:ascii="Arial" w:hAnsi="Arial" w:cs="Arial"/>
        </w:rPr>
        <w:t>kamena</w:t>
      </w:r>
      <w:proofErr w:type="spellEnd"/>
      <w:r w:rsidRPr="00AD2209">
        <w:rPr>
          <w:rFonts w:ascii="Arial" w:hAnsi="Arial" w:cs="Arial"/>
        </w:rPr>
        <w:t xml:space="preserve"> </w:t>
      </w:r>
      <w:proofErr w:type="spellStart"/>
      <w:r w:rsidRPr="00AD2209">
        <w:rPr>
          <w:rFonts w:ascii="Arial" w:hAnsi="Arial" w:cs="Arial"/>
        </w:rPr>
        <w:t>ležišta</w:t>
      </w:r>
      <w:proofErr w:type="spellEnd"/>
      <w:r w:rsidRPr="00AD2209">
        <w:rPr>
          <w:rFonts w:ascii="Arial" w:hAnsi="Arial" w:cs="Arial"/>
        </w:rPr>
        <w:t xml:space="preserve"> </w:t>
      </w:r>
      <w:r w:rsidR="00772844">
        <w:rPr>
          <w:rFonts w:ascii="Arial" w:hAnsi="Arial" w:cs="Arial"/>
        </w:rPr>
        <w:t>“</w:t>
      </w:r>
      <w:proofErr w:type="spellStart"/>
      <w:r w:rsidR="00772844">
        <w:rPr>
          <w:rFonts w:ascii="Arial" w:hAnsi="Arial" w:cs="Arial"/>
        </w:rPr>
        <w:t>Klikovače</w:t>
      </w:r>
      <w:proofErr w:type="spellEnd"/>
      <w:r w:rsidR="00772844">
        <w:rPr>
          <w:rFonts w:ascii="Arial" w:hAnsi="Arial" w:cs="Arial"/>
        </w:rPr>
        <w:t>”</w:t>
      </w:r>
      <w:r>
        <w:rPr>
          <w:rFonts w:ascii="Arial" w:hAnsi="Arial" w:cs="Arial"/>
        </w:rPr>
        <w:t xml:space="preserve">, </w:t>
      </w:r>
      <w:proofErr w:type="spellStart"/>
      <w:r w:rsidR="00FE5012">
        <w:rPr>
          <w:rFonts w:ascii="Arial" w:hAnsi="Arial" w:cs="Arial"/>
        </w:rPr>
        <w:t>koje</w:t>
      </w:r>
      <w:proofErr w:type="spellEnd"/>
      <w:r w:rsidR="00FE5012">
        <w:rPr>
          <w:rFonts w:ascii="Arial" w:hAnsi="Arial" w:cs="Arial"/>
        </w:rPr>
        <w:t xml:space="preserve"> </w:t>
      </w:r>
      <w:proofErr w:type="spellStart"/>
      <w:r w:rsidR="00FE5012">
        <w:rPr>
          <w:rFonts w:ascii="Arial" w:hAnsi="Arial" w:cs="Arial"/>
        </w:rPr>
        <w:t>iznose</w:t>
      </w:r>
      <w:proofErr w:type="spellEnd"/>
      <w:r w:rsidR="00FE5012">
        <w:rPr>
          <w:rFonts w:ascii="Arial" w:hAnsi="Arial" w:cs="Arial"/>
        </w:rPr>
        <w:t xml:space="preserve"> </w:t>
      </w:r>
      <w:r w:rsidR="00390111" w:rsidRPr="00B92E77">
        <w:rPr>
          <w:rFonts w:ascii="Arial" w:hAnsi="Arial" w:cs="Arial"/>
        </w:rPr>
        <w:t xml:space="preserve">1 228 500 </w:t>
      </w:r>
      <w:r w:rsidR="00390111" w:rsidRPr="00CB1296">
        <w:rPr>
          <w:rFonts w:ascii="Arial" w:hAnsi="Arial" w:cs="Arial"/>
        </w:rPr>
        <w:t>m</w:t>
      </w:r>
      <w:r w:rsidR="00390111" w:rsidRPr="00CB1296">
        <w:rPr>
          <w:rFonts w:ascii="Arial" w:hAnsi="Arial" w:cs="Arial"/>
          <w:vertAlign w:val="superscript"/>
        </w:rPr>
        <w:t xml:space="preserve">3 </w:t>
      </w:r>
      <w:proofErr w:type="spellStart"/>
      <w:r w:rsidR="001850F7">
        <w:rPr>
          <w:rFonts w:ascii="Arial" w:hAnsi="Arial" w:cs="Arial"/>
        </w:rPr>
        <w:t>č.s.m</w:t>
      </w:r>
      <w:proofErr w:type="spellEnd"/>
      <w:r w:rsidR="001850F7">
        <w:rPr>
          <w:rFonts w:ascii="Arial" w:hAnsi="Arial" w:cs="Arial"/>
        </w:rPr>
        <w:t xml:space="preserve"> </w:t>
      </w:r>
      <w:proofErr w:type="spellStart"/>
      <w:r w:rsidR="00390111" w:rsidRPr="00CB1296">
        <w:rPr>
          <w:rFonts w:ascii="Arial" w:hAnsi="Arial" w:cs="Arial"/>
        </w:rPr>
        <w:t>i</w:t>
      </w:r>
      <w:proofErr w:type="spellEnd"/>
      <w:r w:rsidR="00390111" w:rsidRPr="00CB1296">
        <w:rPr>
          <w:rFonts w:ascii="Arial" w:hAnsi="Arial" w:cs="Arial"/>
        </w:rPr>
        <w:t xml:space="preserve"> </w:t>
      </w:r>
      <w:r w:rsidR="00390111" w:rsidRPr="00CB1296">
        <w:rPr>
          <w:rFonts w:ascii="Arial" w:hAnsi="Arial" w:cs="Arial"/>
          <w:iCs/>
        </w:rPr>
        <w:t>307 126</w:t>
      </w:r>
      <w:r w:rsidR="00390111">
        <w:rPr>
          <w:rFonts w:ascii="Arial" w:hAnsi="Arial" w:cs="Arial"/>
          <w:iCs/>
        </w:rPr>
        <w:t xml:space="preserve"> </w:t>
      </w:r>
      <w:r w:rsidR="00390111" w:rsidRPr="00CB1296">
        <w:rPr>
          <w:rFonts w:ascii="Arial" w:hAnsi="Arial" w:cs="Arial"/>
        </w:rPr>
        <w:t>m</w:t>
      </w:r>
      <w:r w:rsidR="00390111" w:rsidRPr="00CB1296">
        <w:rPr>
          <w:rFonts w:ascii="Arial" w:hAnsi="Arial" w:cs="Arial"/>
          <w:vertAlign w:val="superscript"/>
        </w:rPr>
        <w:t>3</w:t>
      </w:r>
      <w:r w:rsidR="00390111" w:rsidRPr="00CB1296">
        <w:rPr>
          <w:rFonts w:ascii="Arial" w:hAnsi="Arial" w:cs="Arial"/>
          <w:iCs/>
        </w:rPr>
        <w:t xml:space="preserve"> </w:t>
      </w:r>
      <w:proofErr w:type="spellStart"/>
      <w:r w:rsidR="00390111">
        <w:rPr>
          <w:rFonts w:ascii="Arial" w:hAnsi="Arial" w:cs="Arial"/>
          <w:iCs/>
        </w:rPr>
        <w:t>rezervi</w:t>
      </w:r>
      <w:proofErr w:type="spellEnd"/>
      <w:r w:rsidR="00390111">
        <w:rPr>
          <w:rFonts w:ascii="Arial" w:hAnsi="Arial" w:cs="Arial"/>
          <w:iCs/>
        </w:rPr>
        <w:t xml:space="preserve"> </w:t>
      </w:r>
      <w:proofErr w:type="spellStart"/>
      <w:r w:rsidR="00390111">
        <w:rPr>
          <w:rFonts w:ascii="Arial" w:hAnsi="Arial" w:cs="Arial"/>
          <w:iCs/>
        </w:rPr>
        <w:t>komercijalnog</w:t>
      </w:r>
      <w:proofErr w:type="spellEnd"/>
      <w:r w:rsidR="00390111">
        <w:rPr>
          <w:rFonts w:ascii="Arial" w:hAnsi="Arial" w:cs="Arial"/>
          <w:iCs/>
        </w:rPr>
        <w:t xml:space="preserve"> </w:t>
      </w:r>
      <w:proofErr w:type="spellStart"/>
      <w:r w:rsidR="00390111">
        <w:rPr>
          <w:rFonts w:ascii="Arial" w:hAnsi="Arial" w:cs="Arial"/>
          <w:iCs/>
        </w:rPr>
        <w:t>bloka</w:t>
      </w:r>
      <w:proofErr w:type="spellEnd"/>
      <w:r w:rsidR="00D90CC6">
        <w:rPr>
          <w:rFonts w:ascii="Arial" w:hAnsi="Arial" w:cs="Arial"/>
          <w:iCs/>
        </w:rPr>
        <w:t>.</w:t>
      </w:r>
      <w:r w:rsidR="00390111">
        <w:rPr>
          <w:rFonts w:ascii="Arial" w:hAnsi="Arial" w:cs="Arial"/>
          <w:iCs/>
        </w:rPr>
        <w:t xml:space="preserve"> </w:t>
      </w:r>
    </w:p>
    <w:p w14:paraId="18E521B3" w14:textId="77777777" w:rsidR="00FE4A99" w:rsidRDefault="00FE4A99" w:rsidP="00390111">
      <w:pPr>
        <w:spacing w:after="0"/>
        <w:jc w:val="both"/>
        <w:rPr>
          <w:rFonts w:ascii="Arial" w:hAnsi="Arial" w:cs="Arial"/>
          <w:iCs/>
        </w:rPr>
      </w:pPr>
    </w:p>
    <w:p w14:paraId="0A9BDFCB" w14:textId="77777777" w:rsidR="00FE4A99" w:rsidRDefault="00FE4A99" w:rsidP="00FE4A99">
      <w:pPr>
        <w:spacing w:after="0"/>
        <w:jc w:val="both"/>
        <w:rPr>
          <w:rFonts w:ascii="Arial" w:hAnsi="Arial" w:cs="Arial"/>
          <w:iCs/>
        </w:rPr>
      </w:pPr>
      <w:r>
        <w:rPr>
          <w:rFonts w:ascii="Arial" w:hAnsi="Arial" w:cs="Arial"/>
          <w:iCs/>
        </w:rPr>
        <w:t xml:space="preserve">S </w:t>
      </w:r>
      <w:proofErr w:type="spellStart"/>
      <w:r>
        <w:rPr>
          <w:rFonts w:ascii="Arial" w:hAnsi="Arial" w:cs="Arial"/>
          <w:iCs/>
        </w:rPr>
        <w:t>obzirom</w:t>
      </w:r>
      <w:proofErr w:type="spellEnd"/>
      <w:r>
        <w:rPr>
          <w:rFonts w:ascii="Arial" w:hAnsi="Arial" w:cs="Arial"/>
          <w:iCs/>
        </w:rPr>
        <w:t xml:space="preserve"> da </w:t>
      </w:r>
      <w:proofErr w:type="spellStart"/>
      <w:r>
        <w:rPr>
          <w:rFonts w:ascii="Arial" w:hAnsi="Arial" w:cs="Arial"/>
          <w:iCs/>
        </w:rPr>
        <w:t>su</w:t>
      </w:r>
      <w:proofErr w:type="spellEnd"/>
      <w:r>
        <w:rPr>
          <w:rFonts w:ascii="Arial" w:hAnsi="Arial" w:cs="Arial"/>
          <w:iCs/>
        </w:rPr>
        <w:t xml:space="preserve"> </w:t>
      </w:r>
      <w:proofErr w:type="spellStart"/>
      <w:r>
        <w:rPr>
          <w:rFonts w:ascii="Arial" w:hAnsi="Arial" w:cs="Arial"/>
          <w:iCs/>
        </w:rPr>
        <w:t>ove</w:t>
      </w:r>
      <w:proofErr w:type="spellEnd"/>
      <w:r>
        <w:rPr>
          <w:rFonts w:ascii="Arial" w:hAnsi="Arial" w:cs="Arial"/>
          <w:iCs/>
        </w:rPr>
        <w:t xml:space="preserve">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proračunate</w:t>
      </w:r>
      <w:proofErr w:type="spellEnd"/>
      <w:r>
        <w:rPr>
          <w:rFonts w:ascii="Arial" w:hAnsi="Arial" w:cs="Arial"/>
          <w:iCs/>
        </w:rPr>
        <w:t xml:space="preserve"> za </w:t>
      </w:r>
      <w:proofErr w:type="spellStart"/>
      <w:r>
        <w:rPr>
          <w:rFonts w:ascii="Arial" w:hAnsi="Arial" w:cs="Arial"/>
          <w:iCs/>
        </w:rPr>
        <w:t>prostor</w:t>
      </w:r>
      <w:proofErr w:type="spellEnd"/>
      <w:r>
        <w:rPr>
          <w:rFonts w:ascii="Arial" w:hAnsi="Arial" w:cs="Arial"/>
          <w:iCs/>
        </w:rPr>
        <w:t xml:space="preserve"> koji je </w:t>
      </w:r>
      <w:proofErr w:type="spellStart"/>
      <w:r>
        <w:rPr>
          <w:rFonts w:ascii="Arial" w:hAnsi="Arial" w:cs="Arial"/>
          <w:iCs/>
        </w:rPr>
        <w:t>veći</w:t>
      </w:r>
      <w:proofErr w:type="spellEnd"/>
      <w:r>
        <w:rPr>
          <w:rFonts w:ascii="Arial" w:hAnsi="Arial" w:cs="Arial"/>
          <w:iCs/>
        </w:rPr>
        <w:t xml:space="preserve"> </w:t>
      </w:r>
      <w:proofErr w:type="spellStart"/>
      <w:r>
        <w:rPr>
          <w:rFonts w:ascii="Arial" w:hAnsi="Arial" w:cs="Arial"/>
          <w:iCs/>
        </w:rPr>
        <w:t>od</w:t>
      </w:r>
      <w:proofErr w:type="spellEnd"/>
      <w:r>
        <w:rPr>
          <w:rFonts w:ascii="Arial" w:hAnsi="Arial" w:cs="Arial"/>
          <w:iCs/>
        </w:rPr>
        <w:t xml:space="preserve"> </w:t>
      </w:r>
      <w:proofErr w:type="spellStart"/>
      <w:r>
        <w:rPr>
          <w:rFonts w:ascii="Arial" w:hAnsi="Arial" w:cs="Arial"/>
          <w:iCs/>
        </w:rPr>
        <w:t>prostora</w:t>
      </w:r>
      <w:proofErr w:type="spellEnd"/>
      <w:r>
        <w:rPr>
          <w:rFonts w:ascii="Arial" w:hAnsi="Arial" w:cs="Arial"/>
          <w:iCs/>
        </w:rPr>
        <w:t xml:space="preserve"> za koji se </w:t>
      </w:r>
      <w:proofErr w:type="spellStart"/>
      <w:r>
        <w:rPr>
          <w:rFonts w:ascii="Arial" w:hAnsi="Arial" w:cs="Arial"/>
          <w:iCs/>
        </w:rPr>
        <w:t>traži</w:t>
      </w:r>
      <w:proofErr w:type="spellEnd"/>
      <w:r>
        <w:rPr>
          <w:rFonts w:ascii="Arial" w:hAnsi="Arial" w:cs="Arial"/>
          <w:iCs/>
        </w:rPr>
        <w:t xml:space="preserve"> </w:t>
      </w:r>
      <w:proofErr w:type="spellStart"/>
      <w:r>
        <w:rPr>
          <w:rFonts w:ascii="Arial" w:hAnsi="Arial" w:cs="Arial"/>
          <w:iCs/>
        </w:rPr>
        <w:t>koncesija</w:t>
      </w:r>
      <w:proofErr w:type="spellEnd"/>
      <w:r>
        <w:rPr>
          <w:rFonts w:ascii="Arial" w:hAnsi="Arial" w:cs="Arial"/>
          <w:iCs/>
        </w:rPr>
        <w:t xml:space="preserve"> I koji je </w:t>
      </w:r>
      <w:proofErr w:type="spellStart"/>
      <w:r>
        <w:rPr>
          <w:rFonts w:ascii="Arial" w:hAnsi="Arial" w:cs="Arial"/>
          <w:iCs/>
        </w:rPr>
        <w:t>predmet</w:t>
      </w:r>
      <w:proofErr w:type="spellEnd"/>
      <w:r>
        <w:rPr>
          <w:rFonts w:ascii="Arial" w:hAnsi="Arial" w:cs="Arial"/>
          <w:iCs/>
        </w:rPr>
        <w:t xml:space="preserve"> </w:t>
      </w:r>
      <w:proofErr w:type="spellStart"/>
      <w:r>
        <w:rPr>
          <w:rFonts w:ascii="Arial" w:hAnsi="Arial" w:cs="Arial"/>
          <w:iCs/>
        </w:rPr>
        <w:t>ovog</w:t>
      </w:r>
      <w:proofErr w:type="spellEnd"/>
      <w:r>
        <w:rPr>
          <w:rFonts w:ascii="Arial" w:hAnsi="Arial" w:cs="Arial"/>
          <w:iCs/>
        </w:rPr>
        <w:t xml:space="preserve"> </w:t>
      </w:r>
      <w:proofErr w:type="spellStart"/>
      <w:r>
        <w:rPr>
          <w:rFonts w:ascii="Arial" w:hAnsi="Arial" w:cs="Arial"/>
          <w:iCs/>
        </w:rPr>
        <w:t>Koncesionog</w:t>
      </w:r>
      <w:proofErr w:type="spellEnd"/>
      <w:r>
        <w:rPr>
          <w:rFonts w:ascii="Arial" w:hAnsi="Arial" w:cs="Arial"/>
          <w:iCs/>
        </w:rPr>
        <w:t xml:space="preserve"> </w:t>
      </w:r>
      <w:proofErr w:type="spellStart"/>
      <w:r>
        <w:rPr>
          <w:rFonts w:ascii="Arial" w:hAnsi="Arial" w:cs="Arial"/>
          <w:iCs/>
        </w:rPr>
        <w:t>akta</w:t>
      </w:r>
      <w:proofErr w:type="spellEnd"/>
      <w:r>
        <w:rPr>
          <w:rFonts w:ascii="Arial" w:hAnsi="Arial" w:cs="Arial"/>
          <w:iCs/>
        </w:rPr>
        <w:t xml:space="preserve">, za </w:t>
      </w:r>
      <w:proofErr w:type="spellStart"/>
      <w:r>
        <w:rPr>
          <w:rFonts w:ascii="Arial" w:hAnsi="Arial" w:cs="Arial"/>
          <w:iCs/>
        </w:rPr>
        <w:t>očekivati</w:t>
      </w:r>
      <w:proofErr w:type="spellEnd"/>
      <w:r>
        <w:rPr>
          <w:rFonts w:ascii="Arial" w:hAnsi="Arial" w:cs="Arial"/>
          <w:iCs/>
        </w:rPr>
        <w:t xml:space="preserve"> je da </w:t>
      </w:r>
      <w:proofErr w:type="spellStart"/>
      <w:r>
        <w:rPr>
          <w:rFonts w:ascii="Arial" w:hAnsi="Arial" w:cs="Arial"/>
          <w:iCs/>
        </w:rPr>
        <w:t>rezerve</w:t>
      </w:r>
      <w:proofErr w:type="spellEnd"/>
      <w:r>
        <w:rPr>
          <w:rFonts w:ascii="Arial" w:hAnsi="Arial" w:cs="Arial"/>
          <w:iCs/>
        </w:rPr>
        <w:t xml:space="preserve"> </w:t>
      </w:r>
      <w:proofErr w:type="spellStart"/>
      <w:r>
        <w:rPr>
          <w:rFonts w:ascii="Arial" w:hAnsi="Arial" w:cs="Arial"/>
          <w:iCs/>
        </w:rPr>
        <w:t>budu</w:t>
      </w:r>
      <w:proofErr w:type="spellEnd"/>
      <w:r>
        <w:rPr>
          <w:rFonts w:ascii="Arial" w:hAnsi="Arial" w:cs="Arial"/>
          <w:iCs/>
        </w:rPr>
        <w:t xml:space="preserve"> </w:t>
      </w:r>
      <w:proofErr w:type="spellStart"/>
      <w:r>
        <w:rPr>
          <w:rFonts w:ascii="Arial" w:hAnsi="Arial" w:cs="Arial"/>
          <w:iCs/>
        </w:rPr>
        <w:t>manje</w:t>
      </w:r>
      <w:proofErr w:type="spellEnd"/>
      <w:r>
        <w:rPr>
          <w:rFonts w:ascii="Arial" w:hAnsi="Arial" w:cs="Arial"/>
          <w:iCs/>
        </w:rPr>
        <w:t>.</w:t>
      </w:r>
    </w:p>
    <w:p w14:paraId="6CA9B1AB" w14:textId="77777777" w:rsidR="00FE4A99" w:rsidRDefault="00FE4A99" w:rsidP="005E683D">
      <w:pPr>
        <w:spacing w:after="0" w:line="240" w:lineRule="auto"/>
        <w:jc w:val="both"/>
        <w:rPr>
          <w:rFonts w:ascii="Arial" w:hAnsi="Arial" w:cs="Arial"/>
          <w:iCs/>
        </w:rPr>
      </w:pPr>
    </w:p>
    <w:p w14:paraId="79C744DC" w14:textId="45FC2B67" w:rsidR="00FE4A99" w:rsidRPr="00FE4A99" w:rsidRDefault="00FE4A99" w:rsidP="005E683D">
      <w:pPr>
        <w:spacing w:after="0" w:line="240" w:lineRule="auto"/>
        <w:jc w:val="both"/>
        <w:rPr>
          <w:rFonts w:ascii="Arial" w:hAnsi="Arial" w:cs="Arial"/>
          <w:lang w:val="sr-Latn-CS"/>
        </w:rPr>
      </w:pPr>
      <w:r>
        <w:rPr>
          <w:rFonts w:ascii="Arial" w:hAnsi="Arial" w:cs="Arial"/>
          <w:color w:val="000000"/>
          <w:lang w:val="sr-Latn-CS"/>
        </w:rPr>
        <w:t xml:space="preserve">Uz napomenu da, </w:t>
      </w:r>
      <w:r>
        <w:rPr>
          <w:rFonts w:ascii="Arial" w:hAnsi="Arial" w:cs="Arial"/>
          <w:lang w:val="pl-PL"/>
        </w:rPr>
        <w:t>definisanje navedenih parametara</w:t>
      </w:r>
      <w:r w:rsidRPr="008F027E">
        <w:rPr>
          <w:rFonts w:ascii="Arial" w:hAnsi="Arial" w:cs="Arial"/>
          <w:lang w:val="pl-PL"/>
        </w:rPr>
        <w:t xml:space="preserve"> u smislu postojanja rezervi viših kategorija,</w:t>
      </w:r>
      <w:r>
        <w:rPr>
          <w:rFonts w:ascii="Arial" w:hAnsi="Arial" w:cs="Arial"/>
          <w:lang w:val="pl-PL"/>
        </w:rPr>
        <w:t xml:space="preserve"> iskorišćenja stijenske mase,</w:t>
      </w:r>
      <w:r w:rsidRPr="008F027E">
        <w:rPr>
          <w:rFonts w:ascii="Arial" w:hAnsi="Arial" w:cs="Arial"/>
          <w:lang w:val="pl-PL"/>
        </w:rPr>
        <w:t xml:space="preserve"> ispitivanja njihovih kvalitativnih svojstava, ležišnih uslova, i u vezi sa tim mogućnosti primjene i plasmana na tržištu, potrebno je izvršiti detaljna geološka istraživanja, na način i sa obimom koji će se definisati Projektom detaljnih geoloških</w:t>
      </w:r>
      <w:r>
        <w:rPr>
          <w:rFonts w:ascii="Arial" w:hAnsi="Arial" w:cs="Arial"/>
          <w:lang w:val="pl-PL"/>
        </w:rPr>
        <w:t xml:space="preserve"> istraživanja.</w:t>
      </w:r>
      <w:r w:rsidRPr="008F027E">
        <w:rPr>
          <w:rFonts w:ascii="Arial" w:hAnsi="Arial" w:cs="Arial"/>
          <w:lang w:val="pl-PL"/>
        </w:rPr>
        <w:t xml:space="preserve"> </w:t>
      </w:r>
    </w:p>
    <w:p w14:paraId="424C77C7" w14:textId="77777777" w:rsidR="00FE4A99" w:rsidRPr="001850F7" w:rsidRDefault="00FE4A99" w:rsidP="005E683D">
      <w:pPr>
        <w:spacing w:after="0" w:line="240" w:lineRule="auto"/>
        <w:jc w:val="both"/>
        <w:rPr>
          <w:rFonts w:ascii="Arial" w:hAnsi="Arial" w:cs="Arial"/>
          <w:vertAlign w:val="superscript"/>
        </w:rPr>
      </w:pPr>
    </w:p>
    <w:p w14:paraId="67A2220D" w14:textId="0D51D96F" w:rsidR="00B078E5" w:rsidRDefault="00003278" w:rsidP="005E683D">
      <w:pPr>
        <w:spacing w:after="0" w:line="240" w:lineRule="auto"/>
        <w:jc w:val="both"/>
        <w:rPr>
          <w:rFonts w:ascii="Arial" w:hAnsi="Arial" w:cs="Arial"/>
          <w:lang w:val="sr-Latn-CS"/>
        </w:rPr>
      </w:pPr>
      <w:r w:rsidRPr="006030FA">
        <w:rPr>
          <w:rFonts w:ascii="Arial" w:eastAsia="Calibri" w:hAnsi="Arial" w:cs="Arial"/>
          <w:lang w:val="sr-Latn-CS"/>
        </w:rPr>
        <w:t xml:space="preserve">Za godišnji kapacitet površinskog kopa od </w:t>
      </w:r>
      <w:r>
        <w:rPr>
          <w:rFonts w:ascii="Arial" w:hAnsi="Arial" w:cs="Arial"/>
          <w:lang w:val="sr-Latn-CS"/>
        </w:rPr>
        <w:t>6700</w:t>
      </w:r>
      <w:r w:rsidRPr="006030FA">
        <w:rPr>
          <w:rFonts w:ascii="Arial" w:hAnsi="Arial" w:cs="Arial"/>
          <w:lang w:val="sr-Latn-CS"/>
        </w:rPr>
        <w:t xml:space="preserve"> m</w:t>
      </w:r>
      <w:r w:rsidRPr="006030FA">
        <w:rPr>
          <w:rFonts w:ascii="Arial" w:hAnsi="Arial" w:cs="Arial"/>
          <w:vertAlign w:val="superscript"/>
          <w:lang w:val="sr-Latn-CS"/>
        </w:rPr>
        <w:t>3</w:t>
      </w:r>
      <w:r w:rsidRPr="006030FA">
        <w:rPr>
          <w:rFonts w:ascii="Arial" w:hAnsi="Arial" w:cs="Arial"/>
          <w:lang w:val="sr-Latn-CS"/>
        </w:rPr>
        <w:t xml:space="preserve"> č.s.m. odnosno 1000 m</w:t>
      </w:r>
      <w:r w:rsidRPr="006030FA">
        <w:rPr>
          <w:rFonts w:ascii="Arial" w:hAnsi="Arial" w:cs="Arial"/>
          <w:vertAlign w:val="superscript"/>
          <w:lang w:val="sr-Latn-CS"/>
        </w:rPr>
        <w:t xml:space="preserve">3 </w:t>
      </w:r>
      <w:r w:rsidR="00D90CC6">
        <w:rPr>
          <w:rFonts w:ascii="Arial" w:hAnsi="Arial" w:cs="Arial"/>
          <w:lang w:val="sr-Latn-CS"/>
        </w:rPr>
        <w:t>komercijalnih blokova i tombolo</w:t>
      </w:r>
      <w:r w:rsidRPr="006030FA">
        <w:rPr>
          <w:rFonts w:ascii="Arial" w:hAnsi="Arial" w:cs="Arial"/>
          <w:lang w:val="sr-Latn-CS"/>
        </w:rPr>
        <w:t>na</w:t>
      </w:r>
      <w:r w:rsidR="00FE4A99" w:rsidRPr="00FE4A99">
        <w:rPr>
          <w:rFonts w:ascii="Arial" w:hAnsi="Arial" w:cs="Arial"/>
          <w:lang w:val="sr-Latn-CS"/>
        </w:rPr>
        <w:t xml:space="preserve"> </w:t>
      </w:r>
      <w:r w:rsidR="00FE4A99">
        <w:rPr>
          <w:rFonts w:ascii="Arial" w:hAnsi="Arial" w:cs="Arial"/>
          <w:lang w:val="sr-Latn-CS"/>
        </w:rPr>
        <w:t>(</w:t>
      </w:r>
      <w:r w:rsidR="00FE4A99" w:rsidRPr="006030FA">
        <w:rPr>
          <w:rFonts w:ascii="Arial" w:hAnsi="Arial" w:cs="Arial"/>
          <w:lang w:val="sr-Latn-CS"/>
        </w:rPr>
        <w:t xml:space="preserve">pretpostavljeno iskorišćenje stijenske mase od </w:t>
      </w:r>
      <w:r w:rsidR="00FE4A99">
        <w:rPr>
          <w:rFonts w:ascii="Arial" w:hAnsi="Arial" w:cs="Arial"/>
          <w:lang w:val="sr-Latn-CS"/>
        </w:rPr>
        <w:t>oko</w:t>
      </w:r>
      <w:r w:rsidR="00FE4A99" w:rsidRPr="006030FA">
        <w:rPr>
          <w:rFonts w:ascii="Arial" w:hAnsi="Arial" w:cs="Arial"/>
          <w:lang w:val="sr-Latn-CS"/>
        </w:rPr>
        <w:t xml:space="preserve"> 15%</w:t>
      </w:r>
      <w:r w:rsidR="00FE4A99">
        <w:rPr>
          <w:rFonts w:ascii="Arial" w:hAnsi="Arial" w:cs="Arial"/>
          <w:lang w:val="sr-Latn-CS"/>
        </w:rPr>
        <w:t>)</w:t>
      </w:r>
      <w:r w:rsidRPr="006030FA">
        <w:rPr>
          <w:rFonts w:ascii="Arial" w:hAnsi="Arial" w:cs="Arial"/>
          <w:lang w:val="sr-Latn-CS"/>
        </w:rPr>
        <w:t xml:space="preserve"> arhitektonsko-građevinskog kamena</w:t>
      </w:r>
      <w:r w:rsidRPr="006030FA">
        <w:rPr>
          <w:rFonts w:ascii="Arial" w:eastAsia="Calibri" w:hAnsi="Arial" w:cs="Arial"/>
          <w:lang w:val="sr-Latn-CS"/>
        </w:rPr>
        <w:t xml:space="preserve">, u predviđenom periodu eksploatacije od 28 godina, potrebno je oko </w:t>
      </w:r>
      <w:r>
        <w:rPr>
          <w:rFonts w:ascii="Arial" w:eastAsia="Calibri" w:hAnsi="Arial" w:cs="Arial"/>
          <w:lang w:val="sr-Latn-CS"/>
        </w:rPr>
        <w:t>187</w:t>
      </w:r>
      <w:r w:rsidRPr="006030FA">
        <w:rPr>
          <w:rFonts w:ascii="Arial" w:eastAsia="Calibri" w:hAnsi="Arial" w:cs="Arial"/>
          <w:lang w:val="sr-Latn-CS"/>
        </w:rPr>
        <w:t xml:space="preserve"> </w:t>
      </w:r>
      <w:r>
        <w:rPr>
          <w:rFonts w:ascii="Arial" w:eastAsia="Calibri" w:hAnsi="Arial" w:cs="Arial"/>
          <w:lang w:val="sr-Latn-CS"/>
        </w:rPr>
        <w:t>600</w:t>
      </w:r>
      <w:r w:rsidRPr="006030FA">
        <w:rPr>
          <w:rFonts w:ascii="Arial" w:eastAsia="Calibri" w:hAnsi="Arial" w:cs="Arial"/>
          <w:lang w:val="sr-Latn-CS"/>
        </w:rPr>
        <w:t xml:space="preserve"> m</w:t>
      </w:r>
      <w:r w:rsidRPr="006030FA">
        <w:rPr>
          <w:rFonts w:ascii="Arial" w:eastAsia="Calibri" w:hAnsi="Arial" w:cs="Arial"/>
          <w:vertAlign w:val="superscript"/>
          <w:lang w:val="sr-Latn-CS"/>
        </w:rPr>
        <w:t xml:space="preserve">3 </w:t>
      </w:r>
      <w:r w:rsidRPr="006030FA">
        <w:rPr>
          <w:rFonts w:ascii="Arial" w:eastAsia="Calibri" w:hAnsi="Arial" w:cs="Arial"/>
          <w:lang w:val="sr-Latn-CS"/>
        </w:rPr>
        <w:t xml:space="preserve">č.s.m, </w:t>
      </w:r>
      <w:r w:rsidRPr="006030FA">
        <w:rPr>
          <w:rFonts w:ascii="Arial" w:hAnsi="Arial" w:cs="Arial"/>
          <w:lang w:val="sr-Latn-CS"/>
        </w:rPr>
        <w:t>odnosno</w:t>
      </w:r>
      <w:r w:rsidR="00FE4A99">
        <w:rPr>
          <w:rFonts w:ascii="Arial" w:hAnsi="Arial" w:cs="Arial"/>
          <w:lang w:val="sr-Latn-CS"/>
        </w:rPr>
        <w:t xml:space="preserve"> </w:t>
      </w:r>
      <w:r w:rsidRPr="006030FA">
        <w:rPr>
          <w:rFonts w:ascii="Arial" w:hAnsi="Arial" w:cs="Arial"/>
          <w:lang w:val="sr-Latn-CS"/>
        </w:rPr>
        <w:t>28 000 m</w:t>
      </w:r>
      <w:r w:rsidRPr="006030FA">
        <w:rPr>
          <w:rFonts w:ascii="Arial" w:hAnsi="Arial" w:cs="Arial"/>
          <w:vertAlign w:val="superscript"/>
          <w:lang w:val="sr-Latn-CS"/>
        </w:rPr>
        <w:t xml:space="preserve">3 </w:t>
      </w:r>
      <w:r w:rsidRPr="006030FA">
        <w:rPr>
          <w:rFonts w:ascii="Arial" w:hAnsi="Arial" w:cs="Arial"/>
          <w:lang w:val="sr-Latn-CS"/>
        </w:rPr>
        <w:t>ko</w:t>
      </w:r>
      <w:r w:rsidR="00D90CC6">
        <w:rPr>
          <w:rFonts w:ascii="Arial" w:hAnsi="Arial" w:cs="Arial"/>
          <w:lang w:val="sr-Latn-CS"/>
        </w:rPr>
        <w:t>mercijalnih blokova i tombolona.</w:t>
      </w:r>
    </w:p>
    <w:p w14:paraId="135AD92B" w14:textId="77777777" w:rsidR="00D90CC6" w:rsidRDefault="00D90CC6" w:rsidP="005E683D">
      <w:pPr>
        <w:spacing w:after="0" w:line="240" w:lineRule="auto"/>
        <w:jc w:val="both"/>
        <w:rPr>
          <w:rFonts w:ascii="Arial" w:eastAsia="Calibri" w:hAnsi="Arial" w:cs="Arial"/>
          <w:color w:val="FF0000"/>
          <w:lang w:val="sr-Latn-CS"/>
        </w:rPr>
      </w:pPr>
    </w:p>
    <w:p w14:paraId="07D7DB89" w14:textId="77777777" w:rsidR="000E197C" w:rsidRPr="00004B4A" w:rsidRDefault="00A41658" w:rsidP="005E683D">
      <w:pPr>
        <w:pStyle w:val="Heading3"/>
        <w:spacing w:after="0" w:line="240" w:lineRule="auto"/>
        <w:ind w:left="0" w:firstLine="0"/>
        <w:jc w:val="both"/>
        <w:rPr>
          <w:rFonts w:ascii="Arial" w:hAnsi="Arial" w:cs="Arial"/>
          <w:sz w:val="22"/>
          <w:szCs w:val="22"/>
        </w:rPr>
      </w:pPr>
      <w:bookmarkStart w:id="29" w:name="_Toc402262956"/>
      <w:r w:rsidRPr="00004B4A">
        <w:rPr>
          <w:rFonts w:ascii="Arial" w:hAnsi="Arial" w:cs="Arial"/>
          <w:sz w:val="22"/>
          <w:szCs w:val="22"/>
        </w:rPr>
        <w:t xml:space="preserve">8.1.2 </w:t>
      </w:r>
      <w:r w:rsidR="00744584" w:rsidRPr="00004B4A">
        <w:rPr>
          <w:rFonts w:ascii="Arial" w:hAnsi="Arial" w:cs="Arial"/>
          <w:sz w:val="22"/>
          <w:szCs w:val="22"/>
        </w:rPr>
        <w:t>Pripadnost grupi ležišta</w:t>
      </w:r>
      <w:bookmarkEnd w:id="29"/>
    </w:p>
    <w:p w14:paraId="7F0DC8BE" w14:textId="77777777" w:rsidR="000E197C" w:rsidRPr="00004B4A" w:rsidRDefault="000E197C" w:rsidP="005E683D">
      <w:pPr>
        <w:spacing w:after="0" w:line="240" w:lineRule="auto"/>
        <w:rPr>
          <w:rFonts w:ascii="Arial" w:hAnsi="Arial" w:cs="Arial"/>
          <w:lang w:val="sr-Latn-CS"/>
        </w:rPr>
      </w:pPr>
    </w:p>
    <w:p w14:paraId="4EDB2725" w14:textId="274F160C" w:rsidR="00744584" w:rsidRDefault="00744584" w:rsidP="005E683D">
      <w:pPr>
        <w:spacing w:after="0" w:line="240" w:lineRule="auto"/>
        <w:jc w:val="both"/>
        <w:rPr>
          <w:rFonts w:ascii="Arial" w:hAnsi="Arial" w:cs="Arial"/>
          <w:lang w:val="sr-Latn-CS"/>
        </w:rPr>
      </w:pPr>
      <w:r w:rsidRPr="00004B4A">
        <w:rPr>
          <w:rFonts w:ascii="Arial" w:hAnsi="Arial" w:cs="Arial"/>
          <w:lang w:val="sr-Latn-CS"/>
        </w:rPr>
        <w:t xml:space="preserve">Ležište </w:t>
      </w:r>
      <w:r w:rsidR="00A00482">
        <w:rPr>
          <w:rFonts w:ascii="Arial" w:hAnsi="Arial" w:cs="Arial"/>
          <w:lang w:val="sr-Latn-CS"/>
        </w:rPr>
        <w:t xml:space="preserve">arhitektonsko-građevinskog kamena </w:t>
      </w:r>
      <w:r w:rsidR="00C7797D" w:rsidRPr="00004B4A">
        <w:rPr>
          <w:rFonts w:ascii="Arial" w:hAnsi="Arial" w:cs="Arial"/>
          <w:lang w:val="sr-Latn-CS"/>
        </w:rPr>
        <w:t xml:space="preserve"> </w:t>
      </w:r>
      <w:r w:rsidR="00772844">
        <w:rPr>
          <w:rFonts w:ascii="Arial" w:hAnsi="Arial" w:cs="Arial"/>
          <w:lang w:val="sr-Latn-CS"/>
        </w:rPr>
        <w:t>“Klikovače”</w:t>
      </w:r>
      <w:r w:rsidR="007E365E" w:rsidRPr="00004B4A">
        <w:rPr>
          <w:rFonts w:ascii="Arial" w:hAnsi="Arial" w:cs="Arial"/>
          <w:lang w:val="sr-Latn-CS"/>
        </w:rPr>
        <w:t>,</w:t>
      </w:r>
      <w:r w:rsidR="00484F44" w:rsidRPr="00004B4A">
        <w:rPr>
          <w:rFonts w:ascii="Arial" w:hAnsi="Arial" w:cs="Arial"/>
          <w:lang w:val="sr-Latn-CS"/>
        </w:rPr>
        <w:t xml:space="preserve"> </w:t>
      </w:r>
      <w:r w:rsidRPr="00004B4A">
        <w:rPr>
          <w:rFonts w:ascii="Arial" w:hAnsi="Arial" w:cs="Arial"/>
          <w:lang w:val="sr-Latn-CS"/>
        </w:rPr>
        <w:t>prema navedenoj Uredbi, a na osnovu postojećih karakteristika i očekivanih uslova za eksploataciju, svrstan</w:t>
      </w:r>
      <w:r w:rsidR="004E3794">
        <w:rPr>
          <w:rFonts w:ascii="Arial" w:hAnsi="Arial" w:cs="Arial"/>
          <w:lang w:val="sr-Latn-CS"/>
        </w:rPr>
        <w:t>o</w:t>
      </w:r>
      <w:r w:rsidRPr="00004B4A">
        <w:rPr>
          <w:rFonts w:ascii="Arial" w:hAnsi="Arial" w:cs="Arial"/>
          <w:lang w:val="sr-Latn-CS"/>
        </w:rPr>
        <w:t xml:space="preserve"> je u treću grupu geogenih ležišta (G</w:t>
      </w:r>
      <w:r w:rsidRPr="00004B4A">
        <w:rPr>
          <w:rFonts w:ascii="Arial" w:hAnsi="Arial" w:cs="Arial"/>
          <w:vertAlign w:val="subscript"/>
          <w:lang w:val="sr-Latn-CS"/>
        </w:rPr>
        <w:t>3</w:t>
      </w:r>
      <w:r w:rsidRPr="00004B4A">
        <w:rPr>
          <w:rFonts w:ascii="Arial" w:hAnsi="Arial" w:cs="Arial"/>
          <w:lang w:val="sr-Latn-CS"/>
        </w:rPr>
        <w:t>).</w:t>
      </w:r>
    </w:p>
    <w:p w14:paraId="3EB7C162" w14:textId="77777777" w:rsidR="00FD18AA" w:rsidRPr="00004B4A" w:rsidRDefault="00FD18AA" w:rsidP="005E683D">
      <w:pPr>
        <w:spacing w:after="0" w:line="240" w:lineRule="auto"/>
        <w:jc w:val="both"/>
        <w:rPr>
          <w:rFonts w:ascii="Arial" w:hAnsi="Arial" w:cs="Arial"/>
          <w:lang w:val="sr-Latn-CS"/>
        </w:rPr>
      </w:pPr>
    </w:p>
    <w:p w14:paraId="487995AD" w14:textId="7610DA9F" w:rsidR="00744584" w:rsidRDefault="00744584" w:rsidP="005E683D">
      <w:pPr>
        <w:spacing w:after="0" w:line="240" w:lineRule="auto"/>
        <w:jc w:val="both"/>
        <w:rPr>
          <w:rFonts w:ascii="Arial" w:hAnsi="Arial" w:cs="Arial"/>
          <w:lang w:val="sr-Latn-CS"/>
        </w:rPr>
      </w:pPr>
      <w:r w:rsidRPr="00004B4A">
        <w:rPr>
          <w:rFonts w:ascii="Arial" w:hAnsi="Arial" w:cs="Arial"/>
          <w:lang w:val="sr-Latn-CS"/>
        </w:rPr>
        <w:t>Po tom osnovu procen</w:t>
      </w:r>
      <w:r w:rsidR="00787453">
        <w:rPr>
          <w:rFonts w:ascii="Arial" w:hAnsi="Arial" w:cs="Arial"/>
          <w:lang w:val="sr-Latn-CS"/>
        </w:rPr>
        <w:t>tni iznos za obračun minimalne-</w:t>
      </w:r>
      <w:r w:rsidRPr="00004B4A">
        <w:rPr>
          <w:rFonts w:ascii="Arial" w:hAnsi="Arial" w:cs="Arial"/>
          <w:lang w:val="sr-Latn-CS"/>
        </w:rPr>
        <w:t xml:space="preserve">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rezervi </w:t>
      </w:r>
      <w:r w:rsidR="00A00482">
        <w:rPr>
          <w:rFonts w:ascii="Arial" w:hAnsi="Arial" w:cs="Arial"/>
          <w:lang w:val="sr-Latn-CS"/>
        </w:rPr>
        <w:t>ar</w:t>
      </w:r>
      <w:r w:rsidR="00787453">
        <w:rPr>
          <w:rFonts w:ascii="Arial" w:hAnsi="Arial" w:cs="Arial"/>
          <w:lang w:val="sr-Latn-CS"/>
        </w:rPr>
        <w:t>hitektonsko-građevinskog kamena</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7B6FE283" w14:textId="77777777" w:rsidR="00744584" w:rsidRPr="00004B4A" w:rsidRDefault="00744584" w:rsidP="005E683D">
      <w:pPr>
        <w:spacing w:after="0" w:line="240" w:lineRule="auto"/>
        <w:jc w:val="both"/>
        <w:rPr>
          <w:rFonts w:ascii="Arial" w:hAnsi="Arial" w:cs="Arial"/>
          <w:lang w:val="sr-Latn-CS"/>
        </w:rPr>
      </w:pPr>
    </w:p>
    <w:p w14:paraId="0E51C589" w14:textId="77777777" w:rsidR="00744584" w:rsidRPr="00004B4A" w:rsidRDefault="00A41658" w:rsidP="005E683D">
      <w:pPr>
        <w:pStyle w:val="Heading3"/>
        <w:spacing w:after="0" w:line="240" w:lineRule="auto"/>
        <w:jc w:val="both"/>
        <w:rPr>
          <w:rFonts w:ascii="Arial" w:hAnsi="Arial" w:cs="Arial"/>
          <w:sz w:val="22"/>
          <w:szCs w:val="22"/>
        </w:rPr>
      </w:pPr>
      <w:bookmarkStart w:id="30" w:name="_Toc402262957"/>
      <w:r w:rsidRPr="00004B4A">
        <w:rPr>
          <w:rFonts w:ascii="Arial" w:hAnsi="Arial" w:cs="Arial"/>
          <w:sz w:val="22"/>
          <w:szCs w:val="22"/>
        </w:rPr>
        <w:t xml:space="preserve">8.1.3 </w:t>
      </w:r>
      <w:r w:rsidR="00744584" w:rsidRPr="00004B4A">
        <w:rPr>
          <w:rFonts w:ascii="Arial" w:hAnsi="Arial" w:cs="Arial"/>
          <w:sz w:val="22"/>
          <w:szCs w:val="22"/>
        </w:rPr>
        <w:t>Kvalitet mineralne sirovine</w:t>
      </w:r>
      <w:bookmarkEnd w:id="30"/>
    </w:p>
    <w:p w14:paraId="7213DBAE" w14:textId="77777777" w:rsidR="000E197C" w:rsidRPr="00004B4A" w:rsidRDefault="000E197C" w:rsidP="005E683D">
      <w:pPr>
        <w:spacing w:after="0" w:line="240" w:lineRule="auto"/>
        <w:rPr>
          <w:rFonts w:ascii="Arial" w:hAnsi="Arial" w:cs="Arial"/>
          <w:lang w:val="sr-Latn-CS"/>
        </w:rPr>
      </w:pPr>
    </w:p>
    <w:p w14:paraId="78C56170" w14:textId="7D0B342E" w:rsidR="00B078E5" w:rsidRDefault="00B078E5" w:rsidP="005E683D">
      <w:pPr>
        <w:spacing w:after="0" w:line="240" w:lineRule="auto"/>
        <w:jc w:val="both"/>
        <w:rPr>
          <w:rFonts w:ascii="Arial" w:hAnsi="Arial" w:cs="Arial"/>
          <w:lang w:val="sr-Latn-CS"/>
        </w:rPr>
      </w:pPr>
      <w:r w:rsidRPr="00714FCC">
        <w:rPr>
          <w:rFonts w:ascii="Arial" w:hAnsi="Arial" w:cs="Arial"/>
          <w:lang w:val="sr-Latn-CS"/>
        </w:rPr>
        <w:t xml:space="preserve">Na osnovu podataka iz „Elaborata o klasifilaciji, kategorizaciji i proračunu rezervi </w:t>
      </w:r>
      <w:r>
        <w:rPr>
          <w:rFonts w:ascii="Arial" w:hAnsi="Arial" w:cs="Arial"/>
          <w:lang w:val="sr-Latn-CS"/>
        </w:rPr>
        <w:t xml:space="preserve">arhitektonsko </w:t>
      </w:r>
      <w:r w:rsidRPr="00714FCC">
        <w:rPr>
          <w:rFonts w:ascii="Arial" w:hAnsi="Arial" w:cs="Arial"/>
          <w:lang w:val="sr-Latn-CS"/>
        </w:rPr>
        <w:t xml:space="preserve">građevinskog kamena ležišta </w:t>
      </w:r>
      <w:r w:rsidR="00FF7343">
        <w:rPr>
          <w:rFonts w:ascii="Arial" w:hAnsi="Arial" w:cs="Arial"/>
          <w:lang w:val="sr-Latn-CS"/>
        </w:rPr>
        <w:t>“Klikovače”</w:t>
      </w:r>
      <w:r w:rsidR="00B24C37">
        <w:rPr>
          <w:rFonts w:ascii="Arial" w:hAnsi="Arial" w:cs="Arial"/>
          <w:lang w:val="sr-Latn-CS"/>
        </w:rPr>
        <w:t xml:space="preserve"> </w:t>
      </w:r>
      <w:r>
        <w:rPr>
          <w:rFonts w:ascii="Arial" w:hAnsi="Arial" w:cs="Arial"/>
          <w:lang w:val="sr-Latn-CS"/>
        </w:rPr>
        <w:t xml:space="preserve">iz </w:t>
      </w:r>
      <w:r w:rsidR="00390111">
        <w:rPr>
          <w:rFonts w:ascii="Arial" w:hAnsi="Arial" w:cs="Arial"/>
          <w:lang w:val="sr-Latn-CS"/>
        </w:rPr>
        <w:t>2005</w:t>
      </w:r>
      <w:r>
        <w:rPr>
          <w:rFonts w:ascii="Arial" w:hAnsi="Arial" w:cs="Arial"/>
          <w:lang w:val="sr-Latn-CS"/>
        </w:rPr>
        <w:t>. godine</w:t>
      </w:r>
      <w:r w:rsidRPr="00714FCC">
        <w:rPr>
          <w:rFonts w:ascii="Arial" w:hAnsi="Arial" w:cs="Arial"/>
          <w:lang w:val="sr-Latn-CS"/>
        </w:rPr>
        <w:t>, mineralna sirovina iz ovog ležišta spada u red kvalitetnih.</w:t>
      </w:r>
    </w:p>
    <w:p w14:paraId="47380836" w14:textId="77777777" w:rsidR="00B078E5" w:rsidRDefault="00B078E5" w:rsidP="005E683D">
      <w:pPr>
        <w:spacing w:after="0" w:line="240" w:lineRule="auto"/>
        <w:jc w:val="both"/>
        <w:rPr>
          <w:rFonts w:ascii="Arial" w:hAnsi="Arial" w:cs="Arial"/>
        </w:rPr>
      </w:pPr>
    </w:p>
    <w:p w14:paraId="69E1F5F1" w14:textId="77777777" w:rsidR="00390111" w:rsidRPr="00C070B1" w:rsidRDefault="00390111" w:rsidP="005E683D">
      <w:pPr>
        <w:spacing w:after="0" w:line="240" w:lineRule="auto"/>
        <w:jc w:val="both"/>
        <w:rPr>
          <w:rFonts w:ascii="Arial" w:hAnsi="Arial" w:cs="Arial"/>
        </w:rPr>
      </w:pPr>
      <w:proofErr w:type="spellStart"/>
      <w:r w:rsidRPr="00C070B1">
        <w:rPr>
          <w:rFonts w:ascii="Arial" w:hAnsi="Arial" w:cs="Arial"/>
        </w:rPr>
        <w:t>Kvalitet</w:t>
      </w:r>
      <w:proofErr w:type="spellEnd"/>
      <w:r w:rsidRPr="00C070B1">
        <w:rPr>
          <w:rFonts w:ascii="Arial" w:hAnsi="Arial" w:cs="Arial"/>
        </w:rPr>
        <w:t xml:space="preserve"> </w:t>
      </w:r>
      <w:proofErr w:type="spellStart"/>
      <w:r w:rsidRPr="00C070B1">
        <w:rPr>
          <w:rFonts w:ascii="Arial" w:hAnsi="Arial" w:cs="Arial"/>
        </w:rPr>
        <w:t>rezervi</w:t>
      </w:r>
      <w:proofErr w:type="spellEnd"/>
      <w:r w:rsidRPr="00C070B1">
        <w:rPr>
          <w:rFonts w:ascii="Arial" w:hAnsi="Arial" w:cs="Arial"/>
        </w:rPr>
        <w:t xml:space="preserve"> </w:t>
      </w:r>
      <w:proofErr w:type="spellStart"/>
      <w:r w:rsidRPr="00C070B1">
        <w:rPr>
          <w:rFonts w:ascii="Arial" w:hAnsi="Arial" w:cs="Arial"/>
        </w:rPr>
        <w:t>dokazan</w:t>
      </w:r>
      <w:proofErr w:type="spellEnd"/>
      <w:r w:rsidRPr="00C070B1">
        <w:rPr>
          <w:rFonts w:ascii="Arial" w:hAnsi="Arial" w:cs="Arial"/>
        </w:rPr>
        <w:t xml:space="preserve"> je </w:t>
      </w:r>
      <w:proofErr w:type="spellStart"/>
      <w:r w:rsidRPr="00C070B1">
        <w:rPr>
          <w:rFonts w:ascii="Arial" w:hAnsi="Arial" w:cs="Arial"/>
        </w:rPr>
        <w:t>ranije</w:t>
      </w:r>
      <w:proofErr w:type="spellEnd"/>
      <w:r w:rsidRPr="00C070B1">
        <w:rPr>
          <w:rFonts w:ascii="Arial" w:hAnsi="Arial" w:cs="Arial"/>
        </w:rPr>
        <w:t xml:space="preserve"> </w:t>
      </w:r>
      <w:proofErr w:type="spellStart"/>
      <w:r w:rsidRPr="00C070B1">
        <w:rPr>
          <w:rFonts w:ascii="Arial" w:hAnsi="Arial" w:cs="Arial"/>
        </w:rPr>
        <w:t>obavljenim</w:t>
      </w:r>
      <w:proofErr w:type="spellEnd"/>
      <w:r w:rsidRPr="00C070B1">
        <w:rPr>
          <w:rFonts w:ascii="Arial" w:hAnsi="Arial" w:cs="Arial"/>
        </w:rPr>
        <w:t xml:space="preserve"> </w:t>
      </w:r>
      <w:proofErr w:type="spellStart"/>
      <w:r w:rsidRPr="00C070B1">
        <w:rPr>
          <w:rFonts w:ascii="Arial" w:hAnsi="Arial" w:cs="Arial"/>
        </w:rPr>
        <w:t>ispitivanjima</w:t>
      </w:r>
      <w:proofErr w:type="spellEnd"/>
      <w:r w:rsidRPr="00C070B1">
        <w:rPr>
          <w:rFonts w:ascii="Arial" w:hAnsi="Arial" w:cs="Arial"/>
        </w:rPr>
        <w:t xml:space="preserve"> </w:t>
      </w:r>
      <w:proofErr w:type="spellStart"/>
      <w:r w:rsidRPr="00C070B1">
        <w:rPr>
          <w:rFonts w:ascii="Arial" w:hAnsi="Arial" w:cs="Arial"/>
        </w:rPr>
        <w:t>fizičko-mehaničkih</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drugih</w:t>
      </w:r>
      <w:proofErr w:type="spellEnd"/>
      <w:r w:rsidRPr="00C070B1">
        <w:rPr>
          <w:rFonts w:ascii="Arial" w:hAnsi="Arial" w:cs="Arial"/>
        </w:rPr>
        <w:t xml:space="preserve"> </w:t>
      </w:r>
      <w:proofErr w:type="spellStart"/>
      <w:r w:rsidRPr="00C070B1">
        <w:rPr>
          <w:rFonts w:ascii="Arial" w:hAnsi="Arial" w:cs="Arial"/>
        </w:rPr>
        <w:t>karakteristika</w:t>
      </w:r>
      <w:proofErr w:type="spellEnd"/>
      <w:r w:rsidRPr="00C070B1">
        <w:rPr>
          <w:rFonts w:ascii="Arial" w:hAnsi="Arial" w:cs="Arial"/>
        </w:rPr>
        <w:t xml:space="preserve">, </w:t>
      </w:r>
      <w:proofErr w:type="spellStart"/>
      <w:r w:rsidRPr="00C070B1">
        <w:rPr>
          <w:rFonts w:ascii="Arial" w:hAnsi="Arial" w:cs="Arial"/>
        </w:rPr>
        <w:t>čiji</w:t>
      </w:r>
      <w:proofErr w:type="spellEnd"/>
      <w:r w:rsidRPr="00C070B1">
        <w:rPr>
          <w:rFonts w:ascii="Arial" w:hAnsi="Arial" w:cs="Arial"/>
        </w:rPr>
        <w:t xml:space="preserve"> </w:t>
      </w:r>
      <w:proofErr w:type="spellStart"/>
      <w:r w:rsidRPr="00C070B1">
        <w:rPr>
          <w:rFonts w:ascii="Arial" w:hAnsi="Arial" w:cs="Arial"/>
        </w:rPr>
        <w:t>rezultati</w:t>
      </w:r>
      <w:proofErr w:type="spellEnd"/>
      <w:r w:rsidRPr="00C070B1">
        <w:rPr>
          <w:rFonts w:ascii="Arial" w:hAnsi="Arial" w:cs="Arial"/>
        </w:rPr>
        <w:t xml:space="preserve"> </w:t>
      </w:r>
      <w:proofErr w:type="spellStart"/>
      <w:r w:rsidRPr="00C070B1">
        <w:rPr>
          <w:rFonts w:ascii="Arial" w:hAnsi="Arial" w:cs="Arial"/>
        </w:rPr>
        <w:t>su</w:t>
      </w:r>
      <w:proofErr w:type="spellEnd"/>
      <w:r w:rsidRPr="00C070B1">
        <w:rPr>
          <w:rFonts w:ascii="Arial" w:hAnsi="Arial" w:cs="Arial"/>
        </w:rPr>
        <w:t xml:space="preserve"> </w:t>
      </w:r>
      <w:proofErr w:type="spellStart"/>
      <w:r w:rsidRPr="00C070B1">
        <w:rPr>
          <w:rFonts w:ascii="Arial" w:hAnsi="Arial" w:cs="Arial"/>
        </w:rPr>
        <w:t>prikazivani</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u </w:t>
      </w:r>
      <w:proofErr w:type="spellStart"/>
      <w:r w:rsidRPr="00C070B1">
        <w:rPr>
          <w:rFonts w:ascii="Arial" w:hAnsi="Arial" w:cs="Arial"/>
        </w:rPr>
        <w:t>prethodnim</w:t>
      </w:r>
      <w:proofErr w:type="spellEnd"/>
      <w:r w:rsidRPr="00C070B1">
        <w:rPr>
          <w:rFonts w:ascii="Arial" w:hAnsi="Arial" w:cs="Arial"/>
        </w:rPr>
        <w:t xml:space="preserve"> </w:t>
      </w:r>
      <w:proofErr w:type="spellStart"/>
      <w:r w:rsidRPr="00C070B1">
        <w:rPr>
          <w:rFonts w:ascii="Arial" w:hAnsi="Arial" w:cs="Arial"/>
        </w:rPr>
        <w:t>Elaboratima</w:t>
      </w:r>
      <w:proofErr w:type="spellEnd"/>
      <w:r w:rsidRPr="00C070B1">
        <w:rPr>
          <w:rFonts w:ascii="Arial" w:hAnsi="Arial" w:cs="Arial"/>
        </w:rPr>
        <w:t xml:space="preserve"> ..., </w:t>
      </w:r>
      <w:proofErr w:type="spellStart"/>
      <w:r w:rsidRPr="00C070B1">
        <w:rPr>
          <w:rFonts w:ascii="Arial" w:hAnsi="Arial" w:cs="Arial"/>
        </w:rPr>
        <w:t>kojim</w:t>
      </w:r>
      <w:proofErr w:type="spellEnd"/>
      <w:r w:rsidRPr="00C070B1">
        <w:rPr>
          <w:rFonts w:ascii="Arial" w:hAnsi="Arial" w:cs="Arial"/>
        </w:rPr>
        <w:t xml:space="preserve"> je </w:t>
      </w:r>
      <w:proofErr w:type="spellStart"/>
      <w:r w:rsidRPr="00C070B1">
        <w:rPr>
          <w:rFonts w:ascii="Arial" w:hAnsi="Arial" w:cs="Arial"/>
        </w:rPr>
        <w:t>dokazano</w:t>
      </w:r>
      <w:proofErr w:type="spellEnd"/>
      <w:r w:rsidRPr="00C070B1">
        <w:rPr>
          <w:rFonts w:ascii="Arial" w:hAnsi="Arial" w:cs="Arial"/>
        </w:rPr>
        <w:t xml:space="preserve"> da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w:t>
      </w:r>
      <w:proofErr w:type="spellStart"/>
      <w:r w:rsidRPr="00C070B1">
        <w:rPr>
          <w:rFonts w:ascii="Arial" w:hAnsi="Arial" w:cs="Arial"/>
        </w:rPr>
        <w:t>ležišta</w:t>
      </w:r>
      <w:proofErr w:type="spellEnd"/>
      <w:r w:rsidRPr="00C070B1">
        <w:rPr>
          <w:rFonts w:ascii="Arial" w:hAnsi="Arial" w:cs="Arial"/>
        </w:rPr>
        <w:t xml:space="preserve"> "</w:t>
      </w:r>
      <w:proofErr w:type="spellStart"/>
      <w:r w:rsidRPr="00C070B1">
        <w:rPr>
          <w:rFonts w:ascii="Arial" w:hAnsi="Arial" w:cs="Arial"/>
        </w:rPr>
        <w:t>Klikovače</w:t>
      </w:r>
      <w:proofErr w:type="spellEnd"/>
      <w:r w:rsidRPr="00C070B1">
        <w:rPr>
          <w:rFonts w:ascii="Arial" w:hAnsi="Arial" w:cs="Arial"/>
        </w:rPr>
        <w:t xml:space="preserve">" </w:t>
      </w:r>
      <w:proofErr w:type="spellStart"/>
      <w:r w:rsidRPr="00C070B1">
        <w:rPr>
          <w:rFonts w:ascii="Arial" w:hAnsi="Arial" w:cs="Arial"/>
        </w:rPr>
        <w:t>ima</w:t>
      </w:r>
      <w:proofErr w:type="spellEnd"/>
      <w:r w:rsidRPr="00C070B1">
        <w:rPr>
          <w:rFonts w:ascii="Arial" w:hAnsi="Arial" w:cs="Arial"/>
        </w:rPr>
        <w:t xml:space="preserve"> dobra </w:t>
      </w:r>
      <w:proofErr w:type="spellStart"/>
      <w:r w:rsidRPr="00C070B1">
        <w:rPr>
          <w:rFonts w:ascii="Arial" w:hAnsi="Arial" w:cs="Arial"/>
        </w:rPr>
        <w:t>fizičko-mehanička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dekorativna</w:t>
      </w:r>
      <w:proofErr w:type="spellEnd"/>
      <w:r w:rsidRPr="00C070B1">
        <w:rPr>
          <w:rFonts w:ascii="Arial" w:hAnsi="Arial" w:cs="Arial"/>
        </w:rPr>
        <w:t xml:space="preserve"> </w:t>
      </w:r>
      <w:proofErr w:type="spellStart"/>
      <w:r w:rsidRPr="00C070B1">
        <w:rPr>
          <w:rFonts w:ascii="Arial" w:hAnsi="Arial" w:cs="Arial"/>
        </w:rPr>
        <w:t>svojstva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široku</w:t>
      </w:r>
      <w:proofErr w:type="spellEnd"/>
      <w:r w:rsidRPr="00C070B1">
        <w:rPr>
          <w:rFonts w:ascii="Arial" w:hAnsi="Arial" w:cs="Arial"/>
        </w:rPr>
        <w:t xml:space="preserve"> </w:t>
      </w:r>
      <w:proofErr w:type="spellStart"/>
      <w:r w:rsidRPr="00C070B1">
        <w:rPr>
          <w:rFonts w:ascii="Arial" w:hAnsi="Arial" w:cs="Arial"/>
        </w:rPr>
        <w:t>primjenu</w:t>
      </w:r>
      <w:proofErr w:type="spellEnd"/>
      <w:r w:rsidRPr="00C070B1">
        <w:rPr>
          <w:rFonts w:ascii="Arial" w:hAnsi="Arial" w:cs="Arial"/>
        </w:rPr>
        <w:t xml:space="preserve"> </w:t>
      </w:r>
      <w:proofErr w:type="spellStart"/>
      <w:r w:rsidRPr="00C070B1">
        <w:rPr>
          <w:rFonts w:ascii="Arial" w:hAnsi="Arial" w:cs="Arial"/>
        </w:rPr>
        <w:t>kao</w:t>
      </w:r>
      <w:proofErr w:type="spellEnd"/>
      <w:r w:rsidRPr="00C070B1">
        <w:rPr>
          <w:rFonts w:ascii="Arial" w:hAnsi="Arial" w:cs="Arial"/>
        </w:rPr>
        <w:t xml:space="preserve"> </w:t>
      </w:r>
      <w:proofErr w:type="spellStart"/>
      <w:r w:rsidRPr="00C070B1">
        <w:rPr>
          <w:rFonts w:ascii="Arial" w:hAnsi="Arial" w:cs="Arial"/>
        </w:rPr>
        <w:t>arhitektonsko-građevinskog</w:t>
      </w:r>
      <w:proofErr w:type="spellEnd"/>
      <w:r w:rsidRPr="00C070B1">
        <w:rPr>
          <w:rFonts w:ascii="Arial" w:hAnsi="Arial" w:cs="Arial"/>
        </w:rPr>
        <w:t xml:space="preserve"> </w:t>
      </w:r>
      <w:proofErr w:type="spellStart"/>
      <w:r w:rsidRPr="00C070B1">
        <w:rPr>
          <w:rFonts w:ascii="Arial" w:hAnsi="Arial" w:cs="Arial"/>
        </w:rPr>
        <w:t>kamena</w:t>
      </w:r>
      <w:proofErr w:type="spellEnd"/>
      <w:r w:rsidRPr="00C070B1">
        <w:rPr>
          <w:rFonts w:ascii="Arial" w:hAnsi="Arial" w:cs="Arial"/>
        </w:rPr>
        <w:t xml:space="preserve"> za </w:t>
      </w:r>
      <w:proofErr w:type="spellStart"/>
      <w:r w:rsidRPr="00C070B1">
        <w:rPr>
          <w:rFonts w:ascii="Arial" w:hAnsi="Arial" w:cs="Arial"/>
        </w:rPr>
        <w:t>unutrašnja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spoljašnja</w:t>
      </w:r>
      <w:proofErr w:type="spellEnd"/>
      <w:r w:rsidRPr="00C070B1">
        <w:rPr>
          <w:rFonts w:ascii="Arial" w:hAnsi="Arial" w:cs="Arial"/>
        </w:rPr>
        <w:t xml:space="preserve"> </w:t>
      </w:r>
      <w:proofErr w:type="spellStart"/>
      <w:r w:rsidRPr="00C070B1">
        <w:rPr>
          <w:rFonts w:ascii="Arial" w:hAnsi="Arial" w:cs="Arial"/>
        </w:rPr>
        <w:t>horizontalna</w:t>
      </w:r>
      <w:proofErr w:type="spellEnd"/>
      <w:r w:rsidRPr="00C070B1">
        <w:rPr>
          <w:rFonts w:ascii="Arial" w:hAnsi="Arial" w:cs="Arial"/>
        </w:rPr>
        <w:t xml:space="preserve"> </w:t>
      </w:r>
      <w:proofErr w:type="spellStart"/>
      <w:r w:rsidRPr="00C070B1">
        <w:rPr>
          <w:rFonts w:ascii="Arial" w:hAnsi="Arial" w:cs="Arial"/>
        </w:rPr>
        <w:t>i</w:t>
      </w:r>
      <w:proofErr w:type="spellEnd"/>
      <w:r w:rsidRPr="00C070B1">
        <w:rPr>
          <w:rFonts w:ascii="Arial" w:hAnsi="Arial" w:cs="Arial"/>
        </w:rPr>
        <w:t xml:space="preserve"> </w:t>
      </w:r>
      <w:proofErr w:type="spellStart"/>
      <w:r w:rsidRPr="00C070B1">
        <w:rPr>
          <w:rFonts w:ascii="Arial" w:hAnsi="Arial" w:cs="Arial"/>
        </w:rPr>
        <w:t>vertikalna</w:t>
      </w:r>
      <w:proofErr w:type="spellEnd"/>
      <w:r w:rsidRPr="00C070B1">
        <w:rPr>
          <w:rFonts w:ascii="Arial" w:hAnsi="Arial" w:cs="Arial"/>
        </w:rPr>
        <w:t xml:space="preserve"> </w:t>
      </w:r>
      <w:proofErr w:type="spellStart"/>
      <w:r w:rsidRPr="00C070B1">
        <w:rPr>
          <w:rFonts w:ascii="Arial" w:hAnsi="Arial" w:cs="Arial"/>
        </w:rPr>
        <w:t>oblaganja</w:t>
      </w:r>
      <w:proofErr w:type="spellEnd"/>
      <w:r w:rsidRPr="00C070B1">
        <w:rPr>
          <w:rFonts w:ascii="Arial" w:hAnsi="Arial" w:cs="Arial"/>
        </w:rPr>
        <w:t xml:space="preserve">. </w:t>
      </w:r>
    </w:p>
    <w:p w14:paraId="4474DA29" w14:textId="77777777" w:rsidR="00744584" w:rsidRPr="00004B4A" w:rsidRDefault="00A41658" w:rsidP="007254CE">
      <w:pPr>
        <w:pStyle w:val="Heading3"/>
        <w:spacing w:after="0" w:line="240" w:lineRule="auto"/>
        <w:ind w:left="0" w:firstLine="0"/>
        <w:jc w:val="both"/>
        <w:rPr>
          <w:rFonts w:ascii="Arial" w:hAnsi="Arial" w:cs="Arial"/>
          <w:sz w:val="22"/>
          <w:szCs w:val="22"/>
        </w:rPr>
      </w:pPr>
      <w:bookmarkStart w:id="31" w:name="_Toc402262958"/>
      <w:r w:rsidRPr="00004B4A">
        <w:rPr>
          <w:rFonts w:ascii="Arial" w:eastAsia="Arial Unicode MS" w:hAnsi="Arial" w:cs="Arial"/>
          <w:bCs w:val="0"/>
          <w:sz w:val="22"/>
          <w:szCs w:val="22"/>
        </w:rPr>
        <w:lastRenderedPageBreak/>
        <w:t>8.1.4</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1"/>
    </w:p>
    <w:p w14:paraId="51E230E2" w14:textId="77777777" w:rsidR="00386BAD" w:rsidRPr="00004B4A" w:rsidRDefault="00386BAD" w:rsidP="007254CE">
      <w:pPr>
        <w:spacing w:after="0" w:line="240" w:lineRule="auto"/>
        <w:jc w:val="both"/>
        <w:rPr>
          <w:rFonts w:ascii="Arial" w:hAnsi="Arial" w:cs="Arial"/>
          <w:lang w:val="sr-Latn-CS"/>
        </w:rPr>
      </w:pPr>
    </w:p>
    <w:p w14:paraId="542D676C" w14:textId="2132D035" w:rsidR="009675BE" w:rsidRPr="009675BE" w:rsidRDefault="008D37DF" w:rsidP="005E683D">
      <w:pPr>
        <w:spacing w:after="0" w:line="240" w:lineRule="auto"/>
        <w:jc w:val="both"/>
        <w:rPr>
          <w:rFonts w:ascii="Arial" w:hAnsi="Arial" w:cs="Arial"/>
          <w:vertAlign w:val="superscript"/>
          <w:lang w:val="sr-Latn-CS"/>
        </w:rPr>
      </w:pPr>
      <w:r w:rsidRPr="00004B4A">
        <w:rPr>
          <w:rFonts w:ascii="Arial" w:hAnsi="Arial" w:cs="Arial"/>
          <w:lang w:val="sr-Latn-CS"/>
        </w:rPr>
        <w:t xml:space="preserve">Na osnovu podataka, dostavljenih od </w:t>
      </w:r>
      <w:r w:rsidR="00C6747E">
        <w:rPr>
          <w:rFonts w:ascii="Arial" w:hAnsi="Arial" w:cs="Arial"/>
          <w:lang w:val="sr-Latn-CS"/>
        </w:rPr>
        <w:t>Ministarstva kapitalnih investicija, kao nadležnog organa,</w:t>
      </w:r>
      <w:r w:rsidRPr="00004B4A">
        <w:rPr>
          <w:rFonts w:ascii="Arial" w:hAnsi="Arial" w:cs="Arial"/>
          <w:lang w:val="sr-Latn-CS"/>
        </w:rPr>
        <w:t xml:space="preserve"> </w:t>
      </w:r>
      <w:r w:rsidR="009D5951" w:rsidRPr="00C95882">
        <w:rPr>
          <w:rFonts w:ascii="Arial" w:hAnsi="Arial" w:cs="Arial"/>
          <w:lang w:val="sr-Latn-CS"/>
        </w:rPr>
        <w:t xml:space="preserve"> </w:t>
      </w:r>
      <w:r w:rsidR="009675BE">
        <w:rPr>
          <w:rFonts w:ascii="Arial" w:hAnsi="Arial" w:cs="Arial"/>
          <w:lang w:val="sr-Latn-CS"/>
        </w:rPr>
        <w:t>t</w:t>
      </w:r>
      <w:r w:rsidR="009675BE" w:rsidRPr="004922A7">
        <w:rPr>
          <w:rFonts w:ascii="Arial" w:hAnsi="Arial" w:cs="Arial"/>
          <w:lang w:val="sr-Latn-CS"/>
        </w:rPr>
        <w:t xml:space="preserve">ržišna vrijednost komercijalnog bloka i tombolona utvrđena je u iznosu </w:t>
      </w:r>
      <w:r w:rsidR="009675BE" w:rsidRPr="008D608E">
        <w:rPr>
          <w:rFonts w:ascii="Arial" w:hAnsi="Arial" w:cs="Arial"/>
          <w:lang w:val="sr-Latn-CS"/>
        </w:rPr>
        <w:t>od 300,00 €/m</w:t>
      </w:r>
      <w:r w:rsidR="009675BE" w:rsidRPr="008D608E">
        <w:rPr>
          <w:rFonts w:ascii="Arial" w:hAnsi="Arial" w:cs="Arial"/>
          <w:vertAlign w:val="superscript"/>
          <w:lang w:val="sr-Latn-CS"/>
        </w:rPr>
        <w:t>3</w:t>
      </w:r>
      <w:r w:rsidR="009675BE" w:rsidRPr="008D608E">
        <w:rPr>
          <w:rFonts w:ascii="Arial" w:hAnsi="Arial" w:cs="Arial"/>
          <w:lang w:val="sr-Latn-CS"/>
        </w:rPr>
        <w:t xml:space="preserve">, prema </w:t>
      </w:r>
      <w:r w:rsidR="009675BE">
        <w:rPr>
          <w:rFonts w:ascii="Arial" w:hAnsi="Arial" w:cs="Arial"/>
          <w:lang w:val="pl-PL"/>
        </w:rPr>
        <w:t>p</w:t>
      </w:r>
      <w:r w:rsidR="009675BE" w:rsidRPr="00CB0499">
        <w:rPr>
          <w:rFonts w:ascii="Arial" w:hAnsi="Arial" w:cs="Arial"/>
          <w:lang w:val="pl-PL"/>
        </w:rPr>
        <w:t>odaci</w:t>
      </w:r>
      <w:r w:rsidR="009675BE">
        <w:rPr>
          <w:rFonts w:ascii="Arial" w:hAnsi="Arial" w:cs="Arial"/>
          <w:lang w:val="pl-PL"/>
        </w:rPr>
        <w:t>ma</w:t>
      </w:r>
      <w:r w:rsidR="009675BE" w:rsidRPr="00CB0499">
        <w:rPr>
          <w:rFonts w:ascii="Arial" w:hAnsi="Arial" w:cs="Arial"/>
          <w:lang w:val="pl-PL"/>
        </w:rPr>
        <w:t xml:space="preserve"> o prosječno ostvarenoj cijeni mineralne sirovine  </w:t>
      </w:r>
      <w:proofErr w:type="spellStart"/>
      <w:r w:rsidR="009675BE" w:rsidRPr="00CB0499">
        <w:rPr>
          <w:rFonts w:ascii="Arial" w:hAnsi="Arial" w:cs="Arial"/>
        </w:rPr>
        <w:t>arhitektonsko-građevinskog</w:t>
      </w:r>
      <w:proofErr w:type="spellEnd"/>
      <w:r w:rsidR="009675BE" w:rsidRPr="00CB0499">
        <w:rPr>
          <w:rFonts w:ascii="Arial" w:hAnsi="Arial" w:cs="Arial"/>
        </w:rPr>
        <w:t xml:space="preserve"> </w:t>
      </w:r>
      <w:proofErr w:type="spellStart"/>
      <w:r w:rsidR="009675BE" w:rsidRPr="00CB0499">
        <w:rPr>
          <w:rFonts w:ascii="Arial" w:hAnsi="Arial" w:cs="Arial"/>
        </w:rPr>
        <w:t>kamena</w:t>
      </w:r>
      <w:proofErr w:type="spellEnd"/>
      <w:r w:rsidR="009675BE" w:rsidRPr="00CB0499">
        <w:rPr>
          <w:rFonts w:ascii="Arial" w:hAnsi="Arial" w:cs="Arial"/>
        </w:rPr>
        <w:t xml:space="preserve"> </w:t>
      </w:r>
      <w:r w:rsidR="009675BE" w:rsidRPr="00CB0499">
        <w:rPr>
          <w:rFonts w:ascii="Arial" w:hAnsi="Arial" w:cs="Arial"/>
          <w:lang w:val="pl-PL"/>
        </w:rPr>
        <w:t>u Crnoj Gori u 20</w:t>
      </w:r>
      <w:r w:rsidR="009675BE">
        <w:rPr>
          <w:rFonts w:ascii="Arial" w:hAnsi="Arial" w:cs="Arial"/>
          <w:lang w:val="pl-PL"/>
        </w:rPr>
        <w:t>2</w:t>
      </w:r>
      <w:r w:rsidR="00FF7343">
        <w:rPr>
          <w:rFonts w:ascii="Arial" w:hAnsi="Arial" w:cs="Arial"/>
          <w:lang w:val="pl-PL"/>
        </w:rPr>
        <w:t>1</w:t>
      </w:r>
      <w:r w:rsidR="009675BE">
        <w:rPr>
          <w:rFonts w:ascii="Arial" w:hAnsi="Arial" w:cs="Arial"/>
          <w:lang w:val="pl-PL"/>
        </w:rPr>
        <w:t>. godini.</w:t>
      </w:r>
    </w:p>
    <w:p w14:paraId="03387045" w14:textId="043935AC" w:rsidR="00744584" w:rsidRPr="00004B4A" w:rsidRDefault="00744584" w:rsidP="005E683D">
      <w:pPr>
        <w:spacing w:after="0" w:line="240" w:lineRule="auto"/>
        <w:jc w:val="both"/>
        <w:rPr>
          <w:rFonts w:ascii="Arial" w:hAnsi="Arial" w:cs="Arial"/>
          <w:lang w:val="sr-Latn-CS"/>
        </w:rPr>
      </w:pPr>
    </w:p>
    <w:p w14:paraId="164CE837" w14:textId="177A416D" w:rsidR="009675BE" w:rsidRPr="00714FCC" w:rsidRDefault="009675BE" w:rsidP="005E683D">
      <w:pPr>
        <w:spacing w:after="0" w:line="240" w:lineRule="auto"/>
        <w:jc w:val="both"/>
        <w:rPr>
          <w:rFonts w:ascii="Arial" w:hAnsi="Arial" w:cs="Arial"/>
          <w:b/>
          <w:lang w:val="sr-Latn-CS"/>
        </w:rPr>
      </w:pPr>
      <w:r w:rsidRPr="00714FCC">
        <w:rPr>
          <w:rFonts w:ascii="Arial" w:hAnsi="Arial" w:cs="Arial"/>
          <w:lang w:val="sr-Latn-CS"/>
        </w:rPr>
        <w:t xml:space="preserve">Na osnovu usvojenih parametara, tržišna vrijednost  rezervi </w:t>
      </w:r>
      <w:r>
        <w:rPr>
          <w:rFonts w:ascii="Arial" w:hAnsi="Arial" w:cs="Arial"/>
          <w:lang w:val="sr-Latn-CS"/>
        </w:rPr>
        <w:t>arhitektonsko</w:t>
      </w:r>
      <w:r w:rsidRPr="00714FCC">
        <w:rPr>
          <w:rFonts w:ascii="Arial" w:hAnsi="Arial" w:cs="Arial"/>
          <w:lang w:val="sr-Latn-CS"/>
        </w:rPr>
        <w:t>-građevinskog kamena koje se mogu otkopati, prema godišnjem kapacitetu</w:t>
      </w:r>
      <w:r w:rsidR="000C7A03">
        <w:rPr>
          <w:rFonts w:ascii="Arial" w:hAnsi="Arial" w:cs="Arial"/>
          <w:lang w:val="sr-Latn-CS"/>
        </w:rPr>
        <w:t xml:space="preserve"> od 1000 m</w:t>
      </w:r>
      <w:r w:rsidR="000C7A03">
        <w:rPr>
          <w:rFonts w:ascii="Arial" w:hAnsi="Arial" w:cs="Arial"/>
          <w:vertAlign w:val="superscript"/>
          <w:lang w:val="sr-Latn-CS"/>
        </w:rPr>
        <w:t>3</w:t>
      </w:r>
      <w:r w:rsidRPr="00714FCC">
        <w:rPr>
          <w:rFonts w:ascii="Arial" w:hAnsi="Arial" w:cs="Arial"/>
          <w:lang w:val="sr-Latn-CS"/>
        </w:rPr>
        <w:t xml:space="preserve"> </w:t>
      </w:r>
      <w:r w:rsidR="000C7A03">
        <w:rPr>
          <w:rFonts w:ascii="Arial" w:hAnsi="Arial" w:cs="Arial"/>
          <w:lang w:val="sr-Latn-CS"/>
        </w:rPr>
        <w:t>bloka z</w:t>
      </w:r>
      <w:r w:rsidRPr="00714FCC">
        <w:rPr>
          <w:rFonts w:ascii="Arial" w:hAnsi="Arial" w:cs="Arial"/>
          <w:lang w:val="sr-Latn-CS"/>
        </w:rPr>
        <w:t>a 2</w:t>
      </w:r>
      <w:r>
        <w:rPr>
          <w:rFonts w:ascii="Arial" w:hAnsi="Arial" w:cs="Arial"/>
          <w:lang w:val="sr-Latn-CS"/>
        </w:rPr>
        <w:t>8</w:t>
      </w:r>
      <w:r w:rsidRPr="00714FCC">
        <w:rPr>
          <w:rFonts w:ascii="Arial" w:hAnsi="Arial" w:cs="Arial"/>
          <w:lang w:val="sr-Latn-CS"/>
        </w:rPr>
        <w:t xml:space="preserve"> godina je: </w:t>
      </w:r>
    </w:p>
    <w:p w14:paraId="1F754A78" w14:textId="77777777" w:rsidR="009675BE" w:rsidRPr="00714FCC" w:rsidRDefault="009675BE" w:rsidP="005E683D">
      <w:pPr>
        <w:spacing w:after="0" w:line="240" w:lineRule="auto"/>
        <w:jc w:val="both"/>
        <w:rPr>
          <w:rFonts w:ascii="Arial" w:hAnsi="Arial" w:cs="Arial"/>
          <w:b/>
          <w:lang w:val="sr-Latn-CS"/>
        </w:rPr>
      </w:pPr>
    </w:p>
    <w:p w14:paraId="71B691D1" w14:textId="0C9FACB1" w:rsidR="009675BE" w:rsidRPr="0095428A" w:rsidRDefault="009675BE" w:rsidP="005E683D">
      <w:pPr>
        <w:spacing w:after="0" w:line="240" w:lineRule="auto"/>
        <w:jc w:val="both"/>
        <w:rPr>
          <w:rFonts w:ascii="Arial" w:hAnsi="Arial" w:cs="Arial"/>
          <w:b/>
          <w:lang w:val="sr-Latn-CS"/>
        </w:rPr>
      </w:pPr>
      <w:r w:rsidRPr="0095428A">
        <w:rPr>
          <w:rFonts w:ascii="Arial" w:hAnsi="Arial" w:cs="Arial"/>
          <w:b/>
          <w:lang w:val="sr-Latn-CS"/>
        </w:rPr>
        <w:t xml:space="preserve">VP= </w:t>
      </w:r>
      <w:r w:rsidR="00632C60">
        <w:rPr>
          <w:rFonts w:ascii="Arial" w:hAnsi="Arial" w:cs="Arial"/>
          <w:b/>
          <w:lang w:val="sr-Latn-CS"/>
        </w:rPr>
        <w:t xml:space="preserve">28 000 </w:t>
      </w:r>
      <w:r w:rsidRPr="0095428A">
        <w:rPr>
          <w:rFonts w:ascii="Arial" w:hAnsi="Arial" w:cs="Arial"/>
          <w:b/>
          <w:lang w:val="sr-Latn-CS"/>
        </w:rPr>
        <w:t>m</w:t>
      </w:r>
      <w:r w:rsidRPr="0095428A">
        <w:rPr>
          <w:rFonts w:ascii="Arial" w:hAnsi="Arial" w:cs="Arial"/>
          <w:b/>
          <w:vertAlign w:val="superscript"/>
          <w:lang w:val="sr-Latn-CS"/>
        </w:rPr>
        <w:t>3</w:t>
      </w:r>
      <w:r w:rsidRPr="0095428A">
        <w:rPr>
          <w:rFonts w:ascii="Arial" w:hAnsi="Arial" w:cs="Arial"/>
          <w:b/>
          <w:lang w:val="sr-Latn-CS"/>
        </w:rPr>
        <w:t xml:space="preserve"> č</w:t>
      </w:r>
      <w:r w:rsidR="00632C60">
        <w:rPr>
          <w:rFonts w:ascii="Arial" w:hAnsi="Arial" w:cs="Arial"/>
          <w:b/>
          <w:lang w:val="sr-Latn-CS"/>
        </w:rPr>
        <w:t>.s.m.</w:t>
      </w:r>
      <w:r w:rsidRPr="0095428A">
        <w:rPr>
          <w:rFonts w:ascii="Arial" w:hAnsi="Arial" w:cs="Arial"/>
          <w:b/>
          <w:lang w:val="sr-Latn-CS"/>
        </w:rPr>
        <w:t xml:space="preserve"> x 3</w:t>
      </w:r>
      <w:r>
        <w:rPr>
          <w:rFonts w:ascii="Arial" w:hAnsi="Arial" w:cs="Arial"/>
          <w:b/>
          <w:lang w:val="sr-Latn-CS"/>
        </w:rPr>
        <w:t>00</w:t>
      </w:r>
      <w:r w:rsidRPr="0095428A">
        <w:rPr>
          <w:rFonts w:ascii="Arial" w:hAnsi="Arial" w:cs="Arial"/>
          <w:b/>
          <w:lang w:val="sr-Latn-CS"/>
        </w:rPr>
        <w:t xml:space="preserve"> €/m</w:t>
      </w:r>
      <w:r w:rsidRPr="0095428A">
        <w:rPr>
          <w:rFonts w:ascii="Arial" w:hAnsi="Arial" w:cs="Arial"/>
          <w:b/>
          <w:vertAlign w:val="superscript"/>
          <w:lang w:val="sr-Latn-CS"/>
        </w:rPr>
        <w:t xml:space="preserve">3 </w:t>
      </w:r>
      <w:r w:rsidRPr="0095428A">
        <w:rPr>
          <w:rFonts w:ascii="Arial" w:hAnsi="Arial" w:cs="Arial"/>
          <w:b/>
          <w:lang w:val="sr-Latn-CS"/>
        </w:rPr>
        <w:t xml:space="preserve">= </w:t>
      </w:r>
      <w:r w:rsidR="009B527D">
        <w:rPr>
          <w:rFonts w:ascii="Arial" w:hAnsi="Arial" w:cs="Arial"/>
          <w:b/>
          <w:lang w:val="sr-Latn-CS"/>
        </w:rPr>
        <w:t>8 400 000</w:t>
      </w:r>
      <w:r w:rsidRPr="0095428A">
        <w:rPr>
          <w:rFonts w:ascii="Arial" w:hAnsi="Arial" w:cs="Arial"/>
          <w:b/>
          <w:lang w:val="sr-Latn-CS"/>
        </w:rPr>
        <w:t xml:space="preserve"> € ili </w:t>
      </w:r>
      <w:r w:rsidR="009B527D">
        <w:rPr>
          <w:rFonts w:ascii="Arial" w:hAnsi="Arial" w:cs="Arial"/>
          <w:b/>
          <w:lang w:val="sr-Latn-CS"/>
        </w:rPr>
        <w:t>300 000</w:t>
      </w:r>
      <w:r w:rsidRPr="0095428A">
        <w:rPr>
          <w:rFonts w:ascii="Arial" w:hAnsi="Arial" w:cs="Arial"/>
          <w:b/>
          <w:lang w:val="sr-Latn-CS"/>
        </w:rPr>
        <w:t xml:space="preserve"> €/godišnje</w:t>
      </w:r>
    </w:p>
    <w:p w14:paraId="1E5E4ACC" w14:textId="77777777" w:rsidR="00744584" w:rsidRPr="00004B4A" w:rsidRDefault="00744584" w:rsidP="005E683D">
      <w:pPr>
        <w:spacing w:after="0" w:line="240" w:lineRule="auto"/>
        <w:jc w:val="both"/>
        <w:rPr>
          <w:rFonts w:ascii="Arial" w:hAnsi="Arial" w:cs="Arial"/>
          <w:b/>
          <w:lang w:val="sr-Latn-CS"/>
        </w:rPr>
      </w:pPr>
    </w:p>
    <w:p w14:paraId="49F54A2F" w14:textId="77777777" w:rsidR="009D5951" w:rsidRPr="00004B4A" w:rsidRDefault="009D5951" w:rsidP="005E683D">
      <w:pPr>
        <w:pStyle w:val="Heading2"/>
      </w:pPr>
      <w:bookmarkStart w:id="32" w:name="_Toc402262959"/>
      <w:r w:rsidRPr="00004B4A">
        <w:t>8.2 Obračun minimalne koncesione naknade</w:t>
      </w:r>
      <w:bookmarkEnd w:id="32"/>
      <w:r w:rsidRPr="00004B4A">
        <w:t xml:space="preserve"> </w:t>
      </w:r>
    </w:p>
    <w:p w14:paraId="622BB9CD" w14:textId="77777777" w:rsidR="009D5951" w:rsidRPr="00004B4A" w:rsidRDefault="009D5951" w:rsidP="005E683D">
      <w:pPr>
        <w:spacing w:after="0" w:line="240" w:lineRule="auto"/>
        <w:jc w:val="both"/>
        <w:rPr>
          <w:rFonts w:ascii="Arial" w:hAnsi="Arial" w:cs="Arial"/>
          <w:lang w:val="sr-Latn-CS"/>
        </w:rPr>
      </w:pPr>
    </w:p>
    <w:p w14:paraId="4283C750" w14:textId="77777777" w:rsidR="009D5951" w:rsidRPr="00004B4A" w:rsidRDefault="009D5951" w:rsidP="005E683D">
      <w:pPr>
        <w:spacing w:after="0" w:line="240" w:lineRule="auto"/>
        <w:jc w:val="both"/>
        <w:rPr>
          <w:rFonts w:ascii="Arial" w:hAnsi="Arial" w:cs="Arial"/>
          <w:lang w:val="sr-Latn-CS"/>
        </w:rPr>
      </w:pPr>
      <w:r w:rsidRPr="00004B4A">
        <w:rPr>
          <w:rFonts w:ascii="Arial" w:hAnsi="Arial" w:cs="Arial"/>
          <w:lang w:val="sr-Latn-CS"/>
        </w:rPr>
        <w:t>Minimalna koncesiona naknada za eksploataciju (čl. 18 Uredbe) obračunava se po obrascu:</w:t>
      </w:r>
    </w:p>
    <w:p w14:paraId="548219BC" w14:textId="77777777" w:rsidR="009D5951" w:rsidRPr="00004B4A" w:rsidRDefault="009D5951" w:rsidP="005E683D">
      <w:pPr>
        <w:spacing w:after="0" w:line="240" w:lineRule="auto"/>
        <w:jc w:val="both"/>
        <w:rPr>
          <w:rFonts w:ascii="Arial" w:hAnsi="Arial" w:cs="Arial"/>
          <w:b/>
          <w:lang w:val="sr-Latn-CS"/>
        </w:rPr>
      </w:pPr>
    </w:p>
    <w:p w14:paraId="1E221AB0" w14:textId="77777777" w:rsidR="009D5951" w:rsidRPr="00004B4A" w:rsidRDefault="009D5951" w:rsidP="005E683D">
      <w:pPr>
        <w:spacing w:after="0" w:line="240" w:lineRule="auto"/>
        <w:jc w:val="both"/>
        <w:rPr>
          <w:rFonts w:ascii="Arial" w:hAnsi="Arial" w:cs="Arial"/>
          <w:b/>
          <w:lang w:val="sr-Latn-CS"/>
        </w:rPr>
      </w:pPr>
      <w:r w:rsidRPr="00004B4A">
        <w:rPr>
          <w:rFonts w:ascii="Arial" w:hAnsi="Arial" w:cs="Arial"/>
          <w:b/>
          <w:lang w:val="sr-Latn-CS"/>
        </w:rPr>
        <w:t>MDN= VP x G</w:t>
      </w:r>
    </w:p>
    <w:p w14:paraId="1D66A02A" w14:textId="77777777" w:rsidR="009D5951" w:rsidRPr="00004B4A" w:rsidRDefault="009D5951" w:rsidP="005E683D">
      <w:pPr>
        <w:spacing w:after="0" w:line="240" w:lineRule="auto"/>
        <w:jc w:val="both"/>
        <w:rPr>
          <w:rFonts w:ascii="Arial" w:hAnsi="Arial" w:cs="Arial"/>
          <w:lang w:val="sr-Latn-CS"/>
        </w:rPr>
      </w:pPr>
    </w:p>
    <w:p w14:paraId="051B3704" w14:textId="7EA19266" w:rsidR="009D5951" w:rsidRPr="00004B4A" w:rsidRDefault="009D5951" w:rsidP="005E683D">
      <w:pPr>
        <w:spacing w:after="0" w:line="240" w:lineRule="auto"/>
        <w:jc w:val="both"/>
        <w:rPr>
          <w:rFonts w:ascii="Arial" w:hAnsi="Arial" w:cs="Arial"/>
          <w:lang w:val="sr-Latn-CS"/>
        </w:rPr>
      </w:pPr>
      <w:r w:rsidRPr="00004B4A">
        <w:rPr>
          <w:rFonts w:ascii="Arial" w:hAnsi="Arial" w:cs="Arial"/>
          <w:lang w:val="sr-Latn-CS"/>
        </w:rPr>
        <w:t>gdje su</w:t>
      </w:r>
      <w:r w:rsidR="005E683D">
        <w:rPr>
          <w:rFonts w:ascii="Arial" w:hAnsi="Arial" w:cs="Arial"/>
          <w:lang w:val="sr-Latn-CS"/>
        </w:rPr>
        <w:t>:</w:t>
      </w:r>
    </w:p>
    <w:p w14:paraId="001A3A12" w14:textId="758D916C" w:rsidR="009D5951" w:rsidRPr="00004B4A" w:rsidRDefault="009D5951" w:rsidP="005E683D">
      <w:pPr>
        <w:spacing w:after="0" w:line="240" w:lineRule="auto"/>
        <w:jc w:val="both"/>
        <w:rPr>
          <w:rFonts w:ascii="Arial" w:hAnsi="Arial" w:cs="Arial"/>
          <w:lang w:val="sr-Latn-CS"/>
        </w:rPr>
      </w:pPr>
      <w:r w:rsidRPr="00004B4A">
        <w:rPr>
          <w:rFonts w:ascii="Arial" w:hAnsi="Arial" w:cs="Arial"/>
          <w:lang w:val="sr-Latn-CS"/>
        </w:rPr>
        <w:t>VP - vrijednost proizvodnje</w:t>
      </w:r>
      <w:r w:rsidR="00D90CC6">
        <w:rPr>
          <w:rFonts w:ascii="Arial" w:hAnsi="Arial" w:cs="Arial"/>
          <w:lang w:val="sr-Latn-CS"/>
        </w:rPr>
        <w:t xml:space="preserve"> blok mase</w:t>
      </w:r>
      <w:r w:rsidRPr="00004B4A">
        <w:rPr>
          <w:rFonts w:ascii="Arial" w:hAnsi="Arial" w:cs="Arial"/>
          <w:lang w:val="sr-Latn-CS"/>
        </w:rPr>
        <w:t xml:space="preserve"> = </w:t>
      </w:r>
      <w:r w:rsidR="009B527D">
        <w:rPr>
          <w:rFonts w:ascii="Arial" w:hAnsi="Arial" w:cs="Arial"/>
          <w:b/>
          <w:lang w:val="sr-Latn-CS"/>
        </w:rPr>
        <w:t>8 400 000</w:t>
      </w:r>
      <w:r w:rsidR="009B527D" w:rsidRPr="0095428A">
        <w:rPr>
          <w:rFonts w:ascii="Arial" w:hAnsi="Arial" w:cs="Arial"/>
          <w:b/>
          <w:lang w:val="sr-Latn-CS"/>
        </w:rPr>
        <w:t xml:space="preserve"> </w:t>
      </w:r>
      <w:r w:rsidRPr="00004B4A">
        <w:rPr>
          <w:rFonts w:ascii="Arial" w:hAnsi="Arial" w:cs="Arial"/>
          <w:b/>
          <w:lang w:val="sr-Latn-CS"/>
        </w:rPr>
        <w:t xml:space="preserve">€ </w:t>
      </w:r>
      <w:r w:rsidRPr="00004B4A">
        <w:rPr>
          <w:rFonts w:ascii="Arial" w:hAnsi="Arial" w:cs="Arial"/>
          <w:lang w:val="sr-Latn-CS"/>
        </w:rPr>
        <w:t>(za 28 godina)</w:t>
      </w:r>
    </w:p>
    <w:p w14:paraId="09327F10" w14:textId="5310CCDA" w:rsidR="009D5951" w:rsidRPr="00004B4A" w:rsidRDefault="009D5951" w:rsidP="005E683D">
      <w:pPr>
        <w:spacing w:after="0" w:line="240" w:lineRule="auto"/>
        <w:jc w:val="both"/>
        <w:rPr>
          <w:rFonts w:ascii="Arial" w:hAnsi="Arial" w:cs="Arial"/>
          <w:b/>
          <w:lang w:val="sr-Latn-CS"/>
        </w:rPr>
      </w:pPr>
      <w:r w:rsidRPr="00004B4A">
        <w:rPr>
          <w:rFonts w:ascii="Arial" w:hAnsi="Arial" w:cs="Arial"/>
          <w:lang w:val="sr-Latn-CS"/>
        </w:rPr>
        <w:t>VP - vrijednost godišnje proizvodnje</w:t>
      </w:r>
      <w:r w:rsidR="00D90CC6">
        <w:rPr>
          <w:rFonts w:ascii="Arial" w:hAnsi="Arial" w:cs="Arial"/>
          <w:lang w:val="sr-Latn-CS"/>
        </w:rPr>
        <w:t xml:space="preserve"> blok mase</w:t>
      </w:r>
      <w:r w:rsidRPr="00004B4A">
        <w:rPr>
          <w:rFonts w:ascii="Arial" w:hAnsi="Arial" w:cs="Arial"/>
          <w:lang w:val="sr-Latn-CS"/>
        </w:rPr>
        <w:t xml:space="preserve"> = </w:t>
      </w:r>
      <w:r w:rsidR="009B527D">
        <w:rPr>
          <w:rFonts w:ascii="Arial" w:hAnsi="Arial" w:cs="Arial"/>
          <w:b/>
          <w:lang w:val="sr-Latn-CS"/>
        </w:rPr>
        <w:t xml:space="preserve">300 000 </w:t>
      </w:r>
      <w:r w:rsidRPr="00004B4A">
        <w:rPr>
          <w:rFonts w:ascii="Arial" w:hAnsi="Arial" w:cs="Arial"/>
          <w:b/>
          <w:lang w:val="sr-Latn-CS"/>
        </w:rPr>
        <w:t>€</w:t>
      </w:r>
    </w:p>
    <w:p w14:paraId="714136F8" w14:textId="77777777" w:rsidR="009D5951" w:rsidRPr="00004B4A" w:rsidRDefault="009D5951" w:rsidP="005E683D">
      <w:pPr>
        <w:spacing w:after="0" w:line="240" w:lineRule="auto"/>
        <w:jc w:val="both"/>
        <w:rPr>
          <w:rFonts w:ascii="Arial" w:hAnsi="Arial" w:cs="Arial"/>
          <w:b/>
          <w:lang w:val="sr-Latn-CS"/>
        </w:rPr>
      </w:pPr>
      <w:r w:rsidRPr="00004B4A">
        <w:rPr>
          <w:rFonts w:ascii="Arial" w:hAnsi="Arial" w:cs="Arial"/>
          <w:lang w:val="sr-Latn-CS"/>
        </w:rPr>
        <w:t xml:space="preserve">G - minimalni procentni iznos </w:t>
      </w:r>
      <w:r w:rsidRPr="00004B4A">
        <w:rPr>
          <w:rFonts w:ascii="Arial" w:hAnsi="Arial" w:cs="Arial"/>
          <w:b/>
          <w:lang w:val="sr-Latn-CS"/>
        </w:rPr>
        <w:t>(7%)</w:t>
      </w:r>
    </w:p>
    <w:p w14:paraId="6DE6AC1C" w14:textId="77777777" w:rsidR="009D5951" w:rsidRPr="00004B4A" w:rsidRDefault="009D5951" w:rsidP="005E683D">
      <w:pPr>
        <w:spacing w:after="0" w:line="240" w:lineRule="auto"/>
        <w:jc w:val="both"/>
        <w:rPr>
          <w:rFonts w:ascii="Arial" w:hAnsi="Arial" w:cs="Arial"/>
          <w:b/>
          <w:lang w:val="sr-Latn-CS"/>
        </w:rPr>
      </w:pPr>
    </w:p>
    <w:p w14:paraId="4565B1F9" w14:textId="0ED223F6" w:rsidR="009D5951" w:rsidRPr="00004B4A" w:rsidRDefault="009D5951" w:rsidP="005E683D">
      <w:pPr>
        <w:spacing w:after="0" w:line="240" w:lineRule="auto"/>
        <w:jc w:val="both"/>
        <w:rPr>
          <w:rFonts w:ascii="Arial" w:hAnsi="Arial" w:cs="Arial"/>
          <w:b/>
          <w:lang w:val="sr-Latn-CS"/>
        </w:rPr>
      </w:pPr>
      <w:r w:rsidRPr="00004B4A">
        <w:rPr>
          <w:rFonts w:ascii="Arial" w:hAnsi="Arial" w:cs="Arial"/>
          <w:b/>
          <w:lang w:val="sr-Latn-CS"/>
        </w:rPr>
        <w:t xml:space="preserve">MDN = </w:t>
      </w:r>
      <w:r w:rsidR="009B527D">
        <w:rPr>
          <w:rFonts w:ascii="Arial" w:hAnsi="Arial" w:cs="Arial"/>
          <w:b/>
          <w:lang w:val="sr-Latn-CS"/>
        </w:rPr>
        <w:t>8 400 000</w:t>
      </w:r>
      <w:r>
        <w:rPr>
          <w:rFonts w:ascii="Arial" w:hAnsi="Arial" w:cs="Arial"/>
          <w:b/>
          <w:lang w:val="sr-Latn-CS"/>
        </w:rPr>
        <w:t xml:space="preserve"> </w:t>
      </w:r>
      <w:r w:rsidRPr="00004B4A">
        <w:rPr>
          <w:rFonts w:ascii="Arial" w:hAnsi="Arial" w:cs="Arial"/>
          <w:b/>
          <w:lang w:val="sr-Latn-CS"/>
        </w:rPr>
        <w:t>€ x 0,07=</w:t>
      </w:r>
      <w:r w:rsidR="00513ADE">
        <w:rPr>
          <w:rFonts w:ascii="Arial" w:hAnsi="Arial" w:cs="Arial"/>
          <w:b/>
          <w:lang w:val="sr-Latn-CS"/>
        </w:rPr>
        <w:t xml:space="preserve"> </w:t>
      </w:r>
      <w:r w:rsidR="009B527D">
        <w:rPr>
          <w:rFonts w:ascii="Arial" w:hAnsi="Arial" w:cs="Arial"/>
          <w:b/>
          <w:lang w:val="sr-Latn-CS"/>
        </w:rPr>
        <w:t>588 000</w:t>
      </w:r>
      <w:r w:rsidRPr="00004B4A">
        <w:rPr>
          <w:rFonts w:ascii="Arial" w:hAnsi="Arial" w:cs="Arial"/>
          <w:b/>
          <w:lang w:val="sr-Latn-CS"/>
        </w:rPr>
        <w:t xml:space="preserve"> € (ukupno za 28 godina)</w:t>
      </w:r>
    </w:p>
    <w:p w14:paraId="69696469" w14:textId="0256F32C" w:rsidR="009D5951" w:rsidRPr="00004B4A" w:rsidRDefault="009D5951" w:rsidP="005E683D">
      <w:pPr>
        <w:spacing w:after="0" w:line="240" w:lineRule="auto"/>
        <w:jc w:val="both"/>
        <w:rPr>
          <w:rFonts w:ascii="Arial" w:hAnsi="Arial" w:cs="Arial"/>
          <w:b/>
          <w:lang w:val="sr-Latn-CS"/>
        </w:rPr>
      </w:pPr>
      <w:r w:rsidRPr="00004B4A">
        <w:rPr>
          <w:rFonts w:ascii="Arial" w:hAnsi="Arial" w:cs="Arial"/>
          <w:b/>
          <w:lang w:val="sr-Latn-CS"/>
        </w:rPr>
        <w:t>MDN=</w:t>
      </w:r>
      <w:r w:rsidR="00D90CC6">
        <w:rPr>
          <w:rFonts w:ascii="Arial" w:hAnsi="Arial" w:cs="Arial"/>
          <w:b/>
          <w:lang w:val="sr-Latn-CS"/>
        </w:rPr>
        <w:t xml:space="preserve">300 000 </w:t>
      </w:r>
      <w:r w:rsidR="00513ADE">
        <w:rPr>
          <w:rFonts w:ascii="Arial" w:hAnsi="Arial" w:cs="Arial"/>
          <w:b/>
          <w:lang w:val="sr-Latn-CS"/>
        </w:rPr>
        <w:t xml:space="preserve">€ x 0,07= </w:t>
      </w:r>
      <w:r w:rsidR="009B527D">
        <w:rPr>
          <w:rFonts w:ascii="Arial" w:hAnsi="Arial" w:cs="Arial"/>
          <w:b/>
          <w:lang w:val="sr-Latn-CS"/>
        </w:rPr>
        <w:t>21 000</w:t>
      </w:r>
      <w:r w:rsidRPr="00004B4A">
        <w:rPr>
          <w:rFonts w:ascii="Arial" w:hAnsi="Arial" w:cs="Arial"/>
          <w:b/>
          <w:lang w:val="sr-Latn-CS"/>
        </w:rPr>
        <w:t xml:space="preserve"> €/godišnje</w:t>
      </w:r>
    </w:p>
    <w:p w14:paraId="0B3E10E0" w14:textId="77777777" w:rsidR="009D5951" w:rsidRPr="00004B4A" w:rsidRDefault="009D5951" w:rsidP="005E683D">
      <w:pPr>
        <w:spacing w:after="0" w:line="240" w:lineRule="auto"/>
        <w:jc w:val="both"/>
        <w:rPr>
          <w:rFonts w:ascii="Arial" w:hAnsi="Arial" w:cs="Arial"/>
          <w:lang w:val="sr-Latn-CS"/>
        </w:rPr>
      </w:pPr>
    </w:p>
    <w:p w14:paraId="671A1719" w14:textId="77777777" w:rsidR="009D5951" w:rsidRPr="00004B4A" w:rsidRDefault="009D5951" w:rsidP="005E683D">
      <w:pPr>
        <w:spacing w:after="0" w:line="240" w:lineRule="auto"/>
        <w:jc w:val="both"/>
        <w:rPr>
          <w:rFonts w:ascii="Arial" w:hAnsi="Arial" w:cs="Arial"/>
          <w:lang w:val="sr-Latn-CS"/>
        </w:rPr>
      </w:pPr>
      <w:r w:rsidRPr="00004B4A">
        <w:rPr>
          <w:rFonts w:ascii="Arial" w:hAnsi="Arial" w:cs="Arial"/>
          <w:lang w:val="sr-Latn-CS"/>
        </w:rPr>
        <w:t>Koncesiona naknada (čl. 19 Uredbe) za eksploataciju sastoji se iz stalnog (SDN - nepromjenjivog) i promjenjivog (PDN) dijela naknade.</w:t>
      </w:r>
    </w:p>
    <w:p w14:paraId="6EF4FCFC" w14:textId="77777777" w:rsidR="009D5951" w:rsidRPr="00004B4A" w:rsidRDefault="009D5951" w:rsidP="005E683D">
      <w:pPr>
        <w:spacing w:after="0" w:line="240" w:lineRule="auto"/>
        <w:jc w:val="both"/>
        <w:rPr>
          <w:rFonts w:ascii="Arial" w:hAnsi="Arial" w:cs="Arial"/>
          <w:lang w:val="sr-Latn-CS"/>
        </w:rPr>
      </w:pPr>
    </w:p>
    <w:p w14:paraId="479A46C2" w14:textId="77777777" w:rsidR="009D5951" w:rsidRPr="00004B4A" w:rsidRDefault="009D5951" w:rsidP="005E683D">
      <w:pPr>
        <w:spacing w:after="0" w:line="240" w:lineRule="auto"/>
        <w:jc w:val="both"/>
        <w:rPr>
          <w:rFonts w:ascii="Arial" w:hAnsi="Arial" w:cs="Arial"/>
          <w:lang w:val="sr-Latn-CS"/>
        </w:rPr>
      </w:pPr>
      <w:r w:rsidRPr="00004B4A">
        <w:rPr>
          <w:rFonts w:ascii="Arial" w:hAnsi="Arial" w:cs="Arial"/>
          <w:lang w:val="sr-Latn-CS"/>
        </w:rPr>
        <w:t>Obračunata minimalna koncesiona naknada predstavlja minimalni iznos stalnog (nepromjenjivog) dijela koncesione naknade:</w:t>
      </w:r>
    </w:p>
    <w:p w14:paraId="04995A05" w14:textId="77777777" w:rsidR="009D5951" w:rsidRPr="00004B4A" w:rsidRDefault="009D5951" w:rsidP="005E683D">
      <w:pPr>
        <w:spacing w:after="0" w:line="240" w:lineRule="auto"/>
        <w:jc w:val="both"/>
        <w:rPr>
          <w:rFonts w:ascii="Arial" w:hAnsi="Arial" w:cs="Arial"/>
          <w:lang w:val="sr-Latn-CS"/>
        </w:rPr>
      </w:pPr>
    </w:p>
    <w:p w14:paraId="0A1F279E" w14:textId="4DF1363A" w:rsidR="009D5951" w:rsidRPr="00004B4A" w:rsidRDefault="009D5951" w:rsidP="005E683D">
      <w:pPr>
        <w:spacing w:after="0" w:line="240" w:lineRule="auto"/>
        <w:jc w:val="both"/>
        <w:rPr>
          <w:rFonts w:ascii="Arial" w:hAnsi="Arial" w:cs="Arial"/>
          <w:b/>
          <w:lang w:val="sr-Latn-CS"/>
        </w:rPr>
      </w:pPr>
      <w:r w:rsidRPr="00004B4A">
        <w:rPr>
          <w:rFonts w:ascii="Arial" w:hAnsi="Arial" w:cs="Arial"/>
          <w:lang w:val="sr-Latn-CS"/>
        </w:rPr>
        <w:t xml:space="preserve">- </w:t>
      </w:r>
      <w:r w:rsidRPr="00004B4A">
        <w:rPr>
          <w:rFonts w:ascii="Arial" w:hAnsi="Arial" w:cs="Arial"/>
          <w:b/>
          <w:lang w:val="sr-Latn-CS"/>
        </w:rPr>
        <w:t xml:space="preserve">Za period od 28 godina SDN = </w:t>
      </w:r>
      <w:r w:rsidR="009B527D">
        <w:rPr>
          <w:rFonts w:ascii="Arial" w:hAnsi="Arial" w:cs="Arial"/>
          <w:b/>
          <w:lang w:val="sr-Latn-CS"/>
        </w:rPr>
        <w:t>588 000</w:t>
      </w:r>
      <w:r w:rsidR="009B527D" w:rsidRPr="00004B4A">
        <w:rPr>
          <w:rFonts w:ascii="Arial" w:hAnsi="Arial" w:cs="Arial"/>
          <w:b/>
          <w:lang w:val="sr-Latn-CS"/>
        </w:rPr>
        <w:t xml:space="preserve"> </w:t>
      </w:r>
      <w:r w:rsidRPr="00004B4A">
        <w:rPr>
          <w:rFonts w:ascii="Arial" w:hAnsi="Arial" w:cs="Arial"/>
          <w:b/>
          <w:lang w:val="sr-Latn-CS"/>
        </w:rPr>
        <w:t>€</w:t>
      </w:r>
    </w:p>
    <w:p w14:paraId="683F9BE8" w14:textId="7421B142" w:rsidR="009D5951" w:rsidRPr="00004B4A" w:rsidRDefault="009D5951" w:rsidP="005E683D">
      <w:pPr>
        <w:spacing w:after="0" w:line="240" w:lineRule="auto"/>
        <w:jc w:val="both"/>
        <w:rPr>
          <w:rFonts w:ascii="Arial" w:hAnsi="Arial" w:cs="Arial"/>
          <w:b/>
          <w:lang w:val="sr-Latn-CS"/>
        </w:rPr>
      </w:pPr>
      <w:r w:rsidRPr="00004B4A">
        <w:rPr>
          <w:rFonts w:ascii="Arial" w:hAnsi="Arial" w:cs="Arial"/>
          <w:b/>
          <w:lang w:val="sr-Latn-CS"/>
        </w:rPr>
        <w:t xml:space="preserve">- SDN (godišnje) = </w:t>
      </w:r>
      <w:r w:rsidR="00D90CC6">
        <w:rPr>
          <w:rFonts w:ascii="Arial" w:hAnsi="Arial" w:cs="Arial"/>
          <w:b/>
          <w:lang w:val="sr-Latn-CS"/>
        </w:rPr>
        <w:t>21</w:t>
      </w:r>
      <w:r w:rsidR="009B527D">
        <w:rPr>
          <w:rFonts w:ascii="Arial" w:hAnsi="Arial" w:cs="Arial"/>
          <w:b/>
          <w:lang w:val="sr-Latn-CS"/>
        </w:rPr>
        <w:t xml:space="preserve"> 000</w:t>
      </w:r>
      <w:r w:rsidR="00513ADE">
        <w:rPr>
          <w:rFonts w:ascii="Arial" w:hAnsi="Arial" w:cs="Arial"/>
          <w:b/>
          <w:lang w:val="sr-Latn-CS"/>
        </w:rPr>
        <w:t xml:space="preserve"> </w:t>
      </w:r>
      <w:r w:rsidRPr="00004B4A">
        <w:rPr>
          <w:rFonts w:ascii="Arial" w:hAnsi="Arial" w:cs="Arial"/>
          <w:b/>
          <w:lang w:val="sr-Latn-CS"/>
        </w:rPr>
        <w:t>€.</w:t>
      </w:r>
    </w:p>
    <w:p w14:paraId="6B4D065E" w14:textId="77777777" w:rsidR="009D5951" w:rsidRPr="00004B4A" w:rsidRDefault="009D5951" w:rsidP="005E683D">
      <w:pPr>
        <w:spacing w:after="0" w:line="240" w:lineRule="auto"/>
        <w:jc w:val="both"/>
        <w:rPr>
          <w:rFonts w:ascii="Arial" w:hAnsi="Arial" w:cs="Arial"/>
          <w:lang w:val="sr-Latn-CS"/>
        </w:rPr>
      </w:pPr>
    </w:p>
    <w:p w14:paraId="6EBB4453" w14:textId="77777777" w:rsidR="00744584" w:rsidRPr="00004B4A" w:rsidRDefault="00744584" w:rsidP="005E683D">
      <w:pPr>
        <w:spacing w:after="0" w:line="240" w:lineRule="auto"/>
        <w:jc w:val="both"/>
        <w:rPr>
          <w:rFonts w:ascii="Arial" w:hAnsi="Arial" w:cs="Arial"/>
          <w:lang w:val="sr-Latn-CS"/>
        </w:rPr>
      </w:pPr>
      <w:r w:rsidRPr="00004B4A">
        <w:rPr>
          <w:rFonts w:ascii="Arial" w:hAnsi="Arial" w:cs="Arial"/>
          <w:lang w:val="sr-Latn-CS"/>
        </w:rPr>
        <w:t>Stalni dio koncesione naknade koji se utvrđuje Ugovorom o koncesiji, može, u zavisnosti od ponuda</w:t>
      </w:r>
      <w:r w:rsidR="00DC4E40" w:rsidRPr="00004B4A">
        <w:rPr>
          <w:rFonts w:ascii="Arial" w:hAnsi="Arial" w:cs="Arial"/>
          <w:lang w:val="sr-Latn-CS"/>
        </w:rPr>
        <w:t>, biti veći</w:t>
      </w:r>
      <w:r w:rsidRPr="00004B4A">
        <w:rPr>
          <w:rFonts w:ascii="Arial" w:hAnsi="Arial" w:cs="Arial"/>
          <w:lang w:val="sr-Latn-CS"/>
        </w:rPr>
        <w:t xml:space="preserve"> od obračunatog minimalnog iznosa.</w:t>
      </w:r>
    </w:p>
    <w:p w14:paraId="213904F6" w14:textId="77777777" w:rsidR="00744584" w:rsidRPr="00004B4A" w:rsidRDefault="00744584" w:rsidP="005E683D">
      <w:pPr>
        <w:spacing w:after="0" w:line="240" w:lineRule="auto"/>
        <w:jc w:val="both"/>
        <w:rPr>
          <w:rFonts w:ascii="Arial" w:hAnsi="Arial" w:cs="Arial"/>
          <w:lang w:val="sr-Latn-CS"/>
        </w:rPr>
      </w:pPr>
    </w:p>
    <w:p w14:paraId="23801EEC" w14:textId="77777777" w:rsidR="00474719" w:rsidRPr="00004B4A" w:rsidRDefault="00744584" w:rsidP="005E683D">
      <w:pPr>
        <w:spacing w:after="0" w:line="240" w:lineRule="auto"/>
        <w:jc w:val="both"/>
        <w:rPr>
          <w:rFonts w:ascii="Arial" w:hAnsi="Arial" w:cs="Arial"/>
          <w:lang w:val="sr-Latn-CS"/>
        </w:rPr>
      </w:pPr>
      <w:r w:rsidRPr="00004B4A">
        <w:rPr>
          <w:rFonts w:ascii="Arial" w:hAnsi="Arial" w:cs="Arial"/>
          <w:lang w:val="sr-Latn-CS"/>
        </w:rPr>
        <w:t xml:space="preserve">Zainteresovani ponuđači treba svojim ponudama, </w:t>
      </w:r>
      <w:r w:rsidR="00921B84" w:rsidRPr="00004B4A">
        <w:rPr>
          <w:rFonts w:ascii="Arial" w:hAnsi="Arial" w:cs="Arial"/>
          <w:lang w:val="sr-Latn-CS"/>
        </w:rPr>
        <w:t>zasnovanim na pre</w:t>
      </w:r>
      <w:r w:rsidR="00B33171" w:rsidRPr="00004B4A">
        <w:rPr>
          <w:rFonts w:ascii="Arial" w:hAnsi="Arial" w:cs="Arial"/>
          <w:lang w:val="sr-Latn-CS"/>
        </w:rPr>
        <w:t>t</w:t>
      </w:r>
      <w:r w:rsidR="00921B84" w:rsidRPr="00004B4A">
        <w:rPr>
          <w:rFonts w:ascii="Arial" w:hAnsi="Arial" w:cs="Arial"/>
          <w:lang w:val="sr-Latn-CS"/>
        </w:rPr>
        <w:t xml:space="preserve">postavkama dugoročno održivog poslovanja </w:t>
      </w:r>
      <w:r w:rsidR="007877FD" w:rsidRPr="00004B4A">
        <w:rPr>
          <w:rFonts w:ascii="Arial" w:hAnsi="Arial" w:cs="Arial"/>
          <w:lang w:val="sr-Latn-CS"/>
        </w:rPr>
        <w:t>i</w:t>
      </w:r>
      <w:r w:rsidRPr="00004B4A">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04B4A">
        <w:rPr>
          <w:rFonts w:ascii="Arial" w:hAnsi="Arial" w:cs="Arial"/>
          <w:lang w:val="sr-Latn-CS"/>
        </w:rPr>
        <w:t xml:space="preserve">računat minimalni iznos naknade. </w:t>
      </w:r>
    </w:p>
    <w:p w14:paraId="052EF724" w14:textId="77777777" w:rsidR="00744584" w:rsidRPr="00004B4A" w:rsidRDefault="00744584" w:rsidP="005E683D">
      <w:pPr>
        <w:spacing w:after="0" w:line="240" w:lineRule="auto"/>
        <w:jc w:val="both"/>
        <w:rPr>
          <w:rFonts w:ascii="Arial" w:hAnsi="Arial" w:cs="Arial"/>
          <w:lang w:val="sr-Latn-CS"/>
        </w:rPr>
      </w:pPr>
    </w:p>
    <w:p w14:paraId="75CBC46A" w14:textId="77777777" w:rsidR="00744584" w:rsidRPr="00004B4A" w:rsidRDefault="00744584" w:rsidP="005E683D">
      <w:pPr>
        <w:spacing w:after="0" w:line="240" w:lineRule="auto"/>
        <w:jc w:val="both"/>
        <w:rPr>
          <w:rFonts w:ascii="Arial" w:hAnsi="Arial" w:cs="Arial"/>
          <w:lang w:val="sr-Latn-CS"/>
        </w:rPr>
      </w:pPr>
      <w:r w:rsidRPr="00004B4A">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004B4A" w:rsidRDefault="00744584" w:rsidP="005E683D">
      <w:pPr>
        <w:spacing w:after="0" w:line="240" w:lineRule="auto"/>
        <w:jc w:val="both"/>
        <w:rPr>
          <w:rFonts w:ascii="Arial" w:hAnsi="Arial" w:cs="Arial"/>
          <w:b/>
          <w:lang w:val="sr-Latn-CS"/>
        </w:rPr>
      </w:pPr>
    </w:p>
    <w:p w14:paraId="676FEF73" w14:textId="77777777" w:rsidR="00744584" w:rsidRPr="00004B4A" w:rsidRDefault="001E4D4F" w:rsidP="005E683D">
      <w:pPr>
        <w:pStyle w:val="Heading2"/>
      </w:pPr>
      <w:bookmarkStart w:id="33" w:name="_Toc402262960"/>
      <w:r w:rsidRPr="00004B4A">
        <w:t xml:space="preserve">8.3 </w:t>
      </w:r>
      <w:r w:rsidR="00744584" w:rsidRPr="00004B4A">
        <w:t>Promjenjivi dio koncesione naknade (PDN)</w:t>
      </w:r>
      <w:bookmarkEnd w:id="33"/>
    </w:p>
    <w:p w14:paraId="4C42046A" w14:textId="77777777" w:rsidR="00744584" w:rsidRPr="00004B4A" w:rsidRDefault="00744584" w:rsidP="005E683D">
      <w:pPr>
        <w:spacing w:after="0" w:line="240" w:lineRule="auto"/>
        <w:jc w:val="both"/>
        <w:rPr>
          <w:rFonts w:ascii="Arial" w:hAnsi="Arial" w:cs="Arial"/>
          <w:lang w:val="sr-Latn-CS"/>
        </w:rPr>
      </w:pPr>
    </w:p>
    <w:p w14:paraId="1BB03718" w14:textId="77777777" w:rsidR="00744584" w:rsidRPr="00004B4A" w:rsidRDefault="00744584" w:rsidP="005E683D">
      <w:pPr>
        <w:spacing w:after="0" w:line="240" w:lineRule="auto"/>
        <w:jc w:val="both"/>
        <w:rPr>
          <w:rFonts w:ascii="Arial" w:hAnsi="Arial" w:cs="Arial"/>
          <w:lang w:val="sr-Latn-CS"/>
        </w:rPr>
      </w:pPr>
      <w:r w:rsidRPr="00004B4A">
        <w:rPr>
          <w:rFonts w:ascii="Arial" w:hAnsi="Arial" w:cs="Arial"/>
          <w:lang w:val="sr-Latn-CS"/>
        </w:rPr>
        <w:t>Promjenjivi dio naknade obračunava se godišnje po obrascu:</w:t>
      </w:r>
    </w:p>
    <w:p w14:paraId="523E4C5D" w14:textId="77777777" w:rsidR="00744584" w:rsidRPr="00004B4A" w:rsidRDefault="00744584" w:rsidP="005E683D">
      <w:pPr>
        <w:spacing w:after="0" w:line="240" w:lineRule="auto"/>
        <w:jc w:val="both"/>
        <w:rPr>
          <w:rFonts w:ascii="Arial" w:hAnsi="Arial" w:cs="Arial"/>
          <w:b/>
          <w:lang w:val="sr-Latn-CS"/>
        </w:rPr>
      </w:pPr>
    </w:p>
    <w:p w14:paraId="3B0471EA" w14:textId="77777777" w:rsidR="00744584" w:rsidRPr="00004B4A" w:rsidRDefault="00744584" w:rsidP="005E683D">
      <w:pPr>
        <w:spacing w:after="0" w:line="240" w:lineRule="auto"/>
        <w:jc w:val="both"/>
        <w:rPr>
          <w:rFonts w:ascii="Arial" w:hAnsi="Arial" w:cs="Arial"/>
          <w:b/>
          <w:lang w:val="sr-Latn-CS"/>
        </w:rPr>
      </w:pPr>
      <w:r w:rsidRPr="00004B4A">
        <w:rPr>
          <w:rFonts w:ascii="Arial" w:hAnsi="Arial" w:cs="Arial"/>
          <w:b/>
          <w:lang w:val="sr-Latn-CS"/>
        </w:rPr>
        <w:t>PDN=VPx(</w:t>
      </w:r>
      <w:r w:rsidR="00435E93" w:rsidRPr="00004B4A">
        <w:rPr>
          <w:rFonts w:ascii="Arial" w:hAnsi="Arial" w:cs="Arial"/>
          <w:b/>
          <w:lang w:val="sr-Latn-CS"/>
        </w:rPr>
        <w:t>G+</w:t>
      </w:r>
      <w:r w:rsidRPr="00004B4A">
        <w:rPr>
          <w:rFonts w:ascii="Arial" w:hAnsi="Arial" w:cs="Arial"/>
          <w:b/>
          <w:lang w:val="sr-Latn-CS"/>
        </w:rPr>
        <w:t>K) &gt; SDN (godišnjeg iznosa)</w:t>
      </w:r>
    </w:p>
    <w:p w14:paraId="3492E797" w14:textId="77777777" w:rsidR="00744584" w:rsidRPr="00004B4A" w:rsidRDefault="00744584" w:rsidP="005E683D">
      <w:pPr>
        <w:spacing w:after="0" w:line="240" w:lineRule="auto"/>
        <w:jc w:val="both"/>
        <w:rPr>
          <w:rFonts w:ascii="Arial" w:hAnsi="Arial" w:cs="Arial"/>
          <w:lang w:val="sr-Latn-CS"/>
        </w:rPr>
      </w:pPr>
    </w:p>
    <w:p w14:paraId="02CB4D92" w14:textId="77777777" w:rsidR="00744584" w:rsidRPr="00004B4A" w:rsidRDefault="00744584" w:rsidP="005E683D">
      <w:pPr>
        <w:spacing w:after="0" w:line="240" w:lineRule="auto"/>
        <w:jc w:val="both"/>
        <w:rPr>
          <w:rFonts w:ascii="Arial" w:hAnsi="Arial" w:cs="Arial"/>
          <w:lang w:val="sr-Latn-CS"/>
        </w:rPr>
      </w:pPr>
      <w:r w:rsidRPr="00004B4A">
        <w:rPr>
          <w:rFonts w:ascii="Arial" w:hAnsi="Arial" w:cs="Arial"/>
          <w:lang w:val="sr-Latn-CS"/>
        </w:rPr>
        <w:t>gdje su:</w:t>
      </w:r>
    </w:p>
    <w:p w14:paraId="41B4FCB4" w14:textId="77777777" w:rsidR="00B21F9C" w:rsidRDefault="00744584" w:rsidP="005E683D">
      <w:pPr>
        <w:spacing w:after="0" w:line="240" w:lineRule="auto"/>
        <w:jc w:val="both"/>
        <w:rPr>
          <w:rFonts w:ascii="Arial" w:hAnsi="Arial" w:cs="Arial"/>
          <w:lang w:val="sr-Latn-CS"/>
        </w:rPr>
      </w:pPr>
      <w:r w:rsidRPr="00004B4A">
        <w:rPr>
          <w:rFonts w:ascii="Arial" w:hAnsi="Arial" w:cs="Arial"/>
          <w:lang w:val="sr-Latn-CS"/>
        </w:rPr>
        <w:t xml:space="preserve">VP - godišnja vrijednost proizvodnje obračunata na osnovu ostvarene godišnje proizvodnje </w:t>
      </w:r>
      <w:r w:rsidR="00B21F9C">
        <w:rPr>
          <w:rFonts w:ascii="Arial" w:hAnsi="Arial" w:cs="Arial"/>
          <w:lang w:val="sr-Latn-CS"/>
        </w:rPr>
        <w:t xml:space="preserve"> </w:t>
      </w:r>
    </w:p>
    <w:p w14:paraId="4C6B98FA" w14:textId="34561904" w:rsidR="00744584" w:rsidRPr="00004B4A" w:rsidRDefault="00B21F9C" w:rsidP="007254CE">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mineralne sirovine i prosječne godišnje prodajne cijene priozvoda</w:t>
      </w:r>
    </w:p>
    <w:p w14:paraId="56D89ED7" w14:textId="660A746F"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lastRenderedPageBreak/>
        <w:t>G -</w:t>
      </w:r>
      <w:r w:rsidR="00B21F9C">
        <w:rPr>
          <w:rFonts w:ascii="Arial" w:hAnsi="Arial" w:cs="Arial"/>
          <w:lang w:val="sr-Latn-CS"/>
        </w:rPr>
        <w:t xml:space="preserve"> </w:t>
      </w:r>
      <w:r w:rsidRPr="00004B4A">
        <w:rPr>
          <w:rFonts w:ascii="Arial" w:hAnsi="Arial" w:cs="Arial"/>
          <w:lang w:val="sr-Latn-CS"/>
        </w:rPr>
        <w:t xml:space="preserve"> ugovoreni procentualni iznos za pripadnost grupi ležišta (</w:t>
      </w:r>
      <w:r w:rsidR="00B33171" w:rsidRPr="00004B4A">
        <w:rPr>
          <w:rFonts w:ascii="Arial" w:hAnsi="Arial" w:cs="Arial"/>
          <w:lang w:val="sr-Latn-CS"/>
        </w:rPr>
        <w:t>ne</w:t>
      </w:r>
      <w:r w:rsidRPr="00004B4A">
        <w:rPr>
          <w:rFonts w:ascii="Arial" w:hAnsi="Arial" w:cs="Arial"/>
          <w:lang w:val="sr-Latn-CS"/>
        </w:rPr>
        <w:t xml:space="preserve"> manji od 7 %)</w:t>
      </w:r>
    </w:p>
    <w:p w14:paraId="17612DF9" w14:textId="3A21B931"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K - </w:t>
      </w:r>
      <w:r w:rsidR="00B21F9C">
        <w:rPr>
          <w:rFonts w:ascii="Arial" w:hAnsi="Arial" w:cs="Arial"/>
          <w:lang w:val="sr-Latn-CS"/>
        </w:rPr>
        <w:t xml:space="preserve"> </w:t>
      </w:r>
      <w:r w:rsidRPr="00004B4A">
        <w:rPr>
          <w:rFonts w:ascii="Arial" w:hAnsi="Arial" w:cs="Arial"/>
          <w:lang w:val="sr-Latn-CS"/>
        </w:rPr>
        <w:t>vrijednost korektivn</w:t>
      </w:r>
      <w:r w:rsidR="008C574F" w:rsidRPr="00004B4A">
        <w:rPr>
          <w:rFonts w:ascii="Arial" w:hAnsi="Arial" w:cs="Arial"/>
          <w:lang w:val="sr-Latn-CS"/>
        </w:rPr>
        <w:t>og</w:t>
      </w:r>
      <w:r w:rsidRPr="00004B4A">
        <w:rPr>
          <w:rFonts w:ascii="Arial" w:hAnsi="Arial" w:cs="Arial"/>
          <w:lang w:val="sr-Latn-CS"/>
        </w:rPr>
        <w:t xml:space="preserve"> faktora</w:t>
      </w:r>
      <w:r w:rsidR="008C574F" w:rsidRPr="00004B4A">
        <w:rPr>
          <w:rFonts w:ascii="Arial" w:hAnsi="Arial" w:cs="Arial"/>
          <w:lang w:val="sr-Latn-CS"/>
        </w:rPr>
        <w:t xml:space="preserve"> (po osnovu ostvarene proizvodnje, obraču</w:t>
      </w:r>
      <w:r w:rsidR="00484F44" w:rsidRPr="00004B4A">
        <w:rPr>
          <w:rFonts w:ascii="Arial" w:hAnsi="Arial" w:cs="Arial"/>
          <w:lang w:val="sr-Latn-CS"/>
        </w:rPr>
        <w:t xml:space="preserve">nati iznos se </w:t>
      </w:r>
    </w:p>
    <w:p w14:paraId="4F527DCA" w14:textId="0624D026" w:rsidR="00744584" w:rsidRPr="00004B4A"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484F44" w:rsidRPr="00004B4A">
        <w:rPr>
          <w:rFonts w:ascii="Arial" w:hAnsi="Arial" w:cs="Arial"/>
          <w:lang w:val="sr-Latn-CS"/>
        </w:rPr>
        <w:t xml:space="preserve">uvećava od </w:t>
      </w:r>
      <w:r w:rsidR="003542EE">
        <w:rPr>
          <w:rFonts w:ascii="Arial" w:hAnsi="Arial" w:cs="Arial"/>
          <w:lang w:val="sr-Latn-CS"/>
        </w:rPr>
        <w:t xml:space="preserve"> </w:t>
      </w:r>
      <w:r w:rsidR="00484F44" w:rsidRPr="00004B4A">
        <w:rPr>
          <w:rFonts w:ascii="Arial" w:hAnsi="Arial" w:cs="Arial"/>
          <w:lang w:val="sr-Latn-CS"/>
        </w:rPr>
        <w:t>0 do 3</w:t>
      </w:r>
      <w:r w:rsidR="008C574F" w:rsidRPr="00004B4A">
        <w:rPr>
          <w:rFonts w:ascii="Arial" w:hAnsi="Arial" w:cs="Arial"/>
          <w:lang w:val="sr-Latn-CS"/>
        </w:rPr>
        <w:t>%, čl. 21 Uredbe).</w:t>
      </w:r>
    </w:p>
    <w:p w14:paraId="2AB08680" w14:textId="77777777" w:rsidR="008C574F" w:rsidRPr="00004B4A" w:rsidRDefault="008C574F" w:rsidP="007254CE">
      <w:pPr>
        <w:spacing w:after="0" w:line="240" w:lineRule="auto"/>
        <w:jc w:val="both"/>
        <w:rPr>
          <w:rFonts w:ascii="Arial" w:hAnsi="Arial" w:cs="Arial"/>
          <w:lang w:val="sr-Latn-CS"/>
        </w:rPr>
      </w:pPr>
    </w:p>
    <w:p w14:paraId="5124A75A" w14:textId="77777777" w:rsidR="00744584" w:rsidRPr="00004B4A" w:rsidRDefault="00A10F5E" w:rsidP="007254CE">
      <w:pPr>
        <w:spacing w:after="0" w:line="240" w:lineRule="auto"/>
        <w:jc w:val="both"/>
        <w:rPr>
          <w:rFonts w:ascii="Arial" w:hAnsi="Arial" w:cs="Arial"/>
          <w:lang w:val="sr-Latn-CS"/>
        </w:rPr>
      </w:pPr>
      <w:r w:rsidRPr="00004B4A">
        <w:rPr>
          <w:rFonts w:ascii="Arial" w:hAnsi="Arial" w:cs="Arial"/>
          <w:lang w:val="sr-Latn-CS"/>
        </w:rPr>
        <w:t>Promjenjivi dio naknade</w:t>
      </w:r>
      <w:r w:rsidR="00744584" w:rsidRPr="00004B4A">
        <w:rPr>
          <w:rFonts w:ascii="Arial" w:hAnsi="Arial" w:cs="Arial"/>
          <w:lang w:val="sr-Latn-CS"/>
        </w:rPr>
        <w:t xml:space="preserve"> obra</w:t>
      </w:r>
      <w:r w:rsidR="00F64B62" w:rsidRPr="00004B4A">
        <w:rPr>
          <w:rFonts w:ascii="Arial" w:hAnsi="Arial" w:cs="Arial"/>
          <w:lang w:val="sr-Latn-CS"/>
        </w:rPr>
        <w:t xml:space="preserve">čunava se </w:t>
      </w:r>
      <w:r w:rsidRPr="00004B4A">
        <w:rPr>
          <w:rFonts w:ascii="Arial" w:hAnsi="Arial" w:cs="Arial"/>
          <w:lang w:val="sr-Latn-CS"/>
        </w:rPr>
        <w:t xml:space="preserve">u prvoj polovini tekuće, za pethodnu godinu. </w:t>
      </w:r>
      <w:r w:rsidR="00744584" w:rsidRPr="00004B4A">
        <w:rPr>
          <w:rFonts w:ascii="Arial" w:hAnsi="Arial" w:cs="Arial"/>
          <w:lang w:val="sr-Latn-CS"/>
        </w:rPr>
        <w:t xml:space="preserve">Uplata se vrši jedanput godišnje na osnovu Rješenja nadležnog </w:t>
      </w:r>
      <w:r w:rsidR="00106295" w:rsidRPr="00004B4A">
        <w:rPr>
          <w:rFonts w:ascii="Arial" w:hAnsi="Arial" w:cs="Arial"/>
          <w:lang w:val="sr-Latn-CS"/>
        </w:rPr>
        <w:t>organa</w:t>
      </w:r>
      <w:r w:rsidR="00744584" w:rsidRPr="00004B4A">
        <w:rPr>
          <w:rFonts w:ascii="Arial" w:hAnsi="Arial" w:cs="Arial"/>
          <w:lang w:val="sr-Latn-CS"/>
        </w:rPr>
        <w:t>.</w:t>
      </w:r>
    </w:p>
    <w:p w14:paraId="06351325" w14:textId="77777777" w:rsidR="00744584" w:rsidRPr="00004B4A" w:rsidRDefault="00744584" w:rsidP="007254CE">
      <w:pPr>
        <w:spacing w:after="0" w:line="240" w:lineRule="auto"/>
        <w:jc w:val="both"/>
        <w:rPr>
          <w:rFonts w:ascii="Arial" w:hAnsi="Arial" w:cs="Arial"/>
          <w:lang w:val="sr-Latn-CS"/>
        </w:rPr>
      </w:pPr>
    </w:p>
    <w:p w14:paraId="3D2C380D"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Obračun PDN se vrši na osnovu sljedeće dokumentacije:</w:t>
      </w:r>
    </w:p>
    <w:p w14:paraId="646F1ABF" w14:textId="77777777" w:rsidR="00744584" w:rsidRPr="00004B4A" w:rsidRDefault="00744584" w:rsidP="007254CE">
      <w:pPr>
        <w:spacing w:after="0" w:line="240" w:lineRule="auto"/>
        <w:jc w:val="both"/>
        <w:rPr>
          <w:rFonts w:ascii="Arial" w:hAnsi="Arial" w:cs="Arial"/>
          <w:lang w:val="sr-Latn-CS"/>
        </w:rPr>
      </w:pPr>
    </w:p>
    <w:p w14:paraId="1561EAEE"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godišnjeg tehničkog izvještaja;</w:t>
      </w:r>
    </w:p>
    <w:p w14:paraId="687E6242"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izvještaja o radu i ostvarenom prihodu po osnovu ostvarene proizvodnje mineralne sirovine; i</w:t>
      </w:r>
    </w:p>
    <w:p w14:paraId="1BA7FFBA" w14:textId="77777777" w:rsidR="00B21F9C"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dokaza o količinama i prosječno ostvarenim prodajnim cijenama jedinice proizvoda na </w:t>
      </w:r>
      <w:r w:rsidR="00B21F9C">
        <w:rPr>
          <w:rFonts w:ascii="Arial" w:hAnsi="Arial" w:cs="Arial"/>
          <w:lang w:val="sr-Latn-CS"/>
        </w:rPr>
        <w:t xml:space="preserve"> </w:t>
      </w:r>
    </w:p>
    <w:p w14:paraId="4C78E2EC" w14:textId="2949DD64" w:rsidR="00744584" w:rsidRPr="00B21F9C"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domaćem</w:t>
      </w:r>
      <w:r w:rsidR="00484F44" w:rsidRPr="00B21F9C">
        <w:rPr>
          <w:rFonts w:ascii="Arial" w:hAnsi="Arial" w:cs="Arial"/>
          <w:lang w:val="sr-Latn-CS"/>
        </w:rPr>
        <w:t xml:space="preserve"> </w:t>
      </w:r>
      <w:r w:rsidR="00744584" w:rsidRPr="00B21F9C">
        <w:rPr>
          <w:rFonts w:ascii="Arial" w:hAnsi="Arial" w:cs="Arial"/>
          <w:lang w:val="sr-Latn-CS"/>
        </w:rPr>
        <w:t>i stranom tržištu.</w:t>
      </w:r>
    </w:p>
    <w:p w14:paraId="54A65193" w14:textId="77777777" w:rsidR="00744584" w:rsidRPr="00004B4A" w:rsidRDefault="00744584" w:rsidP="007254CE">
      <w:pPr>
        <w:spacing w:after="0" w:line="240" w:lineRule="auto"/>
        <w:jc w:val="both"/>
        <w:rPr>
          <w:rFonts w:ascii="Arial" w:hAnsi="Arial" w:cs="Arial"/>
          <w:lang w:val="sr-Latn-CS"/>
        </w:rPr>
      </w:pPr>
    </w:p>
    <w:p w14:paraId="0B944614" w14:textId="77777777" w:rsidR="004102A3"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Dokumentaciju za obračun PDN podnosi koncesionar najkasnije do kraja marta tekuće, za prethodnu godinu.</w:t>
      </w:r>
    </w:p>
    <w:p w14:paraId="28129D36" w14:textId="71564585" w:rsidR="003542EE" w:rsidRDefault="003542EE" w:rsidP="007254CE">
      <w:pPr>
        <w:spacing w:after="0" w:line="240" w:lineRule="auto"/>
        <w:jc w:val="both"/>
        <w:rPr>
          <w:rFonts w:ascii="Arial" w:hAnsi="Arial" w:cs="Arial"/>
          <w:lang w:val="sr-Latn-CS"/>
        </w:rPr>
      </w:pPr>
    </w:p>
    <w:p w14:paraId="15B5EC0A" w14:textId="77777777" w:rsidR="005E683D" w:rsidRDefault="005E683D" w:rsidP="007254CE">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4" w:name="_Toc390549915"/>
      <w:bookmarkStart w:id="35" w:name="_Toc402262961"/>
      <w:r w:rsidRPr="00004B4A">
        <w:rPr>
          <w:rFonts w:ascii="Arial" w:hAnsi="Arial" w:cs="Arial"/>
          <w:sz w:val="22"/>
          <w:szCs w:val="22"/>
        </w:rPr>
        <w:t>KRITERIJUMI ZA IZBOR NAJPOVOLJNIJE PONUDE</w:t>
      </w:r>
      <w:bookmarkEnd w:id="34"/>
      <w:bookmarkEnd w:id="35"/>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6" w:name="_Toc390549916"/>
      <w:bookmarkStart w:id="37"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AF62D9" w:rsidRPr="00AF62D9" w14:paraId="05D392A7" w14:textId="77777777" w:rsidTr="00E920EB">
        <w:trPr>
          <w:trHeight w:val="285"/>
        </w:trPr>
        <w:tc>
          <w:tcPr>
            <w:tcW w:w="656" w:type="dxa"/>
          </w:tcPr>
          <w:p w14:paraId="618F6D86"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proofErr w:type="spellStart"/>
            <w:r w:rsidRPr="00AF62D9">
              <w:rPr>
                <w:rFonts w:ascii="Arial" w:eastAsia="Times New Roman" w:hAnsi="Arial" w:cs="Arial"/>
                <w:kern w:val="0"/>
              </w:rPr>
              <w:t>Finansijski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aspekt-prosječni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bruto</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prihod</w:t>
            </w:r>
            <w:proofErr w:type="spellEnd"/>
            <w:r w:rsidRPr="00AF62D9">
              <w:rPr>
                <w:rFonts w:ascii="Arial" w:eastAsia="Times New Roman" w:hAnsi="Arial" w:cs="Arial"/>
                <w:kern w:val="0"/>
              </w:rPr>
              <w:t xml:space="preserve"> u </w:t>
            </w:r>
            <w:proofErr w:type="spellStart"/>
            <w:r w:rsidRPr="00AF62D9">
              <w:rPr>
                <w:rFonts w:ascii="Arial" w:eastAsia="Times New Roman" w:hAnsi="Arial" w:cs="Arial"/>
                <w:kern w:val="0"/>
              </w:rPr>
              <w:t>posljednje</w:t>
            </w:r>
            <w:proofErr w:type="spellEnd"/>
            <w:r w:rsidRPr="00AF62D9">
              <w:rPr>
                <w:rFonts w:ascii="Arial" w:eastAsia="Times New Roman" w:hAnsi="Arial" w:cs="Arial"/>
                <w:kern w:val="0"/>
              </w:rPr>
              <w:t xml:space="preserve"> tri </w:t>
            </w:r>
            <w:proofErr w:type="spellStart"/>
            <w:r w:rsidRPr="00AF62D9">
              <w:rPr>
                <w:rFonts w:ascii="Arial" w:eastAsia="Times New Roman" w:hAnsi="Arial" w:cs="Arial"/>
                <w:kern w:val="0"/>
              </w:rPr>
              <w:t>godine</w:t>
            </w:r>
            <w:proofErr w:type="spellEnd"/>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proofErr w:type="spellStart"/>
            <w:r w:rsidRPr="00AF62D9">
              <w:rPr>
                <w:rFonts w:ascii="Arial" w:eastAsia="Times New Roman" w:hAnsi="Arial" w:cs="Arial"/>
                <w:kern w:val="0"/>
              </w:rPr>
              <w:t>Finansijski</w:t>
            </w:r>
            <w:proofErr w:type="spellEnd"/>
            <w:r w:rsidRPr="00AF62D9">
              <w:rPr>
                <w:rFonts w:ascii="Arial" w:eastAsia="Times New Roman" w:hAnsi="Arial" w:cs="Arial"/>
                <w:kern w:val="0"/>
              </w:rPr>
              <w:t xml:space="preserve"> </w:t>
            </w:r>
            <w:proofErr w:type="spellStart"/>
            <w:r w:rsidRPr="00AF62D9">
              <w:rPr>
                <w:rFonts w:ascii="Arial" w:eastAsia="Times New Roman" w:hAnsi="Arial" w:cs="Arial"/>
                <w:kern w:val="0"/>
              </w:rPr>
              <w:t>aspekt-prosječni</w:t>
            </w:r>
            <w:proofErr w:type="spellEnd"/>
            <w:r w:rsidRPr="00AF62D9">
              <w:rPr>
                <w:rFonts w:ascii="Arial" w:eastAsia="Times New Roman" w:hAnsi="Arial" w:cs="Arial"/>
                <w:kern w:val="0"/>
              </w:rPr>
              <w:t xml:space="preserve"> profit u </w:t>
            </w:r>
            <w:proofErr w:type="spellStart"/>
            <w:r w:rsidRPr="00AF62D9">
              <w:rPr>
                <w:rFonts w:ascii="Arial" w:eastAsia="Times New Roman" w:hAnsi="Arial" w:cs="Arial"/>
                <w:kern w:val="0"/>
              </w:rPr>
              <w:t>posljednje</w:t>
            </w:r>
            <w:proofErr w:type="spellEnd"/>
            <w:r w:rsidRPr="00AF62D9">
              <w:rPr>
                <w:rFonts w:ascii="Arial" w:eastAsia="Times New Roman" w:hAnsi="Arial" w:cs="Arial"/>
                <w:kern w:val="0"/>
              </w:rPr>
              <w:t xml:space="preserve"> tri </w:t>
            </w:r>
            <w:proofErr w:type="spellStart"/>
            <w:r w:rsidRPr="00AF62D9">
              <w:rPr>
                <w:rFonts w:ascii="Arial" w:eastAsia="Times New Roman" w:hAnsi="Arial" w:cs="Arial"/>
                <w:kern w:val="0"/>
              </w:rPr>
              <w:t>godine</w:t>
            </w:r>
            <w:proofErr w:type="spellEnd"/>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5E683D" w:rsidRDefault="00AF62D9" w:rsidP="007254CE">
            <w:pPr>
              <w:spacing w:after="0" w:line="240" w:lineRule="auto"/>
              <w:jc w:val="center"/>
              <w:rPr>
                <w:rFonts w:ascii="Arial" w:eastAsia="Times New Roman" w:hAnsi="Arial" w:cs="Arial"/>
                <w:b/>
                <w:noProof/>
                <w:sz w:val="18"/>
                <w:szCs w:val="18"/>
              </w:rPr>
            </w:pPr>
            <w:r w:rsidRPr="005E683D">
              <w:rPr>
                <w:rFonts w:ascii="Arial" w:eastAsia="Times New Roman" w:hAnsi="Arial" w:cs="Arial"/>
                <w:b/>
                <w:noProof/>
                <w:sz w:val="18"/>
                <w:szCs w:val="18"/>
              </w:rPr>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4785D1E0" w14:textId="482CBB81" w:rsidR="00E54448" w:rsidRDefault="00E54448" w:rsidP="007254CE">
      <w:pPr>
        <w:spacing w:after="0" w:line="240" w:lineRule="auto"/>
        <w:rPr>
          <w:lang w:val="sr-Latn-CS"/>
        </w:rPr>
      </w:pPr>
    </w:p>
    <w:p w14:paraId="77221395" w14:textId="77777777" w:rsidR="005E683D" w:rsidRPr="00AF62D9" w:rsidRDefault="005E683D" w:rsidP="007254CE">
      <w:pPr>
        <w:spacing w:after="0" w:line="240" w:lineRule="auto"/>
        <w:rPr>
          <w:lang w:val="sr-Latn-CS"/>
        </w:rPr>
      </w:pPr>
    </w:p>
    <w:p w14:paraId="605834DB" w14:textId="77777777" w:rsidR="00744584" w:rsidRPr="00004B4A" w:rsidRDefault="00744584" w:rsidP="007254CE">
      <w:pPr>
        <w:pStyle w:val="Heading2"/>
        <w:numPr>
          <w:ilvl w:val="1"/>
          <w:numId w:val="24"/>
        </w:numPr>
      </w:pPr>
      <w:r w:rsidRPr="00004B4A">
        <w:t>Ponuđeni procentualni iznos za obračun koncesione naknade</w:t>
      </w:r>
      <w:bookmarkEnd w:id="36"/>
      <w:bookmarkEnd w:id="37"/>
    </w:p>
    <w:p w14:paraId="32F0B05E" w14:textId="77777777" w:rsidR="00744584" w:rsidRPr="00004B4A" w:rsidRDefault="00744584" w:rsidP="007254CE">
      <w:pPr>
        <w:spacing w:after="0" w:line="240" w:lineRule="auto"/>
        <w:jc w:val="both"/>
        <w:rPr>
          <w:rFonts w:ascii="Arial" w:hAnsi="Arial" w:cs="Arial"/>
          <w:lang w:val="sr-Latn-CS"/>
        </w:rPr>
      </w:pPr>
    </w:p>
    <w:p w14:paraId="56AAD4D2" w14:textId="57C17BF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ležišta, definisano </w:t>
      </w:r>
      <w:r w:rsidR="007C11EE" w:rsidRPr="00004B4A">
        <w:rPr>
          <w:rFonts w:ascii="Arial" w:hAnsi="Arial" w:cs="Arial"/>
          <w:lang w:val="sr-Latn-CS"/>
        </w:rPr>
        <w:t xml:space="preserve">je </w:t>
      </w:r>
      <w:r w:rsidRPr="00004B4A">
        <w:rPr>
          <w:rFonts w:ascii="Arial" w:hAnsi="Arial" w:cs="Arial"/>
          <w:lang w:val="sr-Latn-CS"/>
        </w:rPr>
        <w:t xml:space="preserve">da se ležište </w:t>
      </w:r>
      <w:r w:rsidR="00A00482">
        <w:rPr>
          <w:rFonts w:ascii="Arial" w:hAnsi="Arial" w:cs="Arial"/>
          <w:lang w:val="sr-Latn-CS"/>
        </w:rPr>
        <w:t>ar</w:t>
      </w:r>
      <w:r w:rsidR="009B527D">
        <w:rPr>
          <w:rFonts w:ascii="Arial" w:hAnsi="Arial" w:cs="Arial"/>
          <w:lang w:val="sr-Latn-CS"/>
        </w:rPr>
        <w:t>hitektonsko-građevinskog kamena</w:t>
      </w:r>
      <w:r w:rsidR="005836E1" w:rsidRPr="00004B4A">
        <w:rPr>
          <w:rFonts w:ascii="Arial" w:hAnsi="Arial" w:cs="Arial"/>
          <w:lang w:val="sr-Latn-CS"/>
        </w:rPr>
        <w:t xml:space="preserve"> </w:t>
      </w:r>
      <w:r w:rsidR="00772844">
        <w:rPr>
          <w:rFonts w:ascii="Arial" w:hAnsi="Arial" w:cs="Arial"/>
          <w:lang w:val="sr-Latn-CS"/>
        </w:rPr>
        <w:t>“Klikovače”</w:t>
      </w:r>
      <w:r w:rsidR="007E365E" w:rsidRPr="00004B4A">
        <w:rPr>
          <w:rFonts w:ascii="Arial" w:hAnsi="Arial" w:cs="Arial"/>
          <w:lang w:val="sr-Latn-CS"/>
        </w:rPr>
        <w:t xml:space="preserve">, </w:t>
      </w:r>
      <w:r w:rsidRPr="00004B4A">
        <w:rPr>
          <w:rFonts w:ascii="Arial" w:hAnsi="Arial" w:cs="Arial"/>
          <w:lang w:val="sr-Latn-CS"/>
        </w:rPr>
        <w:t>na osnovu postojećih karakteristika i očekivanih uslova za eksploataciju, svrstava u treću grupu geogenih ležišta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31CA4274"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 ili eksploatacionih rezervi </w:t>
      </w:r>
      <w:r w:rsidR="00A00482">
        <w:rPr>
          <w:rFonts w:ascii="Arial" w:hAnsi="Arial" w:cs="Arial"/>
          <w:lang w:val="sr-Latn-CS"/>
        </w:rPr>
        <w:t xml:space="preserve">arhitektonsko-građevinskog kamena </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5EF8479F"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Ponuđači mogu ponuditi procentni iznos tržišne vrijednosti bilansnih ili eksploatacionih rezervi </w:t>
      </w:r>
      <w:r w:rsidR="00513ADE">
        <w:rPr>
          <w:rFonts w:ascii="Arial" w:hAnsi="Arial" w:cs="Arial"/>
          <w:lang w:val="sr-Latn-CS"/>
        </w:rPr>
        <w:t>arhitektonsko</w:t>
      </w:r>
      <w:r w:rsidRPr="00004B4A">
        <w:rPr>
          <w:rFonts w:ascii="Arial" w:hAnsi="Arial" w:cs="Arial"/>
          <w:lang w:val="sr-Latn-CS"/>
        </w:rPr>
        <w:t>-građevinskog  kamena koji je jednak ili veći od 7%.</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7254CE">
      <w:pPr>
        <w:pStyle w:val="Heading2"/>
        <w:numPr>
          <w:ilvl w:val="1"/>
          <w:numId w:val="24"/>
        </w:numPr>
      </w:pPr>
      <w:bookmarkStart w:id="38" w:name="_Toc390549917"/>
      <w:bookmarkStart w:id="39" w:name="_Toc402262963"/>
      <w:r w:rsidRPr="0019514F">
        <w:lastRenderedPageBreak/>
        <w:t xml:space="preserve">Ponuđeni obim </w:t>
      </w:r>
      <w:r w:rsidR="00E52914" w:rsidRPr="0019514F">
        <w:t xml:space="preserve">godišnje </w:t>
      </w:r>
      <w:r w:rsidRPr="0019514F">
        <w:t>rudarske proizvodnje</w:t>
      </w:r>
      <w:bookmarkEnd w:id="38"/>
      <w:bookmarkEnd w:id="39"/>
    </w:p>
    <w:p w14:paraId="132FC544" w14:textId="77777777" w:rsidR="00744584" w:rsidRPr="0019514F" w:rsidRDefault="00744584" w:rsidP="007254CE">
      <w:pPr>
        <w:spacing w:after="0" w:line="240" w:lineRule="auto"/>
        <w:jc w:val="both"/>
        <w:rPr>
          <w:rFonts w:ascii="Arial" w:hAnsi="Arial" w:cs="Arial"/>
          <w:lang w:val="sr-Latn-CS"/>
        </w:rPr>
      </w:pPr>
    </w:p>
    <w:p w14:paraId="4BA5FBFE" w14:textId="604A10E8" w:rsidR="00513ADE" w:rsidRPr="008D608E" w:rsidRDefault="00744584" w:rsidP="005E683D">
      <w:pPr>
        <w:spacing w:after="0" w:line="240" w:lineRule="auto"/>
        <w:jc w:val="both"/>
        <w:rPr>
          <w:rFonts w:ascii="Arial" w:hAnsi="Arial" w:cs="Arial"/>
          <w:vertAlign w:val="superscript"/>
        </w:rPr>
      </w:pPr>
      <w:r w:rsidRPr="009B527D">
        <w:rPr>
          <w:rFonts w:ascii="Arial" w:hAnsi="Arial" w:cs="Arial"/>
          <w:bCs/>
          <w:lang w:val="sr-Latn-CS"/>
        </w:rPr>
        <w:t xml:space="preserve">Tačkom </w:t>
      </w:r>
      <w:r w:rsidR="004C0E0B" w:rsidRPr="009B527D">
        <w:rPr>
          <w:rFonts w:ascii="Arial" w:hAnsi="Arial" w:cs="Arial"/>
          <w:bCs/>
          <w:lang w:val="sr-Latn-CS"/>
        </w:rPr>
        <w:t>8</w:t>
      </w:r>
      <w:r w:rsidR="009B527D" w:rsidRPr="009B527D">
        <w:rPr>
          <w:rFonts w:ascii="Arial" w:hAnsi="Arial" w:cs="Arial"/>
          <w:bCs/>
          <w:lang w:val="sr-Latn-CS"/>
        </w:rPr>
        <w:t>.1.1. Koncesionog akta</w:t>
      </w:r>
      <w:r w:rsidR="00486798" w:rsidRPr="009B527D">
        <w:rPr>
          <w:rFonts w:ascii="Arial" w:hAnsi="Arial" w:cs="Arial"/>
          <w:lang w:val="sr-Latn-CS"/>
        </w:rPr>
        <w:t xml:space="preserve"> </w:t>
      </w:r>
      <w:r w:rsidR="008D608E">
        <w:rPr>
          <w:rFonts w:ascii="Arial" w:hAnsi="Arial" w:cs="Arial"/>
          <w:lang w:val="sr-Latn-CS"/>
        </w:rPr>
        <w:t>p</w:t>
      </w:r>
      <w:r w:rsidR="00513ADE" w:rsidRPr="009B527D">
        <w:rPr>
          <w:rFonts w:ascii="Arial" w:hAnsi="Arial" w:cs="Arial"/>
          <w:lang w:val="sr-Latn-CS"/>
        </w:rPr>
        <w:t>rema minimalnom godišnjem kapacitetu proizvodnje</w:t>
      </w:r>
      <w:r w:rsidR="008D608E">
        <w:rPr>
          <w:rFonts w:ascii="Arial" w:hAnsi="Arial" w:cs="Arial"/>
          <w:lang w:val="sr-Latn-CS"/>
        </w:rPr>
        <w:t xml:space="preserve"> od </w:t>
      </w:r>
      <w:r w:rsidR="009B527D" w:rsidRPr="009B527D">
        <w:rPr>
          <w:rFonts w:ascii="Arial" w:eastAsia="Calibri" w:hAnsi="Arial" w:cs="Arial"/>
          <w:noProof/>
          <w:kern w:val="0"/>
          <w:lang w:val="sr-Latn-CS"/>
        </w:rPr>
        <w:t>1</w:t>
      </w:r>
      <w:r w:rsidR="00513ADE" w:rsidRPr="009B527D">
        <w:rPr>
          <w:rFonts w:ascii="Arial" w:eastAsia="Calibri" w:hAnsi="Arial" w:cs="Arial"/>
          <w:noProof/>
          <w:kern w:val="0"/>
          <w:lang w:val="sr-Latn-CS"/>
        </w:rPr>
        <w:t>000 m</w:t>
      </w:r>
      <w:r w:rsidR="009B527D" w:rsidRPr="009B527D">
        <w:rPr>
          <w:rFonts w:ascii="Arial" w:eastAsia="Calibri" w:hAnsi="Arial" w:cs="Arial"/>
          <w:noProof/>
          <w:kern w:val="0"/>
          <w:vertAlign w:val="superscript"/>
          <w:lang w:val="sr-Latn-CS"/>
        </w:rPr>
        <w:t>3</w:t>
      </w:r>
      <w:r w:rsidR="00513ADE" w:rsidRPr="009B527D">
        <w:rPr>
          <w:rFonts w:ascii="Arial" w:eastAsia="Calibri" w:hAnsi="Arial" w:cs="Arial"/>
          <w:noProof/>
          <w:kern w:val="0"/>
          <w:vertAlign w:val="superscript"/>
          <w:lang w:val="sr-Latn-CS"/>
        </w:rPr>
        <w:t xml:space="preserve"> </w:t>
      </w:r>
      <w:r w:rsidR="00A20F76" w:rsidRPr="009B527D">
        <w:rPr>
          <w:rFonts w:ascii="Arial" w:eastAsia="Calibri" w:hAnsi="Arial" w:cs="Arial"/>
          <w:noProof/>
          <w:kern w:val="0"/>
          <w:lang w:val="sr-Latn-CS"/>
        </w:rPr>
        <w:t>komercijalnog</w:t>
      </w:r>
      <w:r w:rsidR="00A20F76">
        <w:rPr>
          <w:rFonts w:ascii="Arial" w:eastAsia="Calibri" w:hAnsi="Arial" w:cs="Arial"/>
          <w:noProof/>
          <w:kern w:val="0"/>
          <w:lang w:val="sr-Latn-CS"/>
        </w:rPr>
        <w:t xml:space="preserve"> bloka</w:t>
      </w:r>
      <w:r w:rsidR="00B60E8C">
        <w:rPr>
          <w:rFonts w:ascii="Arial" w:eastAsia="Calibri" w:hAnsi="Arial" w:cs="Arial"/>
          <w:noProof/>
          <w:kern w:val="0"/>
          <w:lang w:val="sr-Latn-CS"/>
        </w:rPr>
        <w:t xml:space="preserve"> i</w:t>
      </w:r>
      <w:r w:rsidR="00A20F76" w:rsidRPr="009B527D">
        <w:rPr>
          <w:rFonts w:ascii="Arial" w:eastAsia="Calibri" w:hAnsi="Arial" w:cs="Arial"/>
          <w:noProof/>
          <w:kern w:val="0"/>
          <w:lang w:val="sr-Latn-CS"/>
        </w:rPr>
        <w:t xml:space="preserve"> </w:t>
      </w:r>
      <w:r w:rsidR="008D608E">
        <w:rPr>
          <w:rFonts w:ascii="Arial" w:eastAsia="Calibri" w:hAnsi="Arial" w:cs="Arial"/>
          <w:noProof/>
          <w:kern w:val="0"/>
          <w:lang w:val="sr-Latn-CS"/>
        </w:rPr>
        <w:t>tombolona z</w:t>
      </w:r>
      <w:r w:rsidR="00A20F76">
        <w:rPr>
          <w:rFonts w:ascii="Arial" w:eastAsia="Calibri" w:hAnsi="Arial" w:cs="Arial"/>
          <w:noProof/>
          <w:kern w:val="0"/>
          <w:lang w:val="sr-Latn-CS"/>
        </w:rPr>
        <w:t>a period od 28 godina,</w:t>
      </w:r>
      <w:r w:rsidR="00513ADE" w:rsidRPr="009B527D">
        <w:rPr>
          <w:rFonts w:ascii="Arial" w:eastAsia="Calibri" w:hAnsi="Arial" w:cs="Arial"/>
          <w:noProof/>
          <w:kern w:val="0"/>
          <w:lang w:val="sr-Latn-CS"/>
        </w:rPr>
        <w:t xml:space="preserve"> proizvelo bi se </w:t>
      </w:r>
      <w:r w:rsidR="009B527D" w:rsidRPr="009B527D">
        <w:rPr>
          <w:rFonts w:ascii="Arial" w:eastAsia="Calibri" w:hAnsi="Arial" w:cs="Arial"/>
          <w:noProof/>
          <w:kern w:val="0"/>
          <w:lang w:val="sr-Latn-CS"/>
        </w:rPr>
        <w:t>28 000</w:t>
      </w:r>
      <w:r w:rsidR="00513ADE" w:rsidRPr="009B527D">
        <w:rPr>
          <w:rFonts w:ascii="Arial" w:eastAsia="Calibri" w:hAnsi="Arial" w:cs="Arial"/>
          <w:noProof/>
          <w:kern w:val="0"/>
          <w:lang w:val="sr-Latn-CS"/>
        </w:rPr>
        <w:t xml:space="preserve"> m</w:t>
      </w:r>
      <w:r w:rsidR="00B60E8C">
        <w:rPr>
          <w:rFonts w:ascii="Arial" w:eastAsia="Calibri" w:hAnsi="Arial" w:cs="Arial"/>
          <w:noProof/>
          <w:kern w:val="0"/>
          <w:vertAlign w:val="superscript"/>
          <w:lang w:val="sr-Latn-CS"/>
        </w:rPr>
        <w:t xml:space="preserve">3 </w:t>
      </w:r>
      <w:r w:rsidR="00513ADE" w:rsidRPr="009B527D">
        <w:rPr>
          <w:rFonts w:ascii="Arial" w:eastAsia="Calibri" w:hAnsi="Arial" w:cs="Arial"/>
          <w:noProof/>
          <w:kern w:val="0"/>
          <w:lang w:val="sr-Latn-CS"/>
        </w:rPr>
        <w:t xml:space="preserve">komercijalnog bloka </w:t>
      </w:r>
      <w:r w:rsidR="00B60E8C">
        <w:rPr>
          <w:rFonts w:ascii="Arial" w:eastAsia="Calibri" w:hAnsi="Arial" w:cs="Arial"/>
          <w:noProof/>
          <w:kern w:val="0"/>
          <w:lang w:val="sr-Latn-CS"/>
        </w:rPr>
        <w:t xml:space="preserve">i </w:t>
      </w:r>
      <w:r w:rsidR="00B60E8C" w:rsidRPr="009B527D">
        <w:rPr>
          <w:rFonts w:ascii="Arial" w:eastAsia="Calibri" w:hAnsi="Arial" w:cs="Arial"/>
          <w:noProof/>
          <w:kern w:val="0"/>
          <w:lang w:val="sr-Latn-CS"/>
        </w:rPr>
        <w:t>tombolona</w:t>
      </w:r>
      <w:r w:rsidR="00BE6612">
        <w:rPr>
          <w:rFonts w:ascii="Arial" w:eastAsia="Calibri" w:hAnsi="Arial" w:cs="Arial"/>
          <w:noProof/>
          <w:kern w:val="0"/>
          <w:lang w:val="sr-Latn-CS"/>
        </w:rPr>
        <w:t>,</w:t>
      </w:r>
      <w:r w:rsidR="00B60E8C" w:rsidRPr="009B527D">
        <w:rPr>
          <w:rFonts w:ascii="Arial" w:eastAsia="Calibri" w:hAnsi="Arial" w:cs="Arial"/>
          <w:noProof/>
          <w:kern w:val="0"/>
          <w:lang w:val="sr-Latn-CS"/>
        </w:rPr>
        <w:t xml:space="preserve"> </w:t>
      </w:r>
      <w:r w:rsidR="00513ADE" w:rsidRPr="009B527D">
        <w:rPr>
          <w:rFonts w:ascii="Arial" w:eastAsia="Calibri" w:hAnsi="Arial" w:cs="Arial"/>
          <w:noProof/>
          <w:kern w:val="0"/>
          <w:lang w:val="sr-Latn-CS"/>
        </w:rPr>
        <w:t>kao tržišnog prozvoda.</w:t>
      </w:r>
    </w:p>
    <w:p w14:paraId="39C12926" w14:textId="77777777" w:rsidR="00513ADE" w:rsidRPr="009B527D" w:rsidRDefault="00513ADE" w:rsidP="005E683D">
      <w:pPr>
        <w:suppressAutoHyphens w:val="0"/>
        <w:spacing w:after="0" w:line="240" w:lineRule="auto"/>
        <w:jc w:val="both"/>
        <w:rPr>
          <w:rFonts w:ascii="Arial" w:eastAsia="Calibri" w:hAnsi="Arial" w:cs="Arial"/>
          <w:noProof/>
          <w:kern w:val="0"/>
          <w:lang w:val="sr-Latn-CS"/>
        </w:rPr>
      </w:pPr>
    </w:p>
    <w:p w14:paraId="42546388" w14:textId="4DEEA336" w:rsidR="00513ADE" w:rsidRPr="009B527D" w:rsidRDefault="00513ADE" w:rsidP="005E683D">
      <w:pPr>
        <w:suppressAutoHyphens w:val="0"/>
        <w:spacing w:after="0" w:line="240" w:lineRule="auto"/>
        <w:jc w:val="both"/>
        <w:rPr>
          <w:rFonts w:ascii="Arial" w:eastAsia="Calibri" w:hAnsi="Arial" w:cs="Arial"/>
          <w:noProof/>
          <w:kern w:val="0"/>
          <w:lang w:val="sr-Latn-CS"/>
        </w:rPr>
      </w:pPr>
      <w:r w:rsidRPr="009B527D">
        <w:rPr>
          <w:rFonts w:ascii="Arial" w:eastAsia="Calibri" w:hAnsi="Arial" w:cs="Arial"/>
          <w:noProof/>
          <w:kern w:val="0"/>
          <w:lang w:val="sr-Latn-CS"/>
        </w:rPr>
        <w:t xml:space="preserve">Ponuđači mogu ponuditi obim godišnje rudarske proizvodnje koji je jednak ili veći od </w:t>
      </w:r>
      <w:r w:rsidR="009B527D" w:rsidRPr="009B527D">
        <w:rPr>
          <w:rFonts w:ascii="Arial" w:eastAsia="Calibri" w:hAnsi="Arial" w:cs="Arial"/>
          <w:noProof/>
          <w:kern w:val="0"/>
          <w:lang w:val="sr-Latn-CS"/>
        </w:rPr>
        <w:t>1</w:t>
      </w:r>
      <w:r w:rsidRPr="009B527D">
        <w:rPr>
          <w:rFonts w:ascii="Arial" w:eastAsia="Calibri" w:hAnsi="Arial" w:cs="Arial"/>
          <w:noProof/>
          <w:kern w:val="0"/>
          <w:lang w:val="sr-Latn-CS"/>
        </w:rPr>
        <w:t>000 m</w:t>
      </w:r>
      <w:r w:rsidRPr="009B527D">
        <w:rPr>
          <w:rFonts w:ascii="Arial" w:eastAsia="Calibri" w:hAnsi="Arial" w:cs="Arial"/>
          <w:noProof/>
          <w:kern w:val="0"/>
          <w:vertAlign w:val="superscript"/>
          <w:lang w:val="sr-Latn-CS"/>
        </w:rPr>
        <w:t xml:space="preserve">3 </w:t>
      </w:r>
      <w:r w:rsidRPr="009B527D">
        <w:rPr>
          <w:rFonts w:ascii="Arial" w:eastAsia="Calibri" w:hAnsi="Arial" w:cs="Arial"/>
          <w:noProof/>
          <w:kern w:val="0"/>
          <w:lang w:val="sr-Latn-CS"/>
        </w:rPr>
        <w:t>tombolona i komercijalnog bloka.</w:t>
      </w:r>
    </w:p>
    <w:p w14:paraId="3C3B57D9" w14:textId="77777777" w:rsidR="00513ADE" w:rsidRPr="00565EC9" w:rsidRDefault="00513ADE" w:rsidP="005E683D">
      <w:pPr>
        <w:spacing w:after="0" w:line="240" w:lineRule="auto"/>
        <w:jc w:val="both"/>
        <w:rPr>
          <w:rFonts w:ascii="Arial" w:hAnsi="Arial" w:cs="Arial"/>
          <w:color w:val="FF0000"/>
          <w:lang w:val="sr-Latn-CS"/>
        </w:rPr>
      </w:pPr>
    </w:p>
    <w:p w14:paraId="745694AA" w14:textId="77777777" w:rsidR="009E4344" w:rsidRPr="0019514F" w:rsidRDefault="009E4344" w:rsidP="005E683D">
      <w:pPr>
        <w:spacing w:after="0" w:line="240" w:lineRule="auto"/>
        <w:jc w:val="both"/>
        <w:rPr>
          <w:rFonts w:ascii="Arial" w:hAnsi="Arial" w:cs="Arial"/>
          <w:noProof/>
          <w:lang w:val="pl-PL"/>
        </w:rPr>
      </w:pPr>
      <w:r w:rsidRPr="0019514F">
        <w:rPr>
          <w:rFonts w:ascii="Arial" w:hAnsi="Arial" w:cs="Arial"/>
          <w:noProof/>
          <w:lang w:val="pl-PL"/>
        </w:rPr>
        <w:t>Ovaj kriterijum se izračunava na sljedeći način:</w:t>
      </w:r>
    </w:p>
    <w:p w14:paraId="08AC8CE0" w14:textId="77777777" w:rsidR="001F4603" w:rsidRPr="0019514F" w:rsidRDefault="001F4603" w:rsidP="005E683D">
      <w:pPr>
        <w:spacing w:after="0" w:line="240" w:lineRule="auto"/>
        <w:rPr>
          <w:rFonts w:ascii="Arial" w:eastAsia="Times New Roman" w:hAnsi="Arial" w:cs="Arial"/>
          <w:b/>
          <w:bCs/>
          <w:noProof/>
          <w:lang w:val="pl-PL"/>
        </w:rPr>
      </w:pPr>
      <w:r w:rsidRPr="0019514F">
        <w:rPr>
          <w:rFonts w:ascii="Arial" w:eastAsia="Times New Roman" w:hAnsi="Arial" w:cs="Arial"/>
          <w:b/>
          <w:bCs/>
          <w:noProof/>
          <w:lang w:val="pl-PL"/>
        </w:rPr>
        <w:t>Kriterijum: PGP/MPGP x 30,</w:t>
      </w:r>
    </w:p>
    <w:p w14:paraId="5EA51277" w14:textId="77777777" w:rsidR="001F4603" w:rsidRPr="0019514F" w:rsidRDefault="001F4603" w:rsidP="005E683D">
      <w:pPr>
        <w:spacing w:after="0" w:line="240" w:lineRule="auto"/>
        <w:rPr>
          <w:rFonts w:ascii="Arial" w:eastAsia="Times New Roman" w:hAnsi="Arial" w:cs="Arial"/>
          <w:bCs/>
          <w:noProof/>
          <w:lang w:val="pl-PL"/>
        </w:rPr>
      </w:pPr>
      <w:r w:rsidRPr="0019514F">
        <w:rPr>
          <w:rFonts w:ascii="Arial" w:eastAsia="Times New Roman" w:hAnsi="Arial" w:cs="Arial"/>
          <w:bCs/>
          <w:noProof/>
          <w:lang w:val="pl-PL"/>
        </w:rPr>
        <w:t>gdje:</w:t>
      </w:r>
    </w:p>
    <w:p w14:paraId="7DC235B2" w14:textId="77777777" w:rsidR="001F4603" w:rsidRPr="0019514F" w:rsidRDefault="001F4603" w:rsidP="005E683D">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PGP</w:t>
      </w:r>
      <w:r w:rsidRPr="0019514F">
        <w:rPr>
          <w:rFonts w:ascii="Arial" w:eastAsia="Times New Roman" w:hAnsi="Arial" w:cs="Arial"/>
          <w:bCs/>
          <w:noProof/>
          <w:lang w:val="pl-PL"/>
        </w:rPr>
        <w:t xml:space="preserve"> - označava ponuđenu godišnju proizvodnju</w:t>
      </w:r>
    </w:p>
    <w:p w14:paraId="1E92DF08" w14:textId="12B184F4" w:rsidR="001F4603" w:rsidRPr="0019514F" w:rsidRDefault="001F4603" w:rsidP="005E683D">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MPGP</w:t>
      </w:r>
      <w:r w:rsidRPr="0019514F">
        <w:rPr>
          <w:rFonts w:ascii="Arial" w:eastAsia="Times New Roman" w:hAnsi="Arial" w:cs="Arial"/>
          <w:bCs/>
          <w:noProof/>
          <w:lang w:val="pl-PL"/>
        </w:rPr>
        <w:t xml:space="preserve"> - označava mak</w:t>
      </w:r>
      <w:r w:rsidR="00E54EB9" w:rsidRPr="0019514F">
        <w:rPr>
          <w:rFonts w:ascii="Arial" w:eastAsia="Times New Roman" w:hAnsi="Arial" w:cs="Arial"/>
          <w:bCs/>
          <w:noProof/>
          <w:lang w:val="pl-PL"/>
        </w:rPr>
        <w:t>s</w:t>
      </w:r>
      <w:r w:rsidRPr="0019514F">
        <w:rPr>
          <w:rFonts w:ascii="Arial" w:eastAsia="Times New Roman" w:hAnsi="Arial" w:cs="Arial"/>
          <w:bCs/>
          <w:noProof/>
          <w:lang w:val="pl-PL"/>
        </w:rPr>
        <w:t>imaln</w:t>
      </w:r>
      <w:r w:rsidR="00272CCD" w:rsidRPr="0019514F">
        <w:rPr>
          <w:rFonts w:ascii="Arial" w:eastAsia="Times New Roman" w:hAnsi="Arial" w:cs="Arial"/>
          <w:bCs/>
          <w:noProof/>
          <w:lang w:val="pl-PL"/>
        </w:rPr>
        <w:t>u</w:t>
      </w:r>
      <w:r w:rsidRPr="0019514F">
        <w:rPr>
          <w:rFonts w:ascii="Arial" w:eastAsia="Times New Roman" w:hAnsi="Arial" w:cs="Arial"/>
          <w:bCs/>
          <w:noProof/>
          <w:lang w:val="pl-PL"/>
        </w:rPr>
        <w:t xml:space="preserve"> godišnju proizvodnju ponuđenu na tenderu</w:t>
      </w:r>
    </w:p>
    <w:p w14:paraId="03830901" w14:textId="77777777" w:rsidR="001F4603" w:rsidRPr="0019514F" w:rsidRDefault="001F4603" w:rsidP="005E683D">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30</w:t>
      </w:r>
      <w:r w:rsidRPr="0019514F">
        <w:rPr>
          <w:rFonts w:ascii="Arial" w:eastAsia="Times New Roman" w:hAnsi="Arial" w:cs="Arial"/>
          <w:bCs/>
          <w:noProof/>
          <w:lang w:val="pl-PL"/>
        </w:rPr>
        <w:t xml:space="preserve"> - broj bodova za ovaj kriterijum</w:t>
      </w:r>
    </w:p>
    <w:p w14:paraId="5A5A7D10" w14:textId="77777777" w:rsidR="00744584" w:rsidRPr="0019514F" w:rsidRDefault="00744584" w:rsidP="005E683D">
      <w:pPr>
        <w:spacing w:after="0" w:line="240" w:lineRule="auto"/>
        <w:jc w:val="both"/>
        <w:rPr>
          <w:rFonts w:ascii="Arial" w:hAnsi="Arial" w:cs="Arial"/>
          <w:bCs/>
          <w:lang w:val="sr-Latn-CS"/>
        </w:rPr>
      </w:pPr>
    </w:p>
    <w:p w14:paraId="5C7CAE92" w14:textId="77777777" w:rsidR="00297F2E" w:rsidRPr="0019514F" w:rsidRDefault="00E52914" w:rsidP="005E683D">
      <w:pPr>
        <w:pStyle w:val="Heading2"/>
        <w:numPr>
          <w:ilvl w:val="1"/>
          <w:numId w:val="24"/>
        </w:numPr>
        <w:rPr>
          <w:rFonts w:cs="Arial"/>
        </w:rPr>
      </w:pPr>
      <w:bookmarkStart w:id="40" w:name="_Toc436124904"/>
      <w:r w:rsidRPr="0019514F">
        <w:rPr>
          <w:rFonts w:cs="Arial"/>
        </w:rPr>
        <w:t>Reference ponuđača</w:t>
      </w:r>
      <w:bookmarkEnd w:id="40"/>
    </w:p>
    <w:p w14:paraId="3641F620" w14:textId="77777777" w:rsidR="00933594" w:rsidRPr="0019514F" w:rsidRDefault="00933594" w:rsidP="005E683D">
      <w:pPr>
        <w:spacing w:after="0" w:line="240" w:lineRule="auto"/>
        <w:jc w:val="both"/>
        <w:rPr>
          <w:rFonts w:ascii="Arial" w:hAnsi="Arial" w:cs="Arial"/>
          <w:lang w:val="sr-Latn-CS"/>
        </w:rPr>
      </w:pPr>
    </w:p>
    <w:p w14:paraId="0A992823" w14:textId="57DA5522" w:rsidR="00FF7343" w:rsidRPr="008D608E" w:rsidRDefault="00FF7343" w:rsidP="005E683D">
      <w:pPr>
        <w:spacing w:after="0" w:line="240" w:lineRule="auto"/>
        <w:ind w:left="360"/>
        <w:contextualSpacing/>
        <w:jc w:val="both"/>
        <w:rPr>
          <w:rFonts w:ascii="Arial" w:eastAsia="Times New Roman" w:hAnsi="Arial" w:cs="Arial"/>
          <w:noProof/>
        </w:rPr>
      </w:pPr>
      <w:r w:rsidRPr="008D608E">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(obrada kamena-primarnih blokova i tombolona,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C545B5" w:rsidRDefault="001F4603" w:rsidP="005E683D">
      <w:pPr>
        <w:spacing w:after="0" w:line="240" w:lineRule="auto"/>
        <w:ind w:left="360"/>
        <w:contextualSpacing/>
        <w:jc w:val="both"/>
        <w:rPr>
          <w:rFonts w:ascii="Arial" w:eastAsia="Times New Roman" w:hAnsi="Arial" w:cs="Arial"/>
          <w:noProof/>
          <w:color w:val="C00000"/>
          <w:kern w:val="0"/>
        </w:rPr>
      </w:pPr>
    </w:p>
    <w:p w14:paraId="01B3BE6C" w14:textId="77777777" w:rsidR="001F4603" w:rsidRPr="0019514F" w:rsidRDefault="001F4603" w:rsidP="005E683D">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679CE94F" w14:textId="77777777" w:rsidR="001F4603" w:rsidRPr="0019514F" w:rsidRDefault="001F4603" w:rsidP="005E683D">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09AF5EC3" w14:textId="77777777" w:rsidR="001F4603" w:rsidRPr="0019514F" w:rsidRDefault="001F4603" w:rsidP="005E683D">
      <w:pPr>
        <w:spacing w:after="0" w:line="240" w:lineRule="auto"/>
        <w:ind w:left="360"/>
        <w:contextualSpacing/>
        <w:jc w:val="both"/>
        <w:rPr>
          <w:rFonts w:ascii="Arial" w:eastAsia="Times New Roman" w:hAnsi="Arial" w:cs="Arial"/>
          <w:noProof/>
        </w:rPr>
      </w:pPr>
    </w:p>
    <w:p w14:paraId="27D307E7"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Kriterijum: BPR / NBPR x 15,</w:t>
      </w:r>
    </w:p>
    <w:p w14:paraId="65E2F112"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p>
    <w:p w14:paraId="014FE98A"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p>
    <w:p w14:paraId="71BF11FF"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p>
    <w:p w14:paraId="4A224CB0" w14:textId="77777777" w:rsidR="001F4603" w:rsidRPr="0019514F" w:rsidRDefault="001F4603" w:rsidP="007254CE">
      <w:pPr>
        <w:spacing w:after="0" w:line="240" w:lineRule="auto"/>
        <w:ind w:left="360"/>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19514F" w:rsidRDefault="000116B2" w:rsidP="007254CE">
      <w:pPr>
        <w:spacing w:after="0" w:line="240" w:lineRule="auto"/>
        <w:jc w:val="both"/>
        <w:rPr>
          <w:rFonts w:ascii="Arial" w:hAnsi="Arial" w:cs="Arial"/>
          <w:lang w:val="sr-Latn-CS"/>
        </w:rPr>
      </w:pPr>
    </w:p>
    <w:p w14:paraId="2B317CC2" w14:textId="150AD79B" w:rsidR="00933594" w:rsidRPr="0019514F" w:rsidRDefault="00960D58" w:rsidP="007254CE">
      <w:pPr>
        <w:pStyle w:val="Heading2"/>
        <w:numPr>
          <w:ilvl w:val="1"/>
          <w:numId w:val="24"/>
        </w:numPr>
        <w:rPr>
          <w:rFonts w:cs="Arial"/>
        </w:rPr>
      </w:pPr>
      <w:bookmarkStart w:id="41" w:name="_Toc436124906"/>
      <w:r w:rsidRPr="0019514F">
        <w:rPr>
          <w:rFonts w:cs="Arial"/>
        </w:rPr>
        <w:t>Finansijski aspekt – Prosječni bruto prihod ponuđača u posljednje tri godi</w:t>
      </w:r>
      <w:bookmarkEnd w:id="41"/>
      <w:r w:rsidR="006924A6" w:rsidRPr="0019514F">
        <w:rPr>
          <w:rFonts w:cs="Arial"/>
        </w:rPr>
        <w:t>ne</w:t>
      </w:r>
    </w:p>
    <w:p w14:paraId="248BE908" w14:textId="77777777" w:rsidR="00960D58" w:rsidRPr="0019514F" w:rsidRDefault="00960D58" w:rsidP="005E683D">
      <w:pPr>
        <w:spacing w:after="0" w:line="240" w:lineRule="auto"/>
        <w:rPr>
          <w:rFonts w:ascii="Arial" w:hAnsi="Arial" w:cs="Arial"/>
          <w:lang w:val="sr-Latn-CS"/>
        </w:rPr>
      </w:pPr>
    </w:p>
    <w:p w14:paraId="0E1BF7D2" w14:textId="77777777" w:rsidR="007554B4" w:rsidRPr="0019514F" w:rsidRDefault="007554B4" w:rsidP="005E683D">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5E683D">
      <w:pPr>
        <w:spacing w:after="0" w:line="240" w:lineRule="auto"/>
        <w:jc w:val="both"/>
        <w:rPr>
          <w:rFonts w:ascii="Arial" w:eastAsia="Times New Roman" w:hAnsi="Arial" w:cs="Arial"/>
          <w:noProof/>
        </w:rPr>
      </w:pPr>
    </w:p>
    <w:p w14:paraId="0D88609E" w14:textId="77777777" w:rsidR="007554B4" w:rsidRPr="0019514F" w:rsidRDefault="007554B4" w:rsidP="005E683D">
      <w:pPr>
        <w:spacing w:after="0" w:line="240" w:lineRule="auto"/>
        <w:jc w:val="both"/>
        <w:rPr>
          <w:rFonts w:ascii="Arial" w:eastAsia="Times New Roman" w:hAnsi="Arial" w:cs="Arial"/>
          <w:b/>
          <w:noProof/>
        </w:rPr>
      </w:pPr>
      <w:r w:rsidRPr="0019514F">
        <w:rPr>
          <w:rFonts w:ascii="Arial" w:eastAsia="Times New Roman" w:hAnsi="Arial" w:cs="Arial"/>
          <w:b/>
          <w:noProof/>
        </w:rPr>
        <w:t>Kriterijum: PBP / MBP x 10,</w:t>
      </w:r>
    </w:p>
    <w:p w14:paraId="43EF3B2E" w14:textId="77777777" w:rsidR="007554B4" w:rsidRPr="0019514F" w:rsidRDefault="007554B4" w:rsidP="005E683D">
      <w:pPr>
        <w:spacing w:after="0" w:line="240" w:lineRule="auto"/>
        <w:jc w:val="both"/>
        <w:rPr>
          <w:rFonts w:ascii="Arial" w:eastAsia="Times New Roman" w:hAnsi="Arial" w:cs="Arial"/>
          <w:noProof/>
        </w:rPr>
      </w:pPr>
    </w:p>
    <w:p w14:paraId="4BBE2CE0" w14:textId="77777777" w:rsidR="007554B4" w:rsidRPr="0019514F" w:rsidRDefault="007554B4" w:rsidP="005E683D">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5E683D">
      <w:pPr>
        <w:spacing w:after="0" w:line="240" w:lineRule="auto"/>
        <w:jc w:val="both"/>
        <w:rPr>
          <w:rFonts w:ascii="Arial" w:eastAsia="Times New Roman" w:hAnsi="Arial" w:cs="Arial"/>
          <w:noProof/>
        </w:rPr>
      </w:pPr>
    </w:p>
    <w:p w14:paraId="1280B091" w14:textId="77777777" w:rsidR="007554B4" w:rsidRPr="0019514F" w:rsidRDefault="007554B4" w:rsidP="005E683D">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p>
    <w:p w14:paraId="6E027587" w14:textId="77777777" w:rsidR="007554B4" w:rsidRPr="0019514F" w:rsidRDefault="007554B4" w:rsidP="005E683D">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19514F" w:rsidRDefault="007554B4" w:rsidP="005E683D">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p>
    <w:p w14:paraId="00380CCD" w14:textId="77777777" w:rsidR="007554B4" w:rsidRPr="0019514F" w:rsidRDefault="007554B4" w:rsidP="005E683D">
      <w:pPr>
        <w:spacing w:after="0" w:line="240" w:lineRule="auto"/>
        <w:jc w:val="both"/>
        <w:rPr>
          <w:rFonts w:ascii="Arial" w:eastAsia="Times New Roman" w:hAnsi="Arial" w:cs="Arial"/>
          <w:noProof/>
          <w:lang w:val="pl-PL"/>
        </w:rPr>
      </w:pPr>
    </w:p>
    <w:p w14:paraId="48F40971" w14:textId="5BFE1585" w:rsidR="007554B4" w:rsidRPr="0019514F" w:rsidRDefault="007554B4" w:rsidP="005E683D">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7254CE">
      <w:pPr>
        <w:pStyle w:val="Heading2"/>
        <w:rPr>
          <w:rFonts w:cs="Arial"/>
        </w:rPr>
      </w:pPr>
      <w:r w:rsidRPr="0019514F">
        <w:rPr>
          <w:rFonts w:cs="Arial"/>
        </w:rPr>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3702731A" w14:textId="77777777" w:rsidR="007554B4" w:rsidRPr="0019514F"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74066FA7" w14:textId="77777777" w:rsidR="007554B4" w:rsidRPr="0019514F" w:rsidRDefault="007554B4" w:rsidP="007254CE">
      <w:pPr>
        <w:spacing w:after="0" w:line="240" w:lineRule="auto"/>
        <w:jc w:val="both"/>
        <w:rPr>
          <w:rFonts w:ascii="Arial" w:hAnsi="Arial" w:cs="Arial"/>
          <w:noProof/>
        </w:rPr>
      </w:pP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77777777"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p>
    <w:p w14:paraId="6D913DD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p>
    <w:p w14:paraId="77FEF4D7"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6FA23ADF" w14:textId="77777777" w:rsidR="003542EE" w:rsidRPr="0019514F" w:rsidRDefault="003542EE" w:rsidP="007254CE">
      <w:pPr>
        <w:spacing w:after="0" w:line="240" w:lineRule="auto"/>
        <w:jc w:val="both"/>
        <w:rPr>
          <w:rFonts w:ascii="Arial" w:eastAsia="Times New Roman" w:hAnsi="Arial" w:cs="Arial"/>
          <w:noProof/>
        </w:rPr>
      </w:pPr>
    </w:p>
    <w:p w14:paraId="218C9AA0" w14:textId="77777777" w:rsidR="007554B4" w:rsidRPr="0019514F" w:rsidRDefault="007554B4" w:rsidP="007254CE">
      <w:pPr>
        <w:pStyle w:val="Heading2"/>
        <w:ind w:left="360" w:hanging="360"/>
        <w:rPr>
          <w:rFonts w:cs="Arial"/>
        </w:rPr>
      </w:pPr>
      <w:r w:rsidRPr="0019514F">
        <w:rPr>
          <w:rFonts w:cs="Arial"/>
        </w:rPr>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3C8C0473"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19514F" w:rsidRDefault="007554B4" w:rsidP="007254CE">
      <w:pPr>
        <w:spacing w:after="0" w:line="240" w:lineRule="auto"/>
        <w:jc w:val="both"/>
        <w:rPr>
          <w:rFonts w:ascii="Arial" w:hAnsi="Arial" w:cs="Arial"/>
          <w:noProof/>
          <w:lang w:val="pl-PL"/>
        </w:rPr>
      </w:pPr>
    </w:p>
    <w:p w14:paraId="4F55B81D"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3DB96098" w:rsidR="007554B4" w:rsidRDefault="007554B4" w:rsidP="007254CE">
      <w:pPr>
        <w:spacing w:after="0" w:line="240" w:lineRule="auto"/>
        <w:jc w:val="both"/>
        <w:rPr>
          <w:rFonts w:ascii="Arial" w:hAnsi="Arial" w:cs="Arial"/>
          <w:lang w:val="sr-Latn-CS"/>
        </w:rPr>
      </w:pPr>
    </w:p>
    <w:p w14:paraId="3F5B621C" w14:textId="77777777" w:rsidR="003542EE" w:rsidRPr="0019514F" w:rsidRDefault="003542EE" w:rsidP="007254CE">
      <w:pPr>
        <w:spacing w:after="0" w:line="240" w:lineRule="auto"/>
        <w:jc w:val="both"/>
        <w:rPr>
          <w:rFonts w:ascii="Arial" w:hAnsi="Arial" w:cs="Arial"/>
          <w:lang w:val="sr-Latn-CS"/>
        </w:rPr>
      </w:pP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004B4A">
        <w:rPr>
          <w:rFonts w:ascii="Arial" w:hAnsi="Arial" w:cs="Arial"/>
          <w:sz w:val="22"/>
          <w:szCs w:val="22"/>
        </w:rPr>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7254CE">
      <w:pPr>
        <w:pStyle w:val="Heading2"/>
        <w:numPr>
          <w:ilvl w:val="1"/>
          <w:numId w:val="24"/>
        </w:numPr>
      </w:pPr>
      <w:bookmarkStart w:id="48" w:name="_Toc401959451"/>
      <w:bookmarkStart w:id="49" w:name="_Toc401959544"/>
      <w:bookmarkStart w:id="50" w:name="_Toc435529032"/>
      <w:bookmarkStart w:id="51" w:name="_Toc436124910"/>
      <w:r w:rsidRPr="00004B4A">
        <w:t>Geološka istraživanja</w:t>
      </w:r>
      <w:bookmarkEnd w:id="47"/>
      <w:bookmarkEnd w:id="48"/>
      <w:bookmarkEnd w:id="49"/>
      <w:bookmarkEnd w:id="50"/>
      <w:bookmarkEnd w:id="51"/>
    </w:p>
    <w:p w14:paraId="32383A77" w14:textId="77777777" w:rsidR="00297F2E" w:rsidRPr="00004B4A" w:rsidRDefault="00297F2E" w:rsidP="007254CE">
      <w:pPr>
        <w:spacing w:after="0" w:line="240" w:lineRule="auto"/>
        <w:jc w:val="both"/>
        <w:rPr>
          <w:rFonts w:ascii="Arial" w:hAnsi="Arial" w:cs="Arial"/>
          <w:lang w:val="sr-Latn-CS"/>
        </w:rPr>
      </w:pPr>
    </w:p>
    <w:p w14:paraId="3227B72E"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Pr="00004B4A">
        <w:rPr>
          <w:rFonts w:ascii="Arial" w:hAnsi="Arial" w:cs="Arial"/>
          <w:lang w:val="sr-Latn-CS"/>
        </w:rPr>
        <w:t>.</w:t>
      </w:r>
    </w:p>
    <w:p w14:paraId="38AB3248" w14:textId="77777777" w:rsidR="0084036A" w:rsidRPr="00004B4A" w:rsidRDefault="0084036A" w:rsidP="007254CE">
      <w:pPr>
        <w:spacing w:after="0" w:line="240" w:lineRule="auto"/>
        <w:jc w:val="both"/>
        <w:rPr>
          <w:rFonts w:ascii="Arial" w:hAnsi="Arial" w:cs="Arial"/>
          <w:lang w:val="sr-Latn-CS"/>
        </w:rPr>
      </w:pPr>
    </w:p>
    <w:p w14:paraId="1AB4D471"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7254CE">
      <w:pPr>
        <w:pStyle w:val="Heading2"/>
        <w:numPr>
          <w:ilvl w:val="1"/>
          <w:numId w:val="24"/>
        </w:numPr>
      </w:pPr>
      <w:bookmarkStart w:id="53" w:name="_Toc401959452"/>
      <w:bookmarkStart w:id="54" w:name="_Toc401959545"/>
      <w:r w:rsidRPr="00004B4A">
        <w:t>Eksploatacija mineralne sirovin</w:t>
      </w:r>
      <w:bookmarkEnd w:id="52"/>
      <w:r w:rsidRPr="00004B4A">
        <w:t>e</w:t>
      </w:r>
      <w:bookmarkEnd w:id="53"/>
      <w:bookmarkEnd w:id="54"/>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5" w:name="_Toc390549923"/>
      <w:bookmarkStart w:id="56" w:name="_Toc401959453"/>
      <w:bookmarkStart w:id="57" w:name="_Toc401959546"/>
      <w:bookmarkStart w:id="58" w:name="_Toc435529033"/>
      <w:bookmarkStart w:id="59" w:name="_Toc436124911"/>
      <w:r w:rsidRPr="00004B4A">
        <w:rPr>
          <w:rFonts w:ascii="Arial" w:hAnsi="Arial" w:cs="Arial"/>
          <w:sz w:val="22"/>
          <w:szCs w:val="22"/>
        </w:rPr>
        <w:t>Odobrenje za eksploataciju mineralne sirovine na eksploatacionom polju</w:t>
      </w:r>
      <w:bookmarkStart w:id="60" w:name="_Toc435529034"/>
      <w:bookmarkEnd w:id="55"/>
      <w:bookmarkEnd w:id="56"/>
      <w:bookmarkEnd w:id="57"/>
      <w:bookmarkEnd w:id="58"/>
      <w:bookmarkEnd w:id="59"/>
      <w:bookmarkEnd w:id="60"/>
    </w:p>
    <w:p w14:paraId="72B27F08" w14:textId="77777777" w:rsidR="0084036A" w:rsidRPr="00004B4A" w:rsidRDefault="0084036A" w:rsidP="007254CE">
      <w:pPr>
        <w:spacing w:after="0" w:line="240" w:lineRule="auto"/>
        <w:jc w:val="both"/>
        <w:rPr>
          <w:rFonts w:ascii="Arial" w:hAnsi="Arial" w:cs="Arial"/>
          <w:lang w:val="sr-Latn-CS"/>
        </w:rPr>
      </w:pPr>
    </w:p>
    <w:p w14:paraId="44C05BBA" w14:textId="77777777" w:rsidR="00E52914" w:rsidRPr="00004B4A"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lastRenderedPageBreak/>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Pr="00004B4A">
        <w:rPr>
          <w:rFonts w:ascii="Arial" w:hAnsi="Arial" w:cs="Arial"/>
          <w:lang w:val="sr-Latn-CS"/>
        </w:rPr>
        <w:t>na zahtjev investitora. Uz zahtjev se dostavlja i sljedeća dokumentacija:</w:t>
      </w: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1" w:name="_Toc390549924"/>
      <w:bookmarkStart w:id="62" w:name="_Toc401959454"/>
      <w:bookmarkStart w:id="63" w:name="_Toc401959547"/>
      <w:bookmarkStart w:id="64" w:name="_Toc435529035"/>
      <w:bookmarkStart w:id="65"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proofErr w:type="spellStart"/>
      <w:r w:rsidRPr="00004B4A">
        <w:rPr>
          <w:rFonts w:ascii="Arial" w:hAnsi="Arial" w:cs="Arial"/>
          <w:b/>
          <w:sz w:val="22"/>
          <w:szCs w:val="22"/>
        </w:rPr>
        <w:t>Odobrenje</w:t>
      </w:r>
      <w:proofErr w:type="spellEnd"/>
      <w:r w:rsidRPr="00004B4A">
        <w:rPr>
          <w:rFonts w:ascii="Arial" w:hAnsi="Arial" w:cs="Arial"/>
          <w:b/>
          <w:sz w:val="22"/>
          <w:szCs w:val="22"/>
        </w:rPr>
        <w:t xml:space="preserve"> za </w:t>
      </w:r>
      <w:proofErr w:type="spellStart"/>
      <w:r w:rsidRPr="00004B4A">
        <w:rPr>
          <w:rFonts w:ascii="Arial" w:hAnsi="Arial" w:cs="Arial"/>
          <w:b/>
          <w:sz w:val="22"/>
          <w:szCs w:val="22"/>
        </w:rPr>
        <w:t>izvođenje</w:t>
      </w:r>
      <w:proofErr w:type="spellEnd"/>
      <w:r w:rsidRPr="00004B4A">
        <w:rPr>
          <w:rFonts w:ascii="Arial" w:hAnsi="Arial" w:cs="Arial"/>
          <w:b/>
          <w:sz w:val="22"/>
          <w:szCs w:val="22"/>
        </w:rPr>
        <w:t xml:space="preserve"> </w:t>
      </w:r>
      <w:proofErr w:type="spellStart"/>
      <w:r w:rsidRPr="00004B4A">
        <w:rPr>
          <w:rFonts w:ascii="Arial" w:hAnsi="Arial" w:cs="Arial"/>
          <w:b/>
          <w:sz w:val="22"/>
          <w:szCs w:val="22"/>
        </w:rPr>
        <w:t>radova</w:t>
      </w:r>
      <w:proofErr w:type="spellEnd"/>
      <w:r w:rsidRPr="00004B4A">
        <w:rPr>
          <w:rFonts w:ascii="Arial" w:hAnsi="Arial" w:cs="Arial"/>
          <w:b/>
          <w:sz w:val="22"/>
          <w:szCs w:val="22"/>
        </w:rPr>
        <w:t xml:space="preserve"> po </w:t>
      </w:r>
      <w:proofErr w:type="spellStart"/>
      <w:r w:rsidRPr="00004B4A">
        <w:rPr>
          <w:rFonts w:ascii="Arial" w:hAnsi="Arial" w:cs="Arial"/>
          <w:b/>
          <w:sz w:val="22"/>
          <w:szCs w:val="22"/>
        </w:rPr>
        <w:t>rudarskom</w:t>
      </w:r>
      <w:proofErr w:type="spellEnd"/>
      <w:r w:rsidRPr="00004B4A">
        <w:rPr>
          <w:rFonts w:ascii="Arial" w:hAnsi="Arial" w:cs="Arial"/>
          <w:b/>
          <w:sz w:val="22"/>
          <w:szCs w:val="22"/>
        </w:rPr>
        <w:t xml:space="preserve"> </w:t>
      </w:r>
      <w:proofErr w:type="spellStart"/>
      <w:r w:rsidRPr="00004B4A">
        <w:rPr>
          <w:rFonts w:ascii="Arial" w:hAnsi="Arial" w:cs="Arial"/>
          <w:b/>
          <w:sz w:val="22"/>
          <w:szCs w:val="22"/>
        </w:rPr>
        <w:t>projektu</w:t>
      </w:r>
      <w:bookmarkEnd w:id="61"/>
      <w:bookmarkEnd w:id="62"/>
      <w:bookmarkEnd w:id="63"/>
      <w:bookmarkEnd w:id="64"/>
      <w:bookmarkEnd w:id="65"/>
      <w:proofErr w:type="spellEnd"/>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Za izgradnju rudarskih objekata i postrojenja dostavlja se i dokumentacija u skladu sa propisima o građenju u zavisnosti od vrste objekta i utvrđenih uslova za izradu tehničke dokumentacije, a </w:t>
      </w:r>
      <w:r w:rsidRPr="00004B4A">
        <w:rPr>
          <w:rFonts w:ascii="Arial" w:hAnsi="Arial" w:cs="Arial"/>
          <w:lang w:val="sr-Latn-CS"/>
        </w:rPr>
        <w:lastRenderedPageBreak/>
        <w:t>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6" w:name="_Toc390549925"/>
      <w:bookmarkStart w:id="67" w:name="_Toc401959455"/>
      <w:bookmarkStart w:id="68" w:name="_Toc401959548"/>
      <w:bookmarkStart w:id="69" w:name="_Toc435529036"/>
      <w:bookmarkStart w:id="70" w:name="_Toc436124913"/>
      <w:r w:rsidRPr="00004B4A">
        <w:rPr>
          <w:rFonts w:ascii="Arial" w:hAnsi="Arial" w:cs="Arial"/>
          <w:sz w:val="22"/>
          <w:szCs w:val="22"/>
        </w:rPr>
        <w:t>Odobrenje za upotrebu rudarskih objekata</w:t>
      </w:r>
      <w:bookmarkEnd w:id="66"/>
      <w:bookmarkEnd w:id="67"/>
      <w:bookmarkEnd w:id="68"/>
      <w:bookmarkEnd w:id="69"/>
      <w:bookmarkEnd w:id="70"/>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004B4A" w:rsidRDefault="00FE7737" w:rsidP="007254CE">
      <w:pPr>
        <w:spacing w:after="0" w:line="240" w:lineRule="auto"/>
        <w:jc w:val="both"/>
        <w:rPr>
          <w:rFonts w:ascii="Arial" w:hAnsi="Arial" w:cs="Arial"/>
          <w:lang w:val="sr-Latn-CS"/>
        </w:rPr>
      </w:pPr>
    </w:p>
    <w:p w14:paraId="0BFC2373" w14:textId="77777777" w:rsidR="003542EE" w:rsidRPr="00004B4A" w:rsidRDefault="003542EE" w:rsidP="007254CE">
      <w:pPr>
        <w:spacing w:after="0" w:line="240" w:lineRule="auto"/>
        <w:jc w:val="both"/>
        <w:rPr>
          <w:rFonts w:ascii="Arial" w:hAnsi="Arial" w:cs="Arial"/>
          <w:lang w:val="sr-Latn-CS"/>
        </w:rPr>
      </w:pPr>
    </w:p>
    <w:p w14:paraId="246A42AB" w14:textId="77777777" w:rsidR="00E52914" w:rsidRPr="003542EE" w:rsidRDefault="006C4D9F" w:rsidP="007254CE">
      <w:pPr>
        <w:pStyle w:val="Heading2"/>
        <w:numPr>
          <w:ilvl w:val="0"/>
          <w:numId w:val="24"/>
        </w:numPr>
        <w:rPr>
          <w:u w:val="none"/>
        </w:rPr>
      </w:pPr>
      <w:bookmarkStart w:id="71" w:name="_Toc390549926"/>
      <w:bookmarkStart w:id="72" w:name="_Toc401959456"/>
      <w:bookmarkStart w:id="73" w:name="_Toc401959549"/>
      <w:bookmarkStart w:id="74" w:name="_Toc435529037"/>
      <w:bookmarkStart w:id="75" w:name="_Toc436124914"/>
      <w:r w:rsidRPr="003542EE">
        <w:rPr>
          <w:u w:val="none"/>
        </w:rPr>
        <w:t>HRONOLOGIJA IZRADE TEHNIČKE DOKUMENTACIJE I PRIBAVLJANJE ODOBRENJA I SAGLASNOSTI ZA IZVOĐENJE RUDARSKIH RADOVA</w:t>
      </w:r>
      <w:bookmarkEnd w:id="71"/>
      <w:bookmarkEnd w:id="72"/>
      <w:bookmarkEnd w:id="73"/>
      <w:bookmarkEnd w:id="74"/>
      <w:bookmarkEnd w:id="75"/>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62A7BEE0"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585282D2" w14:textId="77777777" w:rsidR="00592620" w:rsidRPr="00004B4A"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004B4A"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6" w:name="_Toc390549927"/>
      <w:bookmarkStart w:id="77" w:name="_Toc401959457"/>
      <w:bookmarkStart w:id="78" w:name="_Toc401959550"/>
      <w:bookmarkStart w:id="79" w:name="_Toc435529038"/>
      <w:bookmarkStart w:id="80" w:name="_Toc436124915"/>
      <w:r w:rsidRPr="00004B4A">
        <w:rPr>
          <w:rFonts w:ascii="Arial" w:hAnsi="Arial" w:cs="Arial"/>
          <w:sz w:val="22"/>
          <w:szCs w:val="22"/>
        </w:rPr>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6"/>
      <w:bookmarkEnd w:id="77"/>
      <w:bookmarkEnd w:id="78"/>
      <w:bookmarkEnd w:id="79"/>
      <w:bookmarkEnd w:id="80"/>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1" w:name="_Toc390549928"/>
      <w:bookmarkStart w:id="82" w:name="_Toc401959458"/>
      <w:bookmarkStart w:id="83" w:name="_Toc401959551"/>
      <w:bookmarkStart w:id="84" w:name="_Toc435529039"/>
      <w:bookmarkStart w:id="85"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004B4A" w:rsidRDefault="0097368A" w:rsidP="007254CE">
      <w:pPr>
        <w:pStyle w:val="Heading2"/>
      </w:pPr>
      <w:r w:rsidRPr="00004B4A">
        <w:t>12.</w:t>
      </w:r>
      <w:r w:rsidR="005278F9" w:rsidRPr="00004B4A">
        <w:t xml:space="preserve">1 </w:t>
      </w:r>
      <w:r w:rsidR="00E52914" w:rsidRPr="00004B4A">
        <w:t>Dokumentacija koja se prilaže uz ponudu</w:t>
      </w:r>
      <w:bookmarkEnd w:id="81"/>
      <w:bookmarkEnd w:id="82"/>
      <w:bookmarkEnd w:id="83"/>
      <w:bookmarkEnd w:id="84"/>
      <w:bookmarkEnd w:id="85"/>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proofErr w:type="spellStart"/>
      <w:r w:rsidRPr="00004B4A">
        <w:rPr>
          <w:rFonts w:ascii="Arial" w:eastAsia="Calibri" w:hAnsi="Arial" w:cs="Arial"/>
          <w:kern w:val="0"/>
        </w:rPr>
        <w:t>nepodobni</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učestvuju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javnom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nadmetanju</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koncesija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ponuđači</w:t>
      </w:r>
      <w:proofErr w:type="spellEnd"/>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nad</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pokrenut</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postupak</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stečaja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w:t>
      </w:r>
      <w:proofErr w:type="spellEnd"/>
      <w:r w:rsidRPr="00004B4A">
        <w:rPr>
          <w:rFonts w:ascii="Arial" w:eastAsia="Calibri" w:hAnsi="Arial" w:cs="Arial"/>
          <w:kern w:val="0"/>
        </w:rPr>
        <w:t xml:space="preserve"> se </w:t>
      </w:r>
      <w:proofErr w:type="spellStart"/>
      <w:r w:rsidRPr="00004B4A">
        <w:rPr>
          <w:rFonts w:ascii="Arial" w:eastAsia="Calibri" w:hAnsi="Arial" w:cs="Arial"/>
          <w:kern w:val="0"/>
        </w:rPr>
        <w:t>uređuje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stečaj</w:t>
      </w:r>
      <w:proofErr w:type="spellEnd"/>
      <w:r w:rsidRPr="00004B4A">
        <w:rPr>
          <w:rFonts w:ascii="Arial" w:eastAsia="Calibri" w:hAnsi="Arial" w:cs="Arial"/>
          <w:kern w:val="0"/>
        </w:rPr>
        <w:t>;</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 xml:space="preserve">koji </w:t>
      </w:r>
      <w:proofErr w:type="spellStart"/>
      <w:r w:rsidRPr="00004B4A">
        <w:rPr>
          <w:rFonts w:ascii="Arial" w:eastAsia="Calibri" w:hAnsi="Arial" w:cs="Arial"/>
          <w:kern w:val="0"/>
        </w:rPr>
        <w:t>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pravosnažnom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presudom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osuđeni</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krivično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djelo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stvaranje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organizacije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prevare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terorističko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učestvovanje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stranim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oružanim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formacijama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novca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ljudima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maloljetnim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radi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usvojenja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zasnivanje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ropskog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prevoz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ropskom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položaju</w:t>
      </w:r>
      <w:proofErr w:type="spellEnd"/>
      <w:r w:rsidRPr="00004B4A">
        <w:rPr>
          <w:rFonts w:ascii="Arial" w:eastAsia="Calibri" w:hAnsi="Arial" w:cs="Arial"/>
          <w:kern w:val="0"/>
        </w:rPr>
        <w:t>;</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lastRenderedPageBreak/>
        <w:t xml:space="preserve">koji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neizmirene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obaveze</w:t>
      </w:r>
      <w:proofErr w:type="spellEnd"/>
      <w:r w:rsidRPr="00004B4A">
        <w:rPr>
          <w:rFonts w:ascii="Arial" w:eastAsia="Calibri" w:hAnsi="Arial" w:cs="Arial"/>
          <w:kern w:val="0"/>
        </w:rPr>
        <w:t xml:space="preserve"> po </w:t>
      </w:r>
      <w:proofErr w:type="spellStart"/>
      <w:r w:rsidRPr="00004B4A">
        <w:rPr>
          <w:rFonts w:ascii="Arial" w:eastAsia="Calibri" w:hAnsi="Arial" w:cs="Arial"/>
          <w:kern w:val="0"/>
        </w:rPr>
        <w:t>osnovu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svih</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propisima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sjedišta</w:t>
      </w:r>
      <w:proofErr w:type="spellEnd"/>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zbog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neispunjavanja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raskinut</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ugovor</w:t>
      </w:r>
      <w:proofErr w:type="spellEnd"/>
      <w:r w:rsidRPr="00004B4A">
        <w:rPr>
          <w:rFonts w:ascii="Arial" w:eastAsia="Calibri" w:hAnsi="Arial" w:cs="Arial"/>
          <w:kern w:val="0"/>
        </w:rPr>
        <w:t xml:space="preserve"> o </w:t>
      </w:r>
      <w:proofErr w:type="spellStart"/>
      <w:r w:rsidRPr="00004B4A">
        <w:rPr>
          <w:rFonts w:ascii="Arial" w:eastAsia="Calibri" w:hAnsi="Arial" w:cs="Arial"/>
          <w:kern w:val="0"/>
        </w:rPr>
        <w:t>koncesiji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zaključen</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ovim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zakonom</w:t>
      </w:r>
      <w:proofErr w:type="spellEnd"/>
      <w:r w:rsidRPr="00004B4A">
        <w:rPr>
          <w:rFonts w:ascii="Arial" w:eastAsia="Calibri" w:hAnsi="Arial" w:cs="Arial"/>
          <w:kern w:val="0"/>
        </w:rPr>
        <w:t>;</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 xml:space="preserve">koji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obaveze</w:t>
      </w:r>
      <w:proofErr w:type="spellEnd"/>
      <w:r w:rsidRPr="00004B4A">
        <w:rPr>
          <w:rFonts w:ascii="Arial" w:eastAsia="Calibri" w:hAnsi="Arial" w:cs="Arial"/>
          <w:kern w:val="0"/>
        </w:rPr>
        <w:t xml:space="preserve"> po </w:t>
      </w:r>
      <w:proofErr w:type="spellStart"/>
      <w:r w:rsidRPr="00004B4A">
        <w:rPr>
          <w:rFonts w:ascii="Arial" w:eastAsia="Calibri" w:hAnsi="Arial" w:cs="Arial"/>
          <w:kern w:val="0"/>
        </w:rPr>
        <w:t>osnovu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kazni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izrečenih</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krivičnom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prekršajnom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postupku</w:t>
      </w:r>
      <w:proofErr w:type="spellEnd"/>
      <w:r w:rsidRPr="00004B4A">
        <w:rPr>
          <w:rFonts w:ascii="Arial" w:eastAsia="Calibri" w:hAnsi="Arial" w:cs="Arial"/>
          <w:kern w:val="0"/>
        </w:rPr>
        <w:t>;</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čiji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podaci</w:t>
      </w:r>
      <w:proofErr w:type="spellEnd"/>
      <w:r w:rsidRPr="00004B4A">
        <w:rPr>
          <w:rFonts w:ascii="Arial" w:eastAsia="Calibri" w:hAnsi="Arial" w:cs="Arial"/>
          <w:kern w:val="0"/>
        </w:rPr>
        <w:t xml:space="preserve"> o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svojini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finansijskim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fiskalnim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evidencijama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kojoj</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prebivalište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nijesu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dostupni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nadležnim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Crne</w:t>
      </w:r>
      <w:proofErr w:type="spellEnd"/>
      <w:r w:rsidRPr="00004B4A">
        <w:rPr>
          <w:rFonts w:ascii="Arial" w:eastAsia="Calibri" w:hAnsi="Arial" w:cs="Arial"/>
          <w:kern w:val="0"/>
        </w:rPr>
        <w:t xml:space="preserve"> Gore;</w:t>
      </w:r>
    </w:p>
    <w:p w14:paraId="36C63C3A" w14:textId="1BBB8250" w:rsidR="0052524F" w:rsidRPr="005A61E7" w:rsidRDefault="0052524F" w:rsidP="007254CE">
      <w:pPr>
        <w:pStyle w:val="ListParagraph"/>
        <w:numPr>
          <w:ilvl w:val="0"/>
          <w:numId w:val="26"/>
        </w:numPr>
        <w:spacing w:after="0" w:line="240" w:lineRule="auto"/>
        <w:jc w:val="both"/>
        <w:rPr>
          <w:rFonts w:ascii="Arial" w:hAnsi="Arial" w:cs="Arial"/>
          <w:noProof/>
        </w:rPr>
      </w:pPr>
      <w:proofErr w:type="spellStart"/>
      <w:r w:rsidRPr="00004B4A">
        <w:rPr>
          <w:rFonts w:ascii="Arial" w:eastAsia="Calibri" w:hAnsi="Arial" w:cs="Arial"/>
          <w:kern w:val="0"/>
        </w:rPr>
        <w:t>čije</w:t>
      </w:r>
      <w:proofErr w:type="spellEnd"/>
      <w:r w:rsidRPr="00004B4A">
        <w:rPr>
          <w:rFonts w:ascii="Arial" w:eastAsia="Calibri" w:hAnsi="Arial" w:cs="Arial"/>
          <w:kern w:val="0"/>
        </w:rPr>
        <w:t xml:space="preserve"> je </w:t>
      </w:r>
      <w:proofErr w:type="spellStart"/>
      <w:r w:rsidRPr="00004B4A">
        <w:rPr>
          <w:rFonts w:ascii="Arial" w:eastAsia="Calibri" w:hAnsi="Arial" w:cs="Arial"/>
          <w:kern w:val="0"/>
        </w:rPr>
        <w:t>odgovorno</w:t>
      </w:r>
      <w:proofErr w:type="spellEnd"/>
      <w:r w:rsidRPr="00004B4A">
        <w:rPr>
          <w:rFonts w:ascii="Arial" w:eastAsia="Calibri" w:hAnsi="Arial" w:cs="Arial"/>
          <w:kern w:val="0"/>
        </w:rPr>
        <w:t xml:space="preserve"> lice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njegov</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zakonski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zastupnik</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pravosnažno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osuđivan</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krivično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djelo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tačke</w:t>
      </w:r>
      <w:proofErr w:type="spellEnd"/>
      <w:r w:rsidRPr="00004B4A">
        <w:rPr>
          <w:rFonts w:ascii="Arial" w:eastAsia="Calibri" w:hAnsi="Arial" w:cs="Arial"/>
          <w:kern w:val="0"/>
        </w:rPr>
        <w:t xml:space="preserve"> 2 </w:t>
      </w:r>
      <w:proofErr w:type="spellStart"/>
      <w:r w:rsidRPr="00004B4A">
        <w:rPr>
          <w:rFonts w:ascii="Arial" w:eastAsia="Calibri" w:hAnsi="Arial" w:cs="Arial"/>
          <w:kern w:val="0"/>
        </w:rPr>
        <w:t>ovog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stava</w:t>
      </w:r>
      <w:proofErr w:type="spellEnd"/>
      <w:r w:rsidRPr="00004B4A">
        <w:rPr>
          <w:rFonts w:ascii="Arial" w:eastAsia="Calibri" w:hAnsi="Arial" w:cs="Arial"/>
          <w:kern w:val="0"/>
        </w:rPr>
        <w:t>.</w:t>
      </w:r>
    </w:p>
    <w:p w14:paraId="038309A3" w14:textId="77777777" w:rsidR="005A61E7" w:rsidRPr="00004B4A" w:rsidRDefault="005A61E7" w:rsidP="005A61E7">
      <w:pPr>
        <w:pStyle w:val="ListParagraph"/>
        <w:spacing w:after="0" w:line="240" w:lineRule="auto"/>
        <w:jc w:val="both"/>
        <w:rPr>
          <w:rFonts w:ascii="Arial" w:hAnsi="Arial" w:cs="Arial"/>
          <w:noProof/>
        </w:rPr>
      </w:pPr>
    </w:p>
    <w:p w14:paraId="6E013E55" w14:textId="55156C22" w:rsidR="0052524F" w:rsidRDefault="0052524F" w:rsidP="007254CE">
      <w:pPr>
        <w:suppressAutoHyphens w:val="0"/>
        <w:autoSpaceDE w:val="0"/>
        <w:autoSpaceDN w:val="0"/>
        <w:adjustRightInd w:val="0"/>
        <w:spacing w:after="0" w:line="240" w:lineRule="auto"/>
        <w:jc w:val="both"/>
        <w:rPr>
          <w:rFonts w:ascii="Arial" w:eastAsia="Calibri" w:hAnsi="Arial" w:cs="Arial"/>
          <w:kern w:val="0"/>
        </w:rPr>
      </w:pPr>
      <w:proofErr w:type="spellStart"/>
      <w:r w:rsidRPr="00004B4A">
        <w:rPr>
          <w:rFonts w:ascii="Arial" w:eastAsia="Calibri" w:hAnsi="Arial" w:cs="Arial"/>
          <w:kern w:val="0"/>
        </w:rPr>
        <w:t>Izuzetno</w:t>
      </w:r>
      <w:proofErr w:type="spellEnd"/>
      <w:r w:rsidRPr="00004B4A">
        <w:rPr>
          <w:rFonts w:ascii="Arial" w:eastAsia="Calibri" w:hAnsi="Arial" w:cs="Arial"/>
          <w:kern w:val="0"/>
        </w:rPr>
        <w:t xml:space="preserve"> </w:t>
      </w:r>
      <w:r w:rsidR="00F06D7A">
        <w:rPr>
          <w:rFonts w:ascii="Arial" w:eastAsia="Calibri" w:hAnsi="Arial" w:cs="Arial"/>
          <w:kern w:val="0"/>
        </w:rPr>
        <w:t xml:space="preserve">od </w:t>
      </w:r>
      <w:proofErr w:type="spellStart"/>
      <w:r w:rsidRPr="00004B4A">
        <w:rPr>
          <w:rFonts w:ascii="Arial" w:eastAsia="Calibri" w:hAnsi="Arial" w:cs="Arial"/>
          <w:kern w:val="0"/>
        </w:rPr>
        <w:t>tačke</w:t>
      </w:r>
      <w:proofErr w:type="spellEnd"/>
      <w:r w:rsidRPr="00004B4A">
        <w:rPr>
          <w:rFonts w:ascii="Arial" w:eastAsia="Calibri" w:hAnsi="Arial" w:cs="Arial"/>
          <w:kern w:val="0"/>
        </w:rPr>
        <w:t xml:space="preserve"> 3 </w:t>
      </w:r>
      <w:proofErr w:type="spellStart"/>
      <w:r w:rsidRPr="00004B4A">
        <w:rPr>
          <w:rFonts w:ascii="Arial" w:eastAsia="Calibri" w:hAnsi="Arial" w:cs="Arial"/>
          <w:kern w:val="0"/>
        </w:rPr>
        <w:t>ovog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člana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neće</w:t>
      </w:r>
      <w:proofErr w:type="spellEnd"/>
      <w:r w:rsidRPr="00004B4A">
        <w:rPr>
          <w:rFonts w:ascii="Arial" w:eastAsia="Calibri" w:hAnsi="Arial" w:cs="Arial"/>
          <w:kern w:val="0"/>
        </w:rPr>
        <w:t xml:space="preserve"> se </w:t>
      </w:r>
      <w:proofErr w:type="spellStart"/>
      <w:r w:rsidRPr="00004B4A">
        <w:rPr>
          <w:rFonts w:ascii="Arial" w:eastAsia="Calibri" w:hAnsi="Arial" w:cs="Arial"/>
          <w:kern w:val="0"/>
        </w:rPr>
        <w:t>smatrati</w:t>
      </w:r>
      <w:proofErr w:type="spellEnd"/>
      <w:r w:rsidRPr="00004B4A">
        <w:rPr>
          <w:rFonts w:ascii="Arial" w:eastAsia="Calibri" w:hAnsi="Arial" w:cs="Arial"/>
          <w:kern w:val="0"/>
        </w:rPr>
        <w:t xml:space="preserve"> da je </w:t>
      </w:r>
      <w:proofErr w:type="spellStart"/>
      <w:r w:rsidRPr="00004B4A">
        <w:rPr>
          <w:rFonts w:ascii="Arial" w:eastAsia="Calibri" w:hAnsi="Arial" w:cs="Arial"/>
          <w:kern w:val="0"/>
        </w:rPr>
        <w:t>ponuđač</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nepodoban</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učestvuje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javnom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nadmetanju</w:t>
      </w:r>
      <w:proofErr w:type="spellEnd"/>
      <w:r w:rsidRPr="00004B4A">
        <w:rPr>
          <w:rFonts w:ascii="Arial" w:eastAsia="Calibri" w:hAnsi="Arial" w:cs="Arial"/>
          <w:kern w:val="0"/>
        </w:rPr>
        <w:t xml:space="preserve"> za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koncesija</w:t>
      </w:r>
      <w:proofErr w:type="spellEnd"/>
      <w:r w:rsidRPr="00004B4A">
        <w:rPr>
          <w:rFonts w:ascii="Arial" w:eastAsia="Calibri" w:hAnsi="Arial" w:cs="Arial"/>
          <w:kern w:val="0"/>
        </w:rPr>
        <w:t xml:space="preserve">, koji </w:t>
      </w:r>
      <w:proofErr w:type="spellStart"/>
      <w:r w:rsidRPr="00004B4A">
        <w:rPr>
          <w:rFonts w:ascii="Arial" w:eastAsia="Calibri" w:hAnsi="Arial" w:cs="Arial"/>
          <w:kern w:val="0"/>
        </w:rPr>
        <w:t>dokaže</w:t>
      </w:r>
      <w:proofErr w:type="spellEnd"/>
      <w:r w:rsidRPr="00004B4A">
        <w:rPr>
          <w:rFonts w:ascii="Arial" w:eastAsia="Calibri" w:hAnsi="Arial" w:cs="Arial"/>
          <w:kern w:val="0"/>
        </w:rPr>
        <w:t xml:space="preserve"> da </w:t>
      </w:r>
      <w:proofErr w:type="spellStart"/>
      <w:r w:rsidRPr="00004B4A">
        <w:rPr>
          <w:rFonts w:ascii="Arial" w:eastAsia="Calibri" w:hAnsi="Arial" w:cs="Arial"/>
          <w:kern w:val="0"/>
        </w:rPr>
        <w:t>nema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obavezu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odnosno</w:t>
      </w:r>
      <w:proofErr w:type="spellEnd"/>
      <w:r w:rsidRPr="00004B4A">
        <w:rPr>
          <w:rFonts w:ascii="Arial" w:eastAsia="Calibri" w:hAnsi="Arial" w:cs="Arial"/>
          <w:kern w:val="0"/>
        </w:rPr>
        <w:t xml:space="preserve"> da mu je </w:t>
      </w:r>
      <w:proofErr w:type="spellStart"/>
      <w:r w:rsidRPr="00004B4A">
        <w:rPr>
          <w:rFonts w:ascii="Arial" w:eastAsia="Calibri" w:hAnsi="Arial" w:cs="Arial"/>
          <w:kern w:val="0"/>
        </w:rPr>
        <w:t>odobreno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odlaganje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plaćanja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koje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blagovremeno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izvršava</w:t>
      </w:r>
      <w:proofErr w:type="spellEnd"/>
      <w:r w:rsidRPr="00004B4A">
        <w:rPr>
          <w:rFonts w:ascii="Arial" w:eastAsia="Calibri" w:hAnsi="Arial" w:cs="Arial"/>
          <w:kern w:val="0"/>
        </w:rPr>
        <w:t>.</w:t>
      </w:r>
    </w:p>
    <w:p w14:paraId="31E23DDA" w14:textId="77777777" w:rsidR="005A61E7" w:rsidRPr="00004B4A" w:rsidRDefault="005A61E7" w:rsidP="007254CE">
      <w:pPr>
        <w:suppressAutoHyphens w:val="0"/>
        <w:autoSpaceDE w:val="0"/>
        <w:autoSpaceDN w:val="0"/>
        <w:adjustRightInd w:val="0"/>
        <w:spacing w:after="0" w:line="240" w:lineRule="auto"/>
        <w:jc w:val="both"/>
        <w:rPr>
          <w:rFonts w:ascii="Arial" w:eastAsia="Calibri" w:hAnsi="Arial" w:cs="Arial"/>
          <w:kern w:val="0"/>
        </w:rPr>
      </w:pPr>
    </w:p>
    <w:p w14:paraId="40C124BC"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proofErr w:type="spellStart"/>
      <w:r w:rsidRPr="00004B4A">
        <w:rPr>
          <w:rFonts w:ascii="Arial" w:eastAsia="Calibri" w:hAnsi="Arial" w:cs="Arial"/>
          <w:kern w:val="0"/>
        </w:rPr>
        <w:t>kriminalnog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stvaranje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kriminalne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organizacije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davanje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primanje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mita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privrednom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poslovanju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prevare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finansiranje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terorizma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terorističko</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udruživanje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učestvovanje</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stranim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oružanim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formacijama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pranja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novca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ljudima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trgovine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maloljetnim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radi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usvojenja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zasnivanje</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ropskog</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odnosa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prevoz</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lica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ropskom</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položaju</w:t>
      </w:r>
      <w:proofErr w:type="spellEnd"/>
      <w:r w:rsidRPr="00004B4A">
        <w:rPr>
          <w:rFonts w:ascii="Arial" w:eastAsia="Calibri" w:hAnsi="Arial" w:cs="Arial"/>
          <w:kern w:val="0"/>
        </w:rPr>
        <w:t xml:space="preserve">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2F5D6DCE" w14:textId="6CC75705"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je ponuđač izmirio obaveze po osnovu svih </w:t>
      </w:r>
      <w:proofErr w:type="spellStart"/>
      <w:r w:rsidRPr="00004B4A">
        <w:rPr>
          <w:rFonts w:ascii="Arial" w:eastAsia="Calibri" w:hAnsi="Arial" w:cs="Arial"/>
          <w:kern w:val="0"/>
        </w:rPr>
        <w:t>poreza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doprinosa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skladu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propisima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država</w:t>
      </w:r>
      <w:proofErr w:type="spellEnd"/>
      <w:r w:rsidRPr="00004B4A">
        <w:rPr>
          <w:rFonts w:ascii="Arial" w:eastAsia="Calibri" w:hAnsi="Arial" w:cs="Arial"/>
          <w:kern w:val="0"/>
        </w:rPr>
        <w:t xml:space="preserve"> u </w:t>
      </w:r>
      <w:proofErr w:type="spellStart"/>
      <w:r w:rsidRPr="00004B4A">
        <w:rPr>
          <w:rFonts w:ascii="Arial" w:eastAsia="Calibri" w:hAnsi="Arial" w:cs="Arial"/>
          <w:kern w:val="0"/>
        </w:rPr>
        <w:t>kojima</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imaju</w:t>
      </w:r>
      <w:proofErr w:type="spellEnd"/>
      <w:r w:rsidRPr="00004B4A">
        <w:rPr>
          <w:rFonts w:ascii="Arial" w:eastAsia="Calibri" w:hAnsi="Arial" w:cs="Arial"/>
          <w:kern w:val="0"/>
        </w:rPr>
        <w:t xml:space="preserve"> </w:t>
      </w:r>
      <w:proofErr w:type="spellStart"/>
      <w:r w:rsidRPr="00004B4A">
        <w:rPr>
          <w:rFonts w:ascii="Arial" w:eastAsia="Calibri" w:hAnsi="Arial" w:cs="Arial"/>
          <w:kern w:val="0"/>
        </w:rPr>
        <w:t>sjedišta</w:t>
      </w:r>
      <w:proofErr w:type="spellEnd"/>
      <w:r w:rsidRPr="00004B4A">
        <w:rPr>
          <w:rFonts w:ascii="Arial" w:eastAsia="Times New Roman" w:hAnsi="Arial" w:cs="Arial"/>
          <w:noProof/>
        </w:rPr>
        <w:t xml:space="preserve">– </w:t>
      </w:r>
      <w:r w:rsidRPr="00004B4A">
        <w:rPr>
          <w:rFonts w:ascii="Arial" w:eastAsia="Times New Roman" w:hAnsi="Arial" w:cs="Arial"/>
          <w:noProof/>
          <w:u w:val="single"/>
        </w:rPr>
        <w:t>dokaz/e izdaje/u poreski organ/i uprave na državnom i lokalnom nivou;</w:t>
      </w:r>
    </w:p>
    <w:p w14:paraId="2E4A5114"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2783F1CE" w:rsidR="0052524F" w:rsidRPr="003542EE"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 .</w:t>
      </w:r>
    </w:p>
    <w:p w14:paraId="0BE0229D" w14:textId="77777777" w:rsidR="003542EE" w:rsidRPr="00004B4A" w:rsidRDefault="003542EE" w:rsidP="003542EE">
      <w:pPr>
        <w:pStyle w:val="ListParagraph"/>
        <w:suppressAutoHyphens w:val="0"/>
        <w:spacing w:after="0" w:line="240" w:lineRule="auto"/>
        <w:contextualSpacing w:val="0"/>
        <w:jc w:val="both"/>
        <w:rPr>
          <w:rFonts w:ascii="Arial" w:eastAsia="Times New Roman" w:hAnsi="Arial" w:cs="Arial"/>
          <w:noProof/>
        </w:rPr>
      </w:pPr>
    </w:p>
    <w:p w14:paraId="6D1453BA" w14:textId="008ECB84" w:rsidR="0052524F" w:rsidRPr="0019514F" w:rsidRDefault="0052524F" w:rsidP="007254CE">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3FDCF8B0" w14:textId="4F6BA471" w:rsidR="0052524F" w:rsidRDefault="0052524F" w:rsidP="007254CE">
      <w:pPr>
        <w:spacing w:after="0" w:line="240" w:lineRule="auto"/>
        <w:jc w:val="both"/>
        <w:rPr>
          <w:rFonts w:ascii="Arial" w:hAnsi="Arial" w:cs="Arial"/>
          <w:lang w:val="sr-Latn-CS"/>
        </w:rPr>
      </w:pPr>
      <w:r w:rsidRPr="00004B4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F90717E" w14:textId="77777777" w:rsidR="005A61E7" w:rsidRPr="00004B4A" w:rsidRDefault="005A61E7" w:rsidP="007254CE">
      <w:pPr>
        <w:spacing w:after="0" w:line="240" w:lineRule="auto"/>
        <w:jc w:val="both"/>
        <w:rPr>
          <w:rFonts w:ascii="Arial" w:hAnsi="Arial" w:cs="Arial"/>
          <w:lang w:val="sr-Latn-CS"/>
        </w:rPr>
      </w:pPr>
    </w:p>
    <w:p w14:paraId="168D63FB" w14:textId="309C8C0C" w:rsidR="006610CA" w:rsidRDefault="0052524F" w:rsidP="007254CE">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7254CE">
      <w:pPr>
        <w:pStyle w:val="Default"/>
        <w:jc w:val="both"/>
        <w:rPr>
          <w:rFonts w:ascii="Arial" w:hAnsi="Arial" w:cs="Arial"/>
          <w:color w:val="auto"/>
          <w:sz w:val="22"/>
          <w:szCs w:val="22"/>
          <w:lang w:val="sr-Latn-CS"/>
        </w:rPr>
      </w:pPr>
    </w:p>
    <w:p w14:paraId="186628C3"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3542EE">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7254CE">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lastRenderedPageBreak/>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7254CE">
      <w:pPr>
        <w:pStyle w:val="Default"/>
        <w:jc w:val="both"/>
        <w:rPr>
          <w:rFonts w:ascii="Arial" w:hAnsi="Arial" w:cs="Arial"/>
          <w:color w:val="auto"/>
          <w:sz w:val="22"/>
          <w:szCs w:val="22"/>
          <w:lang w:val="sr-Latn-CS"/>
        </w:rPr>
      </w:pPr>
    </w:p>
    <w:p w14:paraId="5104EFC7" w14:textId="7CCB3D69" w:rsidR="0052524F" w:rsidRPr="00004B4A" w:rsidRDefault="0052524F" w:rsidP="007254CE">
      <w:pPr>
        <w:spacing w:after="0" w:line="240" w:lineRule="auto"/>
        <w:jc w:val="both"/>
        <w:rPr>
          <w:rFonts w:ascii="Arial" w:hAnsi="Arial" w:cs="Arial"/>
          <w:noProof/>
        </w:rPr>
      </w:pPr>
      <w:r w:rsidRPr="00004B4A">
        <w:rPr>
          <w:rFonts w:ascii="Arial" w:hAnsi="Arial" w:cs="Arial"/>
          <w:noProof/>
        </w:rPr>
        <w:t>Pored navedenog, ponuđač je dužan dostaviti i:</w:t>
      </w:r>
    </w:p>
    <w:p w14:paraId="456F735E"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0E6A87BD" w14:textId="77777777" w:rsidR="0052524F" w:rsidRDefault="0052524F" w:rsidP="007254CE">
      <w:pPr>
        <w:pStyle w:val="Default"/>
        <w:jc w:val="both"/>
        <w:rPr>
          <w:rFonts w:ascii="Arial" w:hAnsi="Arial" w:cs="Arial"/>
          <w:sz w:val="22"/>
          <w:szCs w:val="22"/>
          <w:lang w:val="sr-Latn-CS"/>
        </w:rPr>
      </w:pPr>
    </w:p>
    <w:p w14:paraId="27E6176F" w14:textId="77777777" w:rsidR="0052524F" w:rsidRPr="00004B4A" w:rsidRDefault="0052524F" w:rsidP="007254CE">
      <w:pPr>
        <w:pStyle w:val="Heading2"/>
      </w:pPr>
      <w:r w:rsidRPr="00004B4A">
        <w:t>12.2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7254CE">
      <w:pPr>
        <w:spacing w:after="0" w:line="240" w:lineRule="auto"/>
        <w:jc w:val="both"/>
        <w:rPr>
          <w:rFonts w:ascii="Arial" w:eastAsia="Times New Roman" w:hAnsi="Arial" w:cs="Arial"/>
          <w:lang w:val="sr-Latn-CS"/>
        </w:rPr>
      </w:pPr>
    </w:p>
    <w:p w14:paraId="6EB40C44"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pravila prema kojima se Javni oglas sprovodi;</w:t>
      </w:r>
    </w:p>
    <w:p w14:paraId="382A4E51" w14:textId="3B0449D7" w:rsidR="0052524F" w:rsidRPr="004554D7"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5A61E7">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5A61E7">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5A61E7">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5A61E7">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2A886CFA" w14:textId="77777777" w:rsidR="0052524F" w:rsidRPr="00004B4A" w:rsidRDefault="0052524F" w:rsidP="005A61E7">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004B4A" w:rsidRDefault="0052524F" w:rsidP="005A61E7">
      <w:pPr>
        <w:suppressAutoHyphens w:val="0"/>
        <w:spacing w:after="0" w:line="240" w:lineRule="auto"/>
        <w:ind w:left="720"/>
        <w:jc w:val="both"/>
        <w:rPr>
          <w:rFonts w:ascii="Arial" w:hAnsi="Arial" w:cs="Arial"/>
          <w:lang w:val="sr-Latn-CS"/>
        </w:rPr>
      </w:pPr>
    </w:p>
    <w:p w14:paraId="23517626" w14:textId="77777777" w:rsidR="0052524F" w:rsidRPr="00004B4A" w:rsidRDefault="0052524F" w:rsidP="005A61E7">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6" w:name="_Toc390549930"/>
    </w:p>
    <w:p w14:paraId="072E5664" w14:textId="77777777" w:rsidR="0052524F" w:rsidRPr="00004B4A" w:rsidRDefault="0052524F" w:rsidP="005A61E7">
      <w:pPr>
        <w:spacing w:after="0" w:line="240" w:lineRule="auto"/>
        <w:jc w:val="both"/>
        <w:rPr>
          <w:rFonts w:ascii="Arial" w:eastAsia="Times New Roman" w:hAnsi="Arial" w:cs="Arial"/>
          <w:lang w:val="sr-Latn-CS"/>
        </w:rPr>
      </w:pPr>
    </w:p>
    <w:p w14:paraId="17B4F1DA" w14:textId="77777777" w:rsidR="0052524F" w:rsidRPr="00004B4A" w:rsidRDefault="0052524F" w:rsidP="005A61E7">
      <w:pPr>
        <w:pStyle w:val="Heading2"/>
      </w:pPr>
      <w:bookmarkStart w:id="87" w:name="_Toc401959460"/>
      <w:bookmarkStart w:id="88" w:name="_Toc401959553"/>
      <w:bookmarkStart w:id="89" w:name="_Toc435529041"/>
      <w:bookmarkStart w:id="90" w:name="_Toc436124918"/>
      <w:r w:rsidRPr="00004B4A">
        <w:t>12.3 Ugovor o koncesiji</w:t>
      </w:r>
      <w:bookmarkEnd w:id="86"/>
      <w:bookmarkEnd w:id="87"/>
      <w:bookmarkEnd w:id="88"/>
      <w:bookmarkEnd w:id="89"/>
      <w:bookmarkEnd w:id="90"/>
    </w:p>
    <w:p w14:paraId="13AF0287" w14:textId="77777777" w:rsidR="0052524F" w:rsidRPr="00004B4A" w:rsidRDefault="0052524F" w:rsidP="005A61E7">
      <w:pPr>
        <w:spacing w:after="0" w:line="240" w:lineRule="auto"/>
        <w:rPr>
          <w:rFonts w:ascii="Arial" w:hAnsi="Arial" w:cs="Arial"/>
          <w:lang w:val="sr-Latn-CS" w:eastAsia="x-none"/>
        </w:rPr>
      </w:pPr>
    </w:p>
    <w:p w14:paraId="3C00AFB6" w14:textId="77777777" w:rsidR="0052524F" w:rsidRPr="00004B4A" w:rsidRDefault="0052524F" w:rsidP="005A61E7">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5A61E7">
      <w:pPr>
        <w:spacing w:after="0" w:line="240" w:lineRule="auto"/>
        <w:jc w:val="both"/>
        <w:rPr>
          <w:rFonts w:ascii="Arial" w:hAnsi="Arial" w:cs="Arial"/>
          <w:lang w:val="sr-Latn-CS"/>
        </w:rPr>
      </w:pPr>
    </w:p>
    <w:p w14:paraId="31AE0DC9" w14:textId="7D53A7AA" w:rsidR="00C545B5" w:rsidRDefault="0052524F" w:rsidP="005A61E7">
      <w:pPr>
        <w:pStyle w:val="Heading2"/>
      </w:pPr>
      <w:bookmarkStart w:id="91" w:name="_Toc390549931"/>
      <w:bookmarkStart w:id="92" w:name="_Toc401959461"/>
      <w:bookmarkStart w:id="93" w:name="_Toc401959554"/>
      <w:bookmarkStart w:id="94" w:name="_Toc435529042"/>
      <w:bookmarkStart w:id="95" w:name="_Toc436124919"/>
      <w:r w:rsidRPr="00004B4A">
        <w:t>12.4 Uputstvo za podnošenje ponuda</w:t>
      </w:r>
      <w:bookmarkEnd w:id="91"/>
      <w:bookmarkEnd w:id="92"/>
      <w:bookmarkEnd w:id="93"/>
      <w:bookmarkEnd w:id="94"/>
      <w:bookmarkEnd w:id="95"/>
    </w:p>
    <w:p w14:paraId="0D54282F" w14:textId="77777777" w:rsidR="00C545B5" w:rsidRPr="00C545B5" w:rsidRDefault="00C545B5" w:rsidP="005A61E7">
      <w:pPr>
        <w:spacing w:after="0" w:line="240" w:lineRule="auto"/>
        <w:rPr>
          <w:lang w:val="sr-Latn-CS"/>
        </w:rPr>
      </w:pPr>
    </w:p>
    <w:p w14:paraId="641581AA" w14:textId="77777777" w:rsidR="0052524F" w:rsidRPr="00004B4A" w:rsidRDefault="0052524F" w:rsidP="005A61E7">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11BADF69" w:rsidR="0052524F" w:rsidRDefault="005E683D" w:rsidP="005A61E7">
      <w:pPr>
        <w:tabs>
          <w:tab w:val="left" w:pos="6380"/>
        </w:tabs>
        <w:spacing w:after="0" w:line="240" w:lineRule="auto"/>
        <w:jc w:val="both"/>
        <w:rPr>
          <w:rFonts w:ascii="Arial" w:hAnsi="Arial" w:cs="Arial"/>
          <w:lang w:val="sr-Latn-CS"/>
        </w:rPr>
      </w:pPr>
      <w:r>
        <w:rPr>
          <w:rFonts w:ascii="Arial" w:hAnsi="Arial" w:cs="Arial"/>
          <w:lang w:val="sr-Latn-CS"/>
        </w:rPr>
        <w:tab/>
      </w:r>
    </w:p>
    <w:p w14:paraId="5D31F756" w14:textId="77777777" w:rsidR="0052524F" w:rsidRPr="00004B4A" w:rsidRDefault="0052524F" w:rsidP="005A61E7">
      <w:pPr>
        <w:pStyle w:val="Heading1"/>
        <w:numPr>
          <w:ilvl w:val="0"/>
          <w:numId w:val="0"/>
        </w:numPr>
        <w:ind w:left="142"/>
        <w:jc w:val="both"/>
        <w:rPr>
          <w:rFonts w:ascii="Arial" w:hAnsi="Arial" w:cs="Arial"/>
          <w:sz w:val="22"/>
          <w:szCs w:val="22"/>
        </w:rPr>
      </w:pPr>
      <w:bookmarkStart w:id="96" w:name="_Toc390549932"/>
      <w:bookmarkStart w:id="97" w:name="_Toc401959462"/>
      <w:bookmarkStart w:id="98" w:name="_Toc401959555"/>
      <w:bookmarkStart w:id="99" w:name="_Toc435529043"/>
      <w:bookmarkStart w:id="100" w:name="_Toc436124920"/>
      <w:r w:rsidRPr="00004B4A">
        <w:rPr>
          <w:rFonts w:ascii="Arial" w:hAnsi="Arial" w:cs="Arial"/>
          <w:sz w:val="22"/>
          <w:szCs w:val="22"/>
        </w:rPr>
        <w:t>13</w:t>
      </w:r>
      <w:r w:rsidR="0097368A" w:rsidRPr="00004B4A">
        <w:rPr>
          <w:rFonts w:ascii="Arial" w:hAnsi="Arial" w:cs="Arial"/>
          <w:sz w:val="22"/>
          <w:szCs w:val="22"/>
        </w:rPr>
        <w:t>.</w:t>
      </w:r>
      <w:r w:rsidRPr="00004B4A">
        <w:rPr>
          <w:rFonts w:ascii="Arial" w:hAnsi="Arial" w:cs="Arial"/>
          <w:sz w:val="22"/>
          <w:szCs w:val="22"/>
        </w:rPr>
        <w:t xml:space="preserve"> SPISAK PROPISA KOJI SE PRIMJENJUJE U POSTUPKU DAVANJA KONCESIJE I U VRŠENJU KONCESIONE DJELATNOSTI</w:t>
      </w:r>
      <w:bookmarkEnd w:id="96"/>
      <w:bookmarkEnd w:id="97"/>
      <w:bookmarkEnd w:id="98"/>
      <w:bookmarkEnd w:id="99"/>
      <w:bookmarkEnd w:id="100"/>
    </w:p>
    <w:p w14:paraId="60EA8A36" w14:textId="77777777" w:rsidR="0052524F" w:rsidRPr="00004B4A" w:rsidRDefault="0052524F" w:rsidP="005A61E7">
      <w:pPr>
        <w:spacing w:after="0" w:line="240" w:lineRule="auto"/>
        <w:jc w:val="both"/>
        <w:rPr>
          <w:rFonts w:ascii="Arial" w:eastAsia="Times New Roman" w:hAnsi="Arial" w:cs="Arial"/>
          <w:noProof/>
        </w:rPr>
      </w:pPr>
    </w:p>
    <w:p w14:paraId="47CF6FE7" w14:textId="76942134" w:rsidR="0052524F" w:rsidRPr="00004B4A" w:rsidRDefault="0052524F" w:rsidP="005A61E7">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7C04CD14"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(“Sl. list CG”, br. 8/09 i 73/19);</w:t>
      </w:r>
    </w:p>
    <w:p w14:paraId="5F3C6223"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(“Sl. list CG”, br. 8/09);</w:t>
      </w:r>
    </w:p>
    <w:p w14:paraId="2A8DCBE2"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lastRenderedPageBreak/>
        <w:t>Zakon o geološkim istraživanjima (‘’Sl. list RCG’’, br. 28/93, 27/94, 42/94 i 26/07 i „Sl. list CG“, br. 28/11);</w:t>
      </w:r>
    </w:p>
    <w:p w14:paraId="72D26368" w14:textId="77777777" w:rsidR="0052524F" w:rsidRPr="00004B4A" w:rsidRDefault="0052524F" w:rsidP="005A61E7">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77777777" w:rsidR="0052524F" w:rsidRPr="00004B4A" w:rsidRDefault="0052524F" w:rsidP="005A61E7">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(“Sl. list CG”, br. 64/17, 44/18, 63/18, 11/19 i 82/20);</w:t>
      </w:r>
    </w:p>
    <w:p w14:paraId="09F69180"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prirode („Sl. list CG“, br. 54/16 i 18/19);</w:t>
      </w:r>
    </w:p>
    <w:p w14:paraId="3E75601A"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(“Sl. list CG”, br. 21/09 i 40/11);</w:t>
      </w:r>
    </w:p>
    <w:p w14:paraId="34ED5284"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77777777" w:rsidR="0052524F" w:rsidRPr="00004B4A"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3542EE" w:rsidRDefault="0052524F" w:rsidP="005A61E7">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ležišta mineralnih sirovina („Sl. list </w:t>
      </w:r>
      <w:r w:rsidRPr="003542EE">
        <w:rPr>
          <w:rFonts w:ascii="Arial" w:hAnsi="Arial" w:cs="Arial"/>
          <w:noProof/>
        </w:rPr>
        <w:t>SFRJ“, br. 62/87);</w:t>
      </w:r>
    </w:p>
    <w:p w14:paraId="7E9C0D8A" w14:textId="1F17A1C8" w:rsidR="002A75F1" w:rsidRPr="003542EE" w:rsidRDefault="0052524F" w:rsidP="005A61E7">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4514577D" w14:textId="77777777" w:rsidR="0052524F" w:rsidRPr="003542EE" w:rsidRDefault="0052524F" w:rsidP="005A61E7">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43C37102" w14:textId="77777777" w:rsidR="003542EE" w:rsidRDefault="003542EE" w:rsidP="005A61E7">
      <w:pPr>
        <w:spacing w:after="0" w:line="240" w:lineRule="auto"/>
        <w:jc w:val="both"/>
        <w:rPr>
          <w:rFonts w:ascii="Arial" w:eastAsia="Times New Roman" w:hAnsi="Arial" w:cs="Arial"/>
          <w:lang w:val="sr-Latn-CS"/>
        </w:rPr>
      </w:pPr>
    </w:p>
    <w:p w14:paraId="3F560800" w14:textId="77777777" w:rsidR="009B527D" w:rsidRPr="00004B4A" w:rsidRDefault="009B527D" w:rsidP="005A61E7">
      <w:pPr>
        <w:spacing w:after="0" w:line="240" w:lineRule="auto"/>
        <w:jc w:val="both"/>
        <w:rPr>
          <w:rFonts w:ascii="Arial" w:eastAsia="Times New Roman" w:hAnsi="Arial" w:cs="Arial"/>
          <w:lang w:val="sr-Latn-CS"/>
        </w:rPr>
      </w:pPr>
    </w:p>
    <w:p w14:paraId="512B6A0C" w14:textId="77777777" w:rsidR="0052524F" w:rsidRPr="00004B4A" w:rsidRDefault="0052524F" w:rsidP="005A61E7">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t>Napomena</w:t>
      </w:r>
    </w:p>
    <w:p w14:paraId="1B4A3882" w14:textId="29D6EBBD" w:rsidR="006610CA" w:rsidRDefault="0052524F" w:rsidP="005A61E7">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48008F41" w:rsidR="0052524F" w:rsidRPr="00004B4A" w:rsidRDefault="0052524F" w:rsidP="005A61E7">
      <w:pPr>
        <w:tabs>
          <w:tab w:val="left" w:pos="3411"/>
        </w:tabs>
        <w:suppressAutoHyphens w:val="0"/>
        <w:spacing w:after="0" w:line="240" w:lineRule="auto"/>
        <w:rPr>
          <w:rFonts w:ascii="Arial" w:eastAsia="Times New Roman" w:hAnsi="Arial" w:cs="Arial"/>
          <w:lang w:val="sr-Latn-CS"/>
        </w:rPr>
      </w:pPr>
      <w:r w:rsidRPr="00004B4A">
        <w:rPr>
          <w:rFonts w:ascii="Arial" w:eastAsia="Times New Roman" w:hAnsi="Arial" w:cs="Arial"/>
          <w:lang w:val="sr-Latn-CS"/>
        </w:rPr>
        <w:tab/>
      </w:r>
    </w:p>
    <w:p w14:paraId="5B50AEA5" w14:textId="77777777" w:rsidR="0052524F" w:rsidRPr="00004B4A" w:rsidRDefault="0052524F" w:rsidP="005A61E7">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5A61E7">
      <w:pPr>
        <w:spacing w:after="0" w:line="240" w:lineRule="auto"/>
        <w:jc w:val="both"/>
        <w:rPr>
          <w:rFonts w:ascii="Arial" w:hAnsi="Arial" w:cs="Arial"/>
          <w:b/>
          <w:bCs/>
          <w:lang w:val="sr-Latn-CS"/>
        </w:rPr>
      </w:pPr>
    </w:p>
    <w:p w14:paraId="21606499" w14:textId="77777777" w:rsidR="0052524F" w:rsidRPr="00004B4A" w:rsidRDefault="0052524F" w:rsidP="005A61E7">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5A61E7">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5A61E7">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5A61E7">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5A61E7">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5B0901FE" w14:textId="77777777" w:rsidR="00EE25A0" w:rsidRPr="00EE25A0" w:rsidRDefault="0052524F" w:rsidP="005A61E7">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4</w:t>
      </w:r>
      <w:r w:rsidR="008B5DE1">
        <w:rPr>
          <w:rFonts w:ascii="Arial" w:hAnsi="Arial" w:cs="Arial"/>
          <w:lang w:val="sr-Latn-CS"/>
        </w:rPr>
        <w:t xml:space="preserve"> </w:t>
      </w:r>
      <w:r w:rsidRPr="00004B4A">
        <w:rPr>
          <w:rFonts w:ascii="Arial" w:hAnsi="Arial" w:cs="Arial"/>
          <w:lang w:val="sr-Latn-CS"/>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 xml:space="preserve">tama graničnih tačaka </w:t>
      </w:r>
      <w:r w:rsidR="004A47AE">
        <w:rPr>
          <w:rFonts w:ascii="Arial" w:hAnsi="Arial" w:cs="Arial"/>
          <w:lang w:val="pl-PL"/>
        </w:rPr>
        <w:t>perspektivnog prostora</w:t>
      </w:r>
      <w:r w:rsidRPr="00004B4A">
        <w:rPr>
          <w:rFonts w:ascii="Arial" w:hAnsi="Arial" w:cs="Arial"/>
          <w:lang w:val="pl-PL"/>
        </w:rPr>
        <w:t xml:space="preserve"> </w:t>
      </w:r>
    </w:p>
    <w:p w14:paraId="3916569B" w14:textId="3355BE03" w:rsidR="0052524F" w:rsidRPr="00004B4A" w:rsidRDefault="00EE25A0" w:rsidP="005A61E7">
      <w:pPr>
        <w:pStyle w:val="ListParagraph"/>
        <w:suppressAutoHyphens w:val="0"/>
        <w:spacing w:after="0" w:line="240" w:lineRule="auto"/>
        <w:ind w:left="0"/>
        <w:contextualSpacing w:val="0"/>
        <w:jc w:val="both"/>
        <w:rPr>
          <w:rFonts w:ascii="Arial" w:hAnsi="Arial" w:cs="Arial"/>
          <w:lang w:val="sr-Latn-CS"/>
        </w:rPr>
      </w:pPr>
      <w:r>
        <w:rPr>
          <w:rFonts w:ascii="Arial" w:hAnsi="Arial" w:cs="Arial"/>
          <w:lang w:val="pl-PL"/>
        </w:rPr>
        <w:t xml:space="preserve">           </w:t>
      </w:r>
      <w:r w:rsidR="005A61E7">
        <w:rPr>
          <w:rFonts w:ascii="Arial" w:hAnsi="Arial" w:cs="Arial"/>
          <w:lang w:val="pl-PL"/>
        </w:rPr>
        <w:t xml:space="preserve">               </w:t>
      </w:r>
      <w:r>
        <w:rPr>
          <w:rFonts w:ascii="Arial" w:hAnsi="Arial" w:cs="Arial"/>
          <w:lang w:val="pl-PL"/>
        </w:rPr>
        <w:t xml:space="preserve"> </w:t>
      </w:r>
      <w:r w:rsidR="00772844">
        <w:rPr>
          <w:rFonts w:ascii="Arial" w:hAnsi="Arial" w:cs="Arial"/>
          <w:lang w:val="sr-Latn-CS"/>
        </w:rPr>
        <w:t>“Klikovače”</w:t>
      </w:r>
      <w:r w:rsidR="0052524F" w:rsidRPr="00004B4A">
        <w:rPr>
          <w:rFonts w:ascii="Arial" w:hAnsi="Arial" w:cs="Arial"/>
          <w:lang w:val="sr-Latn-CS"/>
        </w:rPr>
        <w:t xml:space="preserve">. </w:t>
      </w:r>
    </w:p>
    <w:p w14:paraId="29055466" w14:textId="77777777" w:rsidR="0052524F" w:rsidRPr="00004B4A" w:rsidRDefault="0052524F" w:rsidP="005A61E7">
      <w:pPr>
        <w:spacing w:after="0" w:line="240" w:lineRule="auto"/>
        <w:jc w:val="both"/>
        <w:rPr>
          <w:rFonts w:ascii="Arial" w:hAnsi="Arial" w:cs="Arial"/>
        </w:rPr>
      </w:pPr>
    </w:p>
    <w:p w14:paraId="4C838999" w14:textId="77777777" w:rsidR="0052524F" w:rsidRPr="00004B4A" w:rsidRDefault="0052524F" w:rsidP="005A61E7">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5A61E7">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5A61E7">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5A61E7">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5A61E7">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65A70667" w:rsidR="0052524F" w:rsidRPr="00004B4A" w:rsidRDefault="0052524F" w:rsidP="005A61E7">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5</w:t>
      </w:r>
      <w:r w:rsidRPr="00004B4A">
        <w:rPr>
          <w:rFonts w:ascii="Arial" w:hAnsi="Arial" w:cs="Arial"/>
          <w:lang w:val="sr-Latn-CS"/>
        </w:rPr>
        <w:t xml:space="preserve"> – Uputstvo za podnošenje ponuda </w:t>
      </w:r>
    </w:p>
    <w:p w14:paraId="572E485D" w14:textId="77777777" w:rsidR="0052524F" w:rsidRPr="00004B4A" w:rsidRDefault="0052524F" w:rsidP="005A61E7">
      <w:pPr>
        <w:suppressAutoHyphens w:val="0"/>
        <w:spacing w:after="0" w:line="240" w:lineRule="auto"/>
        <w:jc w:val="both"/>
        <w:rPr>
          <w:rFonts w:ascii="Arial" w:hAnsi="Arial" w:cs="Arial"/>
          <w:lang w:val="sr-Latn-CS"/>
        </w:rPr>
      </w:pPr>
    </w:p>
    <w:p w14:paraId="259AEEC7" w14:textId="77777777" w:rsidR="0052524F" w:rsidRPr="0052524F" w:rsidRDefault="0052524F" w:rsidP="005A61E7">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p w14:paraId="48CBABA7" w14:textId="77777777" w:rsidR="00854F54" w:rsidRPr="00205A29" w:rsidRDefault="00854F54" w:rsidP="005A61E7">
      <w:pPr>
        <w:spacing w:after="0" w:line="240" w:lineRule="auto"/>
        <w:rPr>
          <w:rFonts w:ascii="Arial" w:hAnsi="Arial" w:cs="Arial"/>
          <w:lang w:val="sr-Latn-CS"/>
        </w:rPr>
      </w:pPr>
    </w:p>
    <w:sectPr w:rsidR="00854F54" w:rsidRPr="00205A29" w:rsidSect="00B21F9C">
      <w:footerReference w:type="default" r:id="rId9"/>
      <w:pgSz w:w="11907" w:h="16839" w:code="9"/>
      <w:pgMar w:top="1008" w:right="1008"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2334" w14:textId="77777777" w:rsidR="00B56D26" w:rsidRDefault="00B56D26" w:rsidP="004B525C">
      <w:pPr>
        <w:spacing w:after="0" w:line="240" w:lineRule="auto"/>
      </w:pPr>
      <w:r>
        <w:separator/>
      </w:r>
    </w:p>
  </w:endnote>
  <w:endnote w:type="continuationSeparator" w:id="0">
    <w:p w14:paraId="34791D9C" w14:textId="77777777" w:rsidR="00B56D26" w:rsidRDefault="00B56D26"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392"/>
      <w:gridCol w:w="9283"/>
    </w:tblGrid>
    <w:tr w:rsidR="00915985" w:rsidRPr="007B667D" w14:paraId="5269DD14" w14:textId="77777777" w:rsidTr="00151363">
      <w:tc>
        <w:tcPr>
          <w:tcW w:w="392" w:type="dxa"/>
        </w:tcPr>
        <w:p w14:paraId="3ECAAF85" w14:textId="162ABEF0" w:rsidR="00915985" w:rsidRPr="00CA4236" w:rsidRDefault="00915985">
          <w:pPr>
            <w:pStyle w:val="Footer"/>
            <w:jc w:val="right"/>
            <w:rPr>
              <w:rFonts w:asciiTheme="minorHAnsi" w:hAnsiTheme="minorHAnsi" w:cstheme="minorHAnsi"/>
              <w:color w:val="4F81BD"/>
              <w:sz w:val="16"/>
              <w:szCs w:val="16"/>
            </w:rPr>
          </w:pPr>
          <w:r w:rsidRPr="00CA4236">
            <w:rPr>
              <w:rFonts w:asciiTheme="minorHAnsi" w:hAnsiTheme="minorHAnsi" w:cstheme="minorHAnsi"/>
              <w:sz w:val="16"/>
              <w:szCs w:val="16"/>
            </w:rPr>
            <w:fldChar w:fldCharType="begin"/>
          </w:r>
          <w:r w:rsidRPr="00CA4236">
            <w:rPr>
              <w:rFonts w:asciiTheme="minorHAnsi" w:hAnsiTheme="minorHAnsi" w:cstheme="minorHAnsi"/>
              <w:sz w:val="16"/>
              <w:szCs w:val="16"/>
            </w:rPr>
            <w:instrText xml:space="preserve"> PAGE   \* MERGEFORMAT </w:instrText>
          </w:r>
          <w:r w:rsidRPr="00CA4236">
            <w:rPr>
              <w:rFonts w:asciiTheme="minorHAnsi" w:hAnsiTheme="minorHAnsi" w:cstheme="minorHAnsi"/>
              <w:sz w:val="16"/>
              <w:szCs w:val="16"/>
            </w:rPr>
            <w:fldChar w:fldCharType="separate"/>
          </w:r>
          <w:r w:rsidR="000C7A03" w:rsidRPr="000C7A03">
            <w:rPr>
              <w:rFonts w:asciiTheme="minorHAnsi" w:hAnsiTheme="minorHAnsi" w:cstheme="minorHAnsi"/>
              <w:noProof/>
              <w:color w:val="4F81BD"/>
              <w:sz w:val="16"/>
              <w:szCs w:val="16"/>
            </w:rPr>
            <w:t>24</w:t>
          </w:r>
          <w:r w:rsidRPr="00CA4236">
            <w:rPr>
              <w:rFonts w:asciiTheme="minorHAnsi" w:hAnsiTheme="minorHAnsi" w:cstheme="minorHAnsi"/>
              <w:noProof/>
              <w:color w:val="4F81BD"/>
              <w:sz w:val="16"/>
              <w:szCs w:val="16"/>
            </w:rPr>
            <w:fldChar w:fldCharType="end"/>
          </w:r>
        </w:p>
      </w:tc>
      <w:tc>
        <w:tcPr>
          <w:tcW w:w="9283" w:type="dxa"/>
        </w:tcPr>
        <w:p w14:paraId="00BC49DA" w14:textId="2D806B5D" w:rsidR="00915985" w:rsidRPr="00A00482" w:rsidRDefault="00915985" w:rsidP="00B24C37">
          <w:pPr>
            <w:pStyle w:val="Footer"/>
            <w:rPr>
              <w:rFonts w:asciiTheme="minorHAnsi" w:hAnsiTheme="minorHAnsi" w:cstheme="minorHAnsi"/>
              <w:sz w:val="16"/>
              <w:szCs w:val="16"/>
            </w:rPr>
          </w:pPr>
          <w:proofErr w:type="spellStart"/>
          <w:r w:rsidRPr="00A00482">
            <w:rPr>
              <w:rFonts w:asciiTheme="minorHAnsi" w:hAnsiTheme="minorHAnsi" w:cstheme="minorHAnsi"/>
              <w:sz w:val="16"/>
              <w:szCs w:val="16"/>
            </w:rPr>
            <w:t>Koncesioni</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akt</w:t>
          </w:r>
          <w:proofErr w:type="spellEnd"/>
          <w:r w:rsidRPr="00A00482">
            <w:rPr>
              <w:rFonts w:asciiTheme="minorHAnsi" w:hAnsiTheme="minorHAnsi" w:cstheme="minorHAnsi"/>
              <w:sz w:val="16"/>
              <w:szCs w:val="16"/>
            </w:rPr>
            <w:t xml:space="preserve"> o </w:t>
          </w:r>
          <w:proofErr w:type="spellStart"/>
          <w:r w:rsidRPr="00A00482">
            <w:rPr>
              <w:rFonts w:asciiTheme="minorHAnsi" w:hAnsiTheme="minorHAnsi" w:cstheme="minorHAnsi"/>
              <w:sz w:val="16"/>
              <w:szCs w:val="16"/>
            </w:rPr>
            <w:t>nemetalič</w:t>
          </w:r>
          <w:r w:rsidRPr="00CA4236">
            <w:rPr>
              <w:rFonts w:asciiTheme="minorHAnsi" w:hAnsiTheme="minorHAnsi" w:cstheme="minorHAnsi"/>
              <w:sz w:val="16"/>
              <w:szCs w:val="16"/>
            </w:rPr>
            <w:t>noj</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mineralnoj</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sirovini</w:t>
          </w:r>
          <w:proofErr w:type="spellEnd"/>
          <w:r w:rsidRPr="00A00482">
            <w:rPr>
              <w:rFonts w:asciiTheme="minorHAnsi" w:hAnsiTheme="minorHAnsi" w:cstheme="minorHAnsi"/>
              <w:sz w:val="16"/>
              <w:szCs w:val="16"/>
            </w:rPr>
            <w:t xml:space="preserve"> </w:t>
          </w:r>
          <w:proofErr w:type="spellStart"/>
          <w:r w:rsidRPr="00A00482">
            <w:rPr>
              <w:rFonts w:asciiTheme="minorHAnsi" w:hAnsiTheme="minorHAnsi" w:cstheme="minorHAnsi"/>
              <w:sz w:val="16"/>
              <w:szCs w:val="16"/>
            </w:rPr>
            <w:t>arh</w:t>
          </w:r>
          <w:r>
            <w:rPr>
              <w:rFonts w:asciiTheme="minorHAnsi" w:hAnsiTheme="minorHAnsi" w:cstheme="minorHAnsi"/>
              <w:sz w:val="16"/>
              <w:szCs w:val="16"/>
            </w:rPr>
            <w:t>itektonsko-građevinskog</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kamena</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ležišta</w:t>
          </w:r>
          <w:proofErr w:type="spellEnd"/>
          <w:r>
            <w:rPr>
              <w:rFonts w:asciiTheme="minorHAnsi" w:hAnsiTheme="minorHAnsi" w:cstheme="minorHAnsi"/>
              <w:sz w:val="16"/>
              <w:szCs w:val="16"/>
            </w:rPr>
            <w:t xml:space="preserve"> </w:t>
          </w:r>
          <w:r w:rsidRPr="00A00482">
            <w:rPr>
              <w:rFonts w:asciiTheme="minorHAnsi" w:hAnsiTheme="minorHAnsi" w:cstheme="minorHAnsi"/>
              <w:sz w:val="16"/>
              <w:szCs w:val="16"/>
            </w:rPr>
            <w:t>“</w:t>
          </w:r>
          <w:proofErr w:type="spellStart"/>
          <w:r>
            <w:rPr>
              <w:rFonts w:asciiTheme="minorHAnsi" w:hAnsiTheme="minorHAnsi" w:cstheme="minorHAnsi"/>
              <w:sz w:val="16"/>
              <w:szCs w:val="16"/>
            </w:rPr>
            <w:t>Klikovače</w:t>
          </w:r>
          <w:proofErr w:type="spellEnd"/>
          <w:r w:rsidRPr="00A00482">
            <w:rPr>
              <w:rFonts w:asciiTheme="minorHAnsi" w:hAnsiTheme="minorHAnsi" w:cstheme="minorHAnsi"/>
              <w:sz w:val="16"/>
              <w:szCs w:val="16"/>
            </w:rPr>
            <w:t xml:space="preserve">”, </w:t>
          </w:r>
          <w:proofErr w:type="spellStart"/>
          <w:r w:rsidR="005E683D">
            <w:rPr>
              <w:rFonts w:asciiTheme="minorHAnsi" w:hAnsiTheme="minorHAnsi" w:cstheme="minorHAnsi"/>
              <w:sz w:val="16"/>
              <w:szCs w:val="16"/>
            </w:rPr>
            <w:t>o</w:t>
          </w:r>
          <w:r w:rsidRPr="00A00482">
            <w:rPr>
              <w:rFonts w:asciiTheme="minorHAnsi" w:hAnsiTheme="minorHAnsi" w:cstheme="minorHAnsi"/>
              <w:sz w:val="16"/>
              <w:szCs w:val="16"/>
            </w:rPr>
            <w:t>pština</w:t>
          </w:r>
          <w:proofErr w:type="spellEnd"/>
          <w:r w:rsidRPr="00A00482">
            <w:rPr>
              <w:rFonts w:asciiTheme="minorHAnsi" w:hAnsiTheme="minorHAnsi" w:cstheme="minorHAnsi"/>
              <w:sz w:val="16"/>
              <w:szCs w:val="16"/>
            </w:rPr>
            <w:t xml:space="preserve"> </w:t>
          </w:r>
          <w:proofErr w:type="spellStart"/>
          <w:r>
            <w:rPr>
              <w:rFonts w:asciiTheme="minorHAnsi" w:hAnsiTheme="minorHAnsi" w:cstheme="minorHAnsi"/>
              <w:sz w:val="16"/>
              <w:szCs w:val="16"/>
            </w:rPr>
            <w:t>Danilovgrad</w:t>
          </w:r>
          <w:proofErr w:type="spellEnd"/>
          <w:r w:rsidRPr="00A00482">
            <w:rPr>
              <w:rFonts w:asciiTheme="minorHAnsi" w:hAnsiTheme="minorHAnsi" w:cstheme="minorHAnsi"/>
              <w:sz w:val="16"/>
              <w:szCs w:val="16"/>
            </w:rPr>
            <w:t>.</w:t>
          </w:r>
        </w:p>
      </w:tc>
    </w:tr>
  </w:tbl>
  <w:p w14:paraId="42531A8A" w14:textId="77777777" w:rsidR="00915985" w:rsidRDefault="00915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5411E" w14:textId="77777777" w:rsidR="00B56D26" w:rsidRDefault="00B56D26" w:rsidP="004B525C">
      <w:pPr>
        <w:spacing w:after="0" w:line="240" w:lineRule="auto"/>
      </w:pPr>
      <w:r>
        <w:separator/>
      </w:r>
    </w:p>
  </w:footnote>
  <w:footnote w:type="continuationSeparator" w:id="0">
    <w:p w14:paraId="0328AAEA" w14:textId="77777777" w:rsidR="00B56D26" w:rsidRDefault="00B56D26"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CE7ECA"/>
    <w:multiLevelType w:val="hybridMultilevel"/>
    <w:tmpl w:val="098A3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657CA2"/>
    <w:multiLevelType w:val="hybridMultilevel"/>
    <w:tmpl w:val="5832FC4E"/>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4024999">
    <w:abstractNumId w:val="15"/>
  </w:num>
  <w:num w:numId="2" w16cid:durableId="2069759717">
    <w:abstractNumId w:val="32"/>
  </w:num>
  <w:num w:numId="3" w16cid:durableId="644815084">
    <w:abstractNumId w:val="48"/>
  </w:num>
  <w:num w:numId="4" w16cid:durableId="715395924">
    <w:abstractNumId w:val="24"/>
  </w:num>
  <w:num w:numId="5" w16cid:durableId="1597446793">
    <w:abstractNumId w:val="31"/>
  </w:num>
  <w:num w:numId="6" w16cid:durableId="723605291">
    <w:abstractNumId w:val="25"/>
  </w:num>
  <w:num w:numId="7" w16cid:durableId="557283590">
    <w:abstractNumId w:val="35"/>
  </w:num>
  <w:num w:numId="8" w16cid:durableId="179977587">
    <w:abstractNumId w:val="47"/>
  </w:num>
  <w:num w:numId="9" w16cid:durableId="2024477899">
    <w:abstractNumId w:val="36"/>
  </w:num>
  <w:num w:numId="10" w16cid:durableId="1089889816">
    <w:abstractNumId w:val="29"/>
  </w:num>
  <w:num w:numId="11" w16cid:durableId="1231504436">
    <w:abstractNumId w:val="26"/>
  </w:num>
  <w:num w:numId="12" w16cid:durableId="1331761456">
    <w:abstractNumId w:val="21"/>
  </w:num>
  <w:num w:numId="13" w16cid:durableId="399521320">
    <w:abstractNumId w:val="23"/>
  </w:num>
  <w:num w:numId="14" w16cid:durableId="443111139">
    <w:abstractNumId w:val="34"/>
  </w:num>
  <w:num w:numId="15" w16cid:durableId="739909247">
    <w:abstractNumId w:val="27"/>
  </w:num>
  <w:num w:numId="16" w16cid:durableId="167182532">
    <w:abstractNumId w:val="43"/>
  </w:num>
  <w:num w:numId="17" w16cid:durableId="360741461">
    <w:abstractNumId w:val="20"/>
  </w:num>
  <w:num w:numId="18" w16cid:durableId="1078137683">
    <w:abstractNumId w:val="33"/>
  </w:num>
  <w:num w:numId="19" w16cid:durableId="1081563973">
    <w:abstractNumId w:val="45"/>
  </w:num>
  <w:num w:numId="20" w16cid:durableId="1503855769">
    <w:abstractNumId w:val="22"/>
  </w:num>
  <w:num w:numId="21" w16cid:durableId="1283073468">
    <w:abstractNumId w:val="44"/>
  </w:num>
  <w:num w:numId="22" w16cid:durableId="1516919952">
    <w:abstractNumId w:val="46"/>
  </w:num>
  <w:num w:numId="23" w16cid:durableId="505755423">
    <w:abstractNumId w:val="41"/>
  </w:num>
  <w:num w:numId="24" w16cid:durableId="1817339338">
    <w:abstractNumId w:val="28"/>
  </w:num>
  <w:num w:numId="25" w16cid:durableId="1988171109">
    <w:abstractNumId w:val="30"/>
  </w:num>
  <w:num w:numId="26" w16cid:durableId="1842116707">
    <w:abstractNumId w:val="37"/>
  </w:num>
  <w:num w:numId="27" w16cid:durableId="552739483">
    <w:abstractNumId w:val="39"/>
  </w:num>
  <w:num w:numId="28" w16cid:durableId="276447560">
    <w:abstractNumId w:val="49"/>
  </w:num>
  <w:num w:numId="29" w16cid:durableId="1988246561">
    <w:abstractNumId w:val="40"/>
  </w:num>
  <w:num w:numId="30" w16cid:durableId="149292119">
    <w:abstractNumId w:val="38"/>
  </w:num>
  <w:num w:numId="31" w16cid:durableId="1481769517">
    <w:abstractNumId w:val="42"/>
  </w:num>
  <w:num w:numId="32" w16cid:durableId="78446609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hideSpellingErrors/>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3278"/>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36F5"/>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C4724"/>
    <w:rsid w:val="000C4C22"/>
    <w:rsid w:val="000C6770"/>
    <w:rsid w:val="000C7A03"/>
    <w:rsid w:val="000D15CA"/>
    <w:rsid w:val="000D1A8A"/>
    <w:rsid w:val="000D22AD"/>
    <w:rsid w:val="000D4512"/>
    <w:rsid w:val="000E0CEA"/>
    <w:rsid w:val="000E197C"/>
    <w:rsid w:val="000E1F1D"/>
    <w:rsid w:val="000E2590"/>
    <w:rsid w:val="000E3D6B"/>
    <w:rsid w:val="000E4FD4"/>
    <w:rsid w:val="000E52CE"/>
    <w:rsid w:val="000F34A9"/>
    <w:rsid w:val="00100C7F"/>
    <w:rsid w:val="0010170B"/>
    <w:rsid w:val="001032FA"/>
    <w:rsid w:val="001042E9"/>
    <w:rsid w:val="00106295"/>
    <w:rsid w:val="0010704C"/>
    <w:rsid w:val="00112CAB"/>
    <w:rsid w:val="00113909"/>
    <w:rsid w:val="00115FBA"/>
    <w:rsid w:val="00116319"/>
    <w:rsid w:val="001173C0"/>
    <w:rsid w:val="001174A7"/>
    <w:rsid w:val="00117CE4"/>
    <w:rsid w:val="0012396C"/>
    <w:rsid w:val="001239EB"/>
    <w:rsid w:val="0012685D"/>
    <w:rsid w:val="0013089B"/>
    <w:rsid w:val="00132993"/>
    <w:rsid w:val="0013316D"/>
    <w:rsid w:val="00133AE7"/>
    <w:rsid w:val="00133F38"/>
    <w:rsid w:val="00134D6A"/>
    <w:rsid w:val="001354C9"/>
    <w:rsid w:val="001434D4"/>
    <w:rsid w:val="0014416D"/>
    <w:rsid w:val="00146A5A"/>
    <w:rsid w:val="00150E08"/>
    <w:rsid w:val="00151363"/>
    <w:rsid w:val="00151EB4"/>
    <w:rsid w:val="00151EE0"/>
    <w:rsid w:val="00153622"/>
    <w:rsid w:val="00154D07"/>
    <w:rsid w:val="00155CA3"/>
    <w:rsid w:val="001578F4"/>
    <w:rsid w:val="00160099"/>
    <w:rsid w:val="00162173"/>
    <w:rsid w:val="00165F0C"/>
    <w:rsid w:val="00167701"/>
    <w:rsid w:val="00170C57"/>
    <w:rsid w:val="001716FB"/>
    <w:rsid w:val="00173FE2"/>
    <w:rsid w:val="00175925"/>
    <w:rsid w:val="001850F7"/>
    <w:rsid w:val="00187C79"/>
    <w:rsid w:val="0019275F"/>
    <w:rsid w:val="00192C73"/>
    <w:rsid w:val="00193915"/>
    <w:rsid w:val="0019514F"/>
    <w:rsid w:val="00197D09"/>
    <w:rsid w:val="001A0011"/>
    <w:rsid w:val="001A335B"/>
    <w:rsid w:val="001A3449"/>
    <w:rsid w:val="001A3C67"/>
    <w:rsid w:val="001A437E"/>
    <w:rsid w:val="001A4B90"/>
    <w:rsid w:val="001B3770"/>
    <w:rsid w:val="001B54E3"/>
    <w:rsid w:val="001B697C"/>
    <w:rsid w:val="001B7041"/>
    <w:rsid w:val="001B70C6"/>
    <w:rsid w:val="001C4B40"/>
    <w:rsid w:val="001C4FAF"/>
    <w:rsid w:val="001C6534"/>
    <w:rsid w:val="001C71CD"/>
    <w:rsid w:val="001D25DE"/>
    <w:rsid w:val="001D6C2E"/>
    <w:rsid w:val="001E0CCA"/>
    <w:rsid w:val="001E49DB"/>
    <w:rsid w:val="001E4D4F"/>
    <w:rsid w:val="001E5209"/>
    <w:rsid w:val="001F4603"/>
    <w:rsid w:val="002019F1"/>
    <w:rsid w:val="00205A29"/>
    <w:rsid w:val="002064AD"/>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51A33"/>
    <w:rsid w:val="00252C3C"/>
    <w:rsid w:val="00254131"/>
    <w:rsid w:val="002558EF"/>
    <w:rsid w:val="00255ABC"/>
    <w:rsid w:val="00267E24"/>
    <w:rsid w:val="00272BC7"/>
    <w:rsid w:val="00272CCD"/>
    <w:rsid w:val="00276888"/>
    <w:rsid w:val="002769EE"/>
    <w:rsid w:val="0028180A"/>
    <w:rsid w:val="00281C46"/>
    <w:rsid w:val="002921A0"/>
    <w:rsid w:val="002957A7"/>
    <w:rsid w:val="0029797A"/>
    <w:rsid w:val="00297F2E"/>
    <w:rsid w:val="002A27F9"/>
    <w:rsid w:val="002A433B"/>
    <w:rsid w:val="002A75F1"/>
    <w:rsid w:val="002B0C60"/>
    <w:rsid w:val="002B2F8E"/>
    <w:rsid w:val="002B33FA"/>
    <w:rsid w:val="002B4633"/>
    <w:rsid w:val="002B476A"/>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AF9"/>
    <w:rsid w:val="00307F00"/>
    <w:rsid w:val="00310904"/>
    <w:rsid w:val="00310D3C"/>
    <w:rsid w:val="00312B89"/>
    <w:rsid w:val="00312EBF"/>
    <w:rsid w:val="00312EFF"/>
    <w:rsid w:val="003240D7"/>
    <w:rsid w:val="00326810"/>
    <w:rsid w:val="00327194"/>
    <w:rsid w:val="003278DF"/>
    <w:rsid w:val="00330216"/>
    <w:rsid w:val="00330939"/>
    <w:rsid w:val="003311E2"/>
    <w:rsid w:val="00335B10"/>
    <w:rsid w:val="00336C95"/>
    <w:rsid w:val="00340D9F"/>
    <w:rsid w:val="00341DC2"/>
    <w:rsid w:val="00342E4C"/>
    <w:rsid w:val="00346014"/>
    <w:rsid w:val="003477BE"/>
    <w:rsid w:val="003542EE"/>
    <w:rsid w:val="0035541E"/>
    <w:rsid w:val="00356F6D"/>
    <w:rsid w:val="00362691"/>
    <w:rsid w:val="00367FF2"/>
    <w:rsid w:val="00380CD9"/>
    <w:rsid w:val="003836E6"/>
    <w:rsid w:val="003852A0"/>
    <w:rsid w:val="00386BAD"/>
    <w:rsid w:val="00387D73"/>
    <w:rsid w:val="00390111"/>
    <w:rsid w:val="00397EDE"/>
    <w:rsid w:val="003A35CA"/>
    <w:rsid w:val="003A48E7"/>
    <w:rsid w:val="003A552D"/>
    <w:rsid w:val="003A5A2F"/>
    <w:rsid w:val="003A6909"/>
    <w:rsid w:val="003B180A"/>
    <w:rsid w:val="003B7A63"/>
    <w:rsid w:val="003B7BF4"/>
    <w:rsid w:val="003C0AA3"/>
    <w:rsid w:val="003C0E3D"/>
    <w:rsid w:val="003C3CE5"/>
    <w:rsid w:val="003C5489"/>
    <w:rsid w:val="003C7CBB"/>
    <w:rsid w:val="003E0979"/>
    <w:rsid w:val="003E1049"/>
    <w:rsid w:val="003E218E"/>
    <w:rsid w:val="003E683F"/>
    <w:rsid w:val="003E777D"/>
    <w:rsid w:val="003F02B7"/>
    <w:rsid w:val="003F5A56"/>
    <w:rsid w:val="003F5C5B"/>
    <w:rsid w:val="003F5D0A"/>
    <w:rsid w:val="003F77B1"/>
    <w:rsid w:val="004102A3"/>
    <w:rsid w:val="0041118F"/>
    <w:rsid w:val="004128C7"/>
    <w:rsid w:val="00413FFD"/>
    <w:rsid w:val="00414165"/>
    <w:rsid w:val="0041480D"/>
    <w:rsid w:val="0041635F"/>
    <w:rsid w:val="00420DC3"/>
    <w:rsid w:val="004247E7"/>
    <w:rsid w:val="0042571B"/>
    <w:rsid w:val="00427475"/>
    <w:rsid w:val="00431253"/>
    <w:rsid w:val="00431CD0"/>
    <w:rsid w:val="004327EF"/>
    <w:rsid w:val="00432FF3"/>
    <w:rsid w:val="00433DF4"/>
    <w:rsid w:val="00435E93"/>
    <w:rsid w:val="00436C34"/>
    <w:rsid w:val="00436DFB"/>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6118"/>
    <w:rsid w:val="0046668E"/>
    <w:rsid w:val="004726C5"/>
    <w:rsid w:val="00473255"/>
    <w:rsid w:val="00473770"/>
    <w:rsid w:val="00474719"/>
    <w:rsid w:val="0048423A"/>
    <w:rsid w:val="00484F44"/>
    <w:rsid w:val="00486798"/>
    <w:rsid w:val="00487870"/>
    <w:rsid w:val="004915E7"/>
    <w:rsid w:val="004927AD"/>
    <w:rsid w:val="004959EE"/>
    <w:rsid w:val="004A0630"/>
    <w:rsid w:val="004A14DB"/>
    <w:rsid w:val="004A47AE"/>
    <w:rsid w:val="004B525C"/>
    <w:rsid w:val="004B558D"/>
    <w:rsid w:val="004B5FCB"/>
    <w:rsid w:val="004B72C7"/>
    <w:rsid w:val="004C0E0B"/>
    <w:rsid w:val="004C2FC5"/>
    <w:rsid w:val="004C7585"/>
    <w:rsid w:val="004C772D"/>
    <w:rsid w:val="004D4549"/>
    <w:rsid w:val="004D63DD"/>
    <w:rsid w:val="004E2364"/>
    <w:rsid w:val="004E2AB4"/>
    <w:rsid w:val="004E3794"/>
    <w:rsid w:val="004E4728"/>
    <w:rsid w:val="004E738E"/>
    <w:rsid w:val="004F1C0B"/>
    <w:rsid w:val="004F3CB4"/>
    <w:rsid w:val="004F7D71"/>
    <w:rsid w:val="00500036"/>
    <w:rsid w:val="00501BA9"/>
    <w:rsid w:val="00501EBE"/>
    <w:rsid w:val="00502310"/>
    <w:rsid w:val="0050239F"/>
    <w:rsid w:val="00510F3C"/>
    <w:rsid w:val="00513ADE"/>
    <w:rsid w:val="00515125"/>
    <w:rsid w:val="00515AD3"/>
    <w:rsid w:val="00517951"/>
    <w:rsid w:val="005201A7"/>
    <w:rsid w:val="00522424"/>
    <w:rsid w:val="0052282B"/>
    <w:rsid w:val="0052524F"/>
    <w:rsid w:val="005259E7"/>
    <w:rsid w:val="005278F9"/>
    <w:rsid w:val="00542272"/>
    <w:rsid w:val="00542F2D"/>
    <w:rsid w:val="00543BB7"/>
    <w:rsid w:val="00544D4B"/>
    <w:rsid w:val="00545A8D"/>
    <w:rsid w:val="0054691D"/>
    <w:rsid w:val="00546937"/>
    <w:rsid w:val="00546C03"/>
    <w:rsid w:val="00547BA8"/>
    <w:rsid w:val="0055212F"/>
    <w:rsid w:val="00552572"/>
    <w:rsid w:val="00553D0C"/>
    <w:rsid w:val="0055507C"/>
    <w:rsid w:val="005565A6"/>
    <w:rsid w:val="00557B10"/>
    <w:rsid w:val="00565647"/>
    <w:rsid w:val="005657FD"/>
    <w:rsid w:val="00565EC9"/>
    <w:rsid w:val="005677F9"/>
    <w:rsid w:val="005713C2"/>
    <w:rsid w:val="00571C7A"/>
    <w:rsid w:val="00574A91"/>
    <w:rsid w:val="00574BC1"/>
    <w:rsid w:val="005751DD"/>
    <w:rsid w:val="00577044"/>
    <w:rsid w:val="005775CA"/>
    <w:rsid w:val="005778F9"/>
    <w:rsid w:val="00581343"/>
    <w:rsid w:val="005836E1"/>
    <w:rsid w:val="00584C5E"/>
    <w:rsid w:val="005852D3"/>
    <w:rsid w:val="005867BE"/>
    <w:rsid w:val="005871A6"/>
    <w:rsid w:val="00592620"/>
    <w:rsid w:val="00595616"/>
    <w:rsid w:val="005A07D7"/>
    <w:rsid w:val="005A0D63"/>
    <w:rsid w:val="005A61E7"/>
    <w:rsid w:val="005A6568"/>
    <w:rsid w:val="005B1EA0"/>
    <w:rsid w:val="005B7235"/>
    <w:rsid w:val="005B7A6F"/>
    <w:rsid w:val="005B7DED"/>
    <w:rsid w:val="005C07FC"/>
    <w:rsid w:val="005C2B41"/>
    <w:rsid w:val="005C628B"/>
    <w:rsid w:val="005C7176"/>
    <w:rsid w:val="005D0424"/>
    <w:rsid w:val="005D1EFB"/>
    <w:rsid w:val="005D3D5D"/>
    <w:rsid w:val="005D46F9"/>
    <w:rsid w:val="005E12C7"/>
    <w:rsid w:val="005E242A"/>
    <w:rsid w:val="005E5882"/>
    <w:rsid w:val="005E683D"/>
    <w:rsid w:val="005E7333"/>
    <w:rsid w:val="005E7720"/>
    <w:rsid w:val="005F0408"/>
    <w:rsid w:val="005F0CEC"/>
    <w:rsid w:val="005F121B"/>
    <w:rsid w:val="005F1E4C"/>
    <w:rsid w:val="005F282E"/>
    <w:rsid w:val="005F3B0B"/>
    <w:rsid w:val="005F431E"/>
    <w:rsid w:val="006015B2"/>
    <w:rsid w:val="006022F2"/>
    <w:rsid w:val="006030FA"/>
    <w:rsid w:val="006145AB"/>
    <w:rsid w:val="00614EFB"/>
    <w:rsid w:val="00620199"/>
    <w:rsid w:val="006227DA"/>
    <w:rsid w:val="006265CD"/>
    <w:rsid w:val="00631ED1"/>
    <w:rsid w:val="00632B4D"/>
    <w:rsid w:val="00632C60"/>
    <w:rsid w:val="00633FE6"/>
    <w:rsid w:val="006418C5"/>
    <w:rsid w:val="00647A0E"/>
    <w:rsid w:val="00647BE3"/>
    <w:rsid w:val="00650A2E"/>
    <w:rsid w:val="006601C4"/>
    <w:rsid w:val="006604BD"/>
    <w:rsid w:val="00660C5E"/>
    <w:rsid w:val="006610CA"/>
    <w:rsid w:val="0066233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0CC5"/>
    <w:rsid w:val="006A0E55"/>
    <w:rsid w:val="006A46BC"/>
    <w:rsid w:val="006A61BE"/>
    <w:rsid w:val="006B1066"/>
    <w:rsid w:val="006B1948"/>
    <w:rsid w:val="006B1F16"/>
    <w:rsid w:val="006B765D"/>
    <w:rsid w:val="006B7A9A"/>
    <w:rsid w:val="006C1A88"/>
    <w:rsid w:val="006C25A6"/>
    <w:rsid w:val="006C2B6E"/>
    <w:rsid w:val="006C4D9F"/>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7A4"/>
    <w:rsid w:val="00714FCC"/>
    <w:rsid w:val="00716028"/>
    <w:rsid w:val="00716225"/>
    <w:rsid w:val="007211BD"/>
    <w:rsid w:val="007254CE"/>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2844"/>
    <w:rsid w:val="00772A8B"/>
    <w:rsid w:val="00774073"/>
    <w:rsid w:val="00774A5C"/>
    <w:rsid w:val="00782889"/>
    <w:rsid w:val="0078640C"/>
    <w:rsid w:val="0078687B"/>
    <w:rsid w:val="00786A92"/>
    <w:rsid w:val="00787453"/>
    <w:rsid w:val="007877FD"/>
    <w:rsid w:val="007929DE"/>
    <w:rsid w:val="007A0AA4"/>
    <w:rsid w:val="007A6494"/>
    <w:rsid w:val="007B2ACD"/>
    <w:rsid w:val="007B667D"/>
    <w:rsid w:val="007C11EE"/>
    <w:rsid w:val="007C27BF"/>
    <w:rsid w:val="007C47EF"/>
    <w:rsid w:val="007C6913"/>
    <w:rsid w:val="007C7B48"/>
    <w:rsid w:val="007D06C9"/>
    <w:rsid w:val="007D0B7D"/>
    <w:rsid w:val="007D363A"/>
    <w:rsid w:val="007E365E"/>
    <w:rsid w:val="007E4CAB"/>
    <w:rsid w:val="007E55D5"/>
    <w:rsid w:val="007E6AF6"/>
    <w:rsid w:val="007E6CD4"/>
    <w:rsid w:val="007E7DBF"/>
    <w:rsid w:val="007E7F40"/>
    <w:rsid w:val="007F3CA8"/>
    <w:rsid w:val="007F4E46"/>
    <w:rsid w:val="007F7580"/>
    <w:rsid w:val="008065D0"/>
    <w:rsid w:val="00810064"/>
    <w:rsid w:val="00810E97"/>
    <w:rsid w:val="008142C1"/>
    <w:rsid w:val="00820A1A"/>
    <w:rsid w:val="008224E6"/>
    <w:rsid w:val="00823143"/>
    <w:rsid w:val="008256F6"/>
    <w:rsid w:val="00825FB7"/>
    <w:rsid w:val="00831E3D"/>
    <w:rsid w:val="00837EEB"/>
    <w:rsid w:val="0084036A"/>
    <w:rsid w:val="00842CFD"/>
    <w:rsid w:val="008464FB"/>
    <w:rsid w:val="00846A5A"/>
    <w:rsid w:val="00850015"/>
    <w:rsid w:val="00854F54"/>
    <w:rsid w:val="00855196"/>
    <w:rsid w:val="00857A57"/>
    <w:rsid w:val="0086014C"/>
    <w:rsid w:val="008604EB"/>
    <w:rsid w:val="00863CE9"/>
    <w:rsid w:val="00864EC9"/>
    <w:rsid w:val="00866C97"/>
    <w:rsid w:val="008701E6"/>
    <w:rsid w:val="008804EC"/>
    <w:rsid w:val="00882EC0"/>
    <w:rsid w:val="00884AD9"/>
    <w:rsid w:val="00885CFC"/>
    <w:rsid w:val="00886976"/>
    <w:rsid w:val="00890ABA"/>
    <w:rsid w:val="00890D78"/>
    <w:rsid w:val="00891043"/>
    <w:rsid w:val="008916D9"/>
    <w:rsid w:val="00891961"/>
    <w:rsid w:val="0089219A"/>
    <w:rsid w:val="00894876"/>
    <w:rsid w:val="00896CBD"/>
    <w:rsid w:val="00896F3A"/>
    <w:rsid w:val="0089751C"/>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4F"/>
    <w:rsid w:val="008D08A0"/>
    <w:rsid w:val="008D10CA"/>
    <w:rsid w:val="008D2A03"/>
    <w:rsid w:val="008D37DF"/>
    <w:rsid w:val="008D608E"/>
    <w:rsid w:val="008D636E"/>
    <w:rsid w:val="008E1B01"/>
    <w:rsid w:val="008E3F97"/>
    <w:rsid w:val="008E4B6C"/>
    <w:rsid w:val="008E5093"/>
    <w:rsid w:val="008E50B7"/>
    <w:rsid w:val="008F0525"/>
    <w:rsid w:val="008F09EE"/>
    <w:rsid w:val="008F1534"/>
    <w:rsid w:val="008F1EF5"/>
    <w:rsid w:val="008F57F7"/>
    <w:rsid w:val="008F6768"/>
    <w:rsid w:val="00900D7F"/>
    <w:rsid w:val="0090390A"/>
    <w:rsid w:val="00905E23"/>
    <w:rsid w:val="00906AEB"/>
    <w:rsid w:val="009100C2"/>
    <w:rsid w:val="009107C0"/>
    <w:rsid w:val="00911612"/>
    <w:rsid w:val="009117A6"/>
    <w:rsid w:val="0091225D"/>
    <w:rsid w:val="009147EE"/>
    <w:rsid w:val="0091522A"/>
    <w:rsid w:val="00915985"/>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675BE"/>
    <w:rsid w:val="0097368A"/>
    <w:rsid w:val="00980C0D"/>
    <w:rsid w:val="00982786"/>
    <w:rsid w:val="00985192"/>
    <w:rsid w:val="0098674A"/>
    <w:rsid w:val="00987569"/>
    <w:rsid w:val="00992949"/>
    <w:rsid w:val="009930D4"/>
    <w:rsid w:val="009930FA"/>
    <w:rsid w:val="009938DF"/>
    <w:rsid w:val="00995D8E"/>
    <w:rsid w:val="00996544"/>
    <w:rsid w:val="00996F27"/>
    <w:rsid w:val="00997A02"/>
    <w:rsid w:val="009A1F16"/>
    <w:rsid w:val="009B0DAF"/>
    <w:rsid w:val="009B527D"/>
    <w:rsid w:val="009B54E5"/>
    <w:rsid w:val="009C21E3"/>
    <w:rsid w:val="009C46E6"/>
    <w:rsid w:val="009C6BC1"/>
    <w:rsid w:val="009D2731"/>
    <w:rsid w:val="009D4FD3"/>
    <w:rsid w:val="009D5951"/>
    <w:rsid w:val="009E4344"/>
    <w:rsid w:val="009E6167"/>
    <w:rsid w:val="009F11D3"/>
    <w:rsid w:val="009F7581"/>
    <w:rsid w:val="00A00482"/>
    <w:rsid w:val="00A01E7D"/>
    <w:rsid w:val="00A04177"/>
    <w:rsid w:val="00A0672D"/>
    <w:rsid w:val="00A10F5E"/>
    <w:rsid w:val="00A12484"/>
    <w:rsid w:val="00A15E46"/>
    <w:rsid w:val="00A16483"/>
    <w:rsid w:val="00A20F76"/>
    <w:rsid w:val="00A23B41"/>
    <w:rsid w:val="00A307BE"/>
    <w:rsid w:val="00A32784"/>
    <w:rsid w:val="00A41658"/>
    <w:rsid w:val="00A42866"/>
    <w:rsid w:val="00A53784"/>
    <w:rsid w:val="00A54AD8"/>
    <w:rsid w:val="00A55833"/>
    <w:rsid w:val="00A56B2A"/>
    <w:rsid w:val="00A614E5"/>
    <w:rsid w:val="00A6195D"/>
    <w:rsid w:val="00A665B9"/>
    <w:rsid w:val="00A6791B"/>
    <w:rsid w:val="00A735DE"/>
    <w:rsid w:val="00A75662"/>
    <w:rsid w:val="00A75B31"/>
    <w:rsid w:val="00A7638C"/>
    <w:rsid w:val="00A76F6B"/>
    <w:rsid w:val="00A806FD"/>
    <w:rsid w:val="00A80C59"/>
    <w:rsid w:val="00A8422E"/>
    <w:rsid w:val="00A84F9E"/>
    <w:rsid w:val="00A86824"/>
    <w:rsid w:val="00A9182B"/>
    <w:rsid w:val="00A96D8B"/>
    <w:rsid w:val="00A97400"/>
    <w:rsid w:val="00AA089D"/>
    <w:rsid w:val="00AA0FB1"/>
    <w:rsid w:val="00AA6313"/>
    <w:rsid w:val="00AB3532"/>
    <w:rsid w:val="00AB3F45"/>
    <w:rsid w:val="00AC2CD4"/>
    <w:rsid w:val="00AC2EDB"/>
    <w:rsid w:val="00AC7EBC"/>
    <w:rsid w:val="00AD2B45"/>
    <w:rsid w:val="00AD6344"/>
    <w:rsid w:val="00AE2C9E"/>
    <w:rsid w:val="00AE32A2"/>
    <w:rsid w:val="00AF26B0"/>
    <w:rsid w:val="00AF4391"/>
    <w:rsid w:val="00AF4E04"/>
    <w:rsid w:val="00AF4E4B"/>
    <w:rsid w:val="00AF5478"/>
    <w:rsid w:val="00AF5538"/>
    <w:rsid w:val="00AF62D9"/>
    <w:rsid w:val="00B0622F"/>
    <w:rsid w:val="00B06C61"/>
    <w:rsid w:val="00B07444"/>
    <w:rsid w:val="00B078E5"/>
    <w:rsid w:val="00B10DC9"/>
    <w:rsid w:val="00B1403D"/>
    <w:rsid w:val="00B167B3"/>
    <w:rsid w:val="00B172C7"/>
    <w:rsid w:val="00B17AB8"/>
    <w:rsid w:val="00B211B1"/>
    <w:rsid w:val="00B2190B"/>
    <w:rsid w:val="00B21D7F"/>
    <w:rsid w:val="00B21F9C"/>
    <w:rsid w:val="00B237A7"/>
    <w:rsid w:val="00B23E01"/>
    <w:rsid w:val="00B24C37"/>
    <w:rsid w:val="00B32CC6"/>
    <w:rsid w:val="00B33171"/>
    <w:rsid w:val="00B3689E"/>
    <w:rsid w:val="00B421CE"/>
    <w:rsid w:val="00B43E66"/>
    <w:rsid w:val="00B44EAA"/>
    <w:rsid w:val="00B52FC8"/>
    <w:rsid w:val="00B56D26"/>
    <w:rsid w:val="00B56D79"/>
    <w:rsid w:val="00B606FC"/>
    <w:rsid w:val="00B60E8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5DF9"/>
    <w:rsid w:val="00BE6612"/>
    <w:rsid w:val="00BE73B7"/>
    <w:rsid w:val="00BE7D1A"/>
    <w:rsid w:val="00BF14D8"/>
    <w:rsid w:val="00BF26A4"/>
    <w:rsid w:val="00BF2A9F"/>
    <w:rsid w:val="00BF3B65"/>
    <w:rsid w:val="00BF61C2"/>
    <w:rsid w:val="00BF6D71"/>
    <w:rsid w:val="00BF7A7F"/>
    <w:rsid w:val="00C00FE5"/>
    <w:rsid w:val="00C015C1"/>
    <w:rsid w:val="00C01968"/>
    <w:rsid w:val="00C12E10"/>
    <w:rsid w:val="00C21686"/>
    <w:rsid w:val="00C21E4F"/>
    <w:rsid w:val="00C2223A"/>
    <w:rsid w:val="00C276F5"/>
    <w:rsid w:val="00C31C3C"/>
    <w:rsid w:val="00C34AFF"/>
    <w:rsid w:val="00C4325F"/>
    <w:rsid w:val="00C4558C"/>
    <w:rsid w:val="00C47196"/>
    <w:rsid w:val="00C500BF"/>
    <w:rsid w:val="00C503F5"/>
    <w:rsid w:val="00C51D13"/>
    <w:rsid w:val="00C52256"/>
    <w:rsid w:val="00C53539"/>
    <w:rsid w:val="00C545B5"/>
    <w:rsid w:val="00C558E9"/>
    <w:rsid w:val="00C637FD"/>
    <w:rsid w:val="00C663DC"/>
    <w:rsid w:val="00C66E35"/>
    <w:rsid w:val="00C66E94"/>
    <w:rsid w:val="00C6747E"/>
    <w:rsid w:val="00C716EA"/>
    <w:rsid w:val="00C71CDF"/>
    <w:rsid w:val="00C728D0"/>
    <w:rsid w:val="00C766B1"/>
    <w:rsid w:val="00C7797D"/>
    <w:rsid w:val="00C80399"/>
    <w:rsid w:val="00C81C78"/>
    <w:rsid w:val="00C81F7B"/>
    <w:rsid w:val="00C848BF"/>
    <w:rsid w:val="00C87E5D"/>
    <w:rsid w:val="00C96B3F"/>
    <w:rsid w:val="00C97682"/>
    <w:rsid w:val="00CA3E96"/>
    <w:rsid w:val="00CA4236"/>
    <w:rsid w:val="00CA4A3D"/>
    <w:rsid w:val="00CA4F16"/>
    <w:rsid w:val="00CA5F75"/>
    <w:rsid w:val="00CA7B9C"/>
    <w:rsid w:val="00CB01AB"/>
    <w:rsid w:val="00CB1296"/>
    <w:rsid w:val="00CB2232"/>
    <w:rsid w:val="00CB4C81"/>
    <w:rsid w:val="00CB788A"/>
    <w:rsid w:val="00CC2143"/>
    <w:rsid w:val="00CC5963"/>
    <w:rsid w:val="00CC7A01"/>
    <w:rsid w:val="00CD2F6C"/>
    <w:rsid w:val="00CD43ED"/>
    <w:rsid w:val="00CE5CC1"/>
    <w:rsid w:val="00CE77A6"/>
    <w:rsid w:val="00CF325C"/>
    <w:rsid w:val="00CF3CA0"/>
    <w:rsid w:val="00D00DEB"/>
    <w:rsid w:val="00D020C5"/>
    <w:rsid w:val="00D10081"/>
    <w:rsid w:val="00D1122B"/>
    <w:rsid w:val="00D16BC1"/>
    <w:rsid w:val="00D171CD"/>
    <w:rsid w:val="00D2149E"/>
    <w:rsid w:val="00D24705"/>
    <w:rsid w:val="00D251A2"/>
    <w:rsid w:val="00D3259F"/>
    <w:rsid w:val="00D35018"/>
    <w:rsid w:val="00D3577D"/>
    <w:rsid w:val="00D36E41"/>
    <w:rsid w:val="00D45723"/>
    <w:rsid w:val="00D558CA"/>
    <w:rsid w:val="00D57198"/>
    <w:rsid w:val="00D65B06"/>
    <w:rsid w:val="00D71A78"/>
    <w:rsid w:val="00D74639"/>
    <w:rsid w:val="00D748AA"/>
    <w:rsid w:val="00D748F0"/>
    <w:rsid w:val="00D90439"/>
    <w:rsid w:val="00D90CC6"/>
    <w:rsid w:val="00D9633D"/>
    <w:rsid w:val="00DA1198"/>
    <w:rsid w:val="00DA4130"/>
    <w:rsid w:val="00DA56A3"/>
    <w:rsid w:val="00DB20CB"/>
    <w:rsid w:val="00DB58E7"/>
    <w:rsid w:val="00DB67D5"/>
    <w:rsid w:val="00DB76E4"/>
    <w:rsid w:val="00DC0E2F"/>
    <w:rsid w:val="00DC27F2"/>
    <w:rsid w:val="00DC2B5C"/>
    <w:rsid w:val="00DC4DE6"/>
    <w:rsid w:val="00DC4E40"/>
    <w:rsid w:val="00DC541C"/>
    <w:rsid w:val="00DC5CB5"/>
    <w:rsid w:val="00DC6156"/>
    <w:rsid w:val="00DC7002"/>
    <w:rsid w:val="00DC72A9"/>
    <w:rsid w:val="00DD095F"/>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D9"/>
    <w:rsid w:val="00E36FF8"/>
    <w:rsid w:val="00E42519"/>
    <w:rsid w:val="00E517A8"/>
    <w:rsid w:val="00E52914"/>
    <w:rsid w:val="00E53B7A"/>
    <w:rsid w:val="00E54448"/>
    <w:rsid w:val="00E54EB9"/>
    <w:rsid w:val="00E5571B"/>
    <w:rsid w:val="00E55B97"/>
    <w:rsid w:val="00E6075F"/>
    <w:rsid w:val="00E627FC"/>
    <w:rsid w:val="00E64E02"/>
    <w:rsid w:val="00E67878"/>
    <w:rsid w:val="00E70D68"/>
    <w:rsid w:val="00E74562"/>
    <w:rsid w:val="00E77AD9"/>
    <w:rsid w:val="00E77CC5"/>
    <w:rsid w:val="00E86BC4"/>
    <w:rsid w:val="00E86EE1"/>
    <w:rsid w:val="00E87DB7"/>
    <w:rsid w:val="00E901E0"/>
    <w:rsid w:val="00E920EB"/>
    <w:rsid w:val="00E952C3"/>
    <w:rsid w:val="00E95FF8"/>
    <w:rsid w:val="00E96BE4"/>
    <w:rsid w:val="00E96CF0"/>
    <w:rsid w:val="00EA2F87"/>
    <w:rsid w:val="00EB2941"/>
    <w:rsid w:val="00EB4CC9"/>
    <w:rsid w:val="00EB679F"/>
    <w:rsid w:val="00EB7419"/>
    <w:rsid w:val="00EC1A75"/>
    <w:rsid w:val="00EC214C"/>
    <w:rsid w:val="00EC710A"/>
    <w:rsid w:val="00ED062B"/>
    <w:rsid w:val="00ED118C"/>
    <w:rsid w:val="00ED17D6"/>
    <w:rsid w:val="00ED3C44"/>
    <w:rsid w:val="00ED5486"/>
    <w:rsid w:val="00EE018A"/>
    <w:rsid w:val="00EE25A0"/>
    <w:rsid w:val="00EE31D4"/>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0EDF"/>
    <w:rsid w:val="00F43FD6"/>
    <w:rsid w:val="00F507CA"/>
    <w:rsid w:val="00F54919"/>
    <w:rsid w:val="00F5613D"/>
    <w:rsid w:val="00F56CE6"/>
    <w:rsid w:val="00F613EC"/>
    <w:rsid w:val="00F62B35"/>
    <w:rsid w:val="00F64B62"/>
    <w:rsid w:val="00F64F42"/>
    <w:rsid w:val="00F659D0"/>
    <w:rsid w:val="00F730F8"/>
    <w:rsid w:val="00F736D1"/>
    <w:rsid w:val="00F7754B"/>
    <w:rsid w:val="00F83964"/>
    <w:rsid w:val="00F904D0"/>
    <w:rsid w:val="00F91100"/>
    <w:rsid w:val="00F91304"/>
    <w:rsid w:val="00F9250D"/>
    <w:rsid w:val="00F92A0B"/>
    <w:rsid w:val="00F94638"/>
    <w:rsid w:val="00F96047"/>
    <w:rsid w:val="00FA2436"/>
    <w:rsid w:val="00FA3BF3"/>
    <w:rsid w:val="00FA5695"/>
    <w:rsid w:val="00FA6860"/>
    <w:rsid w:val="00FA73E2"/>
    <w:rsid w:val="00FB1688"/>
    <w:rsid w:val="00FB2D4B"/>
    <w:rsid w:val="00FB3173"/>
    <w:rsid w:val="00FB407E"/>
    <w:rsid w:val="00FB68E3"/>
    <w:rsid w:val="00FC0B71"/>
    <w:rsid w:val="00FC26AB"/>
    <w:rsid w:val="00FC2C3E"/>
    <w:rsid w:val="00FC66B2"/>
    <w:rsid w:val="00FC766D"/>
    <w:rsid w:val="00FD18AA"/>
    <w:rsid w:val="00FD2BCF"/>
    <w:rsid w:val="00FD4E02"/>
    <w:rsid w:val="00FD6E0A"/>
    <w:rsid w:val="00FE4A99"/>
    <w:rsid w:val="00FE5012"/>
    <w:rsid w:val="00FE552D"/>
    <w:rsid w:val="00FE7737"/>
    <w:rsid w:val="00FF6522"/>
    <w:rsid w:val="00FF72F2"/>
    <w:rsid w:val="00FF73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F2FA7E"/>
  <w15:docId w15:val="{D8399732-E1EE-4631-8C75-8F0378D3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34"/>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40927436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3401974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D0136-9BC3-43BC-A751-14C036F38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23</Pages>
  <Words>8992</Words>
  <Characters>51256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cp:revision>
  <cp:lastPrinted>2021-08-03T05:33:00Z</cp:lastPrinted>
  <dcterms:created xsi:type="dcterms:W3CDTF">2022-08-01T10:39:00Z</dcterms:created>
  <dcterms:modified xsi:type="dcterms:W3CDTF">2022-08-02T08:11:00Z</dcterms:modified>
</cp:coreProperties>
</file>