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322AD" w14:textId="36195077" w:rsidR="002D0D52" w:rsidRPr="006A0A7B" w:rsidRDefault="00AB7315" w:rsidP="004C2462">
      <w:pPr>
        <w:spacing w:after="120"/>
        <w:jc w:val="both"/>
        <w:rPr>
          <w:rFonts w:cstheme="minorHAnsi"/>
          <w:b/>
          <w:sz w:val="24"/>
          <w:szCs w:val="24"/>
          <w:highlight w:val="yellow"/>
        </w:rPr>
      </w:pPr>
      <w:r w:rsidRPr="006A0A7B">
        <w:rPr>
          <w:rFonts w:cstheme="minorHAnsi"/>
          <w:b/>
          <w:sz w:val="24"/>
          <w:szCs w:val="24"/>
        </w:rPr>
        <w:t xml:space="preserve">ANEKS </w:t>
      </w:r>
      <w:proofErr w:type="gramStart"/>
      <w:r w:rsidRPr="006A0A7B">
        <w:rPr>
          <w:rFonts w:cstheme="minorHAnsi"/>
          <w:b/>
          <w:sz w:val="24"/>
          <w:szCs w:val="24"/>
        </w:rPr>
        <w:t>I</w:t>
      </w:r>
      <w:r w:rsidR="004C2462" w:rsidRPr="006A0A7B">
        <w:rPr>
          <w:rFonts w:cstheme="minorHAnsi"/>
          <w:b/>
          <w:sz w:val="24"/>
          <w:szCs w:val="24"/>
        </w:rPr>
        <w:t xml:space="preserve"> :</w:t>
      </w:r>
      <w:proofErr w:type="gramEnd"/>
      <w:r w:rsidR="004C2462" w:rsidRPr="006A0A7B">
        <w:rPr>
          <w:rFonts w:cstheme="minorHAnsi"/>
          <w:b/>
          <w:sz w:val="24"/>
          <w:szCs w:val="24"/>
        </w:rPr>
        <w:t xml:space="preserve"> </w:t>
      </w:r>
      <w:r w:rsidR="002D0D52" w:rsidRPr="006A0A7B">
        <w:rPr>
          <w:rFonts w:cstheme="minorHAnsi"/>
          <w:b/>
          <w:sz w:val="24"/>
          <w:szCs w:val="24"/>
        </w:rPr>
        <w:t>Strategija razvoja turizma u Crnoj Gori do 2025. godine – institucionalni, zakonodavni i strateški okvir</w:t>
      </w:r>
    </w:p>
    <w:p w14:paraId="5D62FD13" w14:textId="60D61658" w:rsidR="00AB7315" w:rsidRPr="004C2462" w:rsidRDefault="00AB7315" w:rsidP="004C2462">
      <w:pPr>
        <w:spacing w:after="120"/>
        <w:jc w:val="both"/>
        <w:rPr>
          <w:rFonts w:cstheme="minorHAnsi"/>
          <w:sz w:val="24"/>
          <w:szCs w:val="24"/>
        </w:rPr>
      </w:pPr>
      <w:r w:rsidRPr="004C2462">
        <w:rPr>
          <w:rFonts w:cstheme="minorHAnsi"/>
          <w:sz w:val="24"/>
          <w:szCs w:val="24"/>
        </w:rPr>
        <w:t>Pravni osnov za pripremu i usvajanje Strategije razvoja turizma sadržan je u Zakonu o turizmu i ugostiteljstvu („Sl.</w:t>
      </w:r>
      <w:r w:rsidR="001937CE" w:rsidRPr="004C2462">
        <w:rPr>
          <w:rFonts w:cstheme="minorHAnsi"/>
          <w:sz w:val="24"/>
          <w:szCs w:val="24"/>
        </w:rPr>
        <w:t xml:space="preserve"> </w:t>
      </w:r>
      <w:r w:rsidRPr="004C2462">
        <w:rPr>
          <w:rFonts w:cstheme="minorHAnsi"/>
          <w:sz w:val="24"/>
          <w:szCs w:val="24"/>
        </w:rPr>
        <w:t xml:space="preserve">list </w:t>
      </w:r>
      <w:proofErr w:type="gramStart"/>
      <w:r w:rsidRPr="004C2462">
        <w:rPr>
          <w:rFonts w:cstheme="minorHAnsi"/>
          <w:sz w:val="24"/>
          <w:szCs w:val="24"/>
        </w:rPr>
        <w:t>CG“ br.</w:t>
      </w:r>
      <w:proofErr w:type="gramEnd"/>
      <w:r w:rsidR="001937CE" w:rsidRPr="004C2462">
        <w:rPr>
          <w:rFonts w:cstheme="minorHAnsi"/>
          <w:sz w:val="24"/>
          <w:szCs w:val="24"/>
        </w:rPr>
        <w:t xml:space="preserve"> </w:t>
      </w:r>
      <w:r w:rsidRPr="004C2462">
        <w:rPr>
          <w:rFonts w:cstheme="minorHAnsi"/>
          <w:sz w:val="24"/>
          <w:szCs w:val="24"/>
        </w:rPr>
        <w:t xml:space="preserve">02/18, 013/18, 25/19, 67/19, 76/20), kojim je propisano da se razvoj turizma planira Strategijom razvoja turizma, koju donosi Vlada na period od deset godina. </w:t>
      </w:r>
    </w:p>
    <w:p w14:paraId="39939D77" w14:textId="2933DF77" w:rsidR="00AB7315" w:rsidRPr="004C2462" w:rsidRDefault="00AB7315" w:rsidP="004C2462">
      <w:pPr>
        <w:spacing w:after="120"/>
        <w:jc w:val="both"/>
        <w:rPr>
          <w:rFonts w:cstheme="minorHAnsi"/>
          <w:sz w:val="24"/>
          <w:szCs w:val="24"/>
        </w:rPr>
      </w:pPr>
      <w:r w:rsidRPr="004C2462">
        <w:rPr>
          <w:rFonts w:cstheme="minorHAnsi"/>
          <w:sz w:val="24"/>
          <w:szCs w:val="24"/>
        </w:rPr>
        <w:t>Usl</w:t>
      </w:r>
      <w:r w:rsidR="004C2462" w:rsidRPr="004C2462">
        <w:rPr>
          <w:rFonts w:cstheme="minorHAnsi"/>
          <w:sz w:val="24"/>
          <w:szCs w:val="24"/>
        </w:rPr>
        <w:t>j</w:t>
      </w:r>
      <w:r w:rsidRPr="004C2462">
        <w:rPr>
          <w:rFonts w:cstheme="minorHAnsi"/>
          <w:sz w:val="24"/>
          <w:szCs w:val="24"/>
        </w:rPr>
        <w:t>ed globalne ekonomske krize 2008</w:t>
      </w:r>
      <w:r w:rsidR="004C2462" w:rsidRPr="004C2462">
        <w:rPr>
          <w:rFonts w:cstheme="minorHAnsi"/>
          <w:sz w:val="24"/>
          <w:szCs w:val="24"/>
        </w:rPr>
        <w:t>/</w:t>
      </w:r>
      <w:r w:rsidRPr="004C2462">
        <w:rPr>
          <w:rFonts w:cstheme="minorHAnsi"/>
          <w:sz w:val="24"/>
          <w:szCs w:val="24"/>
        </w:rPr>
        <w:t>2009 godine i njenog uticaja na realizaciju ciljeva definisanih prethodnom Strategijom, kao i zbog situacije nastala zbog epidemije COVID-19, ukazala se potreba za rezimiranjem stanja u oblasti turizma kao jednoj od djelatnosti koje su najviše pogođene novim okolnostima. Širenje virusa COVID-19 za rezutat je imalo negativne efekte, odnosno ogromne gubitke u poslovanju turističke privrede Crne Gore. Imajući u vidu navedeno, Ministarstvo ekonomskog razvoja je donijelo odluku da Strategija razvoja turizma bude donijeta za period</w:t>
      </w:r>
      <w:r w:rsidR="001463E7">
        <w:rPr>
          <w:rFonts w:cstheme="minorHAnsi"/>
          <w:sz w:val="24"/>
          <w:szCs w:val="24"/>
        </w:rPr>
        <w:t xml:space="preserve"> 2025. godine</w:t>
      </w:r>
      <w:r w:rsidRPr="004C2462">
        <w:rPr>
          <w:rFonts w:cstheme="minorHAnsi"/>
          <w:sz w:val="24"/>
          <w:szCs w:val="24"/>
        </w:rPr>
        <w:t xml:space="preserve">, zbog efikasnijeg strateškog planiranja razvoja turizma u uslovima izmijenjene realnosti, odnosno </w:t>
      </w:r>
      <w:r w:rsidR="001463E7">
        <w:rPr>
          <w:rFonts w:cstheme="minorHAnsi"/>
          <w:sz w:val="24"/>
          <w:szCs w:val="24"/>
        </w:rPr>
        <w:t xml:space="preserve">u </w:t>
      </w:r>
      <w:r w:rsidRPr="004C2462">
        <w:rPr>
          <w:rFonts w:cstheme="minorHAnsi"/>
          <w:sz w:val="24"/>
          <w:szCs w:val="24"/>
        </w:rPr>
        <w:t>COVID i post COVID period</w:t>
      </w:r>
      <w:r w:rsidR="001463E7">
        <w:rPr>
          <w:rFonts w:cstheme="minorHAnsi"/>
          <w:sz w:val="24"/>
          <w:szCs w:val="24"/>
        </w:rPr>
        <w:t>u</w:t>
      </w:r>
      <w:r w:rsidRPr="004C2462">
        <w:rPr>
          <w:rFonts w:cstheme="minorHAnsi"/>
          <w:sz w:val="24"/>
          <w:szCs w:val="24"/>
        </w:rPr>
        <w:t xml:space="preserve">. </w:t>
      </w:r>
    </w:p>
    <w:p w14:paraId="6F0CB6B8" w14:textId="0454621D" w:rsidR="00AB7315" w:rsidRPr="004C2462" w:rsidRDefault="00AB7315" w:rsidP="004C2462">
      <w:pPr>
        <w:spacing w:after="120"/>
        <w:jc w:val="both"/>
        <w:rPr>
          <w:rFonts w:cstheme="minorHAnsi"/>
          <w:sz w:val="24"/>
          <w:szCs w:val="24"/>
        </w:rPr>
      </w:pPr>
      <w:r w:rsidRPr="004C2462">
        <w:rPr>
          <w:rFonts w:cstheme="minorHAnsi"/>
          <w:sz w:val="24"/>
          <w:szCs w:val="24"/>
        </w:rPr>
        <w:t>Pored Zakona o turizmu i ugostiteljstvu, zakonski okvir za oblast turizma regulisan je i Zakonom o turističkim organizacijama</w:t>
      </w:r>
      <w:r w:rsidR="004C2462" w:rsidRPr="004C2462">
        <w:rPr>
          <w:rStyle w:val="FootnoteReference"/>
          <w:rFonts w:cstheme="minorHAnsi"/>
          <w:sz w:val="24"/>
          <w:szCs w:val="24"/>
        </w:rPr>
        <w:footnoteReference w:id="1"/>
      </w:r>
      <w:r w:rsidRPr="004C2462">
        <w:rPr>
          <w:rFonts w:cstheme="minorHAnsi"/>
          <w:sz w:val="24"/>
          <w:szCs w:val="24"/>
        </w:rPr>
        <w:t>, Zakon</w:t>
      </w:r>
      <w:r w:rsidR="004C2462" w:rsidRPr="004C2462">
        <w:rPr>
          <w:rFonts w:cstheme="minorHAnsi"/>
          <w:sz w:val="24"/>
          <w:szCs w:val="24"/>
        </w:rPr>
        <w:t>om</w:t>
      </w:r>
      <w:r w:rsidRPr="004C2462">
        <w:rPr>
          <w:rFonts w:cstheme="minorHAnsi"/>
          <w:sz w:val="24"/>
          <w:szCs w:val="24"/>
        </w:rPr>
        <w:t xml:space="preserve"> o boravišnoj taksi</w:t>
      </w:r>
      <w:r w:rsidR="004C2462" w:rsidRPr="004C2462">
        <w:rPr>
          <w:rStyle w:val="FootnoteReference"/>
          <w:rFonts w:cstheme="minorHAnsi"/>
          <w:sz w:val="24"/>
          <w:szCs w:val="24"/>
        </w:rPr>
        <w:footnoteReference w:id="2"/>
      </w:r>
      <w:r w:rsidRPr="004C2462">
        <w:rPr>
          <w:rFonts w:cstheme="minorHAnsi"/>
          <w:sz w:val="24"/>
          <w:szCs w:val="24"/>
        </w:rPr>
        <w:t>, Zakon</w:t>
      </w:r>
      <w:r w:rsidR="004C2462" w:rsidRPr="004C2462">
        <w:rPr>
          <w:rFonts w:cstheme="minorHAnsi"/>
          <w:sz w:val="24"/>
          <w:szCs w:val="24"/>
        </w:rPr>
        <w:t>om</w:t>
      </w:r>
      <w:r w:rsidRPr="004C2462">
        <w:rPr>
          <w:rFonts w:cstheme="minorHAnsi"/>
          <w:sz w:val="24"/>
          <w:szCs w:val="24"/>
        </w:rPr>
        <w:t xml:space="preserve"> o planinskim stazama</w:t>
      </w:r>
      <w:r w:rsidR="004C2462" w:rsidRPr="004C2462">
        <w:rPr>
          <w:rStyle w:val="FootnoteReference"/>
          <w:rFonts w:cstheme="minorHAnsi"/>
          <w:sz w:val="24"/>
          <w:szCs w:val="24"/>
        </w:rPr>
        <w:footnoteReference w:id="3"/>
      </w:r>
      <w:r w:rsidRPr="004C2462">
        <w:rPr>
          <w:rFonts w:cstheme="minorHAnsi"/>
          <w:sz w:val="24"/>
          <w:szCs w:val="24"/>
        </w:rPr>
        <w:t>, Zakon</w:t>
      </w:r>
      <w:r w:rsidR="004C2462" w:rsidRPr="004C2462">
        <w:rPr>
          <w:rFonts w:cstheme="minorHAnsi"/>
          <w:sz w:val="24"/>
          <w:szCs w:val="24"/>
        </w:rPr>
        <w:t>om</w:t>
      </w:r>
      <w:r w:rsidRPr="004C2462">
        <w:rPr>
          <w:rFonts w:cstheme="minorHAnsi"/>
          <w:sz w:val="24"/>
          <w:szCs w:val="24"/>
        </w:rPr>
        <w:t xml:space="preserve"> o skijalištima</w:t>
      </w:r>
      <w:r w:rsidR="004C2462" w:rsidRPr="004C2462">
        <w:rPr>
          <w:rStyle w:val="FootnoteReference"/>
          <w:rFonts w:cstheme="minorHAnsi"/>
          <w:sz w:val="24"/>
          <w:szCs w:val="24"/>
        </w:rPr>
        <w:footnoteReference w:id="4"/>
      </w:r>
      <w:r w:rsidRPr="004C2462">
        <w:rPr>
          <w:rFonts w:cstheme="minorHAnsi"/>
          <w:sz w:val="24"/>
          <w:szCs w:val="24"/>
        </w:rPr>
        <w:t xml:space="preserve"> i Zakon</w:t>
      </w:r>
      <w:r w:rsidR="004C2462" w:rsidRPr="004C2462">
        <w:rPr>
          <w:rFonts w:cstheme="minorHAnsi"/>
          <w:sz w:val="24"/>
          <w:szCs w:val="24"/>
        </w:rPr>
        <w:t>om</w:t>
      </w:r>
      <w:r w:rsidRPr="004C2462">
        <w:rPr>
          <w:rFonts w:cstheme="minorHAnsi"/>
          <w:sz w:val="24"/>
          <w:szCs w:val="24"/>
        </w:rPr>
        <w:t xml:space="preserve"> o raftingu</w:t>
      </w:r>
      <w:r w:rsidR="004C2462" w:rsidRPr="004C2462">
        <w:rPr>
          <w:rStyle w:val="FootnoteReference"/>
          <w:rFonts w:cstheme="minorHAnsi"/>
          <w:sz w:val="24"/>
          <w:szCs w:val="24"/>
        </w:rPr>
        <w:footnoteReference w:id="5"/>
      </w:r>
      <w:r w:rsidRPr="004C2462">
        <w:rPr>
          <w:rFonts w:cstheme="minorHAnsi"/>
          <w:sz w:val="24"/>
          <w:szCs w:val="24"/>
        </w:rPr>
        <w:t xml:space="preserve">. </w:t>
      </w:r>
    </w:p>
    <w:p w14:paraId="55CA9E8A" w14:textId="346680ED" w:rsidR="00AB7315" w:rsidRPr="004C2462" w:rsidRDefault="00AB7315" w:rsidP="004C2462">
      <w:pPr>
        <w:spacing w:after="120"/>
        <w:jc w:val="both"/>
        <w:rPr>
          <w:rFonts w:cstheme="minorHAnsi"/>
          <w:sz w:val="24"/>
          <w:szCs w:val="24"/>
        </w:rPr>
      </w:pPr>
      <w:r w:rsidRPr="004C2462">
        <w:rPr>
          <w:rFonts w:cstheme="minorHAnsi"/>
          <w:sz w:val="24"/>
          <w:szCs w:val="24"/>
        </w:rPr>
        <w:t>Zakonom o turizmu i ugostiteljstvu stvoreni su preduslovi za dalje unapr</w:t>
      </w:r>
      <w:r w:rsidR="004C2462" w:rsidRPr="004C2462">
        <w:rPr>
          <w:rFonts w:cstheme="minorHAnsi"/>
          <w:sz w:val="24"/>
          <w:szCs w:val="24"/>
        </w:rPr>
        <w:t>ij</w:t>
      </w:r>
      <w:r w:rsidRPr="004C2462">
        <w:rPr>
          <w:rFonts w:cstheme="minorHAnsi"/>
          <w:sz w:val="24"/>
          <w:szCs w:val="24"/>
        </w:rPr>
        <w:t>jeđenje kvaliteta normativnog uređenja oblasti turizma i ugostiteljstva uvođenjem novih modela poslovanja u hotelima (integralni hotel, kondo i mješoviti model poslovanja), pojednostavljene procedure započinjanja i obavljanja poslovanja, podsticaja za razvoj turizma u nedovoljno razvijenim područjima (formiranje turističkih razvojnih zona), podrške investitorima u realizaciji projekata za visoko-kvalitetne objekte - sa ciljem značajnijeg podizanja nivoa kvaliteta smještajnih kapaciteta, prije svega hotela, kao i dalje usklađivanje sa pravnom tekovinom EU.</w:t>
      </w:r>
    </w:p>
    <w:p w14:paraId="5930EAF9" w14:textId="77777777" w:rsidR="00AB7315" w:rsidRPr="004C2462" w:rsidRDefault="00AB7315" w:rsidP="004C2462">
      <w:pPr>
        <w:spacing w:after="120"/>
        <w:jc w:val="both"/>
        <w:rPr>
          <w:rFonts w:cstheme="minorHAnsi"/>
          <w:sz w:val="24"/>
          <w:szCs w:val="24"/>
        </w:rPr>
      </w:pPr>
      <w:r w:rsidRPr="004C2462">
        <w:rPr>
          <w:rFonts w:cstheme="minorHAnsi"/>
          <w:sz w:val="24"/>
          <w:szCs w:val="24"/>
        </w:rPr>
        <w:t xml:space="preserve">Između ostalih, indirektan uticaj na sektor turizma imaju i zakonska rješenja definisana Zakonom o planiranju prostora i izgradnji objekata, Zakonom o zaštiti prirode, Zakonom o nacionalnim parkovima i Zakonom o procjeni uticaja na životnu sredinu. </w:t>
      </w:r>
    </w:p>
    <w:p w14:paraId="0E6A58B9" w14:textId="77777777" w:rsidR="00AB7315" w:rsidRPr="004C2462" w:rsidRDefault="00AB7315" w:rsidP="004C2462">
      <w:pPr>
        <w:spacing w:after="120"/>
        <w:jc w:val="both"/>
        <w:rPr>
          <w:rFonts w:cstheme="minorHAnsi"/>
          <w:i/>
          <w:sz w:val="24"/>
          <w:szCs w:val="24"/>
        </w:rPr>
      </w:pPr>
    </w:p>
    <w:p w14:paraId="20DA6EA7" w14:textId="77777777" w:rsidR="00AB7315" w:rsidRPr="004C2462" w:rsidRDefault="00AB7315" w:rsidP="004C2462">
      <w:pPr>
        <w:pStyle w:val="ListParagraph"/>
        <w:numPr>
          <w:ilvl w:val="0"/>
          <w:numId w:val="4"/>
        </w:numPr>
        <w:spacing w:after="120"/>
        <w:jc w:val="both"/>
        <w:rPr>
          <w:rFonts w:cstheme="minorHAnsi"/>
          <w:b/>
          <w:color w:val="000000" w:themeColor="text1"/>
          <w:sz w:val="24"/>
          <w:szCs w:val="24"/>
        </w:rPr>
      </w:pPr>
      <w:r w:rsidRPr="004C2462">
        <w:rPr>
          <w:rFonts w:cstheme="minorHAnsi"/>
          <w:b/>
          <w:color w:val="000000" w:themeColor="text1"/>
          <w:sz w:val="24"/>
          <w:szCs w:val="24"/>
        </w:rPr>
        <w:t xml:space="preserve">Usklađenost Strategije razvoja turizma 2021-2025 sa postojećim strateškim okvirom </w:t>
      </w:r>
    </w:p>
    <w:p w14:paraId="76D3AE0B" w14:textId="77777777" w:rsidR="00AB7315" w:rsidRPr="004C2462" w:rsidRDefault="00AB7315" w:rsidP="004C2462">
      <w:pPr>
        <w:spacing w:after="120"/>
        <w:jc w:val="both"/>
        <w:rPr>
          <w:rFonts w:cstheme="minorHAnsi"/>
          <w:color w:val="000000" w:themeColor="text1"/>
          <w:sz w:val="24"/>
          <w:szCs w:val="24"/>
        </w:rPr>
      </w:pPr>
      <w:r w:rsidRPr="004C2462">
        <w:rPr>
          <w:rFonts w:cstheme="minorHAnsi"/>
          <w:color w:val="000000" w:themeColor="text1"/>
          <w:sz w:val="24"/>
          <w:szCs w:val="24"/>
        </w:rPr>
        <w:t xml:space="preserve">Razumijevanje aktuelnog razvojnog koncepta, zasnovanog na informacijama o dostignutom nivou implementacije relevantnih politika, predstavlja jedan od preduslova za uspostavljanje okvira za efikasniji razvoj turizma. S tim u vezi, identifikovane su i analizirane relevantne politike i dokumenta koje predstavljaju strateški razvojni okvir na nacionalnom nivou i stvoreni su osnovni preduslovi za </w:t>
      </w:r>
      <w:r w:rsidRPr="004C2462">
        <w:rPr>
          <w:rFonts w:cstheme="minorHAnsi"/>
          <w:color w:val="000000" w:themeColor="text1"/>
          <w:sz w:val="24"/>
          <w:szCs w:val="24"/>
        </w:rPr>
        <w:lastRenderedPageBreak/>
        <w:t>prepoznavanje razvojnih potencijala i usmjerenja formulisanih u horizontalnim, tematskim politikama.</w:t>
      </w:r>
    </w:p>
    <w:p w14:paraId="31C8D0BC" w14:textId="08F9F994" w:rsidR="00AB7315" w:rsidRPr="004C2462" w:rsidRDefault="00AB7315" w:rsidP="004C2462">
      <w:pPr>
        <w:spacing w:after="120"/>
        <w:jc w:val="both"/>
        <w:rPr>
          <w:rFonts w:cstheme="minorHAnsi"/>
          <w:color w:val="000000" w:themeColor="text1"/>
          <w:sz w:val="24"/>
          <w:szCs w:val="24"/>
        </w:rPr>
      </w:pPr>
      <w:r w:rsidRPr="004C2462">
        <w:rPr>
          <w:rFonts w:cstheme="minorHAnsi"/>
          <w:b/>
          <w:color w:val="000000" w:themeColor="text1"/>
          <w:sz w:val="24"/>
          <w:szCs w:val="24"/>
        </w:rPr>
        <w:t>Strategija razvoja turizma 2021-2025</w:t>
      </w:r>
      <w:r w:rsidR="001463E7">
        <w:rPr>
          <w:rFonts w:cstheme="minorHAnsi"/>
          <w:b/>
          <w:color w:val="000000" w:themeColor="text1"/>
          <w:sz w:val="24"/>
          <w:szCs w:val="24"/>
        </w:rPr>
        <w:t xml:space="preserve"> s Akcionim planom</w:t>
      </w:r>
      <w:r w:rsidRPr="004C2462">
        <w:rPr>
          <w:rFonts w:cstheme="minorHAnsi"/>
          <w:b/>
          <w:color w:val="000000" w:themeColor="text1"/>
          <w:sz w:val="24"/>
          <w:szCs w:val="24"/>
        </w:rPr>
        <w:t xml:space="preserve">, </w:t>
      </w:r>
      <w:r w:rsidRPr="004C2462">
        <w:rPr>
          <w:rFonts w:cstheme="minorHAnsi"/>
          <w:color w:val="000000" w:themeColor="text1"/>
          <w:sz w:val="24"/>
          <w:szCs w:val="24"/>
        </w:rPr>
        <w:t xml:space="preserve">kako je i prikazano na Grafiku 1, povezuje se sa strateškim nacionalnim dokumentima, ali i dokumentima EU. Ključne preporuke za formulisanje Strategije, proizašle iz procesa kreiranja obuhvatne razvojne politike Crne Gore i usaglašavanja sa principima strateškog okvira EU, odnose se na izbor mjera čijom bi primjenom Crna Gora efikasno uticala na povećanje konkurentnosti na međunarodnom turističkom tržištu.  </w:t>
      </w:r>
    </w:p>
    <w:p w14:paraId="7FFC9622" w14:textId="77777777" w:rsidR="00AB7315" w:rsidRPr="004C2462" w:rsidRDefault="00AB7315" w:rsidP="004C2462">
      <w:pPr>
        <w:pStyle w:val="ListParagraph"/>
        <w:numPr>
          <w:ilvl w:val="0"/>
          <w:numId w:val="4"/>
        </w:numPr>
        <w:spacing w:after="120"/>
        <w:jc w:val="both"/>
        <w:rPr>
          <w:rFonts w:cstheme="minorHAnsi"/>
          <w:b/>
          <w:sz w:val="24"/>
          <w:szCs w:val="24"/>
        </w:rPr>
      </w:pPr>
      <w:r w:rsidRPr="004C2462">
        <w:rPr>
          <w:rFonts w:cstheme="minorHAnsi"/>
          <w:b/>
          <w:sz w:val="24"/>
          <w:szCs w:val="24"/>
        </w:rPr>
        <w:t xml:space="preserve">Nacionalni okvir  </w:t>
      </w:r>
    </w:p>
    <w:p w14:paraId="18188E64" w14:textId="77777777" w:rsidR="00AB7315" w:rsidRPr="004C2462" w:rsidRDefault="00AB7315" w:rsidP="004C2462">
      <w:pPr>
        <w:spacing w:after="120"/>
        <w:jc w:val="both"/>
        <w:rPr>
          <w:rFonts w:cstheme="minorHAnsi"/>
          <w:sz w:val="24"/>
          <w:szCs w:val="24"/>
        </w:rPr>
      </w:pPr>
      <w:r w:rsidRPr="004C2462">
        <w:rPr>
          <w:rFonts w:cstheme="minorHAnsi"/>
          <w:b/>
          <w:i/>
          <w:sz w:val="24"/>
          <w:szCs w:val="24"/>
        </w:rPr>
        <w:t>Nacionalna strategija održivog razvoja do 2030. godine</w:t>
      </w:r>
      <w:r w:rsidRPr="004C2462">
        <w:rPr>
          <w:rFonts w:cstheme="minorHAnsi"/>
          <w:sz w:val="24"/>
          <w:szCs w:val="24"/>
        </w:rPr>
        <w:t xml:space="preserve"> je krovna, horizontalna, i dugoročna razvojna strategija Crne Gore, koja se ne odnosi samo na životnu sredinu i ekonomiju, već i na ljudske resurse i društveni kapital koji treba da omoguće prosperitetan razvoj Crne Gore</w:t>
      </w:r>
      <w:r w:rsidRPr="004C2462">
        <w:rPr>
          <w:rFonts w:cstheme="minorHAnsi"/>
          <w:color w:val="FF0000"/>
          <w:sz w:val="24"/>
          <w:szCs w:val="24"/>
        </w:rPr>
        <w:t xml:space="preserve">. </w:t>
      </w:r>
      <w:r w:rsidRPr="004C2462">
        <w:rPr>
          <w:rFonts w:cstheme="minorHAnsi"/>
          <w:sz w:val="24"/>
          <w:szCs w:val="24"/>
        </w:rPr>
        <w:t>Projektne aktivnosti u sektoru turizma bazirane su prije svega na poštovanju principa održivosti koji su definisani Nacionalnom strategijom održivog razvoja Crne Gore do 2030. godine.</w:t>
      </w:r>
    </w:p>
    <w:p w14:paraId="011B4582" w14:textId="483D3460" w:rsidR="00AB7315" w:rsidRPr="004C2462" w:rsidRDefault="00AB7315" w:rsidP="004C2462">
      <w:pPr>
        <w:spacing w:after="120"/>
        <w:jc w:val="both"/>
        <w:rPr>
          <w:rFonts w:cstheme="minorHAnsi"/>
          <w:sz w:val="24"/>
          <w:szCs w:val="24"/>
        </w:rPr>
      </w:pPr>
      <w:r w:rsidRPr="004C2462">
        <w:rPr>
          <w:rFonts w:cstheme="minorHAnsi"/>
          <w:sz w:val="24"/>
          <w:szCs w:val="24"/>
        </w:rPr>
        <w:t xml:space="preserve">Crna Gora se, u smislu sprovođenja </w:t>
      </w:r>
      <w:r w:rsidRPr="004C2462">
        <w:rPr>
          <w:rFonts w:cstheme="minorHAnsi"/>
          <w:b/>
          <w:sz w:val="24"/>
          <w:szCs w:val="24"/>
        </w:rPr>
        <w:t>Nacionalne strategija održivog razvoja do 2030. godine</w:t>
      </w:r>
      <w:r w:rsidRPr="004C2462">
        <w:rPr>
          <w:rFonts w:cstheme="minorHAnsi"/>
          <w:sz w:val="24"/>
          <w:szCs w:val="24"/>
        </w:rPr>
        <w:t xml:space="preserve"> sa AP, kao krovnog dokumenta za održivi razvoj, a koja je usklađena sa ciljevima održivog razvoja Agende UN do 2030 (SGD- </w:t>
      </w:r>
      <w:r w:rsidR="001463E7">
        <w:rPr>
          <w:rFonts w:cstheme="minorHAnsi"/>
          <w:sz w:val="24"/>
          <w:szCs w:val="24"/>
        </w:rPr>
        <w:t>Su</w:t>
      </w:r>
      <w:r w:rsidRPr="004C2462">
        <w:rPr>
          <w:rFonts w:cstheme="minorHAnsi"/>
          <w:sz w:val="24"/>
          <w:szCs w:val="24"/>
        </w:rPr>
        <w:t xml:space="preserve">stainable </w:t>
      </w:r>
      <w:r w:rsidR="001463E7">
        <w:rPr>
          <w:rFonts w:cstheme="minorHAnsi"/>
          <w:sz w:val="24"/>
          <w:szCs w:val="24"/>
        </w:rPr>
        <w:t>D</w:t>
      </w:r>
      <w:r w:rsidRPr="004C2462">
        <w:rPr>
          <w:rFonts w:cstheme="minorHAnsi"/>
          <w:sz w:val="24"/>
          <w:szCs w:val="24"/>
        </w:rPr>
        <w:t xml:space="preserve">evelopment </w:t>
      </w:r>
      <w:r w:rsidR="001463E7">
        <w:rPr>
          <w:rFonts w:cstheme="minorHAnsi"/>
          <w:sz w:val="24"/>
          <w:szCs w:val="24"/>
        </w:rPr>
        <w:t>G</w:t>
      </w:r>
      <w:r w:rsidRPr="004C2462">
        <w:rPr>
          <w:rFonts w:cstheme="minorHAnsi"/>
          <w:sz w:val="24"/>
          <w:szCs w:val="24"/>
        </w:rPr>
        <w:t>oals), obavezala da:</w:t>
      </w:r>
    </w:p>
    <w:p w14:paraId="0E464207" w14:textId="633C6F3C" w:rsidR="00AB7315" w:rsidRPr="004C2462" w:rsidRDefault="00AB7315" w:rsidP="004C2462">
      <w:pPr>
        <w:spacing w:after="120"/>
        <w:jc w:val="both"/>
        <w:rPr>
          <w:rFonts w:cstheme="minorHAnsi"/>
          <w:sz w:val="24"/>
          <w:szCs w:val="24"/>
        </w:rPr>
      </w:pPr>
      <w:r w:rsidRPr="004C2462">
        <w:rPr>
          <w:rFonts w:cstheme="minorHAnsi"/>
          <w:sz w:val="24"/>
          <w:szCs w:val="24"/>
        </w:rPr>
        <w:t>Unapređuje lokalnu preduzetničku infrastrukturu i poslovni ambijent za razvoj preduzetništva i malih i srednjih preduzeća (SGD 8.9.1)</w:t>
      </w:r>
      <w:r w:rsidR="001937CE" w:rsidRPr="004C2462">
        <w:rPr>
          <w:rFonts w:cstheme="minorHAnsi"/>
          <w:sz w:val="24"/>
          <w:szCs w:val="24"/>
        </w:rPr>
        <w:t xml:space="preserve"> </w:t>
      </w:r>
      <w:r w:rsidRPr="004C2462">
        <w:rPr>
          <w:rFonts w:cstheme="minorHAnsi"/>
          <w:sz w:val="24"/>
          <w:szCs w:val="24"/>
        </w:rPr>
        <w:t>u cilju stavljanja u funkciju nacionalnih, lokalnih i turističkih biznis zona, kroz finansijsku podršku za infrastrukturno opremanje, unapređenje programa promocije, poreskim i administrativnim olakšicama na državnom i lokalnom nivou, kao i porasta investicija u turizam podstaknutih mjerama fiskalizacije. Cilj su dodatne olakšice za investitore koji investiraju u turizam u sjevernom i središnjem regionu Crne Gore, a kroz model turističkih razvojnih zona (zelene investicije u turizmu), definisati model uspostavljanja, upravljanja i funkcionisanja zona od nacionalnog interesa i definisati olakšice za potencijalne investitore izmjenom regulative i posebnim propisom urediti turističke zone</w:t>
      </w:r>
      <w:r w:rsidR="001937CE" w:rsidRPr="004C2462">
        <w:rPr>
          <w:rFonts w:cstheme="minorHAnsi"/>
          <w:sz w:val="24"/>
          <w:szCs w:val="24"/>
        </w:rPr>
        <w:t xml:space="preserve"> </w:t>
      </w:r>
      <w:r w:rsidRPr="004C2462">
        <w:rPr>
          <w:rFonts w:cstheme="minorHAnsi"/>
          <w:sz w:val="24"/>
          <w:szCs w:val="24"/>
        </w:rPr>
        <w:t>(SGD 8-8.3). Jačanje podsticaja i poreske olakšice u turizmu, za izgradnju hotela visoke kategorije i jačanje novih oblika ponude, a u skladu sa principima održivog razvoja i strateškim planskim dokumentima (smanjenje povrata investicija u hotele visoke kategorije sa 20 na 12 godina, i značajan neto pozitivan uticaj na javne finansije, kao i na rast zaposlenosti).</w:t>
      </w:r>
    </w:p>
    <w:p w14:paraId="385FCA0E" w14:textId="77777777" w:rsidR="00AB7315" w:rsidRPr="004C2462" w:rsidRDefault="00AB7315" w:rsidP="004C2462">
      <w:pPr>
        <w:spacing w:after="120"/>
        <w:jc w:val="both"/>
        <w:rPr>
          <w:rFonts w:cstheme="minorHAnsi"/>
          <w:bCs/>
          <w:color w:val="000000"/>
          <w:sz w:val="24"/>
          <w:szCs w:val="24"/>
          <w:lang w:eastAsia="hr-HR"/>
        </w:rPr>
      </w:pPr>
      <w:r w:rsidRPr="004C2462">
        <w:rPr>
          <w:rFonts w:cstheme="minorHAnsi"/>
          <w:bCs/>
          <w:color w:val="000000"/>
          <w:sz w:val="24"/>
          <w:szCs w:val="24"/>
          <w:lang w:eastAsia="hr-HR"/>
        </w:rPr>
        <w:t>Unaprijedi značaj kulture kao temeljne vrijednosti duhovnog, društvenog i ekonomskog razvoja koja znatno unapređuje kvalitet života građana, promoviše kulturni turizam kao jednu od najvažnijih grana turizma i postigne održivi turizam s akcentom na kulturnom i eko turizmu, budući da je neophodno kroz razvoj kulturnog turizma i ostalih oblika održivog turizma, poljoprivrede, zanatstva i kreativnih industrija (SDG 11 (11.4) i SDG 8 (8.9)) uspostaviti održivo korišćenje kulturne baštine.</w:t>
      </w:r>
    </w:p>
    <w:p w14:paraId="4DD75350" w14:textId="77777777" w:rsidR="00AB7315" w:rsidRPr="004C2462" w:rsidRDefault="00AB7315" w:rsidP="004C2462">
      <w:pPr>
        <w:spacing w:after="120"/>
        <w:jc w:val="both"/>
        <w:rPr>
          <w:rFonts w:cstheme="minorHAnsi"/>
          <w:bCs/>
          <w:color w:val="000000"/>
          <w:sz w:val="24"/>
          <w:szCs w:val="24"/>
          <w:lang w:eastAsia="hr-HR"/>
        </w:rPr>
      </w:pPr>
      <w:r w:rsidRPr="004C2462">
        <w:rPr>
          <w:rFonts w:cstheme="minorHAnsi"/>
          <w:bCs/>
          <w:color w:val="000000"/>
          <w:sz w:val="24"/>
          <w:szCs w:val="24"/>
          <w:lang w:eastAsia="hr-HR"/>
        </w:rPr>
        <w:t>Neophodno je poboljšati i resursnu efikasnost u oblasti turizma: podsticati ozelenjavanje turizma i poboljšanje efikasnosti resursa kroz podršku zelenim investicijama u hotelske i ugostiteljske kapacitete, kao i kapacitete za vodosnabdijevanje i upravljanje otpadom prilkom njihove gradnje; smanjiti količinu otpada iz turističkih aktivnosti i poboljšati upravljanje sa postojećim otpadom; zaštititi osjetljive ekosisteme od uticaja razvoja turizma; stimulisati uvođenje novih zelenih tehnologija u turizmu, podsticati očuvanje atraktivnosti destinacije na dugi rok, uključujući i ne-</w:t>
      </w:r>
      <w:r w:rsidRPr="004C2462">
        <w:rPr>
          <w:rFonts w:cstheme="minorHAnsi"/>
          <w:bCs/>
          <w:color w:val="000000"/>
          <w:sz w:val="24"/>
          <w:szCs w:val="24"/>
          <w:lang w:eastAsia="hr-HR"/>
        </w:rPr>
        <w:lastRenderedPageBreak/>
        <w:t>tehološke inovacije kroz ekološki menadžment, marketing, novi biznis ili organizacione forme; unaprijediti regulativu na tržištima gdje su cjenovni signali neefikasni (stvaranje boljih cjenovnih signala i tržišnih instrumenata koji će moći da smanje troškove nastale usljed negativnih ekoloških eksternalija); uvođenje zelenih javnih nabavki za podsticanje razvoja zelenih inovacija (veza sa ciljem 4.5 NSOR), SDG 6 (6.3), 7 (7.3), 11 (11.6), 12 (12.b), 15 (15.5).</w:t>
      </w:r>
    </w:p>
    <w:p w14:paraId="58A40C83" w14:textId="3C769417" w:rsidR="00AB7315" w:rsidRPr="004C2462" w:rsidRDefault="00AB7315" w:rsidP="004C2462">
      <w:pPr>
        <w:spacing w:after="120"/>
        <w:jc w:val="both"/>
        <w:rPr>
          <w:rFonts w:cstheme="minorHAnsi"/>
          <w:sz w:val="24"/>
          <w:szCs w:val="24"/>
        </w:rPr>
      </w:pPr>
      <w:r w:rsidRPr="004C2462">
        <w:rPr>
          <w:rFonts w:cstheme="minorHAnsi"/>
          <w:sz w:val="24"/>
          <w:szCs w:val="24"/>
        </w:rPr>
        <w:t xml:space="preserve">Realizacija principa održivosti je usmjerena ka stvaranju preduslova za ravnomjernu turističku ponudu sa regionalnog aspekta, a u skladu sa </w:t>
      </w:r>
      <w:r w:rsidRPr="004C2462">
        <w:rPr>
          <w:rFonts w:cstheme="minorHAnsi"/>
          <w:b/>
          <w:i/>
          <w:sz w:val="24"/>
          <w:szCs w:val="24"/>
        </w:rPr>
        <w:t>Strategijom regionalnog razvoja Crne Gore 2014-2020. godine</w:t>
      </w:r>
      <w:r w:rsidRPr="004C2462">
        <w:rPr>
          <w:rFonts w:cstheme="minorHAnsi"/>
          <w:sz w:val="24"/>
          <w:szCs w:val="24"/>
        </w:rPr>
        <w:t>. Strateški cilj razvoja turizma u Crnoj Gori do 2020. godine je bio da primjenom principa i ciljeva održivog razvoja, Crna Gora stvori jaku poziciju globalne, visokokvalitetne turističke destinacije. Turizam će za stanovništvo Crne Gore obezbijediti dovoljno radnih mjesta i rast životnog standarda, a država će ostvariti prihode na stabilan i pouzdan način.</w:t>
      </w:r>
    </w:p>
    <w:p w14:paraId="2880DF5F" w14:textId="77777777" w:rsidR="00AB7315" w:rsidRPr="004C2462" w:rsidRDefault="00AB7315" w:rsidP="004C2462">
      <w:pPr>
        <w:spacing w:after="120"/>
        <w:jc w:val="both"/>
        <w:rPr>
          <w:rFonts w:cstheme="minorHAnsi"/>
          <w:sz w:val="24"/>
          <w:szCs w:val="24"/>
        </w:rPr>
      </w:pPr>
      <w:r w:rsidRPr="004C2462">
        <w:rPr>
          <w:rFonts w:cstheme="minorHAnsi"/>
          <w:sz w:val="24"/>
          <w:szCs w:val="24"/>
        </w:rPr>
        <w:t xml:space="preserve">Unapređenje turističkog proizvoda ima za cilj i povećanje broja novo-otvorenih radnih mjesta i smanjenje migracija sa Sjevera ka Jugu, uz podizanje nivoa životnog standarda stanovništva, u skladu sa </w:t>
      </w:r>
      <w:r w:rsidRPr="004C2462">
        <w:rPr>
          <w:rFonts w:cstheme="minorHAnsi"/>
          <w:b/>
          <w:i/>
          <w:sz w:val="24"/>
          <w:szCs w:val="24"/>
        </w:rPr>
        <w:t>Nacionalnom strategijom zapošljavanja i razvoja ljudskih resursa 2016-2020. godine</w:t>
      </w:r>
      <w:r w:rsidRPr="004C2462">
        <w:rPr>
          <w:rFonts w:cstheme="minorHAnsi"/>
          <w:sz w:val="24"/>
          <w:szCs w:val="24"/>
        </w:rPr>
        <w:t xml:space="preserve">. </w:t>
      </w:r>
    </w:p>
    <w:p w14:paraId="73061AEC" w14:textId="745BF9BE" w:rsidR="00AB7315" w:rsidRPr="004C2462" w:rsidRDefault="00AB7315" w:rsidP="004C2462">
      <w:pPr>
        <w:spacing w:after="120"/>
        <w:jc w:val="both"/>
        <w:rPr>
          <w:rFonts w:cstheme="minorHAnsi"/>
          <w:sz w:val="24"/>
          <w:szCs w:val="24"/>
        </w:rPr>
      </w:pPr>
      <w:r w:rsidRPr="004C2462">
        <w:rPr>
          <w:rFonts w:cstheme="minorHAnsi"/>
          <w:sz w:val="24"/>
          <w:szCs w:val="24"/>
        </w:rPr>
        <w:t>U sektoru turizma, implementatori aktivnosti su, prevashodno,</w:t>
      </w:r>
      <w:r w:rsidR="001463E7">
        <w:rPr>
          <w:rFonts w:cstheme="minorHAnsi"/>
          <w:sz w:val="24"/>
          <w:szCs w:val="24"/>
        </w:rPr>
        <w:t xml:space="preserve"> mikro,</w:t>
      </w:r>
      <w:r w:rsidRPr="004C2462">
        <w:rPr>
          <w:rFonts w:cstheme="minorHAnsi"/>
          <w:sz w:val="24"/>
          <w:szCs w:val="24"/>
        </w:rPr>
        <w:t xml:space="preserve"> mala i srednja preduzeća, shodno čemu se stvaraju preduslovi za razvijanje porodičnog biznisa koji omogućava zapošljavanje većeg broja žena (u sektoru turizma više od 50% zaposlenih čine žene) i mladih, a u korelaciji sa </w:t>
      </w:r>
      <w:r w:rsidRPr="004C2462">
        <w:rPr>
          <w:rFonts w:cstheme="minorHAnsi"/>
          <w:b/>
          <w:i/>
          <w:sz w:val="24"/>
          <w:szCs w:val="24"/>
        </w:rPr>
        <w:t>Strategijom razvoja mikro, malih i srednjih preduzeća 2018-2022</w:t>
      </w:r>
      <w:r w:rsidRPr="004C2462">
        <w:rPr>
          <w:rFonts w:cstheme="minorHAnsi"/>
          <w:b/>
          <w:sz w:val="24"/>
          <w:szCs w:val="24"/>
        </w:rPr>
        <w:t>, Strategijom razvoja poljoprivrede i ruralnih područja Crne Gore 2015-2020</w:t>
      </w:r>
      <w:r w:rsidRPr="004C2462">
        <w:rPr>
          <w:rFonts w:cstheme="minorHAnsi"/>
          <w:sz w:val="24"/>
          <w:szCs w:val="24"/>
        </w:rPr>
        <w:t xml:space="preserve">, </w:t>
      </w:r>
      <w:r w:rsidRPr="004C2462">
        <w:rPr>
          <w:rFonts w:cstheme="minorHAnsi"/>
          <w:b/>
          <w:i/>
          <w:sz w:val="24"/>
          <w:szCs w:val="24"/>
        </w:rPr>
        <w:t>Strategije razvoja ženskog preduzetništva 2021-2024. godine</w:t>
      </w:r>
      <w:r w:rsidRPr="004C2462">
        <w:rPr>
          <w:rFonts w:cstheme="minorHAnsi"/>
          <w:sz w:val="24"/>
          <w:szCs w:val="24"/>
        </w:rPr>
        <w:t xml:space="preserve">. </w:t>
      </w:r>
    </w:p>
    <w:p w14:paraId="4C43C0A7" w14:textId="08C9BB7B" w:rsidR="00AB7315" w:rsidRPr="004C2462" w:rsidRDefault="00AB7315" w:rsidP="004C2462">
      <w:pPr>
        <w:spacing w:after="120"/>
        <w:jc w:val="both"/>
        <w:rPr>
          <w:rFonts w:cstheme="minorHAnsi"/>
          <w:sz w:val="24"/>
          <w:szCs w:val="24"/>
        </w:rPr>
      </w:pPr>
      <w:r w:rsidRPr="004C2462">
        <w:rPr>
          <w:rFonts w:cstheme="minorHAnsi"/>
          <w:sz w:val="24"/>
          <w:szCs w:val="24"/>
        </w:rPr>
        <w:t xml:space="preserve">U cilju obezbijeđivanja preduslova da se sve navedeno ostvari, posebna pažnja se posvećuje unapređenju dostupnosti Crne Gore, kako sa aspekta međunarodnog, regionalnog ali i domaćeg tražišta, </w:t>
      </w:r>
      <w:r w:rsidR="001463E7">
        <w:rPr>
          <w:rFonts w:cstheme="minorHAnsi"/>
          <w:sz w:val="24"/>
          <w:szCs w:val="24"/>
        </w:rPr>
        <w:t xml:space="preserve">u </w:t>
      </w:r>
      <w:r w:rsidRPr="004C2462">
        <w:rPr>
          <w:rFonts w:cstheme="minorHAnsi"/>
          <w:sz w:val="24"/>
          <w:szCs w:val="24"/>
        </w:rPr>
        <w:t>s</w:t>
      </w:r>
      <w:r w:rsidR="001463E7">
        <w:rPr>
          <w:rFonts w:cstheme="minorHAnsi"/>
          <w:sz w:val="24"/>
          <w:szCs w:val="24"/>
        </w:rPr>
        <w:t xml:space="preserve">kladu sa </w:t>
      </w:r>
      <w:r w:rsidRPr="004C2462">
        <w:rPr>
          <w:rFonts w:cstheme="minorHAnsi"/>
          <w:b/>
          <w:i/>
          <w:sz w:val="24"/>
          <w:szCs w:val="24"/>
        </w:rPr>
        <w:t>Strategijom razvoja saobraćaja za period 2018-2035. godine.</w:t>
      </w:r>
      <w:r w:rsidRPr="004C2462">
        <w:rPr>
          <w:rFonts w:cstheme="minorHAnsi"/>
          <w:sz w:val="24"/>
          <w:szCs w:val="24"/>
        </w:rPr>
        <w:t xml:space="preserve"> </w:t>
      </w:r>
    </w:p>
    <w:p w14:paraId="5E429651" w14:textId="77777777" w:rsidR="00AB7315" w:rsidRPr="004C2462" w:rsidRDefault="00AB7315" w:rsidP="004C2462">
      <w:pPr>
        <w:spacing w:after="120"/>
        <w:jc w:val="both"/>
        <w:rPr>
          <w:rFonts w:cstheme="minorHAnsi"/>
          <w:sz w:val="24"/>
          <w:szCs w:val="24"/>
        </w:rPr>
      </w:pPr>
      <w:r w:rsidRPr="004C2462">
        <w:rPr>
          <w:rFonts w:cstheme="minorHAnsi"/>
          <w:sz w:val="24"/>
          <w:szCs w:val="24"/>
        </w:rPr>
        <w:t xml:space="preserve">Kao jedan od prioriteta u ukupnom razvoju privrede Crne Gore, turizam je prepoznat i u razvojnim dokumentima Vlade Crne Gore, i to u dokumentima: </w:t>
      </w:r>
    </w:p>
    <w:p w14:paraId="3B8D7E7D" w14:textId="77777777" w:rsidR="00AB7315" w:rsidRPr="004C2462" w:rsidRDefault="00AB7315" w:rsidP="004C2462">
      <w:pPr>
        <w:spacing w:after="120"/>
        <w:jc w:val="both"/>
        <w:rPr>
          <w:rFonts w:cstheme="minorHAnsi"/>
          <w:sz w:val="24"/>
          <w:szCs w:val="24"/>
        </w:rPr>
      </w:pPr>
      <w:r w:rsidRPr="004C2462">
        <w:rPr>
          <w:rFonts w:cstheme="minorHAnsi"/>
          <w:b/>
          <w:i/>
          <w:sz w:val="24"/>
          <w:szCs w:val="24"/>
        </w:rPr>
        <w:t>Pravci razvoja Crne Gore</w:t>
      </w:r>
      <w:r w:rsidRPr="004C2462">
        <w:rPr>
          <w:rFonts w:cstheme="minorHAnsi"/>
          <w:sz w:val="24"/>
          <w:szCs w:val="24"/>
        </w:rPr>
        <w:t xml:space="preserve"> </w:t>
      </w:r>
      <w:r w:rsidRPr="004C2462">
        <w:rPr>
          <w:rFonts w:cstheme="minorHAnsi"/>
          <w:b/>
          <w:i/>
          <w:sz w:val="24"/>
          <w:szCs w:val="24"/>
        </w:rPr>
        <w:t>2018-2021. godine</w:t>
      </w:r>
      <w:r w:rsidRPr="004C2462">
        <w:rPr>
          <w:rFonts w:cstheme="minorHAnsi"/>
          <w:sz w:val="24"/>
          <w:szCs w:val="24"/>
        </w:rPr>
        <w:t>, kao srednjoročnim krovnim razvojnim implementacionim dokumentom, utvrđen je strateški cilj razvoja Crne Gore - povećanje kvaliteta života u dugom roku. U funkciji ostvarivanja strateškog razvojnog cilja, i formalno su utvrđena četiri prioritetna sektora razvoja: turizam (Turizam i kulturni turizam), energetika, poljoprivreda i ruralni razvoj i prerađivačka industrija.</w:t>
      </w:r>
    </w:p>
    <w:p w14:paraId="3E3A4BD0" w14:textId="77777777" w:rsidR="00AB7315" w:rsidRPr="004C2462" w:rsidRDefault="00AB7315" w:rsidP="004C2462">
      <w:pPr>
        <w:spacing w:after="120"/>
        <w:jc w:val="both"/>
        <w:rPr>
          <w:rFonts w:cstheme="minorHAnsi"/>
          <w:sz w:val="24"/>
          <w:szCs w:val="24"/>
        </w:rPr>
      </w:pPr>
      <w:r w:rsidRPr="004C2462">
        <w:rPr>
          <w:rFonts w:cstheme="minorHAnsi"/>
          <w:sz w:val="24"/>
          <w:szCs w:val="24"/>
        </w:rPr>
        <w:t xml:space="preserve"> </w:t>
      </w:r>
      <w:r w:rsidRPr="004C2462">
        <w:rPr>
          <w:rFonts w:cstheme="minorHAnsi"/>
          <w:b/>
          <w:i/>
          <w:sz w:val="24"/>
          <w:szCs w:val="24"/>
        </w:rPr>
        <w:t>Program ekonomskih reformi za Crnu Goru 2020-2022. godine</w:t>
      </w:r>
      <w:r w:rsidRPr="004C2462">
        <w:rPr>
          <w:rFonts w:cstheme="minorHAnsi"/>
          <w:sz w:val="24"/>
          <w:szCs w:val="24"/>
        </w:rPr>
        <w:t xml:space="preserve"> je najvažniji dokument Crne Gore u ekonomskom dijalogu sa Evropskom unijom i ključni strateški dokument zemlje za srednjoročno makroekonomsko i fiskalno programiranje, koji sadrži i prateću agendu strukturnih reformi važnih za smanjenje ili eliminisanje prepreka privrednom rastu i jačanju sveukupne konkurentnosti zemlje. Turizam je prepoznat kao prioritetna reformska mjera 5: Diverzifikacija turističkog proizvoda (mjera “Održivi turizam u novoj realnosti”) </w:t>
      </w:r>
    </w:p>
    <w:p w14:paraId="5D7B5290" w14:textId="4821FC49" w:rsidR="00AB7315" w:rsidRPr="004C2462" w:rsidRDefault="00AB7315" w:rsidP="004C2462">
      <w:pPr>
        <w:spacing w:after="120"/>
        <w:jc w:val="both"/>
        <w:rPr>
          <w:rFonts w:cstheme="minorHAnsi"/>
          <w:sz w:val="24"/>
          <w:szCs w:val="24"/>
        </w:rPr>
      </w:pPr>
      <w:r w:rsidRPr="004C2462">
        <w:rPr>
          <w:rFonts w:cstheme="minorHAnsi"/>
          <w:sz w:val="24"/>
          <w:szCs w:val="24"/>
        </w:rPr>
        <w:t xml:space="preserve"> </w:t>
      </w:r>
      <w:r w:rsidRPr="004C2462">
        <w:rPr>
          <w:rFonts w:cstheme="minorHAnsi"/>
          <w:b/>
          <w:i/>
          <w:sz w:val="24"/>
          <w:szCs w:val="24"/>
        </w:rPr>
        <w:t>Strategija pametne specijalizacije 2019-2024. godine.</w:t>
      </w:r>
      <w:r w:rsidRPr="004C2462">
        <w:rPr>
          <w:rFonts w:cstheme="minorHAnsi"/>
          <w:sz w:val="24"/>
          <w:szCs w:val="24"/>
        </w:rPr>
        <w:t xml:space="preserve">, Na osnovu strateške vizije razvoja Crne Gore, primjenom s3 metodologije i sprovođenjem procesa preduzetničkog otkrivanja, definisano je pet prioritetnih ekonomskih oblasti, i to: obnovljivi izvori energije i energetska efikasnost; održiva poljoprivreda i lanac vrijednosti hrane; novi materijali i održive tehnologije; </w:t>
      </w:r>
      <w:r w:rsidRPr="004C2462">
        <w:rPr>
          <w:rFonts w:cstheme="minorHAnsi"/>
          <w:b/>
          <w:sz w:val="24"/>
          <w:szCs w:val="24"/>
        </w:rPr>
        <w:t xml:space="preserve">održivi i zdravstveni </w:t>
      </w:r>
      <w:r w:rsidRPr="004C2462">
        <w:rPr>
          <w:rFonts w:cstheme="minorHAnsi"/>
          <w:b/>
          <w:sz w:val="24"/>
          <w:szCs w:val="24"/>
        </w:rPr>
        <w:lastRenderedPageBreak/>
        <w:t>turizam</w:t>
      </w:r>
      <w:r w:rsidRPr="004C2462">
        <w:rPr>
          <w:rFonts w:cstheme="minorHAnsi"/>
          <w:sz w:val="24"/>
          <w:szCs w:val="24"/>
        </w:rPr>
        <w:t xml:space="preserve"> i ICT. Zdravstveni turizam bilježi stalan rast i predstavlja jedan od najperspektivnijih segmenata ponude na globalnom tržištu. Strategijom pametne specijalizacije turizam i zdravlje su osnovni stubovi na kojima počiva održivi razvoj, a saradnja sektora turizma i zdravstva u Crnoj Gori omogućava postizanje sinergijskog efekta za unapređenje zdravstvenog turizma, ali i cjelogodišnje turističke ponude. Crna Gora sa svojom geografskom pozicijom, brojnim prirodnim turističkim atrakcijama, bogatom kulturnom baštinom i razvijenom ponudom u segmentu rehabilitacije, prevencije, stomatologije i estetske hirurgije, posjeduje sve uslove da postane međunarodno prepoznatljiva destinacija zdravstvenog turizma. Vizija Crne Gore u 2024. godini je sljedeća: međunarodno prepoznata destinacija održivog i zdravstvenog turizma sa cjelogodišnjom i diver</w:t>
      </w:r>
      <w:r w:rsidR="001937CE" w:rsidRPr="004C2462">
        <w:rPr>
          <w:rFonts w:cstheme="minorHAnsi"/>
          <w:sz w:val="24"/>
          <w:szCs w:val="24"/>
        </w:rPr>
        <w:t>z</w:t>
      </w:r>
      <w:r w:rsidRPr="004C2462">
        <w:rPr>
          <w:rFonts w:cstheme="minorHAnsi"/>
          <w:sz w:val="24"/>
          <w:szCs w:val="24"/>
        </w:rPr>
        <w:t>ifikovanom turističkom ponudom baziranom na principima održivosti, jednakosti, kompetitivnosti, inovativnosti i autentičnosti.</w:t>
      </w:r>
    </w:p>
    <w:p w14:paraId="5F1B3CA5" w14:textId="77777777" w:rsidR="00AB7315" w:rsidRPr="004C2462" w:rsidRDefault="00AB7315" w:rsidP="004C2462">
      <w:pPr>
        <w:pStyle w:val="ListParagraph"/>
        <w:numPr>
          <w:ilvl w:val="0"/>
          <w:numId w:val="4"/>
        </w:numPr>
        <w:spacing w:after="120"/>
        <w:jc w:val="both"/>
        <w:rPr>
          <w:rFonts w:cstheme="minorHAnsi"/>
          <w:b/>
          <w:i/>
          <w:sz w:val="24"/>
          <w:szCs w:val="24"/>
        </w:rPr>
      </w:pPr>
      <w:r w:rsidRPr="004C2462">
        <w:rPr>
          <w:rFonts w:cstheme="minorHAnsi"/>
          <w:b/>
          <w:i/>
          <w:sz w:val="24"/>
          <w:szCs w:val="24"/>
        </w:rPr>
        <w:t>Zeleni rast i cirkularna ekonomija</w:t>
      </w:r>
    </w:p>
    <w:p w14:paraId="32F27A15" w14:textId="6A3EF1BA" w:rsidR="00AB7315" w:rsidRPr="004C2462" w:rsidRDefault="00AB7315" w:rsidP="004C2462">
      <w:pPr>
        <w:spacing w:after="120"/>
        <w:jc w:val="both"/>
        <w:rPr>
          <w:rFonts w:cstheme="minorHAnsi"/>
          <w:sz w:val="24"/>
          <w:szCs w:val="24"/>
        </w:rPr>
      </w:pPr>
      <w:r w:rsidRPr="004C2462">
        <w:rPr>
          <w:rFonts w:cstheme="minorHAnsi"/>
          <w:sz w:val="24"/>
          <w:szCs w:val="24"/>
        </w:rPr>
        <w:t>Crna Gora, koja je značajno orjentisana na turizam, deklarisana kao ekološka država, posebnu pažnju mora posvetiti valorizaciji zelenog rasta i cirkularne ekonomije, integrišući demografske, društvene, prirodne i ekonomske aspekte privrednog razvoja, kako je i navedeno u Nacionalnoj strategiji razvoja Crne Gore do 2030. godine, kojom su preuzeti univerzalni UN ciljevi održivog razvoja u nacionalni kontekst. I</w:t>
      </w:r>
      <w:r w:rsidR="001463E7">
        <w:rPr>
          <w:rFonts w:cstheme="minorHAnsi"/>
          <w:sz w:val="24"/>
          <w:szCs w:val="24"/>
        </w:rPr>
        <w:t>ndustrijska politika Crne Gore 2019-</w:t>
      </w:r>
      <w:r w:rsidRPr="004C2462">
        <w:rPr>
          <w:rFonts w:cstheme="minorHAnsi"/>
          <w:sz w:val="24"/>
          <w:szCs w:val="24"/>
        </w:rPr>
        <w:t xml:space="preserve"> 2023</w:t>
      </w:r>
      <w:r w:rsidR="001463E7">
        <w:rPr>
          <w:rFonts w:cstheme="minorHAnsi"/>
          <w:sz w:val="24"/>
          <w:szCs w:val="24"/>
        </w:rPr>
        <w:t>. godine</w:t>
      </w:r>
      <w:r w:rsidRPr="004C2462">
        <w:rPr>
          <w:rFonts w:cstheme="minorHAnsi"/>
          <w:sz w:val="24"/>
          <w:szCs w:val="24"/>
        </w:rPr>
        <w:t xml:space="preserve"> uvažava principe bazirane na razvoju zelene ekonomije, resursne efikasnosti i održive proizvodnje i potrošnje, upravljanja industrijskim otpadom, uvođenje ekoloških standarda i definiše posebne mjere i aktivnosti za njihovu implementaciju.</w:t>
      </w:r>
    </w:p>
    <w:p w14:paraId="1B423FF0" w14:textId="22FC74FA" w:rsidR="00AB7315" w:rsidRPr="004C2462" w:rsidRDefault="00AB7315" w:rsidP="004C2462">
      <w:pPr>
        <w:spacing w:after="120"/>
        <w:jc w:val="both"/>
        <w:rPr>
          <w:rFonts w:cstheme="minorHAnsi"/>
          <w:sz w:val="24"/>
          <w:szCs w:val="24"/>
        </w:rPr>
      </w:pPr>
      <w:r w:rsidRPr="004C2462">
        <w:rPr>
          <w:rFonts w:cstheme="minorHAnsi"/>
          <w:sz w:val="24"/>
          <w:szCs w:val="24"/>
        </w:rPr>
        <w:t xml:space="preserve">Posebna pažnja kod horizontalnog uvezivanja strateških dokumenata posvećuje se analizi uvezanosti sa specifičnim </w:t>
      </w:r>
      <w:r w:rsidRPr="004C2462">
        <w:rPr>
          <w:rFonts w:cstheme="minorHAnsi"/>
          <w:b/>
          <w:sz w:val="24"/>
          <w:szCs w:val="24"/>
        </w:rPr>
        <w:t>tematskih strategijama.</w:t>
      </w:r>
      <w:r w:rsidRPr="004C2462">
        <w:rPr>
          <w:rFonts w:cstheme="minorHAnsi"/>
          <w:sz w:val="24"/>
          <w:szCs w:val="24"/>
        </w:rPr>
        <w:t xml:space="preserve"> Imajući u vidu strateški cilj razvoja turizma i potrebu za diverzifikacijom turističkog proizvoda, Vlada Crne Gore je na predlog resornog ministarstva, usvojila </w:t>
      </w:r>
      <w:r w:rsidRPr="004C2462">
        <w:rPr>
          <w:rFonts w:cstheme="minorHAnsi"/>
          <w:b/>
          <w:i/>
          <w:sz w:val="24"/>
          <w:szCs w:val="24"/>
        </w:rPr>
        <w:t>Program razvoja ruralnog razvoja sa Akcionim planom do 2021.godi</w:t>
      </w:r>
      <w:r w:rsidR="002127E8" w:rsidRPr="004C2462">
        <w:rPr>
          <w:rFonts w:cstheme="minorHAnsi"/>
          <w:b/>
          <w:i/>
          <w:sz w:val="24"/>
          <w:szCs w:val="24"/>
        </w:rPr>
        <w:t xml:space="preserve">ne, </w:t>
      </w:r>
      <w:r w:rsidRPr="004C2462">
        <w:rPr>
          <w:rFonts w:cstheme="minorHAnsi"/>
          <w:b/>
          <w:i/>
          <w:sz w:val="24"/>
          <w:szCs w:val="24"/>
        </w:rPr>
        <w:t>Program razvoja kulturnog turizma sa Akcionim planom 2019-2021.</w:t>
      </w:r>
      <w:r w:rsidRPr="004C2462">
        <w:rPr>
          <w:rFonts w:cstheme="minorHAnsi"/>
          <w:sz w:val="24"/>
          <w:szCs w:val="24"/>
        </w:rPr>
        <w:t xml:space="preserve">, </w:t>
      </w:r>
      <w:r w:rsidR="002127E8" w:rsidRPr="004C2462">
        <w:rPr>
          <w:rFonts w:cstheme="minorHAnsi"/>
          <w:sz w:val="24"/>
          <w:szCs w:val="24"/>
        </w:rPr>
        <w:t>kao i</w:t>
      </w:r>
      <w:r w:rsidRPr="004C2462">
        <w:rPr>
          <w:rFonts w:cstheme="minorHAnsi"/>
          <w:sz w:val="24"/>
          <w:szCs w:val="24"/>
        </w:rPr>
        <w:t xml:space="preserve"> </w:t>
      </w:r>
      <w:r w:rsidRPr="004C2462">
        <w:rPr>
          <w:rFonts w:cstheme="minorHAnsi"/>
          <w:b/>
          <w:i/>
          <w:sz w:val="24"/>
          <w:szCs w:val="24"/>
        </w:rPr>
        <w:t>Program razvoja zdravstvenog turizma 2021-2023</w:t>
      </w:r>
      <w:r w:rsidR="00972419" w:rsidRPr="004C2462">
        <w:rPr>
          <w:rFonts w:cstheme="minorHAnsi"/>
          <w:b/>
          <w:i/>
          <w:sz w:val="24"/>
          <w:szCs w:val="24"/>
        </w:rPr>
        <w:t>.</w:t>
      </w:r>
      <w:r w:rsidRPr="004C2462">
        <w:rPr>
          <w:rFonts w:cstheme="minorHAnsi"/>
          <w:b/>
          <w:i/>
          <w:sz w:val="24"/>
          <w:szCs w:val="24"/>
        </w:rPr>
        <w:t xml:space="preserve"> sa Akcionim planom</w:t>
      </w:r>
      <w:r w:rsidRPr="004C2462">
        <w:rPr>
          <w:rFonts w:cstheme="minorHAnsi"/>
          <w:sz w:val="24"/>
          <w:szCs w:val="24"/>
        </w:rPr>
        <w:t xml:space="preserve">, kojim </w:t>
      </w:r>
      <w:r w:rsidR="002127E8" w:rsidRPr="004C2462">
        <w:rPr>
          <w:rFonts w:cstheme="minorHAnsi"/>
          <w:sz w:val="24"/>
          <w:szCs w:val="24"/>
        </w:rPr>
        <w:t>je</w:t>
      </w:r>
      <w:r w:rsidR="00706112" w:rsidRPr="004C2462">
        <w:rPr>
          <w:rFonts w:cstheme="minorHAnsi"/>
          <w:sz w:val="24"/>
          <w:szCs w:val="24"/>
        </w:rPr>
        <w:t xml:space="preserve"> </w:t>
      </w:r>
      <w:r w:rsidRPr="004C2462">
        <w:rPr>
          <w:rFonts w:cstheme="minorHAnsi"/>
          <w:sz w:val="24"/>
          <w:szCs w:val="24"/>
        </w:rPr>
        <w:t xml:space="preserve">definisana problematika zdravstvenog turizma u Crnoj Gori, ali i mjere, preporuke, kao i ograničenja u pogledu razvoja ove grane turizma.  </w:t>
      </w:r>
    </w:p>
    <w:p w14:paraId="579B9887" w14:textId="77777777" w:rsidR="00AB7315" w:rsidRPr="004C2462" w:rsidRDefault="00AB7315" w:rsidP="004C2462">
      <w:pPr>
        <w:spacing w:after="120"/>
        <w:jc w:val="both"/>
        <w:rPr>
          <w:rFonts w:cstheme="minorHAnsi"/>
          <w:bCs/>
          <w:color w:val="000000"/>
          <w:sz w:val="24"/>
          <w:szCs w:val="24"/>
          <w:lang w:eastAsia="hr-HR"/>
        </w:rPr>
      </w:pPr>
      <w:r w:rsidRPr="004C2462">
        <w:rPr>
          <w:rFonts w:cstheme="minorHAnsi"/>
          <w:bCs/>
          <w:color w:val="000000"/>
          <w:sz w:val="24"/>
          <w:szCs w:val="24"/>
          <w:lang w:eastAsia="hr-HR"/>
        </w:rPr>
        <w:t xml:space="preserve">Strateški cilj razvoja ruralnog turizma definisan je </w:t>
      </w:r>
      <w:r w:rsidRPr="004C2462">
        <w:rPr>
          <w:rFonts w:cstheme="minorHAnsi"/>
          <w:b/>
          <w:bCs/>
          <w:color w:val="000000"/>
          <w:sz w:val="24"/>
          <w:szCs w:val="24"/>
          <w:lang w:eastAsia="hr-HR"/>
        </w:rPr>
        <w:t>Programom razvoja ruralnog turizma 2019-2021 (PRRT 2021)</w:t>
      </w:r>
      <w:r w:rsidRPr="004C2462">
        <w:rPr>
          <w:rFonts w:cstheme="minorHAnsi"/>
          <w:bCs/>
          <w:color w:val="000000"/>
          <w:sz w:val="24"/>
          <w:szCs w:val="24"/>
          <w:lang w:eastAsia="hr-HR"/>
        </w:rPr>
        <w:t xml:space="preserve"> i usmjeren je ka razvoju diverzifikovane i autentične ruralne turističke ponude Crne Gore koja će stvoriti osnov za poboljšanje životnog standarda stanovništva u ruralnom području i zaustavljanje depopulacije ruralnih područja. </w:t>
      </w:r>
    </w:p>
    <w:p w14:paraId="073751AE" w14:textId="77777777" w:rsidR="00AB7315" w:rsidRPr="004C2462" w:rsidRDefault="00AB7315" w:rsidP="004C2462">
      <w:pPr>
        <w:spacing w:after="120"/>
        <w:jc w:val="both"/>
        <w:rPr>
          <w:rFonts w:cstheme="minorHAnsi"/>
          <w:bCs/>
          <w:color w:val="000000"/>
          <w:sz w:val="24"/>
          <w:szCs w:val="24"/>
          <w:lang w:eastAsia="hr-HR"/>
        </w:rPr>
      </w:pPr>
      <w:r w:rsidRPr="004C2462">
        <w:rPr>
          <w:rFonts w:cstheme="minorHAnsi"/>
          <w:b/>
          <w:bCs/>
          <w:color w:val="000000"/>
          <w:sz w:val="24"/>
          <w:szCs w:val="24"/>
          <w:lang w:eastAsia="hr-HR"/>
        </w:rPr>
        <w:t>Programom razvoja kulturnog turizma Crne Gore s Akcionim planom 2019 – 2021</w:t>
      </w:r>
      <w:r w:rsidRPr="004C2462">
        <w:rPr>
          <w:rFonts w:cstheme="minorHAnsi"/>
          <w:bCs/>
          <w:color w:val="000000"/>
          <w:sz w:val="24"/>
          <w:szCs w:val="24"/>
          <w:lang w:eastAsia="hr-HR"/>
        </w:rPr>
        <w:t>, predviđeno je obogaćivanje turističke ponude kroz valorizaciju kulturne baštine, uz stvaranje uslova za ostvarivanje dodatnih prihoda, s obzirom da analize ukazuju da turisti čiji su osnovni razlozi putovanja kulturni sadržaj, spadaju u kategoriju turista koji su spremni da dodatno troše za ovu vrstu turističke ponude.</w:t>
      </w:r>
    </w:p>
    <w:p w14:paraId="7045437E" w14:textId="63DD912F" w:rsidR="00AB7315" w:rsidRPr="004C2462" w:rsidRDefault="00AB7315" w:rsidP="004C2462">
      <w:pPr>
        <w:spacing w:after="120"/>
        <w:jc w:val="both"/>
        <w:rPr>
          <w:rFonts w:cstheme="minorHAnsi"/>
          <w:bCs/>
          <w:color w:val="000000"/>
          <w:sz w:val="24"/>
          <w:szCs w:val="24"/>
          <w:lang w:eastAsia="hr-HR"/>
        </w:rPr>
      </w:pPr>
      <w:r w:rsidRPr="004C2462">
        <w:rPr>
          <w:rFonts w:cstheme="minorHAnsi"/>
          <w:b/>
          <w:bCs/>
          <w:color w:val="000000"/>
          <w:sz w:val="24"/>
          <w:szCs w:val="24"/>
          <w:lang w:eastAsia="hr-HR"/>
        </w:rPr>
        <w:t>Programom razvoja zdravstvenog turizma Crne Gore, 2021-2023.</w:t>
      </w:r>
      <w:r w:rsidR="00972419" w:rsidRPr="004C2462">
        <w:rPr>
          <w:rFonts w:cstheme="minorHAnsi"/>
          <w:b/>
          <w:bCs/>
          <w:color w:val="000000"/>
          <w:sz w:val="24"/>
          <w:szCs w:val="24"/>
          <w:lang w:eastAsia="hr-HR"/>
        </w:rPr>
        <w:t xml:space="preserve"> </w:t>
      </w:r>
      <w:r w:rsidRPr="004C2462">
        <w:rPr>
          <w:rFonts w:cstheme="minorHAnsi"/>
          <w:b/>
          <w:bCs/>
          <w:color w:val="000000"/>
          <w:sz w:val="24"/>
          <w:szCs w:val="24"/>
          <w:lang w:eastAsia="hr-HR"/>
        </w:rPr>
        <w:t>godine</w:t>
      </w:r>
      <w:r w:rsidRPr="004C2462">
        <w:rPr>
          <w:rFonts w:cstheme="minorHAnsi"/>
          <w:bCs/>
          <w:color w:val="000000"/>
          <w:sz w:val="24"/>
          <w:szCs w:val="24"/>
          <w:lang w:eastAsia="hr-HR"/>
        </w:rPr>
        <w:t xml:space="preserve"> sa Akcionim planom</w:t>
      </w:r>
      <w:r w:rsidR="00883074" w:rsidRPr="004C2462">
        <w:rPr>
          <w:rFonts w:cstheme="minorHAnsi"/>
          <w:bCs/>
          <w:color w:val="000000"/>
          <w:sz w:val="24"/>
          <w:szCs w:val="24"/>
          <w:lang w:eastAsia="hr-HR"/>
        </w:rPr>
        <w:t xml:space="preserve">, </w:t>
      </w:r>
      <w:r w:rsidRPr="004C2462">
        <w:rPr>
          <w:rFonts w:cstheme="minorHAnsi"/>
          <w:bCs/>
          <w:color w:val="000000"/>
          <w:sz w:val="24"/>
          <w:szCs w:val="24"/>
          <w:lang w:eastAsia="hr-HR"/>
        </w:rPr>
        <w:t xml:space="preserve">na osnovu analize stanja </w:t>
      </w:r>
      <w:r w:rsidR="00883074" w:rsidRPr="004C2462">
        <w:rPr>
          <w:rFonts w:cstheme="minorHAnsi"/>
          <w:bCs/>
          <w:color w:val="000000"/>
          <w:sz w:val="24"/>
          <w:szCs w:val="24"/>
          <w:lang w:eastAsia="hr-HR"/>
        </w:rPr>
        <w:t>defini</w:t>
      </w:r>
      <w:r w:rsidR="00883074" w:rsidRPr="004C2462">
        <w:rPr>
          <w:rFonts w:cstheme="minorHAnsi"/>
          <w:bCs/>
          <w:color w:val="000000"/>
          <w:sz w:val="24"/>
          <w:szCs w:val="24"/>
          <w:lang w:val="sr-Latn-RS" w:eastAsia="hr-HR"/>
        </w:rPr>
        <w:t>še</w:t>
      </w:r>
      <w:r w:rsidRPr="004C2462">
        <w:rPr>
          <w:rFonts w:cstheme="minorHAnsi"/>
          <w:bCs/>
          <w:color w:val="000000"/>
          <w:sz w:val="24"/>
          <w:szCs w:val="24"/>
          <w:lang w:eastAsia="hr-HR"/>
        </w:rPr>
        <w:t xml:space="preserve"> ključne mjere i ciljev</w:t>
      </w:r>
      <w:r w:rsidR="003B164A" w:rsidRPr="004C2462">
        <w:rPr>
          <w:rFonts w:cstheme="minorHAnsi"/>
          <w:bCs/>
          <w:color w:val="000000"/>
          <w:sz w:val="24"/>
          <w:szCs w:val="24"/>
          <w:lang w:eastAsia="hr-HR"/>
        </w:rPr>
        <w:t xml:space="preserve">e </w:t>
      </w:r>
      <w:r w:rsidRPr="004C2462">
        <w:rPr>
          <w:rFonts w:cstheme="minorHAnsi"/>
          <w:bCs/>
          <w:color w:val="000000"/>
          <w:sz w:val="24"/>
          <w:szCs w:val="24"/>
          <w:lang w:eastAsia="hr-HR"/>
        </w:rPr>
        <w:t xml:space="preserve">za intenzivniji razvoj ovog oblika turizma, kako bi se stvorili preduslovi za jači i brži razvoj i afirmaciju ove grane i doprinijelo kreiranju novih radnih </w:t>
      </w:r>
      <w:r w:rsidRPr="004C2462">
        <w:rPr>
          <w:rFonts w:cstheme="minorHAnsi"/>
          <w:bCs/>
          <w:color w:val="000000"/>
          <w:sz w:val="24"/>
          <w:szCs w:val="24"/>
          <w:lang w:eastAsia="hr-HR"/>
        </w:rPr>
        <w:lastRenderedPageBreak/>
        <w:t>mjesta. Akcionim planom se utvr</w:t>
      </w:r>
      <w:r w:rsidR="003B164A" w:rsidRPr="004C2462">
        <w:rPr>
          <w:rFonts w:cstheme="minorHAnsi"/>
          <w:bCs/>
          <w:color w:val="000000"/>
          <w:sz w:val="24"/>
          <w:szCs w:val="24"/>
          <w:lang w:eastAsia="hr-HR"/>
        </w:rPr>
        <w:t>đuju</w:t>
      </w:r>
      <w:r w:rsidRPr="004C2462">
        <w:rPr>
          <w:rFonts w:cstheme="minorHAnsi"/>
          <w:bCs/>
          <w:color w:val="000000"/>
          <w:sz w:val="24"/>
          <w:szCs w:val="24"/>
          <w:lang w:eastAsia="hr-HR"/>
        </w:rPr>
        <w:t xml:space="preserve"> aktivnosti, nadležne institucije za sprovođenje, rokovi za realizaciju, indikatori uspjeha, potrebna finansijska sredstva, izvori finansiranja i druga pitanja od značaja za sprovođenje Programa.Ovaj dokument će doprinijeti unapređenju zakonodavnog okvira za razvoj zdravstvenog turizma, poboljšanj</w:t>
      </w:r>
      <w:r w:rsidR="001463E7">
        <w:rPr>
          <w:rFonts w:cstheme="minorHAnsi"/>
          <w:bCs/>
          <w:color w:val="000000"/>
          <w:sz w:val="24"/>
          <w:szCs w:val="24"/>
          <w:lang w:eastAsia="hr-HR"/>
        </w:rPr>
        <w:t>u</w:t>
      </w:r>
      <w:r w:rsidRPr="004C2462">
        <w:rPr>
          <w:rFonts w:cstheme="minorHAnsi"/>
          <w:bCs/>
          <w:color w:val="000000"/>
          <w:sz w:val="24"/>
          <w:szCs w:val="24"/>
          <w:lang w:eastAsia="hr-HR"/>
        </w:rPr>
        <w:t xml:space="preserve"> i jačanj</w:t>
      </w:r>
      <w:r w:rsidR="001463E7">
        <w:rPr>
          <w:rFonts w:cstheme="minorHAnsi"/>
          <w:bCs/>
          <w:color w:val="000000"/>
          <w:sz w:val="24"/>
          <w:szCs w:val="24"/>
          <w:lang w:eastAsia="hr-HR"/>
        </w:rPr>
        <w:t>u</w:t>
      </w:r>
      <w:r w:rsidRPr="004C2462">
        <w:rPr>
          <w:rFonts w:cstheme="minorHAnsi"/>
          <w:bCs/>
          <w:color w:val="000000"/>
          <w:sz w:val="24"/>
          <w:szCs w:val="24"/>
          <w:lang w:eastAsia="hr-HR"/>
        </w:rPr>
        <w:t xml:space="preserve"> ukupne zdravstvene infrastrukture, pozicioniranj</w:t>
      </w:r>
      <w:r w:rsidR="001463E7">
        <w:rPr>
          <w:rFonts w:cstheme="minorHAnsi"/>
          <w:bCs/>
          <w:color w:val="000000"/>
          <w:sz w:val="24"/>
          <w:szCs w:val="24"/>
          <w:lang w:eastAsia="hr-HR"/>
        </w:rPr>
        <w:t>u</w:t>
      </w:r>
      <w:r w:rsidRPr="004C2462">
        <w:rPr>
          <w:rFonts w:cstheme="minorHAnsi"/>
          <w:bCs/>
          <w:color w:val="000000"/>
          <w:sz w:val="24"/>
          <w:szCs w:val="24"/>
          <w:lang w:eastAsia="hr-HR"/>
        </w:rPr>
        <w:t xml:space="preserve"> i prepoznavanj</w:t>
      </w:r>
      <w:r w:rsidR="001463E7">
        <w:rPr>
          <w:rFonts w:cstheme="minorHAnsi"/>
          <w:bCs/>
          <w:color w:val="000000"/>
          <w:sz w:val="24"/>
          <w:szCs w:val="24"/>
          <w:lang w:eastAsia="hr-HR"/>
        </w:rPr>
        <w:t>u</w:t>
      </w:r>
      <w:r w:rsidRPr="004C2462">
        <w:rPr>
          <w:rFonts w:cstheme="minorHAnsi"/>
          <w:bCs/>
          <w:color w:val="000000"/>
          <w:sz w:val="24"/>
          <w:szCs w:val="24"/>
          <w:lang w:eastAsia="hr-HR"/>
        </w:rPr>
        <w:t xml:space="preserve"> Crne Gore kao destinacije zdravstvenog turizma.</w:t>
      </w:r>
    </w:p>
    <w:p w14:paraId="2C3B3D53" w14:textId="77777777" w:rsidR="00AB7315" w:rsidRPr="004C2462" w:rsidRDefault="00AB7315" w:rsidP="004C2462">
      <w:pPr>
        <w:pStyle w:val="ListParagraph"/>
        <w:numPr>
          <w:ilvl w:val="0"/>
          <w:numId w:val="4"/>
        </w:numPr>
        <w:spacing w:after="120"/>
        <w:jc w:val="both"/>
        <w:rPr>
          <w:rFonts w:cstheme="minorHAnsi"/>
          <w:b/>
          <w:bCs/>
          <w:i/>
          <w:color w:val="000000"/>
          <w:sz w:val="24"/>
          <w:szCs w:val="24"/>
          <w:lang w:eastAsia="hr-HR"/>
        </w:rPr>
      </w:pPr>
      <w:r w:rsidRPr="004C2462">
        <w:rPr>
          <w:rFonts w:cstheme="minorHAnsi"/>
          <w:b/>
          <w:bCs/>
          <w:i/>
          <w:color w:val="000000"/>
          <w:sz w:val="24"/>
          <w:szCs w:val="24"/>
          <w:lang w:eastAsia="hr-HR"/>
        </w:rPr>
        <w:t xml:space="preserve"> Usklađenost sa ključnim politikama EU u kontekstu procesa Evropskih integracija i regionalne saradnje.</w:t>
      </w:r>
    </w:p>
    <w:p w14:paraId="7606662F" w14:textId="77777777" w:rsidR="0092538C" w:rsidRPr="004C2462" w:rsidRDefault="00AB7315" w:rsidP="004C2462">
      <w:pPr>
        <w:numPr>
          <w:ilvl w:val="0"/>
          <w:numId w:val="1"/>
        </w:numPr>
        <w:spacing w:after="120"/>
        <w:jc w:val="both"/>
        <w:rPr>
          <w:rFonts w:cstheme="minorHAnsi"/>
          <w:bCs/>
          <w:color w:val="000000"/>
          <w:sz w:val="24"/>
          <w:szCs w:val="24"/>
          <w:lang w:eastAsia="hr-HR"/>
        </w:rPr>
      </w:pPr>
      <w:r w:rsidRPr="004C2462">
        <w:rPr>
          <w:rFonts w:cstheme="minorHAnsi"/>
          <w:b/>
          <w:bCs/>
          <w:color w:val="000000"/>
          <w:sz w:val="24"/>
          <w:szCs w:val="24"/>
          <w:lang w:eastAsia="hr-HR"/>
        </w:rPr>
        <w:t xml:space="preserve">Obaveze iz procesa pristupanja Crne Gore EU (poglavlja 3, 18, </w:t>
      </w:r>
      <w:r w:rsidR="00A433FD" w:rsidRPr="004C2462">
        <w:rPr>
          <w:rFonts w:cstheme="minorHAnsi"/>
          <w:b/>
          <w:bCs/>
          <w:color w:val="000000"/>
          <w:sz w:val="24"/>
          <w:szCs w:val="24"/>
          <w:lang w:eastAsia="hr-HR"/>
        </w:rPr>
        <w:t xml:space="preserve">19, </w:t>
      </w:r>
      <w:r w:rsidRPr="004C2462">
        <w:rPr>
          <w:rFonts w:cstheme="minorHAnsi"/>
          <w:b/>
          <w:bCs/>
          <w:color w:val="000000"/>
          <w:sz w:val="24"/>
          <w:szCs w:val="24"/>
          <w:lang w:eastAsia="hr-HR"/>
        </w:rPr>
        <w:t>20,</w:t>
      </w:r>
      <w:r w:rsidR="00A433FD" w:rsidRPr="004C2462">
        <w:rPr>
          <w:rFonts w:cstheme="minorHAnsi"/>
          <w:b/>
          <w:bCs/>
          <w:color w:val="000000"/>
          <w:sz w:val="24"/>
          <w:szCs w:val="24"/>
          <w:lang w:eastAsia="hr-HR"/>
        </w:rPr>
        <w:t xml:space="preserve"> </w:t>
      </w:r>
      <w:r w:rsidRPr="004C2462">
        <w:rPr>
          <w:rFonts w:cstheme="minorHAnsi"/>
          <w:b/>
          <w:bCs/>
          <w:color w:val="000000"/>
          <w:sz w:val="24"/>
          <w:szCs w:val="24"/>
          <w:lang w:eastAsia="hr-HR"/>
        </w:rPr>
        <w:t>27 i 28)</w:t>
      </w:r>
      <w:r w:rsidR="003B164A" w:rsidRPr="004C2462">
        <w:rPr>
          <w:rFonts w:cstheme="minorHAnsi"/>
          <w:b/>
          <w:bCs/>
          <w:color w:val="000000"/>
          <w:sz w:val="24"/>
          <w:szCs w:val="24"/>
          <w:lang w:eastAsia="hr-HR"/>
        </w:rPr>
        <w:t xml:space="preserve"> </w:t>
      </w:r>
    </w:p>
    <w:p w14:paraId="29E1B8B2" w14:textId="72385449" w:rsidR="00AB7315" w:rsidRPr="004C2462" w:rsidRDefault="00AB7315" w:rsidP="004C2462">
      <w:pPr>
        <w:spacing w:after="120"/>
        <w:jc w:val="both"/>
        <w:rPr>
          <w:rFonts w:cstheme="minorHAnsi"/>
          <w:bCs/>
          <w:color w:val="000000"/>
          <w:sz w:val="24"/>
          <w:szCs w:val="24"/>
          <w:lang w:eastAsia="hr-HR"/>
        </w:rPr>
      </w:pPr>
      <w:r w:rsidRPr="004C2462">
        <w:rPr>
          <w:rFonts w:cstheme="minorHAnsi"/>
          <w:bCs/>
          <w:color w:val="000000"/>
          <w:sz w:val="24"/>
          <w:szCs w:val="24"/>
          <w:lang w:eastAsia="hr-HR"/>
        </w:rPr>
        <w:t>Pregled obaveza iz pregovaračkih poglavlja:</w:t>
      </w:r>
    </w:p>
    <w:p w14:paraId="53773E22" w14:textId="77777777" w:rsidR="00AB7315" w:rsidRPr="004C2462" w:rsidRDefault="00AB7315" w:rsidP="004C2462">
      <w:pPr>
        <w:spacing w:after="120"/>
        <w:jc w:val="both"/>
        <w:rPr>
          <w:rFonts w:cstheme="minorHAnsi"/>
          <w:bCs/>
          <w:color w:val="000000"/>
          <w:sz w:val="24"/>
          <w:szCs w:val="24"/>
          <w:lang w:eastAsia="hr-HR"/>
        </w:rPr>
      </w:pPr>
      <w:r w:rsidRPr="004C2462">
        <w:rPr>
          <w:rFonts w:cstheme="minorHAnsi"/>
          <w:b/>
          <w:bCs/>
          <w:color w:val="000000"/>
          <w:sz w:val="24"/>
          <w:szCs w:val="24"/>
          <w:lang w:eastAsia="hr-HR"/>
        </w:rPr>
        <w:t>Poglavlje 3</w:t>
      </w:r>
      <w:r w:rsidRPr="004C2462">
        <w:rPr>
          <w:rFonts w:cstheme="minorHAnsi"/>
          <w:bCs/>
          <w:color w:val="000000"/>
          <w:sz w:val="24"/>
          <w:szCs w:val="24"/>
          <w:lang w:eastAsia="hr-HR"/>
        </w:rPr>
        <w:t xml:space="preserve"> – Sloboda pružanja usluga, s aspekta pružanja usluga u turizmu, budući da pravna tekovina u ovom poglavlju omogućava funkcionisanje unutrašnjeg tržišta Evropske unije i obuhvata pravo osnivanja preduzeća u bilo kojoj državi članici Unije. Osnivanje preduzeća znači pravo započinjanja i obavljanja djelatnosti u bilo kojoj državi članici, osnivanjem privrednih društava ili kao samozaposlenih osoba. Pravo osnivanja preduzeća će omogućiti crnogorskim poslovnim subjektima da pokrenu, započnu i obavljaju privredne djelatnosti na stabilan i kontinuiran način u jednoj ili više država članica Unije.</w:t>
      </w:r>
    </w:p>
    <w:p w14:paraId="20978468" w14:textId="65855362" w:rsidR="00AB7315" w:rsidRPr="004C2462" w:rsidRDefault="00AB7315" w:rsidP="004C2462">
      <w:pPr>
        <w:spacing w:after="120"/>
        <w:jc w:val="both"/>
        <w:rPr>
          <w:rFonts w:cstheme="minorHAnsi"/>
          <w:bCs/>
          <w:color w:val="000000"/>
          <w:sz w:val="24"/>
          <w:szCs w:val="24"/>
          <w:lang w:eastAsia="hr-HR"/>
        </w:rPr>
      </w:pPr>
      <w:r w:rsidRPr="004C2462">
        <w:rPr>
          <w:rFonts w:cstheme="minorHAnsi"/>
          <w:b/>
          <w:bCs/>
          <w:color w:val="000000"/>
          <w:sz w:val="24"/>
          <w:szCs w:val="24"/>
          <w:lang w:eastAsia="hr-HR"/>
        </w:rPr>
        <w:t xml:space="preserve">Poglavlje 18 – </w:t>
      </w:r>
      <w:r w:rsidRPr="004C2462">
        <w:rPr>
          <w:rFonts w:cstheme="minorHAnsi"/>
          <w:bCs/>
          <w:color w:val="000000"/>
          <w:sz w:val="24"/>
          <w:szCs w:val="24"/>
          <w:lang w:eastAsia="hr-HR"/>
        </w:rPr>
        <w:t>Statistika je značajna kao instrument za praćenje politika a prevashodno se zasniva na kvantitativnim indikatorima. Kreatori ekonomske politike u kontinuitetu trebaju pratiti razvoj statistike turizma, i zajedničkom međuinstitucionalnom doprinositi većoj usklađenosti sa EU statistikom. Kao primjer dobre prakse jeste razvoj satelitskih računa u turizmu, koje je kao pilot istraživanje realizovano 2011. godine. Cilj istraživanja satelitskih računa u turizmu je mjerenje ekonomskih efekata turizma na osnovu poređenja turizmom generisane potražnje za proizvodima i uslugama te njihove ponude. Istraživanjem se detaljno analiziraju svi aspekti potražnje za proizvodima i uslugama koje su vezane za aktivnosti posjetioca, sagledava se operativna povezanost s ponudom tih proizvoda i usluga u ekonomiji i opisuje se odnos ponude sa ostalim ekonomskim aspektima. Projekat je sproveo Monstat u saradnji sa drugim institucijama: Centralnom Bankom, tadašnjim Ministarstvom turizma i održivog razvoja, Nacionalnom Turističkom Organizacijom, Fakultetom za turizam Bar i Institutom za strateške studije i prognoze. Projekat je finansiran kroz IPA fond, kao finansijski predpristupni instrument pomoći Crnoj Gori.</w:t>
      </w:r>
    </w:p>
    <w:p w14:paraId="46DCC9D7" w14:textId="248E17E0" w:rsidR="00A433FD" w:rsidRPr="004C2462" w:rsidRDefault="00A433FD" w:rsidP="004C2462">
      <w:pPr>
        <w:spacing w:after="120"/>
        <w:jc w:val="both"/>
        <w:rPr>
          <w:rFonts w:cstheme="minorHAnsi"/>
          <w:sz w:val="24"/>
          <w:szCs w:val="24"/>
        </w:rPr>
      </w:pPr>
      <w:r w:rsidRPr="004C2462">
        <w:rPr>
          <w:rFonts w:cstheme="minorHAnsi"/>
          <w:b/>
          <w:color w:val="000000"/>
          <w:sz w:val="24"/>
          <w:szCs w:val="24"/>
          <w:lang w:eastAsia="hr-HR"/>
        </w:rPr>
        <w:t>Poglavlje 19</w:t>
      </w:r>
      <w:r w:rsidRPr="004C2462">
        <w:rPr>
          <w:rFonts w:cstheme="minorHAnsi"/>
          <w:bCs/>
          <w:color w:val="000000"/>
          <w:sz w:val="24"/>
          <w:szCs w:val="24"/>
          <w:lang w:eastAsia="hr-HR"/>
        </w:rPr>
        <w:t xml:space="preserve"> </w:t>
      </w:r>
      <w:r w:rsidRPr="004C2462">
        <w:rPr>
          <w:rFonts w:cstheme="minorHAnsi"/>
          <w:bCs/>
          <w:color w:val="000000"/>
          <w:sz w:val="24"/>
          <w:szCs w:val="24"/>
          <w:lang w:val="sr-Latn-ME" w:eastAsia="hr-HR"/>
        </w:rPr>
        <w:t xml:space="preserve">- </w:t>
      </w:r>
      <w:r w:rsidR="0092538C" w:rsidRPr="004C2462">
        <w:rPr>
          <w:rFonts w:cstheme="minorHAnsi"/>
          <w:bCs/>
          <w:color w:val="000000"/>
          <w:sz w:val="24"/>
          <w:szCs w:val="24"/>
          <w:lang w:val="sr-Latn-ME" w:eastAsia="hr-HR"/>
        </w:rPr>
        <w:t>Socijalna politika i zapošljavanje</w:t>
      </w:r>
      <w:r w:rsidR="008F0C33" w:rsidRPr="004C2462">
        <w:rPr>
          <w:rFonts w:cstheme="minorHAnsi"/>
          <w:sz w:val="24"/>
          <w:szCs w:val="24"/>
        </w:rPr>
        <w:t xml:space="preserve"> - obuhvata pravne tekovine Evropske unije u oblasti socijalne politike</w:t>
      </w:r>
      <w:r w:rsidR="001C5A0D" w:rsidRPr="004C2462">
        <w:rPr>
          <w:rFonts w:cstheme="minorHAnsi"/>
          <w:sz w:val="24"/>
          <w:szCs w:val="24"/>
        </w:rPr>
        <w:t xml:space="preserve"> i zapošljavanja. Politike koje se u ovim oblastima vode prvenstveno se oslanjaju na odredbe člana 3 Ugovora o EU koji utvrđuje da u osnovne ciljeve</w:t>
      </w:r>
      <w:r w:rsidR="008F0C33" w:rsidRPr="004C2462">
        <w:rPr>
          <w:rFonts w:cstheme="minorHAnsi"/>
          <w:sz w:val="24"/>
          <w:szCs w:val="24"/>
        </w:rPr>
        <w:t xml:space="preserve"> Unije, između ostalog, spadaju: puna zaposlenost, socijalna prava i zaš</w:t>
      </w:r>
      <w:r w:rsidR="001C5A0D" w:rsidRPr="004C2462">
        <w:rPr>
          <w:rFonts w:cstheme="minorHAnsi"/>
          <w:sz w:val="24"/>
          <w:szCs w:val="24"/>
        </w:rPr>
        <w:t>tita, ravnopravnost muškaraca i žena, međugeneracijska solidarnost, zaštita prava djeteta, suzbijanje socijalne isključenosti i diskriminacije.</w:t>
      </w:r>
    </w:p>
    <w:p w14:paraId="6FBF4C64" w14:textId="43C70A3C" w:rsidR="00AB7315" w:rsidRPr="004C2462" w:rsidRDefault="00AB7315" w:rsidP="004C2462">
      <w:pPr>
        <w:spacing w:after="120"/>
        <w:jc w:val="both"/>
        <w:rPr>
          <w:rFonts w:cstheme="minorHAnsi"/>
          <w:bCs/>
          <w:color w:val="000000"/>
          <w:sz w:val="24"/>
          <w:szCs w:val="24"/>
          <w:lang w:eastAsia="hr-HR"/>
        </w:rPr>
      </w:pPr>
      <w:r w:rsidRPr="004C2462">
        <w:rPr>
          <w:rFonts w:cstheme="minorHAnsi"/>
          <w:b/>
          <w:bCs/>
          <w:color w:val="000000"/>
          <w:sz w:val="24"/>
          <w:szCs w:val="24"/>
          <w:lang w:eastAsia="hr-HR"/>
        </w:rPr>
        <w:t>Poglavlje 20</w:t>
      </w:r>
      <w:r w:rsidRPr="004C2462">
        <w:rPr>
          <w:rFonts w:cstheme="minorHAnsi"/>
          <w:bCs/>
          <w:color w:val="000000"/>
          <w:sz w:val="24"/>
          <w:szCs w:val="24"/>
          <w:lang w:eastAsia="hr-HR"/>
        </w:rPr>
        <w:t xml:space="preserve"> – Preduzetništvo i industrijska politika </w:t>
      </w:r>
      <w:r w:rsidR="001B0827" w:rsidRPr="004C2462">
        <w:rPr>
          <w:rFonts w:cstheme="minorHAnsi"/>
          <w:bCs/>
          <w:color w:val="000000"/>
          <w:sz w:val="24"/>
          <w:szCs w:val="24"/>
          <w:lang w:eastAsia="hr-HR"/>
        </w:rPr>
        <w:t>-</w:t>
      </w:r>
      <w:r w:rsidRPr="004C2462">
        <w:rPr>
          <w:rFonts w:cstheme="minorHAnsi"/>
          <w:bCs/>
          <w:color w:val="000000"/>
          <w:sz w:val="24"/>
          <w:szCs w:val="24"/>
          <w:lang w:eastAsia="hr-HR"/>
        </w:rPr>
        <w:t xml:space="preserve"> cilj </w:t>
      </w:r>
      <w:r w:rsidR="001B0827" w:rsidRPr="004C2462">
        <w:rPr>
          <w:rFonts w:cstheme="minorHAnsi"/>
          <w:bCs/>
          <w:color w:val="000000"/>
          <w:sz w:val="24"/>
          <w:szCs w:val="24"/>
          <w:lang w:eastAsia="hr-HR"/>
        </w:rPr>
        <w:t xml:space="preserve">je </w:t>
      </w:r>
      <w:r w:rsidRPr="004C2462">
        <w:rPr>
          <w:rFonts w:cstheme="minorHAnsi"/>
          <w:bCs/>
          <w:color w:val="000000"/>
          <w:sz w:val="24"/>
          <w:szCs w:val="24"/>
          <w:lang w:eastAsia="hr-HR"/>
        </w:rPr>
        <w:t>uspostavljanje povoljnog okruženja za proizvođače i preduzetnike pružanjem podrške konkurentnosti i ravnopravnim poslovnim aktivnostima u Evropi i širom svijeta. Teme koje obuhvata pravna tekovina EU su industrijska politika, instrumenti finansijske pomoći malim i srednjim preduzećima, turistička industrija, vazduhoplovna i pomorska industrija, drvna industrija, industrija čelika i metala.</w:t>
      </w:r>
    </w:p>
    <w:p w14:paraId="18E28487" w14:textId="77777777" w:rsidR="00AB7315" w:rsidRPr="004C2462" w:rsidRDefault="00AB7315" w:rsidP="004C2462">
      <w:pPr>
        <w:spacing w:after="120"/>
        <w:jc w:val="both"/>
        <w:rPr>
          <w:rFonts w:cstheme="minorHAnsi"/>
          <w:bCs/>
          <w:color w:val="000000"/>
          <w:sz w:val="24"/>
          <w:szCs w:val="24"/>
          <w:lang w:eastAsia="hr-HR"/>
        </w:rPr>
      </w:pPr>
      <w:r w:rsidRPr="004C2462">
        <w:rPr>
          <w:rFonts w:cstheme="minorHAnsi"/>
          <w:b/>
          <w:bCs/>
          <w:color w:val="000000"/>
          <w:sz w:val="24"/>
          <w:szCs w:val="24"/>
          <w:lang w:eastAsia="hr-HR"/>
        </w:rPr>
        <w:lastRenderedPageBreak/>
        <w:t>Poglavlje 27</w:t>
      </w:r>
      <w:r w:rsidRPr="004C2462">
        <w:rPr>
          <w:rFonts w:cstheme="minorHAnsi"/>
          <w:bCs/>
          <w:color w:val="000000"/>
          <w:sz w:val="24"/>
          <w:szCs w:val="24"/>
          <w:lang w:eastAsia="hr-HR"/>
        </w:rPr>
        <w:t xml:space="preserve"> – Životna sredina obuhvata značajan opseg pravne tekovine EU koja je zahtjevna i za aktuelne  države članice: horizontalno zakonodavstvo, kvalitet vode i vazduha, upravljanje otpadom, zaštitu prirode, kontrolu  industrijskog zagađenja i upravljanje rizikom, hemikalije i genetski modifikovane organizme (GMO), buku i šumarstvo, čijom dosljednom primjenom će biti stvoren optimalan ambijent za dalji razvoj i promociju crnogorskog turizma i odrednice Crne Gore kao ekološke države koja proističe iz Ustava.</w:t>
      </w:r>
    </w:p>
    <w:p w14:paraId="73E16FD1" w14:textId="5544C04E" w:rsidR="001B0827" w:rsidRPr="004C2462" w:rsidRDefault="00AB7315" w:rsidP="004C2462">
      <w:pPr>
        <w:spacing w:after="120"/>
        <w:jc w:val="both"/>
        <w:rPr>
          <w:rFonts w:cstheme="minorHAnsi"/>
          <w:sz w:val="24"/>
          <w:szCs w:val="24"/>
          <w:lang w:eastAsia="hr-HR"/>
        </w:rPr>
      </w:pPr>
      <w:r w:rsidRPr="004C2462">
        <w:rPr>
          <w:rFonts w:cstheme="minorHAnsi"/>
          <w:b/>
          <w:bCs/>
          <w:color w:val="000000"/>
          <w:sz w:val="24"/>
          <w:szCs w:val="24"/>
          <w:lang w:eastAsia="hr-HR"/>
        </w:rPr>
        <w:t xml:space="preserve">Poglavlje 28 – </w:t>
      </w:r>
      <w:r w:rsidR="00174ECB" w:rsidRPr="004C2462">
        <w:rPr>
          <w:rFonts w:cstheme="minorHAnsi"/>
          <w:color w:val="000000"/>
          <w:sz w:val="24"/>
          <w:szCs w:val="24"/>
          <w:lang w:eastAsia="hr-HR"/>
        </w:rPr>
        <w:t>sastoji se iz dvije velike oblasti: zaštite potrošača i zaštite javnog zdravlja. Cilj politike zaštite potrošača je zaštita ekonomskih interesa potrošača, bezbjednost proizvoda, pružanje pune informacije o robi i uslugama, edukacija potrošača o njihovim pravima, kao i obezbjeđenje pravnog lijeka u slučaju kršenja potrošačkog prava. Potrošačko zakonodavstvo EU nudi mogućnost vansudskog rješavanja sporova, pravo na obeštećenje, pravo na jednostrani raskid ugovora i doprinosi sveukupnom jačanju svijesti potrošača i sigurnom tržištu EU za sve potrošače. Zaštita potrošača je područje javnog interesa i u funkciji je osiguranja kvaliteta života svih građana Evropske unije.</w:t>
      </w:r>
    </w:p>
    <w:p w14:paraId="1C6246DA" w14:textId="0FF6387B" w:rsidR="00AB7315" w:rsidRPr="004C2462" w:rsidRDefault="00AB7315" w:rsidP="004C2462">
      <w:pPr>
        <w:spacing w:after="120"/>
        <w:jc w:val="both"/>
        <w:rPr>
          <w:rFonts w:cstheme="minorHAnsi"/>
          <w:b/>
          <w:bCs/>
          <w:color w:val="000000"/>
          <w:sz w:val="24"/>
          <w:szCs w:val="24"/>
          <w:lang w:eastAsia="hr-HR"/>
        </w:rPr>
      </w:pPr>
      <w:r w:rsidRPr="004C2462">
        <w:rPr>
          <w:rFonts w:cstheme="minorHAnsi"/>
          <w:b/>
          <w:bCs/>
          <w:color w:val="000000"/>
          <w:sz w:val="24"/>
          <w:szCs w:val="24"/>
          <w:lang w:eastAsia="hr-HR"/>
        </w:rPr>
        <w:t xml:space="preserve">Evropski zeleni plan  </w:t>
      </w:r>
    </w:p>
    <w:p w14:paraId="0144D01F" w14:textId="73387FC2" w:rsidR="00AB7315" w:rsidRPr="004C2462" w:rsidRDefault="00AB7315" w:rsidP="004C2462">
      <w:pPr>
        <w:spacing w:after="120"/>
        <w:jc w:val="both"/>
        <w:rPr>
          <w:rFonts w:cstheme="minorHAnsi"/>
          <w:bCs/>
          <w:color w:val="000000"/>
          <w:sz w:val="24"/>
          <w:szCs w:val="24"/>
          <w:lang w:eastAsia="hr-HR"/>
        </w:rPr>
      </w:pPr>
      <w:r w:rsidRPr="004C2462">
        <w:rPr>
          <w:rFonts w:cstheme="minorHAnsi"/>
          <w:bCs/>
          <w:color w:val="000000"/>
          <w:sz w:val="24"/>
          <w:szCs w:val="24"/>
          <w:lang w:eastAsia="hr-HR"/>
        </w:rPr>
        <w:t xml:space="preserve">Evropski zeleni plan (European Green Deal 2019) je razvojna strategija čiji se ciljevi implementiraju i u razvojnim dokumentima Crne Gore. Njen cilj je transformacija u pravednije i prosperitetnije društvo, sa modernom, resursno efikasnom i konkurentnom ekonomijom, sa smanjenim emisijama CO2 i gdje je ekonomski rast odvojen od upotrebe resursa. Cilj ove strategije je da zaštiti, ali i podstakne ljudski, društveni, prirodni i ekonomski kapital, te da pomogne ostvarenju UN ciljeva održivog razvoja u zemljama. </w:t>
      </w:r>
    </w:p>
    <w:p w14:paraId="47F0EE35" w14:textId="043F8EE0" w:rsidR="00AB7315" w:rsidRPr="004C2462" w:rsidRDefault="00AB7315" w:rsidP="004C2462">
      <w:pPr>
        <w:spacing w:after="120"/>
        <w:jc w:val="both"/>
        <w:rPr>
          <w:rFonts w:cstheme="minorHAnsi"/>
          <w:bCs/>
          <w:sz w:val="24"/>
          <w:szCs w:val="24"/>
          <w:lang w:eastAsia="hr-HR"/>
        </w:rPr>
      </w:pPr>
      <w:r w:rsidRPr="004C2462">
        <w:rPr>
          <w:rFonts w:cstheme="minorHAnsi"/>
          <w:bCs/>
          <w:sz w:val="24"/>
          <w:szCs w:val="24"/>
          <w:lang w:eastAsia="hr-HR"/>
        </w:rPr>
        <w:t xml:space="preserve">Svih 27 država članica EU obavezale su se da će EU </w:t>
      </w:r>
      <w:r w:rsidR="001463E7">
        <w:rPr>
          <w:rFonts w:cstheme="minorHAnsi"/>
          <w:bCs/>
          <w:sz w:val="24"/>
          <w:szCs w:val="24"/>
          <w:lang w:eastAsia="hr-HR"/>
        </w:rPr>
        <w:t>transformisati</w:t>
      </w:r>
      <w:r w:rsidRPr="004C2462">
        <w:rPr>
          <w:rFonts w:cstheme="minorHAnsi"/>
          <w:bCs/>
          <w:sz w:val="24"/>
          <w:szCs w:val="24"/>
          <w:lang w:eastAsia="hr-HR"/>
        </w:rPr>
        <w:t xml:space="preserve"> u prvi klimatski neutralni kontinent do 2050.</w:t>
      </w:r>
      <w:r w:rsidR="001463E7">
        <w:rPr>
          <w:rFonts w:cstheme="minorHAnsi"/>
          <w:bCs/>
          <w:sz w:val="24"/>
          <w:szCs w:val="24"/>
          <w:lang w:eastAsia="hr-HR"/>
        </w:rPr>
        <w:t>godine.</w:t>
      </w:r>
      <w:r w:rsidRPr="004C2462">
        <w:rPr>
          <w:rFonts w:cstheme="minorHAnsi"/>
          <w:bCs/>
          <w:sz w:val="24"/>
          <w:szCs w:val="24"/>
          <w:lang w:eastAsia="hr-HR"/>
        </w:rPr>
        <w:t xml:space="preserve"> Kako bi realizovale navedeno, obavezale su se da će smanjiti emisije za najmanje 55% do 2030. godine, u poređenju sa nivoima iz 1990. godine. Zamisao je da se preispita svaki postojeći zakon o klimatskim vrijednostima, a takođe da se novim zakonodavstvom postave čvršći temelji cirkularnoj ekonomiji.</w:t>
      </w:r>
    </w:p>
    <w:p w14:paraId="00EF42E6" w14:textId="47CC2A38" w:rsidR="00AB7315" w:rsidRPr="004C2462" w:rsidRDefault="00AB7315" w:rsidP="004C2462">
      <w:pPr>
        <w:spacing w:after="120"/>
        <w:jc w:val="both"/>
        <w:rPr>
          <w:rFonts w:cstheme="minorHAnsi"/>
          <w:bCs/>
          <w:sz w:val="24"/>
          <w:szCs w:val="24"/>
          <w:lang w:eastAsia="hr-HR"/>
        </w:rPr>
      </w:pPr>
      <w:r w:rsidRPr="004C2462">
        <w:rPr>
          <w:rFonts w:cstheme="minorHAnsi"/>
          <w:bCs/>
          <w:sz w:val="24"/>
          <w:szCs w:val="24"/>
          <w:lang w:eastAsia="hr-HR"/>
        </w:rPr>
        <w:t xml:space="preserve">Sveobuhvatni cilj Evropskog zelenog plana je da Evropska unija postane prvi svjetski klimatski neutralni blok i </w:t>
      </w:r>
      <w:r w:rsidR="001463E7">
        <w:rPr>
          <w:rFonts w:cstheme="minorHAnsi"/>
          <w:bCs/>
          <w:sz w:val="24"/>
          <w:szCs w:val="24"/>
          <w:lang w:eastAsia="hr-HR"/>
        </w:rPr>
        <w:t xml:space="preserve">podstavke </w:t>
      </w:r>
      <w:r w:rsidRPr="004C2462">
        <w:rPr>
          <w:rFonts w:cstheme="minorHAnsi"/>
          <w:bCs/>
          <w:sz w:val="24"/>
          <w:szCs w:val="24"/>
          <w:lang w:eastAsia="hr-HR"/>
        </w:rPr>
        <w:t>aktivnije djelovanje u više različitih sektora, uključujući građevin</w:t>
      </w:r>
      <w:r w:rsidR="001463E7">
        <w:rPr>
          <w:rFonts w:cstheme="minorHAnsi"/>
          <w:bCs/>
          <w:sz w:val="24"/>
          <w:szCs w:val="24"/>
          <w:lang w:eastAsia="hr-HR"/>
        </w:rPr>
        <w:t>arstvo</w:t>
      </w:r>
      <w:r w:rsidRPr="004C2462">
        <w:rPr>
          <w:rFonts w:cstheme="minorHAnsi"/>
          <w:bCs/>
          <w:sz w:val="24"/>
          <w:szCs w:val="24"/>
          <w:lang w:eastAsia="hr-HR"/>
        </w:rPr>
        <w:t>, energ</w:t>
      </w:r>
      <w:r w:rsidR="001463E7">
        <w:rPr>
          <w:rFonts w:cstheme="minorHAnsi"/>
          <w:bCs/>
          <w:sz w:val="24"/>
          <w:szCs w:val="24"/>
          <w:lang w:eastAsia="hr-HR"/>
        </w:rPr>
        <w:t>etiku</w:t>
      </w:r>
      <w:r w:rsidRPr="004C2462">
        <w:rPr>
          <w:rFonts w:cstheme="minorHAnsi"/>
          <w:bCs/>
          <w:sz w:val="24"/>
          <w:szCs w:val="24"/>
          <w:lang w:eastAsia="hr-HR"/>
        </w:rPr>
        <w:t>, transport, poljoprivredu i proizvodnju hrane i slično.</w:t>
      </w:r>
    </w:p>
    <w:p w14:paraId="75E60FBF" w14:textId="22E5896C" w:rsidR="00AB7315" w:rsidRPr="004C2462" w:rsidRDefault="00AB7315" w:rsidP="004C2462">
      <w:pPr>
        <w:shd w:val="clear" w:color="auto" w:fill="FFFFFF" w:themeFill="background1"/>
        <w:spacing w:after="120"/>
        <w:jc w:val="both"/>
        <w:rPr>
          <w:rFonts w:cstheme="minorHAnsi"/>
          <w:bCs/>
          <w:color w:val="FF0000"/>
          <w:sz w:val="24"/>
          <w:szCs w:val="24"/>
          <w:lang w:eastAsia="hr-HR"/>
        </w:rPr>
      </w:pPr>
      <w:r w:rsidRPr="004C2462">
        <w:rPr>
          <w:rFonts w:cstheme="minorHAnsi"/>
          <w:sz w:val="24"/>
          <w:szCs w:val="24"/>
          <w:shd w:val="clear" w:color="auto" w:fill="FFFFFF"/>
        </w:rPr>
        <w:t>Budući da je glavni pokretač ekonomskog razvoja i investicija u Crnoj Gori, sektor turizma je direktno i indirektno odgovoran za veliki dio GHG emisija, posebno onih koje potiču od saobraćaja i smještajnih kapaciteta. </w:t>
      </w:r>
      <w:r w:rsidRPr="004C2462">
        <w:rPr>
          <w:rFonts w:cstheme="minorHAnsi"/>
          <w:bCs/>
          <w:sz w:val="24"/>
          <w:szCs w:val="24"/>
          <w:lang w:eastAsia="hr-HR"/>
        </w:rPr>
        <w:t xml:space="preserve"> S tim u vezi, Crna Gora je u saradnji sa UNDP realizovala inovativni projekat</w:t>
      </w:r>
      <w:r w:rsidRPr="004C2462">
        <w:rPr>
          <w:rFonts w:cstheme="minorHAnsi"/>
          <w:bCs/>
          <w:color w:val="FF0000"/>
          <w:sz w:val="24"/>
          <w:szCs w:val="24"/>
          <w:lang w:eastAsia="hr-HR"/>
        </w:rPr>
        <w:t xml:space="preserve"> </w:t>
      </w:r>
      <w:hyperlink r:id="rId8" w:history="1">
        <w:r w:rsidRPr="004C2462">
          <w:rPr>
            <w:rStyle w:val="Hyperlink"/>
            <w:rFonts w:cstheme="minorHAnsi"/>
            <w:spacing w:val="4"/>
            <w:sz w:val="24"/>
            <w:szCs w:val="24"/>
            <w:shd w:val="clear" w:color="auto" w:fill="FFFFFF" w:themeFill="background1"/>
          </w:rPr>
          <w:t>„Razvoj niskokarbonskog turizma u Crnoj Gori“</w:t>
        </w:r>
      </w:hyperlink>
      <w:r w:rsidRPr="004C2462">
        <w:rPr>
          <w:rFonts w:cstheme="minorHAnsi"/>
          <w:spacing w:val="4"/>
          <w:sz w:val="24"/>
          <w:szCs w:val="24"/>
          <w:shd w:val="clear" w:color="auto" w:fill="FFFFFF" w:themeFill="background1"/>
        </w:rPr>
        <w:t> koji je finansirao GEF. Projekat je imao za cilj da doprinese smanjenju emisija štetnih gasova (prvenstveno CO2) u sektoru turizma i značajno smanji negativan uticaj na životnu sredinu. Podržana su 32 investiciona projekta kojima se uvode mjere energetske efikasnosti uz korištenje obnovljivih izvora energije, dok je oko 30 hotela dobilo zeleni sertifikat i na taj način </w:t>
      </w:r>
      <w:r w:rsidR="001463E7">
        <w:rPr>
          <w:rFonts w:cstheme="minorHAnsi"/>
          <w:spacing w:val="4"/>
          <w:sz w:val="24"/>
          <w:szCs w:val="24"/>
          <w:shd w:val="clear" w:color="auto" w:fill="FFFFFF" w:themeFill="background1"/>
        </w:rPr>
        <w:t xml:space="preserve">se </w:t>
      </w:r>
      <w:bookmarkStart w:id="0" w:name="_GoBack"/>
      <w:bookmarkEnd w:id="0"/>
      <w:r w:rsidRPr="004C2462">
        <w:rPr>
          <w:rFonts w:cstheme="minorHAnsi"/>
          <w:b/>
          <w:bCs/>
          <w:spacing w:val="4"/>
          <w:sz w:val="24"/>
          <w:szCs w:val="24"/>
          <w:shd w:val="clear" w:color="auto" w:fill="FFFFFF" w:themeFill="background1"/>
        </w:rPr>
        <w:t>doprini</w:t>
      </w:r>
      <w:r w:rsidR="001463E7">
        <w:rPr>
          <w:rFonts w:cstheme="minorHAnsi"/>
          <w:b/>
          <w:bCs/>
          <w:spacing w:val="4"/>
          <w:sz w:val="24"/>
          <w:szCs w:val="24"/>
          <w:shd w:val="clear" w:color="auto" w:fill="FFFFFF" w:themeFill="background1"/>
        </w:rPr>
        <w:t>jelo</w:t>
      </w:r>
      <w:r w:rsidRPr="004C2462">
        <w:rPr>
          <w:rFonts w:cstheme="minorHAnsi"/>
          <w:b/>
          <w:bCs/>
          <w:spacing w:val="4"/>
          <w:sz w:val="24"/>
          <w:szCs w:val="24"/>
          <w:shd w:val="clear" w:color="auto" w:fill="FFFFFF" w:themeFill="background1"/>
        </w:rPr>
        <w:t xml:space="preserve"> smanjenju emisija CO2, ujedno unapređujući svijest javnosti o </w:t>
      </w:r>
      <w:r w:rsidR="001463E7">
        <w:rPr>
          <w:rFonts w:cstheme="minorHAnsi"/>
          <w:b/>
          <w:bCs/>
          <w:spacing w:val="4"/>
          <w:sz w:val="24"/>
          <w:szCs w:val="24"/>
          <w:shd w:val="clear" w:color="auto" w:fill="FFFFFF" w:themeFill="background1"/>
        </w:rPr>
        <w:t xml:space="preserve">značaju </w:t>
      </w:r>
      <w:r w:rsidRPr="004C2462">
        <w:rPr>
          <w:rFonts w:cstheme="minorHAnsi"/>
          <w:b/>
          <w:bCs/>
          <w:spacing w:val="4"/>
          <w:sz w:val="24"/>
          <w:szCs w:val="24"/>
          <w:shd w:val="clear" w:color="auto" w:fill="FFFFFF" w:themeFill="background1"/>
        </w:rPr>
        <w:t>zaštit</w:t>
      </w:r>
      <w:r w:rsidR="001463E7">
        <w:rPr>
          <w:rFonts w:cstheme="minorHAnsi"/>
          <w:b/>
          <w:bCs/>
          <w:spacing w:val="4"/>
          <w:sz w:val="24"/>
          <w:szCs w:val="24"/>
          <w:shd w:val="clear" w:color="auto" w:fill="FFFFFF" w:themeFill="background1"/>
        </w:rPr>
        <w:t>e</w:t>
      </w:r>
      <w:r w:rsidRPr="004C2462">
        <w:rPr>
          <w:rFonts w:cstheme="minorHAnsi"/>
          <w:b/>
          <w:bCs/>
          <w:spacing w:val="4"/>
          <w:sz w:val="24"/>
          <w:szCs w:val="24"/>
          <w:shd w:val="clear" w:color="auto" w:fill="FFFFFF" w:themeFill="background1"/>
        </w:rPr>
        <w:t xml:space="preserve"> prirode i klimatskim promjenama</w:t>
      </w:r>
      <w:r w:rsidRPr="004C2462">
        <w:rPr>
          <w:rFonts w:cstheme="minorHAnsi"/>
          <w:spacing w:val="4"/>
          <w:sz w:val="24"/>
          <w:szCs w:val="24"/>
          <w:shd w:val="clear" w:color="auto" w:fill="FFFFFF" w:themeFill="background1"/>
        </w:rPr>
        <w:t>. Projekat je pomogao uspostavljanje Eko fonda koji će podržati realizaciju održivih projekata po principu zagađivač plaća.</w:t>
      </w:r>
    </w:p>
    <w:p w14:paraId="15F71A50" w14:textId="77777777" w:rsidR="00AB7315" w:rsidRPr="004C2462" w:rsidRDefault="00AB7315" w:rsidP="004C2462">
      <w:pPr>
        <w:pStyle w:val="ListParagraph"/>
        <w:numPr>
          <w:ilvl w:val="0"/>
          <w:numId w:val="2"/>
        </w:numPr>
        <w:spacing w:after="120"/>
        <w:jc w:val="both"/>
        <w:rPr>
          <w:rFonts w:cstheme="minorHAnsi"/>
          <w:b/>
          <w:bCs/>
          <w:color w:val="000000"/>
          <w:sz w:val="24"/>
          <w:szCs w:val="24"/>
          <w:lang w:eastAsia="hr-HR"/>
        </w:rPr>
      </w:pPr>
      <w:r w:rsidRPr="004C2462">
        <w:rPr>
          <w:rFonts w:cstheme="minorHAnsi"/>
          <w:b/>
          <w:bCs/>
          <w:color w:val="000000"/>
          <w:sz w:val="24"/>
          <w:szCs w:val="24"/>
          <w:lang w:eastAsia="hr-HR"/>
        </w:rPr>
        <w:lastRenderedPageBreak/>
        <w:t xml:space="preserve">Regionalna saradnja </w:t>
      </w:r>
    </w:p>
    <w:p w14:paraId="43B91ABF" w14:textId="5C44174A" w:rsidR="00AB7315" w:rsidRPr="004C2462" w:rsidRDefault="00AB7315" w:rsidP="004C2462">
      <w:pPr>
        <w:spacing w:after="120"/>
        <w:jc w:val="both"/>
        <w:rPr>
          <w:rFonts w:cstheme="minorHAnsi"/>
          <w:bCs/>
          <w:color w:val="000000"/>
          <w:sz w:val="24"/>
          <w:szCs w:val="24"/>
          <w:lang w:eastAsia="hr-HR"/>
        </w:rPr>
      </w:pPr>
      <w:r w:rsidRPr="004C2462">
        <w:rPr>
          <w:rFonts w:cstheme="minorHAnsi"/>
          <w:bCs/>
          <w:color w:val="000000"/>
          <w:sz w:val="24"/>
          <w:szCs w:val="24"/>
          <w:lang w:eastAsia="hr-HR"/>
        </w:rPr>
        <w:t xml:space="preserve">Strateški ciljevi koji su prezentovani </w:t>
      </w:r>
      <w:r w:rsidRPr="004C2462">
        <w:rPr>
          <w:rFonts w:cstheme="minorHAnsi"/>
          <w:b/>
          <w:bCs/>
          <w:color w:val="000000"/>
          <w:sz w:val="24"/>
          <w:szCs w:val="24"/>
          <w:lang w:eastAsia="hr-HR"/>
        </w:rPr>
        <w:t>Strategijom Evropa 2020</w:t>
      </w:r>
      <w:r w:rsidRPr="004C2462">
        <w:rPr>
          <w:rFonts w:cstheme="minorHAnsi"/>
          <w:bCs/>
          <w:color w:val="000000"/>
          <w:sz w:val="24"/>
          <w:szCs w:val="24"/>
          <w:lang w:eastAsia="hr-HR"/>
        </w:rPr>
        <w:t xml:space="preserve"> dalje su razvijani kroz </w:t>
      </w:r>
      <w:r w:rsidRPr="004C2462">
        <w:rPr>
          <w:rFonts w:cstheme="minorHAnsi"/>
          <w:b/>
          <w:bCs/>
          <w:color w:val="000000"/>
          <w:sz w:val="24"/>
          <w:szCs w:val="24"/>
          <w:lang w:eastAsia="hr-HR"/>
        </w:rPr>
        <w:t>Strategiju Jugoistočne Evrope 2020, Jadransko-Jonska strategiju i Dunavsk</w:t>
      </w:r>
      <w:r w:rsidR="0072228E" w:rsidRPr="004C2462">
        <w:rPr>
          <w:rFonts w:cstheme="minorHAnsi"/>
          <w:b/>
          <w:bCs/>
          <w:color w:val="000000"/>
          <w:sz w:val="24"/>
          <w:szCs w:val="24"/>
          <w:lang w:eastAsia="hr-HR"/>
        </w:rPr>
        <w:t>u</w:t>
      </w:r>
      <w:r w:rsidRPr="004C2462">
        <w:rPr>
          <w:rFonts w:cstheme="minorHAnsi"/>
          <w:b/>
          <w:bCs/>
          <w:color w:val="000000"/>
          <w:sz w:val="24"/>
          <w:szCs w:val="24"/>
          <w:lang w:eastAsia="hr-HR"/>
        </w:rPr>
        <w:t xml:space="preserve"> strategij</w:t>
      </w:r>
      <w:r w:rsidR="0072228E" w:rsidRPr="004C2462">
        <w:rPr>
          <w:rFonts w:cstheme="minorHAnsi"/>
          <w:b/>
          <w:bCs/>
          <w:color w:val="000000"/>
          <w:sz w:val="24"/>
          <w:szCs w:val="24"/>
          <w:lang w:eastAsia="hr-HR"/>
        </w:rPr>
        <w:t>u</w:t>
      </w:r>
      <w:r w:rsidRPr="004C2462">
        <w:rPr>
          <w:rFonts w:cstheme="minorHAnsi"/>
          <w:bCs/>
          <w:color w:val="000000"/>
          <w:sz w:val="24"/>
          <w:szCs w:val="24"/>
          <w:lang w:eastAsia="hr-HR"/>
        </w:rPr>
        <w:t xml:space="preserve">, ali sa aspekta regiona, njihovih potencijala i prednosti koje mogu obezbijediti brži i održiv ekonomski rast i razvoj uz istovremeno otklanjanje evidentiranih prepreka i prevazilaženje slabosti koje predstavljaju barijere razvoju.  </w:t>
      </w:r>
    </w:p>
    <w:p w14:paraId="2F43E742" w14:textId="77777777" w:rsidR="00AB7315" w:rsidRPr="004C2462" w:rsidRDefault="00AB7315" w:rsidP="004C2462">
      <w:pPr>
        <w:spacing w:after="120"/>
        <w:jc w:val="both"/>
        <w:rPr>
          <w:rFonts w:cstheme="minorHAnsi"/>
          <w:bCs/>
          <w:color w:val="000000"/>
          <w:sz w:val="24"/>
          <w:szCs w:val="24"/>
          <w:lang w:eastAsia="hr-HR"/>
        </w:rPr>
      </w:pPr>
      <w:r w:rsidRPr="004C2462">
        <w:rPr>
          <w:rFonts w:cstheme="minorHAnsi"/>
          <w:b/>
          <w:bCs/>
          <w:color w:val="000000"/>
          <w:sz w:val="24"/>
          <w:szCs w:val="24"/>
          <w:lang w:eastAsia="hr-HR"/>
        </w:rPr>
        <w:t>Strategija EU za Jadransko-jonski region 2014-2020 (EUSAIR)</w:t>
      </w:r>
      <w:r w:rsidRPr="004C2462">
        <w:rPr>
          <w:rFonts w:cstheme="minorHAnsi"/>
          <w:bCs/>
          <w:color w:val="000000"/>
          <w:sz w:val="24"/>
          <w:szCs w:val="24"/>
          <w:lang w:eastAsia="hr-HR"/>
        </w:rPr>
        <w:t xml:space="preserve"> (EU Strategy for the Adriatic and Ionian Region) obuhvata osam zemalja Jadransko-jonske inicijative: Italiju, Grčku, Sloveniju, Hrvatsku, Srbiju, Crnu Goru, Bosnu i Hercegovinu i Albaniju. Glavni cilj je ubrzani društveno-ekonomski razvoj Jadransko-jonske makroregije kroz pojačanu saradnju osam zemalja u oblastima saobraćajne infrastrukture, energetike, plavog rasta, turizma i očuvanja biodiverziteta, uz istovremeno maksimiziranje doprinosa turističke privrede rastu i zapošljavanju i promovisanju saradnje između zemalja EU, posebno razmjenom dobre prakse.  </w:t>
      </w:r>
    </w:p>
    <w:p w14:paraId="1B968089" w14:textId="5880F481" w:rsidR="00B95CB4" w:rsidRPr="004C2462" w:rsidRDefault="00AB7315" w:rsidP="004C2462">
      <w:pPr>
        <w:spacing w:after="120"/>
        <w:jc w:val="both"/>
        <w:rPr>
          <w:rFonts w:cstheme="minorHAnsi"/>
          <w:bCs/>
          <w:color w:val="000000"/>
          <w:sz w:val="24"/>
          <w:szCs w:val="24"/>
          <w:lang w:eastAsia="hr-HR"/>
        </w:rPr>
      </w:pPr>
      <w:r w:rsidRPr="004C2462">
        <w:rPr>
          <w:rFonts w:cstheme="minorHAnsi"/>
          <w:b/>
          <w:bCs/>
          <w:color w:val="000000"/>
          <w:sz w:val="24"/>
          <w:szCs w:val="24"/>
          <w:lang w:eastAsia="hr-HR"/>
        </w:rPr>
        <w:t xml:space="preserve">Strategija EU za Dunavski region (EUSDR) </w:t>
      </w:r>
      <w:r w:rsidRPr="004C2462">
        <w:rPr>
          <w:rFonts w:cstheme="minorHAnsi"/>
          <w:bCs/>
          <w:color w:val="000000"/>
          <w:sz w:val="24"/>
          <w:szCs w:val="24"/>
          <w:lang w:eastAsia="hr-HR"/>
        </w:rPr>
        <w:t>(European Union Strategy for Danube Region) je usvojena u domenu regionalnog povezivanja i saradnje Dunavskog regiona koji obuhvata 14 zemalja: Austriju, Bugarsku, Njemačku, Mađarsku, Rumuniju, Slovačku, Hrvatsku, Srbiju, Moldaviju, Ukrajinu, Češku, Sloveniju, Crnu Goru i Bosnu i Hercegovinu. Strategija se zasniva na četiri stuba i 11 prioritetnih oblasti, gdje se za oblast razvoja turizma posebno naglašava važnost povezivanja ljud/zemalja kroz kulturu i turizam („To promote culture and tourism, people to people contacts”).</w:t>
      </w:r>
    </w:p>
    <w:p w14:paraId="47AAC3DB" w14:textId="77866163" w:rsidR="00B95CB4" w:rsidRPr="004C2462" w:rsidRDefault="00B95CB4" w:rsidP="004C2462">
      <w:pPr>
        <w:spacing w:after="120"/>
        <w:jc w:val="both"/>
        <w:rPr>
          <w:rFonts w:cstheme="minorHAnsi"/>
          <w:sz w:val="24"/>
          <w:szCs w:val="24"/>
        </w:rPr>
      </w:pPr>
      <w:r w:rsidRPr="004C2462">
        <w:rPr>
          <w:rFonts w:cstheme="minorHAnsi"/>
          <w:b/>
          <w:bCs/>
          <w:sz w:val="24"/>
          <w:szCs w:val="24"/>
        </w:rPr>
        <w:t>Centralno-evropska inicijativa (CEI)</w:t>
      </w:r>
      <w:r w:rsidRPr="004C2462">
        <w:rPr>
          <w:rFonts w:cstheme="minorHAnsi"/>
          <w:sz w:val="24"/>
          <w:szCs w:val="24"/>
        </w:rPr>
        <w:t xml:space="preserve"> – Crna Gora je u 2021. godini nastavila predsjedavanje Inicijativom započeto u 2020. godini čime je potvrđena njena posvećenosti regionalnoj saradnji, daljem progresu u okviru integracije u EU, razvijanju dobrih međususjedskih odnosa, kao i aktivnom angažmanu u brojnim projektnim aktivnostima u okviru Inicijative. U period</w:t>
      </w:r>
      <w:r w:rsidR="003F0EFE" w:rsidRPr="004C2462">
        <w:rPr>
          <w:rFonts w:cstheme="minorHAnsi"/>
          <w:sz w:val="24"/>
          <w:szCs w:val="24"/>
        </w:rPr>
        <w:t>u</w:t>
      </w:r>
      <w:r w:rsidRPr="004C2462">
        <w:rPr>
          <w:rFonts w:cstheme="minorHAnsi"/>
          <w:sz w:val="24"/>
          <w:szCs w:val="24"/>
        </w:rPr>
        <w:t xml:space="preserve"> obilježenom pandemija COVID-19, regionalna saradnja</w:t>
      </w:r>
      <w:r w:rsidR="003F0EFE" w:rsidRPr="004C2462">
        <w:rPr>
          <w:rFonts w:cstheme="minorHAnsi"/>
          <w:sz w:val="24"/>
          <w:szCs w:val="24"/>
        </w:rPr>
        <w:t xml:space="preserve"> je dobila na značaju a kroz</w:t>
      </w:r>
      <w:r w:rsidRPr="004C2462">
        <w:rPr>
          <w:rFonts w:cstheme="minorHAnsi"/>
          <w:sz w:val="24"/>
          <w:szCs w:val="24"/>
        </w:rPr>
        <w:t xml:space="preserve"> </w:t>
      </w:r>
      <w:r w:rsidR="003F0EFE" w:rsidRPr="004C2462">
        <w:rPr>
          <w:rFonts w:cstheme="minorHAnsi"/>
          <w:sz w:val="24"/>
          <w:szCs w:val="24"/>
        </w:rPr>
        <w:t>odvijanje</w:t>
      </w:r>
      <w:r w:rsidRPr="004C2462">
        <w:rPr>
          <w:rFonts w:cstheme="minorHAnsi"/>
          <w:sz w:val="24"/>
          <w:szCs w:val="24"/>
        </w:rPr>
        <w:t xml:space="preserve"> konstruktivn</w:t>
      </w:r>
      <w:r w:rsidR="003F0EFE" w:rsidRPr="004C2462">
        <w:rPr>
          <w:rFonts w:cstheme="minorHAnsi"/>
          <w:sz w:val="24"/>
          <w:szCs w:val="24"/>
        </w:rPr>
        <w:t>ih</w:t>
      </w:r>
      <w:r w:rsidRPr="004C2462">
        <w:rPr>
          <w:rFonts w:cstheme="minorHAnsi"/>
          <w:sz w:val="24"/>
          <w:szCs w:val="24"/>
        </w:rPr>
        <w:t xml:space="preserve"> dijaloga i projektno orijentisane saradnje u strateškim oblastima obezb</w:t>
      </w:r>
      <w:r w:rsidR="003F0EFE" w:rsidRPr="004C2462">
        <w:rPr>
          <w:rFonts w:cstheme="minorHAnsi"/>
          <w:sz w:val="24"/>
          <w:szCs w:val="24"/>
        </w:rPr>
        <w:t>jeđuje se</w:t>
      </w:r>
      <w:r w:rsidRPr="004C2462">
        <w:rPr>
          <w:rFonts w:cstheme="minorHAnsi"/>
          <w:sz w:val="24"/>
          <w:szCs w:val="24"/>
        </w:rPr>
        <w:t xml:space="preserve"> efikasnost rada Inicijative u pravcu jačanja partnerstava sa svim državama članicama CEI, Sekretarijatom, kao i drugim relevantnim regionalnim akterima.</w:t>
      </w:r>
      <w:r w:rsidR="003F0EFE" w:rsidRPr="004C2462">
        <w:rPr>
          <w:rFonts w:cstheme="minorHAnsi"/>
          <w:sz w:val="24"/>
          <w:szCs w:val="24"/>
        </w:rPr>
        <w:t xml:space="preserve"> </w:t>
      </w:r>
      <w:r w:rsidRPr="004C2462">
        <w:rPr>
          <w:rFonts w:cstheme="minorHAnsi"/>
          <w:sz w:val="24"/>
          <w:szCs w:val="24"/>
        </w:rPr>
        <w:t>Crna Gora je prva zemlja od osnivanja CEI koja predsjedava Inicijativom dvije godine zaredom.</w:t>
      </w:r>
    </w:p>
    <w:p w14:paraId="64842335" w14:textId="7953144A" w:rsidR="00723A00" w:rsidRPr="004C2462" w:rsidRDefault="00723A00" w:rsidP="004C2462">
      <w:pPr>
        <w:spacing w:after="120"/>
        <w:rPr>
          <w:rFonts w:cstheme="minorHAnsi"/>
          <w:color w:val="FF0000"/>
          <w:sz w:val="24"/>
          <w:szCs w:val="24"/>
        </w:rPr>
      </w:pPr>
    </w:p>
    <w:sectPr w:rsidR="00723A00" w:rsidRPr="004C2462" w:rsidSect="00317158">
      <w:footerReference w:type="default" r:id="rId9"/>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6003C" w14:textId="77777777" w:rsidR="008C4BC6" w:rsidRDefault="008C4BC6" w:rsidP="004C2462">
      <w:pPr>
        <w:spacing w:after="0" w:line="240" w:lineRule="auto"/>
      </w:pPr>
      <w:r>
        <w:separator/>
      </w:r>
    </w:p>
  </w:endnote>
  <w:endnote w:type="continuationSeparator" w:id="0">
    <w:p w14:paraId="02A56334" w14:textId="77777777" w:rsidR="008C4BC6" w:rsidRDefault="008C4BC6" w:rsidP="004C2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583531"/>
      <w:docPartObj>
        <w:docPartGallery w:val="Page Numbers (Bottom of Page)"/>
        <w:docPartUnique/>
      </w:docPartObj>
    </w:sdtPr>
    <w:sdtEndPr>
      <w:rPr>
        <w:noProof/>
      </w:rPr>
    </w:sdtEndPr>
    <w:sdtContent>
      <w:p w14:paraId="426FCB88" w14:textId="0BFA9B49" w:rsidR="00B0778F" w:rsidRDefault="00B077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D032B0" w14:textId="77777777" w:rsidR="00B0778F" w:rsidRDefault="00B07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28C53" w14:textId="77777777" w:rsidR="008C4BC6" w:rsidRDefault="008C4BC6" w:rsidP="004C2462">
      <w:pPr>
        <w:spacing w:after="0" w:line="240" w:lineRule="auto"/>
      </w:pPr>
      <w:r>
        <w:separator/>
      </w:r>
    </w:p>
  </w:footnote>
  <w:footnote w:type="continuationSeparator" w:id="0">
    <w:p w14:paraId="3F5018E5" w14:textId="77777777" w:rsidR="008C4BC6" w:rsidRDefault="008C4BC6" w:rsidP="004C2462">
      <w:pPr>
        <w:spacing w:after="0" w:line="240" w:lineRule="auto"/>
      </w:pPr>
      <w:r>
        <w:continuationSeparator/>
      </w:r>
    </w:p>
  </w:footnote>
  <w:footnote w:id="1">
    <w:p w14:paraId="444BFFAA" w14:textId="30BFC552" w:rsidR="004C2462" w:rsidRPr="004C2462" w:rsidRDefault="004C2462" w:rsidP="004C2462">
      <w:pPr>
        <w:spacing w:after="0" w:line="240" w:lineRule="auto"/>
        <w:jc w:val="both"/>
        <w:rPr>
          <w:rFonts w:cs="Arial"/>
          <w:i/>
          <w:sz w:val="16"/>
          <w:szCs w:val="16"/>
        </w:rPr>
      </w:pPr>
      <w:r>
        <w:rPr>
          <w:rStyle w:val="FootnoteReference"/>
        </w:rPr>
        <w:footnoteRef/>
      </w:r>
      <w:r>
        <w:t xml:space="preserve"> </w:t>
      </w:r>
      <w:r w:rsidRPr="00EB25E8">
        <w:rPr>
          <w:rFonts w:cs="Arial"/>
          <w:i/>
          <w:sz w:val="16"/>
          <w:szCs w:val="16"/>
        </w:rPr>
        <w:t>“Službeni list Republike CG”, br. br. 11/04 od 20.02.2004, 46/07 od 31.07.2007, “Službeni list Crne Gore", br. 73/10 od 10.12.2010, 40/11 od 08.08.2011, 45/14 od 24.10.2014, 42/17 od 30.06.2017, 27/19 od 17.05.2019)</w:t>
      </w:r>
    </w:p>
  </w:footnote>
  <w:footnote w:id="2">
    <w:p w14:paraId="0A3507A8" w14:textId="3681E876" w:rsidR="004C2462" w:rsidRPr="004C2462" w:rsidRDefault="004C2462" w:rsidP="004C2462">
      <w:pPr>
        <w:spacing w:after="0" w:line="240" w:lineRule="auto"/>
        <w:jc w:val="both"/>
        <w:rPr>
          <w:rFonts w:cs="Arial"/>
          <w:i/>
          <w:sz w:val="16"/>
          <w:szCs w:val="16"/>
        </w:rPr>
      </w:pPr>
      <w:r>
        <w:rPr>
          <w:rStyle w:val="FootnoteReference"/>
        </w:rPr>
        <w:footnoteRef/>
      </w:r>
      <w:r>
        <w:t xml:space="preserve"> </w:t>
      </w:r>
      <w:r w:rsidRPr="00EB25E8">
        <w:rPr>
          <w:rFonts w:cs="Arial"/>
          <w:i/>
          <w:sz w:val="16"/>
          <w:szCs w:val="16"/>
        </w:rPr>
        <w:t>"Službeni list Republike Crne Gore", br. 11/04 od 20.02.2004, 13/04 od 26.02.2004, Službeni list Crne Gore", br. 73/10 od 10.12.2010, 48/15 od 21.08.2015</w:t>
      </w:r>
    </w:p>
  </w:footnote>
  <w:footnote w:id="3">
    <w:p w14:paraId="38A36990" w14:textId="48019515" w:rsidR="004C2462" w:rsidRPr="004C2462" w:rsidRDefault="004C2462" w:rsidP="004C2462">
      <w:pPr>
        <w:spacing w:after="0" w:line="240" w:lineRule="auto"/>
        <w:jc w:val="both"/>
        <w:rPr>
          <w:rFonts w:cs="Arial"/>
          <w:i/>
          <w:sz w:val="16"/>
          <w:szCs w:val="16"/>
        </w:rPr>
      </w:pPr>
      <w:r>
        <w:rPr>
          <w:rStyle w:val="FootnoteReference"/>
        </w:rPr>
        <w:footnoteRef/>
      </w:r>
      <w:r>
        <w:t xml:space="preserve"> </w:t>
      </w:r>
      <w:r w:rsidRPr="00EB25E8">
        <w:rPr>
          <w:rFonts w:cs="Arial"/>
          <w:i/>
          <w:sz w:val="16"/>
          <w:szCs w:val="16"/>
        </w:rPr>
        <w:t>Službeni list Crne Gore", br. 51/08 od 22.08.2008, 53/11 od 11.11.2011</w:t>
      </w:r>
    </w:p>
  </w:footnote>
  <w:footnote w:id="4">
    <w:p w14:paraId="117EF62A" w14:textId="434D376E" w:rsidR="004C2462" w:rsidRPr="004C2462" w:rsidRDefault="004C2462">
      <w:pPr>
        <w:pStyle w:val="FootnoteText"/>
        <w:rPr>
          <w:lang w:val="sr-Latn-ME"/>
        </w:rPr>
      </w:pPr>
      <w:r>
        <w:rPr>
          <w:rStyle w:val="FootnoteReference"/>
        </w:rPr>
        <w:footnoteRef/>
      </w:r>
      <w:r>
        <w:t xml:space="preserve"> </w:t>
      </w:r>
      <w:r w:rsidRPr="00EB25E8">
        <w:rPr>
          <w:rFonts w:cs="Arial"/>
          <w:i/>
          <w:sz w:val="16"/>
          <w:szCs w:val="16"/>
        </w:rPr>
        <w:t>"Službeni list Crne Gore", br. 13/07 od 18.12.2007, 40/11 od 08.08.2011, 21/14 od 06.05.2014, 44/17 od 06.07.2017</w:t>
      </w:r>
    </w:p>
  </w:footnote>
  <w:footnote w:id="5">
    <w:p w14:paraId="3444A7BC" w14:textId="0DB541E3" w:rsidR="004C2462" w:rsidRPr="004C2462" w:rsidRDefault="004C2462" w:rsidP="004C2462">
      <w:pPr>
        <w:spacing w:after="0" w:line="240" w:lineRule="auto"/>
        <w:jc w:val="both"/>
        <w:rPr>
          <w:lang w:val="sr-Latn-ME"/>
        </w:rPr>
      </w:pPr>
      <w:r>
        <w:rPr>
          <w:rStyle w:val="FootnoteReference"/>
        </w:rPr>
        <w:footnoteRef/>
      </w:r>
      <w:r>
        <w:t xml:space="preserve"> </w:t>
      </w:r>
      <w:r w:rsidRPr="00EB25E8">
        <w:rPr>
          <w:rFonts w:cs="Arial"/>
          <w:i/>
          <w:sz w:val="16"/>
          <w:szCs w:val="16"/>
        </w:rPr>
        <w:t>"Službeni list Crne Gore", br. 53/11 od 11.11.2011, 53/16 od 11.08.2016, 57/16 od 02.09.20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682C"/>
    <w:multiLevelType w:val="hybridMultilevel"/>
    <w:tmpl w:val="18EEA4C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9456F"/>
    <w:multiLevelType w:val="hybridMultilevel"/>
    <w:tmpl w:val="319C9CAA"/>
    <w:lvl w:ilvl="0" w:tplc="24A8C56A">
      <w:start w:val="1"/>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A85619"/>
    <w:multiLevelType w:val="multilevel"/>
    <w:tmpl w:val="72D61D1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00413AB"/>
    <w:multiLevelType w:val="hybridMultilevel"/>
    <w:tmpl w:val="E3548BCA"/>
    <w:lvl w:ilvl="0" w:tplc="B6F44BCA">
      <w:start w:val="2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315"/>
    <w:rsid w:val="000705DD"/>
    <w:rsid w:val="001463E7"/>
    <w:rsid w:val="00174ECB"/>
    <w:rsid w:val="001937CE"/>
    <w:rsid w:val="0019509C"/>
    <w:rsid w:val="001B0827"/>
    <w:rsid w:val="001C5A0D"/>
    <w:rsid w:val="00211C7D"/>
    <w:rsid w:val="002127E8"/>
    <w:rsid w:val="002C3436"/>
    <w:rsid w:val="002D0D52"/>
    <w:rsid w:val="00317158"/>
    <w:rsid w:val="003B164A"/>
    <w:rsid w:val="003F0EFE"/>
    <w:rsid w:val="004C2462"/>
    <w:rsid w:val="006837D2"/>
    <w:rsid w:val="006A0A7B"/>
    <w:rsid w:val="006F6B8A"/>
    <w:rsid w:val="00706112"/>
    <w:rsid w:val="0072228E"/>
    <w:rsid w:val="00723A00"/>
    <w:rsid w:val="00883074"/>
    <w:rsid w:val="008C4BC6"/>
    <w:rsid w:val="008F0C33"/>
    <w:rsid w:val="0092538C"/>
    <w:rsid w:val="00972419"/>
    <w:rsid w:val="00A433FD"/>
    <w:rsid w:val="00AB7315"/>
    <w:rsid w:val="00AC127B"/>
    <w:rsid w:val="00B0778F"/>
    <w:rsid w:val="00B126ED"/>
    <w:rsid w:val="00B95CB4"/>
    <w:rsid w:val="00CC5223"/>
    <w:rsid w:val="00CE7A84"/>
    <w:rsid w:val="00CF27BB"/>
    <w:rsid w:val="00D1244B"/>
    <w:rsid w:val="00D51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F187F"/>
  <w15:chartTrackingRefBased/>
  <w15:docId w15:val="{3CB3E0DB-E2E9-4C8A-B7EB-50840CE5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315"/>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Paragraphe de liste PBLH,Table of contents numbered,Lapis Bulleted List,List Paragraph (numbered (a)),Bullet Points,Liste Paragraf,Liststycke SKL,Normal bullet 2,Bullet list,En tête 1,List Paragraph1,içindekiler vb"/>
    <w:basedOn w:val="Normal"/>
    <w:link w:val="ListParagraphChar"/>
    <w:uiPriority w:val="34"/>
    <w:qFormat/>
    <w:rsid w:val="00AB7315"/>
    <w:pPr>
      <w:ind w:left="720"/>
      <w:contextualSpacing/>
    </w:pPr>
  </w:style>
  <w:style w:type="table" w:styleId="TableGrid">
    <w:name w:val="Table Grid"/>
    <w:basedOn w:val="TableNormal"/>
    <w:uiPriority w:val="39"/>
    <w:rsid w:val="00AB7315"/>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DP DOCUMENT SUBTITLE Char,Paragraphe de liste PBLH Char,Table of contents numbered Char,Lapis Bulleted List Char,List Paragraph (numbered (a)) Char,Bullet Points Char,Liste Paragraf Char,Liststycke SKL Char,Normal bullet 2 Char"/>
    <w:link w:val="ListParagraph"/>
    <w:uiPriority w:val="34"/>
    <w:qFormat/>
    <w:locked/>
    <w:rsid w:val="00AB7315"/>
    <w:rPr>
      <w:rFonts w:asciiTheme="minorHAnsi" w:hAnsiTheme="minorHAnsi"/>
    </w:rPr>
  </w:style>
  <w:style w:type="character" w:styleId="Hyperlink">
    <w:name w:val="Hyperlink"/>
    <w:basedOn w:val="DefaultParagraphFont"/>
    <w:uiPriority w:val="99"/>
    <w:unhideWhenUsed/>
    <w:rsid w:val="00AB7315"/>
    <w:rPr>
      <w:color w:val="0563C1" w:themeColor="hyperlink"/>
      <w:u w:val="single"/>
    </w:rPr>
  </w:style>
  <w:style w:type="paragraph" w:styleId="FootnoteText">
    <w:name w:val="footnote text"/>
    <w:basedOn w:val="Normal"/>
    <w:link w:val="FootnoteTextChar"/>
    <w:uiPriority w:val="99"/>
    <w:semiHidden/>
    <w:unhideWhenUsed/>
    <w:rsid w:val="004C24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2462"/>
    <w:rPr>
      <w:rFonts w:asciiTheme="minorHAnsi" w:hAnsiTheme="minorHAnsi"/>
      <w:sz w:val="20"/>
      <w:szCs w:val="20"/>
    </w:rPr>
  </w:style>
  <w:style w:type="character" w:styleId="FootnoteReference">
    <w:name w:val="footnote reference"/>
    <w:basedOn w:val="DefaultParagraphFont"/>
    <w:uiPriority w:val="99"/>
    <w:semiHidden/>
    <w:unhideWhenUsed/>
    <w:rsid w:val="004C2462"/>
    <w:rPr>
      <w:vertAlign w:val="superscript"/>
    </w:rPr>
  </w:style>
  <w:style w:type="paragraph" w:styleId="Header">
    <w:name w:val="header"/>
    <w:basedOn w:val="Normal"/>
    <w:link w:val="HeaderChar"/>
    <w:uiPriority w:val="99"/>
    <w:unhideWhenUsed/>
    <w:rsid w:val="00B07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78F"/>
    <w:rPr>
      <w:rFonts w:asciiTheme="minorHAnsi" w:hAnsiTheme="minorHAnsi"/>
    </w:rPr>
  </w:style>
  <w:style w:type="paragraph" w:styleId="Footer">
    <w:name w:val="footer"/>
    <w:basedOn w:val="Normal"/>
    <w:link w:val="FooterChar"/>
    <w:uiPriority w:val="99"/>
    <w:unhideWhenUsed/>
    <w:rsid w:val="00B07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78F"/>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3A%2F%2Fwww.lowcarbonmne.me%2Fen%2Fmedia-center%2Fnews%2Fizuzetan-odziv-za-ekolosku-sertifikaciju-budva-dobija-10-hotela-sa-ekoloskim-sertifikatom&amp;data=02%7C01%7Cradica.zekovic%40undp.org%7C69c826d72bfe4e2a77d708d6a3cbd930%7Cb3e5db5e2944483799f57488ace54319%7C0%7C0%7C636876493248128410&amp;sdata=78w8n%2FOr52OUlMuEFw6iQk9GA9vIgDoT%2Fz28cCMo1mg%3D&amp;reserve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E9E5B-2A80-4BCE-865D-3D92C98C9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3425</Words>
  <Characters>19525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Kovacevic</dc:creator>
  <cp:keywords/>
  <dc:description/>
  <cp:lastModifiedBy>Aleksandra Slavuljica Gardasevic</cp:lastModifiedBy>
  <cp:revision>2</cp:revision>
  <dcterms:created xsi:type="dcterms:W3CDTF">2021-11-26T10:31:00Z</dcterms:created>
  <dcterms:modified xsi:type="dcterms:W3CDTF">2021-11-26T10:31:00Z</dcterms:modified>
</cp:coreProperties>
</file>