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47" w:rsidRDefault="000C2DDB">
      <w:r>
        <w:rPr>
          <w:noProof/>
          <w:lang w:val="en-US"/>
        </w:rPr>
        <w:drawing>
          <wp:inline distT="0" distB="0" distL="0" distR="0">
            <wp:extent cx="5731510" cy="168124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B" w:rsidRPr="000C2DDB" w:rsidRDefault="000C2DDB" w:rsidP="000C2DDB">
      <w:pPr>
        <w:jc w:val="right"/>
        <w:rPr>
          <w:lang w:val="hr-HR"/>
        </w:rPr>
      </w:pPr>
      <w:r w:rsidRPr="000C2DDB">
        <w:rPr>
          <w:lang w:val="hr-HR"/>
        </w:rPr>
        <w:t>13. Decembar 2011.</w:t>
      </w:r>
    </w:p>
    <w:p w:rsidR="000C2DDB" w:rsidRDefault="000C2DDB">
      <w:pPr>
        <w:rPr>
          <w:lang w:val="hr-HR"/>
        </w:rPr>
      </w:pPr>
    </w:p>
    <w:p w:rsidR="000C2DDB" w:rsidRDefault="005B7C09">
      <w:pPr>
        <w:rPr>
          <w:lang w:val="hr-HR"/>
        </w:rPr>
      </w:pPr>
      <w:r>
        <w:rPr>
          <w:lang w:val="hr-HR"/>
        </w:rPr>
        <w:t>Ažuriranje istraživanja</w:t>
      </w:r>
    </w:p>
    <w:p w:rsidR="005B7C09" w:rsidRDefault="005B7C09">
      <w:pPr>
        <w:rPr>
          <w:lang w:val="hr-HR"/>
        </w:rPr>
      </w:pPr>
    </w:p>
    <w:p w:rsidR="005B7C09" w:rsidRPr="00DF26B1" w:rsidRDefault="005B7C09">
      <w:pPr>
        <w:rPr>
          <w:b/>
          <w:lang w:val="hr-HR"/>
        </w:rPr>
      </w:pPr>
      <w:r w:rsidRPr="00DF26B1">
        <w:rPr>
          <w:b/>
          <w:lang w:val="hr-HR"/>
        </w:rPr>
        <w:t>Potvrđen rejting BB/B za Republiku Crnu Goru</w:t>
      </w:r>
      <w:r w:rsidR="00DF26B1" w:rsidRPr="00DF26B1">
        <w:rPr>
          <w:b/>
          <w:lang w:val="hr-HR"/>
        </w:rPr>
        <w:t>; Izgled negativa</w:t>
      </w:r>
      <w:r w:rsidR="00B2055E">
        <w:rPr>
          <w:b/>
          <w:lang w:val="hr-HR"/>
        </w:rPr>
        <w:t>n</w:t>
      </w:r>
      <w:r w:rsidR="00DF26B1" w:rsidRPr="00DF26B1">
        <w:rPr>
          <w:b/>
          <w:lang w:val="hr-HR"/>
        </w:rPr>
        <w:t xml:space="preserve"> zbog rizika od eksternog finansiranja</w:t>
      </w:r>
    </w:p>
    <w:p w:rsidR="005B7C09" w:rsidRDefault="005B7C09">
      <w:pPr>
        <w:rPr>
          <w:lang w:val="sl-SI"/>
        </w:rPr>
      </w:pPr>
    </w:p>
    <w:p w:rsidR="00DF26B1" w:rsidRPr="00B2055E" w:rsidRDefault="00B2055E" w:rsidP="00DF26B1">
      <w:pPr>
        <w:autoSpaceDE w:val="0"/>
        <w:autoSpaceDN w:val="0"/>
        <w:adjustRightInd w:val="0"/>
        <w:jc w:val="left"/>
        <w:rPr>
          <w:rFonts w:ascii="Univers-CondensedBold-spPDF" w:hAnsi="Univers-CondensedBold-spPDF" w:cs="Univers-CondensedBold-spPDF"/>
          <w:b/>
          <w:bCs/>
          <w:sz w:val="18"/>
          <w:szCs w:val="18"/>
          <w:lang w:val="hr-HR"/>
        </w:rPr>
      </w:pPr>
      <w:r w:rsidRPr="00B2055E">
        <w:rPr>
          <w:rFonts w:ascii="Univers-CondensedBold-spPDF" w:hAnsi="Univers-CondensedBold-spPDF" w:cs="Univers-CondensedBold-spPDF"/>
          <w:b/>
          <w:bCs/>
          <w:sz w:val="18"/>
          <w:szCs w:val="18"/>
          <w:lang w:val="hr-HR"/>
        </w:rPr>
        <w:t>Primarni kreditni analitičar</w:t>
      </w:r>
      <w:r w:rsidR="00DF26B1" w:rsidRPr="00B2055E">
        <w:rPr>
          <w:rFonts w:ascii="Univers-CondensedBold-spPDF" w:hAnsi="Univers-CondensedBold-spPDF" w:cs="Univers-CondensedBold-spPDF"/>
          <w:b/>
          <w:bCs/>
          <w:sz w:val="18"/>
          <w:szCs w:val="18"/>
          <w:lang w:val="hr-HR"/>
        </w:rPr>
        <w:t>:</w:t>
      </w:r>
    </w:p>
    <w:p w:rsidR="00DF26B1" w:rsidRPr="00B2055E" w:rsidRDefault="00DF26B1" w:rsidP="00DF26B1">
      <w:pPr>
        <w:autoSpaceDE w:val="0"/>
        <w:autoSpaceDN w:val="0"/>
        <w:adjustRightInd w:val="0"/>
        <w:jc w:val="left"/>
        <w:rPr>
          <w:rFonts w:ascii="Univers-CondensedLight-spPDF" w:hAnsi="Univers-CondensedLight-spPDF" w:cs="Univers-CondensedLight-spPDF"/>
          <w:sz w:val="18"/>
          <w:szCs w:val="18"/>
          <w:lang w:val="hr-HR"/>
        </w:rPr>
      </w:pPr>
      <w:r w:rsidRPr="00B2055E">
        <w:rPr>
          <w:rFonts w:ascii="Univers-CondensedLight-spPDF" w:hAnsi="Univers-CondensedLight-spPDF" w:cs="Univers-CondensedLight-spPDF"/>
          <w:sz w:val="18"/>
          <w:szCs w:val="18"/>
          <w:lang w:val="hr-HR"/>
        </w:rPr>
        <w:t>Ana Mates, London (44) 20-7176-7109;</w:t>
      </w:r>
      <w:r w:rsidR="00B2055E">
        <w:rPr>
          <w:rFonts w:ascii="Univers-CondensedLight-spPDF" w:hAnsi="Univers-CondensedLight-spPDF" w:cs="Univers-CondensedLight-spPDF"/>
          <w:sz w:val="18"/>
          <w:szCs w:val="18"/>
          <w:lang w:val="hr-HR"/>
        </w:rPr>
        <w:t xml:space="preserve"> </w:t>
      </w:r>
      <w:r w:rsidRPr="00B2055E">
        <w:rPr>
          <w:rFonts w:ascii="Univers-CondensedLight-spPDF" w:hAnsi="Univers-CondensedLight-spPDF" w:cs="Univers-CondensedLight-spPDF"/>
          <w:sz w:val="18"/>
          <w:szCs w:val="18"/>
          <w:lang w:val="hr-HR"/>
        </w:rPr>
        <w:t>ana_mates@standardandpoors.com</w:t>
      </w:r>
    </w:p>
    <w:p w:rsidR="00DF26B1" w:rsidRPr="00B2055E" w:rsidRDefault="00B2055E" w:rsidP="00DF26B1">
      <w:pPr>
        <w:autoSpaceDE w:val="0"/>
        <w:autoSpaceDN w:val="0"/>
        <w:adjustRightInd w:val="0"/>
        <w:jc w:val="left"/>
        <w:rPr>
          <w:rFonts w:ascii="Univers-CondensedBold-spPDF" w:hAnsi="Univers-CondensedBold-spPDF" w:cs="Univers-CondensedBold-spPDF"/>
          <w:b/>
          <w:bCs/>
          <w:sz w:val="18"/>
          <w:szCs w:val="18"/>
          <w:lang w:val="hr-HR"/>
        </w:rPr>
      </w:pPr>
      <w:r w:rsidRPr="00B2055E">
        <w:rPr>
          <w:rFonts w:ascii="Univers-CondensedBold-spPDF" w:hAnsi="Univers-CondensedBold-spPDF" w:cs="Univers-CondensedBold-spPDF"/>
          <w:b/>
          <w:bCs/>
          <w:sz w:val="18"/>
          <w:szCs w:val="18"/>
          <w:lang w:val="hr-HR"/>
        </w:rPr>
        <w:t>Sekundarni kontakt</w:t>
      </w:r>
      <w:r w:rsidR="00DF26B1" w:rsidRPr="00B2055E">
        <w:rPr>
          <w:rFonts w:ascii="Univers-CondensedBold-spPDF" w:hAnsi="Univers-CondensedBold-spPDF" w:cs="Univers-CondensedBold-spPDF"/>
          <w:b/>
          <w:bCs/>
          <w:sz w:val="18"/>
          <w:szCs w:val="18"/>
          <w:lang w:val="hr-HR"/>
        </w:rPr>
        <w:t>:</w:t>
      </w:r>
    </w:p>
    <w:p w:rsidR="00DF26B1" w:rsidRPr="00B2055E" w:rsidRDefault="00DF26B1" w:rsidP="00DF26B1">
      <w:pPr>
        <w:rPr>
          <w:lang w:val="hr-HR"/>
        </w:rPr>
      </w:pPr>
      <w:r w:rsidRPr="00B2055E">
        <w:rPr>
          <w:rFonts w:ascii="Univers-CondensedLight-spPDF" w:hAnsi="Univers-CondensedLight-spPDF" w:cs="Univers-CondensedLight-spPDF"/>
          <w:sz w:val="18"/>
          <w:szCs w:val="18"/>
          <w:lang w:val="hr-HR"/>
        </w:rPr>
        <w:t>Ivan Morozov, London (44) 20-7176-7159;</w:t>
      </w:r>
      <w:r w:rsidR="00B2055E">
        <w:rPr>
          <w:rFonts w:ascii="Univers-CondensedLight-spPDF" w:hAnsi="Univers-CondensedLight-spPDF" w:cs="Univers-CondensedLight-spPDF"/>
          <w:sz w:val="18"/>
          <w:szCs w:val="18"/>
          <w:lang w:val="hr-HR"/>
        </w:rPr>
        <w:t xml:space="preserve"> </w:t>
      </w:r>
      <w:r w:rsidRPr="00B2055E">
        <w:rPr>
          <w:rFonts w:ascii="Univers-CondensedLight-spPDF" w:hAnsi="Univers-CondensedLight-spPDF" w:cs="Univers-CondensedLight-spPDF"/>
          <w:sz w:val="18"/>
          <w:szCs w:val="18"/>
          <w:lang w:val="hr-HR"/>
        </w:rPr>
        <w:t>ivan_morozov@standardandpoors.com</w:t>
      </w:r>
    </w:p>
    <w:p w:rsidR="005B7C09" w:rsidRDefault="005B7C09">
      <w:pPr>
        <w:rPr>
          <w:lang w:val="hr-HR"/>
        </w:rPr>
      </w:pPr>
    </w:p>
    <w:p w:rsidR="00B2055E" w:rsidRDefault="00B2055E">
      <w:pPr>
        <w:rPr>
          <w:lang w:val="hr-HR"/>
        </w:rPr>
      </w:pPr>
    </w:p>
    <w:p w:rsidR="00DF26B1" w:rsidRPr="00F27B92" w:rsidRDefault="00F27B92">
      <w:pPr>
        <w:rPr>
          <w:i/>
          <w:lang w:val="hr-HR"/>
        </w:rPr>
      </w:pPr>
      <w:r w:rsidRPr="00F27B92">
        <w:rPr>
          <w:i/>
          <w:lang w:val="hr-HR"/>
        </w:rPr>
        <w:t>Sadržaj</w:t>
      </w:r>
    </w:p>
    <w:p w:rsidR="00F27B92" w:rsidRPr="00F27B92" w:rsidRDefault="00F27B92">
      <w:pPr>
        <w:rPr>
          <w:lang w:val="hr-HR"/>
        </w:rPr>
      </w:pPr>
      <w:r w:rsidRPr="00F27B92">
        <w:rPr>
          <w:lang w:val="hr-HR"/>
        </w:rPr>
        <w:t>Pregled</w:t>
      </w:r>
    </w:p>
    <w:p w:rsidR="00DF26B1" w:rsidRDefault="0041136A">
      <w:pPr>
        <w:rPr>
          <w:lang w:val="hr-HR"/>
        </w:rPr>
      </w:pPr>
      <w:r>
        <w:rPr>
          <w:lang w:val="hr-HR"/>
        </w:rPr>
        <w:t>Aktivnosti koje se odnose na rejting</w:t>
      </w:r>
    </w:p>
    <w:p w:rsidR="0041136A" w:rsidRDefault="0041136A">
      <w:pPr>
        <w:rPr>
          <w:lang w:val="hr-HR"/>
        </w:rPr>
      </w:pPr>
      <w:r>
        <w:rPr>
          <w:lang w:val="hr-HR"/>
        </w:rPr>
        <w:t>Obrazloženje</w:t>
      </w:r>
    </w:p>
    <w:p w:rsidR="0041136A" w:rsidRDefault="0041136A">
      <w:pPr>
        <w:rPr>
          <w:lang w:val="hr-HR"/>
        </w:rPr>
      </w:pPr>
      <w:r>
        <w:rPr>
          <w:lang w:val="hr-HR"/>
        </w:rPr>
        <w:t>Izlged</w:t>
      </w:r>
    </w:p>
    <w:p w:rsidR="0041136A" w:rsidRDefault="0041136A">
      <w:pPr>
        <w:rPr>
          <w:lang w:val="hr-HR"/>
        </w:rPr>
      </w:pPr>
      <w:r>
        <w:rPr>
          <w:lang w:val="hr-HR"/>
        </w:rPr>
        <w:t>Povezani kriterijumi i istraživanja</w:t>
      </w:r>
    </w:p>
    <w:p w:rsidR="0041136A" w:rsidRDefault="0041136A">
      <w:pPr>
        <w:rPr>
          <w:lang w:val="hr-HR"/>
        </w:rPr>
      </w:pPr>
      <w:r>
        <w:rPr>
          <w:lang w:val="hr-HR"/>
        </w:rPr>
        <w:t>Lista rejtinga</w:t>
      </w:r>
    </w:p>
    <w:p w:rsidR="0041136A" w:rsidRDefault="0041136A">
      <w:pPr>
        <w:rPr>
          <w:lang w:val="hr-HR"/>
        </w:rPr>
      </w:pPr>
    </w:p>
    <w:p w:rsidR="00F27B92" w:rsidRDefault="00F27B92">
      <w:pPr>
        <w:rPr>
          <w:lang w:val="hr-HR"/>
        </w:rPr>
      </w:pPr>
    </w:p>
    <w:p w:rsidR="0041136A" w:rsidRDefault="0041136A">
      <w:pPr>
        <w:spacing w:after="200" w:line="276" w:lineRule="auto"/>
        <w:jc w:val="left"/>
        <w:rPr>
          <w:lang w:val="hr-HR"/>
        </w:rPr>
      </w:pPr>
      <w:r>
        <w:rPr>
          <w:lang w:val="hr-HR"/>
        </w:rPr>
        <w:br w:type="page"/>
      </w:r>
    </w:p>
    <w:p w:rsidR="0041136A" w:rsidRDefault="0041136A">
      <w:pPr>
        <w:rPr>
          <w:lang w:val="hr-HR"/>
        </w:rPr>
      </w:pPr>
    </w:p>
    <w:p w:rsidR="0041136A" w:rsidRDefault="0041136A" w:rsidP="0041136A">
      <w:pPr>
        <w:rPr>
          <w:lang w:val="hr-HR"/>
        </w:rPr>
      </w:pPr>
      <w:r>
        <w:rPr>
          <w:lang w:val="hr-HR"/>
        </w:rPr>
        <w:t>Ažuriranje istraživanja</w:t>
      </w:r>
    </w:p>
    <w:p w:rsidR="0041136A" w:rsidRDefault="0041136A" w:rsidP="0041136A">
      <w:pPr>
        <w:rPr>
          <w:lang w:val="hr-HR"/>
        </w:rPr>
      </w:pPr>
    </w:p>
    <w:p w:rsidR="0041136A" w:rsidRPr="00DF26B1" w:rsidRDefault="0041136A" w:rsidP="0041136A">
      <w:pPr>
        <w:rPr>
          <w:b/>
          <w:lang w:val="hr-HR"/>
        </w:rPr>
      </w:pPr>
      <w:r w:rsidRPr="00DF26B1">
        <w:rPr>
          <w:b/>
          <w:lang w:val="hr-HR"/>
        </w:rPr>
        <w:t>Potvrđen rejting BB/B za Republiku Crnu Goru; Izgled negativa</w:t>
      </w:r>
      <w:r w:rsidR="00B2055E">
        <w:rPr>
          <w:b/>
          <w:lang w:val="hr-HR"/>
        </w:rPr>
        <w:t>n</w:t>
      </w:r>
      <w:r w:rsidRPr="00DF26B1">
        <w:rPr>
          <w:b/>
          <w:lang w:val="hr-HR"/>
        </w:rPr>
        <w:t xml:space="preserve"> zbog rizika od eksternog finansiranja</w:t>
      </w:r>
    </w:p>
    <w:p w:rsidR="0041136A" w:rsidRDefault="0041136A" w:rsidP="0041136A">
      <w:pPr>
        <w:rPr>
          <w:lang w:val="sl-SI"/>
        </w:rPr>
      </w:pPr>
    </w:p>
    <w:p w:rsidR="00D12C82" w:rsidRDefault="00D12C82" w:rsidP="0041136A">
      <w:pPr>
        <w:rPr>
          <w:lang w:val="sl-SI"/>
        </w:rPr>
      </w:pPr>
    </w:p>
    <w:p w:rsidR="00D12C82" w:rsidRPr="00D12C82" w:rsidRDefault="00D12C82" w:rsidP="00D12C82">
      <w:pPr>
        <w:rPr>
          <w:b/>
          <w:lang w:val="hr-HR"/>
        </w:rPr>
      </w:pPr>
      <w:r w:rsidRPr="00D12C82">
        <w:rPr>
          <w:b/>
          <w:lang w:val="hr-HR"/>
        </w:rPr>
        <w:t>Pregled</w:t>
      </w:r>
    </w:p>
    <w:p w:rsidR="00D12C82" w:rsidRDefault="00B2055E" w:rsidP="00B2055E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Rizici koji nastaju od uspravanja u Evropi su značajni, posebno kada se ima u vidu oslanjanje Crne Gore na direktne strane investicie za finansiranje velikog deficita tekućeg računa.</w:t>
      </w:r>
    </w:p>
    <w:p w:rsidR="00B2055E" w:rsidRDefault="00B2055E" w:rsidP="00B2055E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Iako je bankarski sektor značajno smanjio svoje eksterne obaveze tokom prethodne tri godine, </w:t>
      </w:r>
      <w:r w:rsidR="007C61DB">
        <w:rPr>
          <w:lang w:val="hr-HR"/>
        </w:rPr>
        <w:t xml:space="preserve">i dalje visok </w:t>
      </w:r>
      <w:r w:rsidR="00981C95">
        <w:rPr>
          <w:lang w:val="hr-HR"/>
        </w:rPr>
        <w:t xml:space="preserve">nivo </w:t>
      </w:r>
      <w:r w:rsidR="00823B98">
        <w:rPr>
          <w:lang w:val="hr-HR"/>
        </w:rPr>
        <w:t xml:space="preserve">eksternog duga </w:t>
      </w:r>
      <w:r w:rsidR="00B171F0">
        <w:rPr>
          <w:lang w:val="hr-HR"/>
        </w:rPr>
        <w:t xml:space="preserve">kod njih čini da je ekonomija osjetljiva </w:t>
      </w:r>
      <w:r w:rsidR="00F44647">
        <w:rPr>
          <w:lang w:val="hr-HR"/>
        </w:rPr>
        <w:t>ukoliko banke prestanu sa prekograničnim međubankraskim kreditiranjem.</w:t>
      </w:r>
    </w:p>
    <w:p w:rsidR="00F44647" w:rsidRDefault="000840EA" w:rsidP="00B2055E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Mi potvrđujemo rejting Republike Crne Gore od BB/B.</w:t>
      </w:r>
    </w:p>
    <w:p w:rsidR="000840EA" w:rsidRDefault="000840EA" w:rsidP="00B2055E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Negativan izgled odražava </w:t>
      </w:r>
      <w:r w:rsidR="004C011D">
        <w:rPr>
          <w:lang w:val="hr-HR"/>
        </w:rPr>
        <w:t>vjerovatnoću smanjenja rejtinga ukoliko Crna Gora ima poteškoća u ispunajvanju svojih potreba za eksternim finansiranjem u 2012.</w:t>
      </w:r>
    </w:p>
    <w:p w:rsidR="004C011D" w:rsidRDefault="004C011D" w:rsidP="004C011D">
      <w:pPr>
        <w:rPr>
          <w:lang w:val="hr-HR"/>
        </w:rPr>
      </w:pPr>
    </w:p>
    <w:p w:rsidR="009B0149" w:rsidRPr="004C011D" w:rsidRDefault="009B0149" w:rsidP="004C011D">
      <w:pPr>
        <w:rPr>
          <w:lang w:val="hr-HR"/>
        </w:rPr>
      </w:pPr>
    </w:p>
    <w:p w:rsidR="00D12C82" w:rsidRPr="004C011D" w:rsidRDefault="00D12C82" w:rsidP="00D12C82">
      <w:pPr>
        <w:rPr>
          <w:b/>
          <w:lang w:val="hr-HR"/>
        </w:rPr>
      </w:pPr>
      <w:r w:rsidRPr="004C011D">
        <w:rPr>
          <w:b/>
          <w:lang w:val="hr-HR"/>
        </w:rPr>
        <w:t>Aktivnosti koje se odnose na rejting</w:t>
      </w:r>
    </w:p>
    <w:p w:rsidR="004C011D" w:rsidRDefault="004C011D" w:rsidP="00D12C82">
      <w:pPr>
        <w:rPr>
          <w:lang w:val="hr-HR"/>
        </w:rPr>
      </w:pPr>
    </w:p>
    <w:p w:rsidR="004C011D" w:rsidRDefault="004C011D" w:rsidP="004C011D">
      <w:pPr>
        <w:rPr>
          <w:lang w:val="hr-HR"/>
        </w:rPr>
      </w:pPr>
      <w:r>
        <w:rPr>
          <w:lang w:val="hr-HR"/>
        </w:rPr>
        <w:t xml:space="preserve">Služba za rejting </w:t>
      </w:r>
      <w:r w:rsidRPr="004C011D">
        <w:rPr>
          <w:lang w:val="hr-HR"/>
        </w:rPr>
        <w:t>Standard &amp; Poor's</w:t>
      </w:r>
      <w:r>
        <w:rPr>
          <w:lang w:val="hr-HR"/>
        </w:rPr>
        <w:t xml:space="preserve"> je 13. decembra 2011. potvrdila </w:t>
      </w:r>
      <w:r w:rsidR="00E503BB">
        <w:rPr>
          <w:lang w:val="hr-HR"/>
        </w:rPr>
        <w:t xml:space="preserve">svoj dugoročni </w:t>
      </w:r>
      <w:r w:rsidR="00E503BB" w:rsidRPr="004C011D">
        <w:rPr>
          <w:lang w:val="hr-HR"/>
        </w:rPr>
        <w:t>'BB'</w:t>
      </w:r>
      <w:r w:rsidR="00E503BB">
        <w:rPr>
          <w:lang w:val="hr-HR"/>
        </w:rPr>
        <w:t xml:space="preserve"> suvereni rejting i kratkoročni </w:t>
      </w:r>
      <w:r w:rsidRPr="004C011D">
        <w:rPr>
          <w:lang w:val="hr-HR"/>
        </w:rPr>
        <w:t xml:space="preserve">'B' </w:t>
      </w:r>
      <w:r w:rsidR="00E503BB">
        <w:rPr>
          <w:lang w:val="hr-HR"/>
        </w:rPr>
        <w:t>suvereni rejting Republike Crne Gore</w:t>
      </w:r>
      <w:r w:rsidR="00C76766">
        <w:rPr>
          <w:lang w:val="hr-HR"/>
        </w:rPr>
        <w:t>.  Izgled je i dalje negativan.  Procjena za transfere i konvertibilnost (</w:t>
      </w:r>
      <w:r w:rsidR="00C76766" w:rsidRPr="004C011D">
        <w:rPr>
          <w:lang w:val="hr-HR"/>
        </w:rPr>
        <w:t>T&amp;C)</w:t>
      </w:r>
      <w:r w:rsidR="00C76766">
        <w:rPr>
          <w:lang w:val="hr-HR"/>
        </w:rPr>
        <w:t xml:space="preserve"> je nepromijenjena i ona je </w:t>
      </w:r>
      <w:r w:rsidRPr="004C011D">
        <w:rPr>
          <w:lang w:val="hr-HR"/>
        </w:rPr>
        <w:t>'AAA'.</w:t>
      </w:r>
    </w:p>
    <w:p w:rsidR="00C76766" w:rsidRDefault="00C76766" w:rsidP="004C011D">
      <w:pPr>
        <w:rPr>
          <w:lang w:val="hr-HR"/>
        </w:rPr>
      </w:pPr>
    </w:p>
    <w:p w:rsidR="009B0149" w:rsidRPr="004C011D" w:rsidRDefault="009B0149" w:rsidP="004C011D">
      <w:pPr>
        <w:rPr>
          <w:lang w:val="hr-HR"/>
        </w:rPr>
      </w:pPr>
    </w:p>
    <w:p w:rsidR="00D12C82" w:rsidRPr="00D7438E" w:rsidRDefault="00D12C82" w:rsidP="00D12C82">
      <w:pPr>
        <w:rPr>
          <w:b/>
          <w:lang w:val="hr-HR"/>
        </w:rPr>
      </w:pPr>
      <w:r w:rsidRPr="00D7438E">
        <w:rPr>
          <w:b/>
          <w:lang w:val="hr-HR"/>
        </w:rPr>
        <w:t>Obrazloženje</w:t>
      </w:r>
    </w:p>
    <w:p w:rsidR="00C76766" w:rsidRDefault="00C76766" w:rsidP="00D12C82">
      <w:pPr>
        <w:rPr>
          <w:lang w:val="hr-HR"/>
        </w:rPr>
      </w:pPr>
    </w:p>
    <w:p w:rsidR="00D7438E" w:rsidRDefault="00D7438E" w:rsidP="00D12C82">
      <w:pPr>
        <w:rPr>
          <w:lang w:val="hr-HR"/>
        </w:rPr>
      </w:pPr>
      <w:r>
        <w:rPr>
          <w:lang w:val="hr-HR"/>
        </w:rPr>
        <w:t>Rejting Republike Crne Gore</w:t>
      </w:r>
      <w:r w:rsidR="00A129E8">
        <w:rPr>
          <w:lang w:val="hr-HR"/>
        </w:rPr>
        <w:t xml:space="preserve"> odražava</w:t>
      </w:r>
      <w:r w:rsidR="00ED3255">
        <w:rPr>
          <w:lang w:val="hr-HR"/>
        </w:rPr>
        <w:t xml:space="preserve"> balans između</w:t>
      </w:r>
      <w:r w:rsidR="00A129E8">
        <w:rPr>
          <w:lang w:val="hr-HR"/>
        </w:rPr>
        <w:t xml:space="preserve"> </w:t>
      </w:r>
      <w:r w:rsidR="00ED3255">
        <w:rPr>
          <w:lang w:val="hr-HR"/>
        </w:rPr>
        <w:t>slab</w:t>
      </w:r>
      <w:r w:rsidR="00946F29">
        <w:rPr>
          <w:lang w:val="hr-HR"/>
        </w:rPr>
        <w:t>e</w:t>
      </w:r>
      <w:r w:rsidR="00ED3255">
        <w:rPr>
          <w:lang w:val="hr-HR"/>
        </w:rPr>
        <w:t xml:space="preserve"> ekstern</w:t>
      </w:r>
      <w:r w:rsidR="00946F29">
        <w:rPr>
          <w:lang w:val="hr-HR"/>
        </w:rPr>
        <w:t>e</w:t>
      </w:r>
      <w:r w:rsidR="00ED3255">
        <w:rPr>
          <w:lang w:val="hr-HR"/>
        </w:rPr>
        <w:t xml:space="preserve"> pozicij</w:t>
      </w:r>
      <w:r w:rsidR="00946F29">
        <w:rPr>
          <w:lang w:val="hr-HR"/>
        </w:rPr>
        <w:t>e</w:t>
      </w:r>
      <w:r w:rsidR="00ED3255">
        <w:rPr>
          <w:lang w:val="hr-HR"/>
        </w:rPr>
        <w:t xml:space="preserve"> zemlje i nedostatk</w:t>
      </w:r>
      <w:r w:rsidR="00946F29">
        <w:rPr>
          <w:lang w:val="hr-HR"/>
        </w:rPr>
        <w:t>a</w:t>
      </w:r>
      <w:r w:rsidR="00ED3255">
        <w:rPr>
          <w:lang w:val="hr-HR"/>
        </w:rPr>
        <w:t xml:space="preserve"> monetarne fle</w:t>
      </w:r>
      <w:r w:rsidR="00946F29">
        <w:rPr>
          <w:lang w:val="hr-HR"/>
        </w:rPr>
        <w:t xml:space="preserve">ksibilnosti naspram </w:t>
      </w:r>
      <w:r w:rsidR="00E67FA1">
        <w:rPr>
          <w:lang w:val="hr-HR"/>
        </w:rPr>
        <w:t xml:space="preserve">njenog viskog </w:t>
      </w:r>
      <w:r w:rsidR="00121F1A">
        <w:rPr>
          <w:lang w:val="hr-HR"/>
        </w:rPr>
        <w:t>nivoa prosperiteta</w:t>
      </w:r>
      <w:r w:rsidR="00BB0489">
        <w:rPr>
          <w:lang w:val="hr-HR"/>
        </w:rPr>
        <w:t xml:space="preserve">, </w:t>
      </w:r>
      <w:r w:rsidR="008B0177">
        <w:rPr>
          <w:lang w:val="hr-HR"/>
        </w:rPr>
        <w:t xml:space="preserve">njenog stabilnog političkog okruženja (učvršćenog sa dobrm izgledima za pristupanje Evropskoj uniji) i njenim umjerenim </w:t>
      </w:r>
      <w:r w:rsidR="00E62547">
        <w:rPr>
          <w:lang w:val="hr-HR"/>
        </w:rPr>
        <w:t xml:space="preserve">opterećenjem </w:t>
      </w:r>
      <w:r w:rsidR="008B0177">
        <w:rPr>
          <w:lang w:val="hr-HR"/>
        </w:rPr>
        <w:t>državnim dugom</w:t>
      </w:r>
      <w:r w:rsidR="00DF429B">
        <w:rPr>
          <w:lang w:val="hr-HR"/>
        </w:rPr>
        <w:t>, u poređenju</w:t>
      </w:r>
      <w:r w:rsidR="00A95D83">
        <w:rPr>
          <w:lang w:val="hr-HR"/>
        </w:rPr>
        <w:t xml:space="preserve"> sa</w:t>
      </w:r>
      <w:r w:rsidR="00DF429B">
        <w:rPr>
          <w:lang w:val="hr-HR"/>
        </w:rPr>
        <w:t xml:space="preserve"> suveren</w:t>
      </w:r>
      <w:r w:rsidR="00A95D83">
        <w:rPr>
          <w:lang w:val="hr-HR"/>
        </w:rPr>
        <w:t>im</w:t>
      </w:r>
      <w:r w:rsidR="00DF429B">
        <w:rPr>
          <w:lang w:val="hr-HR"/>
        </w:rPr>
        <w:t xml:space="preserve"> držav</w:t>
      </w:r>
      <w:r w:rsidR="00A95D83">
        <w:rPr>
          <w:lang w:val="hr-HR"/>
        </w:rPr>
        <w:t>ama</w:t>
      </w:r>
      <w:r w:rsidR="00DF429B">
        <w:rPr>
          <w:lang w:val="hr-HR"/>
        </w:rPr>
        <w:t xml:space="preserve"> sa sličnim rejtingom.</w:t>
      </w:r>
    </w:p>
    <w:p w:rsidR="00DF429B" w:rsidRDefault="00DF429B" w:rsidP="00D12C82">
      <w:pPr>
        <w:rPr>
          <w:lang w:val="hr-HR"/>
        </w:rPr>
      </w:pPr>
    </w:p>
    <w:p w:rsidR="003E61DF" w:rsidRDefault="003E61DF" w:rsidP="00D12C82">
      <w:pPr>
        <w:rPr>
          <w:lang w:val="hr-HR"/>
        </w:rPr>
      </w:pPr>
      <w:r>
        <w:rPr>
          <w:lang w:val="hr-HR"/>
        </w:rPr>
        <w:t xml:space="preserve">Crna Gora se suočila sa recesijom 2009. i </w:t>
      </w:r>
      <w:r w:rsidR="007966F2">
        <w:rPr>
          <w:lang w:val="hr-HR"/>
        </w:rPr>
        <w:t>od tada je imala spor rast i kontrakciju kredi</w:t>
      </w:r>
      <w:r w:rsidR="0014211E">
        <w:rPr>
          <w:lang w:val="hr-HR"/>
        </w:rPr>
        <w:t>tiranja.</w:t>
      </w:r>
      <w:r w:rsidR="001F790D">
        <w:rPr>
          <w:lang w:val="hr-HR"/>
        </w:rPr>
        <w:t xml:space="preserve">  </w:t>
      </w:r>
      <w:r w:rsidR="00870386">
        <w:rPr>
          <w:lang w:val="hr-HR"/>
        </w:rPr>
        <w:t>Uprkos tome, zemlja i dalje ima visok deficit tekućeg računa</w:t>
      </w:r>
      <w:r w:rsidR="001B3D8A">
        <w:rPr>
          <w:lang w:val="hr-HR"/>
        </w:rPr>
        <w:t xml:space="preserve">, koji je procijenjen na oko 22% BDP-a u 2011.  Tekući račun je pao sa 50% BDP-a u 2008. i 30% u 2009. </w:t>
      </w:r>
      <w:r w:rsidR="00C115DC">
        <w:rPr>
          <w:lang w:val="hr-HR"/>
        </w:rPr>
        <w:t>čemu j</w:t>
      </w:r>
      <w:r w:rsidR="008358B4">
        <w:rPr>
          <w:lang w:val="hr-HR"/>
        </w:rPr>
        <w:t xml:space="preserve">e doprionio pad od 40% u uvozu roba </w:t>
      </w:r>
      <w:r w:rsidR="005C7EF4">
        <w:rPr>
          <w:lang w:val="hr-HR"/>
        </w:rPr>
        <w:t xml:space="preserve">u odnosu na njen vrhunac iz 2008.  </w:t>
      </w:r>
      <w:r w:rsidR="008B1833">
        <w:rPr>
          <w:lang w:val="hr-HR"/>
        </w:rPr>
        <w:t>Po našem mišl</w:t>
      </w:r>
      <w:r w:rsidR="00D5253A">
        <w:rPr>
          <w:lang w:val="hr-HR"/>
        </w:rPr>
        <w:t>j</w:t>
      </w:r>
      <w:r w:rsidR="008B1833">
        <w:rPr>
          <w:lang w:val="hr-HR"/>
        </w:rPr>
        <w:t>enju</w:t>
      </w:r>
      <w:r w:rsidR="002A71BB">
        <w:rPr>
          <w:lang w:val="hr-HR"/>
        </w:rPr>
        <w:t>, visok deficit tekućeg računa u Crnoj Gori je u određenoj mjeri strukturni fenomen i predstavlja veliku potrebu za investicij</w:t>
      </w:r>
      <w:r w:rsidR="00D03511">
        <w:rPr>
          <w:lang w:val="hr-HR"/>
        </w:rPr>
        <w:t>ama</w:t>
      </w:r>
      <w:r w:rsidR="00A233BD">
        <w:rPr>
          <w:lang w:val="hr-HR"/>
        </w:rPr>
        <w:t>, koje će na srednji i dugi rok povećati produktivne kapacitete ekonomije ukoliko se investicijama upravlja na efikasan način.</w:t>
      </w:r>
    </w:p>
    <w:p w:rsidR="00A233BD" w:rsidRDefault="00A233BD" w:rsidP="00D12C82">
      <w:pPr>
        <w:rPr>
          <w:lang w:val="hr-HR"/>
        </w:rPr>
      </w:pPr>
    </w:p>
    <w:p w:rsidR="00C76766" w:rsidRDefault="00D6011E" w:rsidP="00534234">
      <w:pPr>
        <w:rPr>
          <w:lang w:val="hr-HR"/>
        </w:rPr>
      </w:pPr>
      <w:r>
        <w:rPr>
          <w:lang w:val="hr-HR"/>
        </w:rPr>
        <w:t>Ovi deficiti izlažu naciju riziku od refinansiranj</w:t>
      </w:r>
      <w:r w:rsidR="00492307">
        <w:rPr>
          <w:lang w:val="hr-HR"/>
        </w:rPr>
        <w:t xml:space="preserve">a.  Naša projekcija </w:t>
      </w:r>
      <w:r w:rsidR="00B123AF">
        <w:rPr>
          <w:lang w:val="hr-HR"/>
        </w:rPr>
        <w:t>je da će bruto</w:t>
      </w:r>
      <w:r w:rsidR="00D174B8">
        <w:rPr>
          <w:lang w:val="hr-HR"/>
        </w:rPr>
        <w:t xml:space="preserve"> </w:t>
      </w:r>
      <w:r w:rsidR="00B123AF">
        <w:rPr>
          <w:lang w:val="hr-HR"/>
        </w:rPr>
        <w:t>ekstern</w:t>
      </w:r>
      <w:r w:rsidR="00D174B8">
        <w:rPr>
          <w:lang w:val="hr-HR"/>
        </w:rPr>
        <w:t xml:space="preserve">e potrebe za finansiranjem u 2012. biti 84% </w:t>
      </w:r>
      <w:r w:rsidR="000F6067">
        <w:rPr>
          <w:lang w:val="hr-HR"/>
        </w:rPr>
        <w:t xml:space="preserve">primitaka </w:t>
      </w:r>
      <w:r w:rsidR="004123BC">
        <w:rPr>
          <w:lang w:val="hr-HR"/>
        </w:rPr>
        <w:t xml:space="preserve">tekućeg računa.  </w:t>
      </w:r>
      <w:r w:rsidR="00411FC8">
        <w:rPr>
          <w:lang w:val="hr-HR"/>
        </w:rPr>
        <w:t xml:space="preserve">Ovaj </w:t>
      </w:r>
      <w:r w:rsidR="00984DEC">
        <w:rPr>
          <w:lang w:val="hr-HR"/>
        </w:rPr>
        <w:t>podatak</w:t>
      </w:r>
      <w:r w:rsidR="005473C3">
        <w:rPr>
          <w:lang w:val="hr-HR"/>
        </w:rPr>
        <w:t xml:space="preserve"> </w:t>
      </w:r>
      <w:r w:rsidR="005C7A36">
        <w:rPr>
          <w:lang w:val="hr-HR"/>
        </w:rPr>
        <w:t>se sastoji od projektovanog deficita tekućeg računa u iznosi nešto preko 600 miliona eura i</w:t>
      </w:r>
      <w:r w:rsidR="00B6121A">
        <w:rPr>
          <w:lang w:val="hr-HR"/>
        </w:rPr>
        <w:t xml:space="preserve"> amortizacije </w:t>
      </w:r>
      <w:r w:rsidR="00CE0077">
        <w:rPr>
          <w:lang w:val="hr-HR"/>
        </w:rPr>
        <w:t>dugoročnog spoljnog duga i obnavljanje</w:t>
      </w:r>
      <w:r w:rsidR="007D3557">
        <w:rPr>
          <w:lang w:val="hr-HR"/>
        </w:rPr>
        <w:t xml:space="preserve"> kratkoročnog spoljnog duga (koji se procjenjuje da zajedno iznosi 1,1 milijardu eura).  Mi </w:t>
      </w:r>
      <w:r w:rsidR="007D3557">
        <w:rPr>
          <w:lang w:val="hr-HR"/>
        </w:rPr>
        <w:lastRenderedPageBreak/>
        <w:t xml:space="preserve">očekujemo </w:t>
      </w:r>
      <w:r w:rsidR="00130674">
        <w:rPr>
          <w:lang w:val="hr-HR"/>
        </w:rPr>
        <w:t xml:space="preserve">da će Crna Gora finansirati </w:t>
      </w:r>
      <w:r w:rsidR="00AC59E2">
        <w:rPr>
          <w:lang w:val="hr-HR"/>
        </w:rPr>
        <w:t>ove potrebe za eksternim finansiranjem</w:t>
      </w:r>
      <w:r w:rsidR="00506379">
        <w:rPr>
          <w:lang w:val="hr-HR"/>
        </w:rPr>
        <w:t xml:space="preserve"> kroz strane direktne investic</w:t>
      </w:r>
      <w:r w:rsidR="00746938">
        <w:rPr>
          <w:lang w:val="hr-HR"/>
        </w:rPr>
        <w:t>ije</w:t>
      </w:r>
      <w:r w:rsidR="00CD6BE3">
        <w:rPr>
          <w:lang w:val="hr-HR"/>
        </w:rPr>
        <w:t xml:space="preserve">, kroz </w:t>
      </w:r>
      <w:r w:rsidR="00B46EE9">
        <w:rPr>
          <w:lang w:val="hr-HR"/>
        </w:rPr>
        <w:t xml:space="preserve">neevidentirane transfere i investicije koje se odnose na turizam, kao i od strane glavnih spoljnih dužnika kroz refinansiranje njihovih dospjelih obaveza.  </w:t>
      </w:r>
      <w:r w:rsidR="004C3F18">
        <w:rPr>
          <w:lang w:val="hr-HR"/>
        </w:rPr>
        <w:t>Glavni spoljni dužnici uključuju: Crnogorsku komercijalnu banku</w:t>
      </w:r>
      <w:r w:rsidR="00D83B0C" w:rsidRPr="004C3F18">
        <w:rPr>
          <w:lang w:val="hr-HR"/>
        </w:rPr>
        <w:t xml:space="preserve"> (</w:t>
      </w:r>
      <w:r w:rsidR="004C3F18">
        <w:rPr>
          <w:lang w:val="hr-HR"/>
        </w:rPr>
        <w:t>članica</w:t>
      </w:r>
      <w:r w:rsidR="00C76889">
        <w:rPr>
          <w:lang w:val="hr-HR"/>
        </w:rPr>
        <w:t xml:space="preserve"> OTP gr</w:t>
      </w:r>
      <w:r w:rsidR="00D83B0C" w:rsidRPr="004C3F18">
        <w:rPr>
          <w:lang w:val="hr-HR"/>
        </w:rPr>
        <w:t>up</w:t>
      </w:r>
      <w:r w:rsidR="00C76889">
        <w:rPr>
          <w:lang w:val="hr-HR"/>
        </w:rPr>
        <w:t>e), Podgoričku banku Societe Generale Group, Erste b</w:t>
      </w:r>
      <w:r w:rsidR="00D83B0C" w:rsidRPr="004C3F18">
        <w:rPr>
          <w:lang w:val="hr-HR"/>
        </w:rPr>
        <w:t>ank</w:t>
      </w:r>
      <w:r w:rsidR="00C76889">
        <w:rPr>
          <w:lang w:val="hr-HR"/>
        </w:rPr>
        <w:t>u</w:t>
      </w:r>
      <w:r w:rsidR="00534234">
        <w:rPr>
          <w:lang w:val="hr-HR"/>
        </w:rPr>
        <w:t>, NLB Montenegrobanku, Hypo Alpe Adria b</w:t>
      </w:r>
      <w:r w:rsidR="00D83B0C" w:rsidRPr="004C3F18">
        <w:rPr>
          <w:lang w:val="hr-HR"/>
        </w:rPr>
        <w:t>ank</w:t>
      </w:r>
      <w:r w:rsidR="00534234">
        <w:rPr>
          <w:lang w:val="hr-HR"/>
        </w:rPr>
        <w:t>u</w:t>
      </w:r>
      <w:r w:rsidR="00D83B0C" w:rsidRPr="004C3F18">
        <w:rPr>
          <w:lang w:val="hr-HR"/>
        </w:rPr>
        <w:t>,</w:t>
      </w:r>
      <w:r w:rsidR="00534234">
        <w:rPr>
          <w:lang w:val="hr-HR"/>
        </w:rPr>
        <w:t xml:space="preserve"> Kombinat aluminijuma Podgorica i Elektroprivredu</w:t>
      </w:r>
      <w:r w:rsidR="00D83B0C" w:rsidRPr="004C3F18">
        <w:rPr>
          <w:lang w:val="hr-HR"/>
        </w:rPr>
        <w:t xml:space="preserve"> Crne Gore.</w:t>
      </w:r>
    </w:p>
    <w:p w:rsidR="00C76766" w:rsidRDefault="00C76766" w:rsidP="00D12C82">
      <w:pPr>
        <w:rPr>
          <w:lang w:val="hr-HR"/>
        </w:rPr>
      </w:pPr>
    </w:p>
    <w:p w:rsidR="007B54FD" w:rsidRDefault="007B54FD" w:rsidP="00D12C82">
      <w:pPr>
        <w:rPr>
          <w:lang w:val="hr-HR"/>
        </w:rPr>
      </w:pPr>
      <w:r>
        <w:rPr>
          <w:lang w:val="hr-HR"/>
        </w:rPr>
        <w:t>Vlada je jednostrano usvojila euro, kao svoju valutu.  Crna Gora nije članica Evropske ekonomske i monetarne unije (eurozone)</w:t>
      </w:r>
      <w:r w:rsidR="00DB0DC7">
        <w:rPr>
          <w:lang w:val="hr-HR"/>
        </w:rPr>
        <w:t>, pa se stoga njeno mišljenje ne čuje prilikom razmtranja monetarne politike Evropske centralne banke (ECB) i nema pristpu ECB-u kao zajmodavcu u posljednoj instanci.  Međutim, domaće banke</w:t>
      </w:r>
      <w:r w:rsidR="00087162">
        <w:rPr>
          <w:lang w:val="hr-HR"/>
        </w:rPr>
        <w:t xml:space="preserve"> imaju samo nešto iznad 10% tržišnog udjela </w:t>
      </w:r>
      <w:r w:rsidR="00911591">
        <w:rPr>
          <w:lang w:val="hr-HR"/>
        </w:rPr>
        <w:t xml:space="preserve">u kreditima i mi očekujemo da će strane banke koje posluju u Crnoj Gori podržati njihove matične banke.  </w:t>
      </w:r>
      <w:r w:rsidR="00FB0865">
        <w:rPr>
          <w:lang w:val="hr-HR"/>
        </w:rPr>
        <w:t>Iako upotreba eura</w:t>
      </w:r>
      <w:r w:rsidR="0020145F">
        <w:rPr>
          <w:lang w:val="hr-HR"/>
        </w:rPr>
        <w:t xml:space="preserve"> ograničava fleksibilnost monetarne politike</w:t>
      </w:r>
      <w:r w:rsidR="0070598E">
        <w:rPr>
          <w:lang w:val="hr-HR"/>
        </w:rPr>
        <w:t xml:space="preserve">, ona je </w:t>
      </w:r>
      <w:r w:rsidR="008601F4">
        <w:rPr>
          <w:lang w:val="hr-HR"/>
        </w:rPr>
        <w:t xml:space="preserve">olakšala prliv stranih direktnih investicija i turizma i smanjila transakcione troškove sa trgovinskim partnerima.  On takođe eliminiše </w:t>
      </w:r>
      <w:r w:rsidR="00C82746">
        <w:rPr>
          <w:lang w:val="hr-HR"/>
        </w:rPr>
        <w:t>rizik</w:t>
      </w:r>
      <w:r w:rsidR="00EE3434">
        <w:rPr>
          <w:lang w:val="hr-HR"/>
        </w:rPr>
        <w:t xml:space="preserve"> kurnish razlika</w:t>
      </w:r>
      <w:r w:rsidR="00BB4797">
        <w:rPr>
          <w:lang w:val="hr-HR"/>
        </w:rPr>
        <w:t xml:space="preserve">, </w:t>
      </w:r>
      <w:r w:rsidR="00C12ED2">
        <w:rPr>
          <w:lang w:val="hr-HR"/>
        </w:rPr>
        <w:t>mada ne i rizik od eksternog refinansiranja za rezidente koji pozajmljuju u eurima.</w:t>
      </w:r>
    </w:p>
    <w:p w:rsidR="00C12ED2" w:rsidRDefault="00C12ED2" w:rsidP="00D12C82">
      <w:pPr>
        <w:rPr>
          <w:lang w:val="hr-HR"/>
        </w:rPr>
      </w:pPr>
    </w:p>
    <w:p w:rsidR="00095104" w:rsidRDefault="00095104" w:rsidP="00D12C82">
      <w:pPr>
        <w:rPr>
          <w:lang w:val="hr-HR"/>
        </w:rPr>
      </w:pPr>
      <w:r>
        <w:rPr>
          <w:lang w:val="hr-HR"/>
        </w:rPr>
        <w:t xml:space="preserve">Ekonomija Crne Gore se oporavlja, nakon oštrog prizemljenja 2009.  </w:t>
      </w:r>
      <w:r w:rsidR="00024E62">
        <w:rPr>
          <w:lang w:val="hr-HR"/>
        </w:rPr>
        <w:t>Nakon rasta nekvalitetnih zajmmova na 26% kao udio u ukupnim zajmovima, oni su pali n</w:t>
      </w:r>
      <w:r w:rsidR="003F6BF0">
        <w:rPr>
          <w:lang w:val="hr-HR"/>
        </w:rPr>
        <w:t>a</w:t>
      </w:r>
      <w:r w:rsidR="00024E62">
        <w:rPr>
          <w:lang w:val="hr-HR"/>
        </w:rPr>
        <w:t xml:space="preserve"> 18% u oktobru 2011.  </w:t>
      </w:r>
      <w:r w:rsidR="00BA4032">
        <w:rPr>
          <w:lang w:val="hr-HR"/>
        </w:rPr>
        <w:t xml:space="preserve">Tokom 2012. </w:t>
      </w:r>
      <w:r w:rsidR="00DE7495">
        <w:rPr>
          <w:lang w:val="hr-HR"/>
        </w:rPr>
        <w:t xml:space="preserve">očekujemo </w:t>
      </w:r>
      <w:r w:rsidR="003F6BF0">
        <w:rPr>
          <w:lang w:val="hr-HR"/>
        </w:rPr>
        <w:t>da će ekonomija rasti stopom od manje od 1% s obzirom na međunarodnu ekonomiju, mada jedna velika strana investicija bi mogla značajno da uzdigne proizvod i iznad naših prognoza.</w:t>
      </w:r>
    </w:p>
    <w:p w:rsidR="003F6BF0" w:rsidRDefault="003F6BF0" w:rsidP="00D12C82">
      <w:pPr>
        <w:rPr>
          <w:lang w:val="hr-HR"/>
        </w:rPr>
      </w:pPr>
    </w:p>
    <w:p w:rsidR="003F6BF0" w:rsidRPr="008331B9" w:rsidRDefault="00595AC6" w:rsidP="00D12C82">
      <w:pPr>
        <w:rPr>
          <w:lang w:val="sl-SI"/>
        </w:rPr>
      </w:pPr>
      <w:r>
        <w:rPr>
          <w:lang w:val="hr-HR"/>
        </w:rPr>
        <w:t xml:space="preserve">Pad ekonomske aktivnosti na međunarodnoj sceni nije uticao na turizam </w:t>
      </w:r>
      <w:r w:rsidR="00F948B7">
        <w:rPr>
          <w:lang w:val="hr-HR"/>
        </w:rPr>
        <w:t xml:space="preserve">i mi očeukjemo da će on rasti u narednim godinama.  </w:t>
      </w:r>
      <w:r w:rsidR="008331B9">
        <w:rPr>
          <w:lang w:val="hr-HR"/>
        </w:rPr>
        <w:t>Najveće</w:t>
      </w:r>
      <w:r w:rsidR="00746F3E">
        <w:rPr>
          <w:lang w:val="hr-HR"/>
        </w:rPr>
        <w:t xml:space="preserve"> </w:t>
      </w:r>
      <w:r w:rsidR="008331B9">
        <w:rPr>
          <w:lang w:val="hr-HR"/>
        </w:rPr>
        <w:t xml:space="preserve">negativne strane </w:t>
      </w:r>
      <w:r w:rsidR="008331B9">
        <w:rPr>
          <w:lang w:val="sl-SI"/>
        </w:rPr>
        <w:t>kada su u pitanju rizic</w:t>
      </w:r>
      <w:r w:rsidR="00CE0E1F">
        <w:rPr>
          <w:lang w:val="sl-SI"/>
        </w:rPr>
        <w:t>i</w:t>
      </w:r>
      <w:r w:rsidR="008331B9">
        <w:rPr>
          <w:lang w:val="sl-SI"/>
        </w:rPr>
        <w:t xml:space="preserve"> po rast </w:t>
      </w:r>
      <w:r w:rsidR="00CE0E1F">
        <w:rPr>
          <w:lang w:val="sl-SI"/>
        </w:rPr>
        <w:t>su</w:t>
      </w:r>
      <w:r w:rsidR="008331B9">
        <w:rPr>
          <w:lang w:val="sl-SI"/>
        </w:rPr>
        <w:t xml:space="preserve"> pogoršanje izgleda za rast u eurozoni ili </w:t>
      </w:r>
      <w:r w:rsidR="00FF15C9">
        <w:rPr>
          <w:lang w:val="sl-SI"/>
        </w:rPr>
        <w:t>ponovn</w:t>
      </w:r>
      <w:r w:rsidR="0028604F">
        <w:rPr>
          <w:lang w:val="sl-SI"/>
        </w:rPr>
        <w:t xml:space="preserve">o pogoršanje u bilnasima stanja banaka.  Na srednji rok potencijali za rast suznačajni.  </w:t>
      </w:r>
      <w:r w:rsidR="006C4A69">
        <w:rPr>
          <w:lang w:val="sl-SI"/>
        </w:rPr>
        <w:t xml:space="preserve">Međutim, </w:t>
      </w:r>
      <w:r w:rsidR="00785CF0">
        <w:rPr>
          <w:lang w:val="sl-SI"/>
        </w:rPr>
        <w:t xml:space="preserve">s obzirom na </w:t>
      </w:r>
      <w:r w:rsidR="006C57CC">
        <w:rPr>
          <w:lang w:val="sl-SI"/>
        </w:rPr>
        <w:t xml:space="preserve">to koliko su </w:t>
      </w:r>
      <w:r w:rsidR="00785CF0">
        <w:rPr>
          <w:lang w:val="sl-SI"/>
        </w:rPr>
        <w:t>značaj</w:t>
      </w:r>
      <w:r w:rsidR="006C57CC">
        <w:rPr>
          <w:lang w:val="sl-SI"/>
        </w:rPr>
        <w:t>ne investicije kao pokretač</w:t>
      </w:r>
      <w:r w:rsidR="0052585E">
        <w:rPr>
          <w:lang w:val="sl-SI"/>
        </w:rPr>
        <w:t xml:space="preserve"> rasta, rast na srednji rok zavisi od nastavka vladnih reformi na povećanju </w:t>
      </w:r>
      <w:r w:rsidR="00DB36F1">
        <w:rPr>
          <w:lang w:val="sl-SI"/>
        </w:rPr>
        <w:t xml:space="preserve">fleksibilnosti i tržišta rada </w:t>
      </w:r>
      <w:r w:rsidR="0066382F">
        <w:rPr>
          <w:lang w:val="sl-SI"/>
        </w:rPr>
        <w:t>i budućeg unaprijeđenja poslovnog okruženja.</w:t>
      </w:r>
    </w:p>
    <w:p w:rsidR="00595AC6" w:rsidRDefault="00595AC6" w:rsidP="00D12C82">
      <w:pPr>
        <w:rPr>
          <w:lang w:val="hr-HR"/>
        </w:rPr>
      </w:pPr>
    </w:p>
    <w:p w:rsidR="00595AC6" w:rsidRDefault="0066382F" w:rsidP="00D12C82">
      <w:pPr>
        <w:rPr>
          <w:lang w:val="hr-HR"/>
        </w:rPr>
      </w:pPr>
      <w:r>
        <w:rPr>
          <w:lang w:val="hr-HR"/>
        </w:rPr>
        <w:t xml:space="preserve">Niži rast je oslabio budžetski </w:t>
      </w:r>
      <w:r w:rsidR="0027039D">
        <w:rPr>
          <w:lang w:val="hr-HR"/>
        </w:rPr>
        <w:t xml:space="preserve">učinak u prethdnim godinama, </w:t>
      </w:r>
      <w:r w:rsidR="00B60367">
        <w:rPr>
          <w:lang w:val="hr-HR"/>
        </w:rPr>
        <w:t xml:space="preserve">ali mi očekujemo </w:t>
      </w:r>
      <w:r w:rsidR="007E2FE9">
        <w:rPr>
          <w:lang w:val="hr-HR"/>
        </w:rPr>
        <w:t>da u bliskoj budućnosti dođe do konsolidacije.  Nakon što se povećano na 5,7% BDP-a u 2009.</w:t>
      </w:r>
      <w:r w:rsidR="00D53BAF">
        <w:rPr>
          <w:lang w:val="hr-HR"/>
        </w:rPr>
        <w:t xml:space="preserve">, fiskalni deficit opšte države </w:t>
      </w:r>
      <w:r w:rsidR="00FF0B34">
        <w:rPr>
          <w:lang w:val="hr-HR"/>
        </w:rPr>
        <w:t>se konstantno smanjivao</w:t>
      </w:r>
      <w:r w:rsidR="00775886">
        <w:rPr>
          <w:lang w:val="hr-HR"/>
        </w:rPr>
        <w:t xml:space="preserve"> i mi očekujemo da će </w:t>
      </w:r>
      <w:r w:rsidR="00941FF1">
        <w:rPr>
          <w:lang w:val="hr-HR"/>
        </w:rPr>
        <w:t xml:space="preserve">2014. biti blizu izbalansirane pozicije.  </w:t>
      </w:r>
      <w:r w:rsidR="00D43E8A">
        <w:rPr>
          <w:lang w:val="hr-HR"/>
        </w:rPr>
        <w:t xml:space="preserve">Državni dug </w:t>
      </w:r>
      <w:r w:rsidR="00236C7F">
        <w:rPr>
          <w:lang w:val="hr-HR"/>
        </w:rPr>
        <w:t xml:space="preserve">se značajno povećao tokom prethodne tri godine, nakon perioda brzog smanjivanja.  Mi procjenjujemo </w:t>
      </w:r>
      <w:r w:rsidR="002B417F">
        <w:rPr>
          <w:lang w:val="hr-HR"/>
        </w:rPr>
        <w:t xml:space="preserve">da će neto dug opšte države biti 41% BDP-a u 2011.  </w:t>
      </w:r>
      <w:r w:rsidR="00EE3434">
        <w:rPr>
          <w:lang w:val="hr-HR"/>
        </w:rPr>
        <w:t>Struktura duga u Crnoj Gori ima nizak valutni rizik</w:t>
      </w:r>
      <w:r w:rsidR="000B33E2">
        <w:rPr>
          <w:lang w:val="hr-HR"/>
        </w:rPr>
        <w:t xml:space="preserve">, skoro 90% duga je u eurima i s obzirom da je priroda velikog dijela duga takva da je pod </w:t>
      </w:r>
      <w:r w:rsidR="00BF5088">
        <w:rPr>
          <w:lang w:val="hr-HR"/>
        </w:rPr>
        <w:t>povoljnim</w:t>
      </w:r>
      <w:r w:rsidR="000B33E2">
        <w:rPr>
          <w:lang w:val="hr-HR"/>
        </w:rPr>
        <w:t xml:space="preserve"> uslovima, </w:t>
      </w:r>
      <w:r w:rsidR="002D0C3E">
        <w:rPr>
          <w:lang w:val="hr-HR"/>
        </w:rPr>
        <w:t>kamatna plaćanja su niska i procjenjuju se na 3% prihoda opšte države.</w:t>
      </w:r>
    </w:p>
    <w:p w:rsidR="008D3C39" w:rsidRDefault="008D3C39" w:rsidP="00D12C82">
      <w:pPr>
        <w:rPr>
          <w:lang w:val="hr-HR"/>
        </w:rPr>
      </w:pPr>
    </w:p>
    <w:p w:rsidR="00E516DF" w:rsidRDefault="002D0C3E" w:rsidP="00D12C82">
      <w:pPr>
        <w:rPr>
          <w:lang w:val="hr-HR"/>
        </w:rPr>
      </w:pPr>
      <w:r>
        <w:rPr>
          <w:lang w:val="hr-HR"/>
        </w:rPr>
        <w:t>Rejting opor</w:t>
      </w:r>
      <w:r w:rsidR="00AA352E">
        <w:rPr>
          <w:lang w:val="hr-HR"/>
        </w:rPr>
        <w:t>av</w:t>
      </w:r>
      <w:r>
        <w:rPr>
          <w:lang w:val="hr-HR"/>
        </w:rPr>
        <w:t>ka duga Crne Gore u stranoj valuti (koji uključuje obaveze sa denominacijom u eurima, jer lokalne monetarne vlasti nemaju uticaj na zajedničku vlautu)</w:t>
      </w:r>
      <w:r w:rsidR="00AB7559">
        <w:rPr>
          <w:lang w:val="hr-HR"/>
        </w:rPr>
        <w:t xml:space="preserve"> je </w:t>
      </w:r>
      <w:r w:rsidR="00AB7559">
        <w:rPr>
          <w:rFonts w:ascii="Calibri" w:hAnsi="Calibri"/>
          <w:lang w:val="hr-HR"/>
        </w:rPr>
        <w:t>´</w:t>
      </w:r>
      <w:r w:rsidR="00AB7559">
        <w:rPr>
          <w:lang w:val="hr-HR"/>
        </w:rPr>
        <w:t>3</w:t>
      </w:r>
      <w:r w:rsidR="00AB7559">
        <w:rPr>
          <w:rFonts w:ascii="Calibri" w:hAnsi="Calibri"/>
          <w:lang w:val="hr-HR"/>
        </w:rPr>
        <w:t>´</w:t>
      </w:r>
      <w:r w:rsidR="00AB7559">
        <w:rPr>
          <w:lang w:val="hr-HR"/>
        </w:rPr>
        <w:t xml:space="preserve">, čime se označava naše mišljenje </w:t>
      </w:r>
      <w:r w:rsidR="000B2519">
        <w:rPr>
          <w:lang w:val="hr-HR"/>
        </w:rPr>
        <w:t>da bi oporav</w:t>
      </w:r>
      <w:r w:rsidR="00FD0A77">
        <w:rPr>
          <w:lang w:val="hr-HR"/>
        </w:rPr>
        <w:t>a</w:t>
      </w:r>
      <w:r w:rsidR="000B2519">
        <w:rPr>
          <w:lang w:val="hr-HR"/>
        </w:rPr>
        <w:t xml:space="preserve">k nakon neplaćanja bio u opsegu od 50% do 70%.  </w:t>
      </w:r>
      <w:r w:rsidR="002318B7">
        <w:rPr>
          <w:lang w:val="hr-HR"/>
        </w:rPr>
        <w:t xml:space="preserve">Scenario neplaćanja </w:t>
      </w:r>
      <w:r w:rsidR="00917F8C">
        <w:rPr>
          <w:lang w:val="hr-HR"/>
        </w:rPr>
        <w:t xml:space="preserve">se usresređuje na posljedice </w:t>
      </w:r>
      <w:r w:rsidR="00FB716C">
        <w:rPr>
          <w:lang w:val="hr-HR"/>
        </w:rPr>
        <w:t>u kojima postoji produženi pritisak na bilans plaćanja, ali pretpostavlja da će euro ostati</w:t>
      </w:r>
      <w:r w:rsidR="00B8162C">
        <w:rPr>
          <w:lang w:val="hr-HR"/>
        </w:rPr>
        <w:t xml:space="preserve"> sredstvo razmjene.</w:t>
      </w:r>
    </w:p>
    <w:p w:rsidR="00B8162C" w:rsidRDefault="00B8162C">
      <w:pPr>
        <w:spacing w:after="200" w:line="276" w:lineRule="auto"/>
        <w:jc w:val="left"/>
        <w:rPr>
          <w:lang w:val="hr-HR"/>
        </w:rPr>
      </w:pPr>
    </w:p>
    <w:p w:rsidR="008D3C39" w:rsidRDefault="008D3C39" w:rsidP="00D12C82">
      <w:pPr>
        <w:rPr>
          <w:lang w:val="hr-HR"/>
        </w:rPr>
      </w:pPr>
    </w:p>
    <w:p w:rsidR="00D12C82" w:rsidRPr="001E1BEA" w:rsidRDefault="00D12C82" w:rsidP="00D12C82">
      <w:pPr>
        <w:rPr>
          <w:b/>
          <w:lang w:val="hr-HR"/>
        </w:rPr>
      </w:pPr>
      <w:r w:rsidRPr="001E1BEA">
        <w:rPr>
          <w:b/>
          <w:lang w:val="hr-HR"/>
        </w:rPr>
        <w:t>Izlged</w:t>
      </w:r>
    </w:p>
    <w:p w:rsidR="001E1BEA" w:rsidRDefault="001E1BEA" w:rsidP="00D12C82">
      <w:pPr>
        <w:rPr>
          <w:lang w:val="hr-HR"/>
        </w:rPr>
      </w:pPr>
    </w:p>
    <w:p w:rsidR="00B8162C" w:rsidRDefault="00CE4D40" w:rsidP="00D12C82">
      <w:pPr>
        <w:rPr>
          <w:lang w:val="hr-HR"/>
        </w:rPr>
      </w:pPr>
      <w:r>
        <w:rPr>
          <w:lang w:val="hr-HR"/>
        </w:rPr>
        <w:t>Negativan izgled odražava vjerovatnoću smanjenja rejtinga ukoliko Crna Gora ima poteškoća u ispunajvanju svojih potreba za eksternim finansiranjem u 2012.  U ovom scenariu</w:t>
      </w:r>
      <w:r w:rsidR="00A6459A">
        <w:rPr>
          <w:lang w:val="hr-HR"/>
        </w:rPr>
        <w:t>, mi bi očekivali da se rast smanji da se državni dug poveća</w:t>
      </w:r>
      <w:r w:rsidR="00BD1269">
        <w:rPr>
          <w:lang w:val="hr-HR"/>
        </w:rPr>
        <w:t xml:space="preserve">, što bi preinačilo </w:t>
      </w:r>
      <w:r w:rsidR="00827400">
        <w:rPr>
          <w:lang w:val="hr-HR"/>
        </w:rPr>
        <w:t>nedavne napore vezane za konsolidaciju.</w:t>
      </w:r>
    </w:p>
    <w:p w:rsidR="00827400" w:rsidRDefault="00827400" w:rsidP="00D12C82">
      <w:pPr>
        <w:rPr>
          <w:lang w:val="hr-HR"/>
        </w:rPr>
      </w:pPr>
    </w:p>
    <w:p w:rsidR="00827400" w:rsidRDefault="00827400" w:rsidP="00D12C82">
      <w:pPr>
        <w:rPr>
          <w:lang w:val="hr-HR"/>
        </w:rPr>
      </w:pPr>
      <w:r>
        <w:rPr>
          <w:lang w:val="hr-HR"/>
        </w:rPr>
        <w:t>Rejting bi se mogao stabilizovati na postojećem nivou</w:t>
      </w:r>
      <w:r w:rsidR="00D65EE4">
        <w:rPr>
          <w:lang w:val="hr-HR"/>
        </w:rPr>
        <w:t xml:space="preserve"> nakon dodatnih reformi tržišta rada i poslovnog okruženja, ukoliko se rizici od eksternog finansiranja ne materijalizuju.  </w:t>
      </w:r>
      <w:r w:rsidR="00523052">
        <w:rPr>
          <w:lang w:val="hr-HR"/>
        </w:rPr>
        <w:t>Neki od ovih napora</w:t>
      </w:r>
      <w:r w:rsidR="0011013F">
        <w:rPr>
          <w:lang w:val="hr-HR"/>
        </w:rPr>
        <w:t xml:space="preserve"> proizilaze </w:t>
      </w:r>
      <w:r w:rsidR="005856B2">
        <w:rPr>
          <w:lang w:val="hr-HR"/>
        </w:rPr>
        <w:t xml:space="preserve">iz priprema Vlade za EU kandidaturu.  </w:t>
      </w:r>
      <w:r w:rsidR="00D12C0D">
        <w:rPr>
          <w:lang w:val="hr-HR"/>
        </w:rPr>
        <w:t>Uspješne reforme bi unaprijedile ekonomsku konkurentnost, diverzifikovale bi industrijsku osnovu, povećale bi izglede za rast na srednji rok i oslabile bi eksterne disbalanse.</w:t>
      </w:r>
    </w:p>
    <w:p w:rsidR="00CE4D40" w:rsidRDefault="00CE4D40" w:rsidP="00D12C82">
      <w:pPr>
        <w:rPr>
          <w:lang w:val="hr-HR"/>
        </w:rPr>
      </w:pPr>
    </w:p>
    <w:p w:rsidR="001E1BEA" w:rsidRDefault="001E1BEA" w:rsidP="00D12C82">
      <w:pPr>
        <w:rPr>
          <w:lang w:val="hr-HR"/>
        </w:rPr>
      </w:pPr>
    </w:p>
    <w:p w:rsidR="00D12C82" w:rsidRPr="001E1BEA" w:rsidRDefault="00D12C82" w:rsidP="00D12C82">
      <w:pPr>
        <w:rPr>
          <w:b/>
          <w:lang w:val="hr-HR"/>
        </w:rPr>
      </w:pPr>
      <w:r w:rsidRPr="001E1BEA">
        <w:rPr>
          <w:b/>
          <w:lang w:val="hr-HR"/>
        </w:rPr>
        <w:t>Povezani kriterijumi i istraživanja</w:t>
      </w:r>
    </w:p>
    <w:p w:rsidR="001E1BEA" w:rsidRDefault="001E1BEA" w:rsidP="00D12C82">
      <w:pPr>
        <w:rPr>
          <w:lang w:val="hr-HR"/>
        </w:rPr>
      </w:pPr>
    </w:p>
    <w:p w:rsidR="009B0149" w:rsidRDefault="009B0149" w:rsidP="009B0149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Metodologija za rejtnig suvernih država i pretpostavke, 30. jun 2011.</w:t>
      </w:r>
    </w:p>
    <w:p w:rsidR="009B0149" w:rsidRDefault="009B0149" w:rsidP="009B0149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Kriterijumi za utvrđivanje procjene transfera i konvertibilnosti, 19. maj 2009.</w:t>
      </w:r>
    </w:p>
    <w:p w:rsidR="009B0149" w:rsidRDefault="009B0149" w:rsidP="009B0149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Uvođenje rejtigna za suvernih oporavak, 14. jun 2007.</w:t>
      </w:r>
    </w:p>
    <w:p w:rsidR="009B0149" w:rsidRPr="009B0149" w:rsidRDefault="009B0149" w:rsidP="009B0149">
      <w:pPr>
        <w:rPr>
          <w:lang w:val="hr-HR"/>
        </w:rPr>
      </w:pPr>
    </w:p>
    <w:p w:rsidR="001E1BEA" w:rsidRDefault="001E1BEA" w:rsidP="00D12C82">
      <w:pPr>
        <w:rPr>
          <w:lang w:val="hr-HR"/>
        </w:rPr>
      </w:pPr>
    </w:p>
    <w:p w:rsidR="00D12C82" w:rsidRPr="001E1BEA" w:rsidRDefault="00D12C82" w:rsidP="00D12C82">
      <w:pPr>
        <w:rPr>
          <w:b/>
          <w:lang w:val="hr-HR"/>
        </w:rPr>
      </w:pPr>
      <w:r w:rsidRPr="001E1BEA">
        <w:rPr>
          <w:b/>
          <w:lang w:val="hr-HR"/>
        </w:rPr>
        <w:t>Lista rejtinga</w:t>
      </w:r>
    </w:p>
    <w:p w:rsidR="008E5C82" w:rsidRDefault="008E5C82" w:rsidP="0041136A">
      <w:pPr>
        <w:rPr>
          <w:lang w:val="sl-SI"/>
        </w:rPr>
      </w:pPr>
    </w:p>
    <w:p w:rsidR="008E5C82" w:rsidRDefault="008E5C82" w:rsidP="0041136A">
      <w:pPr>
        <w:rPr>
          <w:lang w:val="sl-SI"/>
        </w:rPr>
      </w:pPr>
      <w:r>
        <w:rPr>
          <w:lang w:val="sl-SI"/>
        </w:rPr>
        <w:t>Rejting povrđen</w:t>
      </w:r>
    </w:p>
    <w:p w:rsidR="008E5C82" w:rsidRDefault="008E5C82" w:rsidP="0041136A">
      <w:pPr>
        <w:rPr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8E5C82" w:rsidTr="008E5C82"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  <w:r>
              <w:rPr>
                <w:lang w:val="sl-SI"/>
              </w:rPr>
              <w:t>Crna Gora (Republika)</w:t>
            </w:r>
          </w:p>
        </w:tc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</w:p>
        </w:tc>
      </w:tr>
      <w:tr w:rsidR="008E5C82" w:rsidTr="008E5C82"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  <w:r>
              <w:rPr>
                <w:lang w:val="sl-SI"/>
              </w:rPr>
              <w:t>Suvereni kreditni rejting</w:t>
            </w:r>
          </w:p>
        </w:tc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  <w:r>
              <w:rPr>
                <w:lang w:val="sl-SI"/>
              </w:rPr>
              <w:t>BB/negativan/B</w:t>
            </w:r>
          </w:p>
        </w:tc>
      </w:tr>
      <w:tr w:rsidR="008E5C82" w:rsidTr="008E5C82"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  <w:r>
              <w:rPr>
                <w:lang w:val="sl-SI"/>
              </w:rPr>
              <w:t>Procjena transfera i konvertibilnosti</w:t>
            </w:r>
          </w:p>
        </w:tc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  <w:r>
              <w:rPr>
                <w:lang w:val="sl-SI"/>
              </w:rPr>
              <w:t>AAA</w:t>
            </w:r>
          </w:p>
        </w:tc>
      </w:tr>
      <w:tr w:rsidR="008E5C82" w:rsidTr="008E5C82">
        <w:tc>
          <w:tcPr>
            <w:tcW w:w="4621" w:type="dxa"/>
          </w:tcPr>
          <w:p w:rsidR="008E5C82" w:rsidRDefault="00532D0A" w:rsidP="00C10360">
            <w:pPr>
              <w:rPr>
                <w:lang w:val="sl-SI"/>
              </w:rPr>
            </w:pPr>
            <w:r>
              <w:rPr>
                <w:lang w:val="sl-SI"/>
              </w:rPr>
              <w:t>Glavni neosigurani</w:t>
            </w:r>
            <w:r w:rsidR="001F5D63" w:rsidRPr="00C10360">
              <w:rPr>
                <w:lang w:val="sl-SI"/>
              </w:rPr>
              <w:t xml:space="preserve"> rejting </w:t>
            </w:r>
          </w:p>
        </w:tc>
        <w:tc>
          <w:tcPr>
            <w:tcW w:w="4621" w:type="dxa"/>
          </w:tcPr>
          <w:p w:rsidR="008E5C82" w:rsidRDefault="008E5C82" w:rsidP="0041136A">
            <w:pPr>
              <w:rPr>
                <w:lang w:val="sl-SI"/>
              </w:rPr>
            </w:pPr>
            <w:r>
              <w:rPr>
                <w:lang w:val="sl-SI"/>
              </w:rPr>
              <w:t>BB</w:t>
            </w:r>
          </w:p>
        </w:tc>
      </w:tr>
    </w:tbl>
    <w:p w:rsidR="008E5C82" w:rsidRDefault="008E5C82" w:rsidP="0041136A">
      <w:pPr>
        <w:rPr>
          <w:lang w:val="sl-SI"/>
        </w:rPr>
      </w:pPr>
    </w:p>
    <w:p w:rsidR="00876FA4" w:rsidRDefault="00876FA4" w:rsidP="00876FA4">
      <w:pPr>
        <w:rPr>
          <w:lang w:val="sl-SI"/>
        </w:rPr>
      </w:pPr>
    </w:p>
    <w:p w:rsidR="008E5C82" w:rsidRPr="00876FA4" w:rsidRDefault="00876FA4" w:rsidP="00876FA4">
      <w:pPr>
        <w:rPr>
          <w:lang w:val="sl-SI"/>
        </w:rPr>
      </w:pPr>
      <w:r>
        <w:rPr>
          <w:lang w:val="sl-SI"/>
        </w:rPr>
        <w:t>Dodatni kontakti</w:t>
      </w:r>
      <w:r w:rsidR="008E5C82" w:rsidRPr="00876FA4">
        <w:rPr>
          <w:lang w:val="sl-SI"/>
        </w:rPr>
        <w:t>:</w:t>
      </w:r>
    </w:p>
    <w:p w:rsidR="008E5C82" w:rsidRPr="008E5C82" w:rsidRDefault="00876FA4" w:rsidP="008E5C82">
      <w:pPr>
        <w:rPr>
          <w:lang w:val="sl-SI"/>
        </w:rPr>
      </w:pPr>
      <w:r>
        <w:rPr>
          <w:lang w:val="sl-SI"/>
        </w:rPr>
        <w:t>Suverni rejtinyi</w:t>
      </w:r>
      <w:r w:rsidR="008E5C82" w:rsidRPr="00876FA4">
        <w:rPr>
          <w:lang w:val="sl-SI"/>
        </w:rPr>
        <w:t>;</w:t>
      </w:r>
      <w:r>
        <w:rPr>
          <w:lang w:val="sl-SI"/>
        </w:rPr>
        <w:t xml:space="preserve"> </w:t>
      </w:r>
      <w:r w:rsidR="008E5C82" w:rsidRPr="00876FA4">
        <w:rPr>
          <w:lang w:val="sl-SI"/>
        </w:rPr>
        <w:t>SovereignLondon@standardandpoors.com</w:t>
      </w:r>
    </w:p>
    <w:p w:rsidR="0041136A" w:rsidRPr="000C2DDB" w:rsidRDefault="0041136A">
      <w:pPr>
        <w:rPr>
          <w:lang w:val="hr-HR"/>
        </w:rPr>
      </w:pPr>
    </w:p>
    <w:sectPr w:rsidR="0041136A" w:rsidRPr="000C2DDB" w:rsidSect="00416A47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A4" w:rsidRDefault="00D639A4" w:rsidP="00D7438E">
      <w:r>
        <w:separator/>
      </w:r>
    </w:p>
  </w:endnote>
  <w:endnote w:type="continuationSeparator" w:id="1">
    <w:p w:rsidR="00D639A4" w:rsidRDefault="00D639A4" w:rsidP="00D74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-CondensedBold-spPD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CondensedLight-spPD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51001"/>
      <w:docPartObj>
        <w:docPartGallery w:val="Page Numbers (Bottom of Page)"/>
        <w:docPartUnique/>
      </w:docPartObj>
    </w:sdtPr>
    <w:sdtContent>
      <w:p w:rsidR="008E5C82" w:rsidRDefault="001964DB" w:rsidP="00D7438E">
        <w:pPr>
          <w:pStyle w:val="Footer"/>
          <w:jc w:val="right"/>
        </w:pPr>
        <w:fldSimple w:instr=" PAGE   \* MERGEFORMAT ">
          <w:r w:rsidR="00532D0A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A4" w:rsidRDefault="00D639A4" w:rsidP="00D7438E">
      <w:r>
        <w:separator/>
      </w:r>
    </w:p>
  </w:footnote>
  <w:footnote w:type="continuationSeparator" w:id="1">
    <w:p w:rsidR="00D639A4" w:rsidRDefault="00D639A4" w:rsidP="00D74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44D4"/>
    <w:multiLevelType w:val="hybridMultilevel"/>
    <w:tmpl w:val="6972D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EE753F"/>
    <w:multiLevelType w:val="hybridMultilevel"/>
    <w:tmpl w:val="6526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DDB"/>
    <w:rsid w:val="00004934"/>
    <w:rsid w:val="00006AFA"/>
    <w:rsid w:val="0002081D"/>
    <w:rsid w:val="00024E62"/>
    <w:rsid w:val="0005304D"/>
    <w:rsid w:val="000744D8"/>
    <w:rsid w:val="0007541A"/>
    <w:rsid w:val="000840EA"/>
    <w:rsid w:val="00087162"/>
    <w:rsid w:val="00095104"/>
    <w:rsid w:val="000B2519"/>
    <w:rsid w:val="000B33E2"/>
    <w:rsid w:val="000C2DDB"/>
    <w:rsid w:val="000C54BC"/>
    <w:rsid w:val="000F6067"/>
    <w:rsid w:val="0011013F"/>
    <w:rsid w:val="00121F1A"/>
    <w:rsid w:val="00130674"/>
    <w:rsid w:val="0014211E"/>
    <w:rsid w:val="001964DB"/>
    <w:rsid w:val="001B3D8A"/>
    <w:rsid w:val="001B7ACF"/>
    <w:rsid w:val="001D6BB9"/>
    <w:rsid w:val="001E1BEA"/>
    <w:rsid w:val="001E2678"/>
    <w:rsid w:val="001F5326"/>
    <w:rsid w:val="001F5D63"/>
    <w:rsid w:val="001F790D"/>
    <w:rsid w:val="0020145F"/>
    <w:rsid w:val="002318B7"/>
    <w:rsid w:val="00236C7F"/>
    <w:rsid w:val="0027039D"/>
    <w:rsid w:val="0028604F"/>
    <w:rsid w:val="002A71BB"/>
    <w:rsid w:val="002B417F"/>
    <w:rsid w:val="002D0C3E"/>
    <w:rsid w:val="00306C10"/>
    <w:rsid w:val="00367129"/>
    <w:rsid w:val="003743F7"/>
    <w:rsid w:val="003C3EA9"/>
    <w:rsid w:val="003D2F10"/>
    <w:rsid w:val="003E61DF"/>
    <w:rsid w:val="003F6BF0"/>
    <w:rsid w:val="0041136A"/>
    <w:rsid w:val="00411FC8"/>
    <w:rsid w:val="004123BC"/>
    <w:rsid w:val="00416A47"/>
    <w:rsid w:val="00465BBB"/>
    <w:rsid w:val="00487A91"/>
    <w:rsid w:val="00492307"/>
    <w:rsid w:val="004B11CE"/>
    <w:rsid w:val="004C011D"/>
    <w:rsid w:val="004C01F1"/>
    <w:rsid w:val="004C3F18"/>
    <w:rsid w:val="00506379"/>
    <w:rsid w:val="00523052"/>
    <w:rsid w:val="0052585E"/>
    <w:rsid w:val="00532D0A"/>
    <w:rsid w:val="00534234"/>
    <w:rsid w:val="00540EB8"/>
    <w:rsid w:val="005473C3"/>
    <w:rsid w:val="005856B2"/>
    <w:rsid w:val="00595AC6"/>
    <w:rsid w:val="005A0EA9"/>
    <w:rsid w:val="005B7C09"/>
    <w:rsid w:val="005C7A36"/>
    <w:rsid w:val="005C7EF4"/>
    <w:rsid w:val="0066382F"/>
    <w:rsid w:val="0066459D"/>
    <w:rsid w:val="00675DF5"/>
    <w:rsid w:val="00695F6B"/>
    <w:rsid w:val="006C4A69"/>
    <w:rsid w:val="006C57CC"/>
    <w:rsid w:val="0070598E"/>
    <w:rsid w:val="0074183B"/>
    <w:rsid w:val="00746938"/>
    <w:rsid w:val="00746F3E"/>
    <w:rsid w:val="007556A3"/>
    <w:rsid w:val="00756F64"/>
    <w:rsid w:val="007616CB"/>
    <w:rsid w:val="00775886"/>
    <w:rsid w:val="00785CF0"/>
    <w:rsid w:val="007966F2"/>
    <w:rsid w:val="007B54FD"/>
    <w:rsid w:val="007C61DB"/>
    <w:rsid w:val="007D3557"/>
    <w:rsid w:val="007E2FE9"/>
    <w:rsid w:val="00821883"/>
    <w:rsid w:val="00823B98"/>
    <w:rsid w:val="00827400"/>
    <w:rsid w:val="008331B9"/>
    <w:rsid w:val="008358B4"/>
    <w:rsid w:val="00860130"/>
    <w:rsid w:val="008601F4"/>
    <w:rsid w:val="00870386"/>
    <w:rsid w:val="00876FA4"/>
    <w:rsid w:val="008B0177"/>
    <w:rsid w:val="008B1833"/>
    <w:rsid w:val="008D3C39"/>
    <w:rsid w:val="008E5C82"/>
    <w:rsid w:val="00911591"/>
    <w:rsid w:val="00917F8C"/>
    <w:rsid w:val="00924C69"/>
    <w:rsid w:val="00935C46"/>
    <w:rsid w:val="00941FF1"/>
    <w:rsid w:val="00946F29"/>
    <w:rsid w:val="00981C95"/>
    <w:rsid w:val="009843E5"/>
    <w:rsid w:val="00984DEC"/>
    <w:rsid w:val="00986005"/>
    <w:rsid w:val="009A1FED"/>
    <w:rsid w:val="009B0149"/>
    <w:rsid w:val="00A129E8"/>
    <w:rsid w:val="00A12D85"/>
    <w:rsid w:val="00A2107D"/>
    <w:rsid w:val="00A233BD"/>
    <w:rsid w:val="00A640C7"/>
    <w:rsid w:val="00A6459A"/>
    <w:rsid w:val="00A95D83"/>
    <w:rsid w:val="00AA352E"/>
    <w:rsid w:val="00AB7559"/>
    <w:rsid w:val="00AC59E2"/>
    <w:rsid w:val="00AF3C03"/>
    <w:rsid w:val="00B04A58"/>
    <w:rsid w:val="00B123AF"/>
    <w:rsid w:val="00B171F0"/>
    <w:rsid w:val="00B2055E"/>
    <w:rsid w:val="00B46EE9"/>
    <w:rsid w:val="00B60367"/>
    <w:rsid w:val="00B6121A"/>
    <w:rsid w:val="00B8162C"/>
    <w:rsid w:val="00BA4032"/>
    <w:rsid w:val="00BB0489"/>
    <w:rsid w:val="00BB4797"/>
    <w:rsid w:val="00BD1269"/>
    <w:rsid w:val="00BF5088"/>
    <w:rsid w:val="00C10360"/>
    <w:rsid w:val="00C115DC"/>
    <w:rsid w:val="00C12ED2"/>
    <w:rsid w:val="00C519C3"/>
    <w:rsid w:val="00C72549"/>
    <w:rsid w:val="00C76766"/>
    <w:rsid w:val="00C76889"/>
    <w:rsid w:val="00C82746"/>
    <w:rsid w:val="00CD6BE3"/>
    <w:rsid w:val="00CE0077"/>
    <w:rsid w:val="00CE0E1F"/>
    <w:rsid w:val="00CE15A4"/>
    <w:rsid w:val="00CE4D40"/>
    <w:rsid w:val="00D03511"/>
    <w:rsid w:val="00D12C0D"/>
    <w:rsid w:val="00D12C82"/>
    <w:rsid w:val="00D174B8"/>
    <w:rsid w:val="00D31CB9"/>
    <w:rsid w:val="00D43E8A"/>
    <w:rsid w:val="00D5253A"/>
    <w:rsid w:val="00D53BAF"/>
    <w:rsid w:val="00D6011E"/>
    <w:rsid w:val="00D639A4"/>
    <w:rsid w:val="00D65EE4"/>
    <w:rsid w:val="00D7438E"/>
    <w:rsid w:val="00D83B0C"/>
    <w:rsid w:val="00DB0DC7"/>
    <w:rsid w:val="00DB36F1"/>
    <w:rsid w:val="00DE614E"/>
    <w:rsid w:val="00DE7495"/>
    <w:rsid w:val="00DF26B1"/>
    <w:rsid w:val="00DF429B"/>
    <w:rsid w:val="00E146FE"/>
    <w:rsid w:val="00E503BB"/>
    <w:rsid w:val="00E516DF"/>
    <w:rsid w:val="00E540B2"/>
    <w:rsid w:val="00E62547"/>
    <w:rsid w:val="00E67FA1"/>
    <w:rsid w:val="00ED3255"/>
    <w:rsid w:val="00EE3434"/>
    <w:rsid w:val="00F11A47"/>
    <w:rsid w:val="00F24C44"/>
    <w:rsid w:val="00F27B92"/>
    <w:rsid w:val="00F34D19"/>
    <w:rsid w:val="00F44647"/>
    <w:rsid w:val="00F5434F"/>
    <w:rsid w:val="00F556F2"/>
    <w:rsid w:val="00F5653E"/>
    <w:rsid w:val="00F9069D"/>
    <w:rsid w:val="00F9281B"/>
    <w:rsid w:val="00F948B7"/>
    <w:rsid w:val="00FA0FC6"/>
    <w:rsid w:val="00FB0865"/>
    <w:rsid w:val="00FB716C"/>
    <w:rsid w:val="00FC7C20"/>
    <w:rsid w:val="00FD0A77"/>
    <w:rsid w:val="00FF0B34"/>
    <w:rsid w:val="00FF15C9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A3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43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38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743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38E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8E5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dijana.tuci</cp:lastModifiedBy>
  <cp:revision>133</cp:revision>
  <dcterms:created xsi:type="dcterms:W3CDTF">2011-12-13T16:35:00Z</dcterms:created>
  <dcterms:modified xsi:type="dcterms:W3CDTF">2011-12-14T08:52:00Z</dcterms:modified>
</cp:coreProperties>
</file>