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51B3" w:rsidRPr="004263CE" w:rsidRDefault="00702521">
      <w:pPr>
        <w:jc w:val="center"/>
        <w:rPr>
          <w:rFonts w:ascii="Arial" w:hAnsi="Arial" w:cs="Arial"/>
          <w:b/>
          <w:color w:val="000000" w:themeColor="text1"/>
          <w:sz w:val="22"/>
          <w:lang w:val="sr-Latn-ME"/>
        </w:rPr>
      </w:pPr>
      <w:r w:rsidRPr="004263CE">
        <w:rPr>
          <w:rFonts w:ascii="Arial" w:hAnsi="Arial" w:cs="Arial"/>
          <w:b/>
          <w:color w:val="000000" w:themeColor="text1"/>
          <w:sz w:val="22"/>
          <w:lang w:val="sr-Latn-ME"/>
        </w:rPr>
        <w:t>O B R A Z L O Ž E N J E</w:t>
      </w:r>
    </w:p>
    <w:p w:rsidR="00626D61" w:rsidRPr="004263CE" w:rsidRDefault="00626D61">
      <w:pPr>
        <w:jc w:val="center"/>
        <w:rPr>
          <w:rFonts w:ascii="Arial" w:hAnsi="Arial" w:cs="Arial"/>
          <w:color w:val="000000" w:themeColor="text1"/>
          <w:sz w:val="22"/>
          <w:lang w:val="sr-Latn-ME"/>
        </w:rPr>
      </w:pPr>
    </w:p>
    <w:p w:rsidR="006551B3" w:rsidRPr="004263CE" w:rsidRDefault="00702521">
      <w:pPr>
        <w:pStyle w:val="Heading1"/>
        <w:rPr>
          <w:rFonts w:ascii="Arial" w:hAnsi="Arial" w:cs="Arial"/>
          <w:color w:val="000000" w:themeColor="text1"/>
          <w:sz w:val="22"/>
          <w:szCs w:val="22"/>
          <w:lang w:val="sr-Latn-ME"/>
        </w:rPr>
      </w:pPr>
      <w:r w:rsidRPr="004263CE">
        <w:rPr>
          <w:rFonts w:ascii="Arial" w:eastAsia="Times New Roman" w:hAnsi="Arial" w:cs="Arial"/>
          <w:color w:val="000000" w:themeColor="text1"/>
          <w:sz w:val="22"/>
          <w:szCs w:val="22"/>
          <w:lang w:val="sr-Latn-ME"/>
        </w:rPr>
        <w:t>I. USTAVNI OSNOV</w:t>
      </w:r>
    </w:p>
    <w:p w:rsidR="00626D61" w:rsidRPr="004263CE" w:rsidRDefault="00626D61">
      <w:pPr>
        <w:jc w:val="both"/>
        <w:rPr>
          <w:rFonts w:ascii="Arial" w:hAnsi="Arial" w:cs="Arial"/>
          <w:color w:val="000000" w:themeColor="text1"/>
          <w:sz w:val="22"/>
          <w:lang w:val="sr-Latn-ME"/>
        </w:rPr>
      </w:pPr>
    </w:p>
    <w:p w:rsidR="006551B3" w:rsidRPr="004263CE" w:rsidRDefault="00702521">
      <w:pPr>
        <w:jc w:val="both"/>
        <w:rPr>
          <w:rFonts w:ascii="Arial" w:hAnsi="Arial" w:cs="Arial"/>
          <w:color w:val="000000" w:themeColor="text1"/>
          <w:sz w:val="22"/>
          <w:lang w:val="sr-Latn-ME"/>
        </w:rPr>
      </w:pPr>
      <w:r w:rsidRPr="004263CE">
        <w:rPr>
          <w:rFonts w:ascii="Arial" w:hAnsi="Arial" w:cs="Arial"/>
          <w:color w:val="000000" w:themeColor="text1"/>
          <w:sz w:val="22"/>
          <w:lang w:val="sr-Latn-ME"/>
        </w:rPr>
        <w:t>Ustavni osnov za donošenje Zakona o izmjenama i dopunama Zakona o zaš</w:t>
      </w:r>
      <w:bookmarkStart w:id="0" w:name="_GoBack"/>
      <w:bookmarkEnd w:id="0"/>
      <w:r w:rsidRPr="004263CE">
        <w:rPr>
          <w:rFonts w:ascii="Arial" w:hAnsi="Arial" w:cs="Arial"/>
          <w:color w:val="000000" w:themeColor="text1"/>
          <w:sz w:val="22"/>
          <w:lang w:val="sr-Latn-ME"/>
        </w:rPr>
        <w:t>titi od nejonizujućih zračenja sadržan je u odredbi člana 16 tačka 5 Ustava Crne Gore, kojim je propisano da se zakonom, u skladu sa Ustavom, uređuju pitanja od interesa za Crnu Goru, kao i u članu 23 Ustava Crne Gore, kojim je utvrđeno da svako ima pravo na zdravu životnu sredinu, pravo na blagovremeno i potpuno obavještavanje o stanju životne sredine, mogućnost uticaja prilikom odlučivanja o pitanjima od značaja za životnu sredinu i pravnu zaštitu ovih prava, te da je svako, a posebno država, obavezan da čuva i unapređuje životnu sredinu.</w:t>
      </w:r>
    </w:p>
    <w:p w:rsidR="00626D61" w:rsidRPr="004263CE" w:rsidRDefault="00702521" w:rsidP="001907CB">
      <w:pPr>
        <w:jc w:val="both"/>
        <w:rPr>
          <w:rFonts w:ascii="Arial" w:hAnsi="Arial" w:cs="Arial"/>
          <w:color w:val="000000" w:themeColor="text1"/>
          <w:sz w:val="22"/>
          <w:lang w:val="sr-Latn-ME"/>
        </w:rPr>
      </w:pPr>
      <w:r w:rsidRPr="004263CE">
        <w:rPr>
          <w:rFonts w:ascii="Arial" w:hAnsi="Arial" w:cs="Arial"/>
          <w:color w:val="000000" w:themeColor="text1"/>
          <w:sz w:val="22"/>
          <w:lang w:val="sr-Latn-ME"/>
        </w:rPr>
        <w:t>Polazeći od toga da se predloženim zakonom dodatno uređuje zaštita zaposlenih i drugih izloženih lica od rizika po zdravlje i bezbjednost koji nastaju ili mogu nastati usljed izloženosti nejonizujućim zračenjima, ustavni osnov sadržan je i u članu 64 s</w:t>
      </w:r>
      <w:r w:rsidR="00414A38" w:rsidRPr="004263CE">
        <w:rPr>
          <w:rFonts w:ascii="Arial" w:hAnsi="Arial" w:cs="Arial"/>
          <w:color w:val="000000" w:themeColor="text1"/>
          <w:sz w:val="22"/>
          <w:lang w:val="sr-Latn-ME"/>
        </w:rPr>
        <w:t>t.</w:t>
      </w:r>
      <w:r w:rsidRPr="004263CE">
        <w:rPr>
          <w:rFonts w:ascii="Arial" w:hAnsi="Arial" w:cs="Arial"/>
          <w:color w:val="000000" w:themeColor="text1"/>
          <w:sz w:val="22"/>
          <w:lang w:val="sr-Latn-ME"/>
        </w:rPr>
        <w:t xml:space="preserve"> </w:t>
      </w:r>
      <w:r w:rsidR="00736A73" w:rsidRPr="004263CE">
        <w:rPr>
          <w:rFonts w:ascii="Arial" w:hAnsi="Arial" w:cs="Arial"/>
          <w:color w:val="000000" w:themeColor="text1"/>
          <w:sz w:val="22"/>
          <w:lang w:val="sr-Latn-ME"/>
        </w:rPr>
        <w:t>3</w:t>
      </w:r>
      <w:r w:rsidR="00414A38" w:rsidRPr="004263CE">
        <w:rPr>
          <w:rFonts w:ascii="Arial" w:hAnsi="Arial" w:cs="Arial"/>
          <w:color w:val="000000" w:themeColor="text1"/>
          <w:sz w:val="22"/>
          <w:lang w:val="sr-Latn-ME"/>
        </w:rPr>
        <w:t xml:space="preserve"> i 4</w:t>
      </w:r>
      <w:r w:rsidRPr="004263CE">
        <w:rPr>
          <w:rFonts w:ascii="Arial" w:hAnsi="Arial" w:cs="Arial"/>
          <w:color w:val="000000" w:themeColor="text1"/>
          <w:sz w:val="22"/>
          <w:lang w:val="sr-Latn-ME"/>
        </w:rPr>
        <w:t xml:space="preserve"> Ustava Crne Gore, kojim je propisano </w:t>
      </w:r>
      <w:r w:rsidR="00414A38" w:rsidRPr="004263CE">
        <w:rPr>
          <w:rFonts w:ascii="Arial" w:hAnsi="Arial" w:cs="Arial"/>
          <w:color w:val="000000" w:themeColor="text1"/>
          <w:sz w:val="22"/>
          <w:lang w:val="sr-Latn-ME"/>
        </w:rPr>
        <w:t>da zaposleni imaju pravo na zaštitu na radu i da omladina, žene i invalidi uživaju posebnu zaštitu na radu.</w:t>
      </w:r>
    </w:p>
    <w:p w:rsidR="00626D61" w:rsidRPr="004263CE" w:rsidRDefault="00702521" w:rsidP="00842B04">
      <w:pPr>
        <w:pStyle w:val="Heading1"/>
        <w:rPr>
          <w:rFonts w:ascii="Arial" w:hAnsi="Arial" w:cs="Arial"/>
          <w:color w:val="000000" w:themeColor="text1"/>
          <w:sz w:val="22"/>
          <w:szCs w:val="22"/>
          <w:lang w:val="sr-Latn-ME"/>
        </w:rPr>
      </w:pPr>
      <w:r w:rsidRPr="004263CE">
        <w:rPr>
          <w:rFonts w:ascii="Arial" w:eastAsia="Times New Roman" w:hAnsi="Arial" w:cs="Arial"/>
          <w:color w:val="000000" w:themeColor="text1"/>
          <w:sz w:val="22"/>
          <w:szCs w:val="22"/>
          <w:lang w:val="sr-Latn-ME"/>
        </w:rPr>
        <w:t>II. RAZLOZI ZA DONOŠENJE ZAKONA</w:t>
      </w:r>
    </w:p>
    <w:p w:rsidR="006551B3" w:rsidRPr="004263CE" w:rsidRDefault="00702521">
      <w:pPr>
        <w:jc w:val="both"/>
        <w:rPr>
          <w:rFonts w:ascii="Arial" w:hAnsi="Arial" w:cs="Arial"/>
          <w:color w:val="000000" w:themeColor="text1"/>
          <w:sz w:val="22"/>
          <w:lang w:val="sr-Latn-ME"/>
        </w:rPr>
      </w:pPr>
      <w:r w:rsidRPr="004263CE">
        <w:rPr>
          <w:rFonts w:ascii="Arial" w:hAnsi="Arial" w:cs="Arial"/>
          <w:color w:val="000000" w:themeColor="text1"/>
          <w:sz w:val="22"/>
          <w:lang w:val="sr-Latn-ME"/>
        </w:rPr>
        <w:t>Zaštita od nejonizujućih zračenja u Crnoj Gori uređena je Zakonom o zaštiti od nejonizujućih zračenja („Službeni list CG”, broj 35/13) i podzakonskim aktima donijetim na osnovu tog zakona</w:t>
      </w:r>
      <w:r w:rsidR="00B76A3A" w:rsidRPr="004263CE">
        <w:rPr>
          <w:rFonts w:ascii="Arial" w:hAnsi="Arial" w:cs="Arial"/>
          <w:color w:val="000000" w:themeColor="text1"/>
          <w:sz w:val="22"/>
          <w:lang w:val="sr-Latn-ME"/>
        </w:rPr>
        <w:t xml:space="preserve"> (18)</w:t>
      </w:r>
      <w:r w:rsidRPr="004263CE">
        <w:rPr>
          <w:rFonts w:ascii="Arial" w:hAnsi="Arial" w:cs="Arial"/>
          <w:color w:val="000000" w:themeColor="text1"/>
          <w:sz w:val="22"/>
          <w:lang w:val="sr-Latn-ME"/>
        </w:rPr>
        <w:t>, kojima se uređuju uslovi korišćenja izvora nejonizujućih zračenja, granice izlaganja elektromagnetnim poljima i optičkom zračenju, procjena rizika, sprovođenje mjera zaštite, stručni poslovi, zdravstveni pregledi i druga pitanja od značaja za zaštitu zdravlja ljudi i životne sredine od štetnog djelovanja nejonizujućih zračenja.</w:t>
      </w:r>
    </w:p>
    <w:p w:rsidR="006551B3" w:rsidRPr="004263CE" w:rsidRDefault="00702521">
      <w:pPr>
        <w:jc w:val="both"/>
        <w:rPr>
          <w:rFonts w:ascii="Arial" w:hAnsi="Arial" w:cs="Arial"/>
          <w:color w:val="000000" w:themeColor="text1"/>
          <w:sz w:val="22"/>
          <w:lang w:val="sr-Latn-ME"/>
        </w:rPr>
      </w:pPr>
      <w:r w:rsidRPr="004263CE">
        <w:rPr>
          <w:rFonts w:ascii="Arial" w:hAnsi="Arial" w:cs="Arial"/>
          <w:color w:val="000000" w:themeColor="text1"/>
          <w:sz w:val="22"/>
          <w:lang w:val="sr-Latn-ME"/>
        </w:rPr>
        <w:t>Potreba za donošenjem Zakona o izmjenama i dopunama Zakona o zaštiti od nejonizujućih zračenja proistekla je iz potrebe daljeg i potpunijeg usklađivanja nacionalnog zakonodavstva sa pravnom tekovinom Evropske unije u oblasti zaštite zdravlja i bezbjednosti zaposlenih od rizika koji nastaju ili mogu nastati usljed izloženosti elektromagnetnim poljima i vještačkom optičkom zračenju tokom rada, kao i iz potrebe preciznijeg uređenja zaštite stanovništva od izlaganja elektromagnetnim poljima.</w:t>
      </w:r>
    </w:p>
    <w:p w:rsidR="006551B3" w:rsidRPr="004263CE" w:rsidRDefault="00702521">
      <w:pPr>
        <w:jc w:val="both"/>
        <w:rPr>
          <w:rFonts w:ascii="Arial" w:hAnsi="Arial" w:cs="Arial"/>
          <w:color w:val="000000" w:themeColor="text1"/>
          <w:sz w:val="22"/>
          <w:lang w:val="sr-Latn-ME"/>
        </w:rPr>
      </w:pPr>
      <w:r w:rsidRPr="004263CE">
        <w:rPr>
          <w:rFonts w:ascii="Arial" w:hAnsi="Arial" w:cs="Arial"/>
          <w:color w:val="000000" w:themeColor="text1"/>
          <w:sz w:val="22"/>
          <w:lang w:val="sr-Latn-ME"/>
        </w:rPr>
        <w:t>Analizom usklađenosti nacionalnog zakonodavstva sa Direktivom 2013/35/EU Evropskog parlamenta i Savjeta od 26. juna 2013. godine o minimalnim zdravstvenim i bezbjednosnim zahtjevima u vezi sa izlaganjem radnika rizicima koji nastaju od fizičkih agenasa (elektromagnetna polja) i Direktivom 2006/25/EZ Evropskog parlamenta i Savjeta od 5. aprila 2006. godine o minimalnim zdravstvenim i bezbjednosnim zahtjevima u vezi sa izlaganjem radnika rizicima koji nastaju od fizičkih agenasa (vještačko optičko zračenje), utvrđena je potreba da se pojedine odredbe važećeg zakona dodatno preciziraju i dopune radi jasnijeg transponovanja zahtjeva navedenih direktiva.</w:t>
      </w:r>
    </w:p>
    <w:p w:rsidR="006551B3" w:rsidRPr="004263CE" w:rsidRDefault="00702521">
      <w:pPr>
        <w:jc w:val="both"/>
        <w:rPr>
          <w:rFonts w:ascii="Arial" w:hAnsi="Arial" w:cs="Arial"/>
          <w:color w:val="000000" w:themeColor="text1"/>
          <w:sz w:val="22"/>
          <w:lang w:val="sr-Latn-ME"/>
        </w:rPr>
      </w:pPr>
      <w:r w:rsidRPr="004263CE">
        <w:rPr>
          <w:rFonts w:ascii="Arial" w:hAnsi="Arial" w:cs="Arial"/>
          <w:color w:val="000000" w:themeColor="text1"/>
          <w:sz w:val="22"/>
          <w:lang w:val="sr-Latn-ME"/>
        </w:rPr>
        <w:t>Predloženim izmjenama i dopunama doprinosi se i usklađivanju sa Direktivom 89/391/EEZ o uvođenju mjera za podsticanje poboljšanja bezbjednosti i zdravlja radnika na radu, Direktivom 92/58/EEZ o minimalnim zahtjevima za obezbjeđivanje znakova za bezbjednost i/ili zdravlje na radu, kao i sa Preporukom Savjeta 1999/519/EZ o ograničavanju izlaganja stanovništva elektromagnetnim poljima od 0 Hz do 300 GHz.</w:t>
      </w:r>
    </w:p>
    <w:p w:rsidR="006551B3" w:rsidRPr="004263CE" w:rsidRDefault="00702521">
      <w:pPr>
        <w:jc w:val="both"/>
        <w:rPr>
          <w:rFonts w:ascii="Arial" w:hAnsi="Arial" w:cs="Arial"/>
          <w:color w:val="000000" w:themeColor="text1"/>
          <w:sz w:val="22"/>
          <w:lang w:val="sr-Latn-ME"/>
        </w:rPr>
      </w:pPr>
      <w:r w:rsidRPr="004263CE">
        <w:rPr>
          <w:rFonts w:ascii="Arial" w:hAnsi="Arial" w:cs="Arial"/>
          <w:color w:val="000000" w:themeColor="text1"/>
          <w:sz w:val="22"/>
          <w:lang w:val="sr-Latn-ME"/>
        </w:rPr>
        <w:t>Važeći zakon koristi pojam „profesionalno izložena lica”, dok se predlogom uvodi širi i operativno jasniji pojam „izloženo lice”, odnosno pojam „zaposleni” kada se odredba odnosi na radnopravni status i obaveze poslodavca. Time se smanjuje rizik različitog tumačenja prava i obaveza poslodavaca, operatera, imalaca izvora, ovlašćenih stručnih lica i nadležnih organa.</w:t>
      </w:r>
    </w:p>
    <w:p w:rsidR="006551B3" w:rsidRPr="004263CE" w:rsidRDefault="00702521">
      <w:pPr>
        <w:jc w:val="both"/>
        <w:rPr>
          <w:rFonts w:ascii="Arial" w:hAnsi="Arial" w:cs="Arial"/>
          <w:color w:val="000000" w:themeColor="text1"/>
          <w:sz w:val="22"/>
          <w:lang w:val="sr-Latn-ME"/>
        </w:rPr>
      </w:pPr>
      <w:r w:rsidRPr="004263CE">
        <w:rPr>
          <w:rFonts w:ascii="Arial" w:hAnsi="Arial" w:cs="Arial"/>
          <w:color w:val="000000" w:themeColor="text1"/>
          <w:sz w:val="22"/>
          <w:lang w:val="sr-Latn-ME"/>
        </w:rPr>
        <w:lastRenderedPageBreak/>
        <w:t>Izmjenama se preciziraju pojmovi elektromagnetnih polja, optičkog zračenja, graničnih vrijednosti izloženosti optičkom zračenju i graničnih vrijednosti izloženosti elektromagnetnom polju, kao i pojmovi „zaposleni”, „izloženo lice”, „lice odgovorno za sprovođenje mjera zaštite od nejonizujućih zračenja”, „izlaganje stanovništva” i „poslodavac”. Na taj način obezbjeđuje se jasnija primjena zakona i usklađenost sa terminologijom propisa Evropske unije.</w:t>
      </w:r>
    </w:p>
    <w:p w:rsidR="006551B3" w:rsidRPr="004263CE" w:rsidRDefault="00702521">
      <w:pPr>
        <w:jc w:val="both"/>
        <w:rPr>
          <w:rFonts w:ascii="Arial" w:hAnsi="Arial" w:cs="Arial"/>
          <w:color w:val="000000" w:themeColor="text1"/>
          <w:sz w:val="22"/>
          <w:lang w:val="sr-Latn-ME"/>
        </w:rPr>
      </w:pPr>
      <w:r w:rsidRPr="004263CE">
        <w:rPr>
          <w:rFonts w:ascii="Arial" w:hAnsi="Arial" w:cs="Arial"/>
          <w:color w:val="000000" w:themeColor="text1"/>
          <w:sz w:val="22"/>
          <w:lang w:val="sr-Latn-ME"/>
        </w:rPr>
        <w:t>Uzroci problema su nedovoljno precizna terminologija u važećem zakonu, potreba detaljnijeg uređenja procjene rizika i akcionog programa za elektromagnetna polja i vještačko optičko zračenje, potreba jasnijeg zdravstvenog nadzora i prava izloženih lica na pristup sopstvenim zdravstvenim podacima, kao i potreba jačanja preventivnih i inspekcijskih mehanizama.</w:t>
      </w:r>
    </w:p>
    <w:p w:rsidR="006551B3" w:rsidRPr="004263CE" w:rsidRDefault="00702521">
      <w:pPr>
        <w:jc w:val="both"/>
        <w:rPr>
          <w:rFonts w:ascii="Arial" w:hAnsi="Arial" w:cs="Arial"/>
          <w:color w:val="000000" w:themeColor="text1"/>
          <w:sz w:val="22"/>
          <w:lang w:val="sr-Latn-ME"/>
        </w:rPr>
      </w:pPr>
      <w:r w:rsidRPr="004263CE">
        <w:rPr>
          <w:rFonts w:ascii="Arial" w:hAnsi="Arial" w:cs="Arial"/>
          <w:color w:val="000000" w:themeColor="text1"/>
          <w:sz w:val="22"/>
          <w:lang w:val="sr-Latn-ME"/>
        </w:rPr>
        <w:t>Posljedice postojećeg stanja mogu biti pravna nesigurnost, otežano dokazivanje usklađenosti sa graničnim vrijednostima izloženosti, nedovoljno dokumentovanje i revidiranje procjene rizika, slabija zaštita naročito osjetljivih izloženih lica, uključujući lica sa aktivnim ili pasivnim implantiranim medicinskim sredstvima, medicinskim sredstvima koja se nose na tijelu i trudnice, kao i nedovoljno djelotvorna prevencija prekoračenja vrijednosti upozorenja i graničnih vrijednosti izloženosti.</w:t>
      </w:r>
    </w:p>
    <w:p w:rsidR="006551B3" w:rsidRPr="004263CE" w:rsidRDefault="00702521">
      <w:pPr>
        <w:jc w:val="both"/>
        <w:rPr>
          <w:rFonts w:ascii="Arial" w:hAnsi="Arial" w:cs="Arial"/>
          <w:color w:val="000000" w:themeColor="text1"/>
          <w:sz w:val="22"/>
          <w:lang w:val="sr-Latn-ME"/>
        </w:rPr>
      </w:pPr>
      <w:r w:rsidRPr="004263CE">
        <w:rPr>
          <w:rFonts w:ascii="Arial" w:hAnsi="Arial" w:cs="Arial"/>
          <w:color w:val="000000" w:themeColor="text1"/>
          <w:sz w:val="22"/>
          <w:lang w:val="sr-Latn-ME"/>
        </w:rPr>
        <w:t>Oštećeni, odnosno potencijalno pogođeni subjekti su izložena lica, lica odgovorna za sprovođenje mjera zaštite, stanovništvo, korisnici usluga i posjetioci, poslodavci, operateri, imaoci izvora nejonizujućih zračenja, ovlašćena stručna lica, nadležni organi i inspekcija. Bez izmjena zakona nastavila bi se primjena rješenja koja nijesu dovoljno precizna za savremene zahtjeve procjene, mjerenja, proračuna, obuke, konsultovanja, zdravstvenog nadzora i dokumentovanja mjera zaštite.</w:t>
      </w:r>
    </w:p>
    <w:p w:rsidR="006551B3" w:rsidRPr="004263CE" w:rsidRDefault="00702521">
      <w:pPr>
        <w:jc w:val="both"/>
        <w:rPr>
          <w:rFonts w:ascii="Arial" w:hAnsi="Arial" w:cs="Arial"/>
          <w:color w:val="000000" w:themeColor="text1"/>
          <w:sz w:val="22"/>
          <w:lang w:val="sr-Latn-ME"/>
        </w:rPr>
      </w:pPr>
      <w:r w:rsidRPr="004263CE">
        <w:rPr>
          <w:rFonts w:ascii="Arial" w:hAnsi="Arial" w:cs="Arial"/>
          <w:color w:val="000000" w:themeColor="text1"/>
          <w:sz w:val="22"/>
          <w:lang w:val="sr-Latn-ME"/>
        </w:rPr>
        <w:t>Zadržavanje postojećeg regulatornog okvira ne bi obezbijedilo potreban stepen pravne sigurnosti i preventivne zaštite zdravlja i bezbjednosti. Neregulatorne mjere, kao što su smjernice, preporuke i obuke, mogu pomoći u sprovođenju zakona, ali ne mogu zamijeniti zakonsku obavezu niti na obavezujući način urediti definicije, prava, obaveze, nadležnosti, rokove i kazne. Zbog toga je regulatorna opcija, odnosno donošenje ovog zakona, najcjelishodnije rješenje.</w:t>
      </w:r>
    </w:p>
    <w:p w:rsidR="00626D61" w:rsidRPr="004263CE" w:rsidRDefault="00702521" w:rsidP="00D32F48">
      <w:pPr>
        <w:jc w:val="both"/>
        <w:rPr>
          <w:rFonts w:ascii="Arial" w:hAnsi="Arial" w:cs="Arial"/>
          <w:color w:val="000000" w:themeColor="text1"/>
          <w:sz w:val="22"/>
          <w:lang w:val="sr-Latn-ME"/>
        </w:rPr>
      </w:pPr>
      <w:r w:rsidRPr="004263CE">
        <w:rPr>
          <w:rFonts w:ascii="Arial" w:hAnsi="Arial" w:cs="Arial"/>
          <w:color w:val="000000" w:themeColor="text1"/>
          <w:sz w:val="22"/>
          <w:lang w:val="sr-Latn-ME"/>
        </w:rPr>
        <w:t>Donošenjem ovog zakona obezbijediće se viši nivo zaštite zdravlja i bezbjednosti izloženih lica i stanovništva, unaprijediti sistem procjene i upravljanja rizicima od nejonizujućih zračenja, ojačati preventivne i zaštitne mjere, obezbijediti djelotvorniji zdravstveni i inspekcijski nadzor, povećati pravna sigurnost i stvoriti uslovi za potpunije usklađivanje nacionalnog zakonodavstva sa pravnom tekovinom Evropske unije.</w:t>
      </w:r>
    </w:p>
    <w:p w:rsidR="00626D61" w:rsidRPr="004263CE" w:rsidRDefault="00702521" w:rsidP="00D32F48">
      <w:pPr>
        <w:pStyle w:val="Heading1"/>
        <w:rPr>
          <w:rFonts w:ascii="Arial" w:hAnsi="Arial" w:cs="Arial"/>
          <w:color w:val="000000" w:themeColor="text1"/>
          <w:sz w:val="22"/>
          <w:szCs w:val="22"/>
          <w:lang w:val="sr-Latn-ME"/>
        </w:rPr>
      </w:pPr>
      <w:r w:rsidRPr="004263CE">
        <w:rPr>
          <w:rFonts w:ascii="Arial" w:eastAsia="Times New Roman" w:hAnsi="Arial" w:cs="Arial"/>
          <w:color w:val="000000" w:themeColor="text1"/>
          <w:sz w:val="22"/>
          <w:szCs w:val="22"/>
          <w:lang w:val="sr-Latn-ME"/>
        </w:rPr>
        <w:t>III. USAGLAŠENOST SA PRAVNOM TEKOVINOM EVROPSKE UNIJE I POTVRĐENIM MEĐUNARODNIM UGOVORIMA</w:t>
      </w:r>
    </w:p>
    <w:p w:rsidR="006551B3" w:rsidRPr="004263CE" w:rsidRDefault="00702521">
      <w:pPr>
        <w:jc w:val="both"/>
        <w:rPr>
          <w:rFonts w:ascii="Arial" w:hAnsi="Arial" w:cs="Arial"/>
          <w:color w:val="000000" w:themeColor="text1"/>
          <w:sz w:val="22"/>
          <w:lang w:val="sr-Latn-ME"/>
        </w:rPr>
      </w:pPr>
      <w:r w:rsidRPr="004263CE">
        <w:rPr>
          <w:rFonts w:ascii="Arial" w:hAnsi="Arial" w:cs="Arial"/>
          <w:color w:val="000000" w:themeColor="text1"/>
          <w:sz w:val="22"/>
          <w:lang w:val="sr-Latn-ME"/>
        </w:rPr>
        <w:t>Predlog zakona pripremljen je radi daljeg usklađivanja zakonodavstva Crne Gore sa pravnom tekovinom Evropske unije u oblasti zaštite zdravlja i bezbjednosti na radu, odnosno zaštite zaposlenih od rizika koji nastaju ili mogu nastati usljed izloženosti fizičkim agensima - elektromagnetnim poljima i vještačkom optičkom zračenju. Predlog takođe doprinosi usklađivanju u dijelu zaštite stanovništva i javnog zdravlja od izlaganja elektromagnetnim poljima.</w:t>
      </w:r>
    </w:p>
    <w:p w:rsidR="006551B3" w:rsidRPr="004263CE" w:rsidRDefault="00702521">
      <w:pPr>
        <w:jc w:val="both"/>
        <w:rPr>
          <w:rFonts w:ascii="Arial" w:hAnsi="Arial" w:cs="Arial"/>
          <w:color w:val="000000" w:themeColor="text1"/>
          <w:sz w:val="22"/>
          <w:lang w:val="sr-Latn-ME"/>
        </w:rPr>
      </w:pPr>
      <w:r w:rsidRPr="004263CE">
        <w:rPr>
          <w:rFonts w:ascii="Arial" w:hAnsi="Arial" w:cs="Arial"/>
          <w:color w:val="000000" w:themeColor="text1"/>
          <w:sz w:val="22"/>
          <w:lang w:val="sr-Latn-ME"/>
        </w:rPr>
        <w:t>Predloženim zakonom vrši se potpunije transponovanje sljedećih akata Evropske unije:</w:t>
      </w:r>
    </w:p>
    <w:p w:rsidR="006551B3" w:rsidRPr="004263CE" w:rsidRDefault="00702521" w:rsidP="00626D61">
      <w:pPr>
        <w:pStyle w:val="ListNumber"/>
        <w:tabs>
          <w:tab w:val="clear" w:pos="360"/>
          <w:tab w:val="num" w:pos="720"/>
        </w:tabs>
        <w:ind w:left="720"/>
        <w:rPr>
          <w:rFonts w:ascii="Arial" w:hAnsi="Arial" w:cs="Arial"/>
          <w:color w:val="000000" w:themeColor="text1"/>
          <w:sz w:val="22"/>
          <w:lang w:val="sr-Latn-ME"/>
        </w:rPr>
      </w:pPr>
      <w:r w:rsidRPr="004263CE">
        <w:rPr>
          <w:rFonts w:ascii="Arial" w:hAnsi="Arial" w:cs="Arial"/>
          <w:color w:val="000000" w:themeColor="text1"/>
          <w:sz w:val="22"/>
          <w:lang w:val="sr-Latn-ME"/>
        </w:rPr>
        <w:t>Direktive 2013/35/EU Evropskog parlamenta i Savjeta od 26. juna 2013. godine o minimalnim zdravstvenim i bezbjednosnim zahtjevima u vezi sa izlaganjem radnika rizicima koji nastaju od fizičkih agenasa (elektromagnetna polja) (20. pojedinačna direktiva u smislu člana 16 stav 1 Direktive 89/391/EEZ) i stavljanju van snage Direktive 2004/40/EZ;</w:t>
      </w:r>
    </w:p>
    <w:p w:rsidR="006551B3" w:rsidRPr="004263CE" w:rsidRDefault="00702521" w:rsidP="00626D61">
      <w:pPr>
        <w:pStyle w:val="ListNumber"/>
        <w:tabs>
          <w:tab w:val="clear" w:pos="360"/>
          <w:tab w:val="num" w:pos="720"/>
        </w:tabs>
        <w:ind w:left="720"/>
        <w:rPr>
          <w:rFonts w:ascii="Arial" w:hAnsi="Arial" w:cs="Arial"/>
          <w:color w:val="000000" w:themeColor="text1"/>
          <w:sz w:val="22"/>
          <w:lang w:val="sr-Latn-ME"/>
        </w:rPr>
      </w:pPr>
      <w:r w:rsidRPr="004263CE">
        <w:rPr>
          <w:rFonts w:ascii="Arial" w:hAnsi="Arial" w:cs="Arial"/>
          <w:color w:val="000000" w:themeColor="text1"/>
          <w:sz w:val="22"/>
          <w:lang w:val="sr-Latn-ME"/>
        </w:rPr>
        <w:t>Direktive 2006/25/EZ Evropskog parlamenta i Savjeta od 5. aprila 2006. godine o minimalnim zdravstvenim i bezbjednosnim zahtjevima u vezi sa izlaganjem radnika rizicima koji nastaju od fizičkih agenasa (vještačko optičko zračenje) (19. pojedinačna direktiva u smislu člana 16 stav 1 Direktive 89/391/EEZ);</w:t>
      </w:r>
    </w:p>
    <w:p w:rsidR="006551B3" w:rsidRPr="004263CE" w:rsidRDefault="00702521" w:rsidP="00626D61">
      <w:pPr>
        <w:pStyle w:val="ListNumber"/>
        <w:tabs>
          <w:tab w:val="clear" w:pos="360"/>
          <w:tab w:val="num" w:pos="720"/>
        </w:tabs>
        <w:ind w:left="720"/>
        <w:rPr>
          <w:rFonts w:ascii="Arial" w:hAnsi="Arial" w:cs="Arial"/>
          <w:color w:val="000000" w:themeColor="text1"/>
          <w:sz w:val="22"/>
          <w:lang w:val="sr-Latn-ME"/>
        </w:rPr>
      </w:pPr>
      <w:r w:rsidRPr="004263CE">
        <w:rPr>
          <w:rFonts w:ascii="Arial" w:hAnsi="Arial" w:cs="Arial"/>
          <w:color w:val="000000" w:themeColor="text1"/>
          <w:sz w:val="22"/>
          <w:lang w:val="sr-Latn-ME"/>
        </w:rPr>
        <w:t>Direktive 89/391/EEZ o uvođenju mjera za podsticanje poboljšanja bezbjednosti i zdravlja radnika na radu;</w:t>
      </w:r>
    </w:p>
    <w:p w:rsidR="006551B3" w:rsidRPr="004263CE" w:rsidRDefault="00702521" w:rsidP="00626D61">
      <w:pPr>
        <w:pStyle w:val="ListNumber"/>
        <w:tabs>
          <w:tab w:val="clear" w:pos="360"/>
          <w:tab w:val="num" w:pos="720"/>
        </w:tabs>
        <w:ind w:left="720"/>
        <w:rPr>
          <w:rFonts w:ascii="Arial" w:hAnsi="Arial" w:cs="Arial"/>
          <w:color w:val="000000" w:themeColor="text1"/>
          <w:sz w:val="22"/>
          <w:lang w:val="sr-Latn-ME"/>
        </w:rPr>
      </w:pPr>
      <w:r w:rsidRPr="004263CE">
        <w:rPr>
          <w:rFonts w:ascii="Arial" w:hAnsi="Arial" w:cs="Arial"/>
          <w:color w:val="000000" w:themeColor="text1"/>
          <w:sz w:val="22"/>
          <w:lang w:val="sr-Latn-ME"/>
        </w:rPr>
        <w:t>Direktive 92/58/EEZ o minimalnim zahtjevima za obezbjeđivanje znakova za bezbjednost i/ili zdravlje na radu;</w:t>
      </w:r>
    </w:p>
    <w:p w:rsidR="006551B3" w:rsidRPr="004263CE" w:rsidRDefault="00702521" w:rsidP="00626D61">
      <w:pPr>
        <w:pStyle w:val="ListNumber"/>
        <w:tabs>
          <w:tab w:val="clear" w:pos="360"/>
          <w:tab w:val="num" w:pos="720"/>
        </w:tabs>
        <w:ind w:left="720"/>
        <w:rPr>
          <w:rFonts w:ascii="Arial" w:hAnsi="Arial" w:cs="Arial"/>
          <w:color w:val="000000" w:themeColor="text1"/>
          <w:sz w:val="22"/>
          <w:lang w:val="sr-Latn-ME"/>
        </w:rPr>
      </w:pPr>
      <w:r w:rsidRPr="004263CE">
        <w:rPr>
          <w:rFonts w:ascii="Arial" w:hAnsi="Arial" w:cs="Arial"/>
          <w:color w:val="000000" w:themeColor="text1"/>
          <w:sz w:val="22"/>
          <w:lang w:val="sr-Latn-ME"/>
        </w:rPr>
        <w:t>Preporuke Savjeta 1999/519/EZ o ograničavanju izlaganja stanovništva elektromagnetnim poljima od 0 Hz do 300 GHz.</w:t>
      </w:r>
    </w:p>
    <w:p w:rsidR="006551B3" w:rsidRPr="004263CE" w:rsidRDefault="00920A92">
      <w:pPr>
        <w:jc w:val="both"/>
        <w:rPr>
          <w:rFonts w:ascii="Arial" w:hAnsi="Arial" w:cs="Arial"/>
          <w:color w:val="000000" w:themeColor="text1"/>
          <w:sz w:val="22"/>
          <w:lang w:val="sr-Latn-ME"/>
        </w:rPr>
      </w:pPr>
      <w:r w:rsidRPr="004263CE">
        <w:rPr>
          <w:rFonts w:ascii="Arial" w:hAnsi="Arial" w:cs="Arial"/>
          <w:color w:val="000000" w:themeColor="text1"/>
          <w:sz w:val="22"/>
          <w:lang w:val="sr-Latn-ME"/>
        </w:rPr>
        <w:t xml:space="preserve">Predlog Zakona o izmjenama i dopunama Zakona o zaštiti od nejonizujućih zračenja </w:t>
      </w:r>
      <w:r w:rsidR="00702521" w:rsidRPr="004263CE">
        <w:rPr>
          <w:rFonts w:ascii="Arial" w:hAnsi="Arial" w:cs="Arial"/>
          <w:color w:val="000000" w:themeColor="text1"/>
          <w:sz w:val="22"/>
          <w:lang w:val="sr-Latn-ME"/>
        </w:rPr>
        <w:t>posebno doprinos</w:t>
      </w:r>
      <w:r w:rsidRPr="004263CE">
        <w:rPr>
          <w:rFonts w:ascii="Arial" w:hAnsi="Arial" w:cs="Arial"/>
          <w:color w:val="000000" w:themeColor="text1"/>
          <w:sz w:val="22"/>
          <w:lang w:val="sr-Latn-ME"/>
        </w:rPr>
        <w:t>i</w:t>
      </w:r>
      <w:r w:rsidR="00702521" w:rsidRPr="004263CE">
        <w:rPr>
          <w:rFonts w:ascii="Arial" w:hAnsi="Arial" w:cs="Arial"/>
          <w:color w:val="000000" w:themeColor="text1"/>
          <w:sz w:val="22"/>
          <w:lang w:val="sr-Latn-ME"/>
        </w:rPr>
        <w:t xml:space="preserve"> usklađivanju u dijelu definisanja graničnih vrijednosti izloženosti, načina procjene, mjerenja i/ili proračuna izloženosti, obaveze izrade i redovne revizije procjene rizika, primjene preventivnih i zaštitnih mjera, zaštite naročito osjetljivih izloženih lica, obavještavanja i osposobljavanja zaposlenih, konsultovanja i učešća izloženih lica i njihovih predstavnika, zdravstvenog nadzora, označavanja i kontrole pristupa rizičnim radnim mjestima, kao i zaštite stanovništva od izlaganja elektromagnetnim poljima.</w:t>
      </w:r>
    </w:p>
    <w:p w:rsidR="006551B3" w:rsidRPr="004263CE" w:rsidRDefault="00702521">
      <w:pPr>
        <w:jc w:val="both"/>
        <w:rPr>
          <w:rFonts w:ascii="Arial" w:hAnsi="Arial" w:cs="Arial"/>
          <w:color w:val="000000" w:themeColor="text1"/>
          <w:sz w:val="22"/>
          <w:lang w:val="sr-Latn-ME"/>
        </w:rPr>
      </w:pPr>
      <w:r w:rsidRPr="004263CE">
        <w:rPr>
          <w:rFonts w:ascii="Arial" w:hAnsi="Arial" w:cs="Arial"/>
          <w:color w:val="000000" w:themeColor="text1"/>
          <w:sz w:val="22"/>
          <w:lang w:val="sr-Latn-ME"/>
        </w:rPr>
        <w:t>Pri izradi predloženih rješenja uzeti su u obzir odgovarajući evropski i međunarodni standardi i smjernice, uključujući relevantne IEC standarde za lasersko zračenje, preporuke Međunarodne komisije za osvjetljenje (CIE), standarde Evropskog komiteta za standardizaciju (CEN), praktične smjernice Evropske komisije, naučno potvrđene metode dozimetrije, tehničku dokumentaciju proizvođača i druge relevantne nacionalne i međunarodne naučno zasnovane smjernice.</w:t>
      </w:r>
    </w:p>
    <w:p w:rsidR="00626D61" w:rsidRPr="004263CE" w:rsidRDefault="00702521" w:rsidP="000F11E8">
      <w:pPr>
        <w:jc w:val="both"/>
        <w:rPr>
          <w:rFonts w:ascii="Arial" w:hAnsi="Arial" w:cs="Arial"/>
          <w:color w:val="000000" w:themeColor="text1"/>
          <w:sz w:val="22"/>
          <w:lang w:val="sr-Latn-ME"/>
        </w:rPr>
      </w:pPr>
      <w:r w:rsidRPr="004263CE">
        <w:rPr>
          <w:rFonts w:ascii="Arial" w:hAnsi="Arial" w:cs="Arial"/>
          <w:color w:val="000000" w:themeColor="text1"/>
          <w:sz w:val="22"/>
          <w:lang w:val="sr-Latn-ME"/>
        </w:rPr>
        <w:t>Predlog zakona je usklađen sa obavezama Crne Gore u procesu pristupanja Evropskoj uniji, naročito u okviru pregovaračkog poglavlja 19 - Socijalna politika i zapošljavanje, u dijelu sigurnosti i zdravlja na radu, i pregovaračkog poglavlja 28 - Zaštita potrošača i zdravlja, u dijelu zaštite zdravlja stanovništva i korisnika usluga od rizika izloženosti nejonizujućim zračenjima.</w:t>
      </w:r>
    </w:p>
    <w:p w:rsidR="00626D61" w:rsidRPr="004263CE" w:rsidRDefault="00702521" w:rsidP="000F11E8">
      <w:pPr>
        <w:pStyle w:val="Heading1"/>
        <w:rPr>
          <w:rFonts w:ascii="Arial" w:eastAsia="Times New Roman" w:hAnsi="Arial" w:cs="Arial"/>
          <w:color w:val="000000" w:themeColor="text1"/>
          <w:sz w:val="22"/>
          <w:szCs w:val="22"/>
          <w:lang w:val="sr-Latn-ME"/>
        </w:rPr>
      </w:pPr>
      <w:r w:rsidRPr="004263CE">
        <w:rPr>
          <w:rFonts w:ascii="Arial" w:eastAsia="Times New Roman" w:hAnsi="Arial" w:cs="Arial"/>
          <w:color w:val="000000" w:themeColor="text1"/>
          <w:sz w:val="22"/>
          <w:szCs w:val="22"/>
          <w:lang w:val="sr-Latn-ME"/>
        </w:rPr>
        <w:t>IV. OBJAŠNJENJE OSNOVNIH PRAVNIH INSTITUTA</w:t>
      </w:r>
    </w:p>
    <w:p w:rsidR="000F11E8" w:rsidRPr="004263CE" w:rsidRDefault="000F11E8" w:rsidP="000F11E8">
      <w:pPr>
        <w:rPr>
          <w:color w:val="000000" w:themeColor="text1"/>
          <w:lang w:val="sr-Latn-ME"/>
        </w:rPr>
      </w:pPr>
    </w:p>
    <w:p w:rsidR="00626D61" w:rsidRPr="004263CE" w:rsidRDefault="00626D61">
      <w:pPr>
        <w:jc w:val="both"/>
        <w:rPr>
          <w:rFonts w:ascii="Arial" w:hAnsi="Arial" w:cs="Arial"/>
          <w:b/>
          <w:color w:val="000000" w:themeColor="text1"/>
          <w:sz w:val="22"/>
          <w:lang w:val="sr-Latn-ME"/>
        </w:rPr>
      </w:pPr>
      <w:r w:rsidRPr="004263CE">
        <w:rPr>
          <w:rFonts w:ascii="Arial" w:hAnsi="Arial" w:cs="Arial"/>
          <w:b/>
          <w:color w:val="000000" w:themeColor="text1"/>
          <w:sz w:val="22"/>
          <w:lang w:val="sr-Latn-ME"/>
        </w:rPr>
        <w:t>I</w:t>
      </w:r>
      <w:r w:rsidR="00702521" w:rsidRPr="004263CE">
        <w:rPr>
          <w:rFonts w:ascii="Arial" w:hAnsi="Arial" w:cs="Arial"/>
          <w:b/>
          <w:color w:val="000000" w:themeColor="text1"/>
          <w:sz w:val="22"/>
          <w:lang w:val="sr-Latn-ME"/>
        </w:rPr>
        <w:t>. Osnovne odredbe i pojmovi</w:t>
      </w:r>
    </w:p>
    <w:p w:rsidR="006551B3" w:rsidRPr="004263CE" w:rsidRDefault="00702521">
      <w:pPr>
        <w:jc w:val="both"/>
        <w:rPr>
          <w:rFonts w:ascii="Arial" w:hAnsi="Arial" w:cs="Arial"/>
          <w:color w:val="000000" w:themeColor="text1"/>
          <w:sz w:val="22"/>
          <w:lang w:val="sr-Latn-ME"/>
        </w:rPr>
      </w:pPr>
      <w:r w:rsidRPr="004263CE">
        <w:rPr>
          <w:rFonts w:ascii="Arial" w:hAnsi="Arial" w:cs="Arial"/>
          <w:color w:val="000000" w:themeColor="text1"/>
          <w:sz w:val="22"/>
          <w:lang w:val="sr-Latn-ME"/>
        </w:rPr>
        <w:t>U osnovnim odredbama precizira se predmet zakona na način da se zaštita od nejonizujućih zračenja, pored zaštite stanovništva i životne sredine, odnosi i na zaštitu zaposlenih od rizika po njihovo zdravlje i bezbjednost koji nastaju ili mogu nastati usljed izloženosti nejonizujućim zračenjima. Dodatno se utvrđuje da se zakon ne primjenjuje na lica koja obavljaju poslove u domaćinstvu.</w:t>
      </w:r>
    </w:p>
    <w:p w:rsidR="006551B3" w:rsidRPr="004263CE" w:rsidRDefault="00702521">
      <w:pPr>
        <w:jc w:val="both"/>
        <w:rPr>
          <w:rFonts w:ascii="Arial" w:hAnsi="Arial" w:cs="Arial"/>
          <w:color w:val="000000" w:themeColor="text1"/>
          <w:sz w:val="22"/>
          <w:lang w:val="sr-Latn-ME"/>
        </w:rPr>
      </w:pPr>
      <w:r w:rsidRPr="004263CE">
        <w:rPr>
          <w:rFonts w:ascii="Arial" w:hAnsi="Arial" w:cs="Arial"/>
          <w:color w:val="000000" w:themeColor="text1"/>
          <w:sz w:val="22"/>
          <w:lang w:val="sr-Latn-ME"/>
        </w:rPr>
        <w:t>U cilju terminološkog i suštinskog usklađivanja sa propisima Evropske unije, dosadašnji pojam „profesionalno izložena lica” zamjenjuje se pojmom „izložena lica”, odnosno pojmom „zaposleni” kada se odredba odnosi na radnopravni status i obaveze poslodavca. Uvode se i dodatne definicije kojima se preciziraju zaposleni, izloženo lice, lice odgovorno za sprovođenje mjera zaštite od nejonizujućih zračenja, izlaganje stanovništva i poslodavac.</w:t>
      </w:r>
    </w:p>
    <w:p w:rsidR="006551B3" w:rsidRPr="004263CE" w:rsidRDefault="00702521">
      <w:pPr>
        <w:jc w:val="both"/>
        <w:rPr>
          <w:rFonts w:ascii="Arial" w:hAnsi="Arial" w:cs="Arial"/>
          <w:color w:val="000000" w:themeColor="text1"/>
          <w:sz w:val="22"/>
          <w:lang w:val="sr-Latn-ME"/>
        </w:rPr>
      </w:pPr>
      <w:r w:rsidRPr="004263CE">
        <w:rPr>
          <w:rFonts w:ascii="Arial" w:hAnsi="Arial" w:cs="Arial"/>
          <w:color w:val="000000" w:themeColor="text1"/>
          <w:sz w:val="22"/>
          <w:lang w:val="sr-Latn-ME"/>
        </w:rPr>
        <w:t>Pojam elektromagnetnih polja definiše se kao statička električna, statička magnetna i vremenski promjenjiva električna, magnetna i elektromagnetna polja sa frekvencijama do 300 GHz. Pojam optičkog zračenja precizira se u skladu sa talasnim dužinama od 100 nm do 1 mm i podjelom na ultraljubičasto, vidljivo i infracrveno zračenje.</w:t>
      </w:r>
    </w:p>
    <w:p w:rsidR="006551B3" w:rsidRPr="004263CE" w:rsidRDefault="00702521">
      <w:pPr>
        <w:jc w:val="both"/>
        <w:rPr>
          <w:rFonts w:ascii="Arial" w:hAnsi="Arial" w:cs="Arial"/>
          <w:color w:val="000000" w:themeColor="text1"/>
          <w:sz w:val="22"/>
          <w:lang w:val="sr-Latn-ME"/>
        </w:rPr>
      </w:pPr>
      <w:r w:rsidRPr="004263CE">
        <w:rPr>
          <w:rFonts w:ascii="Arial" w:hAnsi="Arial" w:cs="Arial"/>
          <w:color w:val="000000" w:themeColor="text1"/>
          <w:sz w:val="22"/>
          <w:lang w:val="sr-Latn-ME"/>
        </w:rPr>
        <w:t>Granične vrijednosti izloženosti optičkom zračenju i elektromagnetnom polju definišu se u skladu sa naučno utvrđenim uticajima na zdravlje, biološkim i biofizičkim razmatranjima, uključujući štetne uticaje na oči i kožu, termičke efekte i električnu stimulaciju tkiva.</w:t>
      </w:r>
    </w:p>
    <w:p w:rsidR="00626D61" w:rsidRPr="004263CE" w:rsidRDefault="00626D61">
      <w:pPr>
        <w:jc w:val="both"/>
        <w:rPr>
          <w:rFonts w:ascii="Arial" w:hAnsi="Arial" w:cs="Arial"/>
          <w:b/>
          <w:color w:val="000000" w:themeColor="text1"/>
          <w:sz w:val="22"/>
          <w:lang w:val="sr-Latn-ME"/>
        </w:rPr>
      </w:pPr>
    </w:p>
    <w:p w:rsidR="00626D61" w:rsidRPr="004263CE" w:rsidRDefault="00626D61">
      <w:pPr>
        <w:jc w:val="both"/>
        <w:rPr>
          <w:rFonts w:ascii="Arial" w:hAnsi="Arial" w:cs="Arial"/>
          <w:b/>
          <w:color w:val="000000" w:themeColor="text1"/>
          <w:sz w:val="22"/>
          <w:lang w:val="sr-Latn-ME"/>
        </w:rPr>
      </w:pPr>
      <w:r w:rsidRPr="004263CE">
        <w:rPr>
          <w:rFonts w:ascii="Arial" w:hAnsi="Arial" w:cs="Arial"/>
          <w:b/>
          <w:color w:val="000000" w:themeColor="text1"/>
          <w:sz w:val="22"/>
          <w:lang w:val="sr-Latn-ME"/>
        </w:rPr>
        <w:t>II</w:t>
      </w:r>
      <w:r w:rsidR="00702521" w:rsidRPr="004263CE">
        <w:rPr>
          <w:rFonts w:ascii="Arial" w:hAnsi="Arial" w:cs="Arial"/>
          <w:b/>
          <w:color w:val="000000" w:themeColor="text1"/>
          <w:sz w:val="22"/>
          <w:lang w:val="sr-Latn-ME"/>
        </w:rPr>
        <w:t>. Ovlašćena stručna lica i uslovi za obavljanje stručnih poslova</w:t>
      </w:r>
    </w:p>
    <w:p w:rsidR="00626D61" w:rsidRPr="004263CE" w:rsidRDefault="00702521">
      <w:pPr>
        <w:jc w:val="both"/>
        <w:rPr>
          <w:rFonts w:ascii="Arial" w:hAnsi="Arial" w:cs="Arial"/>
          <w:color w:val="000000" w:themeColor="text1"/>
          <w:sz w:val="22"/>
          <w:lang w:val="sr-Latn-ME"/>
        </w:rPr>
      </w:pPr>
      <w:r w:rsidRPr="004263CE">
        <w:rPr>
          <w:rFonts w:ascii="Arial" w:hAnsi="Arial" w:cs="Arial"/>
          <w:color w:val="000000" w:themeColor="text1"/>
          <w:sz w:val="22"/>
          <w:lang w:val="sr-Latn-ME"/>
        </w:rPr>
        <w:t>Predlogom zakona preciziraju se uslovi nepristrasnosti i nezavisnosti ovlašćenog stručnog lica. Propisuje se da ovlašćeno stručno lice ne može biti imalac izvora nejonizujućih zračenja, operater, investitor, suinvestitor, projektant ili izvođač u smislu korišćenja izvora za koje se pribavlja dozvola, niti može obavljati stručne poslove zaštite za sopstvene izvore ili aktivnosti, osim u slučaju kada te izvore koristi isključivo kao mjernu, ispitnu ili laboratorijsku opremu za obavljanje stručnih poslova. Ovim rješenjem jača se objektivnost i povjerenje u rezultate procjene, mjerenja, proračuna i drugih stručnih poslova zaštite od nejonizujućih zračenja.</w:t>
      </w:r>
    </w:p>
    <w:p w:rsidR="00F6229E" w:rsidRPr="004263CE" w:rsidRDefault="00F6229E">
      <w:pPr>
        <w:jc w:val="both"/>
        <w:rPr>
          <w:rFonts w:ascii="Arial" w:hAnsi="Arial" w:cs="Arial"/>
          <w:color w:val="000000" w:themeColor="text1"/>
          <w:sz w:val="22"/>
          <w:lang w:val="sr-Latn-ME"/>
        </w:rPr>
      </w:pPr>
    </w:p>
    <w:p w:rsidR="00626D61" w:rsidRPr="004263CE" w:rsidRDefault="00626D61">
      <w:pPr>
        <w:jc w:val="both"/>
        <w:rPr>
          <w:rFonts w:ascii="Arial" w:hAnsi="Arial" w:cs="Arial"/>
          <w:b/>
          <w:color w:val="000000" w:themeColor="text1"/>
          <w:sz w:val="22"/>
          <w:lang w:val="sr-Latn-ME"/>
        </w:rPr>
      </w:pPr>
      <w:r w:rsidRPr="004263CE">
        <w:rPr>
          <w:rFonts w:ascii="Arial" w:hAnsi="Arial" w:cs="Arial"/>
          <w:b/>
          <w:color w:val="000000" w:themeColor="text1"/>
          <w:sz w:val="22"/>
          <w:lang w:val="sr-Latn-ME"/>
        </w:rPr>
        <w:t>III</w:t>
      </w:r>
      <w:r w:rsidR="00702521" w:rsidRPr="004263CE">
        <w:rPr>
          <w:rFonts w:ascii="Arial" w:hAnsi="Arial" w:cs="Arial"/>
          <w:b/>
          <w:color w:val="000000" w:themeColor="text1"/>
          <w:sz w:val="22"/>
          <w:lang w:val="sr-Latn-ME"/>
        </w:rPr>
        <w:t>. Zaštita od vještačkog optičkog zračenja</w:t>
      </w:r>
    </w:p>
    <w:p w:rsidR="006551B3" w:rsidRPr="004263CE" w:rsidRDefault="00702521">
      <w:pPr>
        <w:jc w:val="both"/>
        <w:rPr>
          <w:rFonts w:ascii="Arial" w:hAnsi="Arial" w:cs="Arial"/>
          <w:color w:val="000000" w:themeColor="text1"/>
          <w:sz w:val="22"/>
          <w:lang w:val="sr-Latn-ME"/>
        </w:rPr>
      </w:pPr>
      <w:r w:rsidRPr="004263CE">
        <w:rPr>
          <w:rFonts w:ascii="Arial" w:hAnsi="Arial" w:cs="Arial"/>
          <w:color w:val="000000" w:themeColor="text1"/>
          <w:sz w:val="22"/>
          <w:lang w:val="sr-Latn-ME"/>
        </w:rPr>
        <w:t>Predlogom se uređuje da se izvori koherentnog i nekoherentnog vještačkog optičkog zračenja ne mogu koristiti ako emituju zračenje iznad graničnih vrijednosti izloženosti utvrđenih radi sigurnosti i zaštite zdravlja izloženih lica i drugih lica, posebno od štetnih uticaja na oči i kožu.</w:t>
      </w:r>
    </w:p>
    <w:p w:rsidR="006551B3" w:rsidRPr="004263CE" w:rsidRDefault="00702521">
      <w:pPr>
        <w:jc w:val="both"/>
        <w:rPr>
          <w:rFonts w:ascii="Arial" w:hAnsi="Arial" w:cs="Arial"/>
          <w:color w:val="000000" w:themeColor="text1"/>
          <w:sz w:val="22"/>
          <w:lang w:val="sr-Latn-ME"/>
        </w:rPr>
      </w:pPr>
      <w:r w:rsidRPr="004263CE">
        <w:rPr>
          <w:rFonts w:ascii="Arial" w:hAnsi="Arial" w:cs="Arial"/>
          <w:color w:val="000000" w:themeColor="text1"/>
          <w:sz w:val="22"/>
          <w:lang w:val="sr-Latn-ME"/>
        </w:rPr>
        <w:t>Propisuje se da način određivanja, procjene, mjerenja i/ili proračuna izloženosti vještačkom optičkom zračenju, kao i granične vrijednosti izloženosti, uključujući izloženost očiju i kože, propisuje Ministarstvo</w:t>
      </w:r>
      <w:r w:rsidR="000324F8" w:rsidRPr="004263CE">
        <w:rPr>
          <w:rFonts w:ascii="Arial" w:hAnsi="Arial" w:cs="Arial"/>
          <w:color w:val="000000" w:themeColor="text1"/>
          <w:sz w:val="22"/>
          <w:lang w:val="sr-Latn-ME"/>
        </w:rPr>
        <w:t xml:space="preserve"> ekologije, održivog razvoja i razvoja sjevera</w:t>
      </w:r>
      <w:r w:rsidR="00007C46" w:rsidRPr="004263CE">
        <w:rPr>
          <w:rFonts w:ascii="Arial" w:hAnsi="Arial" w:cs="Arial"/>
          <w:color w:val="000000" w:themeColor="text1"/>
          <w:sz w:val="22"/>
          <w:lang w:val="sr-Latn-ME"/>
        </w:rPr>
        <w:t xml:space="preserve"> (u daljem tekstu: Ministarstvo)</w:t>
      </w:r>
      <w:r w:rsidRPr="004263CE">
        <w:rPr>
          <w:rFonts w:ascii="Arial" w:hAnsi="Arial" w:cs="Arial"/>
          <w:color w:val="000000" w:themeColor="text1"/>
          <w:sz w:val="22"/>
          <w:lang w:val="sr-Latn-ME"/>
        </w:rPr>
        <w:t xml:space="preserve"> u skladu sa međunarodnim naučnim standardima i relevantnim smjernicama Evropske komisije.</w:t>
      </w:r>
    </w:p>
    <w:p w:rsidR="00626D61" w:rsidRPr="004263CE" w:rsidRDefault="00626D61">
      <w:pPr>
        <w:jc w:val="both"/>
        <w:rPr>
          <w:rFonts w:ascii="Arial" w:hAnsi="Arial" w:cs="Arial"/>
          <w:b/>
          <w:color w:val="000000" w:themeColor="text1"/>
          <w:sz w:val="22"/>
          <w:lang w:val="sr-Latn-ME"/>
        </w:rPr>
      </w:pPr>
    </w:p>
    <w:p w:rsidR="00626D61" w:rsidRPr="004263CE" w:rsidRDefault="00626D61">
      <w:pPr>
        <w:jc w:val="both"/>
        <w:rPr>
          <w:rFonts w:ascii="Arial" w:hAnsi="Arial" w:cs="Arial"/>
          <w:b/>
          <w:color w:val="000000" w:themeColor="text1"/>
          <w:sz w:val="22"/>
          <w:lang w:val="sr-Latn-ME"/>
        </w:rPr>
      </w:pPr>
      <w:r w:rsidRPr="004263CE">
        <w:rPr>
          <w:rFonts w:ascii="Arial" w:hAnsi="Arial" w:cs="Arial"/>
          <w:b/>
          <w:color w:val="000000" w:themeColor="text1"/>
          <w:sz w:val="22"/>
          <w:lang w:val="sr-Latn-ME"/>
        </w:rPr>
        <w:t>IV</w:t>
      </w:r>
      <w:r w:rsidR="00702521" w:rsidRPr="004263CE">
        <w:rPr>
          <w:rFonts w:ascii="Arial" w:hAnsi="Arial" w:cs="Arial"/>
          <w:b/>
          <w:color w:val="000000" w:themeColor="text1"/>
          <w:sz w:val="22"/>
          <w:lang w:val="sr-Latn-ME"/>
        </w:rPr>
        <w:t>. Procjena rizika</w:t>
      </w:r>
    </w:p>
    <w:p w:rsidR="006551B3" w:rsidRPr="004263CE" w:rsidRDefault="00702521">
      <w:pPr>
        <w:jc w:val="both"/>
        <w:rPr>
          <w:rFonts w:ascii="Arial" w:hAnsi="Arial" w:cs="Arial"/>
          <w:color w:val="000000" w:themeColor="text1"/>
          <w:sz w:val="22"/>
          <w:lang w:val="sr-Latn-ME"/>
        </w:rPr>
      </w:pPr>
      <w:r w:rsidRPr="004263CE">
        <w:rPr>
          <w:rFonts w:ascii="Arial" w:hAnsi="Arial" w:cs="Arial"/>
          <w:color w:val="000000" w:themeColor="text1"/>
          <w:sz w:val="22"/>
          <w:lang w:val="sr-Latn-ME"/>
        </w:rPr>
        <w:t>Procjena rizika uređuje se kao ključni institut za upravljanje rizicima od izloženosti elektromagnetnim poljima i vještačkom optičkom zračenju. Imalac izvora nejonizujućih zračenja dužan je da izradi procjenu rizika izloženosti izloženih lica i lica odgovornih za sprovođenje mjera zaštite od nejonizujućih zračenja elektromagnetnom polju i vještačkom optičkom zračenju.</w:t>
      </w:r>
    </w:p>
    <w:p w:rsidR="006551B3" w:rsidRPr="004263CE" w:rsidRDefault="00702521">
      <w:pPr>
        <w:jc w:val="both"/>
        <w:rPr>
          <w:rFonts w:ascii="Arial" w:hAnsi="Arial" w:cs="Arial"/>
          <w:color w:val="000000" w:themeColor="text1"/>
          <w:sz w:val="22"/>
          <w:lang w:val="sr-Latn-ME"/>
        </w:rPr>
      </w:pPr>
      <w:r w:rsidRPr="004263CE">
        <w:rPr>
          <w:rFonts w:ascii="Arial" w:hAnsi="Arial" w:cs="Arial"/>
          <w:color w:val="000000" w:themeColor="text1"/>
          <w:sz w:val="22"/>
          <w:lang w:val="sr-Latn-ME"/>
        </w:rPr>
        <w:t>Procjena rizika obuhvata procjenu, mjerenje i/ili proračun nivoa izlaganja radi utvrđivanja mjera za otklanjanje ili smanjenje rizika po sigurnost i zdravlje izloženih lica i lica odgovornih za sprovođenje mjera zaštite. Kada usklađenost sa graničnim vrijednostima izloženosti nije moguće pouzdano utvrditi na osnovu lako dostupnih informacija, procjena se vrši mjerenjem i/ili proračunom, uz uzimanje u obzir nesigurnosti, numeričkih grešaka, modelovanja izvora, relevantnih tehničkih parametara i međunarodno prihvaćene dobre prakse.</w:t>
      </w:r>
    </w:p>
    <w:p w:rsidR="006551B3" w:rsidRPr="004263CE" w:rsidRDefault="00702521">
      <w:pPr>
        <w:jc w:val="both"/>
        <w:rPr>
          <w:rFonts w:ascii="Arial" w:hAnsi="Arial" w:cs="Arial"/>
          <w:color w:val="000000" w:themeColor="text1"/>
          <w:sz w:val="22"/>
          <w:lang w:val="sr-Latn-ME"/>
        </w:rPr>
      </w:pPr>
      <w:r w:rsidRPr="004263CE">
        <w:rPr>
          <w:rFonts w:ascii="Arial" w:hAnsi="Arial" w:cs="Arial"/>
          <w:color w:val="000000" w:themeColor="text1"/>
          <w:sz w:val="22"/>
          <w:lang w:val="sr-Latn-ME"/>
        </w:rPr>
        <w:t>Procjena rizika izrađuje se od strane ovlašćenog stručnog lica, u odgovarajućim vremenskim intervalima, uz obezbjeđivanje konsultovanja i učešća izloženih lica i njihovih predstavnika u pitanjima sigurnosti i zdravlja na radu. Propisuje se i obaveza čuvanja podataka iz procjene rizika u pisanom i elektronskom obliku, na način koji obezbjeđuje njihovu sledljivost i dostupnost za naknadni uvid, uz poštovanje propisa o zaštiti podataka o ličnosti, povjerljivosti i čuvanju dokumentacije.</w:t>
      </w:r>
    </w:p>
    <w:p w:rsidR="006551B3" w:rsidRPr="004263CE" w:rsidRDefault="00702521">
      <w:pPr>
        <w:jc w:val="both"/>
        <w:rPr>
          <w:rFonts w:ascii="Arial" w:hAnsi="Arial" w:cs="Arial"/>
          <w:color w:val="000000" w:themeColor="text1"/>
          <w:sz w:val="22"/>
          <w:lang w:val="sr-Latn-ME"/>
        </w:rPr>
      </w:pPr>
      <w:r w:rsidRPr="004263CE">
        <w:rPr>
          <w:rFonts w:ascii="Arial" w:hAnsi="Arial" w:cs="Arial"/>
          <w:color w:val="000000" w:themeColor="text1"/>
          <w:sz w:val="22"/>
          <w:lang w:val="sr-Latn-ME"/>
        </w:rPr>
        <w:t>Operater je dužan da redovno revidira procjenu rizika, naročito u slučaju značajnih promjena uslova rada, kada to zahtijevaju rezultati zdravstvenog nadzora ili kada postojeće preventivne mjere više nijesu odgovarajuće. Bliži sadržaj procjene rizika propisuje Ministarstvo.</w:t>
      </w:r>
    </w:p>
    <w:p w:rsidR="00626D61" w:rsidRPr="004263CE" w:rsidRDefault="00626D61">
      <w:pPr>
        <w:jc w:val="both"/>
        <w:rPr>
          <w:rFonts w:ascii="Arial" w:hAnsi="Arial" w:cs="Arial"/>
          <w:b/>
          <w:color w:val="000000" w:themeColor="text1"/>
          <w:sz w:val="22"/>
          <w:lang w:val="sr-Latn-ME"/>
        </w:rPr>
      </w:pPr>
    </w:p>
    <w:p w:rsidR="00626D61" w:rsidRPr="004263CE" w:rsidRDefault="00626D61">
      <w:pPr>
        <w:jc w:val="both"/>
        <w:rPr>
          <w:rFonts w:ascii="Arial" w:hAnsi="Arial" w:cs="Arial"/>
          <w:b/>
          <w:color w:val="000000" w:themeColor="text1"/>
          <w:sz w:val="22"/>
          <w:lang w:val="sr-Latn-ME"/>
        </w:rPr>
      </w:pPr>
      <w:r w:rsidRPr="004263CE">
        <w:rPr>
          <w:rFonts w:ascii="Arial" w:hAnsi="Arial" w:cs="Arial"/>
          <w:b/>
          <w:color w:val="000000" w:themeColor="text1"/>
          <w:sz w:val="22"/>
          <w:lang w:val="sr-Latn-ME"/>
        </w:rPr>
        <w:t>V</w:t>
      </w:r>
      <w:r w:rsidR="00702521" w:rsidRPr="004263CE">
        <w:rPr>
          <w:rFonts w:ascii="Arial" w:hAnsi="Arial" w:cs="Arial"/>
          <w:b/>
          <w:color w:val="000000" w:themeColor="text1"/>
          <w:sz w:val="22"/>
          <w:lang w:val="sr-Latn-ME"/>
        </w:rPr>
        <w:t>. Mjere za uklanjanje i smanjivanje rizika</w:t>
      </w:r>
    </w:p>
    <w:p w:rsidR="006551B3" w:rsidRPr="004263CE" w:rsidRDefault="00702521">
      <w:pPr>
        <w:jc w:val="both"/>
        <w:rPr>
          <w:rFonts w:ascii="Arial" w:hAnsi="Arial" w:cs="Arial"/>
          <w:color w:val="000000" w:themeColor="text1"/>
          <w:sz w:val="22"/>
          <w:lang w:val="sr-Latn-ME"/>
        </w:rPr>
      </w:pPr>
      <w:r w:rsidRPr="004263CE">
        <w:rPr>
          <w:rFonts w:ascii="Arial" w:hAnsi="Arial" w:cs="Arial"/>
          <w:color w:val="000000" w:themeColor="text1"/>
          <w:sz w:val="22"/>
          <w:lang w:val="sr-Latn-ME"/>
        </w:rPr>
        <w:t>Predlogom zakona propisuje se obaveza operatera da obezbijedi mjere zaštite i zdravlja na radu koje se planiraju i obezbjeđuju u svim procesima rada, radi sprečavanja ili smanjivanja rizika po život i zdravlje izloženih lica i lica odgovornih za sprovođenje mjera zaštite od nejonizujućih zračenja u vezi sa izloženošću rizicima koji nastaju usljed primjene vještačkih optičkih zračenja i elektromagnetnih polja.</w:t>
      </w:r>
    </w:p>
    <w:p w:rsidR="006551B3" w:rsidRPr="004263CE" w:rsidRDefault="00702521">
      <w:pPr>
        <w:jc w:val="both"/>
        <w:rPr>
          <w:rFonts w:ascii="Arial" w:hAnsi="Arial" w:cs="Arial"/>
          <w:color w:val="000000" w:themeColor="text1"/>
          <w:sz w:val="22"/>
          <w:lang w:val="sr-Latn-ME"/>
        </w:rPr>
      </w:pPr>
      <w:r w:rsidRPr="004263CE">
        <w:rPr>
          <w:rFonts w:ascii="Arial" w:hAnsi="Arial" w:cs="Arial"/>
          <w:color w:val="000000" w:themeColor="text1"/>
          <w:sz w:val="22"/>
          <w:lang w:val="sr-Latn-ME"/>
        </w:rPr>
        <w:t>Ako se na osnovu procjene rizika utvrdi da su vrijednosti upozorenja za elektromagnetno polje iznad dozvoljenih, odnosno da postoji bilo koja mogućnost prekoračenja graničnih vrijednosti izloženosti vještačkom optičkom zračenju, imalac izvora nejonizujućih zračenja dužan je da izradi i sprovede akcioni program o sprovođenju mjera zaštite.</w:t>
      </w:r>
    </w:p>
    <w:p w:rsidR="006551B3" w:rsidRPr="004263CE" w:rsidRDefault="00702521">
      <w:pPr>
        <w:jc w:val="both"/>
        <w:rPr>
          <w:rFonts w:ascii="Arial" w:hAnsi="Arial" w:cs="Arial"/>
          <w:color w:val="000000" w:themeColor="text1"/>
          <w:sz w:val="22"/>
          <w:lang w:val="sr-Latn-ME"/>
        </w:rPr>
      </w:pPr>
      <w:r w:rsidRPr="004263CE">
        <w:rPr>
          <w:rFonts w:ascii="Arial" w:hAnsi="Arial" w:cs="Arial"/>
          <w:color w:val="000000" w:themeColor="text1"/>
          <w:sz w:val="22"/>
          <w:lang w:val="sr-Latn-ME"/>
        </w:rPr>
        <w:t>Akcioni program obuhvata tehničke i/ili organizacione mjere zasnovane na opštim principima prevencije, radi sprečavanja izloženosti iznad graničnih vrijednosti i radi otklanjanja ili svođenja na najmanju moguću mjeru rizika koji proizlaze iz izloženosti nejonizujućim zračenjima, uključujući rizike po naročito osjetljiva izložena lica i rizike nastale usljed indirektnih efekata.</w:t>
      </w:r>
    </w:p>
    <w:p w:rsidR="006551B3" w:rsidRPr="004263CE" w:rsidRDefault="00702521">
      <w:pPr>
        <w:jc w:val="both"/>
        <w:rPr>
          <w:rFonts w:ascii="Arial" w:hAnsi="Arial" w:cs="Arial"/>
          <w:color w:val="000000" w:themeColor="text1"/>
          <w:sz w:val="22"/>
          <w:lang w:val="sr-Latn-ME"/>
        </w:rPr>
      </w:pPr>
      <w:r w:rsidRPr="004263CE">
        <w:rPr>
          <w:rFonts w:ascii="Arial" w:hAnsi="Arial" w:cs="Arial"/>
          <w:color w:val="000000" w:themeColor="text1"/>
          <w:sz w:val="22"/>
          <w:lang w:val="sr-Latn-ME"/>
        </w:rPr>
        <w:t>Predlogom se dodatno propisuje obaveza utvrđivanja, evidentiranja i čuvanja razloga prekoračenja vrijednosti upozorenja ili graničnih vrijednosti izloženosti, obaveza izmjene i unapređenja zaštitnih i preventivnih mjera, prilagođavanje mjera potrebama naročito osjetljivih izloženih lica, kao i obaveza identifikovanja i označavanja radnih mjesta na kojima postoji mogućnost izloženosti iznad graničnih vrijednosti.</w:t>
      </w:r>
    </w:p>
    <w:p w:rsidR="00626D61" w:rsidRPr="004263CE" w:rsidRDefault="00626D61">
      <w:pPr>
        <w:jc w:val="both"/>
        <w:rPr>
          <w:rFonts w:ascii="Arial" w:hAnsi="Arial" w:cs="Arial"/>
          <w:b/>
          <w:color w:val="000000" w:themeColor="text1"/>
          <w:sz w:val="22"/>
          <w:lang w:val="sr-Latn-ME"/>
        </w:rPr>
      </w:pPr>
    </w:p>
    <w:p w:rsidR="00626D61" w:rsidRPr="004263CE" w:rsidRDefault="00626D61">
      <w:pPr>
        <w:jc w:val="both"/>
        <w:rPr>
          <w:rFonts w:ascii="Arial" w:hAnsi="Arial" w:cs="Arial"/>
          <w:b/>
          <w:color w:val="000000" w:themeColor="text1"/>
          <w:sz w:val="22"/>
          <w:lang w:val="sr-Latn-ME"/>
        </w:rPr>
      </w:pPr>
      <w:r w:rsidRPr="004263CE">
        <w:rPr>
          <w:rFonts w:ascii="Arial" w:hAnsi="Arial" w:cs="Arial"/>
          <w:b/>
          <w:color w:val="000000" w:themeColor="text1"/>
          <w:sz w:val="22"/>
          <w:lang w:val="sr-Latn-ME"/>
        </w:rPr>
        <w:t>VI</w:t>
      </w:r>
      <w:r w:rsidR="00702521" w:rsidRPr="004263CE">
        <w:rPr>
          <w:rFonts w:ascii="Arial" w:hAnsi="Arial" w:cs="Arial"/>
          <w:b/>
          <w:color w:val="000000" w:themeColor="text1"/>
          <w:sz w:val="22"/>
          <w:lang w:val="sr-Latn-ME"/>
        </w:rPr>
        <w:t>. Informisanje, obuka, konsultovanje i zdravstveni nadzor</w:t>
      </w:r>
    </w:p>
    <w:p w:rsidR="006551B3" w:rsidRPr="004263CE" w:rsidRDefault="00702521">
      <w:pPr>
        <w:jc w:val="both"/>
        <w:rPr>
          <w:rFonts w:ascii="Arial" w:hAnsi="Arial" w:cs="Arial"/>
          <w:color w:val="000000" w:themeColor="text1"/>
          <w:sz w:val="22"/>
          <w:lang w:val="sr-Latn-ME"/>
        </w:rPr>
      </w:pPr>
      <w:r w:rsidRPr="004263CE">
        <w:rPr>
          <w:rFonts w:ascii="Arial" w:hAnsi="Arial" w:cs="Arial"/>
          <w:color w:val="000000" w:themeColor="text1"/>
          <w:sz w:val="22"/>
          <w:lang w:val="sr-Latn-ME"/>
        </w:rPr>
        <w:t>Predlogom zakona detaljnije se uređuju obaveze operatera u pogledu obavještavanja izloženih lica, lica odgovornih za sprovođenje mjera zaštite i lica koja povremeno obavljaju poslove, a koja su izložena rizicima izlaganja elektromagnetnom polju i vještačkom optičkom zračenju na radu, o rezultatima procjene rizika i mjerama zaštite.</w:t>
      </w:r>
    </w:p>
    <w:p w:rsidR="006551B3" w:rsidRPr="004263CE" w:rsidRDefault="00702521">
      <w:pPr>
        <w:jc w:val="both"/>
        <w:rPr>
          <w:rFonts w:ascii="Arial" w:hAnsi="Arial" w:cs="Arial"/>
          <w:color w:val="000000" w:themeColor="text1"/>
          <w:sz w:val="22"/>
          <w:lang w:val="sr-Latn-ME"/>
        </w:rPr>
      </w:pPr>
      <w:r w:rsidRPr="004263CE">
        <w:rPr>
          <w:rFonts w:ascii="Arial" w:hAnsi="Arial" w:cs="Arial"/>
          <w:color w:val="000000" w:themeColor="text1"/>
          <w:sz w:val="22"/>
          <w:lang w:val="sr-Latn-ME"/>
        </w:rPr>
        <w:t>Operater je dužan da obezbijedi konsultovanje, učešće u raspravama i pristup relevantnim informacijama izloženim licima, licima odgovornim za sprovođenje mjera zaštite, njihovim predstavnicima i reprezentativnim sindikatima, o svim pitanjima sigurnosti i zdravlja na radu koja proizlaze iz izloženosti nejonizujućim zračenjima.</w:t>
      </w:r>
    </w:p>
    <w:p w:rsidR="006551B3" w:rsidRPr="004263CE" w:rsidRDefault="00702521">
      <w:pPr>
        <w:jc w:val="both"/>
        <w:rPr>
          <w:rFonts w:ascii="Arial" w:hAnsi="Arial" w:cs="Arial"/>
          <w:color w:val="000000" w:themeColor="text1"/>
          <w:sz w:val="22"/>
          <w:lang w:val="sr-Latn-ME"/>
        </w:rPr>
      </w:pPr>
      <w:r w:rsidRPr="004263CE">
        <w:rPr>
          <w:rFonts w:ascii="Arial" w:hAnsi="Arial" w:cs="Arial"/>
          <w:color w:val="000000" w:themeColor="text1"/>
          <w:sz w:val="22"/>
          <w:lang w:val="sr-Latn-ME"/>
        </w:rPr>
        <w:t>Zdravstvena ustanova, doktor medicine rada ili nadležni organ odgovoran za zdravstveni nadzor treba da imaju pristup aktu o procjeni rizika, podacima o izloženosti, rezultatima mjerenja i drugim podacima relevantnim za procjenu i praćenje zdravstvenog stanja izloženih lica i lica odgovornih za sprovođenje mjera zaštite.</w:t>
      </w:r>
    </w:p>
    <w:p w:rsidR="006551B3" w:rsidRPr="004263CE" w:rsidRDefault="00702521">
      <w:pPr>
        <w:jc w:val="both"/>
        <w:rPr>
          <w:rFonts w:ascii="Arial" w:hAnsi="Arial" w:cs="Arial"/>
          <w:color w:val="000000" w:themeColor="text1"/>
          <w:sz w:val="22"/>
          <w:lang w:val="sr-Latn-ME"/>
        </w:rPr>
      </w:pPr>
      <w:r w:rsidRPr="004263CE">
        <w:rPr>
          <w:rFonts w:ascii="Arial" w:hAnsi="Arial" w:cs="Arial"/>
          <w:color w:val="000000" w:themeColor="text1"/>
          <w:sz w:val="22"/>
          <w:lang w:val="sr-Latn-ME"/>
        </w:rPr>
        <w:t>Ako zdravstveni nadzor, ljekarski pregledi, incidenti ili izloženost iznad propisanih graničnih vrijednosti ukažu na rizike po zdravlje ili sigurnost, odnosno ako izloženo lice ili lice odgovorno za sprovođenje mjera zaštite prijavi privremene simptome ili neočekivane zdravstvene efekte povezane sa izloženošću nejonizujućim zračenjima, operater je dužan da obezbijedi ljekarske preglede, preispita i revidira procjenu rizika, akcioni program i zaštitne mjere, sprovede preporuke stručnjaka medicine rada, kvalifikovanih eksperata ili nadležnih organa i obezbijedi dalji zdravstveni nadzor.</w:t>
      </w:r>
    </w:p>
    <w:p w:rsidR="006551B3" w:rsidRPr="004263CE" w:rsidRDefault="00702521">
      <w:pPr>
        <w:jc w:val="both"/>
        <w:rPr>
          <w:rFonts w:ascii="Arial" w:hAnsi="Arial" w:cs="Arial"/>
          <w:color w:val="000000" w:themeColor="text1"/>
          <w:sz w:val="22"/>
          <w:lang w:val="sr-Latn-ME"/>
        </w:rPr>
      </w:pPr>
      <w:r w:rsidRPr="004263CE">
        <w:rPr>
          <w:rFonts w:ascii="Arial" w:hAnsi="Arial" w:cs="Arial"/>
          <w:color w:val="000000" w:themeColor="text1"/>
          <w:sz w:val="22"/>
          <w:lang w:val="sr-Latn-ME"/>
        </w:rPr>
        <w:t>Izložena lica i lica odgovorna za sprovođenje mjera zaštite imaju pravo da, na svoj zahtjev, pristupe sopstvenim podacima iz zdravstvene evidencije, informacijama o rezultatima zdravstvenog nadzora i preporukama za dalje zdravstveno praćenje nakon prestanka izloženosti, u skladu sa propisima o zaštiti podataka o ličnosti, pravima pacijenata i povjerljivosti medicinske dokumentacije. Zdravstveni pregledi i zdravstveni nadzor sprovode se tokom radnog vremena i bez troškova za ta lica.</w:t>
      </w:r>
    </w:p>
    <w:p w:rsidR="00626D61" w:rsidRPr="004263CE" w:rsidRDefault="00626D61">
      <w:pPr>
        <w:jc w:val="both"/>
        <w:rPr>
          <w:rFonts w:ascii="Arial" w:hAnsi="Arial" w:cs="Arial"/>
          <w:b/>
          <w:color w:val="000000" w:themeColor="text1"/>
          <w:sz w:val="22"/>
          <w:lang w:val="sr-Latn-ME"/>
        </w:rPr>
      </w:pPr>
    </w:p>
    <w:p w:rsidR="00626D61" w:rsidRPr="004263CE" w:rsidRDefault="00626D61">
      <w:pPr>
        <w:jc w:val="both"/>
        <w:rPr>
          <w:rFonts w:ascii="Arial" w:hAnsi="Arial" w:cs="Arial"/>
          <w:b/>
          <w:color w:val="000000" w:themeColor="text1"/>
          <w:sz w:val="22"/>
          <w:lang w:val="sr-Latn-ME"/>
        </w:rPr>
      </w:pPr>
      <w:r w:rsidRPr="004263CE">
        <w:rPr>
          <w:rFonts w:ascii="Arial" w:hAnsi="Arial" w:cs="Arial"/>
          <w:b/>
          <w:color w:val="000000" w:themeColor="text1"/>
          <w:sz w:val="22"/>
          <w:lang w:val="sr-Latn-ME"/>
        </w:rPr>
        <w:t>VII</w:t>
      </w:r>
      <w:r w:rsidR="00702521" w:rsidRPr="004263CE">
        <w:rPr>
          <w:rFonts w:ascii="Arial" w:hAnsi="Arial" w:cs="Arial"/>
          <w:b/>
          <w:color w:val="000000" w:themeColor="text1"/>
          <w:sz w:val="22"/>
          <w:lang w:val="sr-Latn-ME"/>
        </w:rPr>
        <w:t>. Nadzor i kaznene odredbe</w:t>
      </w:r>
    </w:p>
    <w:p w:rsidR="006551B3" w:rsidRPr="004263CE" w:rsidRDefault="00702521">
      <w:pPr>
        <w:jc w:val="both"/>
        <w:rPr>
          <w:rFonts w:ascii="Arial" w:hAnsi="Arial" w:cs="Arial"/>
          <w:color w:val="000000" w:themeColor="text1"/>
          <w:sz w:val="22"/>
          <w:lang w:val="sr-Latn-ME"/>
        </w:rPr>
      </w:pPr>
      <w:r w:rsidRPr="004263CE">
        <w:rPr>
          <w:rFonts w:ascii="Arial" w:hAnsi="Arial" w:cs="Arial"/>
          <w:color w:val="000000" w:themeColor="text1"/>
          <w:sz w:val="22"/>
          <w:lang w:val="sr-Latn-ME"/>
        </w:rPr>
        <w:t>Predlogom zakona vrši se terminološko usklađivanje u dijelu inspekcijskog nadzora, tako što se nadležnost „ekološke inspekcije” zamjenjuje nadležnošću „inspekcije za zaštitu od nejonizujućih zračenja”, a „ekološki inspektor” terminom „inspektor za zaštitu od nejonizujućih zračenja”.</w:t>
      </w:r>
    </w:p>
    <w:p w:rsidR="006551B3" w:rsidRPr="004263CE" w:rsidRDefault="00702521">
      <w:pPr>
        <w:jc w:val="both"/>
        <w:rPr>
          <w:rFonts w:ascii="Arial" w:hAnsi="Arial" w:cs="Arial"/>
          <w:color w:val="000000" w:themeColor="text1"/>
          <w:sz w:val="22"/>
          <w:lang w:val="sr-Latn-ME"/>
        </w:rPr>
      </w:pPr>
      <w:r w:rsidRPr="004263CE">
        <w:rPr>
          <w:rFonts w:ascii="Arial" w:hAnsi="Arial" w:cs="Arial"/>
          <w:color w:val="000000" w:themeColor="text1"/>
          <w:sz w:val="22"/>
          <w:lang w:val="sr-Latn-ME"/>
        </w:rPr>
        <w:t>Kaznene odredbe usklađuju se sa novim i dopunjenim obavezama koje se odnose na procjenu rizika, reviziju procjene rizika, izradu i sprovođenje akcionog programa, dodatne mjere u slučaju prekoračenja, evidentiranje razloga prekoračenja, prilagođavanje mjera naročito osjetljivim izloženim licima, informisanje i osposobljavanje, konsultovanje i učešće izloženih lica, pristup podacima relevantnim za zdravstveni nadzor i preduzimanje mjera u slučaju zdravstvenih efekata ili incidenata.</w:t>
      </w:r>
    </w:p>
    <w:p w:rsidR="006551B3" w:rsidRPr="004263CE" w:rsidRDefault="00702521">
      <w:pPr>
        <w:jc w:val="both"/>
        <w:rPr>
          <w:rFonts w:ascii="Arial" w:hAnsi="Arial" w:cs="Arial"/>
          <w:color w:val="000000" w:themeColor="text1"/>
          <w:sz w:val="22"/>
          <w:lang w:val="sr-Latn-ME"/>
        </w:rPr>
      </w:pPr>
      <w:r w:rsidRPr="004263CE">
        <w:rPr>
          <w:rFonts w:ascii="Arial" w:hAnsi="Arial" w:cs="Arial"/>
          <w:color w:val="000000" w:themeColor="text1"/>
          <w:sz w:val="22"/>
          <w:lang w:val="sr-Latn-ME"/>
        </w:rPr>
        <w:t>Predloženim zakonom povećavaju se rasponi novčanih kazni za pravna lica, odgovorna lica u pravnom licu, preduzetnike i fizička lica, radi obezbjeđivanja djelotvornije i odvraćajuće primjene zakona. Povećanje kazni ima preventivnu svrhu i ne planira se kao stabilan izvor prihoda budžeta.</w:t>
      </w:r>
    </w:p>
    <w:p w:rsidR="00626D61" w:rsidRPr="004263CE" w:rsidRDefault="00626D61">
      <w:pPr>
        <w:jc w:val="both"/>
        <w:rPr>
          <w:rFonts w:ascii="Arial" w:hAnsi="Arial" w:cs="Arial"/>
          <w:b/>
          <w:color w:val="000000" w:themeColor="text1"/>
          <w:sz w:val="22"/>
          <w:lang w:val="sr-Latn-ME"/>
        </w:rPr>
      </w:pPr>
    </w:p>
    <w:p w:rsidR="00AC4F37" w:rsidRPr="004263CE" w:rsidRDefault="00AC4F37">
      <w:pPr>
        <w:jc w:val="both"/>
        <w:rPr>
          <w:rFonts w:ascii="Arial" w:hAnsi="Arial" w:cs="Arial"/>
          <w:b/>
          <w:color w:val="000000" w:themeColor="text1"/>
          <w:sz w:val="22"/>
          <w:lang w:val="sr-Latn-ME"/>
        </w:rPr>
      </w:pPr>
    </w:p>
    <w:p w:rsidR="00AC4F37" w:rsidRPr="004263CE" w:rsidRDefault="00AC4F37">
      <w:pPr>
        <w:jc w:val="both"/>
        <w:rPr>
          <w:rFonts w:ascii="Arial" w:hAnsi="Arial" w:cs="Arial"/>
          <w:b/>
          <w:color w:val="000000" w:themeColor="text1"/>
          <w:sz w:val="22"/>
          <w:lang w:val="sr-Latn-ME"/>
        </w:rPr>
      </w:pPr>
    </w:p>
    <w:p w:rsidR="00AC4F37" w:rsidRPr="004263CE" w:rsidRDefault="00AC4F37">
      <w:pPr>
        <w:jc w:val="both"/>
        <w:rPr>
          <w:rFonts w:ascii="Arial" w:hAnsi="Arial" w:cs="Arial"/>
          <w:b/>
          <w:color w:val="000000" w:themeColor="text1"/>
          <w:sz w:val="22"/>
          <w:lang w:val="sr-Latn-ME"/>
        </w:rPr>
      </w:pPr>
    </w:p>
    <w:p w:rsidR="00626D61" w:rsidRPr="004263CE" w:rsidRDefault="00626D61">
      <w:pPr>
        <w:jc w:val="both"/>
        <w:rPr>
          <w:rFonts w:ascii="Arial" w:hAnsi="Arial" w:cs="Arial"/>
          <w:b/>
          <w:color w:val="000000" w:themeColor="text1"/>
          <w:sz w:val="22"/>
          <w:lang w:val="sr-Latn-ME"/>
        </w:rPr>
      </w:pPr>
      <w:r w:rsidRPr="004263CE">
        <w:rPr>
          <w:rFonts w:ascii="Arial" w:hAnsi="Arial" w:cs="Arial"/>
          <w:b/>
          <w:color w:val="000000" w:themeColor="text1"/>
          <w:sz w:val="22"/>
          <w:lang w:val="sr-Latn-ME"/>
        </w:rPr>
        <w:t>VIII</w:t>
      </w:r>
      <w:r w:rsidR="00702521" w:rsidRPr="004263CE">
        <w:rPr>
          <w:rFonts w:ascii="Arial" w:hAnsi="Arial" w:cs="Arial"/>
          <w:b/>
          <w:color w:val="000000" w:themeColor="text1"/>
          <w:sz w:val="22"/>
          <w:lang w:val="sr-Latn-ME"/>
        </w:rPr>
        <w:t>. Prelazne i završne odredbe</w:t>
      </w:r>
    </w:p>
    <w:p w:rsidR="006551B3" w:rsidRPr="004263CE" w:rsidRDefault="00702521">
      <w:pPr>
        <w:jc w:val="both"/>
        <w:rPr>
          <w:rFonts w:ascii="Arial" w:hAnsi="Arial" w:cs="Arial"/>
          <w:color w:val="000000" w:themeColor="text1"/>
          <w:sz w:val="22"/>
          <w:lang w:val="sr-Latn-ME"/>
        </w:rPr>
      </w:pPr>
      <w:r w:rsidRPr="004263CE">
        <w:rPr>
          <w:rFonts w:ascii="Arial" w:hAnsi="Arial" w:cs="Arial"/>
          <w:color w:val="000000" w:themeColor="text1"/>
          <w:sz w:val="22"/>
          <w:lang w:val="sr-Latn-ME"/>
        </w:rPr>
        <w:t>Prelaznim i završnim odredbama propisuje se rok za donošenje podzakonskih akata za sprovođenje ovog zakona od tri mjeseca od dana stupanja na snagu zakona. Takođe se propisuje rok od šest mjeseci od dana stupanja na snagu zakona u kojem su imaoci zatečenih izvora nejonizujućih zračenja dužni da usklade svoje poslovanje sa zakonom.</w:t>
      </w:r>
    </w:p>
    <w:p w:rsidR="006551B3" w:rsidRPr="004263CE" w:rsidRDefault="00702521">
      <w:pPr>
        <w:jc w:val="both"/>
        <w:rPr>
          <w:rFonts w:ascii="Arial" w:hAnsi="Arial" w:cs="Arial"/>
          <w:color w:val="000000" w:themeColor="text1"/>
          <w:sz w:val="22"/>
          <w:lang w:val="sr-Latn-ME"/>
        </w:rPr>
      </w:pPr>
      <w:r w:rsidRPr="004263CE">
        <w:rPr>
          <w:rFonts w:ascii="Arial" w:hAnsi="Arial" w:cs="Arial"/>
          <w:color w:val="000000" w:themeColor="text1"/>
          <w:sz w:val="22"/>
          <w:lang w:val="sr-Latn-ME"/>
        </w:rPr>
        <w:t>Propisuje se da zakon stupa na snagu osmog dana od dana objavljivanja u „Službenom listu Crne Gore”.</w:t>
      </w:r>
    </w:p>
    <w:p w:rsidR="00626D61" w:rsidRPr="004263CE" w:rsidRDefault="00626D61">
      <w:pPr>
        <w:pStyle w:val="Heading1"/>
        <w:rPr>
          <w:rFonts w:ascii="Arial" w:eastAsia="Times New Roman" w:hAnsi="Arial" w:cs="Arial"/>
          <w:color w:val="000000" w:themeColor="text1"/>
          <w:sz w:val="22"/>
          <w:szCs w:val="22"/>
          <w:lang w:val="sr-Latn-ME"/>
        </w:rPr>
      </w:pPr>
    </w:p>
    <w:p w:rsidR="00626D61" w:rsidRPr="004263CE" w:rsidRDefault="00702521" w:rsidP="00AC4F37">
      <w:pPr>
        <w:pStyle w:val="Heading1"/>
        <w:rPr>
          <w:rFonts w:ascii="Arial" w:hAnsi="Arial" w:cs="Arial"/>
          <w:color w:val="000000" w:themeColor="text1"/>
          <w:sz w:val="22"/>
          <w:szCs w:val="22"/>
          <w:lang w:val="sr-Latn-ME"/>
        </w:rPr>
      </w:pPr>
      <w:r w:rsidRPr="004263CE">
        <w:rPr>
          <w:rFonts w:ascii="Arial" w:eastAsia="Times New Roman" w:hAnsi="Arial" w:cs="Arial"/>
          <w:color w:val="000000" w:themeColor="text1"/>
          <w:sz w:val="22"/>
          <w:szCs w:val="22"/>
          <w:lang w:val="sr-Latn-ME"/>
        </w:rPr>
        <w:t>V. PROCJENA FINANSIJSKIH SREDSTAVA ZA SPROVOĐENJE ZAKONA</w:t>
      </w:r>
    </w:p>
    <w:p w:rsidR="006551B3" w:rsidRPr="004263CE" w:rsidRDefault="00702521">
      <w:pPr>
        <w:jc w:val="both"/>
        <w:rPr>
          <w:rFonts w:ascii="Arial" w:hAnsi="Arial" w:cs="Arial"/>
          <w:color w:val="000000" w:themeColor="text1"/>
          <w:sz w:val="22"/>
          <w:lang w:val="sr-Latn-ME"/>
        </w:rPr>
      </w:pPr>
      <w:r w:rsidRPr="004263CE">
        <w:rPr>
          <w:rFonts w:ascii="Arial" w:hAnsi="Arial" w:cs="Arial"/>
          <w:color w:val="000000" w:themeColor="text1"/>
          <w:sz w:val="22"/>
          <w:lang w:val="sr-Latn-ME"/>
        </w:rPr>
        <w:t>Predlog zakona ne uvodi nove međunarodne finansijske obaveze, niti neposredno uvodi nove finansijske troškove za građane, privredu, mala i srednja preduzeća ili druge subjekte u odnosu na postojeće zakonsko rješenje. Troškovi koji mogu nastati u primjeni propisa proističu iz postojećeg sistema zaštite od nejonizujućih zračenja i zavise od vrste izvora nejonizujućih zračenja, stepena rizika, broja izloženih lica, dostupnosti tehničke dokumentacije, potrebe za mjerenjem i/ili proračunom i rezultata procjene rizika.</w:t>
      </w:r>
    </w:p>
    <w:p w:rsidR="006551B3" w:rsidRPr="004263CE" w:rsidRDefault="00702521">
      <w:pPr>
        <w:jc w:val="both"/>
        <w:rPr>
          <w:rFonts w:ascii="Arial" w:hAnsi="Arial" w:cs="Arial"/>
          <w:color w:val="000000" w:themeColor="text1"/>
          <w:sz w:val="22"/>
          <w:lang w:val="sr-Latn-ME"/>
        </w:rPr>
      </w:pPr>
      <w:r w:rsidRPr="004263CE">
        <w:rPr>
          <w:rFonts w:ascii="Arial" w:hAnsi="Arial" w:cs="Arial"/>
          <w:color w:val="000000" w:themeColor="text1"/>
          <w:sz w:val="22"/>
          <w:lang w:val="sr-Latn-ME"/>
        </w:rPr>
        <w:t>Za djelotvornu primjenu zakonskog okvira potrebno je obezbijediti odgovarajuće administrativne, stručne i inspekcijske kapacitete nadležnih organa. Imajući u vidu obim i složenost poslova u oblasti zaštite od nejonizujućih zračenja, koji obuhvataju praćenje stanja, pripremu i sprovođenje propisa, komunikaciju i informisanje obveznika, praćenje primjene mjera zaštite, postupanje po prijavama, inspekcijski nadzor i druge stručne aktivnosti, neophodno je kontinuirano jačanje kapaciteta Ministarstva ekologije, održivog razvoja i razvoja sjevera i Agencije za zaštitu životne sredine, uključujući stručno usavršavanje, obuke i, po potrebi, dodatno kadrovsko angažovanje.</w:t>
      </w:r>
    </w:p>
    <w:p w:rsidR="006551B3" w:rsidRPr="004263CE" w:rsidRDefault="00702521">
      <w:pPr>
        <w:jc w:val="both"/>
        <w:rPr>
          <w:rFonts w:ascii="Arial" w:hAnsi="Arial" w:cs="Arial"/>
          <w:color w:val="000000" w:themeColor="text1"/>
          <w:sz w:val="22"/>
          <w:lang w:val="sr-Latn-ME"/>
        </w:rPr>
      </w:pPr>
      <w:r w:rsidRPr="004263CE">
        <w:rPr>
          <w:rFonts w:ascii="Arial" w:hAnsi="Arial" w:cs="Arial"/>
          <w:color w:val="000000" w:themeColor="text1"/>
          <w:sz w:val="22"/>
          <w:lang w:val="sr-Latn-ME"/>
        </w:rPr>
        <w:t>Finansijski uticaj na Budžet Crne Gore zavisiće od obima mjera koje će biti potrebne za jačanje kapaciteta nadležnih organa. Ukoliko se u toku primjene zakona ocijeni da su potrebne dodatne obuke, oprema, stručno-tehnička podrška ili dodatno kadrovsko angažovanje, sredstva će se planirati kroz budžet nadležne potrošačke jedinice, u skladu sa propisima kojima se uređuje budžetsko planiranje.</w:t>
      </w:r>
    </w:p>
    <w:p w:rsidR="006551B3" w:rsidRPr="004263CE" w:rsidRDefault="00702521">
      <w:pPr>
        <w:jc w:val="both"/>
        <w:rPr>
          <w:rFonts w:ascii="Arial" w:hAnsi="Arial" w:cs="Arial"/>
          <w:color w:val="000000" w:themeColor="text1"/>
          <w:sz w:val="22"/>
          <w:lang w:val="sr-Latn-ME"/>
        </w:rPr>
      </w:pPr>
      <w:r w:rsidRPr="004263CE">
        <w:rPr>
          <w:rFonts w:ascii="Arial" w:hAnsi="Arial" w:cs="Arial"/>
          <w:color w:val="000000" w:themeColor="text1"/>
          <w:sz w:val="22"/>
          <w:lang w:val="sr-Latn-ME"/>
        </w:rPr>
        <w:t>Donošenje podzakonskih akata predviđenih ovim zakonom vršiće se u okviru redovnih nadležnosti Ministarstva i ne podrazumijeva automatsko stvaranje novih finansijskih obaveza. Prihodovni efekat po osnovu prekršajnih kazni moguć je samo u slučaju povreda zakona, ali se kazne ne planiraju kao stabilan izvor prihoda, jer je njihova svrha prevencija, odvraćanje od povreda zakona i obezbjeđivanje djelotvorne primjene propisanih mjera zaštite.</w:t>
      </w:r>
    </w:p>
    <w:p w:rsidR="006551B3" w:rsidRPr="004263CE" w:rsidRDefault="00702521">
      <w:pPr>
        <w:jc w:val="both"/>
        <w:rPr>
          <w:rFonts w:ascii="Arial" w:hAnsi="Arial" w:cs="Arial"/>
          <w:color w:val="000000" w:themeColor="text1"/>
          <w:sz w:val="22"/>
          <w:lang w:val="sr-Latn-ME"/>
        </w:rPr>
      </w:pPr>
      <w:r w:rsidRPr="004263CE">
        <w:rPr>
          <w:rFonts w:ascii="Arial" w:hAnsi="Arial" w:cs="Arial"/>
          <w:color w:val="000000" w:themeColor="text1"/>
          <w:sz w:val="22"/>
          <w:lang w:val="sr-Latn-ME"/>
        </w:rPr>
        <w:t>Pozitivne posljedice donošenja propisa opravdavaju troškove koje propis može stvoriti, jer se radi o zaštiti zdravlja, sigurnosti i bezbjednosti izloženih lica i stanovništva, prevenciji štetnih uticaja nejonizujućih zračenja, uspostavljanju djelotvornijeg sistema nadzora i odgovornosti i daljem usklađivanju nacionalnog zakonodavstva sa pravnom tekovinom Evropske unije.</w:t>
      </w:r>
    </w:p>
    <w:sectPr w:rsidR="006551B3" w:rsidRPr="004263CE" w:rsidSect="00034616">
      <w:footerReference w:type="default" r:id="rId8"/>
      <w:pgSz w:w="12240" w:h="15840"/>
      <w:pgMar w:top="1134" w:right="1134" w:bottom="1134"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B4114" w:rsidRDefault="007B4114">
      <w:pPr>
        <w:spacing w:after="0"/>
      </w:pPr>
      <w:r>
        <w:separator/>
      </w:r>
    </w:p>
  </w:endnote>
  <w:endnote w:type="continuationSeparator" w:id="0">
    <w:p w:rsidR="007B4114" w:rsidRDefault="007B411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06C3" w:rsidRDefault="00E13335">
    <w:pPr>
      <w:pStyle w:val="Footer"/>
      <w:jc w:val="center"/>
    </w:pPr>
    <w:r>
      <w:fldChar w:fldCharType="begin"/>
    </w:r>
    <w:r>
      <w:instrText>PAGE</w:instrText>
    </w:r>
    <w:r>
      <w:fldChar w:fldCharType="separate"/>
    </w:r>
    <w:r w:rsidR="00E51285">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B4114" w:rsidRDefault="007B4114">
      <w:pPr>
        <w:spacing w:after="0"/>
      </w:pPr>
      <w:r>
        <w:separator/>
      </w:r>
    </w:p>
  </w:footnote>
  <w:footnote w:type="continuationSeparator" w:id="0">
    <w:p w:rsidR="007B4114" w:rsidRDefault="007B411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7C46"/>
    <w:rsid w:val="000324F8"/>
    <w:rsid w:val="00034616"/>
    <w:rsid w:val="0006063C"/>
    <w:rsid w:val="000F11E8"/>
    <w:rsid w:val="00117F3E"/>
    <w:rsid w:val="0015074B"/>
    <w:rsid w:val="001645F9"/>
    <w:rsid w:val="001907CB"/>
    <w:rsid w:val="001C1426"/>
    <w:rsid w:val="001F1195"/>
    <w:rsid w:val="002305AB"/>
    <w:rsid w:val="00250B2E"/>
    <w:rsid w:val="0029639D"/>
    <w:rsid w:val="002F343B"/>
    <w:rsid w:val="00326F90"/>
    <w:rsid w:val="003706C3"/>
    <w:rsid w:val="00384F45"/>
    <w:rsid w:val="00414A38"/>
    <w:rsid w:val="004263CE"/>
    <w:rsid w:val="004B6899"/>
    <w:rsid w:val="00626D61"/>
    <w:rsid w:val="006551B3"/>
    <w:rsid w:val="00674269"/>
    <w:rsid w:val="00702521"/>
    <w:rsid w:val="00736A73"/>
    <w:rsid w:val="00752226"/>
    <w:rsid w:val="007B4114"/>
    <w:rsid w:val="00842B04"/>
    <w:rsid w:val="00920A92"/>
    <w:rsid w:val="00AA1D8D"/>
    <w:rsid w:val="00AC4F37"/>
    <w:rsid w:val="00B34D6E"/>
    <w:rsid w:val="00B47730"/>
    <w:rsid w:val="00B74B5F"/>
    <w:rsid w:val="00B76A3A"/>
    <w:rsid w:val="00BA1E35"/>
    <w:rsid w:val="00BB09CA"/>
    <w:rsid w:val="00BE2AF2"/>
    <w:rsid w:val="00C200D9"/>
    <w:rsid w:val="00CB0664"/>
    <w:rsid w:val="00D32F48"/>
    <w:rsid w:val="00D51A78"/>
    <w:rsid w:val="00E13335"/>
    <w:rsid w:val="00E17A8F"/>
    <w:rsid w:val="00E51285"/>
    <w:rsid w:val="00F57AF2"/>
    <w:rsid w:val="00F6229E"/>
    <w:rsid w:val="00F96948"/>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3F2E736"/>
  <w14:defaultImageDpi w14:val="300"/>
  <w15:docId w15:val="{1DE667D8-E391-4C1B-ACD2-1870783BC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pPr>
      <w:spacing w:after="120" w:line="240" w:lineRule="auto"/>
    </w:pPr>
    <w:rPr>
      <w:rFonts w:ascii="Times New Roman" w:eastAsia="Times New Roman" w:hAnsi="Times New Roman"/>
      <w:sz w:val="24"/>
    </w:rPr>
  </w:style>
  <w:style w:type="paragraph" w:styleId="Heading1">
    <w:name w:val="heading 1"/>
    <w:basedOn w:val="Normal"/>
    <w:next w:val="Normal"/>
    <w:link w:val="Heading1Char"/>
    <w:uiPriority w:val="9"/>
    <w:qFormat/>
    <w:rsid w:val="00FC693F"/>
    <w:pPr>
      <w:keepNext/>
      <w:keepLines/>
      <w:spacing w:before="240"/>
      <w:outlineLvl w:val="0"/>
    </w:pPr>
    <w:rPr>
      <w:rFonts w:asciiTheme="majorHAnsi" w:eastAsiaTheme="majorEastAsia" w:hAnsiTheme="majorHAnsi" w:cstheme="majorBidi"/>
      <w:b/>
      <w:bCs/>
      <w:color w:val="365F91" w:themeColor="accent1" w:themeShade="BF"/>
      <w:sz w:val="26"/>
      <w:szCs w:val="28"/>
    </w:rPr>
  </w:style>
  <w:style w:type="paragraph" w:styleId="Heading2">
    <w:name w:val="heading 2"/>
    <w:basedOn w:val="Normal"/>
    <w:next w:val="Normal"/>
    <w:link w:val="Heading2Char"/>
    <w:uiPriority w:val="9"/>
    <w:unhideWhenUsed/>
    <w:qFormat/>
    <w:rsid w:val="00FC693F"/>
    <w:pPr>
      <w:keepNext/>
      <w:keepLines/>
      <w:spacing w:before="200"/>
      <w:outlineLvl w:val="1"/>
    </w:pPr>
    <w:rPr>
      <w:rFonts w:asciiTheme="majorHAnsi" w:eastAsiaTheme="majorEastAsia" w:hAnsiTheme="majorHAnsi" w:cstheme="majorBidi"/>
      <w:b/>
      <w:bCs/>
      <w:color w:val="4F81BD" w:themeColor="accent1"/>
      <w:szCs w:val="26"/>
    </w:rPr>
  </w:style>
  <w:style w:type="paragraph" w:styleId="Heading3">
    <w:name w:val="heading 3"/>
    <w:basedOn w:val="Normal"/>
    <w:next w:val="Normal"/>
    <w:link w:val="Heading3Char"/>
    <w:uiPriority w:val="9"/>
    <w:unhideWhenUsed/>
    <w:qFormat/>
    <w:rsid w:val="00FC693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ind w:left="360"/>
      <w:contextualSpacing/>
    </w:pPr>
  </w:style>
  <w:style w:type="paragraph" w:styleId="ListContinue2">
    <w:name w:val="List Continue 2"/>
    <w:basedOn w:val="Normal"/>
    <w:uiPriority w:val="99"/>
    <w:unhideWhenUsed/>
    <w:rsid w:val="0029639D"/>
    <w:pPr>
      <w:ind w:left="720"/>
      <w:contextualSpacing/>
    </w:pPr>
  </w:style>
  <w:style w:type="paragraph" w:styleId="ListContinue3">
    <w:name w:val="List Continue 3"/>
    <w:basedOn w:val="Normal"/>
    <w:uiPriority w:val="99"/>
    <w:unhideWhenUsed/>
    <w:rsid w:val="0029639D"/>
    <w:pPr>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2E1CF3-64CD-49CF-AE14-7BF32A3E74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3231</Words>
  <Characters>18423</Characters>
  <Application>Microsoft Office Word</Application>
  <DocSecurity>0</DocSecurity>
  <Lines>153</Lines>
  <Paragraphs>43</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
      <vt:lpstr>I. USTAVNI OSNOV</vt:lpstr>
      <vt:lpstr>II. RAZLOZI ZA DONOŠENJE ZAKONA</vt:lpstr>
      <vt:lpstr>III. USAGLAŠENOST SA PRAVNOM TEKOVINOM EVROPSKE UNIJE I POTVRĐENIM MEĐUNARODNIM </vt:lpstr>
      <vt:lpstr>IV. OBJAŠNJENJE OSNOVNIH PRAVNIH INSTITUTA</vt:lpstr>
      <vt:lpstr/>
      <vt:lpstr>V. PROCJENA FINANSIJSKIH SREDSTAVA ZA SPROVOĐENJE ZAKONA</vt:lpstr>
    </vt:vector>
  </TitlesOfParts>
  <Manager/>
  <Company/>
  <LinksUpToDate>false</LinksUpToDate>
  <CharactersWithSpaces>21611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Tamara Djurovic</cp:lastModifiedBy>
  <cp:revision>2</cp:revision>
  <dcterms:created xsi:type="dcterms:W3CDTF">2026-05-29T10:46:00Z</dcterms:created>
  <dcterms:modified xsi:type="dcterms:W3CDTF">2026-05-29T10:46:00Z</dcterms:modified>
  <cp:category/>
</cp:coreProperties>
</file>