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D0" w:rsidRPr="00A658D1" w:rsidRDefault="006F5FD0" w:rsidP="00C73DC0">
      <w:pPr>
        <w:rPr>
          <w:sz w:val="20"/>
          <w:lang w:val="en-GB"/>
        </w:rPr>
      </w:pPr>
      <w:bookmarkStart w:id="0" w:name="_GoBack"/>
      <w:bookmarkEnd w:id="0"/>
      <w:r w:rsidRPr="00A658D1">
        <w:rPr>
          <w:sz w:val="20"/>
          <w:lang w:val="en-GB"/>
        </w:rPr>
        <w:br/>
      </w:r>
    </w:p>
    <w:p w:rsidR="006F5FD0" w:rsidRPr="00A658D1" w:rsidRDefault="006F5FD0">
      <w:pPr>
        <w:jc w:val="center"/>
        <w:rPr>
          <w:rStyle w:val="Strong"/>
          <w:sz w:val="28"/>
          <w:szCs w:val="28"/>
          <w:lang w:val="en-GB"/>
        </w:rPr>
      </w:pPr>
      <w:r w:rsidRPr="00A658D1">
        <w:rPr>
          <w:b/>
          <w:sz w:val="28"/>
          <w:szCs w:val="28"/>
          <w:lang w:val="en-GB"/>
        </w:rPr>
        <w:t xml:space="preserve">SERVICE </w:t>
      </w:r>
      <w:r w:rsidR="00FA17FC" w:rsidRPr="00A658D1">
        <w:rPr>
          <w:b/>
          <w:sz w:val="28"/>
          <w:szCs w:val="28"/>
          <w:lang w:val="en-GB"/>
        </w:rPr>
        <w:t xml:space="preserve">CONTRACT </w:t>
      </w:r>
      <w:r w:rsidRPr="00A658D1">
        <w:rPr>
          <w:b/>
          <w:sz w:val="28"/>
          <w:szCs w:val="28"/>
          <w:lang w:val="en-GB"/>
        </w:rPr>
        <w:t>NOTICE</w:t>
      </w:r>
    </w:p>
    <w:p w:rsidR="00571687" w:rsidRPr="00A658D1" w:rsidRDefault="000E3121" w:rsidP="000E3121">
      <w:pPr>
        <w:ind w:left="709" w:hanging="349"/>
        <w:jc w:val="center"/>
        <w:outlineLvl w:val="0"/>
        <w:rPr>
          <w:rStyle w:val="Strong"/>
          <w:sz w:val="22"/>
          <w:szCs w:val="22"/>
          <w:lang w:val="en-GB"/>
        </w:rPr>
      </w:pPr>
      <w:r w:rsidRPr="00A658D1">
        <w:rPr>
          <w:rStyle w:val="Strong"/>
          <w:sz w:val="28"/>
          <w:szCs w:val="28"/>
          <w:lang w:val="en-GB"/>
        </w:rPr>
        <w:t xml:space="preserve">Development </w:t>
      </w:r>
      <w:r w:rsidR="005B5E49">
        <w:rPr>
          <w:rStyle w:val="Strong"/>
          <w:sz w:val="28"/>
          <w:szCs w:val="28"/>
          <w:lang w:val="en-GB"/>
        </w:rPr>
        <w:t xml:space="preserve">of </w:t>
      </w:r>
      <w:r w:rsidRPr="00A658D1">
        <w:rPr>
          <w:rStyle w:val="Strong"/>
          <w:sz w:val="28"/>
          <w:szCs w:val="28"/>
          <w:lang w:val="en-GB"/>
        </w:rPr>
        <w:t>a Road Database of Montenegro</w:t>
      </w:r>
      <w:r w:rsidRPr="00A658D1">
        <w:rPr>
          <w:rStyle w:val="Strong"/>
          <w:sz w:val="28"/>
          <w:szCs w:val="28"/>
          <w:lang w:val="en-GB"/>
        </w:rPr>
        <w:br/>
      </w:r>
      <w:r w:rsidRPr="00A658D1">
        <w:rPr>
          <w:rStyle w:val="Strong"/>
          <w:sz w:val="28"/>
          <w:szCs w:val="28"/>
        </w:rPr>
        <w:t>Location</w:t>
      </w:r>
      <w:r>
        <w:rPr>
          <w:rStyle w:val="Strong"/>
          <w:sz w:val="28"/>
          <w:szCs w:val="28"/>
        </w:rPr>
        <w:t>:</w:t>
      </w:r>
      <w:r w:rsidRPr="00A658D1">
        <w:rPr>
          <w:rStyle w:val="Strong"/>
          <w:sz w:val="28"/>
          <w:szCs w:val="28"/>
        </w:rPr>
        <w:t xml:space="preserve"> </w:t>
      </w:r>
      <w:r w:rsidRPr="00070C39">
        <w:rPr>
          <w:b/>
          <w:sz w:val="28"/>
          <w:szCs w:val="28"/>
        </w:rPr>
        <w:t>Europe (non EU), Montenegro (M</w:t>
      </w:r>
      <w:r>
        <w:rPr>
          <w:b/>
          <w:sz w:val="28"/>
          <w:szCs w:val="28"/>
        </w:rPr>
        <w:t>N</w:t>
      </w:r>
      <w:r w:rsidRPr="00070C39">
        <w:rPr>
          <w:b/>
          <w:sz w:val="28"/>
          <w:szCs w:val="28"/>
        </w:rPr>
        <w:t xml:space="preserve">E) </w:t>
      </w:r>
      <w:r w:rsidRPr="00070C39">
        <w:rPr>
          <w:b/>
          <w:sz w:val="28"/>
          <w:szCs w:val="28"/>
          <w:lang w:val="en-GB"/>
        </w:rPr>
        <w:t xml:space="preserve"> </w:t>
      </w:r>
    </w:p>
    <w:p w:rsidR="006F5FD0" w:rsidRPr="00A658D1" w:rsidRDefault="007727F3" w:rsidP="00393B30">
      <w:pPr>
        <w:ind w:left="709" w:hanging="349"/>
        <w:jc w:val="both"/>
        <w:outlineLvl w:val="0"/>
        <w:rPr>
          <w:sz w:val="22"/>
          <w:szCs w:val="22"/>
          <w:lang w:val="en-GB"/>
        </w:rPr>
      </w:pPr>
      <w:r w:rsidRPr="00A658D1">
        <w:rPr>
          <w:rStyle w:val="Strong"/>
          <w:sz w:val="22"/>
          <w:szCs w:val="22"/>
          <w:lang w:val="en-GB"/>
        </w:rPr>
        <w:t>1.</w:t>
      </w:r>
      <w:r w:rsidR="00584BF4" w:rsidRPr="00A658D1">
        <w:rPr>
          <w:rStyle w:val="Strong"/>
          <w:sz w:val="22"/>
          <w:szCs w:val="22"/>
          <w:lang w:val="en-GB"/>
        </w:rPr>
        <w:tab/>
      </w:r>
      <w:r w:rsidR="006F5FD0" w:rsidRPr="00A658D1">
        <w:rPr>
          <w:rStyle w:val="Strong"/>
          <w:sz w:val="22"/>
          <w:szCs w:val="22"/>
          <w:lang w:val="en-GB"/>
        </w:rPr>
        <w:t>Publication reference</w:t>
      </w:r>
    </w:p>
    <w:p w:rsidR="00C0286D" w:rsidRPr="00A8218E" w:rsidRDefault="00C0286D" w:rsidP="00C0286D">
      <w:pPr>
        <w:pStyle w:val="Blockquote"/>
        <w:ind w:left="426" w:firstLine="283"/>
        <w:rPr>
          <w:sz w:val="22"/>
          <w:szCs w:val="22"/>
        </w:rPr>
      </w:pPr>
      <w:r>
        <w:rPr>
          <w:sz w:val="22"/>
          <w:szCs w:val="22"/>
        </w:rPr>
        <w:t>EuropeAid/137863/IH/SER/ME</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2.</w:t>
      </w:r>
      <w:r w:rsidRPr="00A658D1">
        <w:rPr>
          <w:rStyle w:val="Strong"/>
          <w:sz w:val="22"/>
          <w:szCs w:val="22"/>
          <w:lang w:val="en-GB"/>
        </w:rPr>
        <w:tab/>
        <w:t>Procedure</w:t>
      </w:r>
    </w:p>
    <w:p w:rsidR="00C0286D" w:rsidRPr="00A658D1" w:rsidRDefault="00C0286D" w:rsidP="00C0286D">
      <w:pPr>
        <w:pStyle w:val="Blockquote"/>
        <w:ind w:left="709"/>
        <w:jc w:val="both"/>
        <w:rPr>
          <w:sz w:val="22"/>
          <w:szCs w:val="22"/>
          <w:lang w:val="en-GB"/>
        </w:rPr>
      </w:pPr>
      <w:r w:rsidRPr="00A658D1">
        <w:rPr>
          <w:sz w:val="22"/>
          <w:szCs w:val="22"/>
          <w:lang w:val="en-GB"/>
        </w:rPr>
        <w:t xml:space="preserve">Restricted </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3. </w:t>
      </w:r>
      <w:r w:rsidRPr="00A658D1">
        <w:rPr>
          <w:rStyle w:val="Strong"/>
          <w:sz w:val="22"/>
          <w:szCs w:val="22"/>
          <w:lang w:val="en-GB"/>
        </w:rPr>
        <w:tab/>
        <w:t>Programme title</w:t>
      </w:r>
    </w:p>
    <w:p w:rsidR="00C0286D" w:rsidRPr="002145AD" w:rsidRDefault="00CA642E" w:rsidP="00C0286D">
      <w:pPr>
        <w:ind w:firstLine="426"/>
        <w:outlineLvl w:val="0"/>
        <w:rPr>
          <w:iCs/>
          <w:sz w:val="22"/>
          <w:szCs w:val="22"/>
          <w:lang w:val="en-GB"/>
        </w:rPr>
      </w:pPr>
      <w:r>
        <w:rPr>
          <w:iCs/>
          <w:sz w:val="22"/>
          <w:szCs w:val="22"/>
        </w:rPr>
        <w:tab/>
      </w:r>
      <w:r w:rsidR="00C0286D" w:rsidRPr="00FD330F">
        <w:rPr>
          <w:iCs/>
          <w:sz w:val="22"/>
          <w:szCs w:val="22"/>
        </w:rPr>
        <w:t>Instrument for Pre–Accession Assistance (IPA II)</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4. </w:t>
      </w:r>
      <w:r w:rsidRPr="00A658D1">
        <w:rPr>
          <w:rStyle w:val="Strong"/>
          <w:sz w:val="22"/>
          <w:szCs w:val="22"/>
          <w:lang w:val="en-GB"/>
        </w:rPr>
        <w:tab/>
        <w:t>Financing</w:t>
      </w:r>
    </w:p>
    <w:p w:rsidR="00C0286D" w:rsidRPr="002145AD" w:rsidRDefault="00C0286D" w:rsidP="00CA642E">
      <w:pPr>
        <w:spacing w:before="120" w:after="0"/>
        <w:ind w:left="709" w:firstLine="17"/>
        <w:jc w:val="both"/>
        <w:outlineLvl w:val="0"/>
        <w:rPr>
          <w:sz w:val="22"/>
          <w:szCs w:val="22"/>
        </w:rPr>
      </w:pPr>
      <w:r w:rsidRPr="00FD330F">
        <w:rPr>
          <w:sz w:val="22"/>
          <w:szCs w:val="22"/>
        </w:rPr>
        <w:t>Financing Agreement concerning National Programme Montenegro 2014 (objective 1-part1 and</w:t>
      </w:r>
      <w:r w:rsidR="00CA642E">
        <w:rPr>
          <w:sz w:val="22"/>
          <w:szCs w:val="22"/>
        </w:rPr>
        <w:t xml:space="preserve"> </w:t>
      </w:r>
      <w:r w:rsidRPr="00FD330F">
        <w:rPr>
          <w:sz w:val="22"/>
          <w:szCs w:val="22"/>
        </w:rPr>
        <w:t>Objective 2-part 1)</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5. </w:t>
      </w:r>
      <w:r w:rsidRPr="00A658D1">
        <w:rPr>
          <w:rStyle w:val="Strong"/>
          <w:sz w:val="22"/>
          <w:szCs w:val="22"/>
          <w:lang w:val="en-GB"/>
        </w:rPr>
        <w:tab/>
        <w:t>Contracting Authority</w:t>
      </w:r>
    </w:p>
    <w:p w:rsidR="00C0286D" w:rsidRPr="002145AD" w:rsidRDefault="00C0286D" w:rsidP="00CA642E">
      <w:pPr>
        <w:spacing w:before="120" w:after="0"/>
        <w:ind w:left="709" w:firstLine="17"/>
        <w:jc w:val="both"/>
        <w:outlineLvl w:val="0"/>
        <w:rPr>
          <w:sz w:val="22"/>
          <w:szCs w:val="22"/>
        </w:rPr>
      </w:pPr>
      <w:r w:rsidRPr="00FD330F">
        <w:rPr>
          <w:sz w:val="22"/>
          <w:szCs w:val="22"/>
        </w:rPr>
        <w:t>The Ministry of Finance, the Directorate for Finance and Contracting of the EU Assistance Funds (CFCU)</w:t>
      </w:r>
    </w:p>
    <w:p w:rsidR="006F5FD0" w:rsidRPr="00A658D1" w:rsidRDefault="001655CC" w:rsidP="009E50DC">
      <w:pPr>
        <w:keepNext/>
        <w:widowControl/>
        <w:jc w:val="center"/>
        <w:rPr>
          <w:sz w:val="28"/>
          <w:szCs w:val="28"/>
          <w:lang w:val="en-GB"/>
        </w:rPr>
      </w:pPr>
      <w:r>
        <w:rPr>
          <w:noProof/>
          <w:snapToGrid/>
          <w:sz w:val="22"/>
          <w:szCs w:val="22"/>
          <w:lang w:val="en-GB" w:eastAsia="en-GB"/>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27305</wp:posOffset>
                </wp:positionV>
                <wp:extent cx="5943600" cy="635"/>
                <wp:effectExtent l="19050" t="27305" r="19050" b="196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8VQIAALEEAAAOAAAAZHJzL2Uyb0RvYy54bWysVE2P2jAQvVfqf7B8Z/OxgYVow6oi0Mu2&#10;i8RWPRvbIVYd27INAVX97x2bgJbupaqaSJYdz7x582Ymj0/HTqIDt05oVeHsLsWIK6qZULsKf3td&#10;jaYYOU8UI1IrXuETd/hp/vHDY29KnutWS8YtAhDlyt5UuPXelEniaMs74u604QouG2074uFodwmz&#10;pAf0TiZ5mk6SXltmrKbcOfhany/xPOI3Daf+pWkc90hWGLj5uNq4bsOazB9JubPEtIIONMg/sOiI&#10;UBD0ClUTT9DeindQnaBWO934O6q7RDeNoDzmANlk6R/ZbFpieMwFxHHmKpP7f7D062FtkWAVHmOk&#10;SAclehaKozwo0xtXgsFCrW3IjR7Vxjxr+sMhpRctUTseGb6eDLhlwSO5cQkHZwB/23/RDGzI3uso&#10;07GxXYAEAdAxVuN0rQY/ekTh43hW3E9SKBqFu8n9OOKT8uJqrPOfue5Q2FRYAusITQ7PzgcqpLyY&#10;hEhKr4SUsdxSob7COTzj6OG0FCzcBjtnd9uFtOhAoGPqIrxD4Bszq/eKRbSWE7Yc9p4Ied5DdKkC&#10;Ho9NCJRiunvP7aZlPWIikM7yh5AgE9CR2QT6GR6MiNzBLHmLkdX+u/BtVDno847gNA3vQFBf0GPy&#10;N4FB04FCUDc25s9ZOltOl9NiVOST5ahI63r0abUoRpNV9jCu7+vFos5+hZBZUbaCMa6CRpchyYq/&#10;a8JhXM/tfR2TazWSW/Qz8yOIBQJeSMemCn107sitZqe1vTQbzEU0HmY4DN7bM+zf/mnmvwEAAP//&#10;AwBQSwMEFAAGAAgAAAAhAOtj3PTZAAAABAEAAA8AAABkcnMvZG93bnJldi54bWxMj8tOwzAQRfdI&#10;/IM1SOyo04dCCHGqCokNG0SBBbupPXmIeBzFbhv4eoYVLI/u6N4z1Xb2gzrRFPvABpaLDBSxDa7n&#10;1sDb6+NNASomZIdDYDLwRRG29eVFhaULZ36h0z61Sko4lmigS2kstY62I49xEUZiyZoweUyCU6vd&#10;hGcp94NeZVmuPfYsCx2O9NCR/dwfvQGbN25XvI9ef9+uPtAWz+3yqTHm+mre3YNKNKe/Y/jVF3Wo&#10;xekQjuyiGgzII8nAZg1Kwrt1LnwQ3oCuK/1fvv4BAAD//wMAUEsBAi0AFAAGAAgAAAAhALaDOJL+&#10;AAAA4QEAABMAAAAAAAAAAAAAAAAAAAAAAFtDb250ZW50X1R5cGVzXS54bWxQSwECLQAUAAYACAAA&#10;ACEAOP0h/9YAAACUAQAACwAAAAAAAAAAAAAAAAAvAQAAX3JlbHMvLnJlbHNQSwECLQAUAAYACAAA&#10;ACEAln1uvFUCAACxBAAADgAAAAAAAAAAAAAAAAAuAgAAZHJzL2Uyb0RvYy54bWxQSwECLQAUAAYA&#10;CAAAACEA62Pc9NkAAAAEAQAADwAAAAAAAAAAAAAAAACvBAAAZHJzL2Rvd25yZXYueG1sUEsFBgAA&#10;AAAEAAQA8wAAALUFAAAAAA==&#10;" o:allowincell="f" strokecolor="#d4d4d4" strokeweight="1.75pt">
                <v:shadow on="t" origin=".5,-.5" offset="0,-1pt"/>
              </v:line>
            </w:pict>
          </mc:Fallback>
        </mc:AlternateContent>
      </w:r>
      <w:r w:rsidR="006F5FD0" w:rsidRPr="00A658D1">
        <w:rPr>
          <w:rStyle w:val="Strong"/>
          <w:sz w:val="28"/>
          <w:szCs w:val="28"/>
          <w:lang w:val="en-GB"/>
        </w:rPr>
        <w:t>CONTRACT SPECIFICATION</w:t>
      </w:r>
    </w:p>
    <w:p w:rsidR="006F5FD0" w:rsidRPr="00A658D1" w:rsidRDefault="006F5FD0" w:rsidP="00393B30">
      <w:pPr>
        <w:keepNext/>
        <w:widowControl/>
        <w:ind w:left="709" w:hanging="352"/>
        <w:jc w:val="both"/>
        <w:outlineLvl w:val="0"/>
        <w:rPr>
          <w:sz w:val="22"/>
          <w:szCs w:val="22"/>
          <w:lang w:val="en-GB"/>
        </w:rPr>
      </w:pPr>
      <w:r w:rsidRPr="00A658D1">
        <w:rPr>
          <w:rStyle w:val="Strong"/>
          <w:sz w:val="22"/>
          <w:szCs w:val="22"/>
          <w:lang w:val="en-GB"/>
        </w:rPr>
        <w:t xml:space="preserve">6. </w:t>
      </w:r>
      <w:r w:rsidR="00584BF4" w:rsidRPr="00A658D1">
        <w:rPr>
          <w:rStyle w:val="Strong"/>
          <w:sz w:val="22"/>
          <w:szCs w:val="22"/>
          <w:lang w:val="en-GB"/>
        </w:rPr>
        <w:tab/>
      </w:r>
      <w:r w:rsidRPr="00A658D1">
        <w:rPr>
          <w:rStyle w:val="Strong"/>
          <w:sz w:val="22"/>
          <w:szCs w:val="22"/>
          <w:lang w:val="en-GB"/>
        </w:rPr>
        <w:t>Nature of contract</w:t>
      </w:r>
    </w:p>
    <w:p w:rsidR="006F5FD0" w:rsidRPr="00A658D1" w:rsidRDefault="006F5FD0" w:rsidP="00393B30">
      <w:pPr>
        <w:pStyle w:val="Blockquote"/>
        <w:ind w:left="709"/>
        <w:jc w:val="both"/>
        <w:rPr>
          <w:i/>
          <w:sz w:val="22"/>
          <w:szCs w:val="22"/>
          <w:lang w:val="en-GB"/>
        </w:rPr>
      </w:pPr>
      <w:r w:rsidRPr="00A658D1">
        <w:rPr>
          <w:rStyle w:val="Emphasis"/>
          <w:i w:val="0"/>
          <w:sz w:val="22"/>
          <w:szCs w:val="22"/>
          <w:lang w:val="en-GB"/>
        </w:rPr>
        <w:t>Global price</w:t>
      </w:r>
    </w:p>
    <w:p w:rsidR="006F5FD0" w:rsidRPr="00A658D1" w:rsidRDefault="006F5FD0" w:rsidP="00393B30">
      <w:pPr>
        <w:ind w:left="709" w:hanging="352"/>
        <w:jc w:val="both"/>
        <w:outlineLvl w:val="0"/>
        <w:rPr>
          <w:sz w:val="22"/>
          <w:szCs w:val="22"/>
          <w:lang w:val="en-GB"/>
        </w:rPr>
      </w:pPr>
      <w:r w:rsidRPr="00A658D1">
        <w:rPr>
          <w:rStyle w:val="Strong"/>
          <w:sz w:val="22"/>
          <w:szCs w:val="22"/>
          <w:lang w:val="en-GB"/>
        </w:rPr>
        <w:t xml:space="preserve">7. </w:t>
      </w:r>
      <w:r w:rsidR="00584BF4" w:rsidRPr="00A658D1">
        <w:rPr>
          <w:rStyle w:val="Strong"/>
          <w:sz w:val="22"/>
          <w:szCs w:val="22"/>
          <w:lang w:val="en-GB"/>
        </w:rPr>
        <w:tab/>
      </w:r>
      <w:r w:rsidRPr="00A658D1">
        <w:rPr>
          <w:rStyle w:val="Strong"/>
          <w:sz w:val="22"/>
          <w:szCs w:val="22"/>
          <w:lang w:val="en-GB"/>
        </w:rPr>
        <w:t>Contract description</w:t>
      </w:r>
    </w:p>
    <w:p w:rsidR="004B250D" w:rsidRPr="0095583A" w:rsidRDefault="004B250D" w:rsidP="00911526">
      <w:pPr>
        <w:pStyle w:val="Blockquote"/>
        <w:ind w:left="709"/>
        <w:jc w:val="both"/>
        <w:rPr>
          <w:rStyle w:val="Emphasis"/>
          <w:i w:val="0"/>
          <w:sz w:val="22"/>
          <w:szCs w:val="22"/>
          <w:lang w:val="en-GB"/>
        </w:rPr>
      </w:pPr>
      <w:r w:rsidRPr="0095583A">
        <w:rPr>
          <w:rStyle w:val="Emphasis"/>
          <w:i w:val="0"/>
          <w:sz w:val="22"/>
          <w:szCs w:val="22"/>
          <w:lang w:val="en-GB"/>
        </w:rPr>
        <w:t>The purpose of the contract is to</w:t>
      </w:r>
      <w:r w:rsidRPr="0095583A" w:rsidDel="004B250D">
        <w:rPr>
          <w:rStyle w:val="Emphasis"/>
          <w:i w:val="0"/>
          <w:sz w:val="22"/>
          <w:szCs w:val="22"/>
          <w:lang w:val="en-GB"/>
        </w:rPr>
        <w:t xml:space="preserve"> </w:t>
      </w:r>
      <w:r w:rsidR="00393B30" w:rsidRPr="0095583A">
        <w:rPr>
          <w:rStyle w:val="Emphasis"/>
          <w:i w:val="0"/>
          <w:sz w:val="22"/>
          <w:szCs w:val="22"/>
          <w:lang w:val="en-GB"/>
        </w:rPr>
        <w:t xml:space="preserve">collect and process data on </w:t>
      </w:r>
      <w:r w:rsidR="00911526" w:rsidRPr="00D67D3C">
        <w:rPr>
          <w:rStyle w:val="Emphasis"/>
          <w:i w:val="0"/>
          <w:sz w:val="22"/>
          <w:szCs w:val="22"/>
          <w:lang w:val="en-GB"/>
        </w:rPr>
        <w:t xml:space="preserve">trunk </w:t>
      </w:r>
      <w:r w:rsidR="00393B30" w:rsidRPr="00D67D3C">
        <w:rPr>
          <w:rStyle w:val="Emphasis"/>
          <w:i w:val="0"/>
          <w:sz w:val="22"/>
          <w:szCs w:val="22"/>
          <w:lang w:val="en-GB"/>
        </w:rPr>
        <w:t>and regional roads in Montenegro,</w:t>
      </w:r>
      <w:r w:rsidR="00911526" w:rsidRPr="00D67D3C">
        <w:rPr>
          <w:rStyle w:val="Emphasis"/>
          <w:i w:val="0"/>
          <w:sz w:val="22"/>
          <w:szCs w:val="22"/>
          <w:lang w:val="en-GB"/>
        </w:rPr>
        <w:t xml:space="preserve"> in the </w:t>
      </w:r>
      <w:r w:rsidR="00911526" w:rsidRPr="00E0048A">
        <w:rPr>
          <w:rStyle w:val="Emphasis"/>
          <w:i w:val="0"/>
          <w:sz w:val="22"/>
          <w:szCs w:val="22"/>
          <w:lang w:val="en-GB"/>
        </w:rPr>
        <w:t>length of 1783 km,</w:t>
      </w:r>
      <w:r w:rsidR="00393B30" w:rsidRPr="00E0048A">
        <w:rPr>
          <w:rStyle w:val="Emphasis"/>
          <w:i w:val="0"/>
          <w:sz w:val="22"/>
          <w:szCs w:val="22"/>
          <w:lang w:val="en-GB"/>
        </w:rPr>
        <w:t xml:space="preserve"> in order to create a computerized management system </w:t>
      </w:r>
      <w:r w:rsidR="0058625F" w:rsidRPr="0058278D">
        <w:rPr>
          <w:rStyle w:val="Emphasis"/>
          <w:i w:val="0"/>
          <w:sz w:val="22"/>
          <w:szCs w:val="22"/>
          <w:lang w:val="en-GB"/>
        </w:rPr>
        <w:t xml:space="preserve">– Road Data Base </w:t>
      </w:r>
      <w:r w:rsidR="00393B30" w:rsidRPr="0058278D">
        <w:rPr>
          <w:rStyle w:val="Emphasis"/>
          <w:i w:val="0"/>
          <w:sz w:val="22"/>
          <w:szCs w:val="22"/>
          <w:lang w:val="en-GB"/>
        </w:rPr>
        <w:t xml:space="preserve">of the national road network. </w:t>
      </w:r>
      <w:r w:rsidRPr="0058278D">
        <w:rPr>
          <w:snapToGrid/>
          <w:sz w:val="22"/>
          <w:szCs w:val="22"/>
          <w:lang w:val="en-GB" w:eastAsia="en-GB"/>
        </w:rPr>
        <w:t xml:space="preserve">It will support the Directorate for </w:t>
      </w:r>
      <w:r w:rsidR="00F0284B" w:rsidRPr="0058278D">
        <w:rPr>
          <w:snapToGrid/>
          <w:sz w:val="22"/>
          <w:szCs w:val="22"/>
          <w:lang w:val="en-GB" w:eastAsia="en-GB"/>
        </w:rPr>
        <w:t>T</w:t>
      </w:r>
      <w:r w:rsidRPr="0058278D">
        <w:rPr>
          <w:snapToGrid/>
          <w:sz w:val="22"/>
          <w:szCs w:val="22"/>
          <w:lang w:val="en-GB" w:eastAsia="en-GB"/>
        </w:rPr>
        <w:t>ransport in establishing an effective information system</w:t>
      </w:r>
      <w:r w:rsidRPr="0095583A">
        <w:rPr>
          <w:rStyle w:val="Emphasis"/>
          <w:i w:val="0"/>
          <w:sz w:val="22"/>
          <w:szCs w:val="22"/>
          <w:lang w:val="en-GB"/>
        </w:rPr>
        <w:t xml:space="preserve"> that secures an optimal management, maintenance and development of the national roads in Montenegro.</w:t>
      </w:r>
      <w:r w:rsidR="00F0284B" w:rsidRPr="0095583A">
        <w:rPr>
          <w:rStyle w:val="Emphasis"/>
          <w:i w:val="0"/>
          <w:sz w:val="22"/>
          <w:szCs w:val="22"/>
          <w:lang w:val="en-GB"/>
        </w:rPr>
        <w:t xml:space="preserve"> </w:t>
      </w:r>
      <w:r w:rsidR="00A61595" w:rsidRPr="0095583A">
        <w:rPr>
          <w:rStyle w:val="Emphasis"/>
          <w:i w:val="0"/>
          <w:sz w:val="22"/>
          <w:szCs w:val="22"/>
          <w:lang w:val="en-GB"/>
        </w:rPr>
        <w:t>Data must be relevant for the quantification of the basic characteristics and status indicators on the state roads</w:t>
      </w:r>
      <w:r w:rsidR="0058625F" w:rsidRPr="0095583A">
        <w:rPr>
          <w:rStyle w:val="Emphasis"/>
          <w:i w:val="0"/>
          <w:sz w:val="22"/>
          <w:szCs w:val="22"/>
          <w:lang w:val="en-GB"/>
        </w:rPr>
        <w:t xml:space="preserve">, </w:t>
      </w:r>
      <w:r w:rsidR="00911526" w:rsidRPr="0095583A">
        <w:rPr>
          <w:rStyle w:val="Emphasis"/>
          <w:i w:val="0"/>
          <w:sz w:val="22"/>
          <w:szCs w:val="22"/>
          <w:lang w:val="en-GB"/>
        </w:rPr>
        <w:t>such as permitted axle load, surface material, road curvature, speed limits, road width, tunne</w:t>
      </w:r>
      <w:r w:rsidR="0058625F" w:rsidRPr="0095583A">
        <w:rPr>
          <w:rStyle w:val="Emphasis"/>
          <w:i w:val="0"/>
          <w:sz w:val="22"/>
          <w:szCs w:val="22"/>
          <w:lang w:val="en-GB"/>
        </w:rPr>
        <w:t>ls and bridges, road furniture</w:t>
      </w:r>
      <w:r w:rsidR="00911526" w:rsidRPr="0095583A">
        <w:rPr>
          <w:rStyle w:val="Emphasis"/>
          <w:i w:val="0"/>
          <w:sz w:val="22"/>
          <w:szCs w:val="22"/>
          <w:lang w:val="en-GB"/>
        </w:rPr>
        <w:t>, traffic signs, man</w:t>
      </w:r>
      <w:r w:rsidR="0058625F" w:rsidRPr="0095583A">
        <w:rPr>
          <w:rStyle w:val="Emphasis"/>
          <w:i w:val="0"/>
          <w:sz w:val="22"/>
          <w:szCs w:val="22"/>
          <w:lang w:val="en-GB"/>
        </w:rPr>
        <w:t>holes, ditches etc</w:t>
      </w:r>
      <w:r w:rsidR="00911526" w:rsidRPr="0095583A">
        <w:rPr>
          <w:rStyle w:val="Emphasis"/>
          <w:i w:val="0"/>
          <w:sz w:val="22"/>
          <w:szCs w:val="22"/>
          <w:lang w:val="en-GB"/>
        </w:rPr>
        <w:t>.</w:t>
      </w:r>
      <w:r w:rsidR="0058625F" w:rsidRPr="0095583A">
        <w:rPr>
          <w:rStyle w:val="Emphasis"/>
          <w:i w:val="0"/>
          <w:sz w:val="22"/>
          <w:szCs w:val="22"/>
          <w:lang w:val="en-GB"/>
        </w:rPr>
        <w:t xml:space="preserve"> </w:t>
      </w:r>
      <w:r w:rsidRPr="0095583A">
        <w:rPr>
          <w:rStyle w:val="Emphasis"/>
          <w:i w:val="0"/>
          <w:sz w:val="22"/>
          <w:szCs w:val="22"/>
          <w:lang w:val="en-GB"/>
        </w:rPr>
        <w:t xml:space="preserve">The following </w:t>
      </w:r>
      <w:r w:rsidR="00396466" w:rsidRPr="0095583A">
        <w:rPr>
          <w:rStyle w:val="Emphasis"/>
          <w:i w:val="0"/>
          <w:sz w:val="22"/>
          <w:szCs w:val="22"/>
          <w:lang w:val="en-GB"/>
        </w:rPr>
        <w:t xml:space="preserve">main </w:t>
      </w:r>
      <w:r w:rsidRPr="0095583A">
        <w:rPr>
          <w:rStyle w:val="Emphasis"/>
          <w:i w:val="0"/>
          <w:sz w:val="22"/>
          <w:szCs w:val="22"/>
          <w:lang w:val="en-GB"/>
        </w:rPr>
        <w:t>tasks will be performed:</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Inventory survey and condition report of state roads</w:t>
      </w:r>
      <w:r w:rsidR="00396466" w:rsidRPr="0095583A">
        <w:rPr>
          <w:rStyle w:val="Emphasis"/>
          <w:i w:val="0"/>
          <w:sz w:val="22"/>
          <w:szCs w:val="22"/>
          <w:lang w:val="en-GB"/>
        </w:rPr>
        <w:t xml:space="preserve"> and </w:t>
      </w:r>
      <w:r w:rsidR="003B39FC" w:rsidRPr="0095583A">
        <w:rPr>
          <w:rStyle w:val="Emphasis"/>
          <w:i w:val="0"/>
          <w:sz w:val="22"/>
          <w:szCs w:val="22"/>
          <w:lang w:val="en-GB"/>
        </w:rPr>
        <w:t>entry</w:t>
      </w:r>
      <w:r w:rsidR="00396466" w:rsidRPr="0095583A">
        <w:rPr>
          <w:rStyle w:val="Emphasis"/>
          <w:i w:val="0"/>
          <w:sz w:val="22"/>
          <w:szCs w:val="22"/>
          <w:lang w:val="en-GB"/>
        </w:rPr>
        <w:t xml:space="preserve"> of the correct data with the right quality</w:t>
      </w:r>
      <w:r w:rsidRPr="0095583A">
        <w:rPr>
          <w:rStyle w:val="Emphasis"/>
          <w:i w:val="0"/>
          <w:sz w:val="22"/>
          <w:szCs w:val="22"/>
          <w:lang w:val="en-GB"/>
        </w:rPr>
        <w:t xml:space="preserve"> into database.</w:t>
      </w:r>
    </w:p>
    <w:p w:rsidR="004B250D"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Design of Road Data Base</w:t>
      </w:r>
      <w:r w:rsidR="00396466" w:rsidRPr="0095583A">
        <w:rPr>
          <w:rStyle w:val="Emphasis"/>
          <w:i w:val="0"/>
          <w:sz w:val="22"/>
          <w:szCs w:val="22"/>
          <w:lang w:val="en-GB"/>
        </w:rPr>
        <w:t xml:space="preserve"> (RDB)</w:t>
      </w:r>
      <w:r w:rsidRPr="0095583A">
        <w:rPr>
          <w:rStyle w:val="Emphasis"/>
          <w:i w:val="0"/>
          <w:sz w:val="22"/>
          <w:szCs w:val="22"/>
          <w:lang w:val="en-GB"/>
        </w:rPr>
        <w:t xml:space="preserve"> and Pavement Maintenance and Management System (PMMS);</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 xml:space="preserve">Provision of all software for implementing the </w:t>
      </w:r>
      <w:r w:rsidR="00396466" w:rsidRPr="0095583A">
        <w:rPr>
          <w:rStyle w:val="Emphasis"/>
          <w:i w:val="0"/>
          <w:sz w:val="22"/>
          <w:szCs w:val="22"/>
          <w:lang w:val="en-GB"/>
        </w:rPr>
        <w:t>RDB</w:t>
      </w:r>
      <w:r w:rsidRPr="0095583A">
        <w:rPr>
          <w:rStyle w:val="Emphasis"/>
          <w:i w:val="0"/>
          <w:sz w:val="22"/>
          <w:szCs w:val="22"/>
          <w:lang w:val="en-GB"/>
        </w:rPr>
        <w:t xml:space="preserve"> and PMMS;</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 xml:space="preserve">Training of staff within Directorate for </w:t>
      </w:r>
      <w:r w:rsidR="00261825" w:rsidRPr="0095583A">
        <w:rPr>
          <w:rStyle w:val="Emphasis"/>
          <w:i w:val="0"/>
          <w:sz w:val="22"/>
          <w:szCs w:val="22"/>
          <w:lang w:val="en-GB"/>
        </w:rPr>
        <w:t>T</w:t>
      </w:r>
      <w:r w:rsidRPr="0095583A">
        <w:rPr>
          <w:rStyle w:val="Emphasis"/>
          <w:i w:val="0"/>
          <w:sz w:val="22"/>
          <w:szCs w:val="22"/>
          <w:lang w:val="en-GB"/>
        </w:rPr>
        <w:t xml:space="preserve">ransport to ensure continued locally self-sustainable operation of the </w:t>
      </w:r>
      <w:r w:rsidR="00396466" w:rsidRPr="0095583A">
        <w:rPr>
          <w:rStyle w:val="Emphasis"/>
          <w:i w:val="0"/>
          <w:sz w:val="22"/>
          <w:szCs w:val="22"/>
          <w:lang w:val="en-GB"/>
        </w:rPr>
        <w:t>RDB;</w:t>
      </w:r>
    </w:p>
    <w:p w:rsidR="00A61595" w:rsidRPr="006E6E7C" w:rsidRDefault="00A61595" w:rsidP="00911526">
      <w:pPr>
        <w:pStyle w:val="Blockquote"/>
        <w:ind w:left="709"/>
        <w:jc w:val="both"/>
        <w:rPr>
          <w:rStyle w:val="Emphasis"/>
          <w:i w:val="0"/>
          <w:lang w:val="en-GB"/>
        </w:rPr>
      </w:pPr>
    </w:p>
    <w:p w:rsidR="00A61595" w:rsidRPr="00A658D1" w:rsidRDefault="00A61595" w:rsidP="00C23C84">
      <w:pPr>
        <w:pStyle w:val="Blockquote"/>
        <w:ind w:left="709"/>
        <w:jc w:val="both"/>
        <w:rPr>
          <w:rStyle w:val="Emphasis"/>
        </w:rPr>
      </w:pPr>
    </w:p>
    <w:p w:rsidR="006F5FD0" w:rsidRPr="00A658D1" w:rsidRDefault="006F5FD0" w:rsidP="00393B30">
      <w:pPr>
        <w:ind w:left="709" w:hanging="349"/>
        <w:jc w:val="both"/>
        <w:outlineLvl w:val="0"/>
        <w:rPr>
          <w:sz w:val="22"/>
          <w:szCs w:val="22"/>
          <w:lang w:val="en-GB"/>
        </w:rPr>
      </w:pPr>
      <w:r w:rsidRPr="00A658D1">
        <w:rPr>
          <w:rStyle w:val="Strong"/>
          <w:sz w:val="22"/>
          <w:szCs w:val="22"/>
          <w:lang w:val="en-GB"/>
        </w:rPr>
        <w:t xml:space="preserve">8. </w:t>
      </w:r>
      <w:r w:rsidR="00584BF4" w:rsidRPr="00A658D1">
        <w:rPr>
          <w:rStyle w:val="Strong"/>
          <w:sz w:val="22"/>
          <w:szCs w:val="22"/>
          <w:lang w:val="en-GB"/>
        </w:rPr>
        <w:tab/>
      </w:r>
      <w:r w:rsidRPr="00A658D1">
        <w:rPr>
          <w:rStyle w:val="Strong"/>
          <w:sz w:val="22"/>
          <w:szCs w:val="22"/>
          <w:lang w:val="en-GB"/>
        </w:rPr>
        <w:t>Number and titles of lots</w:t>
      </w:r>
    </w:p>
    <w:p w:rsidR="00E9047D" w:rsidRPr="00A658D1" w:rsidRDefault="008A377D" w:rsidP="00393B30">
      <w:pPr>
        <w:pStyle w:val="Blockquote"/>
        <w:ind w:left="709"/>
        <w:jc w:val="both"/>
        <w:rPr>
          <w:rStyle w:val="Emphasis"/>
          <w:i w:val="0"/>
          <w:sz w:val="22"/>
          <w:szCs w:val="22"/>
          <w:lang w:val="en-GB"/>
        </w:rPr>
      </w:pPr>
      <w:r w:rsidRPr="00A658D1">
        <w:rPr>
          <w:rStyle w:val="Emphasis"/>
          <w:i w:val="0"/>
          <w:sz w:val="22"/>
          <w:szCs w:val="22"/>
          <w:lang w:val="en-GB"/>
        </w:rPr>
        <w:t>O</w:t>
      </w:r>
      <w:r w:rsidR="00DA0ABA" w:rsidRPr="00A658D1">
        <w:rPr>
          <w:rStyle w:val="Emphasis"/>
          <w:i w:val="0"/>
          <w:sz w:val="22"/>
          <w:szCs w:val="22"/>
          <w:lang w:val="en-GB"/>
        </w:rPr>
        <w:t>ne lot only</w:t>
      </w:r>
    </w:p>
    <w:p w:rsidR="006F5FD0" w:rsidRPr="00A658D1" w:rsidRDefault="006F5FD0" w:rsidP="00393B30">
      <w:pPr>
        <w:ind w:left="709" w:hanging="349"/>
        <w:jc w:val="both"/>
        <w:outlineLvl w:val="0"/>
        <w:rPr>
          <w:rStyle w:val="Strong"/>
          <w:sz w:val="22"/>
          <w:szCs w:val="22"/>
          <w:lang w:val="en-GB"/>
        </w:rPr>
      </w:pPr>
      <w:r w:rsidRPr="00A658D1">
        <w:rPr>
          <w:rStyle w:val="Strong"/>
          <w:sz w:val="22"/>
          <w:szCs w:val="22"/>
          <w:lang w:val="en-GB"/>
        </w:rPr>
        <w:t xml:space="preserve">9. </w:t>
      </w:r>
      <w:r w:rsidR="00584BF4" w:rsidRPr="00A658D1">
        <w:rPr>
          <w:rStyle w:val="Strong"/>
          <w:sz w:val="22"/>
          <w:szCs w:val="22"/>
          <w:lang w:val="en-GB"/>
        </w:rPr>
        <w:tab/>
      </w:r>
      <w:r w:rsidRPr="00A658D1">
        <w:rPr>
          <w:rStyle w:val="Strong"/>
          <w:sz w:val="22"/>
          <w:szCs w:val="22"/>
          <w:lang w:val="en-GB"/>
        </w:rPr>
        <w:t>Maximum budget</w:t>
      </w:r>
    </w:p>
    <w:p w:rsidR="006F5FD0" w:rsidRPr="00A658D1" w:rsidRDefault="00393B30" w:rsidP="00393B30">
      <w:pPr>
        <w:pStyle w:val="Blockquote"/>
        <w:ind w:left="709"/>
        <w:jc w:val="both"/>
        <w:rPr>
          <w:sz w:val="22"/>
          <w:szCs w:val="22"/>
          <w:lang w:val="en-GB"/>
        </w:rPr>
      </w:pPr>
      <w:r w:rsidRPr="00C0286D">
        <w:rPr>
          <w:sz w:val="22"/>
          <w:szCs w:val="22"/>
        </w:rPr>
        <w:t xml:space="preserve">EUR </w:t>
      </w:r>
      <w:r w:rsidR="00D80E10" w:rsidRPr="00C0286D">
        <w:rPr>
          <w:sz w:val="22"/>
          <w:szCs w:val="22"/>
        </w:rPr>
        <w:t>388.000</w:t>
      </w:r>
    </w:p>
    <w:p w:rsidR="006F5FD0" w:rsidRPr="00A658D1" w:rsidRDefault="006F5FD0" w:rsidP="00393B30">
      <w:pPr>
        <w:ind w:left="709" w:hanging="349"/>
        <w:jc w:val="both"/>
        <w:outlineLvl w:val="0"/>
        <w:rPr>
          <w:noProof/>
          <w:sz w:val="22"/>
          <w:szCs w:val="22"/>
          <w:lang w:val="en-GB"/>
        </w:rPr>
      </w:pPr>
      <w:r w:rsidRPr="00A658D1">
        <w:rPr>
          <w:b/>
          <w:noProof/>
        </w:rPr>
        <w:lastRenderedPageBreak/>
        <w:t>10. Scope for additional services</w:t>
      </w:r>
    </w:p>
    <w:p w:rsidR="00D50284" w:rsidRPr="00914AA7" w:rsidRDefault="00914AA7" w:rsidP="00914AA7">
      <w:pPr>
        <w:widowControl/>
        <w:autoSpaceDE w:val="0"/>
        <w:autoSpaceDN w:val="0"/>
        <w:adjustRightInd w:val="0"/>
        <w:spacing w:before="0" w:after="0"/>
        <w:ind w:left="720"/>
        <w:rPr>
          <w:rStyle w:val="Emphasis"/>
          <w:i w:val="0"/>
          <w:sz w:val="22"/>
          <w:szCs w:val="22"/>
          <w:lang w:val="en-GB"/>
        </w:rPr>
      </w:pPr>
      <w:r w:rsidRPr="00914AA7">
        <w:rPr>
          <w:snapToGrid/>
          <w:sz w:val="22"/>
          <w:szCs w:val="22"/>
        </w:rPr>
        <w:t>The Contracting Authority may, at its own discretion, extend the project in duration and/or</w:t>
      </w:r>
      <w:r>
        <w:rPr>
          <w:snapToGrid/>
          <w:sz w:val="22"/>
          <w:szCs w:val="22"/>
        </w:rPr>
        <w:t xml:space="preserve"> </w:t>
      </w:r>
      <w:r w:rsidRPr="00914AA7">
        <w:rPr>
          <w:snapToGrid/>
          <w:sz w:val="22"/>
          <w:szCs w:val="22"/>
        </w:rPr>
        <w:t xml:space="preserve">scope subject to the availability of funding up to the estimated amount of approximately to a maximum not exceeding the length and value of the initial contract. Any extension of the contract would be subject to satisfactory performance by the Contractor. </w:t>
      </w:r>
    </w:p>
    <w:p w:rsidR="00D50284" w:rsidRPr="00A658D1" w:rsidRDefault="00D50284" w:rsidP="00F4008A">
      <w:pPr>
        <w:pStyle w:val="Blockquote"/>
        <w:ind w:left="709"/>
        <w:jc w:val="both"/>
        <w:rPr>
          <w:rStyle w:val="Emphasis"/>
          <w:i w:val="0"/>
          <w:noProof/>
          <w:sz w:val="22"/>
          <w:szCs w:val="22"/>
          <w:lang w:val="en-GB"/>
        </w:rPr>
      </w:pPr>
    </w:p>
    <w:p w:rsidR="006F5FD0" w:rsidRPr="00A658D1" w:rsidRDefault="001655CC">
      <w:pPr>
        <w:pStyle w:val="Blockquote"/>
        <w:jc w:val="both"/>
        <w:rPr>
          <w:sz w:val="22"/>
          <w:szCs w:val="22"/>
          <w:lang w:val="en-GB"/>
        </w:rPr>
      </w:pPr>
      <w:r>
        <w:rPr>
          <w:noProof/>
          <w:snapToGrid/>
          <w:sz w:val="22"/>
          <w:szCs w:val="22"/>
          <w:lang w:val="en-GB" w:eastAsia="en-GB"/>
        </w:rPr>
        <mc:AlternateContent>
          <mc:Choice Requires="wps">
            <w:drawing>
              <wp:anchor distT="0" distB="0" distL="114300" distR="114300" simplePos="0" relativeHeight="251656704" behindDoc="0" locked="0" layoutInCell="0" allowOverlap="1">
                <wp:simplePos x="0" y="0"/>
                <wp:positionH relativeFrom="column">
                  <wp:posOffset>-13335</wp:posOffset>
                </wp:positionH>
                <wp:positionV relativeFrom="paragraph">
                  <wp:posOffset>222885</wp:posOffset>
                </wp:positionV>
                <wp:extent cx="5943600" cy="635"/>
                <wp:effectExtent l="15240" t="32385" r="13335" b="1460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gm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c4wU&#10;6aBEz0JxNAnK9MYVYLBUGxtyo0e1Nc+a/nBI6WVLVMMjw9eTAbcseCQ3LuHgDODv+i+agQ3Zex1l&#10;Ota2C5AgADrGapyu1eBHjyh8nD7kk1kKRaNwN5tMIz4pLq7GOv+Z6w6FTYklsI7Q5PDsfKBCiotJ&#10;iKT0WkgZyy0V6ks8hmcaPZyWgoXbYOdss1tKiw4EOqbKwzsEvjGzeq9YRGs5Yath74mQ5z1Elyrg&#10;8diEQCmmu/fcblvWIyYC6Wx8HxJkAjoym0E/w4MRkQ3MkrcYWe2/C99GlYM+7wjO0/AOBPUFPSZ/&#10;Exg0HSgEdWNj/nxIH1bz1Twf5ePZapSnVTX6tF7mo9k6u59Wk2q5rLJfIWSWF61gjKug0WVIsvzv&#10;mnAY13N7X8fkWo3kFv3M/AhigYAX0rGpQh+dO3Kn2WljL80GcxGNhxkOg/f2DPu3f5rFb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A2qNgmVQIAALEEAAAOAAAAAAAAAAAAAAAAAC4CAABkcnMvZTJvRG9jLnhtbFBLAQIt&#10;ABQABgAIAAAAIQBvM9xx3gAAAAgBAAAPAAAAAAAAAAAAAAAAAK8EAABkcnMvZG93bnJldi54bWxQ&#10;SwUGAAAAAAQABADzAAAAugUAAAAA&#10;" o:allowincell="f" strokecolor="#d4d4d4" strokeweight="1.75pt">
                <v:shadow on="t" origin=".5,-.5" offset="0,-1pt"/>
              </v:line>
            </w:pict>
          </mc:Fallback>
        </mc:AlternateContent>
      </w:r>
    </w:p>
    <w:p w:rsidR="006F5FD0" w:rsidRPr="00A658D1" w:rsidRDefault="006F5FD0" w:rsidP="00D517A4">
      <w:pPr>
        <w:jc w:val="center"/>
        <w:rPr>
          <w:sz w:val="28"/>
          <w:szCs w:val="28"/>
          <w:lang w:val="en-GB"/>
        </w:rPr>
      </w:pPr>
      <w:r w:rsidRPr="00A658D1">
        <w:rPr>
          <w:rStyle w:val="Strong"/>
          <w:sz w:val="28"/>
          <w:szCs w:val="28"/>
          <w:lang w:val="en-GB"/>
        </w:rPr>
        <w:t>CONDITIONS OF PARTICIPATION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11. </w:t>
      </w:r>
      <w:r w:rsidR="00584BF4" w:rsidRPr="00A658D1">
        <w:rPr>
          <w:rStyle w:val="Strong"/>
          <w:sz w:val="22"/>
          <w:szCs w:val="22"/>
          <w:lang w:val="en-GB"/>
        </w:rPr>
        <w:tab/>
      </w:r>
      <w:r w:rsidRPr="00A658D1">
        <w:rPr>
          <w:rStyle w:val="Strong"/>
          <w:sz w:val="22"/>
          <w:szCs w:val="22"/>
          <w:lang w:val="en-GB"/>
        </w:rPr>
        <w:t>Eligibility</w:t>
      </w:r>
    </w:p>
    <w:p w:rsidR="00571989" w:rsidRPr="00A658D1" w:rsidRDefault="00571989" w:rsidP="00A87BAE">
      <w:pPr>
        <w:pStyle w:val="Blockquote"/>
        <w:ind w:left="709"/>
        <w:jc w:val="both"/>
        <w:rPr>
          <w:noProof/>
          <w:sz w:val="22"/>
          <w:szCs w:val="22"/>
          <w:lang w:val="en-GB"/>
        </w:rPr>
      </w:pPr>
      <w:r w:rsidRPr="00A658D1">
        <w:rPr>
          <w:noProof/>
          <w:sz w:val="22"/>
          <w:szCs w:val="22"/>
          <w:lang w:val="en-GB"/>
        </w:rPr>
        <w:t xml:space="preserve">Participation is open to all natural persons who are nationals of and legal persons </w:t>
      </w:r>
      <w:r w:rsidR="00853875" w:rsidRPr="00A658D1">
        <w:rPr>
          <w:noProof/>
          <w:sz w:val="22"/>
          <w:szCs w:val="22"/>
          <w:lang w:val="en-GB"/>
        </w:rPr>
        <w:t>(</w:t>
      </w:r>
      <w:r w:rsidRPr="00A658D1">
        <w:rPr>
          <w:noProof/>
          <w:sz w:val="22"/>
          <w:szCs w:val="22"/>
          <w:lang w:val="en-GB"/>
        </w:rPr>
        <w:t xml:space="preserve">participating either individually or in a grouping </w:t>
      </w:r>
      <w:r w:rsidR="00853875" w:rsidRPr="00A658D1">
        <w:rPr>
          <w:noProof/>
          <w:sz w:val="22"/>
          <w:szCs w:val="22"/>
          <w:lang w:val="en-GB"/>
        </w:rPr>
        <w:t xml:space="preserve">– </w:t>
      </w:r>
      <w:r w:rsidRPr="00A658D1">
        <w:rPr>
          <w:noProof/>
          <w:sz w:val="22"/>
          <w:szCs w:val="22"/>
          <w:lang w:val="en-GB"/>
        </w:rPr>
        <w:t>consortium</w:t>
      </w:r>
      <w:r w:rsidR="00853875" w:rsidRPr="00A658D1">
        <w:rPr>
          <w:noProof/>
          <w:sz w:val="22"/>
          <w:szCs w:val="22"/>
          <w:lang w:val="en-GB"/>
        </w:rPr>
        <w:t xml:space="preserve"> -</w:t>
      </w:r>
      <w:r w:rsidRPr="00A658D1">
        <w:rPr>
          <w:noProof/>
          <w:sz w:val="22"/>
          <w:szCs w:val="22"/>
          <w:lang w:val="en-GB"/>
        </w:rPr>
        <w:t xml:space="preserve"> of tenderers</w:t>
      </w:r>
      <w:r w:rsidR="00853875" w:rsidRPr="00A658D1">
        <w:rPr>
          <w:noProof/>
          <w:sz w:val="22"/>
          <w:szCs w:val="22"/>
          <w:lang w:val="en-GB"/>
        </w:rPr>
        <w:t>)</w:t>
      </w:r>
      <w:r w:rsidRPr="00A658D1">
        <w:rPr>
          <w:noProof/>
          <w:sz w:val="22"/>
          <w:szCs w:val="22"/>
          <w:lang w:val="en-GB"/>
        </w:rPr>
        <w:t xml:space="preserve"> which are effectively established in a  Member State of the European Union or in a eligible country or territory  as defined under the Regulation (EU) N°236/2014 establishing common rules and procedures for the implementation of the Union's instruments for external action (CIR) for the applicable Instrument under which the contract is financed (see also heading </w:t>
      </w:r>
      <w:r w:rsidR="00162F40" w:rsidRPr="00A658D1">
        <w:rPr>
          <w:noProof/>
          <w:sz w:val="22"/>
          <w:szCs w:val="22"/>
          <w:lang w:val="en-GB"/>
        </w:rPr>
        <w:t xml:space="preserve">29 </w:t>
      </w:r>
      <w:r w:rsidRPr="00A658D1">
        <w:rPr>
          <w:noProof/>
          <w:sz w:val="22"/>
          <w:szCs w:val="22"/>
          <w:lang w:val="en-GB"/>
        </w:rPr>
        <w:t>below) . Participation is also open to international organisations.</w:t>
      </w:r>
      <w:bookmarkStart w:id="1" w:name="_DV_M201"/>
      <w:bookmarkEnd w:id="1"/>
      <w:r w:rsidRPr="00A658D1">
        <w:rPr>
          <w:noProof/>
          <w:sz w:val="22"/>
          <w:szCs w:val="22"/>
          <w:lang w:val="en-GB"/>
        </w:rPr>
        <w:t xml:space="preserve">  </w:t>
      </w:r>
    </w:p>
    <w:p w:rsidR="006F5FD0" w:rsidRPr="00A658D1" w:rsidRDefault="00FA43CC" w:rsidP="004F34C4">
      <w:pPr>
        <w:ind w:left="284"/>
        <w:outlineLvl w:val="0"/>
        <w:rPr>
          <w:rStyle w:val="Strong"/>
          <w:b w:val="0"/>
          <w:sz w:val="22"/>
          <w:szCs w:val="22"/>
          <w:lang w:val="en-GB"/>
        </w:rPr>
      </w:pPr>
      <w:r w:rsidRPr="00A658D1">
        <w:rPr>
          <w:rStyle w:val="Strong"/>
          <w:sz w:val="22"/>
          <w:szCs w:val="22"/>
          <w:lang w:val="en-GB"/>
        </w:rPr>
        <w:t>12.</w:t>
      </w:r>
      <w:r w:rsidR="00584BF4" w:rsidRPr="00A658D1">
        <w:rPr>
          <w:rStyle w:val="Strong"/>
          <w:sz w:val="22"/>
          <w:szCs w:val="22"/>
          <w:lang w:val="en-GB"/>
        </w:rPr>
        <w:tab/>
      </w:r>
      <w:r w:rsidR="006F5FD0" w:rsidRPr="00A658D1">
        <w:rPr>
          <w:rStyle w:val="Strong"/>
          <w:sz w:val="22"/>
          <w:szCs w:val="22"/>
          <w:lang w:val="en-GB"/>
        </w:rPr>
        <w:t>Candidature</w:t>
      </w:r>
    </w:p>
    <w:p w:rsidR="006F5FD0" w:rsidRPr="00A658D1" w:rsidRDefault="006F5FD0" w:rsidP="00FA43CC">
      <w:pPr>
        <w:pStyle w:val="Blockquote"/>
        <w:ind w:left="709"/>
        <w:jc w:val="both"/>
        <w:rPr>
          <w:sz w:val="22"/>
          <w:szCs w:val="22"/>
          <w:lang w:val="en-GB"/>
        </w:rPr>
      </w:pPr>
      <w:r w:rsidRPr="00A658D1">
        <w:rPr>
          <w:sz w:val="22"/>
          <w:szCs w:val="22"/>
          <w:lang w:val="en-GB"/>
        </w:rPr>
        <w:t>All eligible natural and legal persons (as per item 11 above) or groupings of such persons (consortia) may apply.</w:t>
      </w:r>
    </w:p>
    <w:p w:rsidR="006F5FD0" w:rsidRPr="00A658D1" w:rsidRDefault="006F5FD0" w:rsidP="00FA43CC">
      <w:pPr>
        <w:pStyle w:val="Blockquote"/>
        <w:ind w:left="709"/>
        <w:jc w:val="both"/>
        <w:rPr>
          <w:sz w:val="22"/>
          <w:szCs w:val="22"/>
          <w:lang w:val="en-GB"/>
        </w:rPr>
      </w:pPr>
      <w:r w:rsidRPr="00A658D1">
        <w:rPr>
          <w:sz w:val="22"/>
          <w:szCs w:val="22"/>
          <w:lang w:val="en-GB"/>
        </w:rPr>
        <w:t>A consortium may be a permanent, legally-established grouping or a grouping which has been constituted informally for a specific tender procedure.  All members of a consortium (i</w:t>
      </w:r>
      <w:r w:rsidR="008A377D" w:rsidRPr="00A658D1">
        <w:rPr>
          <w:sz w:val="22"/>
          <w:szCs w:val="22"/>
          <w:lang w:val="en-GB"/>
        </w:rPr>
        <w:t>.</w:t>
      </w:r>
      <w:r w:rsidRPr="00A658D1">
        <w:rPr>
          <w:sz w:val="22"/>
          <w:szCs w:val="22"/>
          <w:lang w:val="en-GB"/>
        </w:rPr>
        <w:t>e</w:t>
      </w:r>
      <w:r w:rsidR="008A377D" w:rsidRPr="00A658D1">
        <w:rPr>
          <w:sz w:val="22"/>
          <w:szCs w:val="22"/>
          <w:lang w:val="en-GB"/>
        </w:rPr>
        <w:t>.</w:t>
      </w:r>
      <w:r w:rsidRPr="00A658D1">
        <w:rPr>
          <w:sz w:val="22"/>
          <w:szCs w:val="22"/>
          <w:lang w:val="en-GB"/>
        </w:rPr>
        <w:t xml:space="preserve">, the leader and all other </w:t>
      </w:r>
      <w:r w:rsidR="003232ED" w:rsidRPr="00A658D1">
        <w:rPr>
          <w:sz w:val="22"/>
          <w:szCs w:val="22"/>
          <w:lang w:val="en-GB"/>
        </w:rPr>
        <w:t>members</w:t>
      </w:r>
      <w:r w:rsidRPr="00A658D1">
        <w:rPr>
          <w:sz w:val="22"/>
          <w:szCs w:val="22"/>
          <w:lang w:val="en-GB"/>
        </w:rPr>
        <w:t>) are jointly and severally liable to the Contracting Authority.</w:t>
      </w:r>
    </w:p>
    <w:p w:rsidR="006F5FD0" w:rsidRPr="00A658D1" w:rsidRDefault="006F5FD0" w:rsidP="00FA43CC">
      <w:pPr>
        <w:pStyle w:val="Blockquote"/>
        <w:ind w:left="709"/>
        <w:jc w:val="both"/>
        <w:rPr>
          <w:sz w:val="22"/>
          <w:szCs w:val="22"/>
          <w:lang w:val="en-GB"/>
        </w:rPr>
      </w:pPr>
      <w:r w:rsidRPr="00A658D1">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13. </w:t>
      </w:r>
      <w:r w:rsidR="00584BF4" w:rsidRPr="00A658D1">
        <w:rPr>
          <w:rStyle w:val="Strong"/>
          <w:sz w:val="22"/>
          <w:szCs w:val="22"/>
          <w:lang w:val="en-GB"/>
        </w:rPr>
        <w:tab/>
      </w:r>
      <w:r w:rsidRPr="00A658D1">
        <w:rPr>
          <w:rStyle w:val="Strong"/>
          <w:sz w:val="22"/>
          <w:szCs w:val="22"/>
          <w:lang w:val="en-GB"/>
        </w:rPr>
        <w:t>Number of applications</w:t>
      </w:r>
    </w:p>
    <w:p w:rsidR="006F5FD0" w:rsidRPr="00A658D1" w:rsidRDefault="006F5FD0" w:rsidP="00FA43CC">
      <w:pPr>
        <w:pStyle w:val="Blockquote"/>
        <w:ind w:left="709"/>
        <w:jc w:val="both"/>
        <w:rPr>
          <w:sz w:val="22"/>
          <w:szCs w:val="22"/>
          <w:lang w:val="en-GB"/>
        </w:rPr>
      </w:pPr>
      <w:r w:rsidRPr="00A658D1">
        <w:rPr>
          <w:sz w:val="22"/>
          <w:szCs w:val="22"/>
          <w:lang w:val="en-GB"/>
        </w:rPr>
        <w:t>No more than one application can be submitte</w:t>
      </w:r>
      <w:r w:rsidR="00087A72" w:rsidRPr="00A658D1">
        <w:rPr>
          <w:sz w:val="22"/>
          <w:szCs w:val="22"/>
          <w:lang w:val="en-GB"/>
        </w:rPr>
        <w:t xml:space="preserve">d by a natural or legal person </w:t>
      </w:r>
      <w:r w:rsidRPr="00A658D1">
        <w:rPr>
          <w:sz w:val="22"/>
          <w:szCs w:val="22"/>
          <w:lang w:val="en-GB"/>
        </w:rPr>
        <w:t xml:space="preserve">whatever the form of participation (as an individual legal entity or as leader or </w:t>
      </w:r>
      <w:r w:rsidR="003232ED" w:rsidRPr="00A658D1">
        <w:rPr>
          <w:sz w:val="22"/>
          <w:szCs w:val="22"/>
          <w:lang w:val="en-GB"/>
        </w:rPr>
        <w:t xml:space="preserve">member </w:t>
      </w:r>
      <w:r w:rsidRPr="00A658D1">
        <w:rPr>
          <w:sz w:val="22"/>
          <w:szCs w:val="22"/>
          <w:lang w:val="en-GB"/>
        </w:rPr>
        <w:t xml:space="preserve">of a consortium submitting an application).  In the event that a natural or legal person submits more than one application, all applications in which that person has participated </w:t>
      </w:r>
      <w:r w:rsidR="00CB759D" w:rsidRPr="00A658D1">
        <w:rPr>
          <w:sz w:val="22"/>
          <w:szCs w:val="22"/>
          <w:lang w:val="en-GB"/>
        </w:rPr>
        <w:t>will</w:t>
      </w:r>
      <w:r w:rsidRPr="00A658D1">
        <w:rPr>
          <w:sz w:val="22"/>
          <w:szCs w:val="22"/>
          <w:lang w:val="en-GB"/>
        </w:rPr>
        <w:t xml:space="preserve"> be excluded.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14. </w:t>
      </w:r>
      <w:r w:rsidR="00584BF4" w:rsidRPr="00A658D1">
        <w:rPr>
          <w:rStyle w:val="Strong"/>
          <w:sz w:val="22"/>
          <w:szCs w:val="22"/>
          <w:lang w:val="en-GB"/>
        </w:rPr>
        <w:tab/>
      </w:r>
      <w:r w:rsidRPr="00A658D1">
        <w:rPr>
          <w:rStyle w:val="Strong"/>
          <w:sz w:val="22"/>
          <w:szCs w:val="22"/>
          <w:lang w:val="en-GB"/>
        </w:rPr>
        <w:t>Shortlist alliances prohibited</w:t>
      </w:r>
    </w:p>
    <w:p w:rsidR="006F5FD0" w:rsidRPr="00A658D1" w:rsidRDefault="006F5FD0" w:rsidP="00FA43CC">
      <w:pPr>
        <w:pStyle w:val="Blockquote"/>
        <w:ind w:left="709"/>
        <w:jc w:val="both"/>
        <w:rPr>
          <w:sz w:val="22"/>
          <w:szCs w:val="22"/>
          <w:lang w:val="en-GB"/>
        </w:rPr>
      </w:pPr>
      <w:r w:rsidRPr="00A658D1">
        <w:rPr>
          <w:sz w:val="22"/>
          <w:szCs w:val="22"/>
          <w:lang w:val="en-GB"/>
        </w:rPr>
        <w:t>Any tenders received from tenderers comprising firms other than those mentioned in the short-listed application forms will be excluded from thi</w:t>
      </w:r>
      <w:r w:rsidR="00087A72" w:rsidRPr="00A658D1">
        <w:rPr>
          <w:sz w:val="22"/>
          <w:szCs w:val="22"/>
          <w:lang w:val="en-GB"/>
        </w:rPr>
        <w:t>s restricted tender procedure</w:t>
      </w:r>
      <w:r w:rsidR="006D6080" w:rsidRPr="00A658D1">
        <w:rPr>
          <w:sz w:val="22"/>
          <w:szCs w:val="22"/>
          <w:lang w:val="en-GB"/>
        </w:rPr>
        <w:t xml:space="preserve"> unless prior approval from the Contracting Authority </w:t>
      </w:r>
      <w:r w:rsidR="007727F3" w:rsidRPr="00A658D1">
        <w:rPr>
          <w:sz w:val="22"/>
          <w:szCs w:val="22"/>
          <w:lang w:val="en-GB"/>
        </w:rPr>
        <w:t>has</w:t>
      </w:r>
      <w:r w:rsidR="006D6080" w:rsidRPr="00A658D1">
        <w:rPr>
          <w:sz w:val="22"/>
          <w:szCs w:val="22"/>
          <w:lang w:val="en-GB"/>
        </w:rPr>
        <w:t xml:space="preserve"> been obtained (see P</w:t>
      </w:r>
      <w:r w:rsidR="00C9783F" w:rsidRPr="00A658D1">
        <w:rPr>
          <w:sz w:val="22"/>
          <w:szCs w:val="22"/>
          <w:lang w:val="en-GB"/>
        </w:rPr>
        <w:t>ractical Guide – PRAG</w:t>
      </w:r>
      <w:r w:rsidR="0004773B">
        <w:rPr>
          <w:sz w:val="22"/>
          <w:szCs w:val="22"/>
          <w:lang w:val="en-GB"/>
        </w:rPr>
        <w:t xml:space="preserve"> </w:t>
      </w:r>
      <w:r w:rsidR="00C9783F" w:rsidRPr="00A658D1">
        <w:rPr>
          <w:sz w:val="22"/>
          <w:szCs w:val="22"/>
          <w:lang w:val="en-GB"/>
        </w:rPr>
        <w:t>-</w:t>
      </w:r>
      <w:r w:rsidR="006D6080" w:rsidRPr="00A658D1">
        <w:rPr>
          <w:sz w:val="22"/>
          <w:szCs w:val="22"/>
          <w:lang w:val="en-GB"/>
        </w:rPr>
        <w:t xml:space="preserve"> 2.4.3</w:t>
      </w:r>
      <w:r w:rsidR="007727F3" w:rsidRPr="00A658D1">
        <w:rPr>
          <w:sz w:val="22"/>
          <w:szCs w:val="22"/>
          <w:lang w:val="en-GB"/>
        </w:rPr>
        <w:t>.</w:t>
      </w:r>
      <w:r w:rsidR="006D6080" w:rsidRPr="00A658D1">
        <w:rPr>
          <w:sz w:val="22"/>
          <w:szCs w:val="22"/>
          <w:lang w:val="en-GB"/>
        </w:rPr>
        <w:t>)</w:t>
      </w:r>
      <w:r w:rsidR="00087A72" w:rsidRPr="00A658D1">
        <w:rPr>
          <w:sz w:val="22"/>
          <w:szCs w:val="22"/>
          <w:lang w:val="en-GB"/>
        </w:rPr>
        <w:t xml:space="preserve">. </w:t>
      </w:r>
      <w:r w:rsidRPr="00A658D1">
        <w:rPr>
          <w:sz w:val="22"/>
          <w:szCs w:val="22"/>
          <w:lang w:val="en-GB"/>
        </w:rPr>
        <w:t>Short-listed candidates may not form alliances or subcontract to each other for the contract in question.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15. </w:t>
      </w:r>
      <w:r w:rsidR="00584BF4" w:rsidRPr="00A658D1">
        <w:rPr>
          <w:rStyle w:val="Strong"/>
          <w:sz w:val="22"/>
          <w:szCs w:val="22"/>
          <w:lang w:val="en-GB"/>
        </w:rPr>
        <w:tab/>
      </w:r>
      <w:r w:rsidRPr="00A658D1">
        <w:rPr>
          <w:rStyle w:val="Strong"/>
          <w:sz w:val="22"/>
          <w:szCs w:val="22"/>
          <w:lang w:val="en-GB"/>
        </w:rPr>
        <w:t>Grounds for exclusion</w:t>
      </w:r>
    </w:p>
    <w:p w:rsidR="001F6E4A" w:rsidRPr="00A658D1" w:rsidRDefault="006F5FD0" w:rsidP="00C23C84">
      <w:pPr>
        <w:pStyle w:val="Blockquote"/>
        <w:ind w:left="709"/>
        <w:jc w:val="both"/>
        <w:rPr>
          <w:sz w:val="22"/>
          <w:szCs w:val="22"/>
          <w:lang w:val="en-GB"/>
        </w:rPr>
      </w:pPr>
      <w:r w:rsidRPr="00A658D1">
        <w:rPr>
          <w:sz w:val="22"/>
          <w:szCs w:val="22"/>
          <w:lang w:val="en-GB"/>
        </w:rPr>
        <w:t>As part of the application form, candidates must</w:t>
      </w:r>
      <w:r w:rsidR="00750FF8" w:rsidRPr="00A658D1">
        <w:rPr>
          <w:sz w:val="22"/>
          <w:szCs w:val="22"/>
          <w:lang w:val="en-GB"/>
        </w:rPr>
        <w:t xml:space="preserve"> submit a </w:t>
      </w:r>
      <w:r w:rsidR="000F0F6C" w:rsidRPr="00A658D1">
        <w:rPr>
          <w:sz w:val="22"/>
          <w:szCs w:val="22"/>
          <w:lang w:val="en-GB"/>
        </w:rPr>
        <w:t xml:space="preserve">signed </w:t>
      </w:r>
      <w:r w:rsidR="002D266E" w:rsidRPr="00A658D1">
        <w:rPr>
          <w:sz w:val="22"/>
          <w:szCs w:val="22"/>
          <w:lang w:val="en-GB"/>
        </w:rPr>
        <w:t>declaration</w:t>
      </w:r>
      <w:r w:rsidR="000F0F6C" w:rsidRPr="00A658D1">
        <w:rPr>
          <w:sz w:val="22"/>
          <w:szCs w:val="22"/>
          <w:lang w:val="en-GB"/>
        </w:rPr>
        <w:t>,</w:t>
      </w:r>
      <w:r w:rsidR="00750FF8" w:rsidRPr="00A658D1">
        <w:rPr>
          <w:sz w:val="22"/>
          <w:szCs w:val="22"/>
          <w:lang w:val="en-GB"/>
        </w:rPr>
        <w:t xml:space="preserve"> </w:t>
      </w:r>
      <w:r w:rsidR="000F0F6C" w:rsidRPr="00A658D1">
        <w:rPr>
          <w:sz w:val="22"/>
          <w:szCs w:val="22"/>
          <w:lang w:val="en-GB"/>
        </w:rPr>
        <w:t xml:space="preserve">included in the standard application form, </w:t>
      </w:r>
      <w:r w:rsidR="00750FF8" w:rsidRPr="00A658D1">
        <w:rPr>
          <w:sz w:val="22"/>
          <w:szCs w:val="22"/>
          <w:lang w:val="en-GB"/>
        </w:rPr>
        <w:t>to the effect that they are not in any of</w:t>
      </w:r>
      <w:r w:rsidRPr="00A658D1">
        <w:rPr>
          <w:sz w:val="22"/>
          <w:szCs w:val="22"/>
          <w:lang w:val="en-GB"/>
        </w:rPr>
        <w:t xml:space="preserve"> </w:t>
      </w:r>
      <w:r w:rsidR="00A433A6" w:rsidRPr="00A658D1">
        <w:rPr>
          <w:sz w:val="22"/>
          <w:szCs w:val="22"/>
          <w:lang w:val="en-GB"/>
        </w:rPr>
        <w:t xml:space="preserve">the </w:t>
      </w:r>
      <w:r w:rsidR="00750FF8" w:rsidRPr="00A658D1">
        <w:rPr>
          <w:sz w:val="22"/>
          <w:szCs w:val="22"/>
          <w:lang w:val="en-GB"/>
        </w:rPr>
        <w:t xml:space="preserve">exclusion situations </w:t>
      </w:r>
      <w:r w:rsidR="00A433A6" w:rsidRPr="00A658D1">
        <w:rPr>
          <w:sz w:val="22"/>
          <w:szCs w:val="22"/>
          <w:lang w:val="en-GB"/>
        </w:rPr>
        <w:t>listed</w:t>
      </w:r>
      <w:r w:rsidR="00750FF8" w:rsidRPr="00A658D1">
        <w:rPr>
          <w:sz w:val="22"/>
          <w:szCs w:val="22"/>
          <w:lang w:val="en-GB"/>
        </w:rPr>
        <w:t xml:space="preserve"> </w:t>
      </w:r>
      <w:r w:rsidRPr="00A658D1">
        <w:rPr>
          <w:sz w:val="22"/>
          <w:szCs w:val="22"/>
          <w:lang w:val="en-GB"/>
        </w:rPr>
        <w:t>in Section 2.3.</w:t>
      </w:r>
      <w:r w:rsidR="0004773B">
        <w:rPr>
          <w:sz w:val="22"/>
          <w:szCs w:val="22"/>
          <w:lang w:val="en-GB"/>
        </w:rPr>
        <w:t xml:space="preserve">3 </w:t>
      </w:r>
      <w:r w:rsidRPr="00A658D1">
        <w:rPr>
          <w:sz w:val="22"/>
          <w:szCs w:val="22"/>
          <w:lang w:val="en-GB"/>
        </w:rPr>
        <w:t>of the P</w:t>
      </w:r>
      <w:r w:rsidR="00C9783F" w:rsidRPr="00A658D1">
        <w:rPr>
          <w:sz w:val="22"/>
          <w:szCs w:val="22"/>
          <w:lang w:val="en-GB"/>
        </w:rPr>
        <w:t>RAG</w:t>
      </w:r>
      <w:r w:rsidR="00C545B1" w:rsidRPr="00A658D1">
        <w:rPr>
          <w:sz w:val="22"/>
          <w:szCs w:val="22"/>
          <w:lang w:val="en-GB"/>
        </w:rPr>
        <w:t>.</w:t>
      </w:r>
      <w:r w:rsidRPr="00A658D1">
        <w:rPr>
          <w:sz w:val="22"/>
          <w:szCs w:val="22"/>
          <w:lang w:val="en-GB"/>
        </w:rPr>
        <w:t xml:space="preserve"> </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16. </w:t>
      </w:r>
      <w:r w:rsidR="00584BF4" w:rsidRPr="00A658D1">
        <w:rPr>
          <w:rStyle w:val="Strong"/>
          <w:sz w:val="22"/>
          <w:szCs w:val="22"/>
          <w:lang w:val="en-GB"/>
        </w:rPr>
        <w:tab/>
      </w:r>
      <w:r w:rsidRPr="00A658D1">
        <w:rPr>
          <w:rStyle w:val="Strong"/>
          <w:sz w:val="22"/>
          <w:szCs w:val="22"/>
          <w:lang w:val="en-GB"/>
        </w:rPr>
        <w:t>Sub-contracting</w:t>
      </w:r>
    </w:p>
    <w:p w:rsidR="00B005AB" w:rsidRPr="00A658D1" w:rsidRDefault="006D6080" w:rsidP="00B005AB">
      <w:pPr>
        <w:pStyle w:val="Blockquote"/>
        <w:ind w:left="709"/>
        <w:jc w:val="both"/>
      </w:pPr>
      <w:r w:rsidRPr="00A658D1">
        <w:t>Subcontracting is allowed</w:t>
      </w:r>
      <w:r w:rsidR="00C545B1" w:rsidRPr="00A658D1">
        <w:t>.</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17. </w:t>
      </w:r>
      <w:r w:rsidR="00584BF4" w:rsidRPr="00A658D1">
        <w:rPr>
          <w:rStyle w:val="Strong"/>
          <w:sz w:val="22"/>
          <w:szCs w:val="22"/>
          <w:lang w:val="en-GB"/>
        </w:rPr>
        <w:tab/>
      </w:r>
      <w:r w:rsidRPr="00A658D1">
        <w:rPr>
          <w:rStyle w:val="Strong"/>
          <w:sz w:val="22"/>
          <w:szCs w:val="22"/>
          <w:lang w:val="en-GB"/>
        </w:rPr>
        <w:t>Number of candidates to be short-listed</w:t>
      </w:r>
    </w:p>
    <w:p w:rsidR="006F5FD0" w:rsidRPr="00A658D1" w:rsidRDefault="00347673" w:rsidP="00FA43CC">
      <w:pPr>
        <w:pStyle w:val="Blockquote"/>
        <w:spacing w:after="360"/>
        <w:ind w:left="709" w:right="357"/>
        <w:jc w:val="both"/>
        <w:rPr>
          <w:sz w:val="22"/>
          <w:szCs w:val="22"/>
        </w:rPr>
      </w:pPr>
      <w:r w:rsidRPr="00A658D1">
        <w:rPr>
          <w:sz w:val="22"/>
          <w:szCs w:val="22"/>
        </w:rPr>
        <w:t>On the basis of the applications received, between 4</w:t>
      </w:r>
      <w:r w:rsidR="003E3A87" w:rsidRPr="00A658D1">
        <w:rPr>
          <w:sz w:val="22"/>
          <w:szCs w:val="22"/>
        </w:rPr>
        <w:t xml:space="preserve"> and </w:t>
      </w:r>
      <w:r w:rsidRPr="00A658D1">
        <w:rPr>
          <w:sz w:val="22"/>
          <w:szCs w:val="22"/>
        </w:rPr>
        <w:t>8 candidates will be invited to submit detailed tenders for this contract. If the number of eligible candidates</w:t>
      </w:r>
      <w:r w:rsidRPr="00A658D1">
        <w:t xml:space="preserve"> </w:t>
      </w:r>
      <w:r w:rsidRPr="00A658D1">
        <w:rPr>
          <w:sz w:val="22"/>
          <w:szCs w:val="22"/>
        </w:rPr>
        <w:t xml:space="preserve">meeting the selection criteria is less than the minimum of 4, the Contracting Authority may invite </w:t>
      </w:r>
      <w:r w:rsidR="00970B01" w:rsidRPr="00A658D1">
        <w:rPr>
          <w:sz w:val="22"/>
          <w:szCs w:val="22"/>
        </w:rPr>
        <w:t xml:space="preserve">the </w:t>
      </w:r>
      <w:r w:rsidRPr="00A658D1">
        <w:rPr>
          <w:sz w:val="22"/>
          <w:szCs w:val="22"/>
        </w:rPr>
        <w:t xml:space="preserve">candidates </w:t>
      </w:r>
      <w:r w:rsidRPr="00A658D1">
        <w:rPr>
          <w:sz w:val="22"/>
          <w:szCs w:val="22"/>
        </w:rPr>
        <w:lastRenderedPageBreak/>
        <w:t>who satisfy the criteria to submit a tender.</w:t>
      </w:r>
    </w:p>
    <w:p w:rsidR="006F5FD0" w:rsidRPr="00A658D1" w:rsidRDefault="001655CC">
      <w:pPr>
        <w:keepNext/>
        <w:jc w:val="center"/>
        <w:rPr>
          <w:sz w:val="28"/>
          <w:szCs w:val="28"/>
          <w:lang w:val="en-GB"/>
        </w:rPr>
      </w:pPr>
      <w:r>
        <w:rPr>
          <w:noProof/>
          <w:snapToGrid/>
          <w:sz w:val="22"/>
          <w:szCs w:val="22"/>
          <w:lang w:val="en-GB" w:eastAsia="en-GB"/>
        </w:rPr>
        <mc:AlternateContent>
          <mc:Choice Requires="wps">
            <w:drawing>
              <wp:anchor distT="0" distB="0" distL="114300" distR="114300" simplePos="0" relativeHeight="251657728" behindDoc="0" locked="0" layoutInCell="0" allowOverlap="1">
                <wp:simplePos x="0" y="0"/>
                <wp:positionH relativeFrom="column">
                  <wp:posOffset>19050</wp:posOffset>
                </wp:positionH>
                <wp:positionV relativeFrom="paragraph">
                  <wp:posOffset>26035</wp:posOffset>
                </wp:positionV>
                <wp:extent cx="5943600" cy="635"/>
                <wp:effectExtent l="19050" t="26035" r="1905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pV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Jxgp&#10;0kGJnoXiKA/K9MYVYLBUGxtyo0e1Nc+a/nBI6WVLVMMjw9eTAbcseCQ3LuHgDODv+i+agQ3Zex1l&#10;Ota2C5AgADrGapyu1eBHjyh8nD7kk1kKRaNwN5tMIz4pLq7GOv+Z6w6FTYklsI7Q5PDsfKBCiotJ&#10;iKT0WkgZyy0V6ks8hmcaPZyWgoXbYOdss1tKiw4EOqbKwzsEvjGzeq9YRGs5Yath74mQ5z1Elyrg&#10;8diEQCmmu/fcblvWIyYC6Wx8HxJkAjoym0E/w4MRkQ3MkrcYWe2/C99GlYM+7wjO0/AOBPUFPSZ/&#10;Exg0HSgEdWNj/nxIH1bz1Twf5ePZapSnVTX6tF7mo9k6u59Wk2q5rLJfIWSWF61gjKug0WVIsvzv&#10;mnAY13N7X8fkWo3kFv3M/AhigYAX0rGpQh+dO3Kn2WljL80GcxGNhxkOg/f2DPu3f5rFbwAAAP//&#10;AwBQSwMEFAAGAAgAAAAhAGmeAofbAAAABQEAAA8AAABkcnMvZG93bnJldi54bWxMj8tOwzAQRfdI&#10;/IM1SOyokxSVNMSpKiQ23SAKLNhN48lDxOModtuUr2dYwfLoju49U25mN6gTTaH3bCBdJKCIa297&#10;bg28vz3f5aBCRLY4eCYDFwqwqa6vSiysP/MrnfaxVVLCoUADXYxjoXWoO3IYFn4klqzxk8MoOLXa&#10;TniWcjfoLElW2mHPstDhSE8d1V/7ozNQrxq7zT9Gp78fsk+s85c23TXG3N7M20dQkeb4dwy/+qIO&#10;lTgd/JFtUIOBpXwSDdynoCRdL9fCB+EMdFXq//bVDwAAAP//AwBQSwECLQAUAAYACAAAACEAtoM4&#10;kv4AAADhAQAAEwAAAAAAAAAAAAAAAAAAAAAAW0NvbnRlbnRfVHlwZXNdLnhtbFBLAQItABQABgAI&#10;AAAAIQA4/SH/1gAAAJQBAAALAAAAAAAAAAAAAAAAAC8BAABfcmVscy8ucmVsc1BLAQItABQABgAI&#10;AAAAIQDUjDpVVQIAALEEAAAOAAAAAAAAAAAAAAAAAC4CAABkcnMvZTJvRG9jLnhtbFBLAQItABQA&#10;BgAIAAAAIQBpngKH2wAAAAUBAAAPAAAAAAAAAAAAAAAAAK8EAABkcnMvZG93bnJldi54bWxQSwUG&#10;AAAAAAQABADzAAAAtwUAAAAA&#10;" o:allowincell="f" strokecolor="#d4d4d4" strokeweight="1.75pt">
                <v:shadow on="t" origin=".5,-.5" offset="0,-1pt"/>
              </v:line>
            </w:pict>
          </mc:Fallback>
        </mc:AlternateContent>
      </w:r>
      <w:r w:rsidR="006F5FD0" w:rsidRPr="00A658D1">
        <w:rPr>
          <w:rStyle w:val="Strong"/>
          <w:sz w:val="28"/>
          <w:szCs w:val="28"/>
          <w:lang w:val="en-GB"/>
        </w:rPr>
        <w:t>PROVISIONAL TIMETABLE</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18. </w:t>
      </w:r>
      <w:r w:rsidR="00584BF4" w:rsidRPr="00A658D1">
        <w:rPr>
          <w:rStyle w:val="Strong"/>
          <w:sz w:val="22"/>
          <w:szCs w:val="22"/>
          <w:lang w:val="en-GB"/>
        </w:rPr>
        <w:tab/>
      </w:r>
      <w:r w:rsidRPr="00A658D1">
        <w:rPr>
          <w:rStyle w:val="Strong"/>
          <w:sz w:val="22"/>
          <w:szCs w:val="22"/>
          <w:lang w:val="en-GB"/>
        </w:rPr>
        <w:t>Provisional date of invitation to tender</w:t>
      </w:r>
    </w:p>
    <w:p w:rsidR="006F5FD0" w:rsidRPr="00A658D1" w:rsidRDefault="00D50284" w:rsidP="00FA43CC">
      <w:pPr>
        <w:pStyle w:val="Blockquote"/>
        <w:ind w:left="709"/>
        <w:jc w:val="both"/>
        <w:rPr>
          <w:i/>
          <w:sz w:val="22"/>
          <w:szCs w:val="22"/>
          <w:lang w:val="en-GB"/>
        </w:rPr>
      </w:pPr>
      <w:r>
        <w:rPr>
          <w:rStyle w:val="Emphasis"/>
          <w:i w:val="0"/>
          <w:sz w:val="22"/>
          <w:szCs w:val="22"/>
          <w:lang w:val="en-GB"/>
        </w:rPr>
        <w:t xml:space="preserve">September </w:t>
      </w:r>
      <w:r w:rsidR="009E50DC">
        <w:rPr>
          <w:rStyle w:val="Emphasis"/>
          <w:i w:val="0"/>
          <w:sz w:val="22"/>
          <w:szCs w:val="22"/>
          <w:lang w:val="en-GB"/>
        </w:rPr>
        <w:t>2016</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19. </w:t>
      </w:r>
      <w:r w:rsidR="00584BF4" w:rsidRPr="00A658D1">
        <w:rPr>
          <w:rStyle w:val="Strong"/>
          <w:sz w:val="22"/>
          <w:szCs w:val="22"/>
          <w:lang w:val="en-GB"/>
        </w:rPr>
        <w:tab/>
      </w:r>
      <w:r w:rsidRPr="00A658D1">
        <w:rPr>
          <w:rStyle w:val="Strong"/>
          <w:sz w:val="22"/>
          <w:szCs w:val="22"/>
          <w:lang w:val="en-GB"/>
        </w:rPr>
        <w:t>Provisional commencement date of the contract</w:t>
      </w:r>
    </w:p>
    <w:p w:rsidR="006F5FD0" w:rsidRPr="00A658D1" w:rsidRDefault="009E50DC" w:rsidP="00FA43CC">
      <w:pPr>
        <w:pStyle w:val="Blockquote"/>
        <w:ind w:left="709"/>
        <w:jc w:val="both"/>
        <w:rPr>
          <w:rStyle w:val="Emphasis"/>
        </w:rPr>
      </w:pPr>
      <w:r>
        <w:rPr>
          <w:rStyle w:val="Emphasis"/>
          <w:i w:val="0"/>
          <w:sz w:val="22"/>
          <w:szCs w:val="22"/>
          <w:lang w:val="en-GB"/>
        </w:rPr>
        <w:t>December 2016</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20. </w:t>
      </w:r>
      <w:r w:rsidR="00584BF4" w:rsidRPr="00A658D1">
        <w:rPr>
          <w:rStyle w:val="Strong"/>
          <w:sz w:val="22"/>
          <w:szCs w:val="22"/>
          <w:lang w:val="en-GB"/>
        </w:rPr>
        <w:tab/>
      </w:r>
      <w:r w:rsidRPr="00A658D1">
        <w:rPr>
          <w:rStyle w:val="Strong"/>
          <w:sz w:val="22"/>
          <w:szCs w:val="22"/>
          <w:lang w:val="en-GB"/>
        </w:rPr>
        <w:t xml:space="preserve">Initial period of </w:t>
      </w:r>
      <w:r w:rsidR="00476D80" w:rsidRPr="00A658D1">
        <w:rPr>
          <w:rStyle w:val="Strong"/>
          <w:sz w:val="22"/>
          <w:szCs w:val="22"/>
          <w:lang w:val="en-GB"/>
        </w:rPr>
        <w:t xml:space="preserve">implementation of tasks </w:t>
      </w:r>
    </w:p>
    <w:p w:rsidR="006F5FD0" w:rsidRPr="00A658D1" w:rsidRDefault="009E50DC" w:rsidP="00FA43CC">
      <w:pPr>
        <w:pStyle w:val="Blockquote"/>
        <w:ind w:left="709"/>
        <w:jc w:val="both"/>
        <w:rPr>
          <w:rStyle w:val="Emphasis"/>
        </w:rPr>
      </w:pPr>
      <w:r>
        <w:rPr>
          <w:rStyle w:val="Emphasis"/>
          <w:i w:val="0"/>
          <w:sz w:val="22"/>
          <w:szCs w:val="22"/>
          <w:lang w:val="en-GB"/>
        </w:rPr>
        <w:t>12 months</w:t>
      </w:r>
    </w:p>
    <w:p w:rsidR="006F5FD0" w:rsidRPr="00A658D1" w:rsidRDefault="001655CC">
      <w:pPr>
        <w:rPr>
          <w:sz w:val="22"/>
          <w:szCs w:val="22"/>
          <w:lang w:val="en-GB"/>
        </w:rPr>
      </w:pPr>
      <w:r>
        <w:rPr>
          <w:noProof/>
          <w:snapToGrid/>
          <w:sz w:val="22"/>
          <w:szCs w:val="22"/>
          <w:lang w:val="en-GB" w:eastAsia="en-GB"/>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zP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kHGCnS&#10;QolehOJoFJTpjCsgYKHWNuRGj2pjXjT94ZDSi4aoHY8M304GjmXhRPJwJCycAfxt90UziCF7r6NM&#10;x9q2ARIEQMdYjdOtGvzoEYWPo2k+HKdQNAp742FklJDietRY5z9z3aIwKbEE1hGaHF6cD1RIcQ0J&#10;Nym9ElLGckuFOsgXnlE84bQULOyGOGd324W06EDAMVUe3pgY7NyHWb1XLKI1nLDlZe6JkOc53C5V&#10;wOPRhEApprv33G4a1iEmAuls8BQSZAIcmY3Bz/BgROQOeslbjKz234VvospBn3cEJ2l4LwT1FT0m&#10;/3AxaHqhENSNxvw5TafLyXKS9/LBeNnL06rqfVot8t54lT2NqmG1WFTZr3BllheNYIyroNG1SbL8&#10;70x4adezvW9tcqtG8oh+Zn4EsUDAK+loquCjsyO3mp3W9mo26IsYfOnh0Hj3a5jf/2nmvwE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B0WYzP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6F5FD0" w:rsidRPr="00A658D1" w:rsidRDefault="006F5FD0">
      <w:pPr>
        <w:jc w:val="center"/>
        <w:rPr>
          <w:sz w:val="28"/>
          <w:szCs w:val="28"/>
          <w:lang w:val="en-GB"/>
        </w:rPr>
      </w:pPr>
      <w:r w:rsidRPr="00A658D1">
        <w:rPr>
          <w:rStyle w:val="Strong"/>
          <w:sz w:val="28"/>
          <w:szCs w:val="28"/>
          <w:lang w:val="en-GB"/>
        </w:rPr>
        <w:t>SELECTION AND AWARD CRITERIA</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21. </w:t>
      </w:r>
      <w:r w:rsidR="00584BF4" w:rsidRPr="00A658D1">
        <w:rPr>
          <w:rStyle w:val="Strong"/>
          <w:sz w:val="22"/>
          <w:szCs w:val="22"/>
          <w:lang w:val="en-GB"/>
        </w:rPr>
        <w:tab/>
      </w:r>
      <w:r w:rsidRPr="00A658D1">
        <w:rPr>
          <w:rStyle w:val="Strong"/>
          <w:sz w:val="22"/>
          <w:szCs w:val="22"/>
          <w:lang w:val="en-GB"/>
        </w:rPr>
        <w:t>Selection criteria</w:t>
      </w:r>
    </w:p>
    <w:p w:rsidR="006F5FD0" w:rsidRPr="00A658D1" w:rsidRDefault="006F5FD0" w:rsidP="008A7535">
      <w:pPr>
        <w:pStyle w:val="Blockquote"/>
        <w:ind w:left="709"/>
        <w:jc w:val="both"/>
        <w:rPr>
          <w:sz w:val="22"/>
          <w:szCs w:val="22"/>
          <w:lang w:val="en-GB"/>
        </w:rPr>
      </w:pPr>
      <w:r w:rsidRPr="00A658D1">
        <w:rPr>
          <w:sz w:val="22"/>
          <w:szCs w:val="22"/>
          <w:lang w:val="en-GB"/>
        </w:rPr>
        <w:t xml:space="preserve">The following selection criteria </w:t>
      </w:r>
      <w:r w:rsidR="00087A72" w:rsidRPr="00A658D1">
        <w:rPr>
          <w:sz w:val="22"/>
          <w:szCs w:val="22"/>
          <w:lang w:val="en-GB"/>
        </w:rPr>
        <w:t xml:space="preserve">will be applied to candidates. </w:t>
      </w:r>
      <w:r w:rsidRPr="00A658D1">
        <w:rPr>
          <w:sz w:val="22"/>
          <w:szCs w:val="22"/>
          <w:lang w:val="en-GB"/>
        </w:rPr>
        <w:t>In the case of applications submitted by a consortium, these selection criteria will be applied to the consortium as a whole</w:t>
      </w:r>
      <w:r w:rsidR="0004773B">
        <w:rPr>
          <w:sz w:val="22"/>
          <w:szCs w:val="22"/>
          <w:lang w:val="en-GB"/>
        </w:rPr>
        <w:t xml:space="preserve"> unless specified otherwise</w:t>
      </w:r>
      <w:r w:rsidR="008A7535">
        <w:rPr>
          <w:sz w:val="22"/>
          <w:szCs w:val="22"/>
          <w:lang w:val="en-GB"/>
        </w:rPr>
        <w:t>. The selection criteria will not be applied to natural persons and single-member companies when they are sub-contractors.</w:t>
      </w:r>
    </w:p>
    <w:p w:rsidR="00BB68B0" w:rsidRPr="00A658D1" w:rsidRDefault="00571687" w:rsidP="008528DB">
      <w:pPr>
        <w:pStyle w:val="Blockquote"/>
        <w:ind w:left="1134" w:right="357" w:hanging="284"/>
        <w:jc w:val="both"/>
        <w:rPr>
          <w:sz w:val="22"/>
          <w:szCs w:val="22"/>
          <w:lang w:val="en-GB"/>
        </w:rPr>
      </w:pPr>
      <w:r w:rsidRPr="00A658D1">
        <w:rPr>
          <w:b/>
          <w:sz w:val="22"/>
          <w:szCs w:val="22"/>
          <w:lang w:val="en-GB"/>
        </w:rPr>
        <w:t>1)</w:t>
      </w:r>
      <w:r w:rsidRPr="00A658D1">
        <w:rPr>
          <w:b/>
          <w:sz w:val="22"/>
          <w:szCs w:val="22"/>
          <w:lang w:val="en-GB"/>
        </w:rPr>
        <w:tab/>
      </w:r>
      <w:r w:rsidR="006F5FD0" w:rsidRPr="00A658D1">
        <w:rPr>
          <w:b/>
          <w:sz w:val="22"/>
          <w:szCs w:val="22"/>
          <w:u w:val="single"/>
          <w:lang w:val="en-GB"/>
        </w:rPr>
        <w:t xml:space="preserve">Economic and financial </w:t>
      </w:r>
      <w:r w:rsidR="001C64F1" w:rsidRPr="00A658D1">
        <w:rPr>
          <w:b/>
          <w:sz w:val="22"/>
          <w:szCs w:val="22"/>
          <w:u w:val="single"/>
          <w:lang w:val="en-GB"/>
        </w:rPr>
        <w:t xml:space="preserve">capacity </w:t>
      </w:r>
      <w:r w:rsidR="006F5FD0" w:rsidRPr="00A658D1">
        <w:rPr>
          <w:b/>
          <w:sz w:val="22"/>
          <w:szCs w:val="22"/>
          <w:u w:val="single"/>
          <w:lang w:val="en-GB"/>
        </w:rPr>
        <w:t>of candidate</w:t>
      </w:r>
      <w:r w:rsidR="00087A72" w:rsidRPr="00A658D1">
        <w:rPr>
          <w:b/>
          <w:sz w:val="22"/>
          <w:szCs w:val="22"/>
          <w:lang w:val="en-GB"/>
        </w:rPr>
        <w:t xml:space="preserve"> (</w:t>
      </w:r>
      <w:r w:rsidR="006F5FD0" w:rsidRPr="00A658D1">
        <w:rPr>
          <w:sz w:val="22"/>
          <w:szCs w:val="22"/>
          <w:lang w:val="en-GB"/>
        </w:rPr>
        <w:t>based on</w:t>
      </w:r>
      <w:r w:rsidR="00087A72" w:rsidRPr="00A658D1">
        <w:rPr>
          <w:sz w:val="22"/>
          <w:szCs w:val="22"/>
          <w:lang w:val="en-GB"/>
        </w:rPr>
        <w:t xml:space="preserve"> item 3 of the application form)</w:t>
      </w:r>
      <w:r w:rsidR="00663C6D" w:rsidRPr="00A658D1">
        <w:rPr>
          <w:sz w:val="22"/>
          <w:szCs w:val="22"/>
          <w:lang w:val="en-GB"/>
        </w:rPr>
        <w:t xml:space="preserve">. In case of </w:t>
      </w:r>
      <w:r w:rsidR="004E1482" w:rsidRPr="00A658D1">
        <w:rPr>
          <w:sz w:val="22"/>
          <w:szCs w:val="22"/>
          <w:lang w:val="en-GB"/>
        </w:rPr>
        <w:t>candidate</w:t>
      </w:r>
      <w:r w:rsidR="00663C6D" w:rsidRPr="00A658D1">
        <w:rPr>
          <w:sz w:val="22"/>
          <w:szCs w:val="22"/>
          <w:lang w:val="en-GB"/>
        </w:rPr>
        <w:t xml:space="preserve"> being a public body, equivalent information should be provided</w:t>
      </w:r>
      <w:r w:rsidR="006A66DA" w:rsidRPr="00A658D1">
        <w:rPr>
          <w:sz w:val="22"/>
          <w:szCs w:val="22"/>
          <w:lang w:val="en-GB"/>
        </w:rPr>
        <w:t>.</w:t>
      </w:r>
      <w:r w:rsidR="00663C6D" w:rsidRPr="00A658D1">
        <w:rPr>
          <w:sz w:val="22"/>
          <w:szCs w:val="22"/>
          <w:lang w:val="en-GB"/>
        </w:rPr>
        <w:t xml:space="preserve"> </w:t>
      </w:r>
      <w:r w:rsidR="005558E0" w:rsidRPr="00A658D1">
        <w:rPr>
          <w:sz w:val="22"/>
          <w:szCs w:val="22"/>
          <w:lang w:val="en-GB"/>
        </w:rPr>
        <w:t>The reference period which will be taken into account will be the last three years for which accounts have been closed.</w:t>
      </w:r>
      <w:r w:rsidR="00DD6CBD" w:rsidRPr="00A658D1">
        <w:rPr>
          <w:sz w:val="22"/>
          <w:szCs w:val="22"/>
          <w:highlight w:val="yellow"/>
          <w:lang w:val="en-GB"/>
        </w:rPr>
        <w:t xml:space="preserve"> </w:t>
      </w:r>
    </w:p>
    <w:p w:rsidR="007471C5" w:rsidRPr="00A658D1" w:rsidRDefault="007471C5" w:rsidP="008C5B63">
      <w:pPr>
        <w:pStyle w:val="Blockquote"/>
        <w:tabs>
          <w:tab w:val="left" w:pos="284"/>
        </w:tabs>
        <w:ind w:left="1320"/>
        <w:jc w:val="both"/>
        <w:rPr>
          <w:b/>
          <w:sz w:val="22"/>
          <w:szCs w:val="22"/>
          <w:lang w:val="en-GB"/>
        </w:rPr>
      </w:pPr>
      <w:r w:rsidRPr="00A658D1">
        <w:rPr>
          <w:b/>
          <w:sz w:val="22"/>
          <w:szCs w:val="22"/>
          <w:lang w:val="en-GB"/>
        </w:rPr>
        <w:t>Criteria</w:t>
      </w:r>
      <w:r w:rsidR="001E50A2" w:rsidRPr="00A658D1">
        <w:rPr>
          <w:b/>
          <w:sz w:val="22"/>
          <w:szCs w:val="22"/>
          <w:lang w:val="en-GB"/>
        </w:rPr>
        <w:t xml:space="preserve"> for legal and natural persons</w:t>
      </w:r>
      <w:r w:rsidRPr="00A658D1">
        <w:rPr>
          <w:b/>
          <w:sz w:val="22"/>
          <w:szCs w:val="22"/>
          <w:lang w:val="en-GB"/>
        </w:rPr>
        <w:t>:</w:t>
      </w:r>
      <w:r w:rsidR="006C0EB6" w:rsidRPr="00A658D1">
        <w:rPr>
          <w:b/>
          <w:sz w:val="22"/>
          <w:szCs w:val="22"/>
          <w:lang w:val="en-GB"/>
        </w:rPr>
        <w:t xml:space="preserve"> </w:t>
      </w:r>
    </w:p>
    <w:p w:rsidR="007471C5" w:rsidRDefault="00A13277" w:rsidP="00980B65">
      <w:pPr>
        <w:pStyle w:val="Blockquote"/>
        <w:numPr>
          <w:ilvl w:val="0"/>
          <w:numId w:val="51"/>
        </w:numPr>
        <w:tabs>
          <w:tab w:val="left" w:pos="284"/>
        </w:tabs>
        <w:spacing w:before="0"/>
        <w:ind w:right="357"/>
        <w:jc w:val="both"/>
        <w:rPr>
          <w:sz w:val="22"/>
          <w:szCs w:val="22"/>
          <w:lang w:val="en-GB"/>
        </w:rPr>
      </w:pPr>
      <w:r w:rsidRPr="00A13277">
        <w:rPr>
          <w:sz w:val="22"/>
          <w:szCs w:val="22"/>
          <w:lang w:val="en-GB"/>
        </w:rPr>
        <w:t>the average annual turnove</w:t>
      </w:r>
      <w:r>
        <w:rPr>
          <w:sz w:val="22"/>
          <w:szCs w:val="22"/>
          <w:lang w:val="en-GB"/>
        </w:rPr>
        <w:t xml:space="preserve">r of the candidate must exceed </w:t>
      </w:r>
      <w:r w:rsidR="007A245F">
        <w:rPr>
          <w:sz w:val="22"/>
          <w:szCs w:val="22"/>
          <w:lang w:val="en-GB"/>
        </w:rPr>
        <w:t>38</w:t>
      </w:r>
      <w:r w:rsidR="002661C2">
        <w:rPr>
          <w:sz w:val="22"/>
          <w:szCs w:val="22"/>
          <w:lang w:val="en-GB"/>
        </w:rPr>
        <w:t>8</w:t>
      </w:r>
      <w:r w:rsidR="007A245F">
        <w:rPr>
          <w:sz w:val="22"/>
          <w:szCs w:val="22"/>
          <w:lang w:val="en-GB"/>
        </w:rPr>
        <w:t>,000 Euro</w:t>
      </w:r>
      <w:r>
        <w:rPr>
          <w:sz w:val="22"/>
          <w:szCs w:val="22"/>
          <w:lang w:val="en-GB"/>
        </w:rPr>
        <w:t>;</w:t>
      </w:r>
      <w:r w:rsidRPr="00A13277">
        <w:rPr>
          <w:sz w:val="22"/>
          <w:szCs w:val="22"/>
          <w:lang w:val="en-GB"/>
        </w:rPr>
        <w:t xml:space="preserve"> and</w:t>
      </w:r>
      <w:r w:rsidR="00903FBB">
        <w:rPr>
          <w:sz w:val="22"/>
          <w:szCs w:val="22"/>
          <w:lang w:val="en-GB"/>
        </w:rPr>
        <w:t xml:space="preserve"> </w:t>
      </w:r>
    </w:p>
    <w:p w:rsidR="002130A2" w:rsidRPr="00484753" w:rsidRDefault="002130A2" w:rsidP="00980B65">
      <w:pPr>
        <w:numPr>
          <w:ilvl w:val="0"/>
          <w:numId w:val="51"/>
        </w:numPr>
        <w:jc w:val="both"/>
        <w:rPr>
          <w:sz w:val="22"/>
          <w:szCs w:val="22"/>
        </w:rPr>
      </w:pPr>
      <w:r w:rsidRPr="00484753">
        <w:rPr>
          <w:rFonts w:eastAsia="Calibri"/>
          <w:sz w:val="22"/>
          <w:szCs w:val="22"/>
        </w:rPr>
        <w:t xml:space="preserve">Current ratio (current assets/current liabilities) in the last year for which accounts have been closed </w:t>
      </w:r>
      <w:r>
        <w:rPr>
          <w:rFonts w:eastAsia="Calibri"/>
          <w:sz w:val="22"/>
          <w:szCs w:val="22"/>
        </w:rPr>
        <w:t>m</w:t>
      </w:r>
      <w:r w:rsidRPr="00484753">
        <w:rPr>
          <w:rFonts w:eastAsia="Calibri"/>
          <w:sz w:val="22"/>
          <w:szCs w:val="22"/>
        </w:rPr>
        <w:t>ust be at least 1.</w:t>
      </w:r>
      <w:r w:rsidRPr="00484753" w:rsidDel="00795E5F">
        <w:rPr>
          <w:rFonts w:eastAsia="Calibri"/>
          <w:sz w:val="22"/>
          <w:szCs w:val="22"/>
        </w:rPr>
        <w:t xml:space="preserve"> </w:t>
      </w:r>
      <w:r w:rsidRPr="00484753">
        <w:rPr>
          <w:rFonts w:eastAsia="Calibri"/>
          <w:sz w:val="22"/>
          <w:szCs w:val="22"/>
        </w:rPr>
        <w:t>In case of a consortium this criterion must be fulfilled by each member.</w:t>
      </w:r>
    </w:p>
    <w:p w:rsidR="002130A2" w:rsidRPr="00A658D1" w:rsidRDefault="002130A2" w:rsidP="00340C29">
      <w:pPr>
        <w:pStyle w:val="Blockquote"/>
        <w:tabs>
          <w:tab w:val="left" w:pos="284"/>
        </w:tabs>
        <w:spacing w:before="0"/>
        <w:ind w:left="1680" w:right="357"/>
        <w:jc w:val="both"/>
        <w:rPr>
          <w:sz w:val="22"/>
          <w:szCs w:val="22"/>
          <w:lang w:val="en-GB"/>
        </w:rPr>
      </w:pPr>
    </w:p>
    <w:p w:rsidR="005558E0" w:rsidRPr="00A658D1" w:rsidRDefault="00571687" w:rsidP="005558E0">
      <w:pPr>
        <w:pStyle w:val="Blockquote"/>
        <w:ind w:left="1134" w:right="357" w:hanging="284"/>
        <w:jc w:val="both"/>
        <w:rPr>
          <w:sz w:val="22"/>
          <w:szCs w:val="22"/>
          <w:lang w:val="en-GB"/>
        </w:rPr>
      </w:pPr>
      <w:r w:rsidRPr="00A658D1">
        <w:rPr>
          <w:b/>
          <w:sz w:val="22"/>
          <w:szCs w:val="22"/>
          <w:lang w:val="en-GB"/>
        </w:rPr>
        <w:t>2)</w:t>
      </w:r>
      <w:r w:rsidRPr="00A658D1">
        <w:rPr>
          <w:sz w:val="22"/>
          <w:szCs w:val="22"/>
          <w:lang w:val="en-GB"/>
        </w:rPr>
        <w:tab/>
      </w:r>
      <w:r w:rsidR="006F5FD0" w:rsidRPr="00A658D1">
        <w:rPr>
          <w:b/>
          <w:sz w:val="22"/>
          <w:szCs w:val="22"/>
          <w:u w:val="single"/>
          <w:lang w:val="en-GB"/>
        </w:rPr>
        <w:t>Professional capacity of candidate</w:t>
      </w:r>
      <w:r w:rsidR="006F5FD0" w:rsidRPr="00A658D1">
        <w:rPr>
          <w:b/>
          <w:sz w:val="22"/>
          <w:szCs w:val="22"/>
          <w:lang w:val="en-GB"/>
        </w:rPr>
        <w:t xml:space="preserve"> </w:t>
      </w:r>
      <w:r w:rsidR="00087A72" w:rsidRPr="00A658D1">
        <w:rPr>
          <w:sz w:val="22"/>
          <w:szCs w:val="22"/>
          <w:lang w:val="en-GB"/>
        </w:rPr>
        <w:t>(</w:t>
      </w:r>
      <w:r w:rsidR="006F5FD0" w:rsidRPr="00A658D1">
        <w:rPr>
          <w:sz w:val="22"/>
          <w:szCs w:val="22"/>
          <w:lang w:val="en-GB"/>
        </w:rPr>
        <w:t xml:space="preserve">based on items </w:t>
      </w:r>
      <w:r w:rsidR="00087A72" w:rsidRPr="00A658D1">
        <w:rPr>
          <w:sz w:val="22"/>
          <w:szCs w:val="22"/>
          <w:lang w:val="en-GB"/>
        </w:rPr>
        <w:t>4 and 5 of the application form)</w:t>
      </w:r>
      <w:r w:rsidR="005558E0" w:rsidRPr="00A658D1">
        <w:rPr>
          <w:sz w:val="22"/>
          <w:szCs w:val="22"/>
          <w:lang w:val="en-GB"/>
        </w:rPr>
        <w:t xml:space="preserve">. The reference period which will be taken into account will be the last </w:t>
      </w:r>
      <w:r w:rsidR="00903FBB">
        <w:rPr>
          <w:sz w:val="22"/>
          <w:szCs w:val="22"/>
          <w:lang w:val="en-GB"/>
        </w:rPr>
        <w:t xml:space="preserve">five </w:t>
      </w:r>
      <w:r w:rsidR="005558E0" w:rsidRPr="00A658D1">
        <w:rPr>
          <w:sz w:val="22"/>
          <w:szCs w:val="22"/>
          <w:lang w:val="en-GB"/>
        </w:rPr>
        <w:t>years from submission deadline.</w:t>
      </w:r>
    </w:p>
    <w:p w:rsidR="00924137" w:rsidRPr="00A658D1" w:rsidRDefault="00924137" w:rsidP="008C5B63">
      <w:pPr>
        <w:pStyle w:val="Blockquote"/>
        <w:tabs>
          <w:tab w:val="left" w:pos="284"/>
        </w:tabs>
        <w:ind w:left="1341"/>
        <w:jc w:val="both"/>
        <w:rPr>
          <w:b/>
          <w:sz w:val="22"/>
          <w:szCs w:val="22"/>
          <w:lang w:val="en-GB"/>
        </w:rPr>
      </w:pPr>
      <w:r w:rsidRPr="00A658D1">
        <w:rPr>
          <w:b/>
          <w:sz w:val="22"/>
          <w:szCs w:val="22"/>
          <w:lang w:val="en-GB"/>
        </w:rPr>
        <w:t xml:space="preserve">Criteria for legal and natural persons: </w:t>
      </w:r>
      <w:r w:rsidRPr="00A658D1" w:rsidDel="006C0EB6">
        <w:rPr>
          <w:b/>
          <w:sz w:val="22"/>
          <w:szCs w:val="22"/>
          <w:lang w:val="en-GB"/>
        </w:rPr>
        <w:t xml:space="preserve"> </w:t>
      </w:r>
    </w:p>
    <w:p w:rsidR="00924137" w:rsidRDefault="008334BA" w:rsidP="00980B65">
      <w:pPr>
        <w:pStyle w:val="Blockquote"/>
        <w:numPr>
          <w:ilvl w:val="0"/>
          <w:numId w:val="52"/>
        </w:numPr>
        <w:spacing w:before="0"/>
        <w:ind w:left="1701" w:right="357" w:hanging="371"/>
        <w:jc w:val="both"/>
        <w:rPr>
          <w:sz w:val="22"/>
          <w:szCs w:val="22"/>
          <w:lang w:val="en-GB"/>
        </w:rPr>
      </w:pPr>
      <w:r w:rsidRPr="008334BA">
        <w:rPr>
          <w:sz w:val="22"/>
          <w:szCs w:val="22"/>
          <w:lang w:val="en-GB"/>
        </w:rPr>
        <w:t xml:space="preserve">The Candidate has a total </w:t>
      </w:r>
      <w:r>
        <w:rPr>
          <w:sz w:val="22"/>
          <w:szCs w:val="22"/>
          <w:lang w:val="en-GB"/>
        </w:rPr>
        <w:t xml:space="preserve">of </w:t>
      </w:r>
      <w:r w:rsidR="00AC3869" w:rsidRPr="00A658D1">
        <w:rPr>
          <w:sz w:val="22"/>
          <w:szCs w:val="22"/>
          <w:lang w:val="en-GB"/>
        </w:rPr>
        <w:t xml:space="preserve">at least </w:t>
      </w:r>
      <w:r w:rsidR="00980B65">
        <w:rPr>
          <w:sz w:val="22"/>
          <w:szCs w:val="22"/>
          <w:lang w:val="en-GB"/>
        </w:rPr>
        <w:t>5</w:t>
      </w:r>
      <w:r w:rsidR="00980B65" w:rsidRPr="00A658D1">
        <w:rPr>
          <w:sz w:val="22"/>
          <w:szCs w:val="22"/>
          <w:lang w:val="en-GB"/>
        </w:rPr>
        <w:t xml:space="preserve"> </w:t>
      </w:r>
      <w:r w:rsidR="00AC3869" w:rsidRPr="00A658D1">
        <w:rPr>
          <w:sz w:val="22"/>
          <w:szCs w:val="22"/>
          <w:lang w:val="en-GB"/>
        </w:rPr>
        <w:t>(</w:t>
      </w:r>
      <w:r w:rsidR="00980B65">
        <w:rPr>
          <w:sz w:val="22"/>
          <w:szCs w:val="22"/>
          <w:lang w:val="en-GB"/>
        </w:rPr>
        <w:t>five</w:t>
      </w:r>
      <w:r w:rsidR="00AC3869" w:rsidRPr="00A658D1">
        <w:rPr>
          <w:sz w:val="22"/>
          <w:szCs w:val="22"/>
          <w:lang w:val="en-GB"/>
        </w:rPr>
        <w:t xml:space="preserve">) permanent staff who currently work for the tenderer in the fields </w:t>
      </w:r>
      <w:r w:rsidR="00F1700E" w:rsidRPr="00F1700E">
        <w:rPr>
          <w:sz w:val="22"/>
          <w:szCs w:val="22"/>
          <w:lang w:val="en-GB"/>
        </w:rPr>
        <w:t>related to this contract</w:t>
      </w:r>
      <w:r w:rsidR="00AC3869" w:rsidRPr="00A658D1">
        <w:rPr>
          <w:sz w:val="22"/>
          <w:szCs w:val="22"/>
          <w:lang w:val="en-GB"/>
        </w:rPr>
        <w:t>.</w:t>
      </w:r>
    </w:p>
    <w:p w:rsidR="0035006D" w:rsidRDefault="003B39FC" w:rsidP="00980B65">
      <w:pPr>
        <w:pStyle w:val="Blockquote"/>
        <w:numPr>
          <w:ilvl w:val="0"/>
          <w:numId w:val="52"/>
        </w:numPr>
        <w:spacing w:before="0"/>
        <w:ind w:left="1701" w:right="357" w:hanging="371"/>
        <w:jc w:val="both"/>
        <w:rPr>
          <w:sz w:val="22"/>
          <w:szCs w:val="22"/>
          <w:lang w:val="en-GB"/>
        </w:rPr>
      </w:pPr>
      <w:r w:rsidRPr="003B39FC">
        <w:rPr>
          <w:sz w:val="22"/>
          <w:szCs w:val="22"/>
          <w:lang w:val="en-GB"/>
        </w:rPr>
        <w:t>The Candidate must be specialised to provide services in the following fields:</w:t>
      </w:r>
    </w:p>
    <w:p w:rsidR="00EE54B6" w:rsidRDefault="00EE54B6" w:rsidP="00D67D3C">
      <w:pPr>
        <w:pStyle w:val="Blockquote"/>
        <w:spacing w:before="0"/>
        <w:ind w:left="1701" w:right="357"/>
        <w:jc w:val="both"/>
        <w:rPr>
          <w:sz w:val="22"/>
          <w:szCs w:val="22"/>
          <w:lang w:val="en-GB"/>
        </w:rPr>
      </w:pPr>
      <w:r>
        <w:rPr>
          <w:sz w:val="22"/>
          <w:szCs w:val="22"/>
          <w:lang w:val="en-GB"/>
        </w:rPr>
        <w:t>i. E</w:t>
      </w:r>
      <w:r w:rsidR="003B39FC" w:rsidRPr="003B39FC">
        <w:rPr>
          <w:sz w:val="22"/>
          <w:szCs w:val="22"/>
          <w:lang w:val="en-GB"/>
        </w:rPr>
        <w:t xml:space="preserve">stablishing and developing information systems </w:t>
      </w:r>
      <w:r w:rsidR="003B39FC">
        <w:rPr>
          <w:sz w:val="22"/>
          <w:szCs w:val="22"/>
          <w:lang w:val="en-GB"/>
        </w:rPr>
        <w:t>(</w:t>
      </w:r>
      <w:r>
        <w:rPr>
          <w:sz w:val="22"/>
          <w:szCs w:val="22"/>
          <w:lang w:val="en-GB"/>
        </w:rPr>
        <w:t xml:space="preserve">i.e. </w:t>
      </w:r>
      <w:r w:rsidR="0035006D">
        <w:rPr>
          <w:sz w:val="22"/>
          <w:szCs w:val="22"/>
          <w:lang w:val="en-GB"/>
        </w:rPr>
        <w:t>data</w:t>
      </w:r>
      <w:r>
        <w:rPr>
          <w:sz w:val="22"/>
          <w:szCs w:val="22"/>
          <w:lang w:val="en-GB"/>
        </w:rPr>
        <w:t xml:space="preserve"> collection</w:t>
      </w:r>
      <w:r w:rsidR="003B39FC">
        <w:rPr>
          <w:sz w:val="22"/>
          <w:szCs w:val="22"/>
          <w:lang w:val="en-GB"/>
        </w:rPr>
        <w:t>, database design</w:t>
      </w:r>
      <w:r w:rsidR="0035006D">
        <w:rPr>
          <w:sz w:val="22"/>
          <w:szCs w:val="22"/>
          <w:lang w:val="en-GB"/>
        </w:rPr>
        <w:t xml:space="preserve"> processing</w:t>
      </w:r>
      <w:r w:rsidR="003B39FC">
        <w:rPr>
          <w:sz w:val="22"/>
          <w:szCs w:val="22"/>
          <w:lang w:val="en-GB"/>
        </w:rPr>
        <w:t>)</w:t>
      </w:r>
      <w:r w:rsidR="0035006D">
        <w:rPr>
          <w:sz w:val="22"/>
          <w:szCs w:val="22"/>
          <w:lang w:val="en-GB"/>
        </w:rPr>
        <w:t xml:space="preserve"> i</w:t>
      </w:r>
      <w:r>
        <w:rPr>
          <w:sz w:val="22"/>
          <w:szCs w:val="22"/>
          <w:lang w:val="en-GB"/>
        </w:rPr>
        <w:t xml:space="preserve">n road transport infrastructure; </w:t>
      </w:r>
    </w:p>
    <w:p w:rsidR="002130A2" w:rsidRDefault="00EE54B6" w:rsidP="00D67D3C">
      <w:pPr>
        <w:pStyle w:val="Blockquote"/>
        <w:spacing w:before="0"/>
        <w:ind w:left="1701" w:right="357"/>
        <w:jc w:val="both"/>
        <w:rPr>
          <w:sz w:val="22"/>
          <w:szCs w:val="22"/>
          <w:lang w:val="en-GB"/>
        </w:rPr>
      </w:pPr>
      <w:r>
        <w:rPr>
          <w:sz w:val="22"/>
          <w:szCs w:val="22"/>
          <w:lang w:val="en-GB"/>
        </w:rPr>
        <w:t>ii. P</w:t>
      </w:r>
      <w:r w:rsidR="0035006D">
        <w:rPr>
          <w:sz w:val="22"/>
          <w:szCs w:val="22"/>
          <w:lang w:val="en-GB"/>
        </w:rPr>
        <w:t xml:space="preserve">reparing </w:t>
      </w:r>
      <w:r w:rsidR="002130A2">
        <w:rPr>
          <w:sz w:val="22"/>
          <w:szCs w:val="22"/>
          <w:lang w:val="en-GB"/>
        </w:rPr>
        <w:t xml:space="preserve">plans or programmes </w:t>
      </w:r>
      <w:r>
        <w:rPr>
          <w:sz w:val="22"/>
          <w:szCs w:val="22"/>
          <w:lang w:val="en-GB"/>
        </w:rPr>
        <w:t>for</w:t>
      </w:r>
      <w:r w:rsidR="002130A2">
        <w:rPr>
          <w:sz w:val="22"/>
          <w:szCs w:val="22"/>
          <w:lang w:val="en-GB"/>
        </w:rPr>
        <w:t xml:space="preserve"> transport infrastructure management and maintenance</w:t>
      </w:r>
      <w:r w:rsidR="00D67D3C">
        <w:rPr>
          <w:sz w:val="22"/>
          <w:szCs w:val="22"/>
          <w:lang w:val="en-GB"/>
        </w:rPr>
        <w:t>.</w:t>
      </w:r>
      <w:r w:rsidR="0035006D">
        <w:rPr>
          <w:sz w:val="22"/>
          <w:szCs w:val="22"/>
          <w:lang w:val="en-GB"/>
        </w:rPr>
        <w:t xml:space="preserve"> </w:t>
      </w:r>
    </w:p>
    <w:p w:rsidR="006F5FD0" w:rsidRPr="00A658D1" w:rsidRDefault="00571687" w:rsidP="008C5B63">
      <w:pPr>
        <w:pStyle w:val="Blockquote"/>
        <w:ind w:left="1134" w:right="357" w:hanging="284"/>
        <w:jc w:val="both"/>
        <w:rPr>
          <w:sz w:val="22"/>
          <w:szCs w:val="22"/>
          <w:lang w:val="en-GB"/>
        </w:rPr>
      </w:pPr>
      <w:r w:rsidRPr="00A658D1">
        <w:rPr>
          <w:b/>
          <w:sz w:val="22"/>
          <w:szCs w:val="22"/>
          <w:lang w:val="en-GB"/>
        </w:rPr>
        <w:t>3)</w:t>
      </w:r>
      <w:r w:rsidRPr="00A658D1">
        <w:rPr>
          <w:b/>
          <w:sz w:val="22"/>
          <w:szCs w:val="22"/>
          <w:lang w:val="en-GB"/>
        </w:rPr>
        <w:tab/>
      </w:r>
      <w:r w:rsidR="006F5FD0" w:rsidRPr="00A658D1">
        <w:rPr>
          <w:b/>
          <w:sz w:val="22"/>
          <w:szCs w:val="22"/>
          <w:u w:val="single"/>
          <w:lang w:val="en-GB"/>
        </w:rPr>
        <w:t xml:space="preserve">Technical capacity of candidate </w:t>
      </w:r>
      <w:r w:rsidR="00087A72" w:rsidRPr="00A658D1">
        <w:rPr>
          <w:sz w:val="22"/>
          <w:szCs w:val="22"/>
          <w:lang w:val="en-GB"/>
        </w:rPr>
        <w:t>(</w:t>
      </w:r>
      <w:r w:rsidR="006F5FD0" w:rsidRPr="00A658D1">
        <w:rPr>
          <w:sz w:val="22"/>
          <w:szCs w:val="22"/>
          <w:lang w:val="en-GB"/>
        </w:rPr>
        <w:t>based on items 5 and 6 of the application form</w:t>
      </w:r>
      <w:r w:rsidR="00087A72" w:rsidRPr="00A658D1">
        <w:rPr>
          <w:sz w:val="22"/>
          <w:szCs w:val="22"/>
          <w:lang w:val="en-GB"/>
        </w:rPr>
        <w:t>)</w:t>
      </w:r>
      <w:r w:rsidR="005558E0" w:rsidRPr="00A658D1">
        <w:rPr>
          <w:sz w:val="22"/>
          <w:szCs w:val="22"/>
          <w:lang w:val="en-GB"/>
        </w:rPr>
        <w:t xml:space="preserve">. The reference period which will be taken into account will be the last </w:t>
      </w:r>
      <w:r w:rsidR="00903FBB">
        <w:rPr>
          <w:sz w:val="22"/>
          <w:szCs w:val="22"/>
          <w:lang w:val="en-GB"/>
        </w:rPr>
        <w:t xml:space="preserve">five </w:t>
      </w:r>
      <w:r w:rsidR="005558E0" w:rsidRPr="00A658D1">
        <w:rPr>
          <w:sz w:val="22"/>
          <w:szCs w:val="22"/>
          <w:lang w:val="en-GB"/>
        </w:rPr>
        <w:t>years from submission deadline.</w:t>
      </w:r>
    </w:p>
    <w:p w:rsidR="00BE783C" w:rsidRPr="00A658D1" w:rsidRDefault="00AC3869" w:rsidP="00AC3869">
      <w:pPr>
        <w:pStyle w:val="Blockquote"/>
        <w:tabs>
          <w:tab w:val="left" w:pos="284"/>
        </w:tabs>
        <w:ind w:left="1341"/>
        <w:jc w:val="both"/>
        <w:rPr>
          <w:b/>
          <w:sz w:val="22"/>
          <w:szCs w:val="22"/>
          <w:lang w:val="en-GB"/>
        </w:rPr>
      </w:pPr>
      <w:r w:rsidRPr="00A658D1">
        <w:rPr>
          <w:b/>
          <w:sz w:val="22"/>
          <w:szCs w:val="22"/>
          <w:lang w:val="en-GB"/>
        </w:rPr>
        <w:t>Criteria for legal and natural persons:</w:t>
      </w:r>
    </w:p>
    <w:p w:rsidR="00467F1E" w:rsidRPr="00A658D1" w:rsidRDefault="00AC3869" w:rsidP="00980B65">
      <w:pPr>
        <w:pStyle w:val="Blockquote"/>
        <w:numPr>
          <w:ilvl w:val="0"/>
          <w:numId w:val="53"/>
        </w:numPr>
        <w:tabs>
          <w:tab w:val="left" w:pos="284"/>
        </w:tabs>
        <w:jc w:val="both"/>
        <w:rPr>
          <w:sz w:val="22"/>
          <w:szCs w:val="22"/>
          <w:lang w:val="en-GB"/>
        </w:rPr>
      </w:pPr>
      <w:r w:rsidRPr="00A658D1">
        <w:rPr>
          <w:sz w:val="22"/>
          <w:szCs w:val="22"/>
          <w:lang w:val="en-GB"/>
        </w:rPr>
        <w:t xml:space="preserve">The candidate has provided services under at least 1 (one) contract with a </w:t>
      </w:r>
      <w:r w:rsidR="003B39FC" w:rsidRPr="003B39FC">
        <w:rPr>
          <w:sz w:val="22"/>
          <w:szCs w:val="22"/>
          <w:lang w:val="en-GB"/>
        </w:rPr>
        <w:t>budget of at least that of this contract</w:t>
      </w:r>
      <w:r w:rsidR="007E0261" w:rsidRPr="00A658D1">
        <w:rPr>
          <w:sz w:val="22"/>
          <w:szCs w:val="22"/>
          <w:lang w:val="en-GB"/>
        </w:rPr>
        <w:t xml:space="preserve"> </w:t>
      </w:r>
      <w:r w:rsidR="00961DC4" w:rsidRPr="00A658D1">
        <w:rPr>
          <w:sz w:val="22"/>
          <w:szCs w:val="22"/>
          <w:lang w:val="en-GB"/>
        </w:rPr>
        <w:t xml:space="preserve">in </w:t>
      </w:r>
      <w:r w:rsidR="0055296D" w:rsidRPr="00A658D1">
        <w:rPr>
          <w:sz w:val="22"/>
          <w:szCs w:val="22"/>
          <w:lang w:val="en-GB"/>
        </w:rPr>
        <w:t xml:space="preserve">the </w:t>
      </w:r>
      <w:r w:rsidR="00961DC4" w:rsidRPr="00A658D1">
        <w:rPr>
          <w:sz w:val="22"/>
          <w:szCs w:val="22"/>
          <w:lang w:val="en-GB"/>
        </w:rPr>
        <w:t>field</w:t>
      </w:r>
      <w:r w:rsidR="0055296D" w:rsidRPr="00A658D1">
        <w:rPr>
          <w:sz w:val="22"/>
          <w:szCs w:val="22"/>
          <w:lang w:val="en-GB"/>
        </w:rPr>
        <w:t xml:space="preserve"> </w:t>
      </w:r>
      <w:r w:rsidR="00C0286D">
        <w:rPr>
          <w:sz w:val="22"/>
          <w:szCs w:val="22"/>
          <w:lang w:val="en-GB"/>
        </w:rPr>
        <w:t xml:space="preserve">of </w:t>
      </w:r>
      <w:r w:rsidR="0055296D" w:rsidRPr="00A658D1">
        <w:rPr>
          <w:sz w:val="22"/>
          <w:szCs w:val="22"/>
          <w:lang w:val="en-GB"/>
        </w:rPr>
        <w:t xml:space="preserve">Development of </w:t>
      </w:r>
      <w:r w:rsidR="009E50DC">
        <w:rPr>
          <w:sz w:val="22"/>
          <w:szCs w:val="22"/>
          <w:lang w:val="en-GB"/>
        </w:rPr>
        <w:t xml:space="preserve">a </w:t>
      </w:r>
      <w:r w:rsidR="0055296D" w:rsidRPr="00A658D1">
        <w:rPr>
          <w:sz w:val="22"/>
          <w:szCs w:val="22"/>
          <w:lang w:val="en-GB"/>
        </w:rPr>
        <w:t>Road Database</w:t>
      </w:r>
      <w:r w:rsidRPr="00A658D1">
        <w:rPr>
          <w:sz w:val="22"/>
          <w:szCs w:val="22"/>
          <w:lang w:val="en-GB"/>
        </w:rPr>
        <w:t xml:space="preserve"> which was implemented at any moment during the reference period:</w:t>
      </w:r>
      <w:r w:rsidR="00467F1E" w:rsidRPr="00A658D1">
        <w:rPr>
          <w:sz w:val="22"/>
          <w:szCs w:val="22"/>
          <w:lang w:val="en-GB"/>
        </w:rPr>
        <w:t xml:space="preserve"> </w:t>
      </w:r>
      <w:r w:rsidR="008334BA">
        <w:rPr>
          <w:sz w:val="22"/>
          <w:szCs w:val="22"/>
          <w:lang w:val="en-GB"/>
        </w:rPr>
        <w:lastRenderedPageBreak/>
        <w:t xml:space="preserve">past </w:t>
      </w:r>
      <w:r w:rsidR="00723266">
        <w:rPr>
          <w:sz w:val="22"/>
          <w:szCs w:val="22"/>
          <w:lang w:val="en-GB"/>
        </w:rPr>
        <w:t>five</w:t>
      </w:r>
      <w:r w:rsidR="00723266" w:rsidRPr="00A658D1">
        <w:rPr>
          <w:sz w:val="22"/>
          <w:szCs w:val="22"/>
          <w:lang w:val="en-GB"/>
        </w:rPr>
        <w:t xml:space="preserve"> </w:t>
      </w:r>
      <w:r w:rsidR="00467F1E" w:rsidRPr="00A658D1">
        <w:rPr>
          <w:sz w:val="22"/>
          <w:szCs w:val="22"/>
          <w:lang w:val="en-GB"/>
        </w:rPr>
        <w:t>(</w:t>
      </w:r>
      <w:r w:rsidR="00723266">
        <w:rPr>
          <w:sz w:val="22"/>
          <w:szCs w:val="22"/>
          <w:lang w:val="en-GB"/>
        </w:rPr>
        <w:t>5</w:t>
      </w:r>
      <w:r w:rsidR="00467F1E" w:rsidRPr="00A658D1">
        <w:rPr>
          <w:sz w:val="22"/>
          <w:szCs w:val="22"/>
          <w:lang w:val="en-GB"/>
        </w:rPr>
        <w:t xml:space="preserve">) years </w:t>
      </w:r>
      <w:r w:rsidR="008334BA">
        <w:rPr>
          <w:sz w:val="22"/>
          <w:szCs w:val="22"/>
          <w:lang w:val="en-GB"/>
        </w:rPr>
        <w:t xml:space="preserve">starting </w:t>
      </w:r>
      <w:r w:rsidR="00467F1E" w:rsidRPr="00A658D1">
        <w:rPr>
          <w:sz w:val="22"/>
          <w:szCs w:val="22"/>
          <w:lang w:val="en-GB"/>
        </w:rPr>
        <w:t>from the submission deadline</w:t>
      </w:r>
      <w:r w:rsidR="008F7294" w:rsidRPr="00A658D1">
        <w:rPr>
          <w:sz w:val="22"/>
          <w:szCs w:val="22"/>
          <w:lang w:val="en-GB"/>
        </w:rPr>
        <w:t xml:space="preserve"> of this application</w:t>
      </w:r>
      <w:r w:rsidR="008334BA">
        <w:rPr>
          <w:sz w:val="22"/>
          <w:szCs w:val="22"/>
          <w:lang w:val="en-GB"/>
        </w:rPr>
        <w:t>.</w:t>
      </w:r>
    </w:p>
    <w:p w:rsidR="00AC3869" w:rsidRPr="00A658D1" w:rsidRDefault="00AC3869" w:rsidP="00AC3869">
      <w:pPr>
        <w:pStyle w:val="Blockquote"/>
        <w:tabs>
          <w:tab w:val="left" w:pos="284"/>
        </w:tabs>
        <w:ind w:left="1341"/>
        <w:jc w:val="both"/>
        <w:rPr>
          <w:b/>
          <w:sz w:val="22"/>
          <w:szCs w:val="22"/>
          <w:lang w:val="en-GB"/>
        </w:rPr>
      </w:pPr>
      <w:r w:rsidRPr="00A658D1">
        <w:rPr>
          <w:sz w:val="22"/>
          <w:szCs w:val="22"/>
          <w:lang w:val="en-GB"/>
        </w:rPr>
        <w:t>This means that the project the candidate refers to could have been started or completed at any time during the indicated period but it does not necessarily have to be started and completed during that period, nor implemented during the entire period.</w:t>
      </w:r>
      <w:r w:rsidRPr="00A658D1">
        <w:t xml:space="preserve"> </w:t>
      </w:r>
      <w:r w:rsidRPr="00A658D1">
        <w:rPr>
          <w:sz w:val="22"/>
          <w:szCs w:val="22"/>
          <w:lang w:val="en-GB"/>
        </w:rPr>
        <w:t>Candidates/tenderers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In case of projects still on-going only the portion satisfactorily completed during the reference period although started earlier will be taken into consideration. This portion will have to be supported by documentary evidence (similarly to projects completed) also detailing its value.</w:t>
      </w:r>
      <w:r w:rsidR="00467F1E" w:rsidRPr="00A658D1">
        <w:rPr>
          <w:sz w:val="22"/>
          <w:szCs w:val="22"/>
          <w:lang w:val="en-GB"/>
        </w:rPr>
        <w:t xml:space="preserve"> </w:t>
      </w:r>
      <w:r w:rsidRPr="00A658D1">
        <w:rPr>
          <w:sz w:val="22"/>
          <w:szCs w:val="22"/>
          <w:lang w:val="en-GB"/>
        </w:rPr>
        <w:t>If a candidate/tenderer has implemented the project in a consortium, the percentage that the candidate/tenderer has successfully completed must be clear from the documentary evidence, together with a description of the nature of the services provided if the selection criteria relating to the pertinence of the experience have been used.</w:t>
      </w:r>
    </w:p>
    <w:p w:rsidR="004F00C7" w:rsidRPr="00A658D1" w:rsidRDefault="004F00C7" w:rsidP="00D46A0E">
      <w:pPr>
        <w:pStyle w:val="Blockquote"/>
        <w:ind w:left="1350"/>
        <w:jc w:val="both"/>
        <w:rPr>
          <w:sz w:val="22"/>
          <w:szCs w:val="22"/>
          <w:lang w:val="en-GB"/>
        </w:rPr>
      </w:pPr>
      <w:r w:rsidRPr="00A658D1">
        <w:rPr>
          <w:sz w:val="22"/>
          <w:szCs w:val="22"/>
          <w:lang w:val="en-GB"/>
        </w:rPr>
        <w:t xml:space="preserve">Previous experience which </w:t>
      </w:r>
      <w:r w:rsidR="00B72045" w:rsidRPr="00A658D1">
        <w:rPr>
          <w:sz w:val="22"/>
          <w:szCs w:val="22"/>
          <w:lang w:val="en-GB"/>
        </w:rPr>
        <w:t>caused</w:t>
      </w:r>
      <w:r w:rsidRPr="00A658D1">
        <w:rPr>
          <w:sz w:val="22"/>
          <w:szCs w:val="22"/>
          <w:lang w:val="en-GB"/>
        </w:rPr>
        <w:t xml:space="preserve"> breach of contract and termination by a Contracting Authority shall not be used as reference. </w:t>
      </w:r>
    </w:p>
    <w:p w:rsidR="007121FB" w:rsidRPr="00A658D1" w:rsidRDefault="005B4F80" w:rsidP="00D46A0E">
      <w:pPr>
        <w:pStyle w:val="Default"/>
        <w:ind w:left="1350"/>
        <w:jc w:val="both"/>
      </w:pPr>
      <w:r w:rsidRPr="00A658D1">
        <w:rPr>
          <w:sz w:val="22"/>
          <w:szCs w:val="22"/>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w:t>
      </w:r>
      <w:r w:rsidR="00723266">
        <w:rPr>
          <w:sz w:val="22"/>
          <w:szCs w:val="22"/>
        </w:rPr>
        <w:t>commitment</w:t>
      </w:r>
      <w:r w:rsidR="00723266" w:rsidRPr="00A658D1">
        <w:rPr>
          <w:sz w:val="22"/>
          <w:szCs w:val="22"/>
        </w:rPr>
        <w:t xml:space="preserve"> </w:t>
      </w:r>
      <w:r w:rsidRPr="00A658D1">
        <w:rPr>
          <w:sz w:val="22"/>
          <w:szCs w:val="22"/>
        </w:rPr>
        <w:t xml:space="preserve">on the part of those entities to place those resources at its disposal. </w:t>
      </w:r>
      <w:r w:rsidR="007121FB" w:rsidRPr="00A658D1">
        <w:rPr>
          <w:sz w:val="22"/>
          <w:szCs w:val="22"/>
        </w:rPr>
        <w:t>Such entities</w:t>
      </w:r>
      <w:r w:rsidR="00590ADB" w:rsidRPr="00A658D1">
        <w:rPr>
          <w:sz w:val="22"/>
          <w:szCs w:val="22"/>
        </w:rPr>
        <w:t xml:space="preserve">, for instance the parent company of the economic operator, </w:t>
      </w:r>
      <w:r w:rsidR="007121FB" w:rsidRPr="00A658D1">
        <w:rPr>
          <w:sz w:val="22"/>
          <w:szCs w:val="22"/>
        </w:rPr>
        <w:t>must respect the same rules of eligibility</w:t>
      </w:r>
      <w:r w:rsidR="00723266">
        <w:rPr>
          <w:sz w:val="22"/>
          <w:szCs w:val="22"/>
        </w:rPr>
        <w:t xml:space="preserve"> - </w:t>
      </w:r>
      <w:r w:rsidR="007121FB" w:rsidRPr="00A658D1">
        <w:rPr>
          <w:sz w:val="22"/>
          <w:szCs w:val="22"/>
        </w:rPr>
        <w:t>notably that of nationality</w:t>
      </w:r>
      <w:r w:rsidR="00723266">
        <w:rPr>
          <w:sz w:val="22"/>
          <w:szCs w:val="22"/>
        </w:rPr>
        <w:t xml:space="preserve"> – and must fulfil the same relevant selection criteria </w:t>
      </w:r>
      <w:r w:rsidR="007121FB" w:rsidRPr="00A658D1">
        <w:rPr>
          <w:sz w:val="22"/>
          <w:szCs w:val="22"/>
        </w:rPr>
        <w:t>as the economic operator.</w:t>
      </w:r>
      <w:r w:rsidR="00723266" w:rsidRPr="00723266">
        <w:rPr>
          <w:sz w:val="22"/>
          <w:szCs w:val="22"/>
        </w:rPr>
        <w:t xml:space="preserve"> </w:t>
      </w:r>
      <w:r w:rsidR="00723266" w:rsidRPr="000F4C91">
        <w:rPr>
          <w:sz w:val="22"/>
          <w:szCs w:val="22"/>
        </w:rPr>
        <w:t>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performance of the contract.</w:t>
      </w:r>
    </w:p>
    <w:p w:rsidR="006F5FD0" w:rsidRPr="00A658D1" w:rsidRDefault="006F5FD0" w:rsidP="00D46A0E">
      <w:pPr>
        <w:pStyle w:val="Blockquote"/>
        <w:tabs>
          <w:tab w:val="left" w:pos="1440"/>
        </w:tabs>
        <w:ind w:left="1350"/>
        <w:jc w:val="both"/>
        <w:rPr>
          <w:sz w:val="22"/>
          <w:szCs w:val="22"/>
        </w:rPr>
      </w:pPr>
      <w:r w:rsidRPr="00A658D1">
        <w:rPr>
          <w:sz w:val="22"/>
          <w:szCs w:val="22"/>
          <w:lang w:val="en-GB"/>
        </w:rPr>
        <w:t xml:space="preserve">If more than 8 eligible candidates meet the above selection criteria, </w:t>
      </w:r>
      <w:r w:rsidRPr="00A658D1">
        <w:rPr>
          <w:sz w:val="22"/>
          <w:szCs w:val="22"/>
        </w:rPr>
        <w:t>the relative strengths and weaknesses of the applications of these candidates must be reexamined to identify the eight best</w:t>
      </w:r>
      <w:r w:rsidR="000A3758" w:rsidRPr="00A658D1">
        <w:rPr>
          <w:sz w:val="22"/>
          <w:szCs w:val="22"/>
        </w:rPr>
        <w:t xml:space="preserve"> candidates</w:t>
      </w:r>
      <w:r w:rsidRPr="00A658D1">
        <w:rPr>
          <w:sz w:val="22"/>
          <w:szCs w:val="22"/>
        </w:rPr>
        <w:t>.  The only factors which will be taken into consideration during this re-examination are:</w:t>
      </w:r>
    </w:p>
    <w:p w:rsidR="00C23C84" w:rsidRPr="00A658D1" w:rsidRDefault="00571687" w:rsidP="00D46A0E">
      <w:pPr>
        <w:pStyle w:val="Blockquote"/>
        <w:spacing w:before="0" w:after="0"/>
        <w:ind w:left="1350"/>
        <w:jc w:val="both"/>
        <w:rPr>
          <w:sz w:val="22"/>
          <w:szCs w:val="22"/>
          <w:lang w:val="en-GB"/>
        </w:rPr>
      </w:pPr>
      <w:r w:rsidRPr="00A658D1">
        <w:rPr>
          <w:sz w:val="22"/>
          <w:szCs w:val="22"/>
          <w:lang w:val="en-GB"/>
        </w:rPr>
        <w:t>1)</w:t>
      </w:r>
      <w:r w:rsidR="00D46A0E">
        <w:rPr>
          <w:sz w:val="22"/>
          <w:szCs w:val="22"/>
          <w:lang w:val="en-GB"/>
        </w:rPr>
        <w:t xml:space="preserve"> </w:t>
      </w:r>
      <w:r w:rsidR="00705397" w:rsidRPr="00A658D1">
        <w:rPr>
          <w:sz w:val="22"/>
          <w:szCs w:val="22"/>
          <w:lang w:val="en-GB"/>
        </w:rPr>
        <w:t>T</w:t>
      </w:r>
      <w:r w:rsidR="00705397" w:rsidRPr="00A658D1">
        <w:rPr>
          <w:sz w:val="22"/>
        </w:rPr>
        <w:t xml:space="preserve">he highest number of </w:t>
      </w:r>
      <w:r w:rsidR="00C0286D">
        <w:rPr>
          <w:sz w:val="22"/>
        </w:rPr>
        <w:t>contract</w:t>
      </w:r>
      <w:r w:rsidR="008B218E">
        <w:rPr>
          <w:sz w:val="22"/>
        </w:rPr>
        <w:t>s</w:t>
      </w:r>
      <w:r w:rsidR="00C0286D" w:rsidRPr="00A658D1">
        <w:rPr>
          <w:sz w:val="22"/>
        </w:rPr>
        <w:t xml:space="preserve"> </w:t>
      </w:r>
      <w:r w:rsidR="00705397" w:rsidRPr="00A658D1">
        <w:rPr>
          <w:sz w:val="22"/>
        </w:rPr>
        <w:t>in criterion 21.3</w:t>
      </w:r>
      <w:r w:rsidR="00507A6E" w:rsidRPr="00A658D1">
        <w:rPr>
          <w:sz w:val="22"/>
        </w:rPr>
        <w:t>, and</w:t>
      </w:r>
    </w:p>
    <w:p w:rsidR="00D46A0E" w:rsidRDefault="00571687" w:rsidP="00D46A0E">
      <w:pPr>
        <w:pStyle w:val="Blockquote"/>
        <w:spacing w:before="0" w:after="0"/>
        <w:ind w:left="1350"/>
        <w:jc w:val="both"/>
        <w:rPr>
          <w:sz w:val="22"/>
          <w:szCs w:val="22"/>
        </w:rPr>
      </w:pPr>
      <w:r w:rsidRPr="00A658D1">
        <w:rPr>
          <w:sz w:val="22"/>
          <w:szCs w:val="22"/>
          <w:lang w:val="en-GB"/>
        </w:rPr>
        <w:t>2)</w:t>
      </w:r>
      <w:r w:rsidR="00D46A0E">
        <w:rPr>
          <w:sz w:val="22"/>
          <w:szCs w:val="22"/>
          <w:lang w:val="en-GB"/>
        </w:rPr>
        <w:t xml:space="preserve"> </w:t>
      </w:r>
      <w:r w:rsidR="00705397" w:rsidRPr="00A658D1">
        <w:rPr>
          <w:sz w:val="22"/>
          <w:szCs w:val="22"/>
        </w:rPr>
        <w:t xml:space="preserve">For the cases with equal standing, the cumulative amount of references (proportion </w:t>
      </w:r>
      <w:r w:rsidR="00D46A0E">
        <w:rPr>
          <w:sz w:val="22"/>
          <w:szCs w:val="22"/>
        </w:rPr>
        <w:t xml:space="preserve"> </w:t>
      </w:r>
    </w:p>
    <w:p w:rsidR="005F776D" w:rsidRPr="00A658D1" w:rsidRDefault="00D46A0E" w:rsidP="00D46A0E">
      <w:pPr>
        <w:pStyle w:val="Blockquote"/>
        <w:spacing w:before="0" w:after="0"/>
        <w:ind w:left="1350"/>
        <w:jc w:val="both"/>
        <w:rPr>
          <w:sz w:val="22"/>
          <w:szCs w:val="22"/>
          <w:lang w:val="en-GB"/>
        </w:rPr>
      </w:pPr>
      <w:r>
        <w:rPr>
          <w:sz w:val="22"/>
          <w:szCs w:val="22"/>
        </w:rPr>
        <w:t xml:space="preserve">    </w:t>
      </w:r>
      <w:r w:rsidR="00705397" w:rsidRPr="00A658D1">
        <w:rPr>
          <w:sz w:val="22"/>
          <w:szCs w:val="22"/>
        </w:rPr>
        <w:t>carried out by candidate) satisfying the above criterion 21.3</w:t>
      </w:r>
      <w:r w:rsidR="00507A6E" w:rsidRPr="00A658D1">
        <w:rPr>
          <w:sz w:val="22"/>
          <w:szCs w:val="22"/>
        </w:rPr>
        <w:t>.</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22. </w:t>
      </w:r>
      <w:r w:rsidR="00584BF4" w:rsidRPr="00A658D1">
        <w:rPr>
          <w:rStyle w:val="Strong"/>
          <w:sz w:val="22"/>
          <w:szCs w:val="22"/>
          <w:lang w:val="en-GB"/>
        </w:rPr>
        <w:tab/>
      </w:r>
      <w:r w:rsidRPr="00A658D1">
        <w:rPr>
          <w:rStyle w:val="Strong"/>
          <w:sz w:val="22"/>
          <w:szCs w:val="22"/>
          <w:lang w:val="en-GB"/>
        </w:rPr>
        <w:t>Award criteria</w:t>
      </w:r>
    </w:p>
    <w:p w:rsidR="006F5FD0" w:rsidRPr="00A658D1" w:rsidRDefault="00397073" w:rsidP="007E153C">
      <w:pPr>
        <w:pStyle w:val="Blockquote"/>
        <w:ind w:left="709"/>
        <w:jc w:val="both"/>
        <w:rPr>
          <w:sz w:val="22"/>
          <w:szCs w:val="22"/>
          <w:lang w:val="en-GB"/>
        </w:rPr>
      </w:pPr>
      <w:r w:rsidRPr="00A658D1">
        <w:rPr>
          <w:sz w:val="22"/>
          <w:szCs w:val="22"/>
          <w:lang w:val="en-GB"/>
        </w:rPr>
        <w:t xml:space="preserve">Best </w:t>
      </w:r>
      <w:r w:rsidR="00723266">
        <w:rPr>
          <w:sz w:val="22"/>
          <w:szCs w:val="22"/>
          <w:lang w:val="en-GB"/>
        </w:rPr>
        <w:t>price-quality ratio</w:t>
      </w:r>
      <w:r w:rsidRPr="00A658D1">
        <w:rPr>
          <w:sz w:val="22"/>
          <w:szCs w:val="22"/>
          <w:lang w:val="en-GB"/>
        </w:rPr>
        <w:t>.</w:t>
      </w:r>
    </w:p>
    <w:p w:rsidR="006F5FD0" w:rsidRPr="00A658D1" w:rsidRDefault="001655CC">
      <w:pPr>
        <w:rPr>
          <w:sz w:val="22"/>
          <w:szCs w:val="22"/>
          <w:lang w:val="en-GB"/>
        </w:rPr>
      </w:pPr>
      <w:r>
        <w:rPr>
          <w:noProof/>
          <w:snapToGrid/>
          <w:sz w:val="22"/>
          <w:szCs w:val="22"/>
          <w:lang w:val="en-GB" w:eastAsia="en-GB"/>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a7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BjUDiNF&#10;OijRk1AcFUGZ3rgSDJZqY0Nu9KhezJOmPxxSetkSteOR4evJgFsWPJIbl3BwBvC3/RfNwIbsvY4y&#10;HRvbBUgQAB1jNU7XavCjRxQ+Th/ySZFC0SjcFZNpxCflxdVY5z9z3aGwqbAE1hGaHJ6cD1RIeTEJ&#10;kZReCyljuaVCfYXH8Eyjh9NSsHAb7JzdbZfSogOBjqnz8A6Bb8ys3isW0VpO2GrYeyLkeQ/RpQp4&#10;PDYhUIrp7j23Ly3rEROBdDa+DwkyAR2ZFdDP8GBE5A5myVuMrPbfhW+jykGfdwRnaXgHgvqCHpO/&#10;CQyaDhSCurExfz6kD6vZapaP8nGxGuVpXY8+rZf5qFhn99N6Ui+XdfYrhMzyshWMcRU0ugxJlv9d&#10;Ew7jem7v65hcq5Hcop+ZH0EsEPBCOjZV6KNzR241O23spdlgLqLxMMNh8N6eYf/2T7P4DQ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NUhJrt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rsidR="006F5FD0" w:rsidRPr="00A658D1" w:rsidRDefault="006F5FD0">
      <w:pPr>
        <w:keepNext/>
        <w:jc w:val="center"/>
        <w:rPr>
          <w:sz w:val="28"/>
          <w:szCs w:val="28"/>
          <w:lang w:val="en-GB"/>
        </w:rPr>
      </w:pPr>
      <w:r w:rsidRPr="00A658D1">
        <w:rPr>
          <w:rStyle w:val="Strong"/>
          <w:sz w:val="28"/>
          <w:szCs w:val="28"/>
          <w:lang w:val="en-GB"/>
        </w:rPr>
        <w:t>APPLICATION</w:t>
      </w:r>
    </w:p>
    <w:p w:rsidR="006F5FD0" w:rsidRDefault="006F5FD0" w:rsidP="00584BF4">
      <w:pPr>
        <w:keepNext/>
        <w:ind w:left="709" w:hanging="352"/>
        <w:outlineLvl w:val="0"/>
        <w:rPr>
          <w:rStyle w:val="Strong"/>
          <w:sz w:val="22"/>
          <w:szCs w:val="22"/>
          <w:lang w:val="en-GB"/>
        </w:rPr>
      </w:pPr>
      <w:r w:rsidRPr="00A658D1">
        <w:rPr>
          <w:rStyle w:val="Strong"/>
          <w:sz w:val="22"/>
          <w:szCs w:val="22"/>
          <w:lang w:val="en-GB"/>
        </w:rPr>
        <w:t xml:space="preserve">23. </w:t>
      </w:r>
      <w:r w:rsidR="00584BF4" w:rsidRPr="00A658D1">
        <w:rPr>
          <w:rStyle w:val="Strong"/>
          <w:sz w:val="22"/>
          <w:szCs w:val="22"/>
          <w:lang w:val="en-GB"/>
        </w:rPr>
        <w:tab/>
      </w:r>
      <w:r w:rsidRPr="00A658D1">
        <w:rPr>
          <w:rStyle w:val="Strong"/>
          <w:sz w:val="22"/>
          <w:szCs w:val="22"/>
          <w:lang w:val="en-GB"/>
        </w:rPr>
        <w:t>Deadline for receipt of applications</w:t>
      </w:r>
    </w:p>
    <w:p w:rsidR="00A76E3A" w:rsidRPr="00A658D1" w:rsidRDefault="00D21B9B" w:rsidP="00823A49">
      <w:pPr>
        <w:keepNext/>
        <w:ind w:left="709"/>
        <w:outlineLvl w:val="0"/>
        <w:rPr>
          <w:sz w:val="22"/>
          <w:szCs w:val="22"/>
          <w:lang w:val="en-GB"/>
        </w:rPr>
      </w:pPr>
      <w:r>
        <w:rPr>
          <w:sz w:val="22"/>
          <w:szCs w:val="22"/>
          <w:lang w:val="en-GB"/>
        </w:rPr>
        <w:t>8</w:t>
      </w:r>
      <w:r w:rsidRPr="00D21B9B">
        <w:rPr>
          <w:sz w:val="22"/>
          <w:szCs w:val="22"/>
          <w:vertAlign w:val="superscript"/>
          <w:lang w:val="en-GB"/>
        </w:rPr>
        <w:t>th</w:t>
      </w:r>
      <w:r>
        <w:rPr>
          <w:sz w:val="22"/>
          <w:szCs w:val="22"/>
          <w:lang w:val="en-GB"/>
        </w:rPr>
        <w:t xml:space="preserve"> August</w:t>
      </w:r>
      <w:r w:rsidR="00A76E3A" w:rsidRPr="00A76E3A">
        <w:rPr>
          <w:sz w:val="22"/>
          <w:szCs w:val="22"/>
          <w:lang w:val="en-GB"/>
        </w:rPr>
        <w:t xml:space="preserve"> 2016 ,</w:t>
      </w:r>
      <w:r w:rsidR="00625C63">
        <w:rPr>
          <w:sz w:val="22"/>
          <w:szCs w:val="22"/>
          <w:lang w:val="en-GB"/>
        </w:rPr>
        <w:t xml:space="preserve"> Podgorica </w:t>
      </w:r>
      <w:r w:rsidR="00A76E3A" w:rsidRPr="00A76E3A">
        <w:rPr>
          <w:sz w:val="22"/>
          <w:szCs w:val="22"/>
          <w:lang w:val="en-GB"/>
        </w:rPr>
        <w:t>16:30 h,</w:t>
      </w:r>
      <w:r w:rsidR="00625C63">
        <w:rPr>
          <w:sz w:val="22"/>
          <w:szCs w:val="22"/>
          <w:lang w:val="en-GB"/>
        </w:rPr>
        <w:t xml:space="preserve"> local time </w:t>
      </w:r>
    </w:p>
    <w:p w:rsidR="006F5FD0" w:rsidRPr="00A658D1" w:rsidRDefault="006F5FD0" w:rsidP="007E153C">
      <w:pPr>
        <w:pStyle w:val="Blockquote"/>
        <w:ind w:left="709"/>
        <w:jc w:val="both"/>
        <w:rPr>
          <w:i/>
          <w:sz w:val="22"/>
          <w:szCs w:val="22"/>
          <w:lang w:val="en-GB"/>
        </w:rPr>
      </w:pPr>
      <w:r w:rsidRPr="00A658D1">
        <w:rPr>
          <w:rStyle w:val="Emphasis"/>
          <w:i w:val="0"/>
          <w:sz w:val="22"/>
          <w:szCs w:val="22"/>
          <w:lang w:val="en-GB"/>
        </w:rPr>
        <w:t xml:space="preserve">Any application received </w:t>
      </w:r>
      <w:r w:rsidR="007F0984" w:rsidRPr="00A658D1">
        <w:rPr>
          <w:rStyle w:val="Emphasis"/>
          <w:i w:val="0"/>
          <w:sz w:val="22"/>
          <w:szCs w:val="22"/>
          <w:lang w:val="en-GB"/>
        </w:rPr>
        <w:t xml:space="preserve">by the Contracting Authority </w:t>
      </w:r>
      <w:r w:rsidRPr="00A658D1">
        <w:rPr>
          <w:rStyle w:val="Emphasis"/>
          <w:i w:val="0"/>
          <w:sz w:val="22"/>
          <w:szCs w:val="22"/>
          <w:lang w:val="en-GB"/>
        </w:rPr>
        <w:t>after this deadline will not be considered.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24. </w:t>
      </w:r>
      <w:r w:rsidR="00584BF4" w:rsidRPr="00A658D1">
        <w:rPr>
          <w:rStyle w:val="Strong"/>
          <w:sz w:val="22"/>
          <w:szCs w:val="22"/>
          <w:lang w:val="en-GB"/>
        </w:rPr>
        <w:tab/>
      </w:r>
      <w:r w:rsidRPr="00A658D1">
        <w:rPr>
          <w:rStyle w:val="Strong"/>
          <w:sz w:val="22"/>
          <w:szCs w:val="22"/>
          <w:lang w:val="en-GB"/>
        </w:rPr>
        <w:t>Application format and details to be provided</w:t>
      </w:r>
    </w:p>
    <w:p w:rsidR="00C73DC0" w:rsidRDefault="006F5FD0" w:rsidP="00C73DC0">
      <w:pPr>
        <w:pStyle w:val="Blockquote"/>
        <w:ind w:left="709"/>
        <w:jc w:val="both"/>
        <w:rPr>
          <w:sz w:val="22"/>
          <w:szCs w:val="22"/>
          <w:lang w:val="en-GB"/>
        </w:rPr>
      </w:pPr>
      <w:r w:rsidRPr="00A658D1">
        <w:rPr>
          <w:rStyle w:val="Strong"/>
          <w:b w:val="0"/>
          <w:sz w:val="22"/>
          <w:szCs w:val="22"/>
          <w:lang w:val="en-GB"/>
        </w:rPr>
        <w:t>Applications must be submitted using the standard application form</w:t>
      </w:r>
      <w:r w:rsidR="009B06B5" w:rsidRPr="00A658D1">
        <w:rPr>
          <w:sz w:val="22"/>
          <w:szCs w:val="22"/>
          <w:lang w:val="en-GB"/>
        </w:rPr>
        <w:t xml:space="preserve">, the format and instructions of which must be strictly observed. The application form is </w:t>
      </w:r>
      <w:r w:rsidR="00C73DC0">
        <w:rPr>
          <w:sz w:val="22"/>
          <w:szCs w:val="22"/>
          <w:lang w:val="en-GB"/>
        </w:rPr>
        <w:t xml:space="preserve">available from the following </w:t>
      </w:r>
      <w:r w:rsidRPr="00A658D1">
        <w:rPr>
          <w:sz w:val="22"/>
          <w:szCs w:val="22"/>
          <w:lang w:val="en-GB"/>
        </w:rPr>
        <w:t>Internet address:</w:t>
      </w:r>
    </w:p>
    <w:p w:rsidR="006F5FD0" w:rsidRPr="00C73DC0" w:rsidRDefault="006C0F37" w:rsidP="00C73DC0">
      <w:pPr>
        <w:pStyle w:val="Blockquote"/>
        <w:ind w:left="709"/>
        <w:jc w:val="both"/>
        <w:rPr>
          <w:color w:val="0000FF"/>
          <w:sz w:val="22"/>
          <w:szCs w:val="22"/>
          <w:lang w:val="en-GB"/>
        </w:rPr>
      </w:pPr>
      <w:r w:rsidRPr="00C73DC0">
        <w:rPr>
          <w:color w:val="0000FF"/>
          <w:sz w:val="22"/>
          <w:szCs w:val="22"/>
          <w:lang w:val="en-GB"/>
        </w:rPr>
        <w:t xml:space="preserve"> </w:t>
      </w:r>
      <w:hyperlink r:id="rId9" w:history="1">
        <w:r w:rsidR="00EF2B16" w:rsidRPr="00C73DC0">
          <w:rPr>
            <w:rStyle w:val="Hyperlink"/>
            <w:sz w:val="22"/>
            <w:szCs w:val="22"/>
            <w:lang w:val="en-GB"/>
          </w:rPr>
          <w:t>http://ec.europa.eu/europeaid/prag/annexes.do?chapterTitleCode=B</w:t>
        </w:r>
      </w:hyperlink>
      <w:r w:rsidR="00EF2B16" w:rsidRPr="00C73DC0">
        <w:rPr>
          <w:color w:val="0000FF"/>
          <w:sz w:val="22"/>
          <w:szCs w:val="22"/>
          <w:lang w:val="en-GB"/>
        </w:rPr>
        <w:t xml:space="preserve"> </w:t>
      </w:r>
    </w:p>
    <w:p w:rsidR="00723266" w:rsidRDefault="00723266" w:rsidP="001D5343">
      <w:pPr>
        <w:pStyle w:val="Default"/>
        <w:ind w:left="720"/>
        <w:rPr>
          <w:sz w:val="22"/>
          <w:szCs w:val="22"/>
        </w:rPr>
      </w:pPr>
      <w:r w:rsidRPr="000F4C91">
        <w:rPr>
          <w:sz w:val="22"/>
          <w:szCs w:val="22"/>
        </w:rPr>
        <w:t xml:space="preserve">The application must be accompanied by a declaration of honour on exclusion and selection criteria using the template available from the following Internet address: </w:t>
      </w:r>
    </w:p>
    <w:p w:rsidR="00723266" w:rsidRPr="000F4C91" w:rsidRDefault="00723266" w:rsidP="00723266">
      <w:pPr>
        <w:pStyle w:val="Default"/>
        <w:rPr>
          <w:sz w:val="22"/>
          <w:szCs w:val="22"/>
        </w:rPr>
      </w:pPr>
    </w:p>
    <w:p w:rsidR="00723266" w:rsidRDefault="009417E7" w:rsidP="009B04FA">
      <w:pPr>
        <w:pStyle w:val="Default"/>
        <w:ind w:left="1530" w:hanging="810"/>
        <w:rPr>
          <w:sz w:val="22"/>
          <w:szCs w:val="22"/>
        </w:rPr>
      </w:pPr>
      <w:hyperlink r:id="rId10" w:history="1">
        <w:r w:rsidR="001D5343" w:rsidRPr="006C1FBE">
          <w:rPr>
            <w:rStyle w:val="Hyperlink"/>
            <w:sz w:val="22"/>
            <w:szCs w:val="22"/>
          </w:rPr>
          <w:t>http://ec.europa.eu/europeaid/prag/annexes.do?chapterTitleCode=A</w:t>
        </w:r>
      </w:hyperlink>
    </w:p>
    <w:p w:rsidR="001D5343" w:rsidRDefault="001D5343" w:rsidP="009B04FA">
      <w:pPr>
        <w:pStyle w:val="Default"/>
        <w:ind w:left="1530" w:hanging="810"/>
        <w:rPr>
          <w:sz w:val="22"/>
          <w:szCs w:val="22"/>
        </w:rPr>
      </w:pPr>
    </w:p>
    <w:p w:rsidR="006F5FD0" w:rsidRPr="00A658D1" w:rsidRDefault="006F5FD0" w:rsidP="007E153C">
      <w:pPr>
        <w:pStyle w:val="Blockquote"/>
        <w:ind w:left="709"/>
        <w:jc w:val="both"/>
        <w:rPr>
          <w:sz w:val="22"/>
          <w:szCs w:val="22"/>
          <w:lang w:val="en-GB"/>
        </w:rPr>
      </w:pPr>
      <w:r w:rsidRPr="00A658D1">
        <w:rPr>
          <w:sz w:val="22"/>
          <w:szCs w:val="22"/>
          <w:lang w:val="en-GB"/>
        </w:rPr>
        <w:t>Any additional documentation (brochure, letter, etc) sent with an application will not be taken into consideration.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25. </w:t>
      </w:r>
      <w:r w:rsidR="00584BF4" w:rsidRPr="00A658D1">
        <w:rPr>
          <w:rStyle w:val="Strong"/>
          <w:sz w:val="22"/>
          <w:szCs w:val="22"/>
          <w:lang w:val="en-GB"/>
        </w:rPr>
        <w:tab/>
      </w:r>
      <w:r w:rsidRPr="00A658D1">
        <w:rPr>
          <w:rStyle w:val="Strong"/>
          <w:sz w:val="22"/>
          <w:szCs w:val="22"/>
          <w:lang w:val="en-GB"/>
        </w:rPr>
        <w:t>How applications may be submitted</w:t>
      </w:r>
    </w:p>
    <w:p w:rsidR="006F5FD0" w:rsidRPr="00A658D1" w:rsidRDefault="006F5FD0" w:rsidP="007E153C">
      <w:pPr>
        <w:pStyle w:val="Blockquote"/>
        <w:ind w:left="709"/>
        <w:jc w:val="both"/>
        <w:rPr>
          <w:sz w:val="22"/>
          <w:szCs w:val="22"/>
          <w:lang w:val="en-GB"/>
        </w:rPr>
      </w:pPr>
      <w:r w:rsidRPr="00A658D1">
        <w:rPr>
          <w:sz w:val="22"/>
          <w:szCs w:val="22"/>
          <w:lang w:val="en-GB"/>
        </w:rPr>
        <w:t>Applications must be submitted in English exclusively to the Contracting Authority</w:t>
      </w:r>
      <w:r w:rsidR="009B06B5" w:rsidRPr="00A658D1">
        <w:rPr>
          <w:sz w:val="22"/>
          <w:szCs w:val="22"/>
          <w:lang w:val="en-GB"/>
        </w:rPr>
        <w:t xml:space="preserve"> in </w:t>
      </w:r>
      <w:r w:rsidR="004E1482" w:rsidRPr="00A658D1">
        <w:rPr>
          <w:sz w:val="22"/>
          <w:szCs w:val="22"/>
          <w:lang w:val="en-GB"/>
        </w:rPr>
        <w:t>a sealed envelope:</w:t>
      </w:r>
    </w:p>
    <w:p w:rsidR="006F5FD0" w:rsidRPr="00A658D1" w:rsidRDefault="006F5FD0" w:rsidP="007E153C">
      <w:pPr>
        <w:numPr>
          <w:ilvl w:val="0"/>
          <w:numId w:val="32"/>
        </w:numPr>
        <w:ind w:left="1134"/>
        <w:jc w:val="both"/>
        <w:rPr>
          <w:sz w:val="22"/>
          <w:szCs w:val="22"/>
          <w:lang w:val="en-GB"/>
        </w:rPr>
      </w:pPr>
      <w:r w:rsidRPr="00A658D1">
        <w:rPr>
          <w:sz w:val="22"/>
          <w:szCs w:val="22"/>
          <w:lang w:val="en-GB"/>
        </w:rPr>
        <w:t xml:space="preserve">EITHER by </w:t>
      </w:r>
      <w:r w:rsidRPr="00A658D1">
        <w:rPr>
          <w:rStyle w:val="Strong"/>
          <w:b w:val="0"/>
          <w:sz w:val="22"/>
          <w:szCs w:val="22"/>
          <w:lang w:val="en-GB"/>
        </w:rPr>
        <w:t>recorded delivery</w:t>
      </w:r>
      <w:r w:rsidRPr="00A658D1">
        <w:rPr>
          <w:sz w:val="22"/>
          <w:szCs w:val="22"/>
          <w:lang w:val="en-GB"/>
        </w:rPr>
        <w:t xml:space="preserve"> (official postal service) to :</w:t>
      </w:r>
    </w:p>
    <w:p w:rsidR="009B04FA" w:rsidRDefault="009B04FA" w:rsidP="00AE137F">
      <w:pPr>
        <w:spacing w:before="0" w:after="0"/>
        <w:ind w:left="720"/>
        <w:jc w:val="center"/>
        <w:rPr>
          <w:noProof/>
          <w:sz w:val="22"/>
          <w:szCs w:val="22"/>
          <w:lang w:val="en-GB"/>
        </w:rPr>
      </w:pPr>
      <w:r w:rsidRPr="00FD330F">
        <w:rPr>
          <w:noProof/>
          <w:sz w:val="22"/>
          <w:szCs w:val="22"/>
          <w:lang w:val="en-GB"/>
        </w:rPr>
        <w:t>Mrs. Marija Radenović</w:t>
      </w:r>
    </w:p>
    <w:p w:rsidR="009B04FA" w:rsidRDefault="009B04FA" w:rsidP="00AE137F">
      <w:pPr>
        <w:spacing w:before="0" w:after="0"/>
        <w:ind w:left="720"/>
        <w:jc w:val="center"/>
        <w:rPr>
          <w:sz w:val="22"/>
          <w:szCs w:val="22"/>
          <w:lang w:val="en-GB"/>
        </w:rPr>
      </w:pPr>
      <w:r w:rsidRPr="00FD330F">
        <w:rPr>
          <w:sz w:val="22"/>
          <w:szCs w:val="22"/>
          <w:lang w:val="en-GB"/>
        </w:rPr>
        <w:t>The Directorate for Finance and Contracting of the EU Assistance Funds CFCU</w:t>
      </w:r>
    </w:p>
    <w:p w:rsidR="009B04FA" w:rsidRDefault="009B04FA" w:rsidP="00AE137F">
      <w:pPr>
        <w:spacing w:before="0" w:after="0"/>
        <w:ind w:left="720"/>
        <w:jc w:val="center"/>
        <w:rPr>
          <w:sz w:val="22"/>
          <w:szCs w:val="22"/>
          <w:lang w:val="en-GB"/>
        </w:rPr>
      </w:pPr>
      <w:r w:rsidRPr="00FD330F">
        <w:rPr>
          <w:sz w:val="22"/>
          <w:szCs w:val="22"/>
          <w:lang w:val="en-GB"/>
        </w:rPr>
        <w:t>The Ministry of Finance</w:t>
      </w:r>
    </w:p>
    <w:p w:rsidR="009B04FA" w:rsidRDefault="009B04FA" w:rsidP="00AE137F">
      <w:pPr>
        <w:pStyle w:val="Blockquote"/>
        <w:spacing w:before="0" w:after="0"/>
        <w:ind w:left="810" w:hanging="90"/>
        <w:jc w:val="center"/>
        <w:rPr>
          <w:rStyle w:val="Emphasis"/>
          <w:rFonts w:eastAsia="Calibri"/>
          <w:i w:val="0"/>
          <w:snapToGrid/>
          <w:color w:val="000000"/>
          <w:sz w:val="22"/>
          <w:szCs w:val="22"/>
          <w:lang w:val="en-GB"/>
        </w:rPr>
      </w:pPr>
      <w:r w:rsidRPr="00FD330F">
        <w:rPr>
          <w:rStyle w:val="Emphasis"/>
          <w:i w:val="0"/>
          <w:sz w:val="22"/>
          <w:szCs w:val="22"/>
          <w:lang w:val="en-GB"/>
        </w:rPr>
        <w:t>Stanka Dragojevi</w:t>
      </w:r>
      <w:r w:rsidRPr="00FD330F">
        <w:rPr>
          <w:rStyle w:val="Emphasis"/>
          <w:i w:val="0"/>
          <w:sz w:val="22"/>
          <w:szCs w:val="22"/>
        </w:rPr>
        <w:t>ća 2</w:t>
      </w:r>
    </w:p>
    <w:p w:rsidR="009B04FA" w:rsidRDefault="009B04FA" w:rsidP="00AE137F">
      <w:pPr>
        <w:pStyle w:val="Default"/>
        <w:jc w:val="center"/>
        <w:rPr>
          <w:rStyle w:val="Emphasis"/>
          <w:i w:val="0"/>
          <w:sz w:val="22"/>
          <w:szCs w:val="22"/>
        </w:rPr>
      </w:pPr>
      <w:r w:rsidRPr="00FD330F">
        <w:rPr>
          <w:rStyle w:val="Emphasis"/>
          <w:i w:val="0"/>
          <w:sz w:val="22"/>
          <w:szCs w:val="22"/>
        </w:rPr>
        <w:t>81000 Podgorica</w:t>
      </w:r>
    </w:p>
    <w:p w:rsidR="009B04FA" w:rsidRDefault="009B04FA" w:rsidP="009B04FA">
      <w:pPr>
        <w:pStyle w:val="Default"/>
        <w:ind w:left="720"/>
        <w:jc w:val="center"/>
      </w:pPr>
    </w:p>
    <w:p w:rsidR="001D5343" w:rsidRPr="00087293" w:rsidRDefault="001D5343" w:rsidP="009B04FA">
      <w:pPr>
        <w:pStyle w:val="Default"/>
        <w:ind w:left="720" w:firstLine="414"/>
        <w:rPr>
          <w:sz w:val="22"/>
          <w:szCs w:val="22"/>
        </w:rPr>
      </w:pPr>
      <w:r w:rsidRPr="00087293">
        <w:rPr>
          <w:sz w:val="22"/>
          <w:szCs w:val="22"/>
        </w:rPr>
        <w:t>In this case, the delivery record makes proof of compliance with the time-limit for receipt.</w:t>
      </w:r>
    </w:p>
    <w:p w:rsidR="00D67CD8" w:rsidRPr="00A658D1" w:rsidRDefault="00D67CD8" w:rsidP="006E2D86">
      <w:pPr>
        <w:pStyle w:val="Blockquote"/>
        <w:spacing w:before="0"/>
        <w:jc w:val="center"/>
        <w:rPr>
          <w:sz w:val="22"/>
          <w:szCs w:val="22"/>
          <w:lang w:val="en-GB"/>
        </w:rPr>
      </w:pPr>
    </w:p>
    <w:p w:rsidR="006F5FD0" w:rsidRPr="00A658D1" w:rsidRDefault="006F5FD0" w:rsidP="007E153C">
      <w:pPr>
        <w:numPr>
          <w:ilvl w:val="0"/>
          <w:numId w:val="32"/>
        </w:numPr>
        <w:ind w:left="1134"/>
        <w:jc w:val="both"/>
        <w:rPr>
          <w:sz w:val="22"/>
          <w:szCs w:val="22"/>
          <w:lang w:val="en-GB"/>
        </w:rPr>
      </w:pPr>
      <w:r w:rsidRPr="00A658D1">
        <w:rPr>
          <w:sz w:val="22"/>
          <w:szCs w:val="22"/>
          <w:lang w:val="en-GB"/>
        </w:rPr>
        <w:t xml:space="preserve">OR </w:t>
      </w:r>
      <w:r w:rsidRPr="00A658D1">
        <w:rPr>
          <w:rStyle w:val="Strong"/>
          <w:b w:val="0"/>
          <w:sz w:val="22"/>
          <w:szCs w:val="22"/>
          <w:lang w:val="en-GB"/>
        </w:rPr>
        <w:t>hand delivered</w:t>
      </w:r>
      <w:r w:rsidRPr="00A658D1">
        <w:rPr>
          <w:sz w:val="22"/>
          <w:szCs w:val="22"/>
          <w:lang w:val="en-GB"/>
        </w:rPr>
        <w:t xml:space="preserve"> (including courier services) </w:t>
      </w:r>
      <w:r w:rsidRPr="00A658D1">
        <w:rPr>
          <w:rStyle w:val="Strong"/>
          <w:b w:val="0"/>
          <w:sz w:val="22"/>
          <w:szCs w:val="22"/>
          <w:lang w:val="en-GB"/>
        </w:rPr>
        <w:t>directly</w:t>
      </w:r>
      <w:r w:rsidRPr="00A658D1">
        <w:rPr>
          <w:sz w:val="22"/>
          <w:szCs w:val="22"/>
          <w:lang w:val="en-GB"/>
        </w:rPr>
        <w:t xml:space="preserve"> to the Contracting Authority in return for a </w:t>
      </w:r>
      <w:r w:rsidRPr="00A658D1">
        <w:rPr>
          <w:rStyle w:val="Strong"/>
          <w:b w:val="0"/>
          <w:sz w:val="22"/>
          <w:szCs w:val="22"/>
          <w:lang w:val="en-GB"/>
        </w:rPr>
        <w:t>signed and dated receipt</w:t>
      </w:r>
      <w:r w:rsidRPr="00A658D1">
        <w:rPr>
          <w:sz w:val="22"/>
          <w:szCs w:val="22"/>
          <w:lang w:val="en-GB"/>
        </w:rPr>
        <w:t xml:space="preserve"> to:</w:t>
      </w:r>
    </w:p>
    <w:p w:rsidR="009B04FA" w:rsidRDefault="009B04FA" w:rsidP="009B04FA">
      <w:pPr>
        <w:spacing w:before="0" w:after="0"/>
        <w:ind w:left="720"/>
        <w:jc w:val="center"/>
        <w:rPr>
          <w:noProof/>
          <w:sz w:val="22"/>
          <w:szCs w:val="22"/>
          <w:lang w:val="en-GB"/>
        </w:rPr>
      </w:pPr>
      <w:r w:rsidRPr="00FD330F">
        <w:rPr>
          <w:noProof/>
          <w:sz w:val="22"/>
          <w:szCs w:val="22"/>
          <w:lang w:val="en-GB"/>
        </w:rPr>
        <w:t>Mrs. Marija Radenović</w:t>
      </w:r>
    </w:p>
    <w:p w:rsidR="009B04FA" w:rsidRDefault="009B04FA" w:rsidP="009B04FA">
      <w:pPr>
        <w:spacing w:before="0" w:after="0"/>
        <w:ind w:left="720"/>
        <w:jc w:val="center"/>
        <w:rPr>
          <w:noProof/>
          <w:sz w:val="22"/>
          <w:szCs w:val="22"/>
          <w:lang w:val="en-GB"/>
        </w:rPr>
      </w:pPr>
      <w:r w:rsidRPr="00FD330F">
        <w:rPr>
          <w:noProof/>
          <w:sz w:val="22"/>
          <w:szCs w:val="22"/>
          <w:lang w:val="en-GB"/>
        </w:rPr>
        <w:t>The Directorate for Finance and Contracting of the EU Assistance Funds CFCU</w:t>
      </w:r>
    </w:p>
    <w:p w:rsidR="009B04FA" w:rsidRDefault="009B04FA" w:rsidP="009B04FA">
      <w:pPr>
        <w:spacing w:before="0" w:after="0"/>
        <w:ind w:left="720"/>
        <w:jc w:val="center"/>
        <w:rPr>
          <w:noProof/>
          <w:sz w:val="22"/>
          <w:szCs w:val="22"/>
          <w:lang w:val="en-GB"/>
        </w:rPr>
      </w:pPr>
      <w:r w:rsidRPr="00FD330F">
        <w:rPr>
          <w:noProof/>
          <w:sz w:val="22"/>
          <w:szCs w:val="22"/>
          <w:lang w:val="en-GB"/>
        </w:rPr>
        <w:t>The Ministry of Finance</w:t>
      </w:r>
    </w:p>
    <w:p w:rsidR="009B04FA" w:rsidRPr="009B04FA" w:rsidRDefault="009B04FA" w:rsidP="009B04FA">
      <w:pPr>
        <w:spacing w:before="0" w:after="0"/>
        <w:ind w:left="720"/>
        <w:jc w:val="center"/>
        <w:rPr>
          <w:noProof/>
        </w:rPr>
      </w:pPr>
      <w:r w:rsidRPr="009B04FA">
        <w:rPr>
          <w:noProof/>
        </w:rPr>
        <w:t>Stanka Dragojevi</w:t>
      </w:r>
      <w:r w:rsidRPr="009B04FA">
        <w:rPr>
          <w:noProof/>
          <w:lang w:val="en-GB"/>
        </w:rPr>
        <w:t>ća 2</w:t>
      </w:r>
    </w:p>
    <w:p w:rsidR="009B04FA" w:rsidRPr="009B04FA" w:rsidRDefault="009B04FA" w:rsidP="00AE137F">
      <w:pPr>
        <w:spacing w:before="0" w:after="0"/>
        <w:ind w:left="720"/>
        <w:jc w:val="center"/>
        <w:rPr>
          <w:noProof/>
          <w:lang w:val="en-GB"/>
        </w:rPr>
      </w:pPr>
      <w:r w:rsidRPr="009B04FA">
        <w:rPr>
          <w:noProof/>
          <w:lang w:val="en-GB"/>
        </w:rPr>
        <w:t>81000 Podgorica</w:t>
      </w:r>
    </w:p>
    <w:p w:rsidR="001D5343" w:rsidRDefault="001D5343" w:rsidP="00B25B85">
      <w:pPr>
        <w:pStyle w:val="Blockquote"/>
        <w:spacing w:after="40"/>
        <w:ind w:left="720"/>
        <w:jc w:val="center"/>
      </w:pPr>
    </w:p>
    <w:p w:rsidR="006E2D86" w:rsidRPr="00A658D1" w:rsidRDefault="001D5343" w:rsidP="00C23C84">
      <w:pPr>
        <w:pStyle w:val="Default"/>
        <w:ind w:left="1170"/>
      </w:pPr>
      <w:r w:rsidRPr="00087293">
        <w:rPr>
          <w:sz w:val="22"/>
          <w:szCs w:val="22"/>
        </w:rPr>
        <w:t>In this case, the acknowledgment of receipt makes proof of compliance with the time-limit for receipt.</w:t>
      </w:r>
    </w:p>
    <w:p w:rsidR="006F5FD0" w:rsidRPr="00A658D1" w:rsidRDefault="006F5FD0" w:rsidP="007E153C">
      <w:pPr>
        <w:pStyle w:val="Blockquote"/>
        <w:ind w:left="709"/>
        <w:jc w:val="both"/>
        <w:rPr>
          <w:sz w:val="22"/>
          <w:szCs w:val="22"/>
          <w:lang w:val="en-GB"/>
        </w:rPr>
      </w:pPr>
      <w:r w:rsidRPr="00A658D1">
        <w:rPr>
          <w:sz w:val="22"/>
          <w:szCs w:val="22"/>
          <w:lang w:val="en-GB"/>
        </w:rPr>
        <w:t xml:space="preserve">The </w:t>
      </w:r>
      <w:r w:rsidRPr="00A658D1">
        <w:rPr>
          <w:rStyle w:val="Strong"/>
          <w:b w:val="0"/>
          <w:sz w:val="22"/>
          <w:szCs w:val="22"/>
          <w:lang w:val="en-GB"/>
        </w:rPr>
        <w:t>Contract title</w:t>
      </w:r>
      <w:r w:rsidRPr="00A658D1">
        <w:rPr>
          <w:sz w:val="22"/>
          <w:szCs w:val="22"/>
          <w:lang w:val="en-GB"/>
        </w:rPr>
        <w:t xml:space="preserve"> and the </w:t>
      </w:r>
      <w:r w:rsidRPr="00A658D1">
        <w:rPr>
          <w:rStyle w:val="Strong"/>
          <w:b w:val="0"/>
          <w:sz w:val="22"/>
          <w:szCs w:val="22"/>
          <w:lang w:val="en-GB"/>
        </w:rPr>
        <w:t>Publication reference</w:t>
      </w:r>
      <w:r w:rsidRPr="00A658D1">
        <w:rPr>
          <w:sz w:val="22"/>
          <w:szCs w:val="22"/>
          <w:lang w:val="en-GB"/>
        </w:rPr>
        <w:t xml:space="preserve"> (see item 1 above) must be clearly marked on the envelope containing the application and must always be mentioned in all subsequent correspondence with the Contracting Authority.</w:t>
      </w:r>
    </w:p>
    <w:p w:rsidR="00EF03C9" w:rsidRDefault="006F5FD0" w:rsidP="007E153C">
      <w:pPr>
        <w:pStyle w:val="Blockquote"/>
        <w:ind w:left="709"/>
        <w:jc w:val="both"/>
        <w:rPr>
          <w:rStyle w:val="Strong"/>
          <w:b w:val="0"/>
          <w:sz w:val="22"/>
          <w:szCs w:val="22"/>
          <w:lang w:val="en-GB"/>
        </w:rPr>
      </w:pPr>
      <w:r w:rsidRPr="00A658D1">
        <w:rPr>
          <w:rStyle w:val="Strong"/>
          <w:b w:val="0"/>
          <w:sz w:val="22"/>
          <w:szCs w:val="22"/>
          <w:lang w:val="en-GB"/>
        </w:rPr>
        <w:t>Applications submitted by any other means will not be considered.</w:t>
      </w:r>
    </w:p>
    <w:p w:rsidR="003C4378" w:rsidRPr="00A658D1" w:rsidRDefault="001D5343" w:rsidP="00C23C84">
      <w:pPr>
        <w:pStyle w:val="Default"/>
        <w:ind w:left="720" w:hanging="11"/>
        <w:rPr>
          <w:rStyle w:val="Strong"/>
          <w:b w:val="0"/>
          <w:sz w:val="22"/>
          <w:szCs w:val="22"/>
        </w:rPr>
      </w:pPr>
      <w:r w:rsidRPr="00087293">
        <w:rPr>
          <w:sz w:val="22"/>
          <w:szCs w:val="22"/>
        </w:rPr>
        <w:t>By submitting an application candidates accept to receive notification of the outcome of the procedure by electronic means. Such notification shall be deemed to have been received on the date upon which the contracting authority sends it to the electronic address referred to in the application.</w:t>
      </w:r>
    </w:p>
    <w:p w:rsidR="003262FC" w:rsidRPr="00A658D1" w:rsidRDefault="003262FC" w:rsidP="00584BF4">
      <w:pPr>
        <w:ind w:left="709" w:hanging="349"/>
        <w:outlineLvl w:val="0"/>
        <w:rPr>
          <w:b/>
          <w:sz w:val="22"/>
          <w:szCs w:val="22"/>
          <w:lang w:val="en-GB"/>
        </w:rPr>
      </w:pPr>
      <w:r w:rsidRPr="00A658D1">
        <w:rPr>
          <w:rStyle w:val="Strong"/>
          <w:sz w:val="22"/>
          <w:szCs w:val="22"/>
          <w:lang w:val="en-GB"/>
        </w:rPr>
        <w:t>26.</w:t>
      </w:r>
      <w:r w:rsidR="00584BF4" w:rsidRPr="00A658D1">
        <w:rPr>
          <w:rStyle w:val="Strong"/>
          <w:sz w:val="22"/>
          <w:szCs w:val="22"/>
          <w:lang w:val="en-GB"/>
        </w:rPr>
        <w:tab/>
      </w:r>
      <w:r w:rsidRPr="00A658D1">
        <w:rPr>
          <w:rStyle w:val="Strong"/>
          <w:sz w:val="22"/>
          <w:szCs w:val="22"/>
          <w:lang w:val="en-GB"/>
        </w:rPr>
        <w:t xml:space="preserve">Alteration or withdrawal of </w:t>
      </w:r>
      <w:r w:rsidR="00A84E04" w:rsidRPr="00A658D1">
        <w:rPr>
          <w:rStyle w:val="Strong"/>
          <w:sz w:val="22"/>
          <w:szCs w:val="22"/>
          <w:lang w:val="en-GB"/>
        </w:rPr>
        <w:t>applications</w:t>
      </w:r>
    </w:p>
    <w:p w:rsidR="003262FC" w:rsidRPr="00A658D1" w:rsidRDefault="00A84E04" w:rsidP="007E153C">
      <w:pPr>
        <w:pStyle w:val="Blockquote"/>
        <w:ind w:left="709"/>
        <w:jc w:val="both"/>
        <w:rPr>
          <w:sz w:val="22"/>
          <w:szCs w:val="22"/>
          <w:lang w:val="en-GB"/>
        </w:rPr>
      </w:pPr>
      <w:r w:rsidRPr="00A658D1">
        <w:rPr>
          <w:sz w:val="22"/>
          <w:szCs w:val="22"/>
          <w:lang w:val="en-GB"/>
        </w:rPr>
        <w:t>Candidates</w:t>
      </w:r>
      <w:r w:rsidR="003262FC" w:rsidRPr="00A658D1">
        <w:rPr>
          <w:sz w:val="22"/>
          <w:szCs w:val="22"/>
          <w:lang w:val="en-GB"/>
        </w:rPr>
        <w:t xml:space="preserve"> may alter or withdraw their </w:t>
      </w:r>
      <w:r w:rsidRPr="00A658D1">
        <w:rPr>
          <w:sz w:val="22"/>
          <w:szCs w:val="22"/>
          <w:lang w:val="en-GB"/>
        </w:rPr>
        <w:t>applications</w:t>
      </w:r>
      <w:r w:rsidR="003262FC" w:rsidRPr="00A658D1">
        <w:rPr>
          <w:sz w:val="22"/>
          <w:szCs w:val="22"/>
          <w:lang w:val="en-GB"/>
        </w:rPr>
        <w:t xml:space="preserve"> by written notification prior to the deadline for submission of </w:t>
      </w:r>
      <w:r w:rsidR="00A22177" w:rsidRPr="00A658D1">
        <w:rPr>
          <w:sz w:val="22"/>
          <w:szCs w:val="22"/>
          <w:lang w:val="en-GB"/>
        </w:rPr>
        <w:t>applications</w:t>
      </w:r>
      <w:r w:rsidR="003262FC" w:rsidRPr="00A658D1">
        <w:rPr>
          <w:sz w:val="22"/>
          <w:szCs w:val="22"/>
          <w:lang w:val="en-GB"/>
        </w:rPr>
        <w:t xml:space="preserve">.  No </w:t>
      </w:r>
      <w:r w:rsidRPr="00A658D1">
        <w:rPr>
          <w:sz w:val="22"/>
          <w:szCs w:val="22"/>
          <w:lang w:val="en-GB"/>
        </w:rPr>
        <w:t>application</w:t>
      </w:r>
      <w:r w:rsidR="003262FC" w:rsidRPr="00A658D1">
        <w:rPr>
          <w:sz w:val="22"/>
          <w:szCs w:val="22"/>
          <w:lang w:val="en-GB"/>
        </w:rPr>
        <w:t xml:space="preserve"> may be altered after this deadline.</w:t>
      </w:r>
    </w:p>
    <w:p w:rsidR="003262FC" w:rsidRPr="00A658D1" w:rsidRDefault="003262FC" w:rsidP="007E153C">
      <w:pPr>
        <w:pStyle w:val="Blockquote"/>
        <w:ind w:left="709"/>
        <w:jc w:val="both"/>
        <w:rPr>
          <w:sz w:val="22"/>
          <w:szCs w:val="22"/>
          <w:lang w:val="en-GB"/>
        </w:rPr>
      </w:pPr>
      <w:r w:rsidRPr="00A658D1">
        <w:rPr>
          <w:sz w:val="22"/>
          <w:szCs w:val="22"/>
          <w:lang w:val="en-GB"/>
        </w:rPr>
        <w:t xml:space="preserve">Any such notification of alteration or withdrawal shall be prepared and submitted in accordance with </w:t>
      </w:r>
      <w:r w:rsidR="006E3377" w:rsidRPr="00A658D1">
        <w:rPr>
          <w:sz w:val="22"/>
          <w:szCs w:val="22"/>
          <w:lang w:val="en-GB"/>
        </w:rPr>
        <w:t>Item</w:t>
      </w:r>
      <w:r w:rsidRPr="00A658D1">
        <w:rPr>
          <w:sz w:val="22"/>
          <w:szCs w:val="22"/>
          <w:lang w:val="en-GB"/>
        </w:rPr>
        <w:t xml:space="preserve"> </w:t>
      </w:r>
      <w:r w:rsidR="00925F7F" w:rsidRPr="00A658D1">
        <w:rPr>
          <w:sz w:val="22"/>
          <w:szCs w:val="22"/>
          <w:lang w:val="en-GB"/>
        </w:rPr>
        <w:t>25</w:t>
      </w:r>
      <w:r w:rsidRPr="00A658D1">
        <w:rPr>
          <w:sz w:val="22"/>
          <w:szCs w:val="22"/>
          <w:lang w:val="en-GB"/>
        </w:rPr>
        <w:t>.  The outer envelope (and the relevant inner envelope</w:t>
      </w:r>
      <w:r w:rsidR="006E3377" w:rsidRPr="00A658D1">
        <w:rPr>
          <w:sz w:val="22"/>
          <w:szCs w:val="22"/>
          <w:lang w:val="en-GB"/>
        </w:rPr>
        <w:t xml:space="preserve"> if used</w:t>
      </w:r>
      <w:r w:rsidRPr="00A658D1">
        <w:rPr>
          <w:sz w:val="22"/>
          <w:szCs w:val="22"/>
          <w:lang w:val="en-GB"/>
        </w:rPr>
        <w:t>) must be marked 'Alteration' or 'Withdrawal' as appropriate.</w:t>
      </w:r>
    </w:p>
    <w:p w:rsidR="006F5FD0" w:rsidRPr="00A658D1" w:rsidRDefault="003262FC" w:rsidP="00A171EA">
      <w:pPr>
        <w:keepNext/>
        <w:ind w:left="709" w:hanging="352"/>
        <w:outlineLvl w:val="0"/>
        <w:rPr>
          <w:sz w:val="22"/>
          <w:szCs w:val="22"/>
          <w:lang w:val="en-GB"/>
        </w:rPr>
      </w:pPr>
      <w:r w:rsidRPr="00A658D1">
        <w:rPr>
          <w:rStyle w:val="Strong"/>
          <w:sz w:val="22"/>
          <w:szCs w:val="22"/>
          <w:lang w:val="en-GB"/>
        </w:rPr>
        <w:t>27</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Operational language</w:t>
      </w:r>
    </w:p>
    <w:p w:rsidR="006F5FD0" w:rsidRPr="00A658D1" w:rsidRDefault="006F5FD0" w:rsidP="007E153C">
      <w:pPr>
        <w:pStyle w:val="Blockquote"/>
        <w:ind w:left="709"/>
        <w:jc w:val="both"/>
        <w:rPr>
          <w:i/>
          <w:sz w:val="22"/>
          <w:szCs w:val="22"/>
          <w:lang w:val="en-GB"/>
        </w:rPr>
      </w:pPr>
      <w:r w:rsidRPr="00A658D1">
        <w:rPr>
          <w:rStyle w:val="Emphasis"/>
          <w:i w:val="0"/>
          <w:sz w:val="22"/>
          <w:szCs w:val="22"/>
          <w:lang w:val="en-GB"/>
        </w:rPr>
        <w:t>All written communications for this tender procedure and contract must be in</w:t>
      </w:r>
      <w:r w:rsidR="001D5343">
        <w:rPr>
          <w:rStyle w:val="Emphasis"/>
          <w:i w:val="0"/>
          <w:sz w:val="22"/>
          <w:szCs w:val="22"/>
          <w:lang w:val="en-GB"/>
        </w:rPr>
        <w:t xml:space="preserve"> </w:t>
      </w:r>
      <w:r w:rsidRPr="00A658D1">
        <w:rPr>
          <w:rStyle w:val="Emphasis"/>
          <w:i w:val="0"/>
          <w:sz w:val="22"/>
          <w:szCs w:val="22"/>
          <w:lang w:val="en-GB"/>
        </w:rPr>
        <w:t xml:space="preserve">English.  </w:t>
      </w:r>
    </w:p>
    <w:p w:rsidR="006F5FD0" w:rsidRPr="00A658D1" w:rsidRDefault="003262FC" w:rsidP="00584BF4">
      <w:pPr>
        <w:ind w:left="709" w:hanging="349"/>
        <w:outlineLvl w:val="0"/>
        <w:rPr>
          <w:sz w:val="22"/>
          <w:szCs w:val="22"/>
          <w:lang w:val="en-GB"/>
        </w:rPr>
      </w:pPr>
      <w:r w:rsidRPr="00A658D1">
        <w:rPr>
          <w:rStyle w:val="Strong"/>
          <w:sz w:val="22"/>
          <w:szCs w:val="22"/>
          <w:lang w:val="en-GB"/>
        </w:rPr>
        <w:t>2</w:t>
      </w:r>
      <w:r w:rsidR="009B06B5" w:rsidRPr="00A658D1">
        <w:rPr>
          <w:rStyle w:val="Strong"/>
          <w:sz w:val="22"/>
          <w:szCs w:val="22"/>
          <w:lang w:val="en-GB"/>
        </w:rPr>
        <w:t>8</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 xml:space="preserve">Date of publication of </w:t>
      </w:r>
      <w:r w:rsidR="004E1482" w:rsidRPr="00A658D1">
        <w:rPr>
          <w:rStyle w:val="Strong"/>
          <w:sz w:val="22"/>
          <w:szCs w:val="22"/>
          <w:lang w:val="en-GB"/>
        </w:rPr>
        <w:t>prior information notice</w:t>
      </w:r>
    </w:p>
    <w:p w:rsidR="009B04FA" w:rsidRDefault="009B04FA" w:rsidP="007E153C">
      <w:pPr>
        <w:pStyle w:val="Blockquote"/>
        <w:ind w:left="709"/>
        <w:jc w:val="both"/>
        <w:rPr>
          <w:rStyle w:val="Emphasis"/>
          <w:i w:val="0"/>
          <w:sz w:val="22"/>
          <w:szCs w:val="22"/>
          <w:lang w:val="en-GB"/>
        </w:rPr>
      </w:pPr>
      <w:r>
        <w:rPr>
          <w:rStyle w:val="Emphasis"/>
          <w:i w:val="0"/>
          <w:sz w:val="22"/>
          <w:szCs w:val="22"/>
          <w:lang w:val="en-GB"/>
        </w:rPr>
        <w:t>23</w:t>
      </w:r>
      <w:r w:rsidRPr="00C632B9">
        <w:rPr>
          <w:rStyle w:val="Emphasis"/>
          <w:i w:val="0"/>
          <w:sz w:val="22"/>
          <w:szCs w:val="22"/>
          <w:vertAlign w:val="superscript"/>
          <w:lang w:val="en-GB"/>
        </w:rPr>
        <w:t>rd</w:t>
      </w:r>
      <w:r>
        <w:rPr>
          <w:rStyle w:val="Emphasis"/>
          <w:i w:val="0"/>
          <w:sz w:val="22"/>
          <w:szCs w:val="22"/>
          <w:lang w:val="en-GB"/>
        </w:rPr>
        <w:t xml:space="preserve"> February 2016</w:t>
      </w:r>
      <w:r w:rsidRPr="00A658D1" w:rsidDel="00874F99">
        <w:rPr>
          <w:rStyle w:val="Emphasis"/>
          <w:i w:val="0"/>
          <w:sz w:val="22"/>
          <w:szCs w:val="22"/>
          <w:lang w:val="en-GB"/>
        </w:rPr>
        <w:t xml:space="preserve"> </w:t>
      </w:r>
    </w:p>
    <w:p w:rsidR="00D80E10" w:rsidRPr="00B25B85" w:rsidRDefault="004E1482" w:rsidP="00B25B85">
      <w:pPr>
        <w:ind w:left="709" w:hanging="349"/>
        <w:outlineLvl w:val="0"/>
        <w:rPr>
          <w:rStyle w:val="Strong"/>
          <w:lang w:val="en-GB"/>
        </w:rPr>
      </w:pPr>
      <w:r w:rsidRPr="00A658D1">
        <w:rPr>
          <w:rStyle w:val="Strong"/>
          <w:sz w:val="22"/>
          <w:szCs w:val="22"/>
          <w:lang w:val="en-GB"/>
        </w:rPr>
        <w:t>2</w:t>
      </w:r>
      <w:r w:rsidR="00E9047D" w:rsidRPr="00A658D1">
        <w:rPr>
          <w:rStyle w:val="Strong"/>
          <w:sz w:val="22"/>
          <w:szCs w:val="22"/>
          <w:lang w:val="en-GB"/>
        </w:rPr>
        <w:t>9</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Legal basis</w:t>
      </w:r>
      <w:r w:rsidR="00D80E10" w:rsidRPr="00B25B85">
        <w:rPr>
          <w:rStyle w:val="Strong"/>
          <w:lang w:val="en-GB"/>
        </w:rPr>
        <w:t xml:space="preserve"> </w:t>
      </w:r>
    </w:p>
    <w:p w:rsidR="00D80E10" w:rsidRPr="00B25B85" w:rsidRDefault="00D80E10" w:rsidP="00B25B85">
      <w:pPr>
        <w:pStyle w:val="PlainText"/>
        <w:ind w:left="720"/>
        <w:rPr>
          <w:rFonts w:ascii="Times New Roman" w:hAnsi="Times New Roman"/>
          <w:sz w:val="22"/>
          <w:szCs w:val="22"/>
        </w:rPr>
      </w:pPr>
    </w:p>
    <w:p w:rsidR="00D80E10" w:rsidRPr="009E50DC" w:rsidRDefault="00D80E10" w:rsidP="009E50DC">
      <w:pPr>
        <w:pStyle w:val="PlainText"/>
        <w:numPr>
          <w:ilvl w:val="0"/>
          <w:numId w:val="48"/>
        </w:numPr>
        <w:rPr>
          <w:sz w:val="22"/>
          <w:szCs w:val="22"/>
        </w:rPr>
      </w:pPr>
      <w:r w:rsidRPr="00D80E10">
        <w:rPr>
          <w:rFonts w:ascii="Times New Roman" w:hAnsi="Times New Roman"/>
          <w:sz w:val="22"/>
          <w:szCs w:val="22"/>
        </w:rPr>
        <w:t>Regulation (EU) No 231/2014 of the European Parliament and of the Council of 11 March 2014 establishing an Instrument for Pre-accession Assistance (IPA II)</w:t>
      </w:r>
    </w:p>
    <w:p w:rsidR="00D80E10" w:rsidRPr="00D80E10" w:rsidRDefault="00D80E10" w:rsidP="00B25B85">
      <w:pPr>
        <w:pStyle w:val="PlainText"/>
        <w:ind w:left="720"/>
        <w:rPr>
          <w:rFonts w:ascii="Times New Roman" w:hAnsi="Times New Roman"/>
          <w:sz w:val="22"/>
          <w:szCs w:val="22"/>
        </w:rPr>
      </w:pPr>
    </w:p>
    <w:p w:rsidR="00D80E10" w:rsidRDefault="00D80E10" w:rsidP="00D80E10">
      <w:pPr>
        <w:pStyle w:val="PlainText"/>
        <w:numPr>
          <w:ilvl w:val="0"/>
          <w:numId w:val="48"/>
        </w:numPr>
        <w:rPr>
          <w:rFonts w:ascii="Times New Roman" w:hAnsi="Times New Roman"/>
          <w:sz w:val="22"/>
          <w:szCs w:val="22"/>
        </w:rPr>
      </w:pPr>
      <w:r w:rsidRPr="00CB14B4">
        <w:rPr>
          <w:rFonts w:ascii="Times New Roman" w:hAnsi="Times New Roman"/>
          <w:sz w:val="22"/>
          <w:szCs w:val="22"/>
        </w:rPr>
        <w:t>Regulation (EU) No 236/2014 of the European Parliament and of the Council of 11 March 2014 laying down common rules and procedures for the  implementation of the Union's instrument</w:t>
      </w:r>
      <w:r>
        <w:rPr>
          <w:rFonts w:ascii="Times New Roman" w:hAnsi="Times New Roman"/>
          <w:sz w:val="22"/>
          <w:szCs w:val="22"/>
        </w:rPr>
        <w:t xml:space="preserve">s for financing external action and </w:t>
      </w:r>
    </w:p>
    <w:p w:rsidR="00D80E10" w:rsidRPr="00CB14B4" w:rsidRDefault="00D80E10" w:rsidP="00B25B85">
      <w:pPr>
        <w:pStyle w:val="PlainText"/>
        <w:ind w:left="720"/>
        <w:rPr>
          <w:rFonts w:ascii="Times New Roman" w:hAnsi="Times New Roman"/>
          <w:sz w:val="22"/>
          <w:szCs w:val="22"/>
        </w:rPr>
      </w:pPr>
    </w:p>
    <w:p w:rsidR="006F5FD0" w:rsidRPr="00C23C84" w:rsidRDefault="00D80E10" w:rsidP="00C23C84">
      <w:pPr>
        <w:pStyle w:val="PlainText"/>
        <w:numPr>
          <w:ilvl w:val="0"/>
          <w:numId w:val="48"/>
        </w:numPr>
        <w:rPr>
          <w:rStyle w:val="Strong"/>
          <w:sz w:val="22"/>
          <w:szCs w:val="22"/>
          <w:lang w:val="en-GB"/>
        </w:rPr>
      </w:pPr>
      <w:r w:rsidRPr="00CB14B4">
        <w:rPr>
          <w:rFonts w:ascii="Times New Roman" w:hAnsi="Times New Roman"/>
          <w:sz w:val="22"/>
          <w:szCs w:val="22"/>
        </w:rPr>
        <w:t xml:space="preserve">Commission Implementing </w:t>
      </w:r>
      <w:r>
        <w:rPr>
          <w:rFonts w:ascii="Times New Roman" w:hAnsi="Times New Roman"/>
          <w:sz w:val="22"/>
          <w:szCs w:val="22"/>
        </w:rPr>
        <w:t xml:space="preserve">Regulation (EU) No 447/2014 of  </w:t>
      </w:r>
      <w:r w:rsidRPr="00CB14B4">
        <w:rPr>
          <w:rFonts w:ascii="Times New Roman" w:hAnsi="Times New Roman"/>
          <w:sz w:val="22"/>
          <w:szCs w:val="22"/>
        </w:rPr>
        <w:t>2 May 2014 on the specific rules for implementing Regulation (EU) No 231/2014 establishing an Instrument for Pre-accession Assistance (IPA II);</w:t>
      </w:r>
    </w:p>
    <w:p w:rsidR="00E9047D" w:rsidRPr="00A658D1" w:rsidRDefault="00E9047D" w:rsidP="00B25B85">
      <w:pPr>
        <w:pStyle w:val="Blockquote"/>
        <w:ind w:left="709" w:hanging="349"/>
        <w:jc w:val="both"/>
        <w:rPr>
          <w:b/>
          <w:lang w:val="en-GB"/>
        </w:rPr>
      </w:pPr>
      <w:r w:rsidRPr="00A658D1">
        <w:rPr>
          <w:b/>
          <w:lang w:val="en-GB"/>
        </w:rPr>
        <w:t>30</w:t>
      </w:r>
      <w:r w:rsidR="008272C0" w:rsidRPr="00A658D1">
        <w:rPr>
          <w:b/>
          <w:lang w:val="en-GB"/>
        </w:rPr>
        <w:t xml:space="preserve">. </w:t>
      </w:r>
      <w:r w:rsidRPr="00A658D1">
        <w:rPr>
          <w:b/>
          <w:lang w:val="en-GB"/>
        </w:rPr>
        <w:t>Additional information</w:t>
      </w:r>
    </w:p>
    <w:p w:rsidR="009B04FA" w:rsidRPr="00F243D1" w:rsidRDefault="009B04FA" w:rsidP="009B04FA">
      <w:pPr>
        <w:pStyle w:val="Blockquote"/>
        <w:ind w:left="810"/>
        <w:rPr>
          <w:sz w:val="22"/>
          <w:szCs w:val="22"/>
          <w:lang w:val="en-GB"/>
        </w:rPr>
      </w:pPr>
      <w:r w:rsidRPr="00F243D1">
        <w:rPr>
          <w:sz w:val="22"/>
          <w:szCs w:val="22"/>
          <w:lang w:val="en-GB"/>
        </w:rPr>
        <w:t>Any request for clarification should be sent to the following e-mail address: cfcu@mif.gov.me.</w:t>
      </w:r>
    </w:p>
    <w:p w:rsidR="00011F40" w:rsidRPr="00A658D1" w:rsidRDefault="00011F40" w:rsidP="005B3ED3">
      <w:pPr>
        <w:spacing w:after="0"/>
        <w:ind w:left="709" w:right="360"/>
        <w:jc w:val="both"/>
        <w:rPr>
          <w:sz w:val="22"/>
          <w:szCs w:val="22"/>
          <w:highlight w:val="yellow"/>
        </w:rPr>
      </w:pPr>
      <w:r w:rsidRPr="00A658D1">
        <w:rPr>
          <w:b/>
          <w:i/>
          <w:sz w:val="22"/>
          <w:szCs w:val="22"/>
          <w:u w:val="single"/>
        </w:rPr>
        <w:t>Disclaimer</w:t>
      </w:r>
      <w:r w:rsidRPr="00A658D1">
        <w:rPr>
          <w:i/>
          <w:sz w:val="22"/>
          <w:szCs w:val="22"/>
        </w:rPr>
        <w:t>: Please note, that if sent by international mail or express courier, your applications may be detained for inspection by the Montenegrin Customs Authorities for as many as four or five days. We hereby recommend that you check with your post office or international express courier if they will be able to overcome such delays in order to avoid late delivery of your Tender and can guarantee the delivery on time. The Contracting Authority will assume no responsibility for any belated deliveries stemming from extended examination of your packages by the local authorities nor shall we assume any responsibility for delays in the customs clearance of your envelopes.</w:t>
      </w:r>
    </w:p>
    <w:p w:rsidR="005B3ED3" w:rsidRPr="00A658D1" w:rsidRDefault="005B3ED3" w:rsidP="005B3ED3">
      <w:pPr>
        <w:spacing w:after="0"/>
        <w:ind w:left="709" w:right="360"/>
        <w:jc w:val="both"/>
        <w:rPr>
          <w:strike/>
          <w:sz w:val="22"/>
          <w:szCs w:val="22"/>
          <w:lang w:val="en-GB"/>
        </w:rPr>
      </w:pPr>
    </w:p>
    <w:p w:rsidR="004B0F8B" w:rsidRPr="00A658D1" w:rsidRDefault="00EF2B16" w:rsidP="00EF2B16">
      <w:pPr>
        <w:pStyle w:val="Blockquote"/>
        <w:ind w:left="709"/>
        <w:jc w:val="center"/>
        <w:rPr>
          <w:lang w:val="en-GB"/>
        </w:rPr>
      </w:pPr>
      <w:r w:rsidRPr="00A658D1">
        <w:rPr>
          <w:lang w:val="en-GB"/>
        </w:rPr>
        <w:t>* * *</w:t>
      </w:r>
    </w:p>
    <w:sectPr w:rsidR="004B0F8B" w:rsidRPr="00A658D1" w:rsidSect="00BC34CF">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C6" w:rsidRDefault="00FF22C6">
      <w:r>
        <w:separator/>
      </w:r>
    </w:p>
  </w:endnote>
  <w:endnote w:type="continuationSeparator" w:id="0">
    <w:p w:rsidR="00FF22C6" w:rsidRDefault="00F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A8C" w:rsidRDefault="008C5B63" w:rsidP="009F128B">
    <w:pPr>
      <w:pStyle w:val="Footer"/>
      <w:tabs>
        <w:tab w:val="clear" w:pos="4320"/>
        <w:tab w:val="clear" w:pos="8640"/>
        <w:tab w:val="right" w:pos="9214"/>
      </w:tabs>
      <w:spacing w:before="0" w:after="0"/>
      <w:rPr>
        <w:b/>
        <w:sz w:val="20"/>
        <w:lang w:val="en-GB"/>
      </w:rPr>
    </w:pPr>
    <w:r w:rsidRPr="00C0286D">
      <w:rPr>
        <w:b/>
        <w:sz w:val="18"/>
        <w:szCs w:val="18"/>
        <w:lang w:val="en-GB"/>
      </w:rPr>
      <w:t xml:space="preserve">15 </w:t>
    </w:r>
    <w:r w:rsidR="003C4378" w:rsidRPr="00C0286D">
      <w:rPr>
        <w:b/>
        <w:sz w:val="18"/>
        <w:szCs w:val="18"/>
        <w:lang w:val="en-GB"/>
      </w:rPr>
      <w:t>January 2016</w:t>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9417E7">
      <w:rPr>
        <w:rStyle w:val="PageNumber"/>
        <w:noProof/>
        <w:sz w:val="18"/>
        <w:szCs w:val="18"/>
      </w:rPr>
      <w:t>2</w:t>
    </w:r>
    <w:r w:rsidR="00EF0A8C" w:rsidRPr="009F128B">
      <w:rPr>
        <w:rStyle w:val="PageNumber"/>
        <w:sz w:val="18"/>
        <w:szCs w:val="18"/>
      </w:rPr>
      <w:fldChar w:fldCharType="end"/>
    </w:r>
  </w:p>
  <w:p w:rsidR="00EF0A8C" w:rsidRDefault="00EF0A8C" w:rsidP="007727F3">
    <w:pPr>
      <w:pStyle w:val="Footer"/>
      <w:spacing w:before="0" w:after="0"/>
    </w:pPr>
    <w:r w:rsidRPr="004D4C3B">
      <w:rPr>
        <w:sz w:val="18"/>
        <w:szCs w:val="18"/>
        <w:lang w:val="en-GB"/>
      </w:rPr>
      <w:fldChar w:fldCharType="begin"/>
    </w:r>
    <w:r w:rsidRPr="004D4C3B">
      <w:rPr>
        <w:sz w:val="18"/>
        <w:szCs w:val="18"/>
        <w:lang w:val="en-GB"/>
      </w:rPr>
      <w:instrText xml:space="preserve"> FILENAME </w:instrText>
    </w:r>
    <w:r w:rsidRPr="004D4C3B">
      <w:rPr>
        <w:sz w:val="18"/>
        <w:szCs w:val="18"/>
        <w:lang w:val="en-GB"/>
      </w:rPr>
      <w:fldChar w:fldCharType="separate"/>
    </w:r>
    <w:r w:rsidR="00975A61">
      <w:rPr>
        <w:noProof/>
        <w:sz w:val="18"/>
        <w:szCs w:val="18"/>
        <w:lang w:val="en-GB"/>
      </w:rPr>
      <w:t>b2a_contractnotice_en_</w:t>
    </w:r>
    <w:r w:rsidRPr="004D4C3B">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C6" w:rsidRDefault="00FF22C6">
      <w:r>
        <w:separator/>
      </w:r>
    </w:p>
  </w:footnote>
  <w:footnote w:type="continuationSeparator" w:id="0">
    <w:p w:rsidR="00FF22C6" w:rsidRDefault="00FF2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nsid w:val="188B2F05"/>
    <w:multiLevelType w:val="hybridMultilevel"/>
    <w:tmpl w:val="F94201B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7">
    <w:nsid w:val="1EB420C4"/>
    <w:multiLevelType w:val="hybridMultilevel"/>
    <w:tmpl w:val="7FC41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1FD4490C"/>
    <w:multiLevelType w:val="hybridMultilevel"/>
    <w:tmpl w:val="0CC068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34A66F46"/>
    <w:multiLevelType w:val="hybridMultilevel"/>
    <w:tmpl w:val="FB0203EA"/>
    <w:lvl w:ilvl="0" w:tplc="3020C08A">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2">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ED33098"/>
    <w:multiLevelType w:val="hybridMultilevel"/>
    <w:tmpl w:val="CE8A2696"/>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7">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10F7301"/>
    <w:multiLevelType w:val="hybridMultilevel"/>
    <w:tmpl w:val="849499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E4D73C4"/>
    <w:multiLevelType w:val="hybridMultilevel"/>
    <w:tmpl w:val="AFBE78EE"/>
    <w:lvl w:ilvl="0" w:tplc="8F9E2924">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51">
    <w:nsid w:val="600E52F6"/>
    <w:multiLevelType w:val="hybridMultilevel"/>
    <w:tmpl w:val="BFD4B2BC"/>
    <w:lvl w:ilvl="0" w:tplc="08090017">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nsid w:val="7E5A1D10"/>
    <w:multiLevelType w:val="hybridMultilevel"/>
    <w:tmpl w:val="307A492C"/>
    <w:lvl w:ilvl="0" w:tplc="0809000F">
      <w:start w:val="1"/>
      <w:numFmt w:val="decimal"/>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5"/>
  </w:num>
  <w:num w:numId="35">
    <w:abstractNumId w:val="34"/>
  </w:num>
  <w:num w:numId="36">
    <w:abstractNumId w:val="33"/>
  </w:num>
  <w:num w:numId="37">
    <w:abstractNumId w:val="39"/>
  </w:num>
  <w:num w:numId="38">
    <w:abstractNumId w:val="43"/>
  </w:num>
  <w:num w:numId="39">
    <w:abstractNumId w:val="49"/>
  </w:num>
  <w:num w:numId="40">
    <w:abstractNumId w:val="52"/>
  </w:num>
  <w:num w:numId="41">
    <w:abstractNumId w:val="44"/>
  </w:num>
  <w:num w:numId="42">
    <w:abstractNumId w:val="47"/>
  </w:num>
  <w:num w:numId="43">
    <w:abstractNumId w:val="40"/>
  </w:num>
  <w:num w:numId="44">
    <w:abstractNumId w:val="42"/>
  </w:num>
  <w:num w:numId="45">
    <w:abstractNumId w:val="36"/>
  </w:num>
  <w:num w:numId="46">
    <w:abstractNumId w:val="41"/>
  </w:num>
  <w:num w:numId="47">
    <w:abstractNumId w:val="50"/>
  </w:num>
  <w:num w:numId="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53"/>
  </w:num>
  <w:num w:numId="51">
    <w:abstractNumId w:val="51"/>
  </w:num>
  <w:num w:numId="52">
    <w:abstractNumId w:val="38"/>
  </w:num>
  <w:num w:numId="5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50FF8"/>
    <w:rsid w:val="000024E6"/>
    <w:rsid w:val="0000338D"/>
    <w:rsid w:val="00011F40"/>
    <w:rsid w:val="00012223"/>
    <w:rsid w:val="00012AF1"/>
    <w:rsid w:val="00013EB7"/>
    <w:rsid w:val="00013F0F"/>
    <w:rsid w:val="00014B76"/>
    <w:rsid w:val="00017E7C"/>
    <w:rsid w:val="0002004D"/>
    <w:rsid w:val="00022D5F"/>
    <w:rsid w:val="0003004C"/>
    <w:rsid w:val="000333FE"/>
    <w:rsid w:val="0003427A"/>
    <w:rsid w:val="00034D18"/>
    <w:rsid w:val="00035D4D"/>
    <w:rsid w:val="00040DF1"/>
    <w:rsid w:val="00045619"/>
    <w:rsid w:val="0004773B"/>
    <w:rsid w:val="0006203C"/>
    <w:rsid w:val="00063FB5"/>
    <w:rsid w:val="000677C2"/>
    <w:rsid w:val="00087A72"/>
    <w:rsid w:val="00095030"/>
    <w:rsid w:val="000A3758"/>
    <w:rsid w:val="000B7044"/>
    <w:rsid w:val="000C1522"/>
    <w:rsid w:val="000C5B55"/>
    <w:rsid w:val="000E3121"/>
    <w:rsid w:val="000E5BBC"/>
    <w:rsid w:val="000F0F6C"/>
    <w:rsid w:val="000F4D57"/>
    <w:rsid w:val="000F5DEF"/>
    <w:rsid w:val="0010162C"/>
    <w:rsid w:val="00105302"/>
    <w:rsid w:val="00110A94"/>
    <w:rsid w:val="00112210"/>
    <w:rsid w:val="00115D2F"/>
    <w:rsid w:val="00120298"/>
    <w:rsid w:val="00126E99"/>
    <w:rsid w:val="0013288F"/>
    <w:rsid w:val="00142928"/>
    <w:rsid w:val="0014405E"/>
    <w:rsid w:val="00144547"/>
    <w:rsid w:val="0015107D"/>
    <w:rsid w:val="00153196"/>
    <w:rsid w:val="0015556F"/>
    <w:rsid w:val="00155BF4"/>
    <w:rsid w:val="001571BF"/>
    <w:rsid w:val="00162F40"/>
    <w:rsid w:val="001655CC"/>
    <w:rsid w:val="001661F7"/>
    <w:rsid w:val="00180098"/>
    <w:rsid w:val="00180D47"/>
    <w:rsid w:val="00181270"/>
    <w:rsid w:val="00192D12"/>
    <w:rsid w:val="001951FE"/>
    <w:rsid w:val="001A1BE1"/>
    <w:rsid w:val="001B13B1"/>
    <w:rsid w:val="001B2571"/>
    <w:rsid w:val="001C64F1"/>
    <w:rsid w:val="001D19A6"/>
    <w:rsid w:val="001D5343"/>
    <w:rsid w:val="001D55F7"/>
    <w:rsid w:val="001D5DEF"/>
    <w:rsid w:val="001E0BA5"/>
    <w:rsid w:val="001E50A2"/>
    <w:rsid w:val="001F08D0"/>
    <w:rsid w:val="001F120E"/>
    <w:rsid w:val="001F1546"/>
    <w:rsid w:val="001F47F3"/>
    <w:rsid w:val="001F5D80"/>
    <w:rsid w:val="001F6034"/>
    <w:rsid w:val="001F6E4A"/>
    <w:rsid w:val="00201320"/>
    <w:rsid w:val="00207B7D"/>
    <w:rsid w:val="00210466"/>
    <w:rsid w:val="002130A2"/>
    <w:rsid w:val="00226829"/>
    <w:rsid w:val="00231106"/>
    <w:rsid w:val="00233B9D"/>
    <w:rsid w:val="00233DDA"/>
    <w:rsid w:val="00260FDC"/>
    <w:rsid w:val="00261825"/>
    <w:rsid w:val="002661C2"/>
    <w:rsid w:val="00266EB9"/>
    <w:rsid w:val="00281501"/>
    <w:rsid w:val="00282863"/>
    <w:rsid w:val="00290440"/>
    <w:rsid w:val="002976DE"/>
    <w:rsid w:val="002A6A89"/>
    <w:rsid w:val="002C2D95"/>
    <w:rsid w:val="002D266E"/>
    <w:rsid w:val="002D4121"/>
    <w:rsid w:val="002D7249"/>
    <w:rsid w:val="002E1B83"/>
    <w:rsid w:val="002E7D33"/>
    <w:rsid w:val="002F58EB"/>
    <w:rsid w:val="0030090E"/>
    <w:rsid w:val="003045C3"/>
    <w:rsid w:val="00313118"/>
    <w:rsid w:val="003232ED"/>
    <w:rsid w:val="003262FC"/>
    <w:rsid w:val="00330261"/>
    <w:rsid w:val="003378F6"/>
    <w:rsid w:val="00340C29"/>
    <w:rsid w:val="00342E7F"/>
    <w:rsid w:val="00347673"/>
    <w:rsid w:val="0035006D"/>
    <w:rsid w:val="0036159C"/>
    <w:rsid w:val="003717BC"/>
    <w:rsid w:val="00371FD9"/>
    <w:rsid w:val="00372452"/>
    <w:rsid w:val="0038633F"/>
    <w:rsid w:val="00386E96"/>
    <w:rsid w:val="0038796E"/>
    <w:rsid w:val="00393B30"/>
    <w:rsid w:val="003947E7"/>
    <w:rsid w:val="00396466"/>
    <w:rsid w:val="00397073"/>
    <w:rsid w:val="00397634"/>
    <w:rsid w:val="003A4357"/>
    <w:rsid w:val="003B05D9"/>
    <w:rsid w:val="003B39FC"/>
    <w:rsid w:val="003B43A8"/>
    <w:rsid w:val="003B55F6"/>
    <w:rsid w:val="003C2D69"/>
    <w:rsid w:val="003C4378"/>
    <w:rsid w:val="003C555B"/>
    <w:rsid w:val="003D195A"/>
    <w:rsid w:val="003D2ADD"/>
    <w:rsid w:val="003D6B49"/>
    <w:rsid w:val="003E3A87"/>
    <w:rsid w:val="0040360C"/>
    <w:rsid w:val="0040443B"/>
    <w:rsid w:val="0041432D"/>
    <w:rsid w:val="00424124"/>
    <w:rsid w:val="00426624"/>
    <w:rsid w:val="00434A54"/>
    <w:rsid w:val="004405D2"/>
    <w:rsid w:val="004443F9"/>
    <w:rsid w:val="00447D77"/>
    <w:rsid w:val="0045124A"/>
    <w:rsid w:val="0045494F"/>
    <w:rsid w:val="00454A29"/>
    <w:rsid w:val="00467F1E"/>
    <w:rsid w:val="00470018"/>
    <w:rsid w:val="00471180"/>
    <w:rsid w:val="00473883"/>
    <w:rsid w:val="0047646C"/>
    <w:rsid w:val="00476D80"/>
    <w:rsid w:val="00484BEE"/>
    <w:rsid w:val="004853B9"/>
    <w:rsid w:val="00486E68"/>
    <w:rsid w:val="004901C2"/>
    <w:rsid w:val="004957E5"/>
    <w:rsid w:val="004B0F8B"/>
    <w:rsid w:val="004B250D"/>
    <w:rsid w:val="004B5DCF"/>
    <w:rsid w:val="004C3BD6"/>
    <w:rsid w:val="004C49B2"/>
    <w:rsid w:val="004E083B"/>
    <w:rsid w:val="004E1482"/>
    <w:rsid w:val="004E69A4"/>
    <w:rsid w:val="004F00C7"/>
    <w:rsid w:val="004F2332"/>
    <w:rsid w:val="004F34C4"/>
    <w:rsid w:val="004F3BBC"/>
    <w:rsid w:val="004F4A09"/>
    <w:rsid w:val="00500794"/>
    <w:rsid w:val="005012DF"/>
    <w:rsid w:val="00502217"/>
    <w:rsid w:val="00503CD9"/>
    <w:rsid w:val="005046CD"/>
    <w:rsid w:val="00505437"/>
    <w:rsid w:val="00506AB8"/>
    <w:rsid w:val="005070DB"/>
    <w:rsid w:val="00507A6E"/>
    <w:rsid w:val="0051514D"/>
    <w:rsid w:val="00516C38"/>
    <w:rsid w:val="00523826"/>
    <w:rsid w:val="00533CE6"/>
    <w:rsid w:val="0054183B"/>
    <w:rsid w:val="0055004D"/>
    <w:rsid w:val="0055037B"/>
    <w:rsid w:val="0055296D"/>
    <w:rsid w:val="005558E0"/>
    <w:rsid w:val="0056183E"/>
    <w:rsid w:val="00565A69"/>
    <w:rsid w:val="00571687"/>
    <w:rsid w:val="00571989"/>
    <w:rsid w:val="00572F15"/>
    <w:rsid w:val="00581953"/>
    <w:rsid w:val="0058278D"/>
    <w:rsid w:val="00583EC9"/>
    <w:rsid w:val="00584308"/>
    <w:rsid w:val="00584BF4"/>
    <w:rsid w:val="00584D96"/>
    <w:rsid w:val="0058625F"/>
    <w:rsid w:val="00590ADB"/>
    <w:rsid w:val="005B35A2"/>
    <w:rsid w:val="005B3ED3"/>
    <w:rsid w:val="005B48D0"/>
    <w:rsid w:val="005B4F80"/>
    <w:rsid w:val="005B5E49"/>
    <w:rsid w:val="005B60CC"/>
    <w:rsid w:val="005D0AD5"/>
    <w:rsid w:val="005D3D85"/>
    <w:rsid w:val="005E3AE0"/>
    <w:rsid w:val="005E3EEE"/>
    <w:rsid w:val="005F776D"/>
    <w:rsid w:val="0061336A"/>
    <w:rsid w:val="00625C63"/>
    <w:rsid w:val="00627FB4"/>
    <w:rsid w:val="00637237"/>
    <w:rsid w:val="0064066F"/>
    <w:rsid w:val="0064390B"/>
    <w:rsid w:val="00651CAF"/>
    <w:rsid w:val="00652EFC"/>
    <w:rsid w:val="006552B5"/>
    <w:rsid w:val="00663C6D"/>
    <w:rsid w:val="006738B9"/>
    <w:rsid w:val="00674F9C"/>
    <w:rsid w:val="0067554A"/>
    <w:rsid w:val="00675EEE"/>
    <w:rsid w:val="006770CA"/>
    <w:rsid w:val="00686C3A"/>
    <w:rsid w:val="0068769C"/>
    <w:rsid w:val="00697F82"/>
    <w:rsid w:val="006A0598"/>
    <w:rsid w:val="006A2F21"/>
    <w:rsid w:val="006A3716"/>
    <w:rsid w:val="006A66DA"/>
    <w:rsid w:val="006A7394"/>
    <w:rsid w:val="006B2F6C"/>
    <w:rsid w:val="006B3D18"/>
    <w:rsid w:val="006B59B9"/>
    <w:rsid w:val="006C0EB6"/>
    <w:rsid w:val="006C0F37"/>
    <w:rsid w:val="006D6080"/>
    <w:rsid w:val="006E0287"/>
    <w:rsid w:val="006E2D86"/>
    <w:rsid w:val="006E3377"/>
    <w:rsid w:val="006E625F"/>
    <w:rsid w:val="006E6E7C"/>
    <w:rsid w:val="006F532D"/>
    <w:rsid w:val="006F58C2"/>
    <w:rsid w:val="006F5FD0"/>
    <w:rsid w:val="0070233B"/>
    <w:rsid w:val="00705397"/>
    <w:rsid w:val="00710A38"/>
    <w:rsid w:val="00711589"/>
    <w:rsid w:val="00711AAE"/>
    <w:rsid w:val="007121FB"/>
    <w:rsid w:val="007129D6"/>
    <w:rsid w:val="00712CB3"/>
    <w:rsid w:val="00714CBA"/>
    <w:rsid w:val="00715755"/>
    <w:rsid w:val="00723266"/>
    <w:rsid w:val="00724BC0"/>
    <w:rsid w:val="00727652"/>
    <w:rsid w:val="00746DDB"/>
    <w:rsid w:val="007471C5"/>
    <w:rsid w:val="00750FF8"/>
    <w:rsid w:val="007530AE"/>
    <w:rsid w:val="00753FC2"/>
    <w:rsid w:val="00755164"/>
    <w:rsid w:val="00756C38"/>
    <w:rsid w:val="00761673"/>
    <w:rsid w:val="00761893"/>
    <w:rsid w:val="007653F4"/>
    <w:rsid w:val="007727F3"/>
    <w:rsid w:val="0077698E"/>
    <w:rsid w:val="00783B39"/>
    <w:rsid w:val="007955F2"/>
    <w:rsid w:val="00795E5F"/>
    <w:rsid w:val="007A04AC"/>
    <w:rsid w:val="007A245F"/>
    <w:rsid w:val="007C005D"/>
    <w:rsid w:val="007C136C"/>
    <w:rsid w:val="007C352C"/>
    <w:rsid w:val="007C593F"/>
    <w:rsid w:val="007D29AC"/>
    <w:rsid w:val="007D2FCB"/>
    <w:rsid w:val="007D6292"/>
    <w:rsid w:val="007D761E"/>
    <w:rsid w:val="007E0261"/>
    <w:rsid w:val="007E153C"/>
    <w:rsid w:val="007F095B"/>
    <w:rsid w:val="007F0984"/>
    <w:rsid w:val="007F1048"/>
    <w:rsid w:val="007F485F"/>
    <w:rsid w:val="007F5383"/>
    <w:rsid w:val="008001B4"/>
    <w:rsid w:val="00800827"/>
    <w:rsid w:val="00814D70"/>
    <w:rsid w:val="008162F6"/>
    <w:rsid w:val="00821491"/>
    <w:rsid w:val="00823A49"/>
    <w:rsid w:val="008272C0"/>
    <w:rsid w:val="008323D3"/>
    <w:rsid w:val="008334BA"/>
    <w:rsid w:val="008351FF"/>
    <w:rsid w:val="00841914"/>
    <w:rsid w:val="00851792"/>
    <w:rsid w:val="00852432"/>
    <w:rsid w:val="008528DB"/>
    <w:rsid w:val="00853875"/>
    <w:rsid w:val="00860295"/>
    <w:rsid w:val="0087225F"/>
    <w:rsid w:val="0088068C"/>
    <w:rsid w:val="00892A43"/>
    <w:rsid w:val="008938FF"/>
    <w:rsid w:val="00894E29"/>
    <w:rsid w:val="0089693D"/>
    <w:rsid w:val="008A1514"/>
    <w:rsid w:val="008A377D"/>
    <w:rsid w:val="008A38A7"/>
    <w:rsid w:val="008A7535"/>
    <w:rsid w:val="008B218E"/>
    <w:rsid w:val="008C3178"/>
    <w:rsid w:val="008C5B63"/>
    <w:rsid w:val="008C68A0"/>
    <w:rsid w:val="008D02FF"/>
    <w:rsid w:val="008D1243"/>
    <w:rsid w:val="008D243C"/>
    <w:rsid w:val="008E16D2"/>
    <w:rsid w:val="008E2D12"/>
    <w:rsid w:val="008F4ED2"/>
    <w:rsid w:val="008F7294"/>
    <w:rsid w:val="00900ED7"/>
    <w:rsid w:val="00903FBB"/>
    <w:rsid w:val="009044E4"/>
    <w:rsid w:val="009055F3"/>
    <w:rsid w:val="009066B6"/>
    <w:rsid w:val="00907556"/>
    <w:rsid w:val="00911526"/>
    <w:rsid w:val="00913817"/>
    <w:rsid w:val="00914AA7"/>
    <w:rsid w:val="00922D53"/>
    <w:rsid w:val="00924137"/>
    <w:rsid w:val="00925F7F"/>
    <w:rsid w:val="0092731B"/>
    <w:rsid w:val="009417E7"/>
    <w:rsid w:val="00952960"/>
    <w:rsid w:val="0095583A"/>
    <w:rsid w:val="00956942"/>
    <w:rsid w:val="00956F28"/>
    <w:rsid w:val="00960A2B"/>
    <w:rsid w:val="00961DC4"/>
    <w:rsid w:val="009707C4"/>
    <w:rsid w:val="00970B01"/>
    <w:rsid w:val="00971CC5"/>
    <w:rsid w:val="00975A61"/>
    <w:rsid w:val="00980B65"/>
    <w:rsid w:val="009862AA"/>
    <w:rsid w:val="009874BD"/>
    <w:rsid w:val="009900DD"/>
    <w:rsid w:val="00990B40"/>
    <w:rsid w:val="00991002"/>
    <w:rsid w:val="009B04FA"/>
    <w:rsid w:val="009B06B5"/>
    <w:rsid w:val="009B6F36"/>
    <w:rsid w:val="009C0E73"/>
    <w:rsid w:val="009C0E9E"/>
    <w:rsid w:val="009C4007"/>
    <w:rsid w:val="009C7312"/>
    <w:rsid w:val="009D6350"/>
    <w:rsid w:val="009E4662"/>
    <w:rsid w:val="009E5005"/>
    <w:rsid w:val="009E50DC"/>
    <w:rsid w:val="009F128B"/>
    <w:rsid w:val="00A03055"/>
    <w:rsid w:val="00A11931"/>
    <w:rsid w:val="00A13277"/>
    <w:rsid w:val="00A171EA"/>
    <w:rsid w:val="00A217A1"/>
    <w:rsid w:val="00A22177"/>
    <w:rsid w:val="00A433A6"/>
    <w:rsid w:val="00A43E7A"/>
    <w:rsid w:val="00A46ED3"/>
    <w:rsid w:val="00A525AF"/>
    <w:rsid w:val="00A54502"/>
    <w:rsid w:val="00A61595"/>
    <w:rsid w:val="00A658D1"/>
    <w:rsid w:val="00A7101F"/>
    <w:rsid w:val="00A73E50"/>
    <w:rsid w:val="00A76E3A"/>
    <w:rsid w:val="00A779FE"/>
    <w:rsid w:val="00A77B07"/>
    <w:rsid w:val="00A84E04"/>
    <w:rsid w:val="00A853CC"/>
    <w:rsid w:val="00A87BAE"/>
    <w:rsid w:val="00A91076"/>
    <w:rsid w:val="00A96048"/>
    <w:rsid w:val="00A97B08"/>
    <w:rsid w:val="00AA25A4"/>
    <w:rsid w:val="00AA3505"/>
    <w:rsid w:val="00AA5256"/>
    <w:rsid w:val="00AA7762"/>
    <w:rsid w:val="00AB00B8"/>
    <w:rsid w:val="00AB32E4"/>
    <w:rsid w:val="00AC0D0C"/>
    <w:rsid w:val="00AC3869"/>
    <w:rsid w:val="00AC674C"/>
    <w:rsid w:val="00AD330A"/>
    <w:rsid w:val="00AD5F08"/>
    <w:rsid w:val="00AE137F"/>
    <w:rsid w:val="00AE1D8D"/>
    <w:rsid w:val="00AE5CD8"/>
    <w:rsid w:val="00AE6A5B"/>
    <w:rsid w:val="00AF7BB3"/>
    <w:rsid w:val="00B005AB"/>
    <w:rsid w:val="00B063F9"/>
    <w:rsid w:val="00B112A1"/>
    <w:rsid w:val="00B14398"/>
    <w:rsid w:val="00B25B85"/>
    <w:rsid w:val="00B30DFF"/>
    <w:rsid w:val="00B46840"/>
    <w:rsid w:val="00B47199"/>
    <w:rsid w:val="00B60EC5"/>
    <w:rsid w:val="00B72045"/>
    <w:rsid w:val="00B740D9"/>
    <w:rsid w:val="00B74AA7"/>
    <w:rsid w:val="00B7586A"/>
    <w:rsid w:val="00B84AED"/>
    <w:rsid w:val="00B877B2"/>
    <w:rsid w:val="00B879BF"/>
    <w:rsid w:val="00B92478"/>
    <w:rsid w:val="00BA0765"/>
    <w:rsid w:val="00BA0EC9"/>
    <w:rsid w:val="00BA1E67"/>
    <w:rsid w:val="00BA4DA9"/>
    <w:rsid w:val="00BB2689"/>
    <w:rsid w:val="00BB68B0"/>
    <w:rsid w:val="00BC00A1"/>
    <w:rsid w:val="00BC0714"/>
    <w:rsid w:val="00BC1D23"/>
    <w:rsid w:val="00BC34CF"/>
    <w:rsid w:val="00BC353E"/>
    <w:rsid w:val="00BD552F"/>
    <w:rsid w:val="00BE595A"/>
    <w:rsid w:val="00BE6FAB"/>
    <w:rsid w:val="00BE783C"/>
    <w:rsid w:val="00BE7B3C"/>
    <w:rsid w:val="00BF5FBD"/>
    <w:rsid w:val="00C00D44"/>
    <w:rsid w:val="00C0286D"/>
    <w:rsid w:val="00C10475"/>
    <w:rsid w:val="00C14AF2"/>
    <w:rsid w:val="00C171B6"/>
    <w:rsid w:val="00C23C84"/>
    <w:rsid w:val="00C30183"/>
    <w:rsid w:val="00C311D3"/>
    <w:rsid w:val="00C3644F"/>
    <w:rsid w:val="00C460D8"/>
    <w:rsid w:val="00C545B1"/>
    <w:rsid w:val="00C579ED"/>
    <w:rsid w:val="00C712DE"/>
    <w:rsid w:val="00C73DC0"/>
    <w:rsid w:val="00C8296E"/>
    <w:rsid w:val="00C83C65"/>
    <w:rsid w:val="00C840D0"/>
    <w:rsid w:val="00C9751F"/>
    <w:rsid w:val="00C9783F"/>
    <w:rsid w:val="00CA3B1B"/>
    <w:rsid w:val="00CA642E"/>
    <w:rsid w:val="00CA6693"/>
    <w:rsid w:val="00CB759D"/>
    <w:rsid w:val="00CC0A41"/>
    <w:rsid w:val="00CC3BA0"/>
    <w:rsid w:val="00CC426F"/>
    <w:rsid w:val="00CC765C"/>
    <w:rsid w:val="00CD38DB"/>
    <w:rsid w:val="00CD75F8"/>
    <w:rsid w:val="00CE1FD0"/>
    <w:rsid w:val="00CE7536"/>
    <w:rsid w:val="00CF0E53"/>
    <w:rsid w:val="00D00216"/>
    <w:rsid w:val="00D011CD"/>
    <w:rsid w:val="00D0254B"/>
    <w:rsid w:val="00D150DD"/>
    <w:rsid w:val="00D21B9B"/>
    <w:rsid w:val="00D225CC"/>
    <w:rsid w:val="00D22682"/>
    <w:rsid w:val="00D2337B"/>
    <w:rsid w:val="00D240C3"/>
    <w:rsid w:val="00D2495A"/>
    <w:rsid w:val="00D339BD"/>
    <w:rsid w:val="00D40309"/>
    <w:rsid w:val="00D46724"/>
    <w:rsid w:val="00D46A0E"/>
    <w:rsid w:val="00D50284"/>
    <w:rsid w:val="00D517A4"/>
    <w:rsid w:val="00D549F4"/>
    <w:rsid w:val="00D56677"/>
    <w:rsid w:val="00D6474F"/>
    <w:rsid w:val="00D674F6"/>
    <w:rsid w:val="00D67CD8"/>
    <w:rsid w:val="00D67D3C"/>
    <w:rsid w:val="00D76090"/>
    <w:rsid w:val="00D80D74"/>
    <w:rsid w:val="00D80E10"/>
    <w:rsid w:val="00D82AA0"/>
    <w:rsid w:val="00D8779C"/>
    <w:rsid w:val="00DA098F"/>
    <w:rsid w:val="00DA0ABA"/>
    <w:rsid w:val="00DC0253"/>
    <w:rsid w:val="00DC4F70"/>
    <w:rsid w:val="00DC753D"/>
    <w:rsid w:val="00DD0CD4"/>
    <w:rsid w:val="00DD6CBD"/>
    <w:rsid w:val="00DE1061"/>
    <w:rsid w:val="00DE2699"/>
    <w:rsid w:val="00DE28EE"/>
    <w:rsid w:val="00E0048A"/>
    <w:rsid w:val="00E13687"/>
    <w:rsid w:val="00E1782A"/>
    <w:rsid w:val="00E25542"/>
    <w:rsid w:val="00E2770C"/>
    <w:rsid w:val="00E30BB5"/>
    <w:rsid w:val="00E31447"/>
    <w:rsid w:val="00E422A2"/>
    <w:rsid w:val="00E734C8"/>
    <w:rsid w:val="00E813B7"/>
    <w:rsid w:val="00E82874"/>
    <w:rsid w:val="00E9047D"/>
    <w:rsid w:val="00EA399C"/>
    <w:rsid w:val="00EB4C19"/>
    <w:rsid w:val="00EB6A6B"/>
    <w:rsid w:val="00EC3374"/>
    <w:rsid w:val="00ED3B60"/>
    <w:rsid w:val="00EE54B6"/>
    <w:rsid w:val="00EE6E92"/>
    <w:rsid w:val="00EF03C9"/>
    <w:rsid w:val="00EF0A8C"/>
    <w:rsid w:val="00EF2B16"/>
    <w:rsid w:val="00EF5C07"/>
    <w:rsid w:val="00EF6A28"/>
    <w:rsid w:val="00EF6FBF"/>
    <w:rsid w:val="00F0284B"/>
    <w:rsid w:val="00F05BF1"/>
    <w:rsid w:val="00F10E8E"/>
    <w:rsid w:val="00F1113D"/>
    <w:rsid w:val="00F15273"/>
    <w:rsid w:val="00F1700E"/>
    <w:rsid w:val="00F209A9"/>
    <w:rsid w:val="00F233FF"/>
    <w:rsid w:val="00F23941"/>
    <w:rsid w:val="00F27556"/>
    <w:rsid w:val="00F27C45"/>
    <w:rsid w:val="00F34407"/>
    <w:rsid w:val="00F4008A"/>
    <w:rsid w:val="00F54A52"/>
    <w:rsid w:val="00F646C6"/>
    <w:rsid w:val="00F65C98"/>
    <w:rsid w:val="00F72D9F"/>
    <w:rsid w:val="00F76D55"/>
    <w:rsid w:val="00F800AF"/>
    <w:rsid w:val="00F91683"/>
    <w:rsid w:val="00F95E6F"/>
    <w:rsid w:val="00FA17FC"/>
    <w:rsid w:val="00FA43CC"/>
    <w:rsid w:val="00FB17AC"/>
    <w:rsid w:val="00FB4EB8"/>
    <w:rsid w:val="00FB7051"/>
    <w:rsid w:val="00FC622D"/>
    <w:rsid w:val="00FD30AC"/>
    <w:rsid w:val="00FE62A5"/>
    <w:rsid w:val="00FE6A9C"/>
    <w:rsid w:val="00FE6CB8"/>
    <w:rsid w:val="00FF22C6"/>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styleId="PlainText">
    <w:name w:val="Plain Text"/>
    <w:basedOn w:val="Normal"/>
    <w:link w:val="PlainTextChar"/>
    <w:uiPriority w:val="99"/>
    <w:unhideWhenUsed/>
    <w:rsid w:val="00D80E10"/>
    <w:pPr>
      <w:widowControl/>
      <w:spacing w:before="0" w:after="0"/>
    </w:pPr>
    <w:rPr>
      <w:rFonts w:ascii="Consolas" w:eastAsia="Calibri" w:hAnsi="Consolas"/>
      <w:snapToGrid/>
      <w:sz w:val="21"/>
      <w:szCs w:val="21"/>
    </w:rPr>
  </w:style>
  <w:style w:type="character" w:customStyle="1" w:styleId="PlainTextChar">
    <w:name w:val="Plain Text Char"/>
    <w:link w:val="PlainText"/>
    <w:uiPriority w:val="99"/>
    <w:rsid w:val="00D80E10"/>
    <w:rPr>
      <w:rFonts w:ascii="Consolas" w:eastAsia="Calibri" w:hAnsi="Consolas" w:cs="Consolas"/>
      <w:sz w:val="21"/>
      <w:szCs w:val="21"/>
    </w:rPr>
  </w:style>
  <w:style w:type="paragraph" w:styleId="ListParagraph">
    <w:name w:val="List Paragraph"/>
    <w:basedOn w:val="Normal"/>
    <w:uiPriority w:val="34"/>
    <w:qFormat/>
    <w:rsid w:val="00D80E10"/>
    <w:pPr>
      <w:ind w:left="720"/>
    </w:pPr>
  </w:style>
  <w:style w:type="paragraph" w:customStyle="1" w:styleId="Default">
    <w:name w:val="Default"/>
    <w:rsid w:val="00723266"/>
    <w:pPr>
      <w:autoSpaceDE w:val="0"/>
      <w:autoSpaceDN w:val="0"/>
      <w:adjustRightInd w:val="0"/>
    </w:pPr>
    <w:rPr>
      <w:rFonts w:eastAsia="Calibri"/>
      <w:color w:val="000000"/>
      <w:sz w:val="24"/>
      <w:szCs w:val="24"/>
      <w:lang w:eastAsia="en-US"/>
    </w:rPr>
  </w:style>
  <w:style w:type="paragraph" w:customStyle="1" w:styleId="SubTitle1">
    <w:name w:val="SubTitle 1"/>
    <w:basedOn w:val="Normal"/>
    <w:next w:val="Normal"/>
    <w:rsid w:val="00A61595"/>
    <w:pPr>
      <w:widowControl/>
      <w:spacing w:before="0" w:after="240"/>
      <w:jc w:val="center"/>
    </w:pPr>
    <w:rPr>
      <w:rFonts w:ascii="Arial" w:hAnsi="Arial"/>
      <w:b/>
      <w:snapToGrid/>
      <w:sz w:val="4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styleId="PlainText">
    <w:name w:val="Plain Text"/>
    <w:basedOn w:val="Normal"/>
    <w:link w:val="PlainTextChar"/>
    <w:uiPriority w:val="99"/>
    <w:unhideWhenUsed/>
    <w:rsid w:val="00D80E10"/>
    <w:pPr>
      <w:widowControl/>
      <w:spacing w:before="0" w:after="0"/>
    </w:pPr>
    <w:rPr>
      <w:rFonts w:ascii="Consolas" w:eastAsia="Calibri" w:hAnsi="Consolas"/>
      <w:snapToGrid/>
      <w:sz w:val="21"/>
      <w:szCs w:val="21"/>
    </w:rPr>
  </w:style>
  <w:style w:type="character" w:customStyle="1" w:styleId="PlainTextChar">
    <w:name w:val="Plain Text Char"/>
    <w:link w:val="PlainText"/>
    <w:uiPriority w:val="99"/>
    <w:rsid w:val="00D80E10"/>
    <w:rPr>
      <w:rFonts w:ascii="Consolas" w:eastAsia="Calibri" w:hAnsi="Consolas" w:cs="Consolas"/>
      <w:sz w:val="21"/>
      <w:szCs w:val="21"/>
    </w:rPr>
  </w:style>
  <w:style w:type="paragraph" w:styleId="ListParagraph">
    <w:name w:val="List Paragraph"/>
    <w:basedOn w:val="Normal"/>
    <w:uiPriority w:val="34"/>
    <w:qFormat/>
    <w:rsid w:val="00D80E10"/>
    <w:pPr>
      <w:ind w:left="720"/>
    </w:pPr>
  </w:style>
  <w:style w:type="paragraph" w:customStyle="1" w:styleId="Default">
    <w:name w:val="Default"/>
    <w:rsid w:val="00723266"/>
    <w:pPr>
      <w:autoSpaceDE w:val="0"/>
      <w:autoSpaceDN w:val="0"/>
      <w:adjustRightInd w:val="0"/>
    </w:pPr>
    <w:rPr>
      <w:rFonts w:eastAsia="Calibri"/>
      <w:color w:val="000000"/>
      <w:sz w:val="24"/>
      <w:szCs w:val="24"/>
      <w:lang w:eastAsia="en-US"/>
    </w:rPr>
  </w:style>
  <w:style w:type="paragraph" w:customStyle="1" w:styleId="SubTitle1">
    <w:name w:val="SubTitle 1"/>
    <w:basedOn w:val="Normal"/>
    <w:next w:val="Normal"/>
    <w:rsid w:val="00A61595"/>
    <w:pPr>
      <w:widowControl/>
      <w:spacing w:before="0" w:after="240"/>
      <w:jc w:val="center"/>
    </w:pPr>
    <w:rPr>
      <w:rFonts w:ascii="Arial" w:hAnsi="Arial"/>
      <w:b/>
      <w:snapToGrid/>
      <w:sz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europeaid/prag/annexes.do?chapterTitleCode=A" TargetMode="External"/><Relationship Id="rId4" Type="http://schemas.microsoft.com/office/2007/relationships/stylesWithEffects" Target="stylesWithEffects.xml"/><Relationship Id="rId9" Type="http://schemas.openxmlformats.org/officeDocument/2006/relationships/hyperlink" Target="http://ec.europa.eu/europeaid/prag/annexes.do?chapterTitleCod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733D-6E75-43D7-8ED6-0F182CCB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2236</Words>
  <Characters>12682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14889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RALEVIC Danijela (EEAS-PODGORICA)</cp:lastModifiedBy>
  <cp:revision>2</cp:revision>
  <cp:lastPrinted>2016-06-10T12:31:00Z</cp:lastPrinted>
  <dcterms:created xsi:type="dcterms:W3CDTF">2016-06-22T11:43:00Z</dcterms:created>
  <dcterms:modified xsi:type="dcterms:W3CDTF">2016-06-22T11:43:00Z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