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4BA" w:rsidRDefault="007524BA" w:rsidP="007524BA">
      <w:pPr>
        <w:jc w:val="both"/>
        <w:rPr>
          <w:rFonts w:ascii="Tahoma" w:hAnsi="Tahoma" w:cs="Tahoma"/>
          <w:b/>
          <w:sz w:val="24"/>
          <w:szCs w:val="24"/>
        </w:rPr>
      </w:pPr>
    </w:p>
    <w:p w:rsidR="007524BA" w:rsidRPr="00134FED" w:rsidRDefault="007524BA" w:rsidP="00134FED">
      <w:pPr>
        <w:jc w:val="right"/>
        <w:rPr>
          <w:rFonts w:ascii="Arial" w:hAnsi="Arial" w:cs="Arial"/>
          <w:b/>
        </w:rPr>
      </w:pPr>
      <w:r w:rsidRPr="0011096C">
        <w:rPr>
          <w:rFonts w:ascii="Arial" w:hAnsi="Arial" w:cs="Arial"/>
          <w:b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978"/>
        <w:gridCol w:w="5598"/>
      </w:tblGrid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  <w:sz w:val="28"/>
              </w:rPr>
            </w:pPr>
            <w:r w:rsidRPr="00BD4D1E">
              <w:rPr>
                <w:rFonts w:ascii="Arial" w:eastAsia="Calibri" w:hAnsi="Arial" w:cs="Arial"/>
                <w:color w:val="365F91"/>
                <w:sz w:val="24"/>
                <w:szCs w:val="24"/>
              </w:rPr>
              <w:t>IZVJEŠTAJ O SPROVEDENOJ ANALIZI PROCJENE UTICAJA PROPISA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PREDLAGAČ PROPISA</w:t>
            </w:r>
          </w:p>
        </w:tc>
        <w:tc>
          <w:tcPr>
            <w:tcW w:w="559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b/>
                <w:color w:val="365F91"/>
              </w:rPr>
              <w:t>MINISTARSTVO FINANSIJA</w:t>
            </w:r>
          </w:p>
        </w:tc>
      </w:tr>
      <w:tr w:rsidR="007524BA" w:rsidRPr="00BD4D1E" w:rsidTr="00F01570">
        <w:tc>
          <w:tcPr>
            <w:tcW w:w="3978" w:type="dxa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>NAZIV PROPISA</w:t>
            </w:r>
          </w:p>
        </w:tc>
        <w:tc>
          <w:tcPr>
            <w:tcW w:w="5598" w:type="dxa"/>
          </w:tcPr>
          <w:p w:rsidR="007524BA" w:rsidRPr="000B7E34" w:rsidRDefault="00FC788C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NACRT</w:t>
            </w:r>
            <w:r w:rsidR="007524BA" w:rsidRPr="000B7E34">
              <w:rPr>
                <w:rFonts w:ascii="Arial" w:eastAsia="Calibri" w:hAnsi="Arial" w:cs="Arial"/>
                <w:b/>
                <w:color w:val="365F91"/>
              </w:rPr>
              <w:t xml:space="preserve"> ZAKONA O</w:t>
            </w:r>
            <w:r w:rsidR="00C22D48">
              <w:rPr>
                <w:rFonts w:ascii="Arial" w:eastAsia="Calibri" w:hAnsi="Arial" w:cs="Arial"/>
                <w:b/>
                <w:color w:val="365F91"/>
              </w:rPr>
              <w:t xml:space="preserve"> </w:t>
            </w:r>
            <w:r w:rsidR="00FE6BA5">
              <w:rPr>
                <w:rFonts w:ascii="Arial" w:eastAsia="Calibri" w:hAnsi="Arial" w:cs="Arial"/>
                <w:b/>
                <w:color w:val="365F91"/>
              </w:rPr>
              <w:t>MEHANIZMIMA RJEŠAVANJA PORESKIH SPOROVA U EVROPSKOJ UNIJI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1.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Definisanje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problema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proofErr w:type="gram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riješi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uzroci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oštećeni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način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bi problem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evoluirao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bez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634866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2969C9" w:rsidRDefault="007F5888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Predmetnim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zakonskim</w:t>
            </w:r>
            <w:r w:rsidR="0039107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2969C9">
              <w:rPr>
                <w:rFonts w:ascii="Arial" w:hAnsi="Arial" w:cs="Arial"/>
                <w:sz w:val="20"/>
                <w:szCs w:val="20"/>
                <w:lang w:val="sr-Latn-ME"/>
              </w:rPr>
              <w:t>rješenjima</w:t>
            </w:r>
            <w:r w:rsidR="0039107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vrši se </w:t>
            </w:r>
            <w:r w:rsidRPr="007F5888">
              <w:rPr>
                <w:rFonts w:ascii="Arial" w:hAnsi="Arial" w:cs="Arial"/>
                <w:sz w:val="20"/>
                <w:szCs w:val="20"/>
                <w:lang w:val="sr-Latn-ME"/>
              </w:rPr>
              <w:t xml:space="preserve">usklađivanje </w:t>
            </w:r>
            <w:r w:rsidR="0018187E">
              <w:rPr>
                <w:rFonts w:ascii="Arial" w:hAnsi="Arial" w:cs="Arial"/>
                <w:sz w:val="20"/>
                <w:szCs w:val="20"/>
                <w:lang w:val="sr-Latn-ME"/>
              </w:rPr>
              <w:t>nacionalnog zakonodav</w:t>
            </w:r>
            <w:r w:rsidR="00B01730">
              <w:rPr>
                <w:rFonts w:ascii="Arial" w:hAnsi="Arial" w:cs="Arial"/>
                <w:sz w:val="20"/>
                <w:szCs w:val="20"/>
                <w:lang w:val="sr-Latn-ME"/>
              </w:rPr>
              <w:t>stva</w:t>
            </w:r>
            <w:r w:rsidR="0018187E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7F5888">
              <w:rPr>
                <w:rFonts w:ascii="Arial" w:hAnsi="Arial" w:cs="Arial"/>
                <w:sz w:val="20"/>
                <w:szCs w:val="20"/>
                <w:lang w:val="sr-Latn-ME"/>
              </w:rPr>
              <w:t xml:space="preserve">sa </w:t>
            </w:r>
            <w:r w:rsidR="0018187E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Direktivom </w:t>
            </w:r>
            <w:bookmarkStart w:id="0" w:name="_Hlk216787114"/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EU </w:t>
            </w:r>
            <w:r w:rsidR="00FE6BA5">
              <w:rPr>
                <w:rFonts w:ascii="Arial" w:hAnsi="Arial" w:cs="Arial"/>
                <w:sz w:val="20"/>
                <w:szCs w:val="20"/>
                <w:lang w:val="sr-Latn-ME"/>
              </w:rPr>
              <w:t>2017/1852</w:t>
            </w:r>
            <w:r w:rsidR="002969C9" w:rsidRPr="002969C9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 </w:t>
            </w:r>
            <w:r w:rsidR="00FE6BA5">
              <w:rPr>
                <w:rFonts w:ascii="Arial" w:hAnsi="Arial" w:cs="Arial"/>
                <w:sz w:val="20"/>
                <w:szCs w:val="20"/>
                <w:lang w:val="sr-Latn-ME"/>
              </w:rPr>
              <w:t xml:space="preserve">mehanizmima rješavanja poreskih sporova u Evropskoj uniji. </w:t>
            </w:r>
          </w:p>
          <w:bookmarkEnd w:id="0"/>
          <w:p w:rsidR="00A4407F" w:rsidRDefault="008D5D86" w:rsidP="003B07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>Nakon usvajanja zakona pristupiće se izradi odgovarajuć</w:t>
            </w:r>
            <w:r w:rsidR="00205A29">
              <w:rPr>
                <w:rFonts w:ascii="Arial" w:hAnsi="Arial" w:cs="Arial"/>
                <w:sz w:val="20"/>
                <w:szCs w:val="20"/>
                <w:lang w:val="sr-Latn-ME"/>
              </w:rPr>
              <w:t>eg</w:t>
            </w:r>
            <w:r w:rsidRPr="008D5D86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podzakonsk</w:t>
            </w:r>
            <w:r w:rsidR="00205A29">
              <w:rPr>
                <w:rFonts w:ascii="Arial" w:hAnsi="Arial" w:cs="Arial"/>
                <w:sz w:val="20"/>
                <w:szCs w:val="20"/>
                <w:lang w:val="sr-Latn-ME"/>
              </w:rPr>
              <w:t>og</w:t>
            </w:r>
            <w:r w:rsidR="00C22D48">
              <w:rPr>
                <w:rFonts w:ascii="Arial" w:hAnsi="Arial" w:cs="Arial"/>
                <w:sz w:val="20"/>
                <w:szCs w:val="20"/>
                <w:lang w:val="sr-Latn-ME"/>
              </w:rPr>
              <w:t xml:space="preserve"> akt</w:t>
            </w:r>
            <w:r w:rsidR="0018187E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kojim će se</w:t>
            </w:r>
            <w:r w:rsidR="00A4407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utvrditi:</w:t>
            </w:r>
          </w:p>
          <w:p w:rsidR="00A4407F" w:rsidRDefault="00A4407F" w:rsidP="00A440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A4407F">
              <w:rPr>
                <w:rFonts w:ascii="Arial" w:hAnsi="Arial" w:cs="Arial"/>
                <w:sz w:val="20"/>
                <w:szCs w:val="20"/>
                <w:lang w:val="sr-Latn-ME"/>
              </w:rPr>
              <w:t>standard pravila djelovanja savjetodavne komisije ili alternativno savjetodavne komisije za rješavanje sporova</w:t>
            </w:r>
            <w:r w:rsidR="00205A29">
              <w:rPr>
                <w:rFonts w:ascii="Arial" w:hAnsi="Arial" w:cs="Arial"/>
                <w:sz w:val="20"/>
                <w:szCs w:val="20"/>
                <w:lang w:val="sr-Latn-ME"/>
              </w:rPr>
              <w:t>;</w:t>
            </w:r>
          </w:p>
          <w:p w:rsidR="00A4407F" w:rsidRDefault="00A4407F" w:rsidP="00A440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s</w:t>
            </w:r>
            <w:r w:rsidRPr="00A4407F">
              <w:rPr>
                <w:rFonts w:ascii="Arial" w:hAnsi="Arial" w:cs="Arial"/>
                <w:sz w:val="20"/>
                <w:szCs w:val="20"/>
                <w:lang w:val="sr-Latn-ME"/>
              </w:rPr>
              <w:t>tandardn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A4407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obra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zac</w:t>
            </w:r>
            <w:r w:rsidRPr="00A4407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objavljivanje</w:t>
            </w:r>
            <w:r w:rsidRPr="00A4407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konačne odluke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</w:p>
          <w:p w:rsidR="00A4407F" w:rsidRDefault="00A4407F" w:rsidP="00A4407F">
            <w:pPr>
              <w:pStyle w:val="ListParagraph"/>
              <w:autoSpaceDE w:val="0"/>
              <w:autoSpaceDN w:val="0"/>
              <w:adjustRightInd w:val="0"/>
              <w:ind w:left="78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30CDB" w:rsidRDefault="007202A3" w:rsidP="00C30C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>Ovim zakonom u</w:t>
            </w:r>
            <w:r w:rsidR="00C30CDB">
              <w:rPr>
                <w:rFonts w:ascii="Arial" w:hAnsi="Arial" w:cs="Arial"/>
                <w:sz w:val="20"/>
                <w:szCs w:val="20"/>
                <w:lang w:val="sr-Latn-ME"/>
              </w:rPr>
              <w:t>ređuju se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pravila o mehaniz</w:t>
            </w:r>
            <w:r w:rsidR="00C30CDB">
              <w:rPr>
                <w:rFonts w:ascii="Arial" w:hAnsi="Arial" w:cs="Arial"/>
                <w:sz w:val="20"/>
                <w:szCs w:val="20"/>
                <w:lang w:val="sr-Latn-ME"/>
              </w:rPr>
              <w:t>mima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rješavanja sporova između Crne Gore i drugih država članica E</w:t>
            </w:r>
            <w:r w:rsidR="00A05E39">
              <w:rPr>
                <w:rFonts w:ascii="Arial" w:hAnsi="Arial" w:cs="Arial"/>
                <w:sz w:val="20"/>
                <w:szCs w:val="20"/>
                <w:lang w:val="sr-Latn-ME"/>
              </w:rPr>
              <w:t>vr</w:t>
            </w:r>
            <w:bookmarkStart w:id="1" w:name="_GoBack"/>
            <w:bookmarkEnd w:id="1"/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>opske unije kada ti sporovi proizlaze iz tumačenja i primjene ugovora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>sporazuma kojima je predviđeno otklanjanje dvostrukog oporezivanja dohotka i imovine, kao i prava i obaveze poreskih obveznika u slučaju nastanka sporova.</w:t>
            </w:r>
          </w:p>
          <w:p w:rsidR="00C30CDB" w:rsidRDefault="00C30CDB" w:rsidP="00C30C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30CDB" w:rsidRDefault="00C30CDB" w:rsidP="00C30C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Glavni uzroci problema su:nedovoljno razvijeni postojeći postupci zajedničkog dogovaranja (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tzv.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MAP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-ovi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odsustvo rokova i obavezujućih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odluka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cilju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rješavanj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poreskih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sporova,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r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azličita tumačenja ugovora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/sporazuma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o izbjegavanju dvostrukog oporezivanja.</w:t>
            </w:r>
          </w:p>
          <w:p w:rsidR="00C30CDB" w:rsidRDefault="00C30CDB" w:rsidP="00C30C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C30CDB" w:rsidRPr="00C30CDB" w:rsidRDefault="00C30CDB" w:rsidP="009C5BC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Navedena zakonska rješenja imaće uticaj na privred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na društva koja obavljaju prekogranične djelatnosti kao i na fizička lica koja ost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varuju 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prihode 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iz više država.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U slučaju da Crna Gore ne implementira ova zakonska rješenja, 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>došlo bi do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: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povećanja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pravn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>e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nesigurnost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poreske obveznike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i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troškov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poslovanja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obveznika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u slučaju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dvostruko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g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 oporezivanj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a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>smanjen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>j</w:t>
            </w:r>
            <w:r w:rsidRPr="00C30CDB">
              <w:rPr>
                <w:rFonts w:ascii="Arial" w:hAnsi="Arial" w:cs="Arial"/>
                <w:sz w:val="20"/>
                <w:szCs w:val="20"/>
                <w:lang w:val="sr-Latn-ME"/>
              </w:rPr>
              <w:t xml:space="preserve">a 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investicija usljed lošeg poslovnog ambijenta, kao i do produženja rokova rješavanja sporova bez garancija zadovoljavajućih 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ishoda tih sporova.</w:t>
            </w:r>
            <w:r w:rsidR="009C5BC7">
              <w:rPr>
                <w:rFonts w:ascii="Arial" w:hAnsi="Arial" w:cs="Arial"/>
                <w:sz w:val="20"/>
                <w:szCs w:val="20"/>
                <w:lang w:val="sr-Latn-ME"/>
              </w:rPr>
              <w:t xml:space="preserve">. </w:t>
            </w:r>
          </w:p>
          <w:p w:rsidR="00C30CDB" w:rsidRPr="00C30CDB" w:rsidRDefault="00C30CDB" w:rsidP="00C30CDB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7202A3" w:rsidRPr="007202A3" w:rsidRDefault="00937E3B" w:rsidP="007202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>Prilikom pripreme Predloga zakona razmatrana je „status quo“ opcija. U slučaju zadržavanja „status quo“ opcije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ne bi se 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>izvršilo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usklađivanje </w:t>
            </w:r>
            <w:r w:rsidR="00EF5AB8" w:rsidRPr="007202A3">
              <w:rPr>
                <w:rFonts w:ascii="Arial" w:hAnsi="Arial" w:cs="Arial"/>
                <w:sz w:val="20"/>
                <w:szCs w:val="20"/>
                <w:lang w:val="sr-Latn-ME"/>
              </w:rPr>
              <w:t>zakona</w:t>
            </w:r>
            <w:r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sa EU direktiv</w:t>
            </w:r>
            <w:r w:rsidR="00B52A7B" w:rsidRPr="007202A3">
              <w:rPr>
                <w:rFonts w:ascii="Arial" w:hAnsi="Arial" w:cs="Arial"/>
                <w:sz w:val="20"/>
                <w:szCs w:val="20"/>
                <w:lang w:val="sr-Latn-ME"/>
              </w:rPr>
              <w:t>om</w:t>
            </w:r>
            <w:r w:rsidR="00A03088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</w:t>
            </w:r>
            <w:r w:rsidR="00D72107">
              <w:rPr>
                <w:rFonts w:ascii="Arial" w:hAnsi="Arial" w:cs="Arial"/>
                <w:sz w:val="20"/>
                <w:szCs w:val="20"/>
                <w:lang w:val="sr-Latn-ME"/>
              </w:rPr>
              <w:t xml:space="preserve">a </w:t>
            </w:r>
            <w:r w:rsidR="00A03088">
              <w:rPr>
                <w:rFonts w:ascii="Arial" w:hAnsi="Arial" w:cs="Arial"/>
                <w:sz w:val="20"/>
                <w:szCs w:val="20"/>
                <w:lang w:val="sr-Latn-ME"/>
              </w:rPr>
              <w:t>što bi u krajnjem dovelo do dugotrajnih procedura rješavanja sporova.</w:t>
            </w:r>
            <w:r w:rsidR="00EF5AB8" w:rsidRPr="007202A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A03088" w:rsidRPr="00D72107" w:rsidRDefault="00EB7ED2" w:rsidP="007202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Programom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Gore</w:t>
            </w:r>
            <w:r w:rsidR="00D72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PPCG 202</w:t>
            </w:r>
            <w:r w:rsidR="00EF5AB8" w:rsidRPr="007202A3">
              <w:rPr>
                <w:rFonts w:ascii="Arial" w:hAnsi="Arial" w:cs="Arial"/>
                <w:sz w:val="20"/>
                <w:szCs w:val="20"/>
              </w:rPr>
              <w:t>5</w:t>
            </w:r>
            <w:r w:rsidRPr="007202A3">
              <w:rPr>
                <w:rFonts w:ascii="Arial" w:hAnsi="Arial" w:cs="Arial"/>
                <w:sz w:val="20"/>
                <w:szCs w:val="20"/>
              </w:rPr>
              <w:t>-202</w:t>
            </w:r>
            <w:r w:rsidR="00EF5AB8" w:rsidRPr="007202A3">
              <w:rPr>
                <w:rFonts w:ascii="Arial" w:hAnsi="Arial" w:cs="Arial"/>
                <w:sz w:val="20"/>
                <w:szCs w:val="20"/>
              </w:rPr>
              <w:t>6</w:t>
            </w:r>
            <w:r w:rsidR="00FB521B" w:rsidRPr="007202A3">
              <w:rPr>
                <w:rFonts w:ascii="Arial" w:hAnsi="Arial" w:cs="Arial"/>
                <w:sz w:val="20"/>
                <w:szCs w:val="20"/>
              </w:rPr>
              <w:t>.</w:t>
            </w:r>
            <w:r w:rsidRPr="007202A3">
              <w:rPr>
                <w:rFonts w:ascii="Arial" w:hAnsi="Arial" w:cs="Arial"/>
                <w:sz w:val="20"/>
                <w:szCs w:val="20"/>
              </w:rPr>
              <w:t>god</w:t>
            </w:r>
            <w:r w:rsidR="00FB521B" w:rsidRPr="007202A3">
              <w:rPr>
                <w:rFonts w:ascii="Arial" w:hAnsi="Arial" w:cs="Arial"/>
                <w:sz w:val="20"/>
                <w:szCs w:val="20"/>
              </w:rPr>
              <w:t>ina,</w:t>
            </w:r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izrada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mehanizmima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rješavanja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poreskih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sporova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02A3" w:rsidRPr="007202A3"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 w:rsidR="007202A3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predviđena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je za I</w:t>
            </w:r>
            <w:r w:rsidR="007202A3" w:rsidRPr="007202A3">
              <w:rPr>
                <w:rFonts w:ascii="Arial" w:hAnsi="Arial" w:cs="Arial"/>
                <w:sz w:val="20"/>
                <w:szCs w:val="20"/>
              </w:rPr>
              <w:t>I</w:t>
            </w:r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kvartal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202A3" w:rsidRPr="007202A3">
              <w:rPr>
                <w:rFonts w:ascii="Arial" w:hAnsi="Arial" w:cs="Arial"/>
                <w:sz w:val="20"/>
                <w:szCs w:val="20"/>
              </w:rPr>
              <w:t>6</w:t>
            </w:r>
            <w:r w:rsidRPr="007202A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godin</w:t>
            </w:r>
            <w:r w:rsidR="00FB521B" w:rsidRPr="007202A3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>,</w:t>
            </w:r>
            <w:r w:rsidR="00FB521B"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02A3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nacionalnog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zakonodavstva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02A3">
              <w:rPr>
                <w:rFonts w:ascii="Arial" w:hAnsi="Arial" w:cs="Arial"/>
                <w:sz w:val="20"/>
                <w:szCs w:val="20"/>
              </w:rPr>
              <w:t>direktiv</w:t>
            </w:r>
            <w:r w:rsidR="00937E3B" w:rsidRPr="007202A3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720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9C8" w:rsidRPr="007202A3">
              <w:rPr>
                <w:rFonts w:ascii="Arial" w:hAnsi="Arial" w:cs="Arial"/>
                <w:sz w:val="20"/>
                <w:szCs w:val="20"/>
              </w:rPr>
              <w:t>2</w:t>
            </w:r>
            <w:r w:rsidR="007202A3" w:rsidRPr="007202A3">
              <w:rPr>
                <w:rFonts w:ascii="Arial" w:hAnsi="Arial" w:cs="Arial"/>
                <w:sz w:val="20"/>
                <w:szCs w:val="20"/>
              </w:rPr>
              <w:t>017</w:t>
            </w:r>
            <w:r w:rsidR="006519C8" w:rsidRPr="007202A3">
              <w:rPr>
                <w:rFonts w:ascii="Arial" w:hAnsi="Arial" w:cs="Arial"/>
                <w:sz w:val="20"/>
                <w:szCs w:val="20"/>
              </w:rPr>
              <w:t>/</w:t>
            </w:r>
            <w:r w:rsidR="007202A3" w:rsidRPr="007202A3">
              <w:rPr>
                <w:rFonts w:ascii="Arial" w:hAnsi="Arial" w:cs="Arial"/>
                <w:sz w:val="20"/>
                <w:szCs w:val="20"/>
              </w:rPr>
              <w:t>1852</w:t>
            </w:r>
            <w:r w:rsidR="006519C8" w:rsidRPr="007202A3">
              <w:rPr>
                <w:rFonts w:ascii="Arial" w:hAnsi="Arial" w:cs="Arial"/>
                <w:sz w:val="20"/>
                <w:szCs w:val="20"/>
              </w:rPr>
              <w:t>/EC.</w:t>
            </w:r>
            <w:r w:rsidR="006519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lastRenderedPageBreak/>
              <w:t xml:space="preserve">2.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Ciljevi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postižu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Navesti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usklađenost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postojećim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strategijama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programima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Vlade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266920" w:rsidRPr="00A03088" w:rsidRDefault="00266920" w:rsidP="00634866">
            <w:pPr>
              <w:jc w:val="both"/>
              <w:rPr>
                <w:rFonts w:ascii="Tahoma" w:hAnsi="Tahoma" w:cs="Tahoma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Programom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D72107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A03088">
              <w:rPr>
                <w:rFonts w:ascii="Arial" w:hAnsi="Arial" w:cs="Arial"/>
                <w:iCs/>
                <w:sz w:val="20"/>
                <w:szCs w:val="20"/>
              </w:rPr>
              <w:t>ada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Vlade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Crne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Gore</w:t>
            </w:r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za</w:t>
            </w:r>
            <w:r w:rsidR="00E03AB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>202</w:t>
            </w:r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A03088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FB521B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>godinu</w:t>
            </w:r>
            <w:proofErr w:type="spellEnd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>planirano</w:t>
            </w:r>
            <w:proofErr w:type="spellEnd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je </w:t>
            </w:r>
            <w:proofErr w:type="spellStart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>donošenje</w:t>
            </w:r>
            <w:proofErr w:type="spellEnd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Zakona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o</w:t>
            </w:r>
            <w:r w:rsidR="00A03088" w:rsidRPr="00A03088">
              <w:t xml:space="preserve">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mehanizmima</w:t>
            </w:r>
            <w:proofErr w:type="spellEnd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rješavanja</w:t>
            </w:r>
            <w:proofErr w:type="spellEnd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poreskih</w:t>
            </w:r>
            <w:proofErr w:type="spellEnd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sporova</w:t>
            </w:r>
            <w:proofErr w:type="spellEnd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u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Evropskoj</w:t>
            </w:r>
            <w:proofErr w:type="spellEnd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uniji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>za I</w:t>
            </w:r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>kvartal</w:t>
            </w:r>
            <w:proofErr w:type="spellEnd"/>
            <w:r w:rsidR="002F6EA4" w:rsidRPr="00A03088">
              <w:rPr>
                <w:rFonts w:ascii="Arial" w:hAnsi="Arial" w:cs="Arial"/>
                <w:iCs/>
                <w:sz w:val="20"/>
                <w:szCs w:val="20"/>
              </w:rPr>
              <w:t xml:space="preserve"> 202</w:t>
            </w:r>
            <w:r w:rsidR="00A03088" w:rsidRPr="00A03088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godine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cilju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usklađivanja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prethodno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naveden</w:t>
            </w:r>
            <w:r w:rsidR="00E03AB8" w:rsidRPr="00A0308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sz w:val="20"/>
                <w:szCs w:val="20"/>
              </w:rPr>
              <w:t>Direktiv</w:t>
            </w:r>
            <w:r w:rsidR="00E03AB8" w:rsidRPr="00A03088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Takođe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donođenje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navedenog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planirano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187E" w:rsidRPr="00A0308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Programom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pristupanja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Gore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Evropskoj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uniji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PPCG 2025-2026.godina za I</w:t>
            </w:r>
            <w:r w:rsidR="00A03088" w:rsidRPr="00A03088">
              <w:rPr>
                <w:rFonts w:ascii="Arial" w:hAnsi="Arial" w:cs="Arial"/>
                <w:sz w:val="20"/>
                <w:szCs w:val="20"/>
              </w:rPr>
              <w:t>I</w:t>
            </w:r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kvartal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tekuće</w:t>
            </w:r>
            <w:proofErr w:type="spellEnd"/>
            <w:r w:rsidR="001D180A" w:rsidRPr="00A030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D180A" w:rsidRPr="00A03088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18187E" w:rsidRPr="00A030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3088" w:rsidRPr="00A03088" w:rsidRDefault="001D180A" w:rsidP="00A03088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Predloženim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zakonom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postižu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se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sljedeći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ciljevi</w:t>
            </w:r>
            <w:proofErr w:type="spellEnd"/>
            <w:r w:rsidR="00AD1F5C" w:rsidRPr="00A0308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A03088" w:rsidRPr="00A03088" w:rsidRDefault="00A03088" w:rsidP="00A03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uspostavljanje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efikasnog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i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obavezujućeg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mehanizma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rješavanja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poreskih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sporova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A03088" w:rsidRPr="00A03088" w:rsidRDefault="00A03088" w:rsidP="00A03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otklanjanje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dvostrukog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oporezivanja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A03088" w:rsidRPr="00A03088" w:rsidRDefault="00A03088" w:rsidP="00A03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unaprjeđenje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pravne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sigurnosti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poreskih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obveznika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A03088" w:rsidRPr="00A03088" w:rsidRDefault="00A03088" w:rsidP="00A03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usklađivanje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sa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pravnom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tekovinom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Evropske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unije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:rsidR="00A03088" w:rsidRPr="00A03088" w:rsidRDefault="00A03088" w:rsidP="00A0308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jačanje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investicione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klime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u </w:t>
            </w:r>
            <w:proofErr w:type="spellStart"/>
            <w:r w:rsidRPr="00A03088">
              <w:rPr>
                <w:rFonts w:ascii="Arial" w:hAnsi="Arial" w:cs="Arial"/>
                <w:iCs/>
                <w:sz w:val="20"/>
                <w:szCs w:val="20"/>
              </w:rPr>
              <w:t>Crnoj</w:t>
            </w:r>
            <w:proofErr w:type="spellEnd"/>
            <w:r w:rsidRPr="00A03088">
              <w:rPr>
                <w:rFonts w:ascii="Arial" w:hAnsi="Arial" w:cs="Arial"/>
                <w:iCs/>
                <w:sz w:val="20"/>
                <w:szCs w:val="20"/>
              </w:rPr>
              <w:t xml:space="preserve"> Gori.</w:t>
            </w:r>
          </w:p>
          <w:p w:rsidR="00E03AB8" w:rsidRPr="001D180A" w:rsidRDefault="001D180A" w:rsidP="00A03088">
            <w:pPr>
              <w:pStyle w:val="ListParagraph"/>
              <w:ind w:left="63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spacing w:before="120" w:after="12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3.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Opcije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moguće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rješavanje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uvijek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treba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razmatrati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“status quo”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preporučljivo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neregulatornu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predloženog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preferiranu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Default="007524BA" w:rsidP="00F01570">
            <w:pPr>
              <w:ind w:left="720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7524BA" w:rsidRPr="00DF750C" w:rsidRDefault="001D180A" w:rsidP="00A03088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Donošenje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navedenih</w:t>
            </w:r>
            <w:proofErr w:type="spellEnd"/>
            <w:r w:rsidR="007F2AF5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F2AF5" w:rsidRPr="00DF750C">
              <w:rPr>
                <w:rFonts w:ascii="Arial" w:eastAsia="Calibri" w:hAnsi="Arial" w:cs="Arial"/>
                <w:sz w:val="20"/>
                <w:szCs w:val="20"/>
              </w:rPr>
              <w:t>zakons</w:t>
            </w:r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kih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predstavlja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jedinu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opciju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ispunjavanju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ciljeva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koji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žele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postići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navedenim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E91D09" w:rsidRPr="00DF750C">
              <w:rPr>
                <w:rFonts w:ascii="Arial" w:eastAsia="Calibri" w:hAnsi="Arial" w:cs="Arial"/>
                <w:sz w:val="20"/>
                <w:szCs w:val="20"/>
              </w:rPr>
              <w:t>svajanje</w:t>
            </w:r>
            <w:r w:rsidR="0075572B" w:rsidRPr="00DF750C">
              <w:rPr>
                <w:rFonts w:ascii="Arial" w:eastAsia="Calibri" w:hAnsi="Arial" w:cs="Arial"/>
                <w:sz w:val="20"/>
                <w:szCs w:val="20"/>
              </w:rPr>
              <w:t>m</w:t>
            </w:r>
            <w:proofErr w:type="spellEnd"/>
            <w:r w:rsidR="00A551A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551A1" w:rsidRPr="00DF750C">
              <w:rPr>
                <w:rFonts w:ascii="Arial" w:eastAsia="Calibri" w:hAnsi="Arial" w:cs="Arial"/>
                <w:sz w:val="20"/>
                <w:szCs w:val="20"/>
              </w:rPr>
              <w:t>zakonskog</w:t>
            </w:r>
            <w:proofErr w:type="spellEnd"/>
            <w:r w:rsidR="00A551A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551A1" w:rsidRPr="00DF750C">
              <w:rPr>
                <w:rFonts w:ascii="Arial" w:eastAsia="Calibri" w:hAnsi="Arial" w:cs="Arial"/>
                <w:sz w:val="20"/>
                <w:szCs w:val="20"/>
              </w:rPr>
              <w:t>okvira</w:t>
            </w:r>
            <w:proofErr w:type="spellEnd"/>
            <w:r w:rsidR="00CF5A7A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82AA0" w:rsidRPr="00DF750C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="00CF5A7A" w:rsidRPr="00DF750C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="00CF5A7A" w:rsidRPr="00DF750C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mehanizmima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rješavanja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poreskih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sporova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Evropskoj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uniji</w:t>
            </w:r>
            <w:proofErr w:type="spellEnd"/>
            <w:r w:rsidR="00CF5A7A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72107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CF5A7A" w:rsidRPr="00DF750C">
              <w:rPr>
                <w:rFonts w:ascii="Arial" w:eastAsia="Calibri" w:hAnsi="Arial" w:cs="Arial"/>
                <w:sz w:val="20"/>
                <w:szCs w:val="20"/>
              </w:rPr>
              <w:t>odgovaraj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ućeg</w:t>
            </w:r>
            <w:proofErr w:type="spellEnd"/>
            <w:r w:rsidR="0058190D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8190D" w:rsidRPr="00DF750C">
              <w:rPr>
                <w:rFonts w:ascii="Arial" w:eastAsia="Calibri" w:hAnsi="Arial" w:cs="Arial"/>
                <w:sz w:val="20"/>
                <w:szCs w:val="20"/>
              </w:rPr>
              <w:t>podzakonsk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og</w:t>
            </w:r>
            <w:proofErr w:type="spellEnd"/>
            <w:r w:rsidR="0058190D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8190D" w:rsidRPr="00DF750C">
              <w:rPr>
                <w:rFonts w:ascii="Arial" w:eastAsia="Calibri" w:hAnsi="Arial" w:cs="Arial"/>
                <w:sz w:val="20"/>
                <w:szCs w:val="20"/>
              </w:rPr>
              <w:t>akta</w:t>
            </w:r>
            <w:proofErr w:type="spellEnd"/>
            <w:r w:rsidR="00482AA0" w:rsidRPr="00DF750C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75572B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>koj</w:t>
            </w:r>
            <w:r w:rsidR="00D72107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>će</w:t>
            </w:r>
            <w:proofErr w:type="spellEnd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>dovesti</w:t>
            </w:r>
            <w:proofErr w:type="spellEnd"/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 xml:space="preserve"> do</w:t>
            </w:r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usklađivanj</w:t>
            </w:r>
            <w:r w:rsidR="005E0BC8" w:rsidRPr="00DF750C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sa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relevantn</w:t>
            </w:r>
            <w:r w:rsidR="00E03AB8" w:rsidRPr="00DF750C">
              <w:rPr>
                <w:rFonts w:ascii="Arial" w:eastAsia="Calibri" w:hAnsi="Arial" w:cs="Arial"/>
                <w:sz w:val="20"/>
                <w:szCs w:val="20"/>
              </w:rPr>
              <w:t>om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>direktiv</w:t>
            </w:r>
            <w:r w:rsidR="00E03AB8" w:rsidRPr="00DF750C">
              <w:rPr>
                <w:rFonts w:ascii="Arial" w:eastAsia="Calibri" w:hAnsi="Arial" w:cs="Arial"/>
                <w:sz w:val="20"/>
                <w:szCs w:val="20"/>
              </w:rPr>
              <w:t>om</w:t>
            </w:r>
            <w:proofErr w:type="spellEnd"/>
            <w:r w:rsidR="00A92F11" w:rsidRPr="00DF750C">
              <w:rPr>
                <w:rFonts w:ascii="Arial" w:eastAsia="Calibri" w:hAnsi="Arial" w:cs="Arial"/>
                <w:sz w:val="20"/>
                <w:szCs w:val="20"/>
              </w:rPr>
              <w:t xml:space="preserve"> EU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A03088">
              <w:rPr>
                <w:rFonts w:ascii="Arial" w:eastAsia="Calibri" w:hAnsi="Arial" w:cs="Arial"/>
                <w:sz w:val="20"/>
                <w:szCs w:val="20"/>
              </w:rPr>
              <w:t>cilju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jasn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ijeg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definis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anja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rokovima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arbitraž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nog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>
              <w:rPr>
                <w:rFonts w:ascii="Arial" w:eastAsia="Calibri" w:hAnsi="Arial" w:cs="Arial"/>
                <w:sz w:val="20"/>
                <w:szCs w:val="20"/>
              </w:rPr>
              <w:t>postupka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A03088">
              <w:rPr>
                <w:rFonts w:ascii="Arial" w:eastAsia="Calibri" w:hAnsi="Arial" w:cs="Arial"/>
                <w:sz w:val="20"/>
                <w:szCs w:val="20"/>
              </w:rPr>
              <w:t>kao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>
              <w:rPr>
                <w:rFonts w:ascii="Arial" w:eastAsia="Calibri" w:hAnsi="Arial" w:cs="Arial"/>
                <w:sz w:val="20"/>
                <w:szCs w:val="20"/>
              </w:rPr>
              <w:t>sprovođenja</w:t>
            </w:r>
            <w:proofErr w:type="spellEnd"/>
            <w:r w:rsid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obavezujući</w:t>
            </w:r>
            <w:r w:rsidR="00A03088">
              <w:rPr>
                <w:rFonts w:ascii="Arial" w:eastAsia="Calibri" w:hAnsi="Arial" w:cs="Arial"/>
                <w:sz w:val="20"/>
                <w:szCs w:val="20"/>
              </w:rPr>
              <w:t>h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odluka</w:t>
            </w:r>
            <w:proofErr w:type="spellEnd"/>
            <w:r w:rsidR="00A03088" w:rsidRPr="00A0308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7524BA" w:rsidRPr="00BD4D1E" w:rsidTr="005D4D02">
        <w:trPr>
          <w:trHeight w:val="610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4.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Analiza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Na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najvjerovatnije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rješenja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-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nabrojati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negativne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uticaje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indirektne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izazvati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građanima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naročito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malim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srednjim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preduzećima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pozitivne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posljedice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opravdavaju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troškove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on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stvoriti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podržava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stvaranje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novih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privrednih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subjekata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tržišna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konkurencija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7670C" w:rsidRPr="0077670C" w:rsidRDefault="007524BA" w:rsidP="007767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procjenu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administrativnih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opterećenja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biznis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barijera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77670C">
        <w:trPr>
          <w:trHeight w:val="60"/>
        </w:trPr>
        <w:tc>
          <w:tcPr>
            <w:tcW w:w="9576" w:type="dxa"/>
            <w:gridSpan w:val="2"/>
          </w:tcPr>
          <w:p w:rsidR="0077670C" w:rsidRDefault="0077670C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DA447B" w:rsidRPr="00DA447B" w:rsidRDefault="0077670C" w:rsidP="00DA447B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Pozitivna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strana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predloženih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zakonskih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je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što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vrši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usklađivanje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18187E" w:rsidRPr="00DF750C">
              <w:rPr>
                <w:rFonts w:ascii="Arial" w:eastAsia="Calibri" w:hAnsi="Arial" w:cs="Arial"/>
                <w:sz w:val="20"/>
                <w:szCs w:val="20"/>
              </w:rPr>
              <w:t>nacionalnog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poreskog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zakonodavstva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sa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EU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Direktivom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uspostavljanje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efikasnog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obavezujućeg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mehanizma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rješavanja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poreskih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sporova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DA447B">
              <w:rPr>
                <w:rFonts w:ascii="Arial" w:eastAsia="Calibri" w:hAnsi="Arial" w:cs="Arial"/>
                <w:sz w:val="20"/>
                <w:szCs w:val="20"/>
              </w:rPr>
              <w:t>cilju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otklanjanj</w:t>
            </w:r>
            <w:r w:rsidR="00DA447B">
              <w:rPr>
                <w:rFonts w:ascii="Arial" w:eastAsia="Calibri" w:hAnsi="Arial" w:cs="Arial"/>
                <w:sz w:val="20"/>
                <w:szCs w:val="20"/>
              </w:rPr>
              <w:t>a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dvostrukog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oporezivanja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A35219" w:rsidRPr="00DF750C" w:rsidRDefault="00DA447B" w:rsidP="0077670C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A447B">
              <w:rPr>
                <w:rFonts w:ascii="Arial" w:eastAsia="Calibri" w:hAnsi="Arial" w:cs="Arial"/>
                <w:sz w:val="20"/>
                <w:szCs w:val="20"/>
              </w:rPr>
              <w:tab/>
            </w:r>
          </w:p>
          <w:p w:rsidR="007D7BCD" w:rsidRPr="00DF750C" w:rsidRDefault="00A35219" w:rsidP="0077670C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Predloženim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zakonskim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rješenjima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podržava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jačanje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konkurentnosti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eastAsia="Calibri" w:hAnsi="Arial" w:cs="Arial"/>
                <w:sz w:val="20"/>
                <w:szCs w:val="20"/>
              </w:rPr>
              <w:t>privrede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Predložena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zakonska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rješenja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neće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uticati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standard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građana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="00DA447B">
              <w:rPr>
                <w:rFonts w:ascii="Arial" w:eastAsia="Calibri" w:hAnsi="Arial" w:cs="Arial"/>
                <w:sz w:val="20"/>
                <w:szCs w:val="20"/>
              </w:rPr>
              <w:t>već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>
              <w:rPr>
                <w:rFonts w:ascii="Arial" w:eastAsia="Calibri" w:hAnsi="Arial" w:cs="Arial"/>
                <w:sz w:val="20"/>
                <w:szCs w:val="20"/>
              </w:rPr>
              <w:t>na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unaprjeđenje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>
              <w:rPr>
                <w:rFonts w:ascii="Arial" w:eastAsia="Calibri" w:hAnsi="Arial" w:cs="Arial"/>
                <w:sz w:val="20"/>
                <w:szCs w:val="20"/>
              </w:rPr>
              <w:t>njihove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pravne</w:t>
            </w:r>
            <w:proofErr w:type="spellEnd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DA447B" w:rsidRPr="00DA447B">
              <w:rPr>
                <w:rFonts w:ascii="Arial" w:eastAsia="Calibri" w:hAnsi="Arial" w:cs="Arial"/>
                <w:sz w:val="20"/>
                <w:szCs w:val="20"/>
              </w:rPr>
              <w:t>sigurnosti</w:t>
            </w:r>
            <w:proofErr w:type="spellEnd"/>
            <w:r w:rsidR="00DA447B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721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Novim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zakonskim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rješenjima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ne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stvaraju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se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administrativna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opterećenja</w:t>
            </w:r>
            <w:proofErr w:type="spellEnd"/>
            <w:r w:rsidR="00D72107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kao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ni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biznis</w:t>
            </w:r>
            <w:proofErr w:type="spellEnd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77670C" w:rsidRPr="00DF750C">
              <w:rPr>
                <w:rFonts w:ascii="Arial" w:eastAsia="Calibri" w:hAnsi="Arial" w:cs="Arial"/>
                <w:sz w:val="20"/>
                <w:szCs w:val="20"/>
              </w:rPr>
              <w:t>barijere</w:t>
            </w:r>
            <w:proofErr w:type="spellEnd"/>
            <w:r w:rsidRPr="00DF750C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7524BA" w:rsidRDefault="007524BA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D72107" w:rsidRPr="0077670C" w:rsidRDefault="00D72107" w:rsidP="0077670C">
            <w:pPr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lastRenderedPageBreak/>
              <w:t xml:space="preserve">5.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Procjena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fiskalnog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uticaja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potrebno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iznosu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obezbjeđenje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sredstava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jednokratno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određenog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vremenskog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perioda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proizilaze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međunarodne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neophodna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sredstva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obezbijeđena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tekuću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fiskalnu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planirana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narednu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fiskanu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godinu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usvajanjem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predviđeno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donošenje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podzakonskih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akata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proisteći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obaveze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ostvariti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budžet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Crne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Gore?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metodologiju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prilikom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problemi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preciznom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obračunu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finansijskih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izdataka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prihoda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postojale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Ministarstva finansija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nacrt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/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predlog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Da li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dobijene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primjedbe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uključene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tekst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406839">
            <w:pPr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5D4D02" w:rsidRPr="00DF750C" w:rsidRDefault="001736FD" w:rsidP="00406839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sprovođenje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potrebno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4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obez</w:t>
            </w:r>
            <w:r w:rsidR="00DA4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bijediti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dodatna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Budžeta</w:t>
            </w:r>
            <w:proofErr w:type="spellEnd"/>
            <w:r w:rsidR="00B65A65" w:rsidRPr="00DF750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Crne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Gore</w:t>
            </w:r>
            <w:r w:rsidR="00DA4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DA447B">
              <w:rPr>
                <w:rFonts w:ascii="Arial" w:hAnsi="Arial" w:cs="Arial"/>
                <w:color w:val="000000" w:themeColor="text1"/>
                <w:sz w:val="20"/>
                <w:szCs w:val="20"/>
              </w:rPr>
              <w:t>cilju</w:t>
            </w:r>
            <w:proofErr w:type="spellEnd"/>
            <w:r w:rsidR="00DA4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finansiranja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naknada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članova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savjetodavne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komisije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D91391"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5D4D02" w:rsidRPr="00DF750C" w:rsidRDefault="005D4D02" w:rsidP="00406839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736FD" w:rsidRPr="00DF750C" w:rsidRDefault="00D91391" w:rsidP="00406839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Implementacijom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proizilaze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međunarodne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finasijske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="004C37E9"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5D4D02" w:rsidRPr="00DF750C" w:rsidRDefault="005D4D02" w:rsidP="00406839">
            <w:pPr>
              <w:contextualSpacing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  <w:p w:rsidR="005D4D02" w:rsidRPr="00DF750C" w:rsidRDefault="005D4D02" w:rsidP="0040683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neophodno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obezbijediti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sredstva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="0018187E"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udžetu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tekuću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72107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naredne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fiskaln</w:t>
            </w:r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godin</w:t>
            </w:r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D72107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sve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momenta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pristupanja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Crne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Gore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Evropskoj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uniji</w:t>
            </w:r>
            <w:proofErr w:type="spellEnd"/>
            <w:r w:rsid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:rsidR="00AA2E12" w:rsidRDefault="005D4D02" w:rsidP="009D06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Usvajanjem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ovog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predviđeno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donošenje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podzakonskih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akata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iz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kojih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proisteći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obaveze</w:t>
            </w:r>
            <w:proofErr w:type="spellEnd"/>
            <w:r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DC6356" w:rsidRPr="00DF750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286C56" w:rsidRPr="00C3737B" w:rsidRDefault="00286C56" w:rsidP="009D061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Usvajanje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ovog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zakonsko</w:t>
            </w:r>
            <w:r w:rsidR="00D72107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rješenja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dovesti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povećanja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troškova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usl</w:t>
            </w:r>
            <w:r w:rsidR="00D72107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finansiranja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rada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savjetodavne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komisije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druge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strane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doći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povećanja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kroz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povećanje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investicija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poreske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baze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t xml:space="preserve"> S </w:t>
            </w:r>
            <w:proofErr w:type="spellStart"/>
            <w:r>
              <w:t>tim</w:t>
            </w:r>
            <w:proofErr w:type="spellEnd"/>
            <w:r>
              <w:t xml:space="preserve"> u </w:t>
            </w:r>
            <w:proofErr w:type="spellStart"/>
            <w:r>
              <w:t>vezi</w:t>
            </w:r>
            <w:proofErr w:type="spellEnd"/>
            <w:r>
              <w:t xml:space="preserve">, </w:t>
            </w:r>
            <w:proofErr w:type="spellStart"/>
            <w:r>
              <w:t>o</w:t>
            </w:r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bračunavanje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finansijskih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prihoda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Budžetu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vezi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predloženih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zakonskih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rješenja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nije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bilo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moguće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>preciznošću</w:t>
            </w:r>
            <w:proofErr w:type="spellEnd"/>
            <w:r w:rsidRPr="00286C5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utvrditi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ovom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momentu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6.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Konsultacije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zainteresovanih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strana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li je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korišćena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eksterna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ekspertska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podrška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grupe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konsultovane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u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kojoj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fazi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RIA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procesa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kako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(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javne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ciljane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).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Naznačiti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rezultate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konsultacija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,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predlozi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sugestije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zainteresovanih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strana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odnosno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nijesu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prihvaćeni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.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Obrazložiti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.</w:t>
            </w:r>
          </w:p>
        </w:tc>
      </w:tr>
      <w:tr w:rsidR="007524BA" w:rsidRPr="00BD4D1E" w:rsidTr="00F01570"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  <w:p w:rsidR="00B01730" w:rsidRDefault="00EF5C07" w:rsidP="00B017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F5C07">
              <w:rPr>
                <w:rFonts w:ascii="Tahoma" w:eastAsia="Calibri" w:hAnsi="Tahoma" w:cs="Tahoma"/>
              </w:rPr>
              <w:t xml:space="preserve"> </w:t>
            </w:r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pripremi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predloga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Zakona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mehanizmima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rješavanja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poreskih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sporova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Evropskoj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uniji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bili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su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uključeni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>predstavnici</w:t>
            </w:r>
            <w:proofErr w:type="spellEnd"/>
            <w:r w:rsidR="00B01730"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01730">
              <w:rPr>
                <w:rFonts w:ascii="Arial" w:eastAsia="Calibri" w:hAnsi="Arial" w:cs="Arial"/>
                <w:sz w:val="20"/>
                <w:szCs w:val="20"/>
              </w:rPr>
              <w:t xml:space="preserve">Ministarstva </w:t>
            </w:r>
            <w:proofErr w:type="spellStart"/>
            <w:r w:rsidR="00B01730">
              <w:rPr>
                <w:rFonts w:ascii="Arial" w:eastAsia="Calibri" w:hAnsi="Arial" w:cs="Arial"/>
                <w:sz w:val="20"/>
                <w:szCs w:val="20"/>
              </w:rPr>
              <w:t>pravde</w:t>
            </w:r>
            <w:proofErr w:type="spellEnd"/>
            <w:r w:rsidR="00B0173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B01730" w:rsidRPr="00B01730" w:rsidRDefault="00B01730" w:rsidP="00B017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5961" w:rsidRPr="00EF5C07" w:rsidRDefault="00B01730" w:rsidP="00B0173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ahoma" w:eastAsia="Calibri" w:hAnsi="Tahoma" w:cs="Tahoma"/>
              </w:rPr>
            </w:pP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Nakon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sproved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B01730">
              <w:rPr>
                <w:rFonts w:ascii="Arial" w:eastAsia="Calibri" w:hAnsi="Arial" w:cs="Arial"/>
                <w:sz w:val="20"/>
                <w:szCs w:val="20"/>
              </w:rPr>
              <w:t>ne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javne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rasprave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u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Izvještaju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o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sprovedenoj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javnoj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raspravi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biće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navedeni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svi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pristigli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predlozi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primjedbe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sugestije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kao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pregled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usvojenih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odnosno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odbijenih</w:t>
            </w:r>
            <w:proofErr w:type="spellEnd"/>
            <w:r w:rsidRPr="00B0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01730">
              <w:rPr>
                <w:rFonts w:ascii="Arial" w:eastAsia="Calibri" w:hAnsi="Arial" w:cs="Arial"/>
                <w:sz w:val="20"/>
                <w:szCs w:val="20"/>
              </w:rPr>
              <w:t>predloga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7524BA" w:rsidRPr="00BD4D1E" w:rsidTr="003324BB">
        <w:trPr>
          <w:trHeight w:val="3265"/>
        </w:trPr>
        <w:tc>
          <w:tcPr>
            <w:tcW w:w="9576" w:type="dxa"/>
            <w:gridSpan w:val="2"/>
          </w:tcPr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color w:val="365F91"/>
              </w:rPr>
            </w:pPr>
          </w:p>
          <w:p w:rsidR="007524BA" w:rsidRPr="00BD4D1E" w:rsidRDefault="007524BA" w:rsidP="00F01570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eastAsia="Calibri" w:hAnsi="Arial" w:cs="Arial"/>
                <w:b/>
                <w:color w:val="365F91"/>
              </w:rPr>
            </w:pPr>
            <w:r w:rsidRPr="00BD4D1E">
              <w:rPr>
                <w:rFonts w:ascii="Arial" w:eastAsia="Calibri" w:hAnsi="Arial" w:cs="Arial"/>
                <w:color w:val="365F91"/>
              </w:rPr>
              <w:t xml:space="preserve">7: Monitoring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i</w:t>
            </w:r>
            <w:proofErr w:type="spellEnd"/>
            <w:r w:rsidRPr="00BD4D1E">
              <w:rPr>
                <w:rFonts w:ascii="Arial" w:eastAsia="Calibri" w:hAnsi="Arial" w:cs="Arial"/>
                <w:color w:val="365F91"/>
              </w:rPr>
              <w:t xml:space="preserve"> </w:t>
            </w:r>
            <w:proofErr w:type="spellStart"/>
            <w:r w:rsidRPr="00BD4D1E">
              <w:rPr>
                <w:rFonts w:ascii="Arial" w:eastAsia="Calibri" w:hAnsi="Arial" w:cs="Arial"/>
                <w:color w:val="365F91"/>
              </w:rPr>
              <w:t>evaluacija</w:t>
            </w:r>
            <w:proofErr w:type="spellEnd"/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potencijalne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prepreke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implementaciju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? 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preduzete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tokom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da bi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ispunili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7524BA" w:rsidRPr="00BD4D1E" w:rsidRDefault="007524BA" w:rsidP="007524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Koji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su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glavni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indikatori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prema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kojima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se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mjeriti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ispunjenje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ciljeva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F934DE" w:rsidRPr="00EF5C07" w:rsidRDefault="007524BA" w:rsidP="00F934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Ko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će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biti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zadužen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za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sprovođenje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monitoringa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i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evaluacije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primjene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 xml:space="preserve"> </w:t>
            </w:r>
            <w:proofErr w:type="spellStart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propisa</w:t>
            </w:r>
            <w:proofErr w:type="spellEnd"/>
            <w:r w:rsidRPr="00BD4D1E">
              <w:rPr>
                <w:rFonts w:ascii="Arial" w:hAnsi="Arial" w:cs="Arial"/>
                <w:color w:val="365F91"/>
                <w:sz w:val="20"/>
                <w:szCs w:val="20"/>
              </w:rPr>
              <w:t>?</w:t>
            </w:r>
          </w:p>
          <w:p w:rsidR="00EF5C07" w:rsidRDefault="00EF5C07" w:rsidP="00EF5C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8190D" w:rsidRPr="0058190D" w:rsidRDefault="0058190D" w:rsidP="00EF5C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postoje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potencijalne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prepreke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implementaciju</w:t>
            </w:r>
            <w:proofErr w:type="spellEnd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190D">
              <w:rPr>
                <w:rFonts w:ascii="Arial" w:hAnsi="Arial" w:cs="Arial"/>
                <w:color w:val="000000" w:themeColor="text1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15961" w:rsidRPr="00BD4D1E" w:rsidRDefault="00BD5942" w:rsidP="00EF5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usvajanja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pristupiće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="005819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izradi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podzakonsk</w:t>
            </w:r>
            <w:r w:rsidR="00E42095"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2F96" w:rsidRPr="00BD4D1E">
              <w:rPr>
                <w:rFonts w:ascii="Arial" w:hAnsi="Arial" w:cs="Arial"/>
                <w:sz w:val="20"/>
                <w:szCs w:val="20"/>
              </w:rPr>
              <w:t>ak</w:t>
            </w:r>
            <w:r w:rsidR="00E42095">
              <w:rPr>
                <w:rFonts w:ascii="Arial" w:hAnsi="Arial" w:cs="Arial"/>
                <w:sz w:val="20"/>
                <w:szCs w:val="20"/>
              </w:rPr>
              <w:t>ta</w:t>
            </w:r>
            <w:proofErr w:type="spellEnd"/>
            <w:r w:rsidR="009C2F9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implementaciju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normi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odnose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0E1706" w:rsidRPr="00BD4D1E">
              <w:rPr>
                <w:rFonts w:ascii="Arial" w:hAnsi="Arial" w:cs="Arial"/>
                <w:sz w:val="20"/>
                <w:szCs w:val="20"/>
              </w:rPr>
              <w:t xml:space="preserve"> EU </w:t>
            </w:r>
            <w:proofErr w:type="spellStart"/>
            <w:r w:rsidR="000E1706" w:rsidRPr="00BD4D1E">
              <w:rPr>
                <w:rFonts w:ascii="Arial" w:hAnsi="Arial" w:cs="Arial"/>
                <w:sz w:val="20"/>
                <w:szCs w:val="20"/>
              </w:rPr>
              <w:t>direktiv</w:t>
            </w:r>
            <w:r w:rsidR="00E42095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koj</w:t>
            </w:r>
            <w:r w:rsidR="00D7210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se mora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donijeti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roku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dana od dana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 w:rsidR="00D72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2107">
              <w:rPr>
                <w:rFonts w:ascii="Arial" w:hAnsi="Arial" w:cs="Arial"/>
                <w:sz w:val="20"/>
                <w:szCs w:val="20"/>
              </w:rPr>
              <w:t>ovog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1730" w:rsidRDefault="00763F9F" w:rsidP="00B017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sprovođenje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monitoringa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naveden</w:t>
            </w:r>
            <w:r w:rsidR="00EF5C07">
              <w:rPr>
                <w:rFonts w:ascii="Arial" w:hAnsi="Arial" w:cs="Arial"/>
                <w:sz w:val="20"/>
                <w:szCs w:val="20"/>
              </w:rPr>
              <w:t>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zadužen</w:t>
            </w:r>
            <w:r w:rsidR="00B0173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Ministarstvo finansija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="005E0B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E0BC8"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3D57" w:rsidRPr="005B0C73" w:rsidRDefault="00C3737B" w:rsidP="00B017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Ispunjavanje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ciljeva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žele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postići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zakonskim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rješenjima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ogleda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="00D72107"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sprovođenj</w:t>
            </w:r>
            <w:r w:rsidR="00D72107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efikasnijh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mehanizama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rješavanja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poreski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1730">
              <w:rPr>
                <w:rFonts w:ascii="Arial" w:hAnsi="Arial" w:cs="Arial"/>
                <w:sz w:val="20"/>
                <w:szCs w:val="20"/>
              </w:rPr>
              <w:t>sporova</w:t>
            </w:r>
            <w:proofErr w:type="spellEnd"/>
            <w:r w:rsidR="00B0173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</w:tr>
    </w:tbl>
    <w:p w:rsidR="003324BB" w:rsidRPr="00BD4D1E" w:rsidRDefault="003324BB" w:rsidP="003324BB">
      <w:pPr>
        <w:rPr>
          <w:rFonts w:ascii="Garamond" w:hAnsi="Garamond" w:cs="Times New Roman"/>
          <w:color w:val="365F91"/>
          <w:sz w:val="24"/>
        </w:rPr>
      </w:pPr>
    </w:p>
    <w:p w:rsidR="00E42095" w:rsidRPr="00E42095" w:rsidRDefault="00E42095" w:rsidP="00E42095">
      <w:pPr>
        <w:rPr>
          <w:rFonts w:ascii="Arial" w:hAnsi="Arial" w:cs="Arial"/>
          <w:b/>
          <w:color w:val="365F91"/>
        </w:rPr>
      </w:pPr>
      <w:r w:rsidRPr="00E42095">
        <w:rPr>
          <w:rFonts w:ascii="Arial" w:hAnsi="Arial" w:cs="Arial"/>
          <w:b/>
          <w:color w:val="365F91"/>
        </w:rPr>
        <w:t xml:space="preserve">    Datum </w:t>
      </w:r>
      <w:proofErr w:type="spellStart"/>
      <w:r w:rsidRPr="00E42095">
        <w:rPr>
          <w:rFonts w:ascii="Arial" w:hAnsi="Arial" w:cs="Arial"/>
          <w:b/>
          <w:color w:val="365F91"/>
        </w:rPr>
        <w:t>i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  <w:proofErr w:type="spellStart"/>
      <w:r w:rsidRPr="00E42095">
        <w:rPr>
          <w:rFonts w:ascii="Arial" w:hAnsi="Arial" w:cs="Arial"/>
          <w:b/>
          <w:color w:val="365F91"/>
        </w:rPr>
        <w:t>mjesto</w:t>
      </w:r>
      <w:proofErr w:type="spellEnd"/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</w:r>
      <w:r w:rsidRPr="00E42095">
        <w:rPr>
          <w:rFonts w:ascii="Arial" w:hAnsi="Arial" w:cs="Arial"/>
          <w:b/>
          <w:color w:val="365F91"/>
        </w:rPr>
        <w:tab/>
        <w:t xml:space="preserve">              </w:t>
      </w:r>
      <w:proofErr w:type="spellStart"/>
      <w:r w:rsidRPr="00E42095">
        <w:rPr>
          <w:rFonts w:ascii="Arial" w:hAnsi="Arial" w:cs="Arial"/>
          <w:b/>
          <w:color w:val="365F91"/>
        </w:rPr>
        <w:t>Starješina</w:t>
      </w:r>
      <w:proofErr w:type="spellEnd"/>
      <w:r w:rsidRPr="00E42095">
        <w:rPr>
          <w:rFonts w:ascii="Arial" w:hAnsi="Arial" w:cs="Arial"/>
          <w:b/>
          <w:color w:val="365F91"/>
        </w:rPr>
        <w:t xml:space="preserve"> </w:t>
      </w:r>
    </w:p>
    <w:p w:rsidR="00F829CA" w:rsidRPr="00EF5C07" w:rsidRDefault="00EF5C07">
      <w:pPr>
        <w:rPr>
          <w:rFonts w:ascii="Arial" w:hAnsi="Arial" w:cs="Arial"/>
          <w:color w:val="1F497D"/>
        </w:rPr>
      </w:pPr>
      <w:r>
        <w:rPr>
          <w:rFonts w:ascii="Arial" w:hAnsi="Arial" w:cs="Arial"/>
          <w:b/>
          <w:color w:val="365F91"/>
        </w:rPr>
        <w:t xml:space="preserve">    </w:t>
      </w:r>
      <w:r w:rsidR="00E42095" w:rsidRPr="00E42095">
        <w:rPr>
          <w:rFonts w:ascii="Arial" w:hAnsi="Arial" w:cs="Arial"/>
          <w:b/>
          <w:color w:val="365F91"/>
        </w:rPr>
        <w:t>_____________</w:t>
      </w:r>
      <w:r w:rsidR="00E42095" w:rsidRPr="00E42095">
        <w:rPr>
          <w:rFonts w:ascii="Arial" w:hAnsi="Arial" w:cs="Arial"/>
          <w:b/>
          <w:color w:val="365F91"/>
        </w:rPr>
        <w:tab/>
      </w:r>
      <w:r w:rsidR="00E42095" w:rsidRPr="00E42095">
        <w:rPr>
          <w:rFonts w:ascii="Arial" w:hAnsi="Arial" w:cs="Arial"/>
          <w:b/>
          <w:color w:val="365F91"/>
        </w:rPr>
        <w:tab/>
      </w:r>
      <w:r w:rsidR="00E42095" w:rsidRPr="00E42095">
        <w:rPr>
          <w:rFonts w:ascii="Arial" w:hAnsi="Arial" w:cs="Arial"/>
          <w:b/>
          <w:color w:val="365F91"/>
        </w:rPr>
        <w:tab/>
      </w:r>
      <w:r w:rsidR="00E42095" w:rsidRPr="00E42095">
        <w:rPr>
          <w:rFonts w:ascii="Arial" w:hAnsi="Arial" w:cs="Arial"/>
          <w:b/>
          <w:color w:val="365F91"/>
        </w:rPr>
        <w:tab/>
      </w:r>
      <w:r w:rsidR="00E42095" w:rsidRPr="00E42095">
        <w:rPr>
          <w:rFonts w:ascii="Arial" w:hAnsi="Arial" w:cs="Arial"/>
          <w:b/>
          <w:color w:val="365F91"/>
        </w:rPr>
        <w:tab/>
      </w:r>
      <w:r>
        <w:rPr>
          <w:rFonts w:ascii="Arial" w:hAnsi="Arial" w:cs="Arial"/>
          <w:b/>
          <w:color w:val="365F91"/>
        </w:rPr>
        <w:t xml:space="preserve">       </w:t>
      </w:r>
      <w:r w:rsidR="00E42095" w:rsidRPr="00E42095">
        <w:rPr>
          <w:rFonts w:ascii="Arial" w:hAnsi="Arial" w:cs="Arial"/>
          <w:b/>
          <w:color w:val="365F91"/>
        </w:rPr>
        <w:t>__________________________</w:t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  <w:r w:rsidR="003324BB" w:rsidRPr="00BD4D1E">
        <w:rPr>
          <w:rFonts w:ascii="Arial" w:hAnsi="Arial" w:cs="Arial"/>
          <w:color w:val="1F497D"/>
        </w:rPr>
        <w:tab/>
      </w:r>
    </w:p>
    <w:sectPr w:rsidR="00F829CA" w:rsidRPr="00EF5C07" w:rsidSect="00F8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7E54"/>
    <w:multiLevelType w:val="hybridMultilevel"/>
    <w:tmpl w:val="2F4E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011"/>
    <w:multiLevelType w:val="hybridMultilevel"/>
    <w:tmpl w:val="B2AC25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DB6858"/>
    <w:multiLevelType w:val="hybridMultilevel"/>
    <w:tmpl w:val="A9B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FAA79AD"/>
    <w:multiLevelType w:val="hybridMultilevel"/>
    <w:tmpl w:val="50EA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4BA"/>
    <w:rsid w:val="00007FAF"/>
    <w:rsid w:val="00016018"/>
    <w:rsid w:val="00024352"/>
    <w:rsid w:val="0002497B"/>
    <w:rsid w:val="0008365C"/>
    <w:rsid w:val="00085916"/>
    <w:rsid w:val="000900AF"/>
    <w:rsid w:val="00090FE8"/>
    <w:rsid w:val="00097A84"/>
    <w:rsid w:val="000B7E34"/>
    <w:rsid w:val="000D04E5"/>
    <w:rsid w:val="000D5FF1"/>
    <w:rsid w:val="000E1706"/>
    <w:rsid w:val="000E1C19"/>
    <w:rsid w:val="00101087"/>
    <w:rsid w:val="0011403F"/>
    <w:rsid w:val="00134FED"/>
    <w:rsid w:val="0014176B"/>
    <w:rsid w:val="001628F9"/>
    <w:rsid w:val="00165616"/>
    <w:rsid w:val="001736FD"/>
    <w:rsid w:val="0018187E"/>
    <w:rsid w:val="001961C1"/>
    <w:rsid w:val="001A7C96"/>
    <w:rsid w:val="001B14D7"/>
    <w:rsid w:val="001C7D4D"/>
    <w:rsid w:val="001D180A"/>
    <w:rsid w:val="001D3803"/>
    <w:rsid w:val="001D5C33"/>
    <w:rsid w:val="001E36DB"/>
    <w:rsid w:val="001F2A6D"/>
    <w:rsid w:val="00205A29"/>
    <w:rsid w:val="00213BE7"/>
    <w:rsid w:val="002162AB"/>
    <w:rsid w:val="002236F1"/>
    <w:rsid w:val="0024484B"/>
    <w:rsid w:val="0024667E"/>
    <w:rsid w:val="00266920"/>
    <w:rsid w:val="0026767B"/>
    <w:rsid w:val="002769EB"/>
    <w:rsid w:val="00286C56"/>
    <w:rsid w:val="0029038C"/>
    <w:rsid w:val="00294127"/>
    <w:rsid w:val="002969C9"/>
    <w:rsid w:val="002D19F8"/>
    <w:rsid w:val="002F5875"/>
    <w:rsid w:val="002F6EA4"/>
    <w:rsid w:val="00315033"/>
    <w:rsid w:val="00315961"/>
    <w:rsid w:val="00322A03"/>
    <w:rsid w:val="0033097D"/>
    <w:rsid w:val="0033164E"/>
    <w:rsid w:val="003324BB"/>
    <w:rsid w:val="00337DF2"/>
    <w:rsid w:val="0035584E"/>
    <w:rsid w:val="00370881"/>
    <w:rsid w:val="00391073"/>
    <w:rsid w:val="00393ECE"/>
    <w:rsid w:val="003A1E02"/>
    <w:rsid w:val="003B0762"/>
    <w:rsid w:val="00406538"/>
    <w:rsid w:val="00406839"/>
    <w:rsid w:val="00414EBF"/>
    <w:rsid w:val="00482AA0"/>
    <w:rsid w:val="004A4C49"/>
    <w:rsid w:val="004A6DD1"/>
    <w:rsid w:val="004A76CF"/>
    <w:rsid w:val="004C241D"/>
    <w:rsid w:val="004C37E9"/>
    <w:rsid w:val="004D1587"/>
    <w:rsid w:val="004D6955"/>
    <w:rsid w:val="004F68BB"/>
    <w:rsid w:val="005008B2"/>
    <w:rsid w:val="005046C1"/>
    <w:rsid w:val="00507636"/>
    <w:rsid w:val="00516B36"/>
    <w:rsid w:val="00526FBD"/>
    <w:rsid w:val="00536931"/>
    <w:rsid w:val="00546871"/>
    <w:rsid w:val="00551B1F"/>
    <w:rsid w:val="005635F0"/>
    <w:rsid w:val="0058190D"/>
    <w:rsid w:val="00592F8C"/>
    <w:rsid w:val="005B0C73"/>
    <w:rsid w:val="005C1909"/>
    <w:rsid w:val="005C5F93"/>
    <w:rsid w:val="005D4D02"/>
    <w:rsid w:val="005E0BC8"/>
    <w:rsid w:val="005E2A60"/>
    <w:rsid w:val="005F3068"/>
    <w:rsid w:val="006256E7"/>
    <w:rsid w:val="006338C0"/>
    <w:rsid w:val="00634866"/>
    <w:rsid w:val="00635EF3"/>
    <w:rsid w:val="006519C8"/>
    <w:rsid w:val="00666135"/>
    <w:rsid w:val="00695761"/>
    <w:rsid w:val="007027CE"/>
    <w:rsid w:val="00703116"/>
    <w:rsid w:val="00717C3E"/>
    <w:rsid w:val="007202A3"/>
    <w:rsid w:val="00727B29"/>
    <w:rsid w:val="00734F66"/>
    <w:rsid w:val="007524BA"/>
    <w:rsid w:val="0075572B"/>
    <w:rsid w:val="00763F9F"/>
    <w:rsid w:val="0077670C"/>
    <w:rsid w:val="007A6F79"/>
    <w:rsid w:val="007D7BCD"/>
    <w:rsid w:val="007F0FAF"/>
    <w:rsid w:val="007F2AF5"/>
    <w:rsid w:val="007F5888"/>
    <w:rsid w:val="007F69C3"/>
    <w:rsid w:val="00806026"/>
    <w:rsid w:val="00841DA6"/>
    <w:rsid w:val="00844047"/>
    <w:rsid w:val="00857458"/>
    <w:rsid w:val="00861F50"/>
    <w:rsid w:val="008672F6"/>
    <w:rsid w:val="0086796D"/>
    <w:rsid w:val="00871748"/>
    <w:rsid w:val="008811D5"/>
    <w:rsid w:val="0088147E"/>
    <w:rsid w:val="00896B73"/>
    <w:rsid w:val="008B5BCE"/>
    <w:rsid w:val="008C53CD"/>
    <w:rsid w:val="008C6429"/>
    <w:rsid w:val="008D4D04"/>
    <w:rsid w:val="008D5D86"/>
    <w:rsid w:val="008F6B25"/>
    <w:rsid w:val="00923F8C"/>
    <w:rsid w:val="009266A8"/>
    <w:rsid w:val="009308D0"/>
    <w:rsid w:val="00937E3B"/>
    <w:rsid w:val="009540BA"/>
    <w:rsid w:val="00971347"/>
    <w:rsid w:val="00981EC6"/>
    <w:rsid w:val="009822C4"/>
    <w:rsid w:val="009864E8"/>
    <w:rsid w:val="0099728D"/>
    <w:rsid w:val="009C2F96"/>
    <w:rsid w:val="009C5BC7"/>
    <w:rsid w:val="009D0616"/>
    <w:rsid w:val="009D4FED"/>
    <w:rsid w:val="009D5340"/>
    <w:rsid w:val="009F21AD"/>
    <w:rsid w:val="009F3A6E"/>
    <w:rsid w:val="00A03088"/>
    <w:rsid w:val="00A05E39"/>
    <w:rsid w:val="00A21761"/>
    <w:rsid w:val="00A25A42"/>
    <w:rsid w:val="00A35219"/>
    <w:rsid w:val="00A4407F"/>
    <w:rsid w:val="00A4700F"/>
    <w:rsid w:val="00A551A1"/>
    <w:rsid w:val="00A77844"/>
    <w:rsid w:val="00A92F11"/>
    <w:rsid w:val="00A96407"/>
    <w:rsid w:val="00AA2E12"/>
    <w:rsid w:val="00AB396D"/>
    <w:rsid w:val="00AB62FD"/>
    <w:rsid w:val="00AD1F5C"/>
    <w:rsid w:val="00AD74D3"/>
    <w:rsid w:val="00AE4846"/>
    <w:rsid w:val="00B005C9"/>
    <w:rsid w:val="00B01730"/>
    <w:rsid w:val="00B04C1B"/>
    <w:rsid w:val="00B2598D"/>
    <w:rsid w:val="00B5239D"/>
    <w:rsid w:val="00B52A7B"/>
    <w:rsid w:val="00B60750"/>
    <w:rsid w:val="00B65A65"/>
    <w:rsid w:val="00B74ADA"/>
    <w:rsid w:val="00B9075E"/>
    <w:rsid w:val="00B93A11"/>
    <w:rsid w:val="00B95EAD"/>
    <w:rsid w:val="00B96C46"/>
    <w:rsid w:val="00BB5428"/>
    <w:rsid w:val="00BD4D1E"/>
    <w:rsid w:val="00BD5942"/>
    <w:rsid w:val="00BF51B9"/>
    <w:rsid w:val="00C22D48"/>
    <w:rsid w:val="00C2643A"/>
    <w:rsid w:val="00C30CDB"/>
    <w:rsid w:val="00C31944"/>
    <w:rsid w:val="00C3737B"/>
    <w:rsid w:val="00C40805"/>
    <w:rsid w:val="00C4511C"/>
    <w:rsid w:val="00C74050"/>
    <w:rsid w:val="00C84977"/>
    <w:rsid w:val="00C862C0"/>
    <w:rsid w:val="00C86AA0"/>
    <w:rsid w:val="00CA3213"/>
    <w:rsid w:val="00CB47CC"/>
    <w:rsid w:val="00CD041E"/>
    <w:rsid w:val="00CD5430"/>
    <w:rsid w:val="00CE2D9E"/>
    <w:rsid w:val="00CF1BA8"/>
    <w:rsid w:val="00CF5A7A"/>
    <w:rsid w:val="00D010D3"/>
    <w:rsid w:val="00D02522"/>
    <w:rsid w:val="00D179DB"/>
    <w:rsid w:val="00D22D13"/>
    <w:rsid w:val="00D31D83"/>
    <w:rsid w:val="00D72107"/>
    <w:rsid w:val="00D81A7D"/>
    <w:rsid w:val="00D91391"/>
    <w:rsid w:val="00DA13A1"/>
    <w:rsid w:val="00DA447B"/>
    <w:rsid w:val="00DB71C8"/>
    <w:rsid w:val="00DC6356"/>
    <w:rsid w:val="00DE0BFE"/>
    <w:rsid w:val="00DE1CF4"/>
    <w:rsid w:val="00DF750C"/>
    <w:rsid w:val="00E03AB8"/>
    <w:rsid w:val="00E078B3"/>
    <w:rsid w:val="00E17864"/>
    <w:rsid w:val="00E42095"/>
    <w:rsid w:val="00E71837"/>
    <w:rsid w:val="00E73D57"/>
    <w:rsid w:val="00E73F2A"/>
    <w:rsid w:val="00E91D09"/>
    <w:rsid w:val="00E92E35"/>
    <w:rsid w:val="00EA62F2"/>
    <w:rsid w:val="00EB7ED2"/>
    <w:rsid w:val="00EE01C5"/>
    <w:rsid w:val="00EF598C"/>
    <w:rsid w:val="00EF5AB8"/>
    <w:rsid w:val="00EF5C07"/>
    <w:rsid w:val="00F20E25"/>
    <w:rsid w:val="00F21C28"/>
    <w:rsid w:val="00F52F0B"/>
    <w:rsid w:val="00F55017"/>
    <w:rsid w:val="00F71041"/>
    <w:rsid w:val="00F8136A"/>
    <w:rsid w:val="00F81723"/>
    <w:rsid w:val="00F829CA"/>
    <w:rsid w:val="00F83304"/>
    <w:rsid w:val="00F86CF0"/>
    <w:rsid w:val="00F934DE"/>
    <w:rsid w:val="00FA1795"/>
    <w:rsid w:val="00FA3B92"/>
    <w:rsid w:val="00FB521B"/>
    <w:rsid w:val="00FC788C"/>
    <w:rsid w:val="00FD4230"/>
    <w:rsid w:val="00FD5867"/>
    <w:rsid w:val="00FD767A"/>
    <w:rsid w:val="00FE6BA5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15AB"/>
  <w15:docId w15:val="{E46C4856-A00B-4288-B6CF-F24B761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2zakon"/>
    <w:basedOn w:val="Normal"/>
    <w:rsid w:val="007524B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styleId="ListParagraph">
    <w:name w:val="List Paragraph"/>
    <w:basedOn w:val="Normal"/>
    <w:uiPriority w:val="34"/>
    <w:qFormat/>
    <w:rsid w:val="007524BA"/>
    <w:pPr>
      <w:spacing w:after="0" w:line="240" w:lineRule="auto"/>
      <w:ind w:left="720"/>
      <w:contextualSpacing/>
      <w:jc w:val="both"/>
    </w:pPr>
    <w:rPr>
      <w:rFonts w:ascii="Cambria" w:eastAsia="Calibri" w:hAnsi="Cambria" w:cs="Times New Roman"/>
      <w:sz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7864"/>
    <w:rPr>
      <w:rFonts w:ascii="Courier New" w:eastAsia="Calibri" w:hAnsi="Courier New" w:cs="Courier New"/>
      <w:sz w:val="20"/>
      <w:szCs w:val="20"/>
      <w:lang w:val="bs-Latn-BA"/>
    </w:rPr>
  </w:style>
  <w:style w:type="paragraph" w:customStyle="1" w:styleId="T30X">
    <w:name w:val="T30X"/>
    <w:basedOn w:val="Normal"/>
    <w:uiPriority w:val="99"/>
    <w:rsid w:val="00EE01C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1C9EF-0748-43E2-9F52-B4B87DD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Gordana.balan</dc:creator>
  <cp:lastModifiedBy>Aida Hodzic</cp:lastModifiedBy>
  <cp:revision>88</cp:revision>
  <cp:lastPrinted>2026-04-16T11:11:00Z</cp:lastPrinted>
  <dcterms:created xsi:type="dcterms:W3CDTF">2019-12-22T18:44:00Z</dcterms:created>
  <dcterms:modified xsi:type="dcterms:W3CDTF">2026-04-16T11:34:00Z</dcterms:modified>
</cp:coreProperties>
</file>