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17" w:rsidRPr="00E471EE" w:rsidRDefault="00E471EE" w:rsidP="00B21F84">
      <w:pPr>
        <w:jc w:val="center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Terms of R</w:t>
      </w:r>
      <w:r w:rsidR="008D3917" w:rsidRPr="00E471EE">
        <w:rPr>
          <w:rFonts w:asciiTheme="majorHAnsi" w:hAnsiTheme="majorHAnsi"/>
          <w:b/>
          <w:color w:val="000000" w:themeColor="text1"/>
        </w:rPr>
        <w:t xml:space="preserve">eference for the </w:t>
      </w:r>
      <w:r>
        <w:rPr>
          <w:rFonts w:asciiTheme="majorHAnsi" w:hAnsiTheme="majorHAnsi"/>
          <w:b/>
          <w:color w:val="000000" w:themeColor="text1"/>
        </w:rPr>
        <w:t xml:space="preserve">elaboration </w:t>
      </w:r>
      <w:r w:rsidR="008D3917" w:rsidRPr="00E471EE">
        <w:rPr>
          <w:rFonts w:asciiTheme="majorHAnsi" w:hAnsiTheme="majorHAnsi"/>
          <w:b/>
          <w:color w:val="000000" w:themeColor="text1"/>
        </w:rPr>
        <w:t>of regulations (</w:t>
      </w:r>
      <w:r>
        <w:rPr>
          <w:rFonts w:asciiTheme="majorHAnsi" w:hAnsiTheme="majorHAnsi"/>
          <w:b/>
          <w:color w:val="000000" w:themeColor="text1"/>
        </w:rPr>
        <w:t>technical section</w:t>
      </w:r>
      <w:r w:rsidR="008D3917" w:rsidRPr="00E471EE">
        <w:rPr>
          <w:rFonts w:asciiTheme="majorHAnsi" w:hAnsiTheme="majorHAnsi"/>
          <w:b/>
          <w:color w:val="000000" w:themeColor="text1"/>
        </w:rPr>
        <w:t xml:space="preserve">) </w:t>
      </w:r>
      <w:r>
        <w:rPr>
          <w:rFonts w:asciiTheme="majorHAnsi" w:hAnsiTheme="majorHAnsi"/>
          <w:b/>
          <w:color w:val="000000" w:themeColor="text1"/>
        </w:rPr>
        <w:t xml:space="preserve">for </w:t>
      </w:r>
      <w:r w:rsidR="008D3917" w:rsidRPr="00E471EE">
        <w:rPr>
          <w:rFonts w:asciiTheme="majorHAnsi" w:hAnsiTheme="majorHAnsi"/>
          <w:b/>
          <w:color w:val="000000" w:themeColor="text1"/>
        </w:rPr>
        <w:t>benchmarking and guide</w:t>
      </w:r>
      <w:r>
        <w:rPr>
          <w:rFonts w:asciiTheme="majorHAnsi" w:hAnsiTheme="majorHAnsi"/>
          <w:b/>
          <w:color w:val="000000" w:themeColor="text1"/>
        </w:rPr>
        <w:t>lines</w:t>
      </w:r>
      <w:r w:rsidR="008D3917" w:rsidRPr="00E471EE">
        <w:rPr>
          <w:rFonts w:asciiTheme="majorHAnsi" w:hAnsiTheme="majorHAnsi"/>
          <w:b/>
          <w:color w:val="000000" w:themeColor="text1"/>
        </w:rPr>
        <w:t xml:space="preserve"> </w:t>
      </w:r>
      <w:r>
        <w:rPr>
          <w:rFonts w:asciiTheme="majorHAnsi" w:hAnsiTheme="majorHAnsi"/>
          <w:b/>
          <w:color w:val="000000" w:themeColor="text1"/>
        </w:rPr>
        <w:t xml:space="preserve">for </w:t>
      </w:r>
      <w:r w:rsidR="008D3917" w:rsidRPr="00E471EE">
        <w:rPr>
          <w:rFonts w:asciiTheme="majorHAnsi" w:hAnsiTheme="majorHAnsi"/>
          <w:b/>
          <w:color w:val="000000" w:themeColor="text1"/>
        </w:rPr>
        <w:t xml:space="preserve">the implementation of benchmarking (mutual comparison of business </w:t>
      </w:r>
      <w:r>
        <w:rPr>
          <w:rFonts w:asciiTheme="majorHAnsi" w:hAnsiTheme="majorHAnsi"/>
          <w:b/>
          <w:color w:val="000000" w:themeColor="text1"/>
        </w:rPr>
        <w:t xml:space="preserve">operations and result </w:t>
      </w:r>
      <w:r w:rsidR="008D3917" w:rsidRPr="00E471EE">
        <w:rPr>
          <w:rFonts w:asciiTheme="majorHAnsi" w:hAnsiTheme="majorHAnsi"/>
          <w:b/>
          <w:color w:val="000000" w:themeColor="text1"/>
        </w:rPr>
        <w:t xml:space="preserve">indicators </w:t>
      </w:r>
      <w:r>
        <w:rPr>
          <w:rFonts w:asciiTheme="majorHAnsi" w:hAnsiTheme="majorHAnsi"/>
          <w:b/>
          <w:color w:val="000000" w:themeColor="text1"/>
        </w:rPr>
        <w:t xml:space="preserve">of the providers of </w:t>
      </w:r>
      <w:r w:rsidR="008D3917" w:rsidRPr="00E471EE">
        <w:rPr>
          <w:rFonts w:asciiTheme="majorHAnsi" w:hAnsiTheme="majorHAnsi"/>
          <w:b/>
          <w:color w:val="000000" w:themeColor="text1"/>
        </w:rPr>
        <w:t xml:space="preserve">regulated utility </w:t>
      </w:r>
      <w:r>
        <w:rPr>
          <w:rFonts w:asciiTheme="majorHAnsi" w:hAnsiTheme="majorHAnsi"/>
          <w:b/>
          <w:color w:val="000000" w:themeColor="text1"/>
        </w:rPr>
        <w:t xml:space="preserve">services </w:t>
      </w:r>
      <w:r w:rsidR="008D3917" w:rsidRPr="00E471EE">
        <w:rPr>
          <w:rFonts w:asciiTheme="majorHAnsi" w:hAnsiTheme="majorHAnsi"/>
          <w:b/>
          <w:color w:val="000000" w:themeColor="text1"/>
        </w:rPr>
        <w:t xml:space="preserve">on the basis of prescribed indicators) in accordance with the Law on </w:t>
      </w:r>
      <w:r>
        <w:rPr>
          <w:rFonts w:asciiTheme="majorHAnsi" w:hAnsiTheme="majorHAnsi"/>
          <w:b/>
          <w:color w:val="000000" w:themeColor="text1"/>
        </w:rPr>
        <w:t>Utility Services (Official Gazette of Montenegro</w:t>
      </w:r>
      <w:r w:rsidR="008D3917" w:rsidRPr="00E471EE">
        <w:rPr>
          <w:rFonts w:asciiTheme="majorHAnsi" w:hAnsiTheme="majorHAnsi"/>
          <w:b/>
          <w:color w:val="000000" w:themeColor="text1"/>
        </w:rPr>
        <w:t xml:space="preserve">", </w:t>
      </w:r>
      <w:r>
        <w:rPr>
          <w:rFonts w:asciiTheme="majorHAnsi" w:hAnsiTheme="majorHAnsi"/>
          <w:b/>
          <w:color w:val="000000" w:themeColor="text1"/>
        </w:rPr>
        <w:t>055/</w:t>
      </w:r>
      <w:r w:rsidR="008D3917" w:rsidRPr="00E471EE">
        <w:rPr>
          <w:rFonts w:asciiTheme="majorHAnsi" w:hAnsiTheme="majorHAnsi"/>
          <w:b/>
          <w:color w:val="000000" w:themeColor="text1"/>
        </w:rPr>
        <w:t>16 of 17</w:t>
      </w:r>
      <w:r>
        <w:rPr>
          <w:rFonts w:asciiTheme="majorHAnsi" w:hAnsiTheme="majorHAnsi"/>
          <w:b/>
          <w:color w:val="000000" w:themeColor="text1"/>
        </w:rPr>
        <w:t xml:space="preserve"> August </w:t>
      </w:r>
      <w:r w:rsidR="008D3917" w:rsidRPr="00E471EE">
        <w:rPr>
          <w:rFonts w:asciiTheme="majorHAnsi" w:hAnsiTheme="majorHAnsi"/>
          <w:b/>
          <w:color w:val="000000" w:themeColor="text1"/>
        </w:rPr>
        <w:t>2016)</w:t>
      </w:r>
    </w:p>
    <w:p w:rsidR="00B21F84" w:rsidRPr="00711AF7" w:rsidRDefault="00B21F84" w:rsidP="00B21F84">
      <w:pPr>
        <w:pStyle w:val="ListParagraph"/>
        <w:jc w:val="both"/>
        <w:rPr>
          <w:rFonts w:asciiTheme="majorHAnsi" w:hAnsiTheme="majorHAnsi"/>
          <w:color w:val="000000" w:themeColor="text1"/>
        </w:rPr>
      </w:pPr>
    </w:p>
    <w:p w:rsidR="008210ED" w:rsidRPr="008D3917" w:rsidRDefault="008210ED" w:rsidP="008210ED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color w:val="000000" w:themeColor="text1"/>
        </w:rPr>
      </w:pPr>
      <w:r w:rsidRPr="008D3917">
        <w:rPr>
          <w:rFonts w:asciiTheme="majorHAnsi" w:hAnsiTheme="majorHAnsi"/>
          <w:b/>
          <w:bCs/>
          <w:color w:val="000000" w:themeColor="text1"/>
          <w:lang w:val="en-GB"/>
        </w:rPr>
        <w:t>Background information on the project</w:t>
      </w:r>
      <w:r w:rsidR="008D3917">
        <w:rPr>
          <w:rFonts w:asciiTheme="majorHAnsi" w:hAnsiTheme="majorHAnsi"/>
          <w:b/>
          <w:bCs/>
          <w:color w:val="000000" w:themeColor="text1"/>
        </w:rPr>
        <w:t xml:space="preserve"> </w:t>
      </w:r>
    </w:p>
    <w:p w:rsidR="00E471EE" w:rsidRPr="00E471EE" w:rsidRDefault="00E471EE" w:rsidP="00E471EE">
      <w:pPr>
        <w:jc w:val="both"/>
        <w:rPr>
          <w:rFonts w:asciiTheme="majorHAnsi" w:hAnsiTheme="majorHAnsi" w:cs="TimesNewRoman"/>
        </w:rPr>
      </w:pPr>
      <w:r w:rsidRPr="00E471EE">
        <w:rPr>
          <w:rFonts w:asciiTheme="majorHAnsi" w:hAnsiTheme="majorHAnsi" w:cs="TimesNewRoman"/>
        </w:rPr>
        <w:t>Montenegro had no regulatory authority for water supply and wastewater services in the area of wastewater and water supply. Since August 2016, in accordance with Article 3 of the Law on Utility Services ("Official Gazette of Montenegro", 055/16 of 17 August 2016) regulated utility services have included: public water supply and municipal wastewater management. The aim of regulation of utility services is to ensure that: the operations of providers of regulated utility services is based on the principles of objectivity, transparency and non-discrimination; the utility services are provided to users at fair prices; the promotion of competition in regulated utility activities; sustainable operations of the providers of regulated utility activities; balancing the interests of users and providers of regulated utility activities.</w:t>
      </w:r>
    </w:p>
    <w:p w:rsidR="008D3917" w:rsidRPr="00711AF7" w:rsidRDefault="008D3917" w:rsidP="00C0279C">
      <w:pPr>
        <w:autoSpaceDE w:val="0"/>
        <w:autoSpaceDN w:val="0"/>
        <w:adjustRightInd w:val="0"/>
        <w:ind w:right="43"/>
        <w:jc w:val="both"/>
        <w:rPr>
          <w:rFonts w:asciiTheme="majorHAnsi" w:hAnsiTheme="majorHAnsi" w:cs="TimesNewRoman"/>
          <w:color w:val="000000" w:themeColor="text1"/>
        </w:rPr>
      </w:pPr>
      <w:r w:rsidRPr="008D3917">
        <w:rPr>
          <w:rFonts w:asciiTheme="majorHAnsi" w:hAnsiTheme="majorHAnsi" w:cs="TimesNewRoman"/>
          <w:color w:val="000000" w:themeColor="text1"/>
        </w:rPr>
        <w:t xml:space="preserve">According to the new Law on </w:t>
      </w:r>
      <w:r w:rsidR="00E471EE">
        <w:rPr>
          <w:rFonts w:asciiTheme="majorHAnsi" w:hAnsiTheme="majorHAnsi" w:cs="TimesNewRoman"/>
          <w:color w:val="000000" w:themeColor="text1"/>
        </w:rPr>
        <w:t xml:space="preserve">Utility Services </w:t>
      </w:r>
      <w:r w:rsidRPr="008D3917">
        <w:rPr>
          <w:rFonts w:asciiTheme="majorHAnsi" w:hAnsiTheme="majorHAnsi" w:cs="TimesNewRoman"/>
          <w:color w:val="000000" w:themeColor="text1"/>
        </w:rPr>
        <w:t xml:space="preserve">("Official Gazette of Montenegro", 055/16 of </w:t>
      </w:r>
      <w:r w:rsidR="00E471EE">
        <w:rPr>
          <w:rFonts w:asciiTheme="majorHAnsi" w:hAnsiTheme="majorHAnsi" w:cs="TimesNewRoman"/>
          <w:color w:val="000000" w:themeColor="text1"/>
        </w:rPr>
        <w:t xml:space="preserve">17 August </w:t>
      </w:r>
      <w:r w:rsidRPr="008D3917">
        <w:rPr>
          <w:rFonts w:asciiTheme="majorHAnsi" w:hAnsiTheme="majorHAnsi" w:cs="TimesNewRoman"/>
          <w:color w:val="000000" w:themeColor="text1"/>
        </w:rPr>
        <w:t>2016)</w:t>
      </w:r>
      <w:r w:rsidR="00E471EE">
        <w:rPr>
          <w:rFonts w:asciiTheme="majorHAnsi" w:hAnsiTheme="majorHAnsi" w:cs="TimesNewRoman"/>
          <w:color w:val="000000" w:themeColor="text1"/>
        </w:rPr>
        <w:t>, t</w:t>
      </w:r>
      <w:r w:rsidRPr="008D3917">
        <w:rPr>
          <w:rFonts w:asciiTheme="majorHAnsi" w:hAnsiTheme="majorHAnsi" w:cs="TimesNewRoman"/>
          <w:color w:val="000000" w:themeColor="text1"/>
        </w:rPr>
        <w:t>he regulatory authority (the Energy</w:t>
      </w:r>
      <w:r w:rsidR="00E471EE">
        <w:rPr>
          <w:rFonts w:asciiTheme="majorHAnsi" w:hAnsiTheme="majorHAnsi" w:cs="TimesNewRoman"/>
          <w:color w:val="000000" w:themeColor="text1"/>
        </w:rPr>
        <w:t xml:space="preserve"> Regulatory Agency) among other things</w:t>
      </w:r>
      <w:r w:rsidRPr="008D3917">
        <w:rPr>
          <w:rFonts w:asciiTheme="majorHAnsi" w:hAnsiTheme="majorHAnsi" w:cs="TimesNewRoman"/>
          <w:color w:val="000000" w:themeColor="text1"/>
        </w:rPr>
        <w:t xml:space="preserve"> </w:t>
      </w:r>
      <w:r w:rsidR="00E471EE">
        <w:rPr>
          <w:rFonts w:asciiTheme="majorHAnsi" w:hAnsiTheme="majorHAnsi" w:cs="TimesNewRoman"/>
          <w:color w:val="000000" w:themeColor="text1"/>
        </w:rPr>
        <w:t xml:space="preserve">makes comparative analysis </w:t>
      </w:r>
      <w:r w:rsidRPr="008D3917">
        <w:rPr>
          <w:rFonts w:asciiTheme="majorHAnsi" w:hAnsiTheme="majorHAnsi" w:cs="TimesNewRoman"/>
          <w:color w:val="000000" w:themeColor="text1"/>
        </w:rPr>
        <w:t xml:space="preserve">of business </w:t>
      </w:r>
      <w:r w:rsidR="00E471EE">
        <w:rPr>
          <w:rFonts w:asciiTheme="majorHAnsi" w:hAnsiTheme="majorHAnsi" w:cs="TimesNewRoman"/>
          <w:color w:val="000000" w:themeColor="text1"/>
        </w:rPr>
        <w:t xml:space="preserve">operations and result </w:t>
      </w:r>
      <w:r w:rsidRPr="008D3917">
        <w:rPr>
          <w:rFonts w:asciiTheme="majorHAnsi" w:hAnsiTheme="majorHAnsi" w:cs="TimesNewRoman"/>
          <w:color w:val="000000" w:themeColor="text1"/>
        </w:rPr>
        <w:t xml:space="preserve">indicators of </w:t>
      </w:r>
      <w:r w:rsidR="00E471EE">
        <w:rPr>
          <w:rFonts w:asciiTheme="majorHAnsi" w:hAnsiTheme="majorHAnsi" w:cs="TimesNewRoman"/>
          <w:color w:val="000000" w:themeColor="text1"/>
        </w:rPr>
        <w:t xml:space="preserve">the providers of </w:t>
      </w:r>
      <w:r w:rsidRPr="008D3917">
        <w:rPr>
          <w:rFonts w:asciiTheme="majorHAnsi" w:hAnsiTheme="majorHAnsi" w:cs="TimesNewRoman"/>
          <w:color w:val="000000" w:themeColor="text1"/>
        </w:rPr>
        <w:t xml:space="preserve">regulated utility </w:t>
      </w:r>
      <w:r w:rsidR="00E471EE">
        <w:rPr>
          <w:rFonts w:asciiTheme="majorHAnsi" w:hAnsiTheme="majorHAnsi" w:cs="TimesNewRoman"/>
          <w:color w:val="000000" w:themeColor="text1"/>
        </w:rPr>
        <w:t xml:space="preserve">services </w:t>
      </w:r>
      <w:r w:rsidRPr="008D3917">
        <w:rPr>
          <w:rFonts w:asciiTheme="majorHAnsi" w:hAnsiTheme="majorHAnsi" w:cs="TimesNewRoman"/>
          <w:color w:val="000000" w:themeColor="text1"/>
        </w:rPr>
        <w:t>on the b</w:t>
      </w:r>
      <w:r w:rsidR="00E471EE">
        <w:rPr>
          <w:rFonts w:asciiTheme="majorHAnsi" w:hAnsiTheme="majorHAnsi" w:cs="TimesNewRoman"/>
          <w:color w:val="000000" w:themeColor="text1"/>
        </w:rPr>
        <w:t>asis of prescribed indicators (</w:t>
      </w:r>
      <w:r w:rsidRPr="008D3917">
        <w:rPr>
          <w:rFonts w:asciiTheme="majorHAnsi" w:hAnsiTheme="majorHAnsi" w:cs="TimesNewRoman"/>
          <w:color w:val="000000" w:themeColor="text1"/>
        </w:rPr>
        <w:t>benchmarking). Detailed m</w:t>
      </w:r>
      <w:r w:rsidR="00E471EE">
        <w:rPr>
          <w:rFonts w:asciiTheme="majorHAnsi" w:hAnsiTheme="majorHAnsi" w:cs="TimesNewRoman"/>
          <w:color w:val="000000" w:themeColor="text1"/>
        </w:rPr>
        <w:t xml:space="preserve">ethod for </w:t>
      </w:r>
      <w:r w:rsidRPr="008D3917">
        <w:rPr>
          <w:rFonts w:asciiTheme="majorHAnsi" w:hAnsiTheme="majorHAnsi" w:cs="TimesNewRoman"/>
          <w:color w:val="000000" w:themeColor="text1"/>
        </w:rPr>
        <w:t>determining the ind</w:t>
      </w:r>
      <w:r w:rsidR="00E471EE">
        <w:rPr>
          <w:rFonts w:asciiTheme="majorHAnsi" w:hAnsiTheme="majorHAnsi" w:cs="TimesNewRoman"/>
          <w:color w:val="000000" w:themeColor="text1"/>
        </w:rPr>
        <w:t>icators, methodology and the method</w:t>
      </w:r>
      <w:r w:rsidRPr="008D3917">
        <w:rPr>
          <w:rFonts w:asciiTheme="majorHAnsi" w:hAnsiTheme="majorHAnsi" w:cs="TimesNewRoman"/>
          <w:color w:val="000000" w:themeColor="text1"/>
        </w:rPr>
        <w:t xml:space="preserve"> of data </w:t>
      </w:r>
      <w:r w:rsidR="00E471EE">
        <w:rPr>
          <w:rFonts w:asciiTheme="majorHAnsi" w:hAnsiTheme="majorHAnsi" w:cs="TimesNewRoman"/>
          <w:color w:val="000000" w:themeColor="text1"/>
        </w:rPr>
        <w:t xml:space="preserve">submission, </w:t>
      </w:r>
      <w:r w:rsidRPr="008D3917">
        <w:rPr>
          <w:rFonts w:asciiTheme="majorHAnsi" w:hAnsiTheme="majorHAnsi" w:cs="TimesNewRoman"/>
          <w:color w:val="000000" w:themeColor="text1"/>
        </w:rPr>
        <w:t>and other issues related to regulated utility services shall be determined by the Agency in accor</w:t>
      </w:r>
      <w:r w:rsidR="00E471EE">
        <w:rPr>
          <w:rFonts w:asciiTheme="majorHAnsi" w:hAnsiTheme="majorHAnsi" w:cs="TimesNewRoman"/>
          <w:color w:val="000000" w:themeColor="text1"/>
        </w:rPr>
        <w:t>dance with Article 49 of the Law</w:t>
      </w:r>
      <w:r w:rsidRPr="008D3917">
        <w:rPr>
          <w:rFonts w:asciiTheme="majorHAnsi" w:hAnsiTheme="majorHAnsi" w:cs="TimesNewRoman"/>
          <w:color w:val="000000" w:themeColor="text1"/>
        </w:rPr>
        <w:t>.</w:t>
      </w:r>
    </w:p>
    <w:p w:rsidR="008D3917" w:rsidRPr="00E471EE" w:rsidRDefault="00E471EE" w:rsidP="008210ED">
      <w:pPr>
        <w:jc w:val="both"/>
        <w:rPr>
          <w:rFonts w:asciiTheme="majorHAnsi" w:hAnsiTheme="majorHAnsi"/>
        </w:rPr>
      </w:pPr>
      <w:r w:rsidRPr="00964C03">
        <w:rPr>
          <w:rFonts w:asciiTheme="majorHAnsi" w:hAnsiTheme="majorHAnsi"/>
        </w:rPr>
        <w:t xml:space="preserve">In order to provide support in establishing a sustainable regulation in the field of regulated utility </w:t>
      </w:r>
      <w:r>
        <w:rPr>
          <w:rFonts w:asciiTheme="majorHAnsi" w:hAnsiTheme="majorHAnsi"/>
        </w:rPr>
        <w:t>services</w:t>
      </w:r>
      <w:r w:rsidRPr="00964C03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the </w:t>
      </w:r>
      <w:r w:rsidRPr="00964C03">
        <w:rPr>
          <w:rFonts w:asciiTheme="majorHAnsi" w:hAnsiTheme="majorHAnsi"/>
        </w:rPr>
        <w:t>Ministry of Sustainable Development and Tourism</w:t>
      </w:r>
      <w:r>
        <w:rPr>
          <w:rFonts w:asciiTheme="majorHAnsi" w:hAnsiTheme="majorHAnsi"/>
        </w:rPr>
        <w:t>,</w:t>
      </w:r>
      <w:r w:rsidRPr="00964C03">
        <w:rPr>
          <w:rFonts w:asciiTheme="majorHAnsi" w:hAnsiTheme="majorHAnsi"/>
        </w:rPr>
        <w:t xml:space="preserve"> in the framework of the DWP (Danub</w:t>
      </w:r>
      <w:r>
        <w:rPr>
          <w:rFonts w:asciiTheme="majorHAnsi" w:hAnsiTheme="majorHAnsi"/>
        </w:rPr>
        <w:t>e Water P</w:t>
      </w:r>
      <w:r w:rsidRPr="00964C03">
        <w:rPr>
          <w:rFonts w:asciiTheme="majorHAnsi" w:hAnsiTheme="majorHAnsi"/>
        </w:rPr>
        <w:t>rogram</w:t>
      </w:r>
      <w:r>
        <w:rPr>
          <w:rFonts w:asciiTheme="majorHAnsi" w:hAnsiTheme="majorHAnsi"/>
        </w:rPr>
        <w:t>me</w:t>
      </w:r>
      <w:r w:rsidRPr="00964C03">
        <w:rPr>
          <w:rFonts w:asciiTheme="majorHAnsi" w:hAnsiTheme="majorHAnsi"/>
        </w:rPr>
        <w:t>)</w:t>
      </w:r>
      <w:r>
        <w:rPr>
          <w:rFonts w:asciiTheme="majorHAnsi" w:hAnsiTheme="majorHAnsi"/>
        </w:rPr>
        <w:t>,</w:t>
      </w:r>
      <w:r w:rsidRPr="00964C03">
        <w:rPr>
          <w:rFonts w:asciiTheme="majorHAnsi" w:hAnsiTheme="majorHAnsi"/>
        </w:rPr>
        <w:t xml:space="preserve"> in cooperation wi</w:t>
      </w:r>
      <w:r>
        <w:rPr>
          <w:rFonts w:asciiTheme="majorHAnsi" w:hAnsiTheme="majorHAnsi"/>
        </w:rPr>
        <w:t xml:space="preserve">th "IAWD" (The Technical Secretariat of the </w:t>
      </w:r>
      <w:r w:rsidRPr="00964C03">
        <w:rPr>
          <w:rFonts w:asciiTheme="majorHAnsi" w:hAnsiTheme="majorHAnsi"/>
        </w:rPr>
        <w:t>International Association of Water Supply</w:t>
      </w:r>
      <w:r>
        <w:rPr>
          <w:rFonts w:asciiTheme="majorHAnsi" w:hAnsiTheme="majorHAnsi"/>
        </w:rPr>
        <w:t xml:space="preserve"> Companies in the Danube River C</w:t>
      </w:r>
      <w:r w:rsidRPr="00964C03">
        <w:rPr>
          <w:rFonts w:asciiTheme="majorHAnsi" w:hAnsiTheme="majorHAnsi"/>
        </w:rPr>
        <w:t>atchment Area)</w:t>
      </w:r>
      <w:r>
        <w:rPr>
          <w:rFonts w:asciiTheme="majorHAnsi" w:hAnsiTheme="majorHAnsi"/>
        </w:rPr>
        <w:t>,</w:t>
      </w:r>
      <w:r w:rsidRPr="00964C0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received support to implement</w:t>
      </w:r>
      <w:r w:rsidRPr="00964C03">
        <w:rPr>
          <w:rFonts w:asciiTheme="majorHAnsi" w:hAnsiTheme="majorHAnsi"/>
        </w:rPr>
        <w:t xml:space="preserve"> the project relating to the development of legislation to </w:t>
      </w:r>
      <w:r>
        <w:rPr>
          <w:rFonts w:asciiTheme="majorHAnsi" w:hAnsiTheme="majorHAnsi"/>
        </w:rPr>
        <w:t>implement benchmarking</w:t>
      </w:r>
      <w:r w:rsidRPr="00964C03">
        <w:rPr>
          <w:rFonts w:asciiTheme="majorHAnsi" w:hAnsiTheme="majorHAnsi"/>
        </w:rPr>
        <w:t xml:space="preserve">. The project </w:t>
      </w:r>
      <w:r>
        <w:rPr>
          <w:rFonts w:asciiTheme="majorHAnsi" w:hAnsiTheme="majorHAnsi"/>
        </w:rPr>
        <w:t xml:space="preserve">is </w:t>
      </w:r>
      <w:r w:rsidRPr="00964C03">
        <w:rPr>
          <w:rFonts w:asciiTheme="majorHAnsi" w:hAnsiTheme="majorHAnsi"/>
        </w:rPr>
        <w:t xml:space="preserve">designed so that the support provided through expert support </w:t>
      </w:r>
      <w:r>
        <w:rPr>
          <w:rFonts w:asciiTheme="majorHAnsi" w:hAnsiTheme="majorHAnsi"/>
        </w:rPr>
        <w:t xml:space="preserve">in drafting documents </w:t>
      </w:r>
      <w:r w:rsidRPr="00964C03">
        <w:rPr>
          <w:rFonts w:asciiTheme="majorHAnsi" w:hAnsiTheme="majorHAnsi"/>
        </w:rPr>
        <w:t>and the transfer of experience from other countr</w:t>
      </w:r>
      <w:r>
        <w:rPr>
          <w:rFonts w:asciiTheme="majorHAnsi" w:hAnsiTheme="majorHAnsi"/>
        </w:rPr>
        <w:t>ies through organized workshops, the</w:t>
      </w:r>
      <w:r w:rsidRPr="00964C03">
        <w:rPr>
          <w:rFonts w:asciiTheme="majorHAnsi" w:hAnsiTheme="majorHAnsi"/>
        </w:rPr>
        <w:t xml:space="preserve"> Ministry of Sust</w:t>
      </w:r>
      <w:r>
        <w:rPr>
          <w:rFonts w:asciiTheme="majorHAnsi" w:hAnsiTheme="majorHAnsi"/>
        </w:rPr>
        <w:t>ainable Development and Tourism</w:t>
      </w:r>
      <w:r w:rsidRPr="00964C0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is obliged to provide internal</w:t>
      </w:r>
      <w:r w:rsidRPr="00964C03">
        <w:rPr>
          <w:rFonts w:asciiTheme="majorHAnsi" w:hAnsiTheme="majorHAnsi"/>
        </w:rPr>
        <w:t xml:space="preserve"> participation </w:t>
      </w:r>
      <w:r>
        <w:rPr>
          <w:rFonts w:asciiTheme="majorHAnsi" w:hAnsiTheme="majorHAnsi"/>
        </w:rPr>
        <w:t xml:space="preserve">through in kind form (their </w:t>
      </w:r>
      <w:r w:rsidRPr="00964C03">
        <w:rPr>
          <w:rFonts w:asciiTheme="majorHAnsi" w:hAnsiTheme="majorHAnsi"/>
        </w:rPr>
        <w:t xml:space="preserve">work), </w:t>
      </w:r>
      <w:r>
        <w:rPr>
          <w:rFonts w:asciiTheme="majorHAnsi" w:hAnsiTheme="majorHAnsi"/>
        </w:rPr>
        <w:t xml:space="preserve">by establishing a </w:t>
      </w:r>
      <w:r w:rsidRPr="00964C03">
        <w:rPr>
          <w:rFonts w:asciiTheme="majorHAnsi" w:hAnsiTheme="majorHAnsi"/>
        </w:rPr>
        <w:t xml:space="preserve">working group </w:t>
      </w:r>
      <w:r>
        <w:rPr>
          <w:rFonts w:asciiTheme="majorHAnsi" w:hAnsiTheme="majorHAnsi"/>
        </w:rPr>
        <w:t xml:space="preserve">which </w:t>
      </w:r>
      <w:r w:rsidRPr="00964C03">
        <w:rPr>
          <w:rFonts w:asciiTheme="majorHAnsi" w:hAnsiTheme="majorHAnsi"/>
        </w:rPr>
        <w:t xml:space="preserve">will consist of representatives of </w:t>
      </w:r>
      <w:r>
        <w:rPr>
          <w:rFonts w:asciiTheme="majorHAnsi" w:hAnsiTheme="majorHAnsi"/>
        </w:rPr>
        <w:t xml:space="preserve">the </w:t>
      </w:r>
      <w:r w:rsidRPr="00964C03">
        <w:rPr>
          <w:rFonts w:asciiTheme="majorHAnsi" w:hAnsiTheme="majorHAnsi"/>
        </w:rPr>
        <w:t>Ministry of Sust</w:t>
      </w:r>
      <w:r>
        <w:rPr>
          <w:rFonts w:asciiTheme="majorHAnsi" w:hAnsiTheme="majorHAnsi"/>
        </w:rPr>
        <w:t xml:space="preserve">ainable Development and Tourism, Energy Regulatory Agency </w:t>
      </w:r>
      <w:r w:rsidR="008D3917" w:rsidRPr="008D3917">
        <w:rPr>
          <w:rFonts w:asciiTheme="majorHAnsi" w:hAnsiTheme="majorHAnsi"/>
          <w:color w:val="000000" w:themeColor="text1"/>
        </w:rPr>
        <w:t xml:space="preserve">and other institutions </w:t>
      </w:r>
      <w:r>
        <w:rPr>
          <w:rFonts w:asciiTheme="majorHAnsi" w:hAnsiTheme="majorHAnsi"/>
          <w:color w:val="000000" w:themeColor="text1"/>
        </w:rPr>
        <w:t>which may give their</w:t>
      </w:r>
      <w:r w:rsidR="008D3917" w:rsidRPr="008D3917">
        <w:rPr>
          <w:rFonts w:asciiTheme="majorHAnsi" w:hAnsiTheme="majorHAnsi"/>
          <w:color w:val="000000" w:themeColor="text1"/>
        </w:rPr>
        <w:t xml:space="preserve"> contribution.</w:t>
      </w:r>
    </w:p>
    <w:p w:rsidR="008210ED" w:rsidRPr="009D45CE" w:rsidRDefault="008210ED" w:rsidP="009D45CE">
      <w:pPr>
        <w:pStyle w:val="ListParagraph"/>
        <w:numPr>
          <w:ilvl w:val="0"/>
          <w:numId w:val="1"/>
        </w:numPr>
        <w:ind w:left="284" w:hanging="284"/>
        <w:rPr>
          <w:rFonts w:asciiTheme="majorHAnsi" w:hAnsiTheme="majorHAnsi"/>
          <w:b/>
          <w:bCs/>
          <w:color w:val="000000" w:themeColor="text1"/>
        </w:rPr>
      </w:pPr>
      <w:r w:rsidRPr="00711AF7">
        <w:rPr>
          <w:rFonts w:asciiTheme="majorHAnsi" w:hAnsiTheme="majorHAnsi"/>
          <w:b/>
          <w:bCs/>
          <w:color w:val="000000" w:themeColor="text1"/>
          <w:lang w:val="en-GB"/>
        </w:rPr>
        <w:t>Objective(s) of the assignment</w:t>
      </w:r>
      <w:r w:rsidRPr="00711AF7">
        <w:rPr>
          <w:rFonts w:asciiTheme="majorHAnsi" w:hAnsiTheme="majorHAnsi"/>
          <w:b/>
          <w:bCs/>
          <w:color w:val="000000" w:themeColor="text1"/>
        </w:rPr>
        <w:t xml:space="preserve"> </w:t>
      </w:r>
    </w:p>
    <w:p w:rsidR="006C5EC8" w:rsidRDefault="008D3917" w:rsidP="009D24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color w:val="000000" w:themeColor="text1"/>
        </w:rPr>
      </w:pPr>
      <w:r w:rsidRPr="008D3917">
        <w:rPr>
          <w:rFonts w:asciiTheme="majorHAnsi" w:hAnsiTheme="majorHAnsi" w:cs="TimesNewRoman"/>
          <w:color w:val="000000" w:themeColor="text1"/>
        </w:rPr>
        <w:t>Establish</w:t>
      </w:r>
      <w:r w:rsidR="00E048D9">
        <w:rPr>
          <w:rFonts w:asciiTheme="majorHAnsi" w:hAnsiTheme="majorHAnsi" w:cs="TimesNewRoman"/>
          <w:color w:val="000000" w:themeColor="text1"/>
        </w:rPr>
        <w:t>ing</w:t>
      </w:r>
      <w:r w:rsidRPr="008D3917">
        <w:rPr>
          <w:rFonts w:asciiTheme="majorHAnsi" w:hAnsiTheme="majorHAnsi" w:cs="TimesNewRoman"/>
          <w:color w:val="000000" w:themeColor="text1"/>
        </w:rPr>
        <w:t xml:space="preserve"> a sustainable system of indicators, </w:t>
      </w:r>
      <w:r w:rsidR="00E048D9">
        <w:rPr>
          <w:rFonts w:asciiTheme="majorHAnsi" w:hAnsiTheme="majorHAnsi" w:cs="TimesNewRoman"/>
          <w:color w:val="000000" w:themeColor="text1"/>
        </w:rPr>
        <w:t>processing</w:t>
      </w:r>
      <w:r w:rsidR="00E048D9" w:rsidRPr="008D3917">
        <w:rPr>
          <w:rFonts w:asciiTheme="majorHAnsi" w:hAnsiTheme="majorHAnsi" w:cs="TimesNewRoman"/>
          <w:color w:val="000000" w:themeColor="text1"/>
        </w:rPr>
        <w:t xml:space="preserve"> </w:t>
      </w:r>
      <w:r w:rsidRPr="008D3917">
        <w:rPr>
          <w:rFonts w:asciiTheme="majorHAnsi" w:hAnsiTheme="majorHAnsi" w:cs="TimesNewRoman"/>
          <w:color w:val="000000" w:themeColor="text1"/>
        </w:rPr>
        <w:t xml:space="preserve">methodology and the </w:t>
      </w:r>
      <w:r w:rsidR="00E048D9">
        <w:rPr>
          <w:rFonts w:asciiTheme="majorHAnsi" w:hAnsiTheme="majorHAnsi" w:cs="TimesNewRoman"/>
          <w:color w:val="000000" w:themeColor="text1"/>
        </w:rPr>
        <w:t xml:space="preserve">method for submitting </w:t>
      </w:r>
      <w:r w:rsidRPr="008D3917">
        <w:rPr>
          <w:rFonts w:asciiTheme="majorHAnsi" w:hAnsiTheme="majorHAnsi" w:cs="TimesNewRoman"/>
          <w:color w:val="000000" w:themeColor="text1"/>
        </w:rPr>
        <w:t>data at the national and local level</w:t>
      </w:r>
      <w:r w:rsidR="00E048D9">
        <w:rPr>
          <w:rFonts w:asciiTheme="majorHAnsi" w:hAnsiTheme="majorHAnsi" w:cs="TimesNewRoman"/>
          <w:color w:val="000000" w:themeColor="text1"/>
        </w:rPr>
        <w:t>,</w:t>
      </w:r>
      <w:r w:rsidRPr="008D3917">
        <w:rPr>
          <w:rFonts w:asciiTheme="majorHAnsi" w:hAnsiTheme="majorHAnsi" w:cs="TimesNewRoman"/>
          <w:color w:val="000000" w:themeColor="text1"/>
        </w:rPr>
        <w:t xml:space="preserve"> that will allow mutual comparison of business </w:t>
      </w:r>
      <w:r w:rsidR="00E048D9">
        <w:rPr>
          <w:rFonts w:asciiTheme="majorHAnsi" w:hAnsiTheme="majorHAnsi" w:cs="TimesNewRoman"/>
          <w:color w:val="000000" w:themeColor="text1"/>
        </w:rPr>
        <w:t xml:space="preserve">operations and result </w:t>
      </w:r>
      <w:r w:rsidRPr="008D3917">
        <w:rPr>
          <w:rFonts w:asciiTheme="majorHAnsi" w:hAnsiTheme="majorHAnsi" w:cs="TimesNewRoman"/>
          <w:color w:val="000000" w:themeColor="text1"/>
        </w:rPr>
        <w:t xml:space="preserve">indicators </w:t>
      </w:r>
      <w:r w:rsidR="00E048D9">
        <w:rPr>
          <w:rFonts w:asciiTheme="majorHAnsi" w:hAnsiTheme="majorHAnsi" w:cs="TimesNewRoman"/>
          <w:color w:val="000000" w:themeColor="text1"/>
        </w:rPr>
        <w:t xml:space="preserve">of the providers of </w:t>
      </w:r>
      <w:r w:rsidRPr="008D3917">
        <w:rPr>
          <w:rFonts w:asciiTheme="majorHAnsi" w:hAnsiTheme="majorHAnsi" w:cs="TimesNewRoman"/>
          <w:color w:val="000000" w:themeColor="text1"/>
        </w:rPr>
        <w:t xml:space="preserve">regulated utility </w:t>
      </w:r>
      <w:r w:rsidR="00E048D9">
        <w:rPr>
          <w:rFonts w:asciiTheme="majorHAnsi" w:hAnsiTheme="majorHAnsi" w:cs="TimesNewRoman"/>
          <w:color w:val="000000" w:themeColor="text1"/>
        </w:rPr>
        <w:t xml:space="preserve">services </w:t>
      </w:r>
      <w:r w:rsidRPr="008D3917">
        <w:rPr>
          <w:rFonts w:asciiTheme="majorHAnsi" w:hAnsiTheme="majorHAnsi" w:cs="TimesNewRoman"/>
          <w:color w:val="000000" w:themeColor="text1"/>
        </w:rPr>
        <w:t>(water supply and waste water).</w:t>
      </w:r>
    </w:p>
    <w:p w:rsidR="009D45CE" w:rsidRPr="00711AF7" w:rsidRDefault="009D45CE" w:rsidP="009D246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color w:val="000000" w:themeColor="text1"/>
        </w:rPr>
      </w:pPr>
    </w:p>
    <w:p w:rsidR="008210ED" w:rsidRPr="00711AF7" w:rsidRDefault="008210ED" w:rsidP="008210ED">
      <w:pPr>
        <w:pStyle w:val="ListParagraph"/>
        <w:numPr>
          <w:ilvl w:val="0"/>
          <w:numId w:val="1"/>
        </w:numPr>
        <w:ind w:left="284" w:hanging="284"/>
        <w:rPr>
          <w:rFonts w:asciiTheme="majorHAnsi" w:hAnsiTheme="majorHAnsi"/>
          <w:b/>
          <w:bCs/>
          <w:color w:val="000000" w:themeColor="text1"/>
        </w:rPr>
      </w:pPr>
      <w:r w:rsidRPr="00711AF7">
        <w:rPr>
          <w:rFonts w:asciiTheme="majorHAnsi" w:hAnsiTheme="majorHAnsi"/>
          <w:b/>
          <w:bCs/>
          <w:color w:val="000000" w:themeColor="text1"/>
          <w:lang w:val="en-GB"/>
        </w:rPr>
        <w:t>Scope of Work</w:t>
      </w:r>
      <w:r w:rsidRPr="00711AF7">
        <w:rPr>
          <w:rFonts w:asciiTheme="majorHAnsi" w:hAnsiTheme="majorHAnsi"/>
          <w:b/>
          <w:bCs/>
          <w:color w:val="000000" w:themeColor="text1"/>
        </w:rPr>
        <w:t xml:space="preserve"> </w:t>
      </w:r>
    </w:p>
    <w:p w:rsidR="008D3917" w:rsidRPr="008D3917" w:rsidRDefault="00E048D9" w:rsidP="008D3917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The e</w:t>
      </w:r>
      <w:r w:rsidR="008D3917" w:rsidRPr="008D3917">
        <w:rPr>
          <w:rFonts w:asciiTheme="majorHAnsi" w:hAnsiTheme="majorHAnsi"/>
          <w:color w:val="000000" w:themeColor="text1"/>
        </w:rPr>
        <w:t xml:space="preserve">xpert </w:t>
      </w:r>
      <w:r>
        <w:rPr>
          <w:rFonts w:asciiTheme="majorHAnsi" w:hAnsiTheme="majorHAnsi"/>
          <w:color w:val="000000" w:themeColor="text1"/>
        </w:rPr>
        <w:t>shall, based</w:t>
      </w:r>
      <w:r w:rsidR="008D3917" w:rsidRPr="008D3917">
        <w:rPr>
          <w:rFonts w:asciiTheme="majorHAnsi" w:hAnsiTheme="majorHAnsi"/>
          <w:color w:val="000000" w:themeColor="text1"/>
        </w:rPr>
        <w:t xml:space="preserve"> on the experience of other countries (at the same time taking into account the specificities of Montenegro) and the proposed indicators on the local and national </w:t>
      </w:r>
      <w:r w:rsidR="008D3917" w:rsidRPr="008D3917">
        <w:rPr>
          <w:rFonts w:asciiTheme="majorHAnsi" w:hAnsiTheme="majorHAnsi"/>
          <w:color w:val="000000" w:themeColor="text1"/>
        </w:rPr>
        <w:lastRenderedPageBreak/>
        <w:t>level by the Working Team of the</w:t>
      </w:r>
      <w:r>
        <w:rPr>
          <w:rFonts w:asciiTheme="majorHAnsi" w:hAnsiTheme="majorHAnsi"/>
          <w:color w:val="000000" w:themeColor="text1"/>
        </w:rPr>
        <w:t xml:space="preserve"> Ministry (IBNET, EURO, etc.), draw up </w:t>
      </w:r>
      <w:r w:rsidR="008D3917" w:rsidRPr="008D3917">
        <w:rPr>
          <w:rFonts w:asciiTheme="majorHAnsi" w:hAnsiTheme="majorHAnsi"/>
          <w:color w:val="000000" w:themeColor="text1"/>
        </w:rPr>
        <w:t xml:space="preserve">a list of national and local indicators, together with the </w:t>
      </w:r>
      <w:r w:rsidRPr="008D3917">
        <w:rPr>
          <w:rFonts w:asciiTheme="majorHAnsi" w:hAnsiTheme="majorHAnsi"/>
          <w:color w:val="000000" w:themeColor="text1"/>
        </w:rPr>
        <w:t xml:space="preserve">processing </w:t>
      </w:r>
      <w:r w:rsidR="008D3917" w:rsidRPr="008D3917">
        <w:rPr>
          <w:rFonts w:asciiTheme="majorHAnsi" w:hAnsiTheme="majorHAnsi"/>
          <w:color w:val="000000" w:themeColor="text1"/>
        </w:rPr>
        <w:t xml:space="preserve">methodology that includes </w:t>
      </w:r>
      <w:r>
        <w:rPr>
          <w:rFonts w:asciiTheme="majorHAnsi" w:hAnsiTheme="majorHAnsi"/>
          <w:color w:val="000000" w:themeColor="text1"/>
        </w:rPr>
        <w:t xml:space="preserve">the method for </w:t>
      </w:r>
      <w:r w:rsidR="008D3917" w:rsidRPr="008D3917">
        <w:rPr>
          <w:rFonts w:asciiTheme="majorHAnsi" w:hAnsiTheme="majorHAnsi"/>
          <w:color w:val="000000" w:themeColor="text1"/>
        </w:rPr>
        <w:t xml:space="preserve">collecting and processing data and </w:t>
      </w:r>
      <w:r>
        <w:rPr>
          <w:rFonts w:asciiTheme="majorHAnsi" w:hAnsiTheme="majorHAnsi"/>
          <w:color w:val="000000" w:themeColor="text1"/>
        </w:rPr>
        <w:t xml:space="preserve">the </w:t>
      </w:r>
      <w:r w:rsidR="008D3917" w:rsidRPr="008D3917">
        <w:rPr>
          <w:rFonts w:asciiTheme="majorHAnsi" w:hAnsiTheme="majorHAnsi"/>
          <w:color w:val="000000" w:themeColor="text1"/>
        </w:rPr>
        <w:t xml:space="preserve">system and </w:t>
      </w:r>
      <w:r>
        <w:rPr>
          <w:rFonts w:asciiTheme="majorHAnsi" w:hAnsiTheme="majorHAnsi"/>
          <w:color w:val="000000" w:themeColor="text1"/>
        </w:rPr>
        <w:t xml:space="preserve">schedule of </w:t>
      </w:r>
      <w:r w:rsidRPr="008D3917">
        <w:rPr>
          <w:rFonts w:asciiTheme="majorHAnsi" w:hAnsiTheme="majorHAnsi"/>
          <w:color w:val="000000" w:themeColor="text1"/>
        </w:rPr>
        <w:t xml:space="preserve">reporting </w:t>
      </w:r>
      <w:r w:rsidR="008D3917" w:rsidRPr="008D3917">
        <w:rPr>
          <w:rFonts w:asciiTheme="majorHAnsi" w:hAnsiTheme="majorHAnsi"/>
          <w:color w:val="000000" w:themeColor="text1"/>
        </w:rPr>
        <w:t>in the f</w:t>
      </w:r>
      <w:r>
        <w:rPr>
          <w:rFonts w:asciiTheme="majorHAnsi" w:hAnsiTheme="majorHAnsi"/>
          <w:color w:val="000000" w:themeColor="text1"/>
        </w:rPr>
        <w:t>orm of a draft final regulation and comprehensive guidelines</w:t>
      </w:r>
      <w:r w:rsidR="008D3917" w:rsidRPr="008D3917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 xml:space="preserve">for </w:t>
      </w:r>
      <w:r w:rsidR="008D3917" w:rsidRPr="008D3917">
        <w:rPr>
          <w:rFonts w:asciiTheme="majorHAnsi" w:hAnsiTheme="majorHAnsi"/>
          <w:color w:val="000000" w:themeColor="text1"/>
        </w:rPr>
        <w:t>the application of benchmarking.</w:t>
      </w:r>
    </w:p>
    <w:p w:rsidR="008D3917" w:rsidRPr="00711AF7" w:rsidRDefault="00E048D9" w:rsidP="008D3917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The e</w:t>
      </w:r>
      <w:r w:rsidR="008D3917" w:rsidRPr="008D3917">
        <w:rPr>
          <w:rFonts w:asciiTheme="majorHAnsi" w:hAnsiTheme="majorHAnsi"/>
          <w:color w:val="000000" w:themeColor="text1"/>
        </w:rPr>
        <w:t xml:space="preserve">xpert </w:t>
      </w:r>
      <w:r>
        <w:rPr>
          <w:rFonts w:asciiTheme="majorHAnsi" w:hAnsiTheme="majorHAnsi"/>
          <w:color w:val="000000" w:themeColor="text1"/>
        </w:rPr>
        <w:t xml:space="preserve">shall propose </w:t>
      </w:r>
      <w:r w:rsidR="008D3917" w:rsidRPr="008D3917">
        <w:rPr>
          <w:rFonts w:asciiTheme="majorHAnsi" w:hAnsiTheme="majorHAnsi"/>
          <w:color w:val="000000" w:themeColor="text1"/>
        </w:rPr>
        <w:t xml:space="preserve">and </w:t>
      </w:r>
      <w:r>
        <w:rPr>
          <w:rFonts w:asciiTheme="majorHAnsi" w:hAnsiTheme="majorHAnsi"/>
          <w:color w:val="000000" w:themeColor="text1"/>
        </w:rPr>
        <w:t xml:space="preserve">initially </w:t>
      </w:r>
      <w:r w:rsidR="008D3917" w:rsidRPr="008D3917">
        <w:rPr>
          <w:rFonts w:asciiTheme="majorHAnsi" w:hAnsiTheme="majorHAnsi"/>
          <w:color w:val="000000" w:themeColor="text1"/>
        </w:rPr>
        <w:t xml:space="preserve">implement (demonstrates) </w:t>
      </w:r>
      <w:r>
        <w:rPr>
          <w:rFonts w:asciiTheme="majorHAnsi" w:hAnsiTheme="majorHAnsi"/>
          <w:color w:val="000000" w:themeColor="text1"/>
        </w:rPr>
        <w:t xml:space="preserve">the method </w:t>
      </w:r>
      <w:r w:rsidR="008D3917" w:rsidRPr="008D3917">
        <w:rPr>
          <w:rFonts w:asciiTheme="majorHAnsi" w:hAnsiTheme="majorHAnsi"/>
          <w:color w:val="000000" w:themeColor="text1"/>
        </w:rPr>
        <w:t xml:space="preserve">and </w:t>
      </w:r>
      <w:r>
        <w:rPr>
          <w:rFonts w:asciiTheme="majorHAnsi" w:hAnsiTheme="majorHAnsi"/>
          <w:color w:val="000000" w:themeColor="text1"/>
        </w:rPr>
        <w:t xml:space="preserve">schedule of staff </w:t>
      </w:r>
      <w:r w:rsidR="008D3917" w:rsidRPr="008D3917">
        <w:rPr>
          <w:rFonts w:asciiTheme="majorHAnsi" w:hAnsiTheme="majorHAnsi"/>
          <w:color w:val="000000" w:themeColor="text1"/>
        </w:rPr>
        <w:t>training in RAE and water utility</w:t>
      </w:r>
      <w:r>
        <w:rPr>
          <w:rFonts w:asciiTheme="majorHAnsi" w:hAnsiTheme="majorHAnsi"/>
          <w:color w:val="000000" w:themeColor="text1"/>
        </w:rPr>
        <w:t xml:space="preserve"> companies</w:t>
      </w:r>
      <w:r w:rsidR="008D3917" w:rsidRPr="008D3917">
        <w:rPr>
          <w:rFonts w:asciiTheme="majorHAnsi" w:hAnsiTheme="majorHAnsi"/>
          <w:color w:val="000000" w:themeColor="text1"/>
        </w:rPr>
        <w:t>.</w:t>
      </w:r>
    </w:p>
    <w:p w:rsidR="008D3917" w:rsidRPr="00711AF7" w:rsidRDefault="00E048D9" w:rsidP="00B3018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The e</w:t>
      </w:r>
      <w:r w:rsidR="008D3917" w:rsidRPr="008D3917">
        <w:rPr>
          <w:rFonts w:asciiTheme="majorHAnsi" w:hAnsiTheme="majorHAnsi"/>
          <w:color w:val="000000" w:themeColor="text1"/>
        </w:rPr>
        <w:t xml:space="preserve">xpert </w:t>
      </w:r>
      <w:r>
        <w:rPr>
          <w:rFonts w:asciiTheme="majorHAnsi" w:hAnsiTheme="majorHAnsi"/>
          <w:color w:val="000000" w:themeColor="text1"/>
        </w:rPr>
        <w:t xml:space="preserve">shall </w:t>
      </w:r>
      <w:r w:rsidR="008D3917" w:rsidRPr="008D3917">
        <w:rPr>
          <w:rFonts w:asciiTheme="majorHAnsi" w:hAnsiTheme="majorHAnsi"/>
          <w:color w:val="000000" w:themeColor="text1"/>
        </w:rPr>
        <w:t xml:space="preserve">hold a two-day workshop to present </w:t>
      </w:r>
      <w:r>
        <w:rPr>
          <w:rFonts w:asciiTheme="majorHAnsi" w:hAnsiTheme="majorHAnsi"/>
          <w:color w:val="000000" w:themeColor="text1"/>
        </w:rPr>
        <w:t>the results of his work and conduct training</w:t>
      </w:r>
      <w:r w:rsidR="008D3917" w:rsidRPr="008D3917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 xml:space="preserve">of participants </w:t>
      </w:r>
      <w:r w:rsidR="008D3917" w:rsidRPr="008D3917">
        <w:rPr>
          <w:rFonts w:asciiTheme="majorHAnsi" w:hAnsiTheme="majorHAnsi"/>
          <w:color w:val="000000" w:themeColor="text1"/>
        </w:rPr>
        <w:t>on the topic of benchmarking.</w:t>
      </w:r>
    </w:p>
    <w:p w:rsidR="008210ED" w:rsidRPr="00711AF7" w:rsidRDefault="008210ED" w:rsidP="008210ED">
      <w:pPr>
        <w:pStyle w:val="ListParagraph"/>
        <w:numPr>
          <w:ilvl w:val="0"/>
          <w:numId w:val="1"/>
        </w:numPr>
        <w:ind w:left="284" w:hanging="284"/>
        <w:rPr>
          <w:rFonts w:asciiTheme="majorHAnsi" w:hAnsiTheme="majorHAnsi"/>
          <w:b/>
          <w:bCs/>
          <w:color w:val="000000" w:themeColor="text1"/>
        </w:rPr>
      </w:pPr>
      <w:r w:rsidRPr="00711AF7">
        <w:rPr>
          <w:rFonts w:asciiTheme="majorHAnsi" w:hAnsiTheme="majorHAnsi"/>
          <w:b/>
          <w:bCs/>
          <w:color w:val="000000" w:themeColor="text1"/>
          <w:lang w:val="en-GB"/>
        </w:rPr>
        <w:t>Expected Outcomes</w:t>
      </w:r>
      <w:r w:rsidR="00442243" w:rsidRPr="00711AF7">
        <w:rPr>
          <w:rFonts w:asciiTheme="majorHAnsi" w:hAnsiTheme="majorHAnsi"/>
          <w:b/>
          <w:bCs/>
          <w:color w:val="000000" w:themeColor="text1"/>
        </w:rPr>
        <w:t>:</w:t>
      </w:r>
    </w:p>
    <w:p w:rsidR="00856746" w:rsidRPr="00711AF7" w:rsidRDefault="00856746" w:rsidP="0085674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NewRoman"/>
          <w:color w:val="000000" w:themeColor="text1"/>
        </w:rPr>
      </w:pPr>
    </w:p>
    <w:p w:rsidR="008D3917" w:rsidRDefault="00E048D9" w:rsidP="00E048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NewRoman"/>
          <w:color w:val="000000" w:themeColor="text1"/>
        </w:rPr>
      </w:pPr>
      <w:r>
        <w:rPr>
          <w:rFonts w:asciiTheme="majorHAnsi" w:hAnsiTheme="majorHAnsi" w:cs="TimesNewRoman"/>
          <w:color w:val="000000" w:themeColor="text1"/>
        </w:rPr>
        <w:t>Fi</w:t>
      </w:r>
      <w:r w:rsidR="008D3917" w:rsidRPr="00E048D9">
        <w:rPr>
          <w:rFonts w:asciiTheme="majorHAnsi" w:hAnsiTheme="majorHAnsi" w:cs="TimesNewRoman"/>
          <w:color w:val="000000" w:themeColor="text1"/>
        </w:rPr>
        <w:t xml:space="preserve">nal draft </w:t>
      </w:r>
      <w:r>
        <w:rPr>
          <w:rFonts w:asciiTheme="majorHAnsi" w:hAnsiTheme="majorHAnsi" w:cs="TimesNewRoman"/>
          <w:color w:val="000000" w:themeColor="text1"/>
        </w:rPr>
        <w:t>regulation</w:t>
      </w:r>
      <w:r w:rsidR="008D3917" w:rsidRPr="00E048D9">
        <w:rPr>
          <w:rFonts w:asciiTheme="majorHAnsi" w:hAnsiTheme="majorHAnsi" w:cs="TimesNewRoman"/>
          <w:color w:val="000000" w:themeColor="text1"/>
        </w:rPr>
        <w:t xml:space="preserve"> on detailed procedure for determining the indicators, </w:t>
      </w:r>
      <w:r w:rsidRPr="00E048D9">
        <w:rPr>
          <w:rFonts w:asciiTheme="majorHAnsi" w:hAnsiTheme="majorHAnsi" w:cs="TimesNewRoman"/>
          <w:color w:val="000000" w:themeColor="text1"/>
        </w:rPr>
        <w:t xml:space="preserve">processing </w:t>
      </w:r>
      <w:r w:rsidR="008D3917" w:rsidRPr="00E048D9">
        <w:rPr>
          <w:rFonts w:asciiTheme="majorHAnsi" w:hAnsiTheme="majorHAnsi" w:cs="TimesNewRoman"/>
          <w:color w:val="000000" w:themeColor="text1"/>
        </w:rPr>
        <w:t xml:space="preserve">methodology and </w:t>
      </w:r>
      <w:r>
        <w:rPr>
          <w:rFonts w:asciiTheme="majorHAnsi" w:hAnsiTheme="majorHAnsi" w:cs="TimesNewRoman"/>
          <w:color w:val="000000" w:themeColor="text1"/>
        </w:rPr>
        <w:t xml:space="preserve">the method for </w:t>
      </w:r>
      <w:r w:rsidR="008D3917" w:rsidRPr="00E048D9">
        <w:rPr>
          <w:rFonts w:asciiTheme="majorHAnsi" w:hAnsiTheme="majorHAnsi" w:cs="TimesNewRoman"/>
          <w:color w:val="000000" w:themeColor="text1"/>
        </w:rPr>
        <w:t xml:space="preserve">submission of data for water supply and waste water; The regulation is </w:t>
      </w:r>
      <w:r>
        <w:rPr>
          <w:rFonts w:asciiTheme="majorHAnsi" w:hAnsiTheme="majorHAnsi" w:cs="TimesNewRoman"/>
          <w:color w:val="000000" w:themeColor="text1"/>
        </w:rPr>
        <w:t>elaborated pursuant to Article 49 of the Law</w:t>
      </w:r>
      <w:r w:rsidR="008D3917" w:rsidRPr="00E048D9">
        <w:rPr>
          <w:rFonts w:asciiTheme="majorHAnsi" w:hAnsiTheme="majorHAnsi" w:cs="TimesNewRoman"/>
          <w:color w:val="000000" w:themeColor="text1"/>
        </w:rPr>
        <w:t xml:space="preserve">; indicators </w:t>
      </w:r>
      <w:r>
        <w:rPr>
          <w:rFonts w:asciiTheme="majorHAnsi" w:hAnsiTheme="majorHAnsi" w:cs="TimesNewRoman"/>
          <w:color w:val="000000" w:themeColor="text1"/>
        </w:rPr>
        <w:t xml:space="preserve">have </w:t>
      </w:r>
      <w:r w:rsidR="008D3917" w:rsidRPr="00E048D9">
        <w:rPr>
          <w:rFonts w:asciiTheme="majorHAnsi" w:hAnsiTheme="majorHAnsi" w:cs="TimesNewRoman"/>
          <w:color w:val="000000" w:themeColor="text1"/>
        </w:rPr>
        <w:t xml:space="preserve">be </w:t>
      </w:r>
      <w:r>
        <w:rPr>
          <w:rFonts w:asciiTheme="majorHAnsi" w:hAnsiTheme="majorHAnsi" w:cs="TimesNewRoman"/>
          <w:color w:val="000000" w:themeColor="text1"/>
        </w:rPr>
        <w:t xml:space="preserve">prepared </w:t>
      </w:r>
      <w:r w:rsidR="008D3917" w:rsidRPr="00E048D9">
        <w:rPr>
          <w:rFonts w:asciiTheme="majorHAnsi" w:hAnsiTheme="majorHAnsi" w:cs="TimesNewRoman"/>
          <w:color w:val="000000" w:themeColor="text1"/>
        </w:rPr>
        <w:t>a</w:t>
      </w:r>
      <w:r w:rsidR="00D31F86">
        <w:rPr>
          <w:rFonts w:asciiTheme="majorHAnsi" w:hAnsiTheme="majorHAnsi" w:cs="TimesNewRoman"/>
          <w:color w:val="000000" w:themeColor="text1"/>
        </w:rPr>
        <w:t>t the national and local level.</w:t>
      </w:r>
    </w:p>
    <w:p w:rsidR="00E048D9" w:rsidRPr="00E048D9" w:rsidRDefault="00E048D9" w:rsidP="00E048D9">
      <w:pPr>
        <w:pStyle w:val="ListParagraph"/>
        <w:rPr>
          <w:rFonts w:asciiTheme="majorHAnsi" w:hAnsiTheme="majorHAnsi" w:cs="TimesNewRoman"/>
          <w:color w:val="000000" w:themeColor="text1"/>
        </w:rPr>
      </w:pPr>
    </w:p>
    <w:p w:rsidR="008D3917" w:rsidRDefault="008D3917" w:rsidP="00E048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NewRoman"/>
          <w:color w:val="000000" w:themeColor="text1"/>
        </w:rPr>
      </w:pPr>
      <w:r w:rsidRPr="00E048D9">
        <w:rPr>
          <w:rFonts w:asciiTheme="majorHAnsi" w:hAnsiTheme="majorHAnsi" w:cs="TimesNewRoman"/>
          <w:color w:val="000000" w:themeColor="text1"/>
        </w:rPr>
        <w:t>Guidance on the application of benchmarking at the local and national level;</w:t>
      </w:r>
    </w:p>
    <w:p w:rsidR="00E048D9" w:rsidRPr="00E048D9" w:rsidRDefault="00E048D9" w:rsidP="00E048D9">
      <w:pPr>
        <w:pStyle w:val="ListParagraph"/>
        <w:rPr>
          <w:rFonts w:asciiTheme="majorHAnsi" w:hAnsiTheme="majorHAnsi" w:cs="TimesNewRoman"/>
          <w:color w:val="000000" w:themeColor="text1"/>
        </w:rPr>
      </w:pPr>
    </w:p>
    <w:p w:rsidR="008D3917" w:rsidRDefault="00E048D9" w:rsidP="00E048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NewRoman"/>
          <w:color w:val="000000" w:themeColor="text1"/>
        </w:rPr>
      </w:pPr>
      <w:r>
        <w:rPr>
          <w:rFonts w:asciiTheme="majorHAnsi" w:hAnsiTheme="majorHAnsi" w:cs="TimesNewRoman"/>
          <w:color w:val="000000" w:themeColor="text1"/>
        </w:rPr>
        <w:t>T</w:t>
      </w:r>
      <w:r w:rsidR="008D3917" w:rsidRPr="00E048D9">
        <w:rPr>
          <w:rFonts w:asciiTheme="majorHAnsi" w:hAnsiTheme="majorHAnsi" w:cs="TimesNewRoman"/>
          <w:color w:val="000000" w:themeColor="text1"/>
        </w:rPr>
        <w:t xml:space="preserve">hree-year </w:t>
      </w:r>
      <w:r>
        <w:rPr>
          <w:rFonts w:asciiTheme="majorHAnsi" w:hAnsiTheme="majorHAnsi" w:cs="TimesNewRoman"/>
          <w:color w:val="000000" w:themeColor="text1"/>
        </w:rPr>
        <w:t>draft plan and initial implementation</w:t>
      </w:r>
      <w:r w:rsidR="008D3917" w:rsidRPr="00E048D9">
        <w:rPr>
          <w:rFonts w:asciiTheme="majorHAnsi" w:hAnsiTheme="majorHAnsi" w:cs="TimesNewRoman"/>
          <w:color w:val="000000" w:themeColor="text1"/>
        </w:rPr>
        <w:t xml:space="preserve"> </w:t>
      </w:r>
      <w:r>
        <w:rPr>
          <w:rFonts w:asciiTheme="majorHAnsi" w:hAnsiTheme="majorHAnsi" w:cs="TimesNewRoman"/>
          <w:color w:val="000000" w:themeColor="text1"/>
        </w:rPr>
        <w:t xml:space="preserve">of the method </w:t>
      </w:r>
      <w:r w:rsidR="008D3917" w:rsidRPr="00E048D9">
        <w:rPr>
          <w:rFonts w:asciiTheme="majorHAnsi" w:hAnsiTheme="majorHAnsi" w:cs="TimesNewRoman"/>
          <w:color w:val="000000" w:themeColor="text1"/>
        </w:rPr>
        <w:t xml:space="preserve">and </w:t>
      </w:r>
      <w:r w:rsidR="002165B4">
        <w:rPr>
          <w:rFonts w:asciiTheme="majorHAnsi" w:hAnsiTheme="majorHAnsi" w:cs="TimesNewRoman"/>
          <w:color w:val="000000" w:themeColor="text1"/>
        </w:rPr>
        <w:t xml:space="preserve">dynamics of staff </w:t>
      </w:r>
      <w:r w:rsidR="008D3917" w:rsidRPr="00E048D9">
        <w:rPr>
          <w:rFonts w:asciiTheme="majorHAnsi" w:hAnsiTheme="majorHAnsi" w:cs="TimesNewRoman"/>
          <w:color w:val="000000" w:themeColor="text1"/>
        </w:rPr>
        <w:t xml:space="preserve">training </w:t>
      </w:r>
      <w:r w:rsidR="002165B4">
        <w:rPr>
          <w:rFonts w:asciiTheme="majorHAnsi" w:hAnsiTheme="majorHAnsi" w:cs="TimesNewRoman"/>
          <w:color w:val="000000" w:themeColor="text1"/>
        </w:rPr>
        <w:t xml:space="preserve">in </w:t>
      </w:r>
      <w:r w:rsidR="008D3917" w:rsidRPr="00E048D9">
        <w:rPr>
          <w:rFonts w:asciiTheme="majorHAnsi" w:hAnsiTheme="majorHAnsi" w:cs="TimesNewRoman"/>
          <w:color w:val="000000" w:themeColor="text1"/>
        </w:rPr>
        <w:t xml:space="preserve">the Energy Regulatory Agency for regulated </w:t>
      </w:r>
      <w:r w:rsidR="002165B4">
        <w:rPr>
          <w:rFonts w:asciiTheme="majorHAnsi" w:hAnsiTheme="majorHAnsi" w:cs="TimesNewRoman"/>
          <w:color w:val="000000" w:themeColor="text1"/>
        </w:rPr>
        <w:t xml:space="preserve">services </w:t>
      </w:r>
      <w:r w:rsidR="008D3917" w:rsidRPr="00E048D9">
        <w:rPr>
          <w:rFonts w:asciiTheme="majorHAnsi" w:hAnsiTheme="majorHAnsi" w:cs="TimesNewRoman"/>
          <w:color w:val="000000" w:themeColor="text1"/>
        </w:rPr>
        <w:t>(water supply and waste water) and water supply and sewerage companies in relation to benchmarking;</w:t>
      </w:r>
    </w:p>
    <w:p w:rsidR="002165B4" w:rsidRPr="002165B4" w:rsidRDefault="002165B4" w:rsidP="002165B4">
      <w:pPr>
        <w:pStyle w:val="ListParagraph"/>
        <w:rPr>
          <w:rFonts w:asciiTheme="majorHAnsi" w:hAnsiTheme="majorHAnsi" w:cs="TimesNewRoman"/>
          <w:color w:val="000000" w:themeColor="text1"/>
        </w:rPr>
      </w:pPr>
    </w:p>
    <w:p w:rsidR="008D3917" w:rsidRPr="002165B4" w:rsidRDefault="002165B4" w:rsidP="002165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NewRoman"/>
          <w:color w:val="000000" w:themeColor="text1"/>
        </w:rPr>
      </w:pPr>
      <w:r>
        <w:rPr>
          <w:rFonts w:asciiTheme="majorHAnsi" w:hAnsiTheme="majorHAnsi" w:cs="TimesNewRoman"/>
          <w:color w:val="000000" w:themeColor="text1"/>
        </w:rPr>
        <w:t>A two-day workshop to present</w:t>
      </w:r>
      <w:r w:rsidR="008D3917" w:rsidRPr="002165B4">
        <w:rPr>
          <w:rFonts w:asciiTheme="majorHAnsi" w:hAnsiTheme="majorHAnsi" w:cs="TimesNewRoman"/>
          <w:color w:val="000000" w:themeColor="text1"/>
        </w:rPr>
        <w:t>: a) experience in the establishment and implementation of benchmarking in other countries with special emphasis on those that have similar chara</w:t>
      </w:r>
      <w:r>
        <w:rPr>
          <w:rFonts w:asciiTheme="majorHAnsi" w:hAnsiTheme="majorHAnsi" w:cs="TimesNewRoman"/>
          <w:color w:val="000000" w:themeColor="text1"/>
        </w:rPr>
        <w:t>cteristics as Montenegro, b) work</w:t>
      </w:r>
      <w:r w:rsidR="008D3917" w:rsidRPr="002165B4">
        <w:rPr>
          <w:rFonts w:asciiTheme="majorHAnsi" w:hAnsiTheme="majorHAnsi" w:cs="TimesNewRoman"/>
          <w:color w:val="000000" w:themeColor="text1"/>
        </w:rPr>
        <w:t xml:space="preserve"> results of the expert regarding the above </w:t>
      </w:r>
      <w:r>
        <w:rPr>
          <w:rFonts w:asciiTheme="majorHAnsi" w:hAnsiTheme="majorHAnsi" w:cs="TimesNewRoman"/>
          <w:color w:val="000000" w:themeColor="text1"/>
        </w:rPr>
        <w:t xml:space="preserve">documents (from point 1 to 3 - </w:t>
      </w:r>
      <w:r w:rsidRPr="002165B4">
        <w:rPr>
          <w:rFonts w:asciiTheme="majorHAnsi" w:hAnsiTheme="majorHAnsi" w:cs="TimesNewRoman"/>
          <w:b/>
          <w:color w:val="000000" w:themeColor="text1"/>
        </w:rPr>
        <w:t>E</w:t>
      </w:r>
      <w:r w:rsidR="008D3917" w:rsidRPr="002165B4">
        <w:rPr>
          <w:rFonts w:asciiTheme="majorHAnsi" w:hAnsiTheme="majorHAnsi" w:cs="TimesNewRoman"/>
          <w:b/>
          <w:color w:val="000000" w:themeColor="text1"/>
        </w:rPr>
        <w:t>xpected Outcomes</w:t>
      </w:r>
      <w:r w:rsidR="008D3917" w:rsidRPr="002165B4">
        <w:rPr>
          <w:rFonts w:asciiTheme="majorHAnsi" w:hAnsiTheme="majorHAnsi" w:cs="TimesNewRoman"/>
          <w:color w:val="000000" w:themeColor="text1"/>
        </w:rPr>
        <w:t>).</w:t>
      </w:r>
    </w:p>
    <w:p w:rsidR="006E274D" w:rsidRDefault="006E274D" w:rsidP="006E274D">
      <w:pPr>
        <w:jc w:val="both"/>
        <w:rPr>
          <w:rFonts w:asciiTheme="majorHAnsi" w:hAnsiTheme="majorHAnsi" w:cs="TimesNewRoman"/>
          <w:color w:val="000000" w:themeColor="text1"/>
        </w:rPr>
      </w:pPr>
    </w:p>
    <w:p w:rsidR="008D3917" w:rsidRPr="006E274D" w:rsidRDefault="008210ED" w:rsidP="006E274D">
      <w:pPr>
        <w:pStyle w:val="ListParagraph"/>
        <w:numPr>
          <w:ilvl w:val="0"/>
          <w:numId w:val="1"/>
        </w:numPr>
        <w:ind w:left="0" w:firstLine="0"/>
        <w:jc w:val="both"/>
        <w:rPr>
          <w:rFonts w:asciiTheme="majorHAnsi" w:hAnsiTheme="majorHAnsi"/>
          <w:color w:val="000000" w:themeColor="text1"/>
          <w:highlight w:val="lightGray"/>
        </w:rPr>
      </w:pPr>
      <w:r w:rsidRPr="006E274D">
        <w:rPr>
          <w:rFonts w:asciiTheme="majorHAnsi" w:hAnsiTheme="majorHAnsi"/>
          <w:b/>
          <w:bCs/>
          <w:color w:val="000000" w:themeColor="text1"/>
          <w:lang w:val="en-GB"/>
        </w:rPr>
        <w:t xml:space="preserve">Qualification requirements and basis for evaluation </w:t>
      </w:r>
    </w:p>
    <w:p w:rsidR="008210ED" w:rsidRPr="006E274D" w:rsidRDefault="00844DBA" w:rsidP="008D3917">
      <w:pPr>
        <w:jc w:val="both"/>
        <w:rPr>
          <w:rFonts w:asciiTheme="majorHAnsi" w:hAnsiTheme="majorHAnsi"/>
          <w:b/>
          <w:color w:val="000000" w:themeColor="text1"/>
          <w:highlight w:val="lightGray"/>
        </w:rPr>
      </w:pPr>
      <w:r w:rsidRPr="006E274D">
        <w:rPr>
          <w:rFonts w:asciiTheme="majorHAnsi" w:hAnsiTheme="majorHAnsi"/>
          <w:b/>
          <w:color w:val="000000" w:themeColor="text1"/>
        </w:rPr>
        <w:t xml:space="preserve">5.1 </w:t>
      </w:r>
      <w:r w:rsidR="008210ED" w:rsidRPr="006E274D">
        <w:rPr>
          <w:rFonts w:asciiTheme="majorHAnsi" w:hAnsiTheme="majorHAnsi"/>
          <w:b/>
          <w:color w:val="000000" w:themeColor="text1"/>
        </w:rPr>
        <w:t>Qualifications and skills</w:t>
      </w:r>
    </w:p>
    <w:p w:rsidR="008210ED" w:rsidRPr="00711AF7" w:rsidRDefault="008210ED" w:rsidP="008210ED">
      <w:pPr>
        <w:jc w:val="both"/>
        <w:rPr>
          <w:rFonts w:asciiTheme="majorHAnsi" w:hAnsiTheme="majorHAnsi"/>
          <w:bCs/>
          <w:color w:val="000000" w:themeColor="text1"/>
        </w:rPr>
      </w:pPr>
      <w:r w:rsidRPr="00711AF7">
        <w:rPr>
          <w:rFonts w:asciiTheme="majorHAnsi" w:hAnsiTheme="majorHAnsi"/>
          <w:color w:val="000000" w:themeColor="text1"/>
        </w:rPr>
        <w:t xml:space="preserve">Education at least:  </w:t>
      </w:r>
      <w:r w:rsidR="00471771" w:rsidRPr="00471771">
        <w:rPr>
          <w:rFonts w:asciiTheme="majorHAnsi" w:hAnsiTheme="majorHAnsi"/>
          <w:color w:val="000000" w:themeColor="text1"/>
        </w:rPr>
        <w:t>Faculty of Engineering, Faculty of Economics or Faculty of Law and other relevant profession</w:t>
      </w:r>
    </w:p>
    <w:p w:rsidR="008210ED" w:rsidRPr="00711AF7" w:rsidRDefault="008210ED" w:rsidP="008210ED">
      <w:pPr>
        <w:pStyle w:val="ListBullet"/>
        <w:numPr>
          <w:ilvl w:val="0"/>
          <w:numId w:val="4"/>
        </w:numPr>
        <w:suppressAutoHyphens/>
        <w:spacing w:after="120"/>
        <w:ind w:left="714" w:hanging="357"/>
        <w:rPr>
          <w:rFonts w:asciiTheme="majorHAnsi" w:hAnsiTheme="majorHAnsi"/>
          <w:color w:val="000000" w:themeColor="text1"/>
          <w:sz w:val="22"/>
          <w:szCs w:val="22"/>
          <w:lang w:eastAsia="en-GB"/>
        </w:rPr>
      </w:pPr>
      <w:r w:rsidRPr="00711AF7">
        <w:rPr>
          <w:rFonts w:asciiTheme="majorHAnsi" w:hAnsiTheme="majorHAnsi"/>
          <w:color w:val="000000" w:themeColor="text1"/>
          <w:sz w:val="22"/>
          <w:szCs w:val="22"/>
          <w:lang w:eastAsia="en-GB"/>
        </w:rPr>
        <w:t xml:space="preserve">Good command of spoken and written English, </w:t>
      </w:r>
      <w:r w:rsidR="008D3917">
        <w:rPr>
          <w:rFonts w:asciiTheme="majorHAnsi" w:hAnsiTheme="majorHAnsi"/>
          <w:color w:val="000000" w:themeColor="text1"/>
          <w:sz w:val="22"/>
          <w:szCs w:val="22"/>
          <w:lang w:eastAsia="en-GB"/>
        </w:rPr>
        <w:t xml:space="preserve">knowledge of Montenegrin is an asset </w:t>
      </w:r>
    </w:p>
    <w:p w:rsidR="008210ED" w:rsidRPr="00711AF7" w:rsidRDefault="008210ED" w:rsidP="008210ED">
      <w:pPr>
        <w:pStyle w:val="ListBullet"/>
        <w:numPr>
          <w:ilvl w:val="0"/>
          <w:numId w:val="4"/>
        </w:numPr>
        <w:suppressAutoHyphens/>
        <w:spacing w:after="120"/>
        <w:ind w:left="714" w:hanging="357"/>
        <w:rPr>
          <w:rFonts w:asciiTheme="majorHAnsi" w:hAnsiTheme="majorHAnsi"/>
          <w:color w:val="000000" w:themeColor="text1"/>
          <w:sz w:val="22"/>
          <w:szCs w:val="22"/>
          <w:lang w:eastAsia="en-GB"/>
        </w:rPr>
      </w:pPr>
      <w:r w:rsidRPr="00711AF7">
        <w:rPr>
          <w:rFonts w:asciiTheme="majorHAnsi" w:hAnsiTheme="majorHAnsi"/>
          <w:color w:val="000000" w:themeColor="text1"/>
          <w:sz w:val="22"/>
          <w:szCs w:val="22"/>
          <w:lang w:eastAsia="en-GB"/>
        </w:rPr>
        <w:t>Computer literacy in office applications</w:t>
      </w:r>
    </w:p>
    <w:p w:rsidR="008210ED" w:rsidRPr="00711AF7" w:rsidRDefault="008210ED" w:rsidP="008210ED">
      <w:pPr>
        <w:rPr>
          <w:rFonts w:asciiTheme="majorHAnsi" w:hAnsiTheme="majorHAnsi"/>
          <w:color w:val="000000" w:themeColor="text1"/>
        </w:rPr>
      </w:pPr>
      <w:r w:rsidRPr="00711AF7">
        <w:rPr>
          <w:rFonts w:asciiTheme="majorHAnsi" w:hAnsiTheme="majorHAnsi"/>
          <w:color w:val="000000" w:themeColor="text1"/>
        </w:rPr>
        <w:t>General professional experience</w:t>
      </w:r>
    </w:p>
    <w:p w:rsidR="008210ED" w:rsidRPr="00711AF7" w:rsidRDefault="008210ED" w:rsidP="008210ED">
      <w:pPr>
        <w:pStyle w:val="ListBullet"/>
        <w:numPr>
          <w:ilvl w:val="0"/>
          <w:numId w:val="4"/>
        </w:numPr>
        <w:suppressAutoHyphens/>
        <w:spacing w:after="120"/>
        <w:rPr>
          <w:rFonts w:asciiTheme="majorHAnsi" w:hAnsiTheme="majorHAnsi"/>
          <w:color w:val="000000" w:themeColor="text1"/>
          <w:sz w:val="22"/>
          <w:szCs w:val="22"/>
        </w:rPr>
      </w:pPr>
      <w:r w:rsidRPr="00711AF7">
        <w:rPr>
          <w:rFonts w:asciiTheme="majorHAnsi" w:hAnsiTheme="majorHAnsi"/>
          <w:color w:val="000000" w:themeColor="text1"/>
          <w:sz w:val="22"/>
          <w:szCs w:val="22"/>
        </w:rPr>
        <w:t>Minimum 12 years of general professional experience in the sector of</w:t>
      </w:r>
      <w:r w:rsidR="00936D5B" w:rsidRPr="00711AF7">
        <w:rPr>
          <w:rFonts w:asciiTheme="majorHAnsi" w:hAnsiTheme="majorHAnsi"/>
          <w:color w:val="000000" w:themeColor="text1"/>
          <w:sz w:val="22"/>
          <w:szCs w:val="22"/>
        </w:rPr>
        <w:t xml:space="preserve"> water supply and wastewater in</w:t>
      </w:r>
      <w:r w:rsidRPr="00711AF7">
        <w:rPr>
          <w:rFonts w:asciiTheme="majorHAnsi" w:hAnsiTheme="majorHAnsi"/>
          <w:color w:val="000000" w:themeColor="text1"/>
          <w:sz w:val="22"/>
          <w:szCs w:val="22"/>
        </w:rPr>
        <w:t xml:space="preserve"> regulations communal branch</w:t>
      </w:r>
      <w:r w:rsidR="00936D5B" w:rsidRPr="00711AF7">
        <w:rPr>
          <w:rFonts w:asciiTheme="majorHAnsi" w:hAnsiTheme="majorHAnsi"/>
          <w:color w:val="000000" w:themeColor="text1"/>
          <w:sz w:val="22"/>
          <w:szCs w:val="22"/>
        </w:rPr>
        <w:t xml:space="preserve"> and benchmarking</w:t>
      </w:r>
      <w:r w:rsidRPr="00711AF7">
        <w:rPr>
          <w:rFonts w:asciiTheme="majorHAnsi" w:hAnsiTheme="majorHAnsi"/>
          <w:color w:val="000000" w:themeColor="text1"/>
          <w:sz w:val="22"/>
          <w:szCs w:val="22"/>
          <w:lang w:val="mk-MK"/>
        </w:rPr>
        <w:t>.</w:t>
      </w:r>
    </w:p>
    <w:p w:rsidR="008210ED" w:rsidRPr="00711AF7" w:rsidRDefault="008210ED" w:rsidP="008210ED">
      <w:pPr>
        <w:rPr>
          <w:rFonts w:asciiTheme="majorHAnsi" w:hAnsiTheme="majorHAnsi"/>
          <w:color w:val="000000" w:themeColor="text1"/>
        </w:rPr>
      </w:pPr>
      <w:r w:rsidRPr="00711AF7">
        <w:rPr>
          <w:rFonts w:asciiTheme="majorHAnsi" w:hAnsiTheme="majorHAnsi"/>
          <w:color w:val="000000" w:themeColor="text1"/>
        </w:rPr>
        <w:t>Specific professional experience</w:t>
      </w:r>
    </w:p>
    <w:p w:rsidR="00C65481" w:rsidRPr="00711AF7" w:rsidRDefault="00A97124" w:rsidP="008210ED">
      <w:pPr>
        <w:jc w:val="both"/>
        <w:rPr>
          <w:rFonts w:asciiTheme="majorHAnsi" w:hAnsiTheme="majorHAnsi"/>
          <w:color w:val="000000" w:themeColor="text1"/>
        </w:rPr>
      </w:pPr>
      <w:r w:rsidRPr="00711AF7">
        <w:rPr>
          <w:rFonts w:asciiTheme="majorHAnsi" w:hAnsiTheme="majorHAnsi"/>
          <w:color w:val="000000" w:themeColor="text1"/>
        </w:rPr>
        <w:t xml:space="preserve">Minimum </w:t>
      </w:r>
      <w:r w:rsidR="008210ED" w:rsidRPr="00711AF7">
        <w:rPr>
          <w:rFonts w:asciiTheme="majorHAnsi" w:hAnsiTheme="majorHAnsi"/>
          <w:color w:val="000000" w:themeColor="text1"/>
        </w:rPr>
        <w:t xml:space="preserve">7 years of general professional experience in </w:t>
      </w:r>
      <w:r w:rsidR="00B30185" w:rsidRPr="00711AF7">
        <w:rPr>
          <w:rFonts w:asciiTheme="majorHAnsi" w:hAnsiTheme="majorHAnsi"/>
          <w:color w:val="000000" w:themeColor="text1"/>
        </w:rPr>
        <w:t>benchmarking</w:t>
      </w:r>
      <w:r w:rsidR="002165B4" w:rsidRPr="002165B4">
        <w:rPr>
          <w:rFonts w:asciiTheme="majorHAnsi" w:hAnsiTheme="majorHAnsi"/>
          <w:color w:val="000000" w:themeColor="text1"/>
        </w:rPr>
        <w:t xml:space="preserve"> </w:t>
      </w:r>
      <w:r w:rsidR="002165B4" w:rsidRPr="008D3917">
        <w:rPr>
          <w:rFonts w:asciiTheme="majorHAnsi" w:hAnsiTheme="majorHAnsi"/>
          <w:color w:val="000000" w:themeColor="text1"/>
        </w:rPr>
        <w:t>and experience to establish benchmarking</w:t>
      </w:r>
      <w:r w:rsidR="00936D5B" w:rsidRPr="00711AF7">
        <w:rPr>
          <w:rFonts w:asciiTheme="majorHAnsi" w:hAnsiTheme="majorHAnsi"/>
          <w:color w:val="000000" w:themeColor="text1"/>
        </w:rPr>
        <w:t>.</w:t>
      </w:r>
      <w:r w:rsidR="00711AF7">
        <w:rPr>
          <w:rFonts w:asciiTheme="majorHAnsi" w:hAnsiTheme="majorHAnsi"/>
          <w:color w:val="000000" w:themeColor="text1"/>
        </w:rPr>
        <w:t xml:space="preserve"> </w:t>
      </w:r>
      <w:r w:rsidR="002165B4">
        <w:rPr>
          <w:rFonts w:asciiTheme="majorHAnsi" w:hAnsiTheme="majorHAnsi"/>
          <w:color w:val="000000" w:themeColor="text1"/>
        </w:rPr>
        <w:t>K</w:t>
      </w:r>
      <w:r w:rsidR="008D3917" w:rsidRPr="008D3917">
        <w:rPr>
          <w:rFonts w:asciiTheme="majorHAnsi" w:hAnsiTheme="majorHAnsi"/>
          <w:color w:val="000000" w:themeColor="text1"/>
        </w:rPr>
        <w:t>nowledge of the situation in the region in the field of benchmarking in water supply and waste water management</w:t>
      </w:r>
      <w:r w:rsidR="002165B4">
        <w:rPr>
          <w:rFonts w:asciiTheme="majorHAnsi" w:hAnsiTheme="majorHAnsi"/>
          <w:color w:val="000000" w:themeColor="text1"/>
        </w:rPr>
        <w:t xml:space="preserve"> will be an asset</w:t>
      </w:r>
      <w:r w:rsidR="008D3917" w:rsidRPr="008D3917">
        <w:rPr>
          <w:rFonts w:asciiTheme="majorHAnsi" w:hAnsiTheme="majorHAnsi"/>
          <w:color w:val="000000" w:themeColor="text1"/>
        </w:rPr>
        <w:t>.</w:t>
      </w:r>
    </w:p>
    <w:p w:rsidR="006E274D" w:rsidRPr="00602E0A" w:rsidRDefault="00844DBA" w:rsidP="00602E0A">
      <w:pPr>
        <w:pStyle w:val="ListParagraph"/>
        <w:numPr>
          <w:ilvl w:val="1"/>
          <w:numId w:val="1"/>
        </w:numPr>
        <w:ind w:left="426" w:hanging="426"/>
        <w:jc w:val="both"/>
        <w:rPr>
          <w:rFonts w:asciiTheme="majorHAnsi" w:hAnsiTheme="majorHAnsi"/>
          <w:b/>
          <w:bCs/>
          <w:color w:val="000000" w:themeColor="text1"/>
        </w:rPr>
      </w:pPr>
      <w:r w:rsidRPr="00844DBA">
        <w:rPr>
          <w:rFonts w:asciiTheme="majorHAnsi" w:hAnsiTheme="majorHAnsi"/>
          <w:b/>
          <w:bCs/>
          <w:color w:val="000000" w:themeColor="text1"/>
        </w:rPr>
        <w:t>PROPOSAL REQUIREMENTS</w:t>
      </w:r>
    </w:p>
    <w:p w:rsidR="00844DBA" w:rsidRPr="006E274D" w:rsidRDefault="00844DBA" w:rsidP="006E274D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 w:rsidRPr="006E274D">
        <w:rPr>
          <w:rFonts w:asciiTheme="majorHAnsi" w:hAnsiTheme="majorHAnsi"/>
          <w:bCs/>
          <w:color w:val="000000" w:themeColor="text1"/>
        </w:rPr>
        <w:t>CV of the consultant</w:t>
      </w:r>
    </w:p>
    <w:p w:rsidR="006E274D" w:rsidRDefault="006E274D" w:rsidP="006E274D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lastRenderedPageBreak/>
        <w:t>Proposed approach of the consultancy</w:t>
      </w:r>
    </w:p>
    <w:p w:rsidR="006E274D" w:rsidRDefault="006E274D" w:rsidP="006E274D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t>Relevant experience</w:t>
      </w:r>
    </w:p>
    <w:p w:rsidR="006E274D" w:rsidRPr="006E274D" w:rsidRDefault="006E274D" w:rsidP="006E274D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t>Proposed budget</w:t>
      </w:r>
    </w:p>
    <w:p w:rsidR="00844DBA" w:rsidRPr="00844DBA" w:rsidRDefault="00844DBA" w:rsidP="0052479D">
      <w:pPr>
        <w:jc w:val="both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5.3 </w:t>
      </w:r>
      <w:r w:rsidRPr="00844DBA">
        <w:rPr>
          <w:rFonts w:asciiTheme="majorHAnsi" w:hAnsiTheme="majorHAnsi"/>
          <w:b/>
          <w:bCs/>
          <w:color w:val="000000" w:themeColor="text1"/>
        </w:rPr>
        <w:t>SELECTION CRITERIA</w:t>
      </w:r>
    </w:p>
    <w:p w:rsidR="00844DBA" w:rsidRPr="00844DBA" w:rsidRDefault="00844DBA" w:rsidP="006E274D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A.</w:t>
      </w:r>
      <w:r>
        <w:rPr>
          <w:rFonts w:asciiTheme="majorHAnsi" w:hAnsiTheme="majorHAnsi"/>
          <w:b/>
          <w:bCs/>
          <w:color w:val="000000" w:themeColor="text1"/>
        </w:rPr>
        <w:t xml:space="preserve">  </w:t>
      </w:r>
      <w:r w:rsidRPr="00844DBA">
        <w:rPr>
          <w:rFonts w:asciiTheme="majorHAnsi" w:hAnsiTheme="majorHAnsi"/>
          <w:bCs/>
          <w:color w:val="000000" w:themeColor="text1"/>
        </w:rPr>
        <w:t xml:space="preserve">Credentials required </w:t>
      </w:r>
      <w:r w:rsidR="00DA76EF">
        <w:rPr>
          <w:rFonts w:asciiTheme="majorHAnsi" w:hAnsiTheme="majorHAnsi"/>
          <w:bCs/>
          <w:color w:val="000000" w:themeColor="text1"/>
        </w:rPr>
        <w:t>certifying</w:t>
      </w:r>
      <w:r w:rsidRPr="00844DBA">
        <w:rPr>
          <w:rFonts w:asciiTheme="majorHAnsi" w:hAnsiTheme="majorHAnsi"/>
          <w:bCs/>
          <w:color w:val="000000" w:themeColor="text1"/>
        </w:rPr>
        <w:t xml:space="preserve"> experience</w:t>
      </w:r>
    </w:p>
    <w:p w:rsidR="0052479D" w:rsidRPr="00844DBA" w:rsidRDefault="0052479D" w:rsidP="006E274D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B. Proven expertise</w:t>
      </w:r>
    </w:p>
    <w:p w:rsidR="0052479D" w:rsidRPr="00844DBA" w:rsidRDefault="0052479D" w:rsidP="006E274D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C. Service</w:t>
      </w:r>
    </w:p>
    <w:p w:rsidR="0052479D" w:rsidRPr="00844DBA" w:rsidRDefault="0052479D" w:rsidP="006E274D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D. References</w:t>
      </w:r>
    </w:p>
    <w:p w:rsidR="006E274D" w:rsidRDefault="0052479D" w:rsidP="006E274D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E. Price</w:t>
      </w:r>
    </w:p>
    <w:p w:rsidR="006E274D" w:rsidRPr="00844DBA" w:rsidRDefault="006E274D" w:rsidP="006E274D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</w:p>
    <w:p w:rsidR="00AC23A5" w:rsidRPr="00AC23A5" w:rsidRDefault="00AC23A5" w:rsidP="006E274D">
      <w:pPr>
        <w:pStyle w:val="ListParagraph"/>
        <w:numPr>
          <w:ilvl w:val="0"/>
          <w:numId w:val="1"/>
        </w:numPr>
        <w:spacing w:after="0"/>
        <w:ind w:left="284" w:hanging="284"/>
        <w:rPr>
          <w:rFonts w:asciiTheme="majorHAnsi" w:hAnsiTheme="majorHAnsi"/>
          <w:b/>
          <w:bCs/>
          <w:color w:val="000000" w:themeColor="text1"/>
        </w:rPr>
      </w:pPr>
    </w:p>
    <w:p w:rsidR="006E274D" w:rsidRPr="00C84DD6" w:rsidRDefault="008210ED" w:rsidP="00C84DD6">
      <w:pPr>
        <w:pStyle w:val="ListParagraph"/>
        <w:numPr>
          <w:ilvl w:val="1"/>
          <w:numId w:val="8"/>
        </w:numPr>
        <w:spacing w:after="0"/>
        <w:rPr>
          <w:rFonts w:asciiTheme="majorHAnsi" w:hAnsiTheme="majorHAnsi"/>
          <w:b/>
          <w:bCs/>
          <w:color w:val="000000" w:themeColor="text1"/>
        </w:rPr>
      </w:pPr>
      <w:r w:rsidRPr="00AC23A5">
        <w:rPr>
          <w:rFonts w:asciiTheme="majorHAnsi" w:hAnsiTheme="majorHAnsi"/>
          <w:b/>
          <w:bCs/>
          <w:color w:val="000000" w:themeColor="text1"/>
          <w:lang w:val="en-GB"/>
        </w:rPr>
        <w:t>Duration of the assignment and estimated time input</w:t>
      </w:r>
      <w:r w:rsidR="00C86F89" w:rsidRPr="00AC23A5">
        <w:rPr>
          <w:rFonts w:asciiTheme="majorHAnsi" w:hAnsiTheme="majorHAnsi"/>
          <w:b/>
          <w:bCs/>
          <w:color w:val="000000" w:themeColor="text1"/>
        </w:rPr>
        <w:t xml:space="preserve"> </w:t>
      </w:r>
    </w:p>
    <w:p w:rsidR="008D3917" w:rsidRDefault="008D3917" w:rsidP="00C86F89">
      <w:pPr>
        <w:pStyle w:val="ListParagraph"/>
        <w:numPr>
          <w:ilvl w:val="0"/>
          <w:numId w:val="4"/>
        </w:numPr>
        <w:rPr>
          <w:rFonts w:asciiTheme="majorHAnsi" w:hAnsiTheme="majorHAnsi"/>
          <w:bCs/>
          <w:color w:val="000000" w:themeColor="text1"/>
        </w:rPr>
      </w:pPr>
      <w:r w:rsidRPr="00C86F89">
        <w:rPr>
          <w:rFonts w:asciiTheme="majorHAnsi" w:hAnsiTheme="majorHAnsi"/>
          <w:bCs/>
          <w:color w:val="000000" w:themeColor="text1"/>
        </w:rPr>
        <w:t xml:space="preserve">A total of 15 days (to be </w:t>
      </w:r>
      <w:r w:rsidR="002165B4" w:rsidRPr="00C86F89">
        <w:rPr>
          <w:rFonts w:asciiTheme="majorHAnsi" w:hAnsiTheme="majorHAnsi"/>
          <w:bCs/>
          <w:color w:val="000000" w:themeColor="text1"/>
        </w:rPr>
        <w:t xml:space="preserve">used </w:t>
      </w:r>
      <w:r w:rsidR="00DE7614">
        <w:rPr>
          <w:rFonts w:asciiTheme="majorHAnsi" w:hAnsiTheme="majorHAnsi"/>
          <w:bCs/>
          <w:color w:val="000000" w:themeColor="text1"/>
        </w:rPr>
        <w:t>within 2</w:t>
      </w:r>
      <w:r w:rsidRPr="00C86F89">
        <w:rPr>
          <w:rFonts w:asciiTheme="majorHAnsi" w:hAnsiTheme="majorHAnsi"/>
          <w:bCs/>
          <w:color w:val="000000" w:themeColor="text1"/>
        </w:rPr>
        <w:t xml:space="preserve"> months from the signing of the </w:t>
      </w:r>
      <w:r w:rsidR="002165B4" w:rsidRPr="00C86F89">
        <w:rPr>
          <w:rFonts w:asciiTheme="majorHAnsi" w:hAnsiTheme="majorHAnsi"/>
          <w:bCs/>
          <w:color w:val="000000" w:themeColor="text1"/>
        </w:rPr>
        <w:t>Contract</w:t>
      </w:r>
      <w:r w:rsidRPr="00C86F89">
        <w:rPr>
          <w:rFonts w:asciiTheme="majorHAnsi" w:hAnsiTheme="majorHAnsi"/>
          <w:bCs/>
          <w:color w:val="000000" w:themeColor="text1"/>
        </w:rPr>
        <w:t>)</w:t>
      </w:r>
    </w:p>
    <w:p w:rsidR="00AC23A5" w:rsidRPr="00AC23A5" w:rsidRDefault="00AC23A5" w:rsidP="00AC23A5">
      <w:pPr>
        <w:rPr>
          <w:rFonts w:asciiTheme="majorHAnsi" w:hAnsiTheme="majorHAnsi"/>
          <w:bCs/>
          <w:color w:val="000000" w:themeColor="text1"/>
        </w:rPr>
      </w:pPr>
      <w:r w:rsidRPr="00AC23A5">
        <w:rPr>
          <w:rFonts w:asciiTheme="majorHAnsi" w:hAnsiTheme="majorHAnsi"/>
          <w:b/>
          <w:bCs/>
          <w:color w:val="000000" w:themeColor="text1"/>
        </w:rPr>
        <w:t>6.2</w:t>
      </w:r>
      <w:r>
        <w:rPr>
          <w:rFonts w:asciiTheme="majorHAnsi" w:hAnsiTheme="majorHAnsi"/>
          <w:bCs/>
          <w:color w:val="000000" w:themeColor="text1"/>
        </w:rPr>
        <w:t xml:space="preserve"> </w:t>
      </w:r>
      <w:r w:rsidRPr="00AC23A5">
        <w:rPr>
          <w:rFonts w:asciiTheme="majorHAnsi" w:hAnsiTheme="majorHAnsi"/>
          <w:b/>
          <w:bCs/>
          <w:color w:val="000000" w:themeColor="text1"/>
        </w:rPr>
        <w:t>language reporting</w:t>
      </w:r>
    </w:p>
    <w:p w:rsidR="00C86F89" w:rsidRDefault="00C86F89" w:rsidP="00C86F89">
      <w:pPr>
        <w:pStyle w:val="ListParagraph"/>
        <w:numPr>
          <w:ilvl w:val="0"/>
          <w:numId w:val="4"/>
        </w:numPr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t>All materials must be prepared in English and Montenegrin language</w:t>
      </w:r>
    </w:p>
    <w:p w:rsidR="001E47E7" w:rsidRPr="00C86F89" w:rsidRDefault="001E47E7" w:rsidP="001E47E7">
      <w:pPr>
        <w:pStyle w:val="ListParagraph"/>
        <w:rPr>
          <w:rFonts w:asciiTheme="majorHAnsi" w:hAnsiTheme="majorHAnsi"/>
          <w:bCs/>
          <w:color w:val="000000" w:themeColor="text1"/>
        </w:rPr>
      </w:pPr>
    </w:p>
    <w:p w:rsidR="008210ED" w:rsidRPr="001E47E7" w:rsidRDefault="008D3917" w:rsidP="001E47E7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/>
          <w:b/>
          <w:bCs/>
          <w:color w:val="000000" w:themeColor="text1"/>
        </w:rPr>
      </w:pPr>
      <w:r w:rsidRPr="001E47E7">
        <w:rPr>
          <w:rFonts w:asciiTheme="majorHAnsi" w:hAnsiTheme="majorHAnsi"/>
          <w:b/>
          <w:bCs/>
          <w:color w:val="000000" w:themeColor="text1"/>
          <w:lang w:val="en-GB"/>
        </w:rPr>
        <w:t>R</w:t>
      </w:r>
      <w:r w:rsidR="008210ED" w:rsidRPr="001E47E7">
        <w:rPr>
          <w:rFonts w:asciiTheme="majorHAnsi" w:hAnsiTheme="majorHAnsi"/>
          <w:b/>
          <w:bCs/>
          <w:color w:val="000000" w:themeColor="text1"/>
          <w:lang w:val="en-GB"/>
        </w:rPr>
        <w:t>eporting requirements</w:t>
      </w:r>
      <w:r w:rsidR="008210ED" w:rsidRPr="001E47E7">
        <w:rPr>
          <w:rFonts w:asciiTheme="majorHAnsi" w:hAnsiTheme="majorHAnsi"/>
          <w:b/>
          <w:bCs/>
          <w:color w:val="000000" w:themeColor="text1"/>
        </w:rPr>
        <w:t xml:space="preserve"> </w:t>
      </w:r>
    </w:p>
    <w:p w:rsidR="00565D31" w:rsidRPr="00711AF7" w:rsidRDefault="00565D31" w:rsidP="00565D31">
      <w:pPr>
        <w:pStyle w:val="ListParagraph"/>
        <w:ind w:left="284"/>
        <w:rPr>
          <w:rFonts w:asciiTheme="majorHAnsi" w:hAnsiTheme="majorHAnsi"/>
          <w:b/>
          <w:bCs/>
          <w:color w:val="000000" w:themeColor="text1"/>
        </w:rPr>
      </w:pPr>
    </w:p>
    <w:p w:rsidR="002165B4" w:rsidRPr="00964C03" w:rsidRDefault="002165B4" w:rsidP="002165B4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Within 5 days of signing the Contract, the Consultant will</w:t>
      </w:r>
      <w:r w:rsidRPr="00964C03">
        <w:rPr>
          <w:rFonts w:asciiTheme="majorHAnsi" w:hAnsiTheme="majorHAnsi"/>
          <w:bCs/>
        </w:rPr>
        <w:t xml:space="preserve"> submit </w:t>
      </w:r>
      <w:r>
        <w:rPr>
          <w:rFonts w:asciiTheme="majorHAnsi" w:hAnsiTheme="majorHAnsi"/>
          <w:bCs/>
        </w:rPr>
        <w:t xml:space="preserve">a proposed implementation schedule for </w:t>
      </w:r>
      <w:r w:rsidRPr="00964C03">
        <w:rPr>
          <w:rFonts w:asciiTheme="majorHAnsi" w:hAnsiTheme="majorHAnsi"/>
          <w:bCs/>
        </w:rPr>
        <w:t>these activities to the Ministry of Sustainable Development and Tourism for approval;</w:t>
      </w:r>
    </w:p>
    <w:p w:rsidR="002165B4" w:rsidRDefault="002165B4" w:rsidP="002165B4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Cs/>
        </w:rPr>
      </w:pPr>
      <w:r w:rsidRPr="00964C03">
        <w:rPr>
          <w:rFonts w:asciiTheme="majorHAnsi" w:hAnsiTheme="majorHAnsi"/>
          <w:bCs/>
        </w:rPr>
        <w:t xml:space="preserve">After the presentation and submission of the draft documents and tasks mentioned in </w:t>
      </w:r>
      <w:r>
        <w:rPr>
          <w:rFonts w:asciiTheme="majorHAnsi" w:hAnsiTheme="majorHAnsi"/>
          <w:bCs/>
        </w:rPr>
        <w:t xml:space="preserve">item </w:t>
      </w:r>
      <w:r w:rsidRPr="00964C03">
        <w:rPr>
          <w:rFonts w:asciiTheme="majorHAnsi" w:hAnsiTheme="majorHAnsi"/>
          <w:bCs/>
        </w:rPr>
        <w:t xml:space="preserve">3 and </w:t>
      </w:r>
      <w:r>
        <w:rPr>
          <w:rFonts w:asciiTheme="majorHAnsi" w:hAnsiTheme="majorHAnsi"/>
          <w:bCs/>
        </w:rPr>
        <w:t>item 4 of these</w:t>
      </w:r>
      <w:r w:rsidRPr="00964C03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Terms of Reference</w:t>
      </w:r>
      <w:r w:rsidRPr="00964C03">
        <w:rPr>
          <w:rFonts w:asciiTheme="majorHAnsi" w:hAnsiTheme="majorHAnsi"/>
          <w:bCs/>
        </w:rPr>
        <w:t xml:space="preserve">, the expert is required to incorporate </w:t>
      </w:r>
      <w:r>
        <w:rPr>
          <w:rFonts w:asciiTheme="majorHAnsi" w:hAnsiTheme="majorHAnsi"/>
          <w:bCs/>
        </w:rPr>
        <w:t xml:space="preserve">in the documents </w:t>
      </w:r>
      <w:r w:rsidRPr="00964C03">
        <w:rPr>
          <w:rFonts w:asciiTheme="majorHAnsi" w:hAnsiTheme="majorHAnsi"/>
          <w:bCs/>
        </w:rPr>
        <w:t xml:space="preserve">reasonable </w:t>
      </w:r>
      <w:r>
        <w:rPr>
          <w:rFonts w:asciiTheme="majorHAnsi" w:hAnsiTheme="majorHAnsi"/>
          <w:bCs/>
        </w:rPr>
        <w:t xml:space="preserve">comments </w:t>
      </w:r>
      <w:r w:rsidRPr="00964C03">
        <w:rPr>
          <w:rFonts w:asciiTheme="majorHAnsi" w:hAnsiTheme="majorHAnsi"/>
          <w:bCs/>
        </w:rPr>
        <w:t>from the Ministry of Sustainable Development and Tourism within 15 days of receiving them.</w:t>
      </w:r>
    </w:p>
    <w:p w:rsidR="001E47E7" w:rsidRPr="00590893" w:rsidRDefault="00590893" w:rsidP="001E47E7">
      <w:pPr>
        <w:jc w:val="both"/>
        <w:rPr>
          <w:rFonts w:asciiTheme="majorHAnsi" w:hAnsiTheme="majorHAnsi"/>
          <w:b/>
          <w:bCs/>
        </w:rPr>
      </w:pPr>
      <w:r w:rsidRPr="00590893">
        <w:rPr>
          <w:rFonts w:asciiTheme="majorHAnsi" w:hAnsiTheme="majorHAnsi"/>
          <w:b/>
          <w:bCs/>
        </w:rPr>
        <w:t>GENERAL INFORMATION</w:t>
      </w:r>
    </w:p>
    <w:p w:rsidR="00282C72" w:rsidRDefault="00590893" w:rsidP="00590893">
      <w:pPr>
        <w:pStyle w:val="ListParagraph"/>
        <w:jc w:val="both"/>
        <w:rPr>
          <w:rFonts w:asciiTheme="majorHAnsi" w:hAnsiTheme="majorHAnsi"/>
          <w:bCs/>
          <w:color w:val="000000" w:themeColor="text1"/>
        </w:rPr>
      </w:pPr>
      <w:r w:rsidRPr="00282C72">
        <w:rPr>
          <w:rFonts w:asciiTheme="majorHAnsi" w:hAnsiTheme="majorHAnsi"/>
          <w:b/>
          <w:bCs/>
          <w:color w:val="000000" w:themeColor="text1"/>
        </w:rPr>
        <w:t>Deadline for the Proposal:</w:t>
      </w:r>
      <w:r>
        <w:rPr>
          <w:rFonts w:asciiTheme="majorHAnsi" w:hAnsiTheme="majorHAnsi"/>
          <w:bCs/>
          <w:color w:val="000000" w:themeColor="text1"/>
        </w:rPr>
        <w:t xml:space="preserve"> </w:t>
      </w:r>
      <w:r w:rsidR="0099231B">
        <w:rPr>
          <w:rFonts w:asciiTheme="majorHAnsi" w:hAnsiTheme="majorHAnsi"/>
          <w:bCs/>
          <w:color w:val="000000" w:themeColor="text1"/>
        </w:rPr>
        <w:t xml:space="preserve">May </w:t>
      </w:r>
      <w:bookmarkStart w:id="0" w:name="_GoBack"/>
      <w:bookmarkEnd w:id="0"/>
      <w:r w:rsidR="0099231B">
        <w:rPr>
          <w:rFonts w:asciiTheme="majorHAnsi" w:hAnsiTheme="majorHAnsi"/>
          <w:bCs/>
          <w:color w:val="000000" w:themeColor="text1"/>
        </w:rPr>
        <w:t>12</w:t>
      </w:r>
      <w:r w:rsidR="00282C72">
        <w:rPr>
          <w:rFonts w:asciiTheme="majorHAnsi" w:hAnsiTheme="majorHAnsi"/>
          <w:bCs/>
          <w:color w:val="000000" w:themeColor="text1"/>
        </w:rPr>
        <w:t>, 2017 to the Ministry of S</w:t>
      </w:r>
      <w:r>
        <w:rPr>
          <w:rFonts w:asciiTheme="majorHAnsi" w:hAnsiTheme="majorHAnsi"/>
          <w:bCs/>
          <w:color w:val="000000" w:themeColor="text1"/>
        </w:rPr>
        <w:t>ustainable</w:t>
      </w:r>
      <w:r w:rsidR="00282C72">
        <w:rPr>
          <w:rFonts w:asciiTheme="majorHAnsi" w:hAnsiTheme="majorHAnsi"/>
          <w:bCs/>
          <w:color w:val="000000" w:themeColor="text1"/>
        </w:rPr>
        <w:t xml:space="preserve"> Development and T</w:t>
      </w:r>
      <w:r>
        <w:rPr>
          <w:rFonts w:asciiTheme="majorHAnsi" w:hAnsiTheme="majorHAnsi"/>
          <w:bCs/>
          <w:color w:val="000000" w:themeColor="text1"/>
        </w:rPr>
        <w:t>ourism</w:t>
      </w:r>
    </w:p>
    <w:p w:rsidR="00282C24" w:rsidRDefault="00282C24" w:rsidP="00590893">
      <w:pPr>
        <w:pStyle w:val="ListParagraph"/>
        <w:jc w:val="both"/>
        <w:rPr>
          <w:rFonts w:asciiTheme="majorHAnsi" w:hAnsiTheme="majorHAnsi"/>
          <w:b/>
          <w:bCs/>
          <w:color w:val="000000" w:themeColor="text1"/>
        </w:rPr>
      </w:pPr>
    </w:p>
    <w:p w:rsidR="00590893" w:rsidRDefault="00817DD8" w:rsidP="00590893">
      <w:pPr>
        <w:pStyle w:val="ListParagraph"/>
        <w:jc w:val="both"/>
        <w:rPr>
          <w:rFonts w:asciiTheme="majorHAnsi" w:hAnsiTheme="majorHAnsi"/>
          <w:bCs/>
          <w:color w:val="000000" w:themeColor="text1"/>
        </w:rPr>
      </w:pPr>
      <w:r w:rsidRPr="00817DD8">
        <w:rPr>
          <w:rFonts w:asciiTheme="majorHAnsi" w:hAnsiTheme="majorHAnsi"/>
          <w:b/>
          <w:bCs/>
          <w:color w:val="000000" w:themeColor="text1"/>
        </w:rPr>
        <w:t>Budget:</w:t>
      </w:r>
      <w:r w:rsidR="000543AF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AF551F" w:rsidRPr="00AF551F">
        <w:rPr>
          <w:rFonts w:asciiTheme="majorHAnsi" w:hAnsiTheme="majorHAnsi"/>
          <w:bCs/>
          <w:color w:val="000000" w:themeColor="text1"/>
        </w:rPr>
        <w:t>The maximum available budget for the project is gross EUR 9,750 including accommodation and transport.</w:t>
      </w:r>
    </w:p>
    <w:p w:rsidR="00282C24" w:rsidRDefault="00282C24" w:rsidP="00590893">
      <w:pPr>
        <w:pStyle w:val="ListParagraph"/>
        <w:jc w:val="both"/>
        <w:rPr>
          <w:rFonts w:asciiTheme="majorHAnsi" w:hAnsiTheme="majorHAnsi"/>
          <w:b/>
          <w:bCs/>
          <w:color w:val="000000" w:themeColor="text1"/>
        </w:rPr>
      </w:pPr>
    </w:p>
    <w:p w:rsidR="00AF551F" w:rsidRDefault="00AF551F" w:rsidP="00590893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 w:themeColor="text1"/>
        </w:rPr>
        <w:t>Contact for Further information:</w:t>
      </w:r>
    </w:p>
    <w:p w:rsidR="00AF551F" w:rsidRDefault="00AF551F" w:rsidP="00590893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Ms. Snezana Didanovic</w:t>
      </w:r>
    </w:p>
    <w:p w:rsidR="00AF551F" w:rsidRDefault="00AF551F" w:rsidP="00590893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Ministry of sustainable development and tourism of Montenegro</w:t>
      </w:r>
    </w:p>
    <w:p w:rsidR="00282C24" w:rsidRDefault="00282C24" w:rsidP="00590893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IV Proleterske Brigade, 81000 Podgorica</w:t>
      </w:r>
    </w:p>
    <w:p w:rsidR="00282C24" w:rsidRDefault="00282C24" w:rsidP="00590893">
      <w:pPr>
        <w:pStyle w:val="ListParagraph"/>
        <w:jc w:val="both"/>
        <w:rPr>
          <w:rFonts w:asciiTheme="majorHAnsi" w:hAnsiTheme="majorHAnsi"/>
        </w:rPr>
      </w:pPr>
    </w:p>
    <w:p w:rsidR="00282C24" w:rsidRPr="00282C24" w:rsidRDefault="00282C24" w:rsidP="00590893">
      <w:pPr>
        <w:pStyle w:val="ListParagraph"/>
        <w:jc w:val="both"/>
        <w:rPr>
          <w:rFonts w:asciiTheme="majorHAnsi" w:hAnsiTheme="majorHAnsi"/>
          <w:b/>
        </w:rPr>
      </w:pPr>
      <w:r w:rsidRPr="00282C24">
        <w:rPr>
          <w:rFonts w:asciiTheme="majorHAnsi" w:hAnsiTheme="majorHAnsi"/>
          <w:b/>
        </w:rPr>
        <w:t>Email address for Correspondence:</w:t>
      </w:r>
    </w:p>
    <w:p w:rsidR="00282C24" w:rsidRPr="00282C24" w:rsidRDefault="0099231B" w:rsidP="00590893">
      <w:pPr>
        <w:pStyle w:val="ListParagraph"/>
        <w:jc w:val="both"/>
        <w:rPr>
          <w:rFonts w:asciiTheme="majorHAnsi" w:hAnsiTheme="majorHAnsi"/>
          <w:bCs/>
          <w:color w:val="000000" w:themeColor="text1"/>
        </w:rPr>
      </w:pPr>
      <w:hyperlink r:id="rId6" w:history="1">
        <w:r w:rsidR="00282C24" w:rsidRPr="00582052">
          <w:rPr>
            <w:rStyle w:val="Hyperlink"/>
            <w:rFonts w:asciiTheme="majorHAnsi" w:hAnsiTheme="majorHAnsi"/>
          </w:rPr>
          <w:t>snezana.didanovic@mrt.gov.me</w:t>
        </w:r>
      </w:hyperlink>
      <w:r w:rsidR="00282C24">
        <w:rPr>
          <w:rFonts w:asciiTheme="majorHAnsi" w:hAnsiTheme="majorHAnsi"/>
        </w:rPr>
        <w:t xml:space="preserve"> </w:t>
      </w:r>
    </w:p>
    <w:sectPr w:rsidR="00282C24" w:rsidRPr="00282C24" w:rsidSect="008210ED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16480"/>
    <w:multiLevelType w:val="hybridMultilevel"/>
    <w:tmpl w:val="983490D2"/>
    <w:lvl w:ilvl="0" w:tplc="4A0C20E0">
      <w:numFmt w:val="bullet"/>
      <w:lvlText w:val="-"/>
      <w:lvlJc w:val="left"/>
      <w:pPr>
        <w:ind w:left="720" w:hanging="360"/>
      </w:pPr>
      <w:rPr>
        <w:rFonts w:ascii="Cambria" w:eastAsiaTheme="minorHAnsi" w:hAnsi="Cambria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7153"/>
    <w:multiLevelType w:val="hybridMultilevel"/>
    <w:tmpl w:val="7F5C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97D8B"/>
    <w:multiLevelType w:val="multilevel"/>
    <w:tmpl w:val="3488B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4" w15:restartNumberingAfterBreak="0">
    <w:nsid w:val="3D8A1961"/>
    <w:multiLevelType w:val="multilevel"/>
    <w:tmpl w:val="CE02BC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2034AF"/>
    <w:multiLevelType w:val="hybridMultilevel"/>
    <w:tmpl w:val="7BC6EC22"/>
    <w:lvl w:ilvl="0" w:tplc="49D0142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21AB"/>
    <w:multiLevelType w:val="hybridMultilevel"/>
    <w:tmpl w:val="7CECDBFC"/>
    <w:lvl w:ilvl="0" w:tplc="FDE861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57A00"/>
    <w:multiLevelType w:val="hybridMultilevel"/>
    <w:tmpl w:val="B29EC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210ED"/>
    <w:rsid w:val="00015DD2"/>
    <w:rsid w:val="000543AF"/>
    <w:rsid w:val="00071F08"/>
    <w:rsid w:val="000C1001"/>
    <w:rsid w:val="000C2332"/>
    <w:rsid w:val="000C27B5"/>
    <w:rsid w:val="000C27CC"/>
    <w:rsid w:val="000F0012"/>
    <w:rsid w:val="00110818"/>
    <w:rsid w:val="00150140"/>
    <w:rsid w:val="001E309C"/>
    <w:rsid w:val="001E47E7"/>
    <w:rsid w:val="002165B4"/>
    <w:rsid w:val="00247E94"/>
    <w:rsid w:val="00276297"/>
    <w:rsid w:val="00280AB5"/>
    <w:rsid w:val="00282C24"/>
    <w:rsid w:val="00282C72"/>
    <w:rsid w:val="002C4067"/>
    <w:rsid w:val="00320AE9"/>
    <w:rsid w:val="00331DF3"/>
    <w:rsid w:val="003410C2"/>
    <w:rsid w:val="00344AE0"/>
    <w:rsid w:val="00357B7C"/>
    <w:rsid w:val="00361978"/>
    <w:rsid w:val="00374C34"/>
    <w:rsid w:val="003E5097"/>
    <w:rsid w:val="003F573D"/>
    <w:rsid w:val="00442243"/>
    <w:rsid w:val="00447922"/>
    <w:rsid w:val="00456DF5"/>
    <w:rsid w:val="00471771"/>
    <w:rsid w:val="004750CA"/>
    <w:rsid w:val="004A1A8C"/>
    <w:rsid w:val="004A33A8"/>
    <w:rsid w:val="0052479D"/>
    <w:rsid w:val="00565D31"/>
    <w:rsid w:val="00566594"/>
    <w:rsid w:val="0057638A"/>
    <w:rsid w:val="00590893"/>
    <w:rsid w:val="005B2A9C"/>
    <w:rsid w:val="005D7972"/>
    <w:rsid w:val="00602E0A"/>
    <w:rsid w:val="0061224E"/>
    <w:rsid w:val="006C311F"/>
    <w:rsid w:val="006C5EC8"/>
    <w:rsid w:val="006D7FAE"/>
    <w:rsid w:val="006E274D"/>
    <w:rsid w:val="007036B9"/>
    <w:rsid w:val="007038E0"/>
    <w:rsid w:val="00711AF7"/>
    <w:rsid w:val="007155E4"/>
    <w:rsid w:val="0073559B"/>
    <w:rsid w:val="007D4BEA"/>
    <w:rsid w:val="00817DD8"/>
    <w:rsid w:val="008210ED"/>
    <w:rsid w:val="00844DBA"/>
    <w:rsid w:val="00856746"/>
    <w:rsid w:val="00865280"/>
    <w:rsid w:val="00866EB5"/>
    <w:rsid w:val="00873681"/>
    <w:rsid w:val="008B2748"/>
    <w:rsid w:val="008D3917"/>
    <w:rsid w:val="008F77CB"/>
    <w:rsid w:val="00936D5B"/>
    <w:rsid w:val="00977AF5"/>
    <w:rsid w:val="0099231B"/>
    <w:rsid w:val="009D2462"/>
    <w:rsid w:val="009D45CE"/>
    <w:rsid w:val="00A00488"/>
    <w:rsid w:val="00A044BE"/>
    <w:rsid w:val="00A256D2"/>
    <w:rsid w:val="00A4121E"/>
    <w:rsid w:val="00A650A7"/>
    <w:rsid w:val="00A94EFE"/>
    <w:rsid w:val="00A97124"/>
    <w:rsid w:val="00AC23A5"/>
    <w:rsid w:val="00AC39E6"/>
    <w:rsid w:val="00AC6C6F"/>
    <w:rsid w:val="00AF045E"/>
    <w:rsid w:val="00AF551F"/>
    <w:rsid w:val="00B11693"/>
    <w:rsid w:val="00B21F84"/>
    <w:rsid w:val="00B30185"/>
    <w:rsid w:val="00B33312"/>
    <w:rsid w:val="00B42F9B"/>
    <w:rsid w:val="00B6386A"/>
    <w:rsid w:val="00B81708"/>
    <w:rsid w:val="00BE1603"/>
    <w:rsid w:val="00C0279C"/>
    <w:rsid w:val="00C525C2"/>
    <w:rsid w:val="00C65481"/>
    <w:rsid w:val="00C70AB0"/>
    <w:rsid w:val="00C772A2"/>
    <w:rsid w:val="00C84DD6"/>
    <w:rsid w:val="00C86F89"/>
    <w:rsid w:val="00C96811"/>
    <w:rsid w:val="00D24E23"/>
    <w:rsid w:val="00D31F86"/>
    <w:rsid w:val="00D421AB"/>
    <w:rsid w:val="00D50F11"/>
    <w:rsid w:val="00DA76EF"/>
    <w:rsid w:val="00DB21A4"/>
    <w:rsid w:val="00DD315F"/>
    <w:rsid w:val="00DE7614"/>
    <w:rsid w:val="00DF48E9"/>
    <w:rsid w:val="00E048D9"/>
    <w:rsid w:val="00E254A1"/>
    <w:rsid w:val="00E32829"/>
    <w:rsid w:val="00E471EE"/>
    <w:rsid w:val="00E526A8"/>
    <w:rsid w:val="00EC002C"/>
    <w:rsid w:val="00EC4E3E"/>
    <w:rsid w:val="00ED2EAC"/>
    <w:rsid w:val="00EF2B21"/>
    <w:rsid w:val="00F1691A"/>
    <w:rsid w:val="00F1748E"/>
    <w:rsid w:val="00F50C50"/>
    <w:rsid w:val="00F95E6B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8224AD-0150-4CDA-A16E-DF14C65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0ED"/>
    <w:pPr>
      <w:ind w:left="720"/>
      <w:contextualSpacing/>
    </w:pPr>
  </w:style>
  <w:style w:type="paragraph" w:styleId="ListBullet">
    <w:name w:val="List Bullet"/>
    <w:basedOn w:val="Normal"/>
    <w:rsid w:val="008210ED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1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0E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2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ezana.didanovic@mrt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77C9D-ED3B-43E9-AC66-14C4F7AA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snezana.didanovic</dc:creator>
  <cp:keywords/>
  <dc:description/>
  <cp:lastModifiedBy>Milos Sreckovic</cp:lastModifiedBy>
  <cp:revision>81</cp:revision>
  <cp:lastPrinted>2017-02-16T10:12:00Z</cp:lastPrinted>
  <dcterms:created xsi:type="dcterms:W3CDTF">2017-02-03T08:47:00Z</dcterms:created>
  <dcterms:modified xsi:type="dcterms:W3CDTF">2017-05-03T10:17:00Z</dcterms:modified>
</cp:coreProperties>
</file>