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6"/>
      </w:tblGrid>
      <w:tr w:rsidR="00AE65B1" w:rsidRPr="002A6002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A6002" w:rsidRDefault="00AE65B1" w:rsidP="00AE65B1">
            <w:pPr>
              <w:spacing w:after="0"/>
              <w:jc w:val="center"/>
              <w:rPr>
                <w:lang w:val="sr-Latn-ME"/>
              </w:rPr>
            </w:pPr>
            <w:r w:rsidRPr="002A6002">
              <w:rPr>
                <w:noProof/>
                <w:lang w:eastAsia="en-US"/>
              </w:rPr>
              <w:drawing>
                <wp:inline distT="0" distB="0" distL="0" distR="0">
                  <wp:extent cx="457200" cy="527050"/>
                  <wp:effectExtent l="0" t="0" r="0" b="635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5B1" w:rsidRPr="002A6002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A6002" w:rsidRDefault="00AE65B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  <w:lang w:val="sr-Latn-ME"/>
              </w:rPr>
            </w:pPr>
            <w:r w:rsidRPr="002A6002">
              <w:rPr>
                <w:rFonts w:ascii="Calibri" w:hAnsi="Calibri"/>
                <w:sz w:val="18"/>
                <w:szCs w:val="18"/>
                <w:lang w:val="sr-Latn-ME"/>
              </w:rPr>
              <w:t>CRNA GORA</w:t>
            </w:r>
          </w:p>
        </w:tc>
      </w:tr>
      <w:tr w:rsidR="00AE65B1" w:rsidRPr="002A6002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A6002" w:rsidRDefault="00AE65B1" w:rsidP="00DB4556">
            <w:pPr>
              <w:spacing w:after="0"/>
              <w:jc w:val="center"/>
              <w:rPr>
                <w:rFonts w:ascii="Calibri" w:hAnsi="Calibri"/>
                <w:sz w:val="18"/>
                <w:szCs w:val="18"/>
                <w:lang w:val="sr-Latn-ME"/>
              </w:rPr>
            </w:pPr>
            <w:r w:rsidRPr="002A6002">
              <w:rPr>
                <w:rFonts w:ascii="Calibri" w:hAnsi="Calibri"/>
                <w:sz w:val="18"/>
                <w:szCs w:val="18"/>
                <w:lang w:val="sr-Latn-ME"/>
              </w:rPr>
              <w:t>Ministarstvo</w:t>
            </w:r>
            <w:r w:rsidR="00DB4556">
              <w:rPr>
                <w:rFonts w:ascii="Calibri" w:hAnsi="Calibri"/>
                <w:sz w:val="18"/>
                <w:szCs w:val="18"/>
                <w:lang w:val="sr-Latn-ME"/>
              </w:rPr>
              <w:t xml:space="preserve"> rada i socijalnog staranja</w:t>
            </w:r>
          </w:p>
        </w:tc>
      </w:tr>
    </w:tbl>
    <w:p w:rsidR="00AE65B1" w:rsidRDefault="00026A98" w:rsidP="00AE65B1">
      <w:pPr>
        <w:rPr>
          <w:lang w:val="sr-Latn-ME"/>
        </w:rPr>
      </w:pPr>
      <w:r>
        <w:rPr>
          <w:lang w:val="sr-Latn-ME"/>
        </w:rPr>
        <w:t xml:space="preserve">Podgorica, </w:t>
      </w:r>
      <w:r w:rsidR="00DB4556">
        <w:rPr>
          <w:lang w:val="sr-Latn-ME"/>
        </w:rPr>
        <w:t>19.07.2018.</w:t>
      </w:r>
      <w:r w:rsidR="00AE65B1" w:rsidRPr="002A6002">
        <w:rPr>
          <w:lang w:val="sr-Latn-ME"/>
        </w:rPr>
        <w:t xml:space="preserve"> godine</w:t>
      </w:r>
    </w:p>
    <w:p w:rsidR="00026A98" w:rsidRPr="002A6002" w:rsidRDefault="00026A98" w:rsidP="00AE65B1">
      <w:pPr>
        <w:rPr>
          <w:lang w:val="sr-Latn-ME"/>
        </w:rPr>
      </w:pPr>
    </w:p>
    <w:p w:rsidR="00AE65B1" w:rsidRPr="002A6002" w:rsidRDefault="00AE65B1" w:rsidP="00AE65B1">
      <w:pPr>
        <w:jc w:val="center"/>
        <w:rPr>
          <w:rFonts w:ascii="Calibri" w:hAnsi="Calibri"/>
          <w:b/>
          <w:lang w:val="sr-Latn-ME"/>
        </w:rPr>
      </w:pPr>
      <w:r w:rsidRPr="002A6002">
        <w:rPr>
          <w:b/>
          <w:sz w:val="36"/>
          <w:szCs w:val="36"/>
          <w:lang w:val="sr-Latn-ME"/>
        </w:rPr>
        <w:t>S E K T O R S K A   A N A L I Z A</w:t>
      </w:r>
      <w:r w:rsidRPr="002A6002">
        <w:rPr>
          <w:b/>
          <w:sz w:val="36"/>
          <w:szCs w:val="36"/>
          <w:lang w:val="sr-Latn-ME"/>
        </w:rPr>
        <w:br/>
      </w:r>
      <w:r w:rsidRPr="002A6002">
        <w:rPr>
          <w:rFonts w:ascii="Calibri" w:hAnsi="Calibri"/>
          <w:b/>
          <w:lang w:val="sr-Latn-ME"/>
        </w:rPr>
        <w:t xml:space="preserve">za utvrđivanje predloga prioritetnih oblasti od javnog interesa i potrebnih sredstava </w:t>
      </w:r>
      <w:r w:rsidRPr="002A6002">
        <w:rPr>
          <w:rFonts w:ascii="Calibri" w:hAnsi="Calibri"/>
          <w:b/>
          <w:lang w:val="sr-Latn-ME"/>
        </w:rPr>
        <w:br/>
        <w:t>za finansiranje projekata i programa nevladinih organizacija</w:t>
      </w:r>
      <w:r w:rsidRPr="002A6002">
        <w:rPr>
          <w:rFonts w:ascii="Calibri" w:hAnsi="Calibri"/>
          <w:b/>
          <w:lang w:val="sr-Latn-ME"/>
        </w:rPr>
        <w:br/>
        <w:t xml:space="preserve">iz </w:t>
      </w:r>
      <w:r w:rsidR="00D170E4" w:rsidRPr="002A6002">
        <w:rPr>
          <w:rFonts w:ascii="Calibri" w:hAnsi="Calibri"/>
          <w:b/>
          <w:lang w:val="sr-Latn-ME"/>
        </w:rPr>
        <w:t>B</w:t>
      </w:r>
      <w:r w:rsidRPr="002A6002">
        <w:rPr>
          <w:rFonts w:ascii="Calibri" w:hAnsi="Calibri"/>
          <w:b/>
          <w:lang w:val="sr-Latn-ME"/>
        </w:rPr>
        <w:t>udžeta</w:t>
      </w:r>
      <w:r w:rsidR="00D170E4" w:rsidRPr="002A6002">
        <w:rPr>
          <w:rFonts w:ascii="Calibri" w:hAnsi="Calibri"/>
          <w:b/>
          <w:lang w:val="sr-Latn-ME"/>
        </w:rPr>
        <w:t xml:space="preserve"> Crne Gore</w:t>
      </w:r>
      <w:r w:rsidRPr="002A6002">
        <w:rPr>
          <w:rFonts w:ascii="Calibri" w:hAnsi="Calibri"/>
          <w:b/>
          <w:lang w:val="sr-Latn-ME"/>
        </w:rPr>
        <w:t xml:space="preserve"> u </w:t>
      </w:r>
      <w:r w:rsidR="00560F47">
        <w:rPr>
          <w:rFonts w:ascii="Calibri" w:hAnsi="Calibri"/>
          <w:b/>
          <w:lang w:val="sr-Latn-ME"/>
        </w:rPr>
        <w:t>2019.</w:t>
      </w:r>
      <w:r w:rsidRPr="002A6002">
        <w:rPr>
          <w:rFonts w:ascii="Calibri" w:hAnsi="Calibri"/>
          <w:b/>
          <w:lang w:val="sr-Latn-ME"/>
        </w:rPr>
        <w:t xml:space="preserve"> godini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12"/>
      </w:tblGrid>
      <w:tr w:rsidR="00AE65B1" w:rsidRPr="002A6002" w:rsidTr="004757CE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AE65B1" w:rsidRPr="002A6002" w:rsidRDefault="00AE65B1" w:rsidP="005C0065">
            <w:pPr>
              <w:spacing w:after="0"/>
              <w:jc w:val="both"/>
              <w:rPr>
                <w:i/>
                <w:lang w:val="sr-Latn-ME"/>
              </w:rPr>
            </w:pPr>
            <w:r w:rsidRPr="002A6002">
              <w:rPr>
                <w:i/>
                <w:lang w:val="sr-Latn-ME"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AE65B1" w:rsidRPr="002A6002" w:rsidRDefault="00AE65B1" w:rsidP="00AE65B1">
      <w:pPr>
        <w:rPr>
          <w:lang w:val="sr-Latn-ME"/>
        </w:rPr>
      </w:pPr>
    </w:p>
    <w:p w:rsidR="003E6605" w:rsidRPr="002A6002" w:rsidRDefault="001E36C7" w:rsidP="001E36C7">
      <w:pPr>
        <w:pStyle w:val="ListParagraph"/>
        <w:numPr>
          <w:ilvl w:val="0"/>
          <w:numId w:val="5"/>
        </w:numPr>
        <w:rPr>
          <w:b/>
          <w:u w:val="single"/>
          <w:lang w:val="sr-Latn-ME"/>
        </w:rPr>
      </w:pPr>
      <w:r w:rsidRPr="002A6002">
        <w:rPr>
          <w:b/>
          <w:u w:val="single"/>
          <w:lang w:val="sr-Latn-ME"/>
        </w:rPr>
        <w:t>OBLASTI OD JAVNOG INTERESA U KOJIMA SE PLANIRA FINANSIJSKA PODRŠKA ZA PROJEKTE I PROGRAME NVO</w:t>
      </w:r>
    </w:p>
    <w:p w:rsidR="00035B3D" w:rsidRPr="002A6002" w:rsidRDefault="001E36C7" w:rsidP="00035B3D">
      <w:pPr>
        <w:pStyle w:val="ListParagraph"/>
        <w:numPr>
          <w:ilvl w:val="1"/>
          <w:numId w:val="5"/>
        </w:numPr>
        <w:rPr>
          <w:lang w:val="sr-Latn-ME"/>
        </w:rPr>
      </w:pPr>
      <w:r w:rsidRPr="002A6002">
        <w:rPr>
          <w:lang w:val="sr-Latn-ME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035B3D" w:rsidRPr="002A6002" w:rsidTr="00035B3D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8E6154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Times New Roman" w:hAnsi="Times New Roman"/>
                <w:sz w:val="16"/>
                <w:szCs w:val="16"/>
                <w:lang w:val="sr-Latn-ME"/>
              </w:rPr>
              <w:t>■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zaštita životne sredine</w:t>
            </w:r>
          </w:p>
        </w:tc>
      </w:tr>
      <w:tr w:rsidR="00035B3D" w:rsidRPr="002A6002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poljoprivreda i ruralni razvoj</w:t>
            </w:r>
          </w:p>
        </w:tc>
      </w:tr>
      <w:tr w:rsidR="00035B3D" w:rsidRPr="002A6002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održivi razvoj</w:t>
            </w:r>
          </w:p>
        </w:tc>
      </w:tr>
      <w:tr w:rsidR="00035B3D" w:rsidRPr="002A6002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zaštita potrošača</w:t>
            </w:r>
          </w:p>
        </w:tc>
      </w:tr>
      <w:tr w:rsidR="00035B3D" w:rsidRPr="002A6002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rodna ravnopravnost</w:t>
            </w:r>
          </w:p>
        </w:tc>
      </w:tr>
      <w:tr w:rsidR="00035B3D" w:rsidRPr="002A6002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borba protiv korupcije i organizovanog kriminala</w:t>
            </w:r>
          </w:p>
        </w:tc>
      </w:tr>
      <w:tr w:rsidR="00035B3D" w:rsidRPr="002A6002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borba  protiv  bolesti  zavisnosti</w:t>
            </w:r>
          </w:p>
        </w:tc>
      </w:tr>
      <w:tr w:rsidR="00035B3D" w:rsidRPr="002A6002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lastRenderedPageBreak/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druge  oblasti  od  javnog  interesa  utvrđene posebnim zakonom (navesti koje):  ______________________</w:t>
            </w:r>
            <w:r w:rsidR="00F517FE"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_____________________________________________________________________________</w:t>
            </w: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_________</w:t>
            </w:r>
          </w:p>
        </w:tc>
      </w:tr>
    </w:tbl>
    <w:p w:rsidR="00D170E4" w:rsidRPr="002A6002" w:rsidRDefault="00D170E4" w:rsidP="00D170E4">
      <w:pPr>
        <w:pStyle w:val="ListParagraph"/>
        <w:ind w:left="360"/>
        <w:rPr>
          <w:b/>
          <w:lang w:val="sr-Latn-ME"/>
        </w:rPr>
      </w:pPr>
    </w:p>
    <w:p w:rsidR="00035B3D" w:rsidRPr="002A6002" w:rsidRDefault="001E36C7" w:rsidP="001E36C7">
      <w:pPr>
        <w:pStyle w:val="ListParagraph"/>
        <w:numPr>
          <w:ilvl w:val="0"/>
          <w:numId w:val="5"/>
        </w:numPr>
        <w:rPr>
          <w:b/>
          <w:lang w:val="sr-Latn-ME"/>
        </w:rPr>
      </w:pPr>
      <w:r w:rsidRPr="002A6002">
        <w:rPr>
          <w:b/>
          <w:lang w:val="sr-Latn-ME"/>
        </w:rPr>
        <w:t xml:space="preserve">PRIORITETNI PROBLEMI I POTREBE KOJE TREBA RIJEŠITI U </w:t>
      </w:r>
      <w:r w:rsidR="00560F47">
        <w:rPr>
          <w:b/>
          <w:lang w:val="sr-Latn-ME"/>
        </w:rPr>
        <w:t>2019.</w:t>
      </w:r>
      <w:r w:rsidRPr="002A6002">
        <w:rPr>
          <w:b/>
          <w:lang w:val="sr-Latn-ME"/>
        </w:rPr>
        <w:t xml:space="preserve"> GODINI FINANS</w:t>
      </w:r>
      <w:r w:rsidR="00035B3D" w:rsidRPr="002A6002">
        <w:rPr>
          <w:b/>
          <w:lang w:val="sr-Latn-ME"/>
        </w:rPr>
        <w:t>IRANJEM PROJEKATA I PROGRAMA NVO</w:t>
      </w:r>
    </w:p>
    <w:p w:rsidR="00F517FE" w:rsidRPr="002A6002" w:rsidRDefault="001E36C7" w:rsidP="00031932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2A6002">
        <w:rPr>
          <w:lang w:val="sr-Latn-ME"/>
        </w:rP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0"/>
        <w:gridCol w:w="6750"/>
      </w:tblGrid>
      <w:tr w:rsidR="00510F37" w:rsidRPr="002A6002" w:rsidTr="00B231E9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2A6002" w:rsidRDefault="00510F37" w:rsidP="00510F37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Opis problema:</w:t>
            </w:r>
          </w:p>
        </w:tc>
      </w:tr>
      <w:tr w:rsidR="00510F37" w:rsidRPr="002A6002" w:rsidTr="00510F37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400616" w:rsidRDefault="008E6154" w:rsidP="008E6154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Nakon usvajanja Zakona o zaštiti od nasilja u porodici, donošenja Strategije zaštite od nasilja u porodic</w:t>
            </w:r>
            <w:r w:rsidR="00C4725B">
              <w:rPr>
                <w:rFonts w:ascii="Calibri" w:hAnsi="Calibri"/>
                <w:lang w:val="sr-Latn-ME"/>
              </w:rPr>
              <w:t>i juna 2011.za period 2011-2015</w:t>
            </w:r>
            <w:r w:rsidRPr="002A6002">
              <w:rPr>
                <w:rFonts w:ascii="Calibri" w:hAnsi="Calibri"/>
                <w:lang w:val="sr-Latn-ME"/>
              </w:rPr>
              <w:t xml:space="preserve"> od strane Vlade Crne Gore, kao i potpisivanja Protokola o postupanju novembra 2011</w:t>
            </w:r>
            <w:r w:rsidR="00C4725B">
              <w:rPr>
                <w:rFonts w:ascii="Calibri" w:hAnsi="Calibri"/>
                <w:lang w:val="sr-Latn-ME"/>
              </w:rPr>
              <w:t>. godine</w:t>
            </w:r>
            <w:r w:rsidRPr="002A6002">
              <w:rPr>
                <w:rFonts w:ascii="Calibri" w:hAnsi="Calibri"/>
                <w:lang w:val="sr-Latn-ME"/>
              </w:rPr>
              <w:t>, u Crnoj Gori je zaokružen zakonski i institucionalni okvir za djelovanje u ovoj oblasti. Sa ratifikovanjem Konvencije Savjeta Evrope o suzbijanju i sprječavanju nasilja nad ženama i nasilja u porodici („Istanbulska konvencija“)22. aprila 2013. i njenim stupanjem na snagu 1. avgusta 2014</w:t>
            </w:r>
            <w:r w:rsidR="00C4725B">
              <w:rPr>
                <w:rFonts w:ascii="Calibri" w:hAnsi="Calibri"/>
                <w:lang w:val="sr-Latn-ME"/>
              </w:rPr>
              <w:t>. godine</w:t>
            </w:r>
            <w:r w:rsidRPr="002A6002">
              <w:rPr>
                <w:rFonts w:ascii="Calibri" w:hAnsi="Calibri"/>
                <w:lang w:val="sr-Latn-ME"/>
              </w:rPr>
              <w:t xml:space="preserve">, Crna Gora je preuzela niz novih obaveza koje se  tiču strukturne zabrane diskriminacije i sprovođenja principa „nulte tolerancije” prema nasilju </w:t>
            </w:r>
            <w:r w:rsidR="00400616">
              <w:rPr>
                <w:rFonts w:ascii="Calibri" w:hAnsi="Calibri"/>
                <w:lang w:val="sr-Latn-ME"/>
              </w:rPr>
              <w:t>nad ženama i nasilju u porodici.</w:t>
            </w:r>
          </w:p>
          <w:p w:rsidR="00400616" w:rsidRPr="002A6002" w:rsidRDefault="008E6154" w:rsidP="008E6154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Na osnovu uvida u brojne analize i studije, zvanične i nezavisne izvještaje o sprovođenju Strategije zaštite od nasilja u porodici za period 2011-2015 ,može se zaključiti da je država Crna Gora uglavnom definisala zakonski i institucionalni okvir za sistemsko rješavanje nasilja u porodici, ali da brojni izazovi još uvijek postoje u ovoj oblasti. Izazovi se mogu svrstati u tri grupe: a) društvene vrijednosti i stepen javne svijesti kada je u pitanju nasilje, b) zaštita i podrška žrtvama nasilja i c) pristup pravdi i pravna zaštita žrtava.</w:t>
            </w:r>
          </w:p>
          <w:p w:rsidR="008E6154" w:rsidRPr="004628BC" w:rsidRDefault="008E6154" w:rsidP="008E6154">
            <w:pPr>
              <w:spacing w:after="0"/>
              <w:jc w:val="both"/>
              <w:rPr>
                <w:rFonts w:ascii="Calibri" w:hAnsi="Calibri"/>
                <w:b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 xml:space="preserve">Iako se u društvu polako formira svijest o ravnopravnosti kao željenoj društvenoj vrijednosti i sazrijeva razumijevanje o tome da </w:t>
            </w:r>
            <w:r w:rsidR="00400616">
              <w:rPr>
                <w:rFonts w:ascii="Calibri" w:hAnsi="Calibri"/>
                <w:lang w:val="sr-Latn-ME"/>
              </w:rPr>
              <w:t>se položaj žena mora poboljšati</w:t>
            </w:r>
            <w:r w:rsidRPr="002A6002">
              <w:rPr>
                <w:rFonts w:ascii="Calibri" w:hAnsi="Calibri"/>
                <w:lang w:val="sr-Latn-ME"/>
              </w:rPr>
              <w:t>, u porodici su još uvijek prisutni partijarhalni obrasci i određen stepen tolerancije prema nasilju. Istraživanja pokazuju da su ljudi svjesni da je nasilje u porodici veoma prisutno, ali i da o njemu uglavnom ćute. Većina ne razumije da je nasilje izabrano ponašanje i da je izraz moći i kontrole, a četvrtina ga čak smatra opravdanim, naročito kada su u pitanju bračni ili partnerski odnosi. Isti procenat građanstva smatra da je žrtva kriva jer izaziva nasilje svojim postupcima, kao i da je ostajanje u nasilnoj vezi njen lični izbor, pa samim tim i njena odgovornost. Iako su svjesni šta se dešava, članovi/ce šire porodice najčešće ne žele da se miješaju i nisu spremni da prijave nasilje.</w:t>
            </w:r>
            <w:r w:rsidR="004628BC">
              <w:rPr>
                <w:rFonts w:ascii="Calibri" w:hAnsi="Calibri"/>
                <w:lang w:val="sr-Latn-ME"/>
              </w:rPr>
              <w:t xml:space="preserve"> </w:t>
            </w:r>
            <w:r w:rsidRPr="004628BC">
              <w:rPr>
                <w:rFonts w:ascii="Calibri" w:hAnsi="Calibri"/>
                <w:b/>
                <w:lang w:val="sr-Latn-ME"/>
              </w:rPr>
              <w:t>Tako su žrtve prinuđene da trpe, najviše iz straha za sopstvenu sigurnost i sigurnost djece, ali izbog činjenice da nisu ekonomski samostalne.</w:t>
            </w:r>
            <w:r w:rsidRPr="002A6002">
              <w:rPr>
                <w:rFonts w:ascii="Calibri" w:hAnsi="Calibri"/>
                <w:lang w:val="sr-Latn-ME"/>
              </w:rPr>
              <w:t xml:space="preserve"> </w:t>
            </w:r>
            <w:r w:rsidRPr="004628BC">
              <w:rPr>
                <w:rFonts w:ascii="Calibri" w:hAnsi="Calibri"/>
                <w:b/>
                <w:lang w:val="sr-Latn-ME"/>
              </w:rPr>
              <w:t>Čak i kada prijave nasilje, žrtve često odustaju od gonjenja, jer nemaju snage da izađu na kraj sa zahtjevnim procedurama, strahom od nasilnika, nedostatkom podrške šire porodice i strepnjom da im institucije neće pomoći da trajno riješe problem. Zato se mnoge vraćaju nasilniku, naročito ako imaju djecu i ekonomski zavise od njega, što izaziva nove osude okoline i ponavljanje nasilja.</w:t>
            </w:r>
          </w:p>
          <w:p w:rsidR="00BD2076" w:rsidRDefault="00400616" w:rsidP="00400616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 w:rsidRPr="00400616">
              <w:rPr>
                <w:rFonts w:ascii="Calibri" w:hAnsi="Calibri"/>
                <w:lang w:val="sr-Latn-ME"/>
              </w:rPr>
              <w:t xml:space="preserve">Istraživanje </w:t>
            </w:r>
            <w:r>
              <w:rPr>
                <w:rFonts w:ascii="Calibri" w:hAnsi="Calibri"/>
                <w:lang w:val="sr-Latn-ME"/>
              </w:rPr>
              <w:t>koje je sprovela</w:t>
            </w:r>
            <w:r w:rsidRPr="00400616">
              <w:rPr>
                <w:rFonts w:ascii="Calibri" w:hAnsi="Calibri"/>
                <w:lang w:val="sr-Latn-ME"/>
              </w:rPr>
              <w:t xml:space="preserve"> Kancelarija Programa Ujedinjenih nacija za razvoj (UNDP) u Crnoj Gori u saradnji sa Ministarstv</w:t>
            </w:r>
            <w:r>
              <w:rPr>
                <w:rFonts w:ascii="Calibri" w:hAnsi="Calibri"/>
                <w:lang w:val="sr-Latn-ME"/>
              </w:rPr>
              <w:t xml:space="preserve">om za ljudska i manjinska prava </w:t>
            </w:r>
            <w:r w:rsidRPr="00400616">
              <w:rPr>
                <w:rFonts w:ascii="Calibri" w:hAnsi="Calibri"/>
                <w:lang w:val="sr-Latn-ME"/>
              </w:rPr>
              <w:t>u okviru Programa „Podrška antidiskriminacionim i politikama rodne ravnopravnosti“, koji finansira Delegaci</w:t>
            </w:r>
            <w:r>
              <w:rPr>
                <w:rFonts w:ascii="Calibri" w:hAnsi="Calibri"/>
                <w:lang w:val="sr-Latn-ME"/>
              </w:rPr>
              <w:t>ja Evropske unije u Crnoj Gori u 2017. godini govori o poražavajućim podacima o stavovima društva prema porodici i nasilju.</w:t>
            </w:r>
            <w:r w:rsidR="00AC58B0">
              <w:rPr>
                <w:rFonts w:ascii="Calibri" w:hAnsi="Calibri"/>
                <w:lang w:val="sr-Latn-ME"/>
              </w:rPr>
              <w:t xml:space="preserve"> </w:t>
            </w:r>
            <w:r>
              <w:rPr>
                <w:rFonts w:ascii="Calibri" w:hAnsi="Calibri"/>
                <w:lang w:val="sr-Latn-ME"/>
              </w:rPr>
              <w:t xml:space="preserve">Čak </w:t>
            </w:r>
            <w:r w:rsidRPr="00400616">
              <w:rPr>
                <w:rFonts w:ascii="Calibri" w:hAnsi="Calibri"/>
                <w:lang w:val="sr-Latn-ME"/>
              </w:rPr>
              <w:t xml:space="preserve">četiri od deset </w:t>
            </w:r>
            <w:r w:rsidRPr="00400616">
              <w:rPr>
                <w:rFonts w:ascii="Calibri" w:hAnsi="Calibri"/>
                <w:lang w:val="sr-Latn-ME"/>
              </w:rPr>
              <w:lastRenderedPageBreak/>
              <w:t>građana smatra da je prioritetnije očuvati brak naspram očuvanja prava pojedinca</w:t>
            </w:r>
            <w:r>
              <w:rPr>
                <w:rFonts w:ascii="Calibri" w:hAnsi="Calibri"/>
                <w:lang w:val="sr-Latn-ME"/>
              </w:rPr>
              <w:t xml:space="preserve">. </w:t>
            </w:r>
            <w:r w:rsidR="00AC58B0" w:rsidRPr="00AC58B0">
              <w:rPr>
                <w:rFonts w:ascii="Calibri" w:hAnsi="Calibri"/>
                <w:lang w:val="sr-Latn-ME"/>
              </w:rPr>
              <w:t>Skoro dv</w:t>
            </w:r>
            <w:r w:rsidR="00BD2076">
              <w:rPr>
                <w:rFonts w:ascii="Calibri" w:hAnsi="Calibri"/>
                <w:lang w:val="sr-Latn-ME"/>
              </w:rPr>
              <w:t>ije</w:t>
            </w:r>
            <w:r w:rsidR="00AC58B0" w:rsidRPr="00AC58B0">
              <w:rPr>
                <w:rFonts w:ascii="Calibri" w:hAnsi="Calibri"/>
                <w:lang w:val="sr-Latn-ME"/>
              </w:rPr>
              <w:t>e trećine građana (61%) smatra da je ovo važan problem, ali da nije među prioritetnim, a među građanima sa ovakvim stavom se češće od pros</w:t>
            </w:r>
            <w:r w:rsidR="00BD2076">
              <w:rPr>
                <w:rFonts w:ascii="Calibri" w:hAnsi="Calibri"/>
                <w:lang w:val="sr-Latn-ME"/>
              </w:rPr>
              <w:t>j</w:t>
            </w:r>
            <w:r w:rsidR="00AC58B0" w:rsidRPr="00AC58B0">
              <w:rPr>
                <w:rFonts w:ascii="Calibri" w:hAnsi="Calibri"/>
                <w:lang w:val="sr-Latn-ME"/>
              </w:rPr>
              <w:t>eka ističu građani koji vjeruju da nije potrebno svaki slučaj nasilja prijaviti nadležnim institucijama</w:t>
            </w:r>
            <w:r w:rsidR="00AC58B0">
              <w:rPr>
                <w:rFonts w:ascii="Calibri" w:hAnsi="Calibri"/>
                <w:lang w:val="sr-Latn-ME"/>
              </w:rPr>
              <w:t xml:space="preserve">. </w:t>
            </w:r>
            <w:r w:rsidR="00AC58B0" w:rsidRPr="004628BC">
              <w:rPr>
                <w:rFonts w:ascii="Calibri" w:hAnsi="Calibri"/>
                <w:b/>
                <w:lang w:val="sr-Latn-ME"/>
              </w:rPr>
              <w:t>Za dv</w:t>
            </w:r>
            <w:r w:rsidR="00BD2076" w:rsidRPr="004628BC">
              <w:rPr>
                <w:rFonts w:ascii="Calibri" w:hAnsi="Calibri"/>
                <w:b/>
                <w:lang w:val="sr-Latn-ME"/>
              </w:rPr>
              <w:t>ij</w:t>
            </w:r>
            <w:r w:rsidR="00AC58B0" w:rsidRPr="004628BC">
              <w:rPr>
                <w:rFonts w:ascii="Calibri" w:hAnsi="Calibri"/>
                <w:b/>
                <w:lang w:val="sr-Latn-ME"/>
              </w:rPr>
              <w:t>e trećine građana Crne Gore (67%) prijavljivanje slučajeva nasilja nadležnim institucijama češće vodi ka razvodu, odnosno ka razdaranju porodice nego ka očuvanju porodice.</w:t>
            </w:r>
            <w:r w:rsidR="00AC58B0">
              <w:rPr>
                <w:rFonts w:ascii="Calibri" w:hAnsi="Calibri"/>
                <w:lang w:val="sr-Latn-ME"/>
              </w:rPr>
              <w:t xml:space="preserve"> </w:t>
            </w:r>
            <w:r w:rsidR="00561268" w:rsidRPr="00561268">
              <w:rPr>
                <w:rFonts w:ascii="Calibri" w:hAnsi="Calibri"/>
                <w:lang w:val="sr-Latn-ME"/>
              </w:rPr>
              <w:t>Dv</w:t>
            </w:r>
            <w:r w:rsidR="00BD2076">
              <w:rPr>
                <w:rFonts w:ascii="Calibri" w:hAnsi="Calibri"/>
                <w:lang w:val="sr-Latn-ME"/>
              </w:rPr>
              <w:t>ij</w:t>
            </w:r>
            <w:r w:rsidR="00561268" w:rsidRPr="00561268">
              <w:rPr>
                <w:rFonts w:ascii="Calibri" w:hAnsi="Calibri"/>
                <w:lang w:val="sr-Latn-ME"/>
              </w:rPr>
              <w:t>e trećine građana koji su prethodno istakli da su lično upoznati sa slučajevima nasilja u porodici (68% od 30% ukupne populacije) ističe da je pokušalo da pomogne žrtvi na neki način, dok je kod jedne trećine ove popu</w:t>
            </w:r>
            <w:r w:rsidR="00BD2076">
              <w:rPr>
                <w:rFonts w:ascii="Calibri" w:hAnsi="Calibri"/>
                <w:lang w:val="sr-Latn-ME"/>
              </w:rPr>
              <w:t xml:space="preserve">lacije ovakva rekacija izostala. </w:t>
            </w:r>
            <w:r w:rsidR="00561268" w:rsidRPr="00561268">
              <w:rPr>
                <w:rFonts w:ascii="Calibri" w:hAnsi="Calibri"/>
                <w:lang w:val="sr-Latn-ME"/>
              </w:rPr>
              <w:t>Pružanje pomoći ovim žrtvama se najčešće odigravalo vaninstitucionalno – 47% građana navodi da je razgovaralo sa žrtvom ili i žrtvom i nasilnikom, 17% njih je sav</w:t>
            </w:r>
            <w:r w:rsidR="00BD2076">
              <w:rPr>
                <w:rFonts w:ascii="Calibri" w:hAnsi="Calibri"/>
                <w:lang w:val="sr-Latn-ME"/>
              </w:rPr>
              <w:t>j</w:t>
            </w:r>
            <w:r w:rsidR="00561268" w:rsidRPr="00561268">
              <w:rPr>
                <w:rFonts w:ascii="Calibri" w:hAnsi="Calibri"/>
                <w:lang w:val="sr-Latn-ME"/>
              </w:rPr>
              <w:t>etovalo žrtvi da se razvede, a 11% je direktno zaštitilo žrtvu.</w:t>
            </w:r>
            <w:r w:rsidR="00561268">
              <w:rPr>
                <w:rFonts w:ascii="Calibri" w:hAnsi="Calibri"/>
                <w:lang w:val="sr-Latn-ME"/>
              </w:rPr>
              <w:t xml:space="preserve"> </w:t>
            </w:r>
            <w:r w:rsidR="00561268" w:rsidRPr="00561268">
              <w:rPr>
                <w:rFonts w:ascii="Calibri" w:hAnsi="Calibri"/>
                <w:lang w:val="sr-Latn-ME"/>
              </w:rPr>
              <w:t>Sa druge strane, građani koji su prethodno naveli da nisu pružili pomoć žrtvama nasilja u porodici (32% onih koji su upoznati sa slučajevima, odnosno 10% ukupne populacije) opravdanje za izostanak reakcije najčešće nalaze u viđenju nasilja u porodici kao privatne stvari u koju se ne treba m</w:t>
            </w:r>
            <w:r w:rsidR="00BD2076">
              <w:rPr>
                <w:rFonts w:ascii="Calibri" w:hAnsi="Calibri"/>
                <w:lang w:val="sr-Latn-ME"/>
              </w:rPr>
              <w:t>ij</w:t>
            </w:r>
            <w:r w:rsidR="00561268" w:rsidRPr="00561268">
              <w:rPr>
                <w:rFonts w:ascii="Calibri" w:hAnsi="Calibri"/>
                <w:lang w:val="sr-Latn-ME"/>
              </w:rPr>
              <w:t>ešati.</w:t>
            </w:r>
            <w:r w:rsidR="00561268">
              <w:rPr>
                <w:rFonts w:ascii="Calibri" w:hAnsi="Calibri"/>
                <w:lang w:val="sr-Latn-ME"/>
              </w:rPr>
              <w:t xml:space="preserve"> </w:t>
            </w:r>
          </w:p>
          <w:p w:rsidR="00400616" w:rsidRDefault="00561268" w:rsidP="00400616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 w:rsidRPr="00561268">
              <w:rPr>
                <w:rFonts w:ascii="Calibri" w:hAnsi="Calibri"/>
                <w:lang w:val="sr-Latn-ME"/>
              </w:rPr>
              <w:t xml:space="preserve">U Crnoj Gori znatan procenat žena između 15 i 65 godina je bio izložen partnerskom nasilju: </w:t>
            </w:r>
            <w:r w:rsidRPr="004628BC">
              <w:rPr>
                <w:rFonts w:ascii="Calibri" w:hAnsi="Calibri"/>
                <w:b/>
                <w:lang w:val="sr-Latn-ME"/>
              </w:rPr>
              <w:t>čak 42% žena koje su imale, ili sada imaju muškog partnera, tokom života je imalo iskustvo sa bar jednim od četiri ispitivana tipa partnerskog nasilja - psihičkim, ekonomskim, fizičkim ili seksualnim</w:t>
            </w:r>
            <w:r w:rsidRPr="00561268">
              <w:rPr>
                <w:rFonts w:ascii="Calibri" w:hAnsi="Calibri"/>
                <w:lang w:val="sr-Latn-ME"/>
              </w:rPr>
              <w:t>, a 18% tokom poslednjih 12 m</w:t>
            </w:r>
            <w:r w:rsidR="00BD2076">
              <w:rPr>
                <w:rFonts w:ascii="Calibri" w:hAnsi="Calibri"/>
                <w:lang w:val="sr-Latn-ME"/>
              </w:rPr>
              <w:t>j</w:t>
            </w:r>
            <w:r w:rsidRPr="00561268">
              <w:rPr>
                <w:rFonts w:ascii="Calibri" w:hAnsi="Calibri"/>
                <w:lang w:val="sr-Latn-ME"/>
              </w:rPr>
              <w:t>eseci pr</w:t>
            </w:r>
            <w:r w:rsidR="00BD2076">
              <w:rPr>
                <w:rFonts w:ascii="Calibri" w:hAnsi="Calibri"/>
                <w:lang w:val="sr-Latn-ME"/>
              </w:rPr>
              <w:t>ij</w:t>
            </w:r>
            <w:r w:rsidRPr="00561268">
              <w:rPr>
                <w:rFonts w:ascii="Calibri" w:hAnsi="Calibri"/>
                <w:lang w:val="sr-Latn-ME"/>
              </w:rPr>
              <w:t>e istraživanja</w:t>
            </w:r>
            <w:r>
              <w:rPr>
                <w:rFonts w:ascii="Calibri" w:hAnsi="Calibri"/>
                <w:lang w:val="sr-Latn-ME"/>
              </w:rPr>
              <w:t xml:space="preserve">. </w:t>
            </w:r>
            <w:r w:rsidRPr="00561268">
              <w:rPr>
                <w:rFonts w:ascii="Calibri" w:hAnsi="Calibri"/>
                <w:lang w:val="sr-Latn-ME"/>
              </w:rPr>
              <w:t>Žene u Crnoj gori najčešće su izložene psihičkom nasilju: 38% žena doživ</w:t>
            </w:r>
            <w:r w:rsidR="00BD2076">
              <w:rPr>
                <w:rFonts w:ascii="Calibri" w:hAnsi="Calibri"/>
                <w:lang w:val="sr-Latn-ME"/>
              </w:rPr>
              <w:t>j</w:t>
            </w:r>
            <w:r w:rsidRPr="00561268">
              <w:rPr>
                <w:rFonts w:ascii="Calibri" w:hAnsi="Calibri"/>
                <w:lang w:val="sr-Latn-ME"/>
              </w:rPr>
              <w:t>elo je bar nekad tokom života bar neku formu ovog nasilja, a 16% u poslednjih 12 m</w:t>
            </w:r>
            <w:r w:rsidR="00BD2076">
              <w:rPr>
                <w:rFonts w:ascii="Calibri" w:hAnsi="Calibri"/>
                <w:lang w:val="sr-Latn-ME"/>
              </w:rPr>
              <w:t>j</w:t>
            </w:r>
            <w:r w:rsidRPr="00561268">
              <w:rPr>
                <w:rFonts w:ascii="Calibri" w:hAnsi="Calibri"/>
                <w:lang w:val="sr-Latn-ME"/>
              </w:rPr>
              <w:t>eseci</w:t>
            </w:r>
            <w:r w:rsidR="00BD2076">
              <w:rPr>
                <w:rFonts w:ascii="Calibri" w:hAnsi="Calibri"/>
                <w:lang w:val="sr-Latn-ME"/>
              </w:rPr>
              <w:t xml:space="preserve"> prije istraživanja</w:t>
            </w:r>
            <w:r w:rsidRPr="00561268">
              <w:rPr>
                <w:rFonts w:ascii="Calibri" w:hAnsi="Calibri"/>
                <w:lang w:val="sr-Latn-ME"/>
              </w:rPr>
              <w:t>. Svaka peta žena doživ</w:t>
            </w:r>
            <w:r w:rsidR="00BD2076">
              <w:rPr>
                <w:rFonts w:ascii="Calibri" w:hAnsi="Calibri"/>
                <w:lang w:val="sr-Latn-ME"/>
              </w:rPr>
              <w:t>j</w:t>
            </w:r>
            <w:r w:rsidRPr="00561268">
              <w:rPr>
                <w:rFonts w:ascii="Calibri" w:hAnsi="Calibri"/>
                <w:lang w:val="sr-Latn-ME"/>
              </w:rPr>
              <w:t>ela je bar neku formu ekonomskog nasilja, a 8% u poslenjih 12 m</w:t>
            </w:r>
            <w:r w:rsidR="00BD2076">
              <w:rPr>
                <w:rFonts w:ascii="Calibri" w:hAnsi="Calibri"/>
                <w:lang w:val="sr-Latn-ME"/>
              </w:rPr>
              <w:t>j</w:t>
            </w:r>
            <w:r w:rsidRPr="00561268">
              <w:rPr>
                <w:rFonts w:ascii="Calibri" w:hAnsi="Calibri"/>
                <w:lang w:val="sr-Latn-ME"/>
              </w:rPr>
              <w:t>eseci</w:t>
            </w:r>
            <w:r w:rsidR="00BD2076">
              <w:rPr>
                <w:rFonts w:ascii="Calibri" w:hAnsi="Calibri"/>
                <w:lang w:val="sr-Latn-ME"/>
              </w:rPr>
              <w:t xml:space="preserve"> prije istraživanja</w:t>
            </w:r>
            <w:r w:rsidRPr="00561268">
              <w:rPr>
                <w:rFonts w:ascii="Calibri" w:hAnsi="Calibri"/>
                <w:lang w:val="sr-Latn-ME"/>
              </w:rPr>
              <w:t xml:space="preserve">. </w:t>
            </w:r>
            <w:r w:rsidRPr="004628BC">
              <w:rPr>
                <w:rFonts w:ascii="Calibri" w:hAnsi="Calibri"/>
                <w:b/>
                <w:lang w:val="sr-Latn-ME"/>
              </w:rPr>
              <w:t>Fizičko nasilje u bar nekom obliku doživ</w:t>
            </w:r>
            <w:r w:rsidR="00BD2076" w:rsidRPr="004628BC">
              <w:rPr>
                <w:rFonts w:ascii="Calibri" w:hAnsi="Calibri"/>
                <w:b/>
                <w:lang w:val="sr-Latn-ME"/>
              </w:rPr>
              <w:t>j</w:t>
            </w:r>
            <w:r w:rsidRPr="004628BC">
              <w:rPr>
                <w:rFonts w:ascii="Calibri" w:hAnsi="Calibri"/>
                <w:b/>
                <w:lang w:val="sr-Latn-ME"/>
              </w:rPr>
              <w:t>elo je 17% žena</w:t>
            </w:r>
            <w:r w:rsidRPr="00561268">
              <w:rPr>
                <w:rFonts w:ascii="Calibri" w:hAnsi="Calibri"/>
                <w:lang w:val="sr-Latn-ME"/>
              </w:rPr>
              <w:t>, a 3% tokom poslednjih 12 m</w:t>
            </w:r>
            <w:r w:rsidR="00BD2076">
              <w:rPr>
                <w:rFonts w:ascii="Calibri" w:hAnsi="Calibri"/>
                <w:lang w:val="sr-Latn-ME"/>
              </w:rPr>
              <w:t>j</w:t>
            </w:r>
            <w:r w:rsidRPr="00561268">
              <w:rPr>
                <w:rFonts w:ascii="Calibri" w:hAnsi="Calibri"/>
                <w:lang w:val="sr-Latn-ME"/>
              </w:rPr>
              <w:t>eseci. Najmanji procenat žena saopštio je iskustvo sa seksualnim nasiljem, 7% bar neku formu tokom života, a 3% u poslednjih 12 m</w:t>
            </w:r>
            <w:r w:rsidR="00BD2076">
              <w:rPr>
                <w:rFonts w:ascii="Calibri" w:hAnsi="Calibri"/>
                <w:lang w:val="sr-Latn-ME"/>
              </w:rPr>
              <w:t>j</w:t>
            </w:r>
            <w:r w:rsidRPr="00561268">
              <w:rPr>
                <w:rFonts w:ascii="Calibri" w:hAnsi="Calibri"/>
                <w:lang w:val="sr-Latn-ME"/>
              </w:rPr>
              <w:t>eseci</w:t>
            </w:r>
            <w:r>
              <w:rPr>
                <w:rFonts w:ascii="Calibri" w:hAnsi="Calibri"/>
                <w:lang w:val="sr-Latn-ME"/>
              </w:rPr>
              <w:t xml:space="preserve">. </w:t>
            </w:r>
            <w:r w:rsidR="00BD2076" w:rsidRPr="00BD2076">
              <w:rPr>
                <w:rFonts w:ascii="Calibri" w:hAnsi="Calibri"/>
                <w:lang w:val="sr-Latn-ME"/>
              </w:rPr>
              <w:t xml:space="preserve">Za same žrtve iskustva nasilja češto predstavljaju traumatske događaje koje ne mogu same da prevaziđu. </w:t>
            </w:r>
            <w:r w:rsidR="00BD2076" w:rsidRPr="004628BC">
              <w:rPr>
                <w:rFonts w:ascii="Calibri" w:hAnsi="Calibri"/>
                <w:b/>
                <w:lang w:val="sr-Latn-ME"/>
              </w:rPr>
              <w:t>Usljed straha od reakcija drugih ljudi, straha od nasilnika i osjećaja sramote i poniženosti, one se često ne usuđuju da o iskustvima nasilja razgovaraju sa bilo kim iz svoje okoline, što nerijetko samo pogoršava njihovo psihičko stanje, izoluje ih iz sredine i tako čini još zavisnijim od nasilnika.</w:t>
            </w:r>
            <w:r w:rsidR="00BD2076" w:rsidRPr="00BD2076">
              <w:rPr>
                <w:rFonts w:ascii="Calibri" w:hAnsi="Calibri"/>
                <w:lang w:val="sr-Latn-ME"/>
              </w:rPr>
              <w:t xml:space="preserve"> Stoga, potrebno je omogućiti žrtvama nasilja da o svojim iskustvima u sigurnoj i podržavajućoj atmos</w:t>
            </w:r>
            <w:r w:rsidR="00BD2076">
              <w:rPr>
                <w:rFonts w:ascii="Calibri" w:hAnsi="Calibri"/>
                <w:lang w:val="sr-Latn-ME"/>
              </w:rPr>
              <w:t xml:space="preserve">feri razgovaraju sa stručnjacima. </w:t>
            </w:r>
            <w:r w:rsidR="00BD2076" w:rsidRPr="00BD2076">
              <w:rPr>
                <w:rFonts w:ascii="Calibri" w:hAnsi="Calibri"/>
                <w:lang w:val="sr-Latn-ME"/>
              </w:rPr>
              <w:t>Besplatan terapeutski rad višestruko bi bio d</w:t>
            </w:r>
            <w:r w:rsidR="00BD2076">
              <w:rPr>
                <w:rFonts w:ascii="Calibri" w:hAnsi="Calibri"/>
                <w:lang w:val="sr-Latn-ME"/>
              </w:rPr>
              <w:t>j</w:t>
            </w:r>
            <w:r w:rsidR="00BD2076" w:rsidRPr="00BD2076">
              <w:rPr>
                <w:rFonts w:ascii="Calibri" w:hAnsi="Calibri"/>
                <w:lang w:val="sr-Latn-ME"/>
              </w:rPr>
              <w:t>elotvoran za žrtve, između ostalog osnažujući ih da prijave nasilnike i istraju u procesima.</w:t>
            </w:r>
          </w:p>
          <w:p w:rsidR="00561268" w:rsidRDefault="00BD2076" w:rsidP="00400616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Takođe, u</w:t>
            </w:r>
            <w:r w:rsidR="00561268">
              <w:rPr>
                <w:rFonts w:ascii="Calibri" w:hAnsi="Calibri"/>
                <w:lang w:val="sr-Latn-ME"/>
              </w:rPr>
              <w:t xml:space="preserve"> sklopu ove analize rađeno je istraživanje o multisektorskom pristupu nasilju nad ženama, kao i o reagovanju institucija u slučajevima nasilja.</w:t>
            </w:r>
          </w:p>
          <w:p w:rsidR="00BD2076" w:rsidRPr="00042A84" w:rsidRDefault="00BD2076" w:rsidP="00042A84">
            <w:pPr>
              <w:spacing w:after="0"/>
              <w:jc w:val="both"/>
              <w:rPr>
                <w:rFonts w:ascii="Calibri" w:hAnsi="Calibri"/>
                <w:b/>
                <w:lang w:val="sr-Latn-ME"/>
              </w:rPr>
            </w:pPr>
            <w:r w:rsidRPr="004628BC">
              <w:rPr>
                <w:rFonts w:ascii="Calibri" w:hAnsi="Calibri"/>
                <w:b/>
                <w:lang w:val="sr-Latn-ME"/>
              </w:rPr>
              <w:t>Kao trenutno najproblematičniji segment postupanja po Protokolu o postupanju, prevenciji i zaštiti od nasilja većina predstavnika institucija izdvojila je inicijalno zbrinjavanje žrtava i nedostatak resursa za to, kako novčanih tako i prostornih. Po mišljenju mnogih to je prelomni trenutak u kojem je važno pružiti podršku žrtvi, kako ona ne bi odustala od narednih faza procesa i vratila se nasilniku usl</w:t>
            </w:r>
            <w:r w:rsidR="00DF4537" w:rsidRPr="004628BC">
              <w:rPr>
                <w:rFonts w:ascii="Calibri" w:hAnsi="Calibri"/>
                <w:b/>
                <w:lang w:val="sr-Latn-ME"/>
              </w:rPr>
              <w:t>j</w:t>
            </w:r>
            <w:r w:rsidRPr="004628BC">
              <w:rPr>
                <w:rFonts w:ascii="Calibri" w:hAnsi="Calibri"/>
                <w:b/>
                <w:lang w:val="sr-Latn-ME"/>
              </w:rPr>
              <w:t>ed toga što joj nisu zadovoljene egzistencijalne potrebe.</w:t>
            </w:r>
          </w:p>
        </w:tc>
      </w:tr>
      <w:tr w:rsidR="00510F37" w:rsidRPr="002A6002" w:rsidTr="00C95284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2A6002" w:rsidRDefault="00510F37" w:rsidP="00510F37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2A6002" w:rsidRDefault="00510F37" w:rsidP="00510F37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Izvor(i) podataka</w:t>
            </w:r>
          </w:p>
        </w:tc>
      </w:tr>
      <w:tr w:rsidR="00510F37" w:rsidRPr="002A6002" w:rsidTr="00510F37">
        <w:tc>
          <w:tcPr>
            <w:tcW w:w="6884" w:type="dxa"/>
            <w:tcMar>
              <w:top w:w="57" w:type="dxa"/>
              <w:bottom w:w="57" w:type="dxa"/>
            </w:tcMar>
          </w:tcPr>
          <w:p w:rsidR="000B7F68" w:rsidRDefault="000B7F68" w:rsidP="000B7F68">
            <w:pPr>
              <w:spacing w:after="0"/>
              <w:rPr>
                <w:rFonts w:ascii="Calibri" w:hAnsi="Calibri"/>
                <w:lang w:val="sr-Latn-ME"/>
              </w:rPr>
            </w:pPr>
            <w:r w:rsidRPr="000B7F68">
              <w:rPr>
                <w:rFonts w:ascii="Calibri" w:hAnsi="Calibri"/>
                <w:lang w:val="sr-Latn-ME"/>
              </w:rPr>
              <w:t>Ustav Crne Gore („Službeni list Crne Gore“ br. 001/07 i br. 038/13)</w:t>
            </w:r>
          </w:p>
          <w:p w:rsidR="000B7F68" w:rsidRPr="000B7F68" w:rsidRDefault="000B7F68" w:rsidP="000B7F68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042A84" w:rsidRDefault="00042A84" w:rsidP="000B7F68">
            <w:pPr>
              <w:spacing w:after="0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lastRenderedPageBreak/>
              <w:t>Zakon o socijalnoj i dječjoj zaštiti</w:t>
            </w:r>
          </w:p>
          <w:p w:rsidR="000B7F68" w:rsidRDefault="000B7F68" w:rsidP="00510F37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510F37" w:rsidRPr="002A6002" w:rsidRDefault="005428BA" w:rsidP="00510F37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Strategija zaštite od nasilja u prodici 2011-2015</w:t>
            </w:r>
          </w:p>
          <w:p w:rsidR="00A130E2" w:rsidRPr="002A6002" w:rsidRDefault="00A130E2" w:rsidP="00510F37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5428BA" w:rsidRPr="002A6002" w:rsidRDefault="005428BA" w:rsidP="00510F37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Strategija zaštite od nasilja u porodici 2016-2021</w:t>
            </w:r>
          </w:p>
          <w:p w:rsidR="00A130E2" w:rsidRPr="002A6002" w:rsidRDefault="00A130E2" w:rsidP="00510F37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A130E2" w:rsidRDefault="00A130E2" w:rsidP="00DF4537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Nasilje u porodici- Istraživanje</w:t>
            </w:r>
          </w:p>
          <w:p w:rsidR="00351FC9" w:rsidRDefault="00351FC9" w:rsidP="00DF4537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351FC9" w:rsidRPr="00351FC9" w:rsidRDefault="00351FC9" w:rsidP="00DF4537">
            <w:pPr>
              <w:spacing w:after="0"/>
              <w:rPr>
                <w:rFonts w:ascii="Calibri" w:hAnsi="Calibri"/>
                <w:lang w:val="sr-Latn-ME"/>
              </w:rPr>
            </w:pPr>
            <w:r w:rsidRPr="00351FC9">
              <w:rPr>
                <w:rFonts w:ascii="Calibri" w:hAnsi="Calibri"/>
                <w:lang w:val="sr-Latn-ME"/>
              </w:rPr>
              <w:t>Zaključna zapažanja o drugom periodičnom izvještaju Crne Gore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0B7F68" w:rsidRDefault="00A130E2" w:rsidP="00510F37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lastRenderedPageBreak/>
              <w:t xml:space="preserve"> </w:t>
            </w:r>
            <w:r w:rsidR="000B7F68">
              <w:rPr>
                <w:rFonts w:ascii="Calibri" w:hAnsi="Calibri"/>
                <w:lang w:val="sr-Latn-ME"/>
              </w:rPr>
              <w:t>Ustav Crne Gore</w:t>
            </w:r>
          </w:p>
          <w:p w:rsidR="000B7F68" w:rsidRDefault="000B7F68" w:rsidP="00510F37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0B7F68" w:rsidRDefault="00042A84" w:rsidP="00510F37">
            <w:pPr>
              <w:spacing w:after="0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lastRenderedPageBreak/>
              <w:t>Zakon o socijalnoj i dječjoj zaštiti</w:t>
            </w:r>
          </w:p>
          <w:p w:rsidR="000B7F68" w:rsidRDefault="000B7F68" w:rsidP="00510F37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510F37" w:rsidRPr="002A6002" w:rsidRDefault="00A130E2" w:rsidP="00510F37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 xml:space="preserve">Ministarstvo rada </w:t>
            </w:r>
            <w:r w:rsidR="00233060">
              <w:rPr>
                <w:rFonts w:ascii="Calibri" w:hAnsi="Calibri"/>
                <w:lang w:val="sr-Latn-ME"/>
              </w:rPr>
              <w:t>i</w:t>
            </w:r>
            <w:r w:rsidRPr="002A6002">
              <w:rPr>
                <w:rFonts w:ascii="Calibri" w:hAnsi="Calibri"/>
                <w:lang w:val="sr-Latn-ME"/>
              </w:rPr>
              <w:t xml:space="preserve"> socijalnog staranja</w:t>
            </w:r>
          </w:p>
          <w:p w:rsidR="00A130E2" w:rsidRPr="002A6002" w:rsidRDefault="00A130E2" w:rsidP="00510F37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A130E2" w:rsidRPr="002A6002" w:rsidRDefault="00A130E2" w:rsidP="00510F37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 xml:space="preserve">Ministarstvo rada </w:t>
            </w:r>
            <w:r w:rsidR="00233060">
              <w:rPr>
                <w:rFonts w:ascii="Calibri" w:hAnsi="Calibri"/>
                <w:lang w:val="sr-Latn-ME"/>
              </w:rPr>
              <w:t>i</w:t>
            </w:r>
            <w:r w:rsidRPr="002A6002">
              <w:rPr>
                <w:rFonts w:ascii="Calibri" w:hAnsi="Calibri"/>
                <w:lang w:val="sr-Latn-ME"/>
              </w:rPr>
              <w:t xml:space="preserve"> socijalnog staranja</w:t>
            </w:r>
          </w:p>
          <w:p w:rsidR="00A130E2" w:rsidRPr="002A6002" w:rsidRDefault="00A130E2" w:rsidP="00510F37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A130E2" w:rsidRDefault="00A130E2" w:rsidP="00DF4537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UNDP</w:t>
            </w:r>
          </w:p>
          <w:p w:rsidR="00351FC9" w:rsidRDefault="00351FC9" w:rsidP="00DF4537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351FC9" w:rsidRPr="00351FC9" w:rsidRDefault="00351FC9" w:rsidP="00351FC9">
            <w:pPr>
              <w:spacing w:after="0"/>
              <w:rPr>
                <w:rFonts w:ascii="Calibri" w:hAnsi="Calibri"/>
                <w:lang w:val="sr-Latn-ME"/>
              </w:rPr>
            </w:pPr>
            <w:r w:rsidRPr="00351FC9">
              <w:rPr>
                <w:rFonts w:ascii="Calibri" w:hAnsi="Calibri"/>
                <w:lang w:val="sr-Latn-ME"/>
              </w:rPr>
              <w:t>Komitet za eliminaciju diskriminacije žena</w:t>
            </w:r>
          </w:p>
          <w:p w:rsidR="00351FC9" w:rsidRPr="002A6002" w:rsidRDefault="00351FC9" w:rsidP="00DF4537">
            <w:pPr>
              <w:spacing w:after="0"/>
              <w:rPr>
                <w:rFonts w:ascii="Calibri" w:hAnsi="Calibri"/>
                <w:lang w:val="sr-Latn-ME"/>
              </w:rPr>
            </w:pPr>
          </w:p>
        </w:tc>
      </w:tr>
    </w:tbl>
    <w:p w:rsidR="0026502A" w:rsidRPr="002A6002" w:rsidRDefault="0026502A" w:rsidP="00510F37">
      <w:pPr>
        <w:ind w:left="792"/>
        <w:rPr>
          <w:lang w:val="sr-Latn-ME"/>
        </w:rPr>
      </w:pPr>
    </w:p>
    <w:p w:rsidR="00F517FE" w:rsidRPr="002A6002" w:rsidRDefault="001E36C7" w:rsidP="00631376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2A6002">
        <w:rPr>
          <w:lang w:val="sr-Latn-ME"/>
        </w:rP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3"/>
        <w:gridCol w:w="6747"/>
      </w:tblGrid>
      <w:tr w:rsidR="00C95284" w:rsidRPr="002A6002" w:rsidTr="00B231E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2A6002" w:rsidRDefault="00C95284" w:rsidP="00C95284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2A6002" w:rsidRDefault="00C95284" w:rsidP="00C95284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Naziv poglavlja/ mjere/ aktivnosti</w:t>
            </w:r>
          </w:p>
        </w:tc>
      </w:tr>
      <w:tr w:rsidR="00C95284" w:rsidRPr="002A6002" w:rsidTr="00C95284">
        <w:tc>
          <w:tcPr>
            <w:tcW w:w="6884" w:type="dxa"/>
            <w:tcMar>
              <w:top w:w="57" w:type="dxa"/>
              <w:bottom w:w="57" w:type="dxa"/>
            </w:tcMar>
          </w:tcPr>
          <w:p w:rsidR="00C95284" w:rsidRDefault="000F067E" w:rsidP="00C95284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Strategija zaštite od nasilja u porodici 2016-2020</w:t>
            </w:r>
          </w:p>
          <w:p w:rsidR="00233060" w:rsidRDefault="00233060" w:rsidP="00C95284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233060" w:rsidRDefault="00233060" w:rsidP="00C95284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233060" w:rsidRDefault="00233060" w:rsidP="00C95284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233060" w:rsidRDefault="00233060" w:rsidP="00C95284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233060" w:rsidRDefault="00233060" w:rsidP="00C95284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233060" w:rsidRDefault="00233060" w:rsidP="00C95284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233060" w:rsidRDefault="00233060" w:rsidP="00C95284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233060" w:rsidRDefault="00233060" w:rsidP="00C95284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233060" w:rsidRPr="002A6002" w:rsidRDefault="00E218BD" w:rsidP="00C95284">
            <w:pPr>
              <w:spacing w:after="0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Konvencija Savjeta Evrope o sprječavanju i borbi protiv nasilja nad ženama i nasilja u porodici (Istanbulska konvencija)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0F067E" w:rsidRPr="002A6002" w:rsidRDefault="000F067E" w:rsidP="000F067E">
            <w:pPr>
              <w:spacing w:after="0"/>
              <w:rPr>
                <w:rFonts w:ascii="Calibri" w:hAnsi="Calibri"/>
                <w:b/>
                <w:lang w:val="sr-Latn-ME"/>
              </w:rPr>
            </w:pPr>
            <w:r w:rsidRPr="002A6002">
              <w:rPr>
                <w:rFonts w:ascii="Calibri" w:hAnsi="Calibri"/>
                <w:b/>
                <w:lang w:val="sr-Latn-ME"/>
              </w:rPr>
              <w:t>Cilj 4: Poboljšan sistem institucionalne zaštite od nasilja u porodici</w:t>
            </w:r>
          </w:p>
          <w:p w:rsidR="000F067E" w:rsidRPr="002A6002" w:rsidRDefault="000F067E" w:rsidP="000F067E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Pokazatelj: Unaprijeđen sistem zaštite od nasilja nad ženama i porodičnog nasilja u skladu sa standardima koje propisuje Istanbulska konvencija i drugi potvrđeni međunarodni i regionalni instrumenti, uključujući servise opšte i specijalizovane podrške, ekonomsko osnaživanje žrtava nasilja i servise psihosocijalnog tretmana za učinioce nasilja.</w:t>
            </w:r>
          </w:p>
          <w:p w:rsidR="000F067E" w:rsidRPr="002A6002" w:rsidRDefault="000F067E" w:rsidP="000F067E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C95284" w:rsidRPr="00E218BD" w:rsidRDefault="00E218BD" w:rsidP="000F067E">
            <w:pPr>
              <w:spacing w:after="0"/>
              <w:rPr>
                <w:rFonts w:ascii="Calibri" w:hAnsi="Calibri"/>
                <w:b/>
                <w:lang w:val="sr-Latn-ME"/>
              </w:rPr>
            </w:pPr>
            <w:r w:rsidRPr="00E218BD">
              <w:rPr>
                <w:rFonts w:ascii="Calibri" w:hAnsi="Calibri"/>
                <w:b/>
                <w:lang w:val="sr-Latn-ME"/>
              </w:rPr>
              <w:t xml:space="preserve">Član 22: Specijalizovane usluge podrške </w:t>
            </w:r>
          </w:p>
          <w:p w:rsidR="00E218BD" w:rsidRPr="00E218BD" w:rsidRDefault="00E218BD" w:rsidP="00E218BD">
            <w:pPr>
              <w:spacing w:after="0"/>
              <w:rPr>
                <w:rFonts w:ascii="Calibri" w:hAnsi="Calibri"/>
                <w:lang w:val="sr-Latn-ME"/>
              </w:rPr>
            </w:pPr>
            <w:r w:rsidRPr="00E218BD">
              <w:rPr>
                <w:rFonts w:ascii="Calibri" w:hAnsi="Calibri"/>
                <w:lang w:val="sr-Latn-ME"/>
              </w:rPr>
              <w:t>1. Članice će preduzeti neophodne zakonodavne odnosno druge mjere da omoguće odnosno osiguraju, uz odgovarajuću geografsku rasprostranjenost, neposredne kratkoročne i dugoročne specijalizirane usluge podrške za svaku žrtvu koja je bila izložena bilo kojem djelu nasilja obuhvaćenog Konvencijom.</w:t>
            </w:r>
          </w:p>
          <w:p w:rsidR="00E218BD" w:rsidRPr="002A6002" w:rsidRDefault="00E218BD" w:rsidP="00E218BD">
            <w:pPr>
              <w:spacing w:after="0"/>
              <w:rPr>
                <w:rFonts w:ascii="Calibri" w:hAnsi="Calibri"/>
                <w:lang w:val="sr-Latn-ME"/>
              </w:rPr>
            </w:pPr>
            <w:r w:rsidRPr="00E218BD">
              <w:rPr>
                <w:rFonts w:ascii="Calibri" w:hAnsi="Calibri"/>
                <w:lang w:val="sr-Latn-ME"/>
              </w:rPr>
              <w:t>2. Članice će omogućiti odnosno osigurati specijalizirane usluge podrške za sve žene žrtve nasilja i njihovu djecu.</w:t>
            </w:r>
          </w:p>
        </w:tc>
      </w:tr>
    </w:tbl>
    <w:p w:rsidR="00C95284" w:rsidRPr="002A6002" w:rsidRDefault="00C95284" w:rsidP="00C95284">
      <w:pPr>
        <w:ind w:left="792"/>
        <w:rPr>
          <w:lang w:val="sr-Latn-ME"/>
        </w:rPr>
      </w:pPr>
    </w:p>
    <w:p w:rsidR="00F517FE" w:rsidRPr="002A6002" w:rsidRDefault="001E36C7" w:rsidP="00631376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2A6002">
        <w:rPr>
          <w:lang w:val="sr-Latn-ME"/>
        </w:rPr>
        <w:t>Obrazložiiti na koji način nevladine organizacije</w:t>
      </w:r>
      <w:r w:rsidR="00BF7161" w:rsidRPr="002A6002">
        <w:rPr>
          <w:lang w:val="sr-Latn-ME"/>
        </w:rPr>
        <w:t xml:space="preserve"> </w:t>
      </w:r>
      <w:r w:rsidRPr="002A6002">
        <w:rPr>
          <w:lang w:val="sr-Latn-ME"/>
        </w:rPr>
        <w:t xml:space="preserve">mogu doprinijeti rješavanju problema identifikovanih pod tačkom 2.1., </w:t>
      </w:r>
      <w:r w:rsidR="00366EA9" w:rsidRPr="002A6002">
        <w:rPr>
          <w:lang w:val="sr-Latn-ME"/>
        </w:rPr>
        <w:t>koje aktivnosti su prihvatljive</w:t>
      </w:r>
      <w:r w:rsidR="0098003E" w:rsidRPr="002A6002">
        <w:rPr>
          <w:lang w:val="sr-Latn-ME"/>
        </w:rPr>
        <w:t xml:space="preserve"> za </w:t>
      </w:r>
      <w:r w:rsidR="003B4204" w:rsidRPr="002A6002">
        <w:rPr>
          <w:lang w:val="sr-Latn-ME"/>
        </w:rPr>
        <w:t>postizanje željenog</w:t>
      </w:r>
      <w:r w:rsidR="00652635" w:rsidRPr="002A6002">
        <w:rPr>
          <w:lang w:val="sr-Latn-ME"/>
        </w:rPr>
        <w:t xml:space="preserve"> rezultata</w:t>
      </w:r>
      <w:r w:rsidR="0098003E" w:rsidRPr="002A6002">
        <w:rPr>
          <w:lang w:val="sr-Latn-ME"/>
        </w:rPr>
        <w:t xml:space="preserve">, </w:t>
      </w:r>
      <w:r w:rsidRPr="002A6002">
        <w:rPr>
          <w:lang w:val="sr-Latn-ME"/>
        </w:rPr>
        <w:t xml:space="preserve">kako se planira praćenje i vrednovanje doprinosa rješavanju pomenutih problema. Navesti konkretne mjerljive pokazatelje/indikatore </w:t>
      </w:r>
      <w:r w:rsidR="0098003E" w:rsidRPr="002A6002">
        <w:rPr>
          <w:lang w:val="sr-Latn-ME"/>
        </w:rPr>
        <w:t xml:space="preserve">za </w:t>
      </w:r>
      <w:r w:rsidR="00326A9D" w:rsidRPr="002A6002">
        <w:rPr>
          <w:lang w:val="sr-Latn-ME"/>
        </w:rPr>
        <w:t xml:space="preserve">praćenje </w:t>
      </w:r>
      <w:r w:rsidRPr="002A6002">
        <w:rPr>
          <w:lang w:val="sr-Latn-ME"/>
        </w:rPr>
        <w:t>doprinosa nevladinih organizacija rješavanju identifikovanih problema i izvor</w:t>
      </w:r>
      <w:r w:rsidR="00345BD0" w:rsidRPr="002A6002">
        <w:rPr>
          <w:lang w:val="sr-Latn-ME"/>
        </w:rPr>
        <w:t>e verifikacije učinjenog</w:t>
      </w:r>
      <w:r w:rsidRPr="002A6002">
        <w:rPr>
          <w:lang w:val="sr-Latn-ME"/>
        </w:rP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09"/>
        <w:gridCol w:w="4508"/>
        <w:gridCol w:w="4503"/>
      </w:tblGrid>
      <w:tr w:rsidR="00B231E9" w:rsidRPr="002A6002" w:rsidTr="00B231E9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2A6002" w:rsidRDefault="00B231E9" w:rsidP="00BF7161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2A6002" w:rsidRDefault="00B231E9" w:rsidP="008C51C2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31E9" w:rsidRPr="002A6002" w:rsidRDefault="00B231E9" w:rsidP="008C51C2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Izvor(i) podataka</w:t>
            </w:r>
          </w:p>
        </w:tc>
      </w:tr>
      <w:tr w:rsidR="00B231E9" w:rsidRPr="002A6002" w:rsidTr="00B231E9">
        <w:tc>
          <w:tcPr>
            <w:tcW w:w="4582" w:type="dxa"/>
            <w:tcMar>
              <w:top w:w="57" w:type="dxa"/>
              <w:bottom w:w="57" w:type="dxa"/>
            </w:tcMar>
          </w:tcPr>
          <w:p w:rsidR="00B231E9" w:rsidRDefault="000F067E" w:rsidP="00233060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 xml:space="preserve">U Crnoj Gori, servisi i usluge opšte podrške pružaju se kroz sistem socijalne i dječje zaštite, zdravstvene zaštite i policije. Svaka od ovih institucija djeluje i pruža usluge u skladu sa svojim ovlašćenjima, kako opštoj populaciji, tako i žrtvama nasilja. </w:t>
            </w:r>
          </w:p>
          <w:p w:rsidR="00042A84" w:rsidRPr="002A6002" w:rsidRDefault="00042A84" w:rsidP="00233060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Usluge u okviru socijalne i dječje zaštite su između ostalih i savjetodavno-terapijska i socijalno-edukativna usluga i usluga smještaja, koje se svrstavaju u specijalizovane usluge podrške za žrtve nasilja.</w:t>
            </w:r>
          </w:p>
          <w:p w:rsidR="000F067E" w:rsidRPr="002A6002" w:rsidRDefault="00042A84" w:rsidP="00233060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Servise</w:t>
            </w:r>
            <w:r w:rsidR="000F067E" w:rsidRPr="002A6002">
              <w:rPr>
                <w:rFonts w:ascii="Calibri" w:hAnsi="Calibri"/>
                <w:lang w:val="sr-Latn-ME"/>
              </w:rPr>
              <w:t xml:space="preserve"> specijalizovane podrške, onako kako ih prepoznaje Istanbulska konvencija, pružaju ženske nevladine organizacije i njihov rad je uglavnom finansiran iz donatorskih sredstava.</w:t>
            </w:r>
            <w:r w:rsidR="002A6002" w:rsidRPr="002A6002">
              <w:rPr>
                <w:rFonts w:ascii="Calibri" w:hAnsi="Calibri"/>
                <w:lang w:val="sr-Latn-ME"/>
              </w:rPr>
              <w:t xml:space="preserve"> </w:t>
            </w:r>
          </w:p>
          <w:p w:rsidR="002A6002" w:rsidRDefault="00176412" w:rsidP="00233060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 xml:space="preserve">NVO pružiće </w:t>
            </w:r>
            <w:r w:rsidR="002A6002" w:rsidRPr="002A6002">
              <w:rPr>
                <w:rFonts w:ascii="Calibri" w:hAnsi="Calibri"/>
                <w:lang w:val="sr-Latn-ME"/>
              </w:rPr>
              <w:t>usluge smještaja i hra</w:t>
            </w:r>
            <w:r w:rsidR="00382D90">
              <w:rPr>
                <w:rFonts w:ascii="Calibri" w:hAnsi="Calibri"/>
                <w:lang w:val="sr-Latn-ME"/>
              </w:rPr>
              <w:t xml:space="preserve">ne, </w:t>
            </w:r>
            <w:r>
              <w:rPr>
                <w:rFonts w:ascii="Calibri" w:hAnsi="Calibri"/>
                <w:lang w:val="sr-Latn-ME"/>
              </w:rPr>
              <w:t xml:space="preserve">savjetovanja, terapije, i druge usluge kako bi se prevazišla krizna situacija, </w:t>
            </w:r>
            <w:r w:rsidR="00382D90">
              <w:rPr>
                <w:rFonts w:ascii="Calibri" w:hAnsi="Calibri"/>
                <w:lang w:val="sr-Latn-ME"/>
              </w:rPr>
              <w:t xml:space="preserve">a sve u cilju jačanja žrtve </w:t>
            </w:r>
            <w:r>
              <w:rPr>
                <w:rFonts w:ascii="Calibri" w:hAnsi="Calibri"/>
                <w:lang w:val="sr-Latn-ME"/>
              </w:rPr>
              <w:t>da istraje</w:t>
            </w:r>
            <w:r w:rsidR="00382D90">
              <w:rPr>
                <w:rFonts w:ascii="Calibri" w:hAnsi="Calibri"/>
                <w:lang w:val="sr-Latn-ME"/>
              </w:rPr>
              <w:t xml:space="preserve"> u svim fazama postupka protiv počinioca nasilja.</w:t>
            </w:r>
            <w:r w:rsidR="002A6002" w:rsidRPr="002A6002">
              <w:rPr>
                <w:rFonts w:ascii="Calibri" w:hAnsi="Calibri"/>
                <w:lang w:val="sr-Latn-ME"/>
              </w:rPr>
              <w:t xml:space="preserve"> U skloništu borave žene i djeca koji se nalaze u urgantnim situacijama nasilja. </w:t>
            </w:r>
          </w:p>
          <w:p w:rsidR="00415EBC" w:rsidRDefault="00415EBC" w:rsidP="00233060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</w:p>
          <w:p w:rsidR="002A6002" w:rsidRDefault="00415EBC" w:rsidP="00233060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Dodatno, istraživanja su pokazala da žrtve nasilja imaju više povjerenja u NVO, te upravo ne mogu uticati na ohrabrivanje žrtava nasilja da postupak protiv počinioca nasilja dovedu do kraja.</w:t>
            </w:r>
          </w:p>
          <w:p w:rsidR="00415EBC" w:rsidRPr="002A6002" w:rsidRDefault="00415EBC" w:rsidP="00233060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</w:p>
          <w:p w:rsidR="002A6002" w:rsidRPr="002A6002" w:rsidRDefault="002A6002" w:rsidP="00042A84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Na ovaj način NVO koje ispunjavaju uslove iz Pravilnika o bližim uslovijma za pruž</w:t>
            </w:r>
            <w:r w:rsidR="00382D90">
              <w:rPr>
                <w:rFonts w:ascii="Calibri" w:hAnsi="Calibri"/>
                <w:lang w:val="sr-Latn-ME"/>
              </w:rPr>
              <w:t>anje I korišćenje, normativima i</w:t>
            </w:r>
            <w:r w:rsidRPr="002A6002">
              <w:rPr>
                <w:rFonts w:ascii="Calibri" w:hAnsi="Calibri"/>
                <w:lang w:val="sr-Latn-ME"/>
              </w:rPr>
              <w:t xml:space="preserve"> minimalnim standardima usluge smještaja u prihvatilištu-skloništu </w:t>
            </w:r>
            <w:r>
              <w:rPr>
                <w:rFonts w:ascii="Calibri" w:hAnsi="Calibri"/>
                <w:lang w:val="sr-Latn-ME"/>
              </w:rPr>
              <w:t>i</w:t>
            </w:r>
            <w:r w:rsidRPr="002A6002">
              <w:rPr>
                <w:rFonts w:ascii="Calibri" w:hAnsi="Calibri"/>
                <w:lang w:val="sr-Latn-ME"/>
              </w:rPr>
              <w:t xml:space="preserve"> uslove iz Pravilnika o bližim uslovima za izdavanje, obnavljanje, suspenziju </w:t>
            </w:r>
            <w:r>
              <w:rPr>
                <w:rFonts w:ascii="Calibri" w:hAnsi="Calibri"/>
                <w:lang w:val="sr-Latn-ME"/>
              </w:rPr>
              <w:t>i</w:t>
            </w:r>
            <w:r w:rsidRPr="002A6002">
              <w:rPr>
                <w:rFonts w:ascii="Calibri" w:hAnsi="Calibri"/>
                <w:lang w:val="sr-Latn-ME"/>
              </w:rPr>
              <w:t xml:space="preserve"> oduzimanje licence za obavljanje djelatnosti socijalne </w:t>
            </w:r>
            <w:r>
              <w:rPr>
                <w:rFonts w:ascii="Calibri" w:hAnsi="Calibri"/>
                <w:lang w:val="sr-Latn-ME"/>
              </w:rPr>
              <w:t>i</w:t>
            </w:r>
            <w:r w:rsidRPr="002A6002">
              <w:rPr>
                <w:rFonts w:ascii="Calibri" w:hAnsi="Calibri"/>
                <w:lang w:val="sr-Latn-ME"/>
              </w:rPr>
              <w:t xml:space="preserve"> dječje zaštite moći će da pomognu svim žrtvama nasilja u porodici na adekvatan način </w:t>
            </w:r>
            <w:r>
              <w:rPr>
                <w:rFonts w:ascii="Calibri" w:hAnsi="Calibri"/>
                <w:lang w:val="sr-Latn-ME"/>
              </w:rPr>
              <w:t>i</w:t>
            </w:r>
            <w:r w:rsidRPr="002A6002">
              <w:rPr>
                <w:rFonts w:ascii="Calibri" w:hAnsi="Calibri"/>
                <w:lang w:val="sr-Latn-ME"/>
              </w:rPr>
              <w:t xml:space="preserve"> budu dio </w:t>
            </w:r>
            <w:r w:rsidR="00042A84">
              <w:rPr>
                <w:rFonts w:ascii="Calibri" w:hAnsi="Calibri"/>
                <w:lang w:val="sr-Latn-ME"/>
              </w:rPr>
              <w:t>s</w:t>
            </w:r>
            <w:r w:rsidRPr="002A6002">
              <w:rPr>
                <w:rFonts w:ascii="Calibri" w:hAnsi="Calibri"/>
                <w:lang w:val="sr-Latn-ME"/>
              </w:rPr>
              <w:t>istema socijalne zaštite.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2A6002" w:rsidRDefault="002A6002" w:rsidP="002A6002">
            <w:pPr>
              <w:spacing w:after="0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lastRenderedPageBreak/>
              <w:t>-Poboljšani</w:t>
            </w:r>
            <w:r w:rsidR="00560F47">
              <w:rPr>
                <w:rFonts w:ascii="Calibri" w:hAnsi="Calibri"/>
                <w:lang w:val="sr-Latn-ME"/>
              </w:rPr>
              <w:t xml:space="preserve"> postojeći uslovi u skloništima</w:t>
            </w:r>
            <w:r>
              <w:rPr>
                <w:rFonts w:ascii="Calibri" w:hAnsi="Calibri"/>
                <w:lang w:val="sr-Latn-ME"/>
              </w:rPr>
              <w:t xml:space="preserve">. </w:t>
            </w:r>
          </w:p>
          <w:p w:rsidR="00382D90" w:rsidRDefault="00382D90" w:rsidP="002A6002">
            <w:pPr>
              <w:spacing w:after="0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 xml:space="preserve">-Smještaj </w:t>
            </w:r>
            <w:r w:rsidRPr="00F2723F">
              <w:rPr>
                <w:rFonts w:ascii="Calibri" w:hAnsi="Calibri"/>
                <w:lang w:val="sr-Latn-ME"/>
              </w:rPr>
              <w:t xml:space="preserve">za </w:t>
            </w:r>
            <w:r w:rsidR="00A1337B" w:rsidRPr="00F2723F">
              <w:rPr>
                <w:rFonts w:ascii="Calibri" w:hAnsi="Calibri"/>
                <w:lang w:val="sr-Latn-ME"/>
              </w:rPr>
              <w:t>100</w:t>
            </w:r>
            <w:r>
              <w:rPr>
                <w:rFonts w:ascii="Calibri" w:hAnsi="Calibri"/>
                <w:lang w:val="sr-Latn-ME"/>
              </w:rPr>
              <w:t xml:space="preserve"> korisnica</w:t>
            </w:r>
            <w:r w:rsidR="00560F47">
              <w:rPr>
                <w:rFonts w:ascii="Calibri" w:hAnsi="Calibri"/>
                <w:lang w:val="sr-Latn-ME"/>
              </w:rPr>
              <w:t xml:space="preserve"> žrtava nasilja</w:t>
            </w:r>
            <w:r>
              <w:rPr>
                <w:rFonts w:ascii="Calibri" w:hAnsi="Calibri"/>
                <w:lang w:val="sr-Latn-ME"/>
              </w:rPr>
              <w:t>.</w:t>
            </w:r>
          </w:p>
          <w:p w:rsidR="00382D90" w:rsidRDefault="00382D90" w:rsidP="002A6002">
            <w:pPr>
              <w:spacing w:after="0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-</w:t>
            </w:r>
            <w:r w:rsidR="005756A6">
              <w:rPr>
                <w:rFonts w:ascii="Calibri" w:hAnsi="Calibri"/>
                <w:lang w:val="sr-Latn-ME"/>
              </w:rPr>
              <w:t>Pružene usluge</w:t>
            </w:r>
            <w:r w:rsidR="00B33C20">
              <w:rPr>
                <w:rFonts w:ascii="Calibri" w:hAnsi="Calibri"/>
                <w:lang w:val="sr-Latn-ME"/>
              </w:rPr>
              <w:t xml:space="preserve"> savjetovanja</w:t>
            </w:r>
            <w:r w:rsidR="00F2723F">
              <w:rPr>
                <w:rFonts w:ascii="Calibri" w:hAnsi="Calibri"/>
                <w:lang w:val="sr-Latn-ME"/>
              </w:rPr>
              <w:t xml:space="preserve"> </w:t>
            </w:r>
            <w:r w:rsidR="005756A6">
              <w:rPr>
                <w:rFonts w:ascii="Calibri" w:hAnsi="Calibri"/>
                <w:lang w:val="sr-Latn-ME"/>
              </w:rPr>
              <w:t>kroz specijalizovane servise.</w:t>
            </w:r>
          </w:p>
          <w:p w:rsidR="005756A6" w:rsidRPr="002A6002" w:rsidRDefault="005756A6" w:rsidP="002A6002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B231E9" w:rsidRPr="002A6002" w:rsidRDefault="002A6002" w:rsidP="00B231E9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Izvještaji o aktivnostima i realizaciji projekata sačinjeni od strane NVO i MRSS.</w:t>
            </w:r>
          </w:p>
        </w:tc>
      </w:tr>
    </w:tbl>
    <w:p w:rsidR="00B231E9" w:rsidRPr="002A6002" w:rsidRDefault="00B231E9" w:rsidP="00B231E9">
      <w:pPr>
        <w:ind w:left="792"/>
        <w:rPr>
          <w:lang w:val="sr-Latn-ME"/>
        </w:rPr>
      </w:pPr>
    </w:p>
    <w:p w:rsidR="00F517FE" w:rsidRPr="002A6002" w:rsidRDefault="00F517FE" w:rsidP="00F517FE">
      <w:pPr>
        <w:rPr>
          <w:lang w:val="sr-Latn-ME"/>
        </w:rPr>
      </w:pPr>
    </w:p>
    <w:p w:rsidR="00F517FE" w:rsidRPr="002A6002" w:rsidRDefault="001E36C7" w:rsidP="001E36C7">
      <w:pPr>
        <w:pStyle w:val="ListParagraph"/>
        <w:numPr>
          <w:ilvl w:val="0"/>
          <w:numId w:val="5"/>
        </w:numPr>
        <w:rPr>
          <w:b/>
          <w:lang w:val="sr-Latn-ME"/>
        </w:rPr>
      </w:pPr>
      <w:r w:rsidRPr="002A6002">
        <w:rPr>
          <w:b/>
          <w:lang w:val="sr-Latn-ME"/>
        </w:rPr>
        <w:t>OSTVARIVANJE STRATEŠKIH CILJEVA</w:t>
      </w:r>
    </w:p>
    <w:p w:rsidR="00FF5B24" w:rsidRPr="002A6002" w:rsidRDefault="001E36C7" w:rsidP="005E04CE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2A6002">
        <w:rPr>
          <w:lang w:val="sr-Latn-ME"/>
        </w:rPr>
        <w:t>Navesti ključne strateške ciljeve iz sektorske nadležnosti čijem će ostvarenju u 201</w:t>
      </w:r>
      <w:r w:rsidR="00ED5324" w:rsidRPr="002A6002">
        <w:rPr>
          <w:lang w:val="sr-Latn-ME"/>
        </w:rPr>
        <w:t>9</w:t>
      </w:r>
      <w:r w:rsidRPr="002A6002">
        <w:rPr>
          <w:lang w:val="sr-Latn-ME"/>
        </w:rPr>
        <w:t>. 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2"/>
        <w:gridCol w:w="6748"/>
      </w:tblGrid>
      <w:tr w:rsidR="004B45C9" w:rsidRPr="002A6002" w:rsidTr="004B45C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2A6002" w:rsidRDefault="004B45C9" w:rsidP="00560F47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 xml:space="preserve">Strateški cilj(evi) čijem ostvarenju </w:t>
            </w:r>
            <w:r w:rsidR="008C51C2" w:rsidRPr="002A6002">
              <w:rPr>
                <w:rFonts w:ascii="Calibri" w:hAnsi="Calibri"/>
                <w:lang w:val="sr-Latn-ME"/>
              </w:rPr>
              <w:t xml:space="preserve">će doprinijeti javni konkurs za </w:t>
            </w:r>
            <w:r w:rsidRPr="002A6002">
              <w:rPr>
                <w:rFonts w:ascii="Calibri" w:hAnsi="Calibri"/>
                <w:lang w:val="sr-Latn-ME"/>
              </w:rPr>
              <w:t>projekte i programe nevladinih organizacija</w:t>
            </w:r>
            <w:r w:rsidR="008C51C2" w:rsidRPr="002A6002">
              <w:rPr>
                <w:rFonts w:ascii="Calibri" w:hAnsi="Calibri"/>
                <w:lang w:val="sr-Latn-ME"/>
              </w:rPr>
              <w:t xml:space="preserve"> </w:t>
            </w:r>
            <w:r w:rsidRPr="002A6002">
              <w:rPr>
                <w:rFonts w:ascii="Calibri" w:hAnsi="Calibri"/>
                <w:lang w:val="sr-Latn-ME"/>
              </w:rPr>
              <w:t xml:space="preserve">u </w:t>
            </w:r>
            <w:r w:rsidR="00560F47">
              <w:rPr>
                <w:rFonts w:ascii="Calibri" w:hAnsi="Calibri"/>
                <w:lang w:val="sr-Latn-ME"/>
              </w:rPr>
              <w:t>2019.</w:t>
            </w:r>
            <w:r w:rsidRPr="002A6002">
              <w:rPr>
                <w:rFonts w:ascii="Calibri" w:hAnsi="Calibri"/>
                <w:lang w:val="sr-Latn-ME"/>
              </w:rPr>
              <w:t xml:space="preserve">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2A6002" w:rsidRDefault="004B45C9" w:rsidP="008C51C2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Način na koji će javni konkurs za</w:t>
            </w:r>
            <w:r w:rsidR="008C51C2" w:rsidRPr="002A6002">
              <w:rPr>
                <w:rFonts w:ascii="Calibri" w:hAnsi="Calibri"/>
                <w:lang w:val="sr-Latn-ME"/>
              </w:rPr>
              <w:t xml:space="preserve"> projekte i programe nevladinih </w:t>
            </w:r>
            <w:r w:rsidRPr="002A6002">
              <w:rPr>
                <w:rFonts w:ascii="Calibri" w:hAnsi="Calibri"/>
                <w:lang w:val="sr-Latn-ME"/>
              </w:rPr>
              <w:t>organizacija doprinijeti ostvarenju strateških ciljeva</w:t>
            </w:r>
            <w:r w:rsidR="008C51C2" w:rsidRPr="002A6002">
              <w:rPr>
                <w:rFonts w:ascii="Calibri" w:hAnsi="Calibri"/>
                <w:lang w:val="sr-Latn-ME"/>
              </w:rPr>
              <w:t xml:space="preserve"> </w:t>
            </w:r>
            <w:r w:rsidRPr="002A6002">
              <w:rPr>
                <w:rFonts w:ascii="Calibri" w:hAnsi="Calibri"/>
                <w:lang w:val="sr-Latn-ME"/>
              </w:rPr>
              <w:t>(ukratko opisati)</w:t>
            </w:r>
          </w:p>
        </w:tc>
      </w:tr>
      <w:tr w:rsidR="004B45C9" w:rsidRPr="002A6002" w:rsidTr="004B45C9">
        <w:tc>
          <w:tcPr>
            <w:tcW w:w="6884" w:type="dxa"/>
            <w:tcMar>
              <w:top w:w="57" w:type="dxa"/>
              <w:bottom w:w="57" w:type="dxa"/>
            </w:tcMar>
          </w:tcPr>
          <w:p w:rsidR="004B45C9" w:rsidRDefault="002A6002" w:rsidP="004B45C9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Poboljšan sistem institucionalne zaštite od nasilja u porodici</w:t>
            </w:r>
          </w:p>
          <w:p w:rsidR="001D1EBF" w:rsidRDefault="001D1EBF" w:rsidP="004B45C9">
            <w:pPr>
              <w:spacing w:after="0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Ojačane žrtve nasilja u porodici</w:t>
            </w:r>
          </w:p>
          <w:p w:rsidR="001D1EBF" w:rsidRPr="002A6002" w:rsidRDefault="001D1EBF" w:rsidP="00F2723F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E218BD" w:rsidRDefault="00C5727D" w:rsidP="00E218BD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Nevladine organizacije će o</w:t>
            </w:r>
            <w:r w:rsidRPr="00C5727D">
              <w:rPr>
                <w:rFonts w:ascii="Calibri" w:hAnsi="Calibri"/>
                <w:lang w:val="sr-Latn-ME"/>
              </w:rPr>
              <w:t xml:space="preserve">bezbijediti nesmetan rad skloništa za žene i djecu žrtve nasilja kontinuirano 24 h dnevno. </w:t>
            </w:r>
            <w:r w:rsidR="00382D90">
              <w:rPr>
                <w:rFonts w:ascii="Calibri" w:hAnsi="Calibri"/>
                <w:lang w:val="sr-Latn-ME"/>
              </w:rPr>
              <w:t>Ž</w:t>
            </w:r>
            <w:r w:rsidRPr="00C5727D">
              <w:rPr>
                <w:rFonts w:ascii="Calibri" w:hAnsi="Calibri"/>
                <w:lang w:val="sr-Latn-ME"/>
              </w:rPr>
              <w:t xml:space="preserve">rtvama nasilja smještenim u sklonište biće dostupne usluge </w:t>
            </w:r>
            <w:r>
              <w:rPr>
                <w:rFonts w:ascii="Calibri" w:hAnsi="Calibri"/>
                <w:lang w:val="sr-Latn-ME"/>
              </w:rPr>
              <w:t>individ</w:t>
            </w:r>
            <w:r w:rsidR="00382D90">
              <w:rPr>
                <w:rFonts w:ascii="Calibri" w:hAnsi="Calibri"/>
                <w:lang w:val="sr-Latn-ME"/>
              </w:rPr>
              <w:t xml:space="preserve">ualnog </w:t>
            </w:r>
            <w:r w:rsidR="00382D90">
              <w:rPr>
                <w:rFonts w:ascii="Calibri" w:hAnsi="Calibri"/>
                <w:lang w:val="sr-Latn-ME"/>
              </w:rPr>
              <w:lastRenderedPageBreak/>
              <w:t>savjetovanja svakog dana, grupnog savjetovanja</w:t>
            </w:r>
            <w:r w:rsidR="0077617D">
              <w:rPr>
                <w:rFonts w:ascii="Calibri" w:hAnsi="Calibri"/>
                <w:lang w:val="sr-Latn-ME"/>
              </w:rPr>
              <w:t>, kao</w:t>
            </w:r>
            <w:r w:rsidR="00382D90">
              <w:rPr>
                <w:rFonts w:ascii="Calibri" w:hAnsi="Calibri"/>
                <w:lang w:val="sr-Latn-ME"/>
              </w:rPr>
              <w:t xml:space="preserve"> i</w:t>
            </w:r>
            <w:r w:rsidR="005756A6">
              <w:rPr>
                <w:rFonts w:ascii="Calibri" w:hAnsi="Calibri"/>
                <w:lang w:val="sr-Latn-ME"/>
              </w:rPr>
              <w:t xml:space="preserve"> rad na jačanju žrtve.</w:t>
            </w:r>
          </w:p>
          <w:p w:rsidR="00C5727D" w:rsidRPr="002A6002" w:rsidRDefault="00C5727D" w:rsidP="00026A98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CS"/>
              </w:rPr>
              <w:t>Žrtvama nasilja biće obezbijeđ</w:t>
            </w:r>
            <w:r w:rsidR="00026A98">
              <w:rPr>
                <w:rFonts w:ascii="Calibri" w:hAnsi="Calibri"/>
                <w:lang w:val="sr-Latn-CS"/>
              </w:rPr>
              <w:t>ene usluge povjerljivog lica.</w:t>
            </w:r>
            <w:bookmarkStart w:id="0" w:name="_GoBack"/>
            <w:bookmarkEnd w:id="0"/>
          </w:p>
        </w:tc>
      </w:tr>
    </w:tbl>
    <w:p w:rsidR="00FF5B24" w:rsidRPr="002A6002" w:rsidRDefault="00FF5B24" w:rsidP="00FF5B24">
      <w:pPr>
        <w:rPr>
          <w:lang w:val="sr-Latn-ME"/>
        </w:rPr>
      </w:pPr>
    </w:p>
    <w:p w:rsidR="00FF5B24" w:rsidRPr="002A6002" w:rsidRDefault="001E36C7" w:rsidP="001E36C7">
      <w:pPr>
        <w:pStyle w:val="ListParagraph"/>
        <w:numPr>
          <w:ilvl w:val="0"/>
          <w:numId w:val="5"/>
        </w:numPr>
        <w:rPr>
          <w:b/>
          <w:lang w:val="sr-Latn-ME"/>
        </w:rPr>
      </w:pPr>
      <w:r w:rsidRPr="002A6002">
        <w:rPr>
          <w:b/>
          <w:lang w:val="sr-Latn-ME"/>
        </w:rPr>
        <w:t>JAVNI KONKURSI ZA FINANSIRANJE PROJEKATA I PROGRAMA NVO - DOPRINOS OSTVARENJU STRATEŠKIH CILJEVA IZ SEKTORSKE NADLEŽNOSTI MINISTARSTVA</w:t>
      </w:r>
    </w:p>
    <w:p w:rsidR="00FF5B24" w:rsidRPr="002A6002" w:rsidRDefault="001E36C7" w:rsidP="00FE6324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2A6002">
        <w:rPr>
          <w:lang w:val="sr-Latn-ME"/>
        </w:rPr>
        <w:t xml:space="preserve">Navesti javne konkurse koji se predlažu za objavljivanje u </w:t>
      </w:r>
      <w:r w:rsidR="00560F47">
        <w:rPr>
          <w:lang w:val="sr-Latn-ME"/>
        </w:rPr>
        <w:t>2019.</w:t>
      </w:r>
      <w:r w:rsidRPr="002A6002">
        <w:rPr>
          <w:lang w:val="sr-Latn-ME"/>
        </w:rPr>
        <w:t xml:space="preserve">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</w:t>
      </w:r>
      <w:r w:rsidR="00FF5B24" w:rsidRPr="002A6002">
        <w:rPr>
          <w:lang w:val="sr-Latn-ME"/>
        </w:rPr>
        <w:t>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021"/>
        <w:gridCol w:w="1827"/>
        <w:gridCol w:w="5672"/>
      </w:tblGrid>
      <w:tr w:rsidR="00F470AB" w:rsidRPr="002A6002" w:rsidTr="00F2723F">
        <w:tc>
          <w:tcPr>
            <w:tcW w:w="6021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2A6002" w:rsidRDefault="00F470AB" w:rsidP="002F1960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 xml:space="preserve">Naziv javnog konkursa </w:t>
            </w:r>
          </w:p>
        </w:tc>
        <w:tc>
          <w:tcPr>
            <w:tcW w:w="182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2A6002" w:rsidRDefault="00F470AB" w:rsidP="002F1960">
            <w:pPr>
              <w:spacing w:after="0"/>
              <w:jc w:val="right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Iznos</w:t>
            </w:r>
          </w:p>
        </w:tc>
        <w:tc>
          <w:tcPr>
            <w:tcW w:w="567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F470AB" w:rsidRPr="002A6002" w:rsidRDefault="00F470AB" w:rsidP="002F1960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 xml:space="preserve">Drugi </w:t>
            </w:r>
            <w:r w:rsidR="00963B9D" w:rsidRPr="002A6002">
              <w:rPr>
                <w:rFonts w:ascii="Calibri" w:hAnsi="Calibri"/>
                <w:lang w:val="sr-Latn-ME"/>
              </w:rPr>
              <w:t xml:space="preserve">donatori </w:t>
            </w:r>
            <w:r w:rsidRPr="002A6002">
              <w:rPr>
                <w:rFonts w:ascii="Calibri" w:hAnsi="Calibri"/>
                <w:lang w:val="sr-Latn-ME"/>
              </w:rPr>
              <w:t>s kojima je potrebno koordinirati oblasti finansiranja</w:t>
            </w:r>
          </w:p>
        </w:tc>
      </w:tr>
      <w:tr w:rsidR="00F470AB" w:rsidRPr="002A6002" w:rsidTr="00F2723F">
        <w:tc>
          <w:tcPr>
            <w:tcW w:w="6021" w:type="dxa"/>
            <w:tcMar>
              <w:top w:w="57" w:type="dxa"/>
              <w:bottom w:w="57" w:type="dxa"/>
            </w:tcMar>
          </w:tcPr>
          <w:p w:rsidR="00F470AB" w:rsidRPr="003559DA" w:rsidRDefault="00B33C20" w:rsidP="00B33C20">
            <w:pPr>
              <w:spacing w:after="0"/>
              <w:rPr>
                <w:rFonts w:ascii="Calibri" w:hAnsi="Calibri"/>
                <w:highlight w:val="yellow"/>
                <w:lang w:val="sr-Latn-ME"/>
              </w:rPr>
            </w:pPr>
            <w:r w:rsidRPr="00F2723F">
              <w:rPr>
                <w:rFonts w:ascii="Calibri" w:hAnsi="Calibri"/>
                <w:lang w:val="sr-Latn-ME"/>
              </w:rPr>
              <w:t>Smještaj</w:t>
            </w:r>
            <w:r w:rsidR="005756A6" w:rsidRPr="00F2723F">
              <w:rPr>
                <w:rFonts w:ascii="Calibri" w:hAnsi="Calibri"/>
                <w:lang w:val="sr-Latn-ME"/>
              </w:rPr>
              <w:t xml:space="preserve"> za žrtve nasilja </w:t>
            </w:r>
            <w:r w:rsidRPr="00F2723F">
              <w:rPr>
                <w:rFonts w:ascii="Calibri" w:hAnsi="Calibri"/>
                <w:lang w:val="sr-Latn-ME"/>
              </w:rPr>
              <w:t>u porodici</w:t>
            </w:r>
          </w:p>
        </w:tc>
        <w:tc>
          <w:tcPr>
            <w:tcW w:w="182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916AEF" w:rsidRDefault="00F2723F" w:rsidP="002F1960">
            <w:pPr>
              <w:spacing w:after="0"/>
              <w:jc w:val="right"/>
              <w:rPr>
                <w:rFonts w:ascii="Calibri" w:hAnsi="Calibri"/>
                <w:highlight w:val="yellow"/>
                <w:lang w:val="sr-Latn-ME"/>
              </w:rPr>
            </w:pPr>
            <w:r w:rsidRPr="00F2723F">
              <w:rPr>
                <w:rFonts w:ascii="Calibri" w:hAnsi="Calibri"/>
                <w:lang w:val="sr-Latn-ME"/>
              </w:rPr>
              <w:t>100</w:t>
            </w:r>
            <w:r w:rsidR="00DB4556" w:rsidRPr="00F2723F">
              <w:rPr>
                <w:rFonts w:ascii="Calibri" w:hAnsi="Calibri"/>
                <w:lang w:val="sr-Latn-ME"/>
              </w:rPr>
              <w:t>.000</w:t>
            </w:r>
          </w:p>
        </w:tc>
        <w:tc>
          <w:tcPr>
            <w:tcW w:w="5672" w:type="dxa"/>
            <w:tcBorders>
              <w:left w:val="single" w:sz="2" w:space="0" w:color="auto"/>
            </w:tcBorders>
          </w:tcPr>
          <w:p w:rsidR="00F470AB" w:rsidRPr="002A6002" w:rsidRDefault="00982A7E" w:rsidP="002F1960">
            <w:pPr>
              <w:spacing w:after="0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Nadležnost Ministarstva rada i socijalnog staranja</w:t>
            </w:r>
          </w:p>
        </w:tc>
      </w:tr>
      <w:tr w:rsidR="00F470AB" w:rsidRPr="002A6002" w:rsidTr="00F2723F">
        <w:tc>
          <w:tcPr>
            <w:tcW w:w="6021" w:type="dxa"/>
            <w:tcMar>
              <w:top w:w="57" w:type="dxa"/>
              <w:bottom w:w="57" w:type="dxa"/>
            </w:tcMar>
          </w:tcPr>
          <w:p w:rsidR="00F470AB" w:rsidRPr="002A6002" w:rsidRDefault="00F470AB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182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2A6002" w:rsidRDefault="00F470AB" w:rsidP="002F1960">
            <w:pPr>
              <w:spacing w:after="0"/>
              <w:jc w:val="right"/>
              <w:rPr>
                <w:rFonts w:ascii="Calibri" w:hAnsi="Calibri"/>
                <w:lang w:val="sr-Latn-ME"/>
              </w:rPr>
            </w:pPr>
          </w:p>
        </w:tc>
        <w:tc>
          <w:tcPr>
            <w:tcW w:w="5672" w:type="dxa"/>
            <w:tcBorders>
              <w:left w:val="single" w:sz="2" w:space="0" w:color="auto"/>
            </w:tcBorders>
          </w:tcPr>
          <w:p w:rsidR="00F470AB" w:rsidRPr="002A6002" w:rsidRDefault="00F470AB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</w:tr>
    </w:tbl>
    <w:p w:rsidR="004B45C9" w:rsidRPr="002A6002" w:rsidRDefault="004B45C9" w:rsidP="004B45C9">
      <w:pPr>
        <w:ind w:left="792"/>
        <w:rPr>
          <w:lang w:val="sr-Latn-ME"/>
        </w:rPr>
      </w:pPr>
    </w:p>
    <w:p w:rsidR="00FF5B24" w:rsidRPr="002A6002" w:rsidRDefault="001E36C7" w:rsidP="00695A8E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2A6002">
        <w:rPr>
          <w:lang w:val="sr-Latn-ME"/>
        </w:rPr>
        <w:t>Navesti ko su predviđeni glavni korisnici projekata i programa koji će se finansirati putem javnog konkursa. Ukratko nav</w:t>
      </w:r>
      <w:r w:rsidR="006B441C" w:rsidRPr="002A6002">
        <w:rPr>
          <w:lang w:val="sr-Latn-ME"/>
        </w:rPr>
        <w:t xml:space="preserve">esti </w:t>
      </w:r>
      <w:r w:rsidRPr="002A6002">
        <w:rPr>
          <w:lang w:val="sr-Latn-ME"/>
        </w:rPr>
        <w:t xml:space="preserve">glavna obilježja svake grupe korisnika, njihov broj i njihove potrebe na koje projekti i programi treba da odgovore u </w:t>
      </w:r>
      <w:r w:rsidR="00560F47">
        <w:rPr>
          <w:lang w:val="sr-Latn-ME"/>
        </w:rPr>
        <w:t>2019.</w:t>
      </w:r>
      <w:r w:rsidRPr="002A6002">
        <w:rPr>
          <w:lang w:val="sr-Latn-ME"/>
        </w:rPr>
        <w:t xml:space="preserve">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520"/>
      </w:tblGrid>
      <w:tr w:rsidR="00F470AB" w:rsidRPr="002A6002" w:rsidTr="00F470AB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2A6002" w:rsidRDefault="00F470AB" w:rsidP="00F470AB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Opis glavnih grupa korisnika, njihov broj i potrebe</w:t>
            </w:r>
          </w:p>
        </w:tc>
      </w:tr>
      <w:tr w:rsidR="00F470AB" w:rsidRPr="002A6002" w:rsidTr="00F470AB">
        <w:tc>
          <w:tcPr>
            <w:tcW w:w="13746" w:type="dxa"/>
            <w:tcMar>
              <w:top w:w="57" w:type="dxa"/>
              <w:bottom w:w="57" w:type="dxa"/>
            </w:tcMar>
          </w:tcPr>
          <w:p w:rsidR="00F470AB" w:rsidRDefault="00415EBC" w:rsidP="00960A94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 xml:space="preserve">Žene žrtve porodičnog i rodno zasnovanog nasilja su glavni korisnici projekta, međutim osim žena to mogu biti i njihova djeca na koje nasilje ostavlja najveće posljedice. </w:t>
            </w:r>
          </w:p>
          <w:p w:rsidR="005B3171" w:rsidRDefault="00415EBC" w:rsidP="00960A94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 xml:space="preserve">Kao što je i istraživanje pokazalo </w:t>
            </w:r>
            <w:r w:rsidRPr="00415EBC">
              <w:rPr>
                <w:rFonts w:ascii="Calibri" w:hAnsi="Calibri"/>
                <w:lang w:val="sr-Latn-ME"/>
              </w:rPr>
              <w:t>čak 42% žena koje su imale, ili sada imaju muškog partnera, tokom života je imalo iskustvo sa bar jednim od četiri tipa partnerskog nasilja - psihičkim, ekonomskim, fizičkim ili seksualnim</w:t>
            </w:r>
            <w:r>
              <w:rPr>
                <w:rFonts w:ascii="Calibri" w:hAnsi="Calibri"/>
                <w:lang w:val="sr-Latn-ME"/>
              </w:rPr>
              <w:t xml:space="preserve">. </w:t>
            </w:r>
            <w:r w:rsidR="005B3171" w:rsidRPr="005B3171">
              <w:rPr>
                <w:rFonts w:ascii="Calibri" w:hAnsi="Calibri"/>
                <w:lang w:val="sr-Latn-ME"/>
              </w:rPr>
              <w:t>U pros</w:t>
            </w:r>
            <w:r w:rsidR="005B3171">
              <w:rPr>
                <w:rFonts w:ascii="Calibri" w:hAnsi="Calibri"/>
                <w:lang w:val="sr-Latn-ME"/>
              </w:rPr>
              <w:t>j</w:t>
            </w:r>
            <w:r w:rsidR="005B3171" w:rsidRPr="005B3171">
              <w:rPr>
                <w:rFonts w:ascii="Calibri" w:hAnsi="Calibri"/>
                <w:lang w:val="sr-Latn-ME"/>
              </w:rPr>
              <w:t>eku, svaka deseta žena u Crnoj Gori je iskusila jedan oblik fizičkog nasilja</w:t>
            </w:r>
            <w:r w:rsidR="005B3171">
              <w:rPr>
                <w:rFonts w:ascii="Calibri" w:hAnsi="Calibri"/>
                <w:lang w:val="sr-Latn-ME"/>
              </w:rPr>
              <w:t>. Istraživanje je pokazalo da</w:t>
            </w:r>
            <w:r w:rsidR="005B3171" w:rsidRPr="005B3171">
              <w:rPr>
                <w:rFonts w:ascii="Calibri" w:hAnsi="Calibri"/>
                <w:lang w:val="sr-Latn-ME"/>
              </w:rPr>
              <w:t xml:space="preserve"> više od polovine žena koje su pretrp</w:t>
            </w:r>
            <w:r w:rsidR="005B3171">
              <w:rPr>
                <w:rFonts w:ascii="Calibri" w:hAnsi="Calibri"/>
                <w:lang w:val="sr-Latn-ME"/>
              </w:rPr>
              <w:t>j</w:t>
            </w:r>
            <w:r w:rsidR="005B3171" w:rsidRPr="005B3171">
              <w:rPr>
                <w:rFonts w:ascii="Calibri" w:hAnsi="Calibri"/>
                <w:lang w:val="sr-Latn-ME"/>
              </w:rPr>
              <w:t xml:space="preserve">ele </w:t>
            </w:r>
            <w:r w:rsidR="005B3171">
              <w:rPr>
                <w:rFonts w:ascii="Calibri" w:hAnsi="Calibri"/>
                <w:lang w:val="sr-Latn-ME"/>
              </w:rPr>
              <w:t xml:space="preserve">fizičko nasilje </w:t>
            </w:r>
            <w:r w:rsidR="005B3171" w:rsidRPr="005B3171">
              <w:rPr>
                <w:rFonts w:ascii="Calibri" w:hAnsi="Calibri"/>
                <w:lang w:val="sr-Latn-ME"/>
              </w:rPr>
              <w:t>potražilo je pomoć od nekoga. Ipak, među ženama koje se odlučuju da potraže pomoć i kod fizičkog nasilja najviše je onih koje se obraćaju porodici i prijateljima. Ponovo uzimajući u obzir sve ispitivane oblike fizičkog nasilja, u pros</w:t>
            </w:r>
            <w:r w:rsidR="005B3171">
              <w:rPr>
                <w:rFonts w:ascii="Calibri" w:hAnsi="Calibri"/>
                <w:lang w:val="sr-Latn-ME"/>
              </w:rPr>
              <w:t>j</w:t>
            </w:r>
            <w:r w:rsidR="005B3171" w:rsidRPr="005B3171">
              <w:rPr>
                <w:rFonts w:ascii="Calibri" w:hAnsi="Calibri"/>
                <w:lang w:val="sr-Latn-ME"/>
              </w:rPr>
              <w:t>eku se više od polovine žena (52%) nije obratilo nikome za pomoć.</w:t>
            </w:r>
            <w:r w:rsidR="005B3171">
              <w:rPr>
                <w:rFonts w:ascii="Calibri" w:hAnsi="Calibri"/>
                <w:lang w:val="sr-Latn-ME"/>
              </w:rPr>
              <w:t xml:space="preserve"> </w:t>
            </w:r>
            <w:r w:rsidR="008F1A2D">
              <w:rPr>
                <w:rFonts w:ascii="Calibri" w:hAnsi="Calibri"/>
                <w:lang w:val="sr-Latn-ME"/>
              </w:rPr>
              <w:t>Veliki broj žena žrtava nasilja odbačene su od svoje porodice i nakon počinjenog nasilja nemaju gdje da budu smještene. Najveći broj žena ima i djecu. Iz tog razloga potrebno je imati sklonište za žrtve nasilja koje će pružiti žrtvama najbolje uslove kako bi se osjećale sigurno i kako bi im bila pružena najbolja pomoć.</w:t>
            </w:r>
          </w:p>
          <w:p w:rsidR="00415EBC" w:rsidRDefault="00415EBC" w:rsidP="00960A94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lastRenderedPageBreak/>
              <w:t xml:space="preserve">Sa psihloškog stanovišta svim žrtvama nasilja potrebna je podrška i osnaživanje kako istrajale u borbi protiv počinioca nasilja i kako se ne bi nakon učinjenog nasilja vratile nasilniku. </w:t>
            </w:r>
            <w:r w:rsidR="00EF3633">
              <w:rPr>
                <w:rFonts w:ascii="Calibri" w:hAnsi="Calibri"/>
                <w:lang w:val="sr-Latn-ME"/>
              </w:rPr>
              <w:t>Prema istraživanju, č</w:t>
            </w:r>
            <w:r w:rsidR="00EF3633" w:rsidRPr="00EF3633">
              <w:rPr>
                <w:rFonts w:ascii="Calibri" w:hAnsi="Calibri"/>
                <w:lang w:val="sr-Latn-ME"/>
              </w:rPr>
              <w:t>etvrtina žena je iskusilo između jednog i tri ispitivana oblika psihičkog nasilja, a najučestaliji oblik psihičkog nasilja predstavlja insistiranje muških partnera da u svakom trenutku znaju gde se one nalaze. Psihičke oblike nasilja žene trpe sa manjim ili većim stepenom kontinuteta – u proseku za sve ispitivane oblike 70% žena ili više je izvestilo da ih je doživelo makar nekoliko puta tokom života.</w:t>
            </w:r>
            <w:r w:rsidR="00EF3633">
              <w:rPr>
                <w:rFonts w:ascii="Calibri" w:hAnsi="Calibri"/>
                <w:lang w:val="sr-Latn-ME"/>
              </w:rPr>
              <w:t xml:space="preserve"> </w:t>
            </w:r>
            <w:r w:rsidR="00EF3633" w:rsidRPr="00EF3633">
              <w:rPr>
                <w:rFonts w:ascii="Calibri" w:hAnsi="Calibri"/>
                <w:lang w:val="sr-Latn-ME"/>
              </w:rPr>
              <w:t>Žene u Crnoj Gori koje su bile ili jesu u ovom trenutku izložene psihičkom nasilju najčešće se u vezi sa ovim iskustvima ne obraćaju nikome za pomoć.</w:t>
            </w:r>
            <w:r w:rsidR="00EF3633">
              <w:rPr>
                <w:rFonts w:ascii="Calibri" w:hAnsi="Calibri"/>
                <w:lang w:val="sr-Latn-ME"/>
              </w:rPr>
              <w:t xml:space="preserve"> Veoma mali broj žena obratilo se kako državnim institucijama tako i NVO za pomoć prilikom ovakvog vida nasilja. Iz tog razloga potrebno je osnaživati </w:t>
            </w:r>
            <w:r w:rsidR="005B3171">
              <w:rPr>
                <w:rFonts w:ascii="Calibri" w:hAnsi="Calibri"/>
                <w:lang w:val="sr-Latn-ME"/>
              </w:rPr>
              <w:t>žrtve</w:t>
            </w:r>
            <w:r w:rsidR="00EF3633">
              <w:rPr>
                <w:rFonts w:ascii="Calibri" w:hAnsi="Calibri"/>
                <w:lang w:val="sr-Latn-ME"/>
              </w:rPr>
              <w:t xml:space="preserve"> </w:t>
            </w:r>
            <w:r w:rsidR="005B3171">
              <w:rPr>
                <w:rFonts w:ascii="Calibri" w:hAnsi="Calibri"/>
                <w:lang w:val="sr-Latn-ME"/>
              </w:rPr>
              <w:t>kako da se obrate za pomoć, tako i da se žrtvama pruži podrška na što bolji način.</w:t>
            </w:r>
          </w:p>
          <w:p w:rsidR="005B3171" w:rsidRPr="002A6002" w:rsidRDefault="008F1A2D" w:rsidP="00042A84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 xml:space="preserve">Oba segmenta, dakle i smještaj i osnaživanje, dovešće do više procesuiranih predmeta nasilja nad ženama i nasilja u porodici, a samim tim manji broj žena će se vratiti nasilniku. </w:t>
            </w:r>
            <w:r w:rsidR="00042A84">
              <w:rPr>
                <w:rFonts w:ascii="Calibri" w:hAnsi="Calibri"/>
                <w:lang w:val="sr-Latn-ME"/>
              </w:rPr>
              <w:t>Ove usluge vrše se i u skladu sa Zakonom o socijalnoj i dječjoj zaštiti.</w:t>
            </w:r>
          </w:p>
        </w:tc>
      </w:tr>
    </w:tbl>
    <w:p w:rsidR="00F470AB" w:rsidRPr="002A6002" w:rsidRDefault="00F470AB" w:rsidP="00F470AB">
      <w:pPr>
        <w:ind w:left="792"/>
        <w:rPr>
          <w:lang w:val="sr-Latn-ME"/>
        </w:rPr>
      </w:pPr>
    </w:p>
    <w:p w:rsidR="00D170E4" w:rsidRPr="002A6002" w:rsidRDefault="00D170E4" w:rsidP="00D170E4">
      <w:pPr>
        <w:pStyle w:val="ListParagraph"/>
        <w:ind w:left="792"/>
        <w:rPr>
          <w:lang w:val="sr-Latn-ME"/>
        </w:rPr>
      </w:pPr>
    </w:p>
    <w:p w:rsidR="00FF5B24" w:rsidRPr="002A6002" w:rsidRDefault="001E36C7" w:rsidP="001E36C7">
      <w:pPr>
        <w:pStyle w:val="ListParagraph"/>
        <w:numPr>
          <w:ilvl w:val="1"/>
          <w:numId w:val="5"/>
        </w:numPr>
        <w:rPr>
          <w:lang w:val="sr-Latn-ME"/>
        </w:rPr>
      </w:pPr>
      <w:r w:rsidRPr="002A6002">
        <w:rPr>
          <w:lang w:val="sr-Latn-ME"/>
        </w:rP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83"/>
        <w:gridCol w:w="6737"/>
      </w:tblGrid>
      <w:tr w:rsidR="00F470AB" w:rsidRPr="002A6002" w:rsidTr="00F2723F">
        <w:tc>
          <w:tcPr>
            <w:tcW w:w="1352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2A6002" w:rsidRDefault="00F470AB" w:rsidP="00F470AB">
            <w:pPr>
              <w:spacing w:after="0"/>
              <w:jc w:val="center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Očekivani broj projekata koji se planira finansirati / broj ugovora koje se planira zaključiti s NVO</w:t>
            </w:r>
          </w:p>
        </w:tc>
      </w:tr>
      <w:tr w:rsidR="00F470AB" w:rsidRPr="002A6002" w:rsidTr="00F2723F">
        <w:tc>
          <w:tcPr>
            <w:tcW w:w="6783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70AB" w:rsidRPr="00982A7E" w:rsidRDefault="00B33C20" w:rsidP="00B33C20">
            <w:pPr>
              <w:spacing w:after="0"/>
              <w:rPr>
                <w:rFonts w:ascii="Calibri" w:hAnsi="Calibri"/>
                <w:highlight w:val="yellow"/>
                <w:lang w:val="sr-Latn-ME"/>
              </w:rPr>
            </w:pPr>
            <w:r w:rsidRPr="00F2723F">
              <w:rPr>
                <w:rFonts w:ascii="Calibri" w:hAnsi="Calibri"/>
                <w:lang w:val="sr-Latn-ME"/>
              </w:rPr>
              <w:t>Smještaj</w:t>
            </w:r>
            <w:r w:rsidR="005756A6" w:rsidRPr="00F2723F">
              <w:rPr>
                <w:rFonts w:ascii="Calibri" w:hAnsi="Calibri"/>
                <w:lang w:val="sr-Latn-ME"/>
              </w:rPr>
              <w:t xml:space="preserve"> za žrtve nasilja </w:t>
            </w:r>
            <w:r w:rsidRPr="00F2723F">
              <w:rPr>
                <w:rFonts w:ascii="Calibri" w:hAnsi="Calibri"/>
                <w:lang w:val="sr-Latn-ME"/>
              </w:rPr>
              <w:t>u porodici</w:t>
            </w:r>
          </w:p>
        </w:tc>
        <w:tc>
          <w:tcPr>
            <w:tcW w:w="6737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70AB" w:rsidRPr="002A6002" w:rsidRDefault="00F2723F" w:rsidP="00916AEF">
            <w:pPr>
              <w:spacing w:after="0"/>
              <w:jc w:val="center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4</w:t>
            </w:r>
          </w:p>
        </w:tc>
      </w:tr>
    </w:tbl>
    <w:p w:rsidR="00F470AB" w:rsidRPr="002A6002" w:rsidRDefault="00F470AB" w:rsidP="00F470AB">
      <w:pPr>
        <w:ind w:left="792"/>
        <w:rPr>
          <w:lang w:val="sr-Latn-ME"/>
        </w:rPr>
      </w:pPr>
    </w:p>
    <w:p w:rsidR="00FF5B24" w:rsidRPr="002A6002" w:rsidRDefault="001E36C7" w:rsidP="00B36C88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2A6002">
        <w:rPr>
          <w:lang w:val="sr-Latn-ME"/>
        </w:rP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67"/>
        <w:gridCol w:w="6753"/>
      </w:tblGrid>
      <w:tr w:rsidR="00B215A4" w:rsidRPr="002A6002" w:rsidTr="00176412">
        <w:trPr>
          <w:trHeight w:val="372"/>
        </w:trPr>
        <w:tc>
          <w:tcPr>
            <w:tcW w:w="13520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B215A4" w:rsidRPr="002A6002" w:rsidRDefault="00B215A4" w:rsidP="009A743C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Naziv javnog konkursa:</w:t>
            </w:r>
            <w:r w:rsidR="00176412">
              <w:t xml:space="preserve"> </w:t>
            </w:r>
            <w:r w:rsidR="00176412" w:rsidRPr="00F2723F">
              <w:rPr>
                <w:rFonts w:ascii="Calibri" w:hAnsi="Calibri"/>
                <w:lang w:val="sr-Latn-ME"/>
              </w:rPr>
              <w:t>Smještaj za žrtve nasilja u porodici</w:t>
            </w:r>
          </w:p>
        </w:tc>
      </w:tr>
      <w:tr w:rsidR="00B215A4" w:rsidRPr="002A6002" w:rsidTr="00176412">
        <w:tc>
          <w:tcPr>
            <w:tcW w:w="6767" w:type="dxa"/>
          </w:tcPr>
          <w:p w:rsidR="00B215A4" w:rsidRPr="002A6002" w:rsidRDefault="00B215A4" w:rsidP="00B215A4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lang w:val="sr-Latn-ME"/>
              </w:rPr>
              <w:t xml:space="preserve">Najniži iznos finansijske podrške koju će biti moguće ostvariti na osnovu javnog konkursa:  </w:t>
            </w:r>
            <w:r w:rsidR="00F2723F" w:rsidRPr="00F2723F">
              <w:rPr>
                <w:lang w:val="sr-Latn-ME"/>
              </w:rPr>
              <w:t>5</w:t>
            </w:r>
            <w:r w:rsidR="00DB4556" w:rsidRPr="00F2723F">
              <w:rPr>
                <w:lang w:val="sr-Latn-ME"/>
              </w:rPr>
              <w:t>.000</w:t>
            </w:r>
            <w:r w:rsidRPr="00F2723F">
              <w:rPr>
                <w:lang w:val="sr-Latn-ME"/>
              </w:rPr>
              <w:t xml:space="preserve"> EURA</w:t>
            </w:r>
          </w:p>
          <w:p w:rsidR="00B215A4" w:rsidRPr="002A6002" w:rsidRDefault="00B215A4" w:rsidP="00B215A4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6753" w:type="dxa"/>
            <w:tcMar>
              <w:top w:w="57" w:type="dxa"/>
              <w:bottom w:w="57" w:type="dxa"/>
            </w:tcMar>
          </w:tcPr>
          <w:p w:rsidR="00B215A4" w:rsidRPr="002A6002" w:rsidRDefault="00B215A4" w:rsidP="00F2723F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lang w:val="sr-Latn-ME"/>
              </w:rPr>
              <w:t xml:space="preserve">Najviši iznos finansijske podrške koju će biti moguće ostvariti na osnovu javnog konkursa:  </w:t>
            </w:r>
            <w:r w:rsidR="00F2723F" w:rsidRPr="00F2723F">
              <w:rPr>
                <w:lang w:val="sr-Latn-ME"/>
              </w:rPr>
              <w:t>20</w:t>
            </w:r>
            <w:r w:rsidR="00DB4556" w:rsidRPr="00F2723F">
              <w:rPr>
                <w:lang w:val="sr-Latn-ME"/>
              </w:rPr>
              <w:t>.000</w:t>
            </w:r>
            <w:r w:rsidRPr="00F2723F">
              <w:rPr>
                <w:lang w:val="sr-Latn-ME"/>
              </w:rPr>
              <w:t xml:space="preserve"> EURA</w:t>
            </w:r>
          </w:p>
        </w:tc>
      </w:tr>
    </w:tbl>
    <w:p w:rsidR="00EE3ADD" w:rsidRPr="002A6002" w:rsidRDefault="00EE3ADD" w:rsidP="00EE3ADD">
      <w:pPr>
        <w:ind w:left="426" w:hanging="426"/>
        <w:rPr>
          <w:lang w:val="sr-Latn-ME"/>
        </w:rPr>
      </w:pPr>
    </w:p>
    <w:p w:rsidR="00FF5B24" w:rsidRPr="002A6002" w:rsidRDefault="00EE3ADD" w:rsidP="00EE3ADD">
      <w:pPr>
        <w:ind w:left="426"/>
        <w:rPr>
          <w:b/>
          <w:i/>
          <w:lang w:val="sr-Latn-ME"/>
        </w:rPr>
      </w:pPr>
      <w:r w:rsidRPr="002A6002">
        <w:rPr>
          <w:b/>
          <w:lang w:val="sr-Latn-ME"/>
        </w:rPr>
        <w:t>NAPOMENA:</w:t>
      </w:r>
      <w:r w:rsidRPr="002A6002">
        <w:rPr>
          <w:lang w:val="sr-Latn-ME"/>
        </w:rPr>
        <w:t xml:space="preserve"> stavom 4 člana 32ž Zakona o NVO, definisano je</w:t>
      </w:r>
      <w:r w:rsidR="0030296C" w:rsidRPr="002A6002">
        <w:rPr>
          <w:lang w:val="sr-Latn-ME"/>
        </w:rPr>
        <w:t>:</w:t>
      </w:r>
      <w:r w:rsidRPr="002A6002">
        <w:rPr>
          <w:lang w:val="sr-Latn-ME"/>
        </w:rPr>
        <w:t xml:space="preserve"> </w:t>
      </w:r>
      <w:r w:rsidR="0030296C" w:rsidRPr="002A6002">
        <w:rPr>
          <w:b/>
          <w:i/>
          <w:lang w:val="sr-Latn-ME"/>
        </w:rPr>
        <w:t>“</w:t>
      </w:r>
      <w:r w:rsidRPr="002A6002">
        <w:rPr>
          <w:b/>
          <w:i/>
          <w:lang w:val="sr-Latn-ME"/>
        </w:rPr>
        <w:t xml:space="preserve">Ukupan iznos sredstava koja se na osnovu javnog konkursa mogu dodijeliti nevladinoj organizaciji za finansiranje </w:t>
      </w:r>
      <w:r w:rsidR="0030296C" w:rsidRPr="002A6002">
        <w:rPr>
          <w:b/>
          <w:i/>
          <w:lang w:val="sr-Latn-ME"/>
        </w:rPr>
        <w:t>p</w:t>
      </w:r>
      <w:r w:rsidRPr="002A6002">
        <w:rPr>
          <w:b/>
          <w:i/>
          <w:lang w:val="sr-Latn-ME"/>
        </w:rPr>
        <w:t>rojekta, odnosno programa, ne može preći 20% od ukupno opredijeljenih sredstava koja se raspodjeljuju na osnovu tog konkursa.</w:t>
      </w:r>
      <w:r w:rsidR="0030296C" w:rsidRPr="002A6002">
        <w:rPr>
          <w:b/>
          <w:i/>
          <w:lang w:val="sr-Latn-ME"/>
        </w:rPr>
        <w:t>”</w:t>
      </w:r>
      <w:r w:rsidRPr="002A6002">
        <w:rPr>
          <w:b/>
          <w:i/>
          <w:lang w:val="sr-Latn-ME"/>
        </w:rPr>
        <w:t xml:space="preserve"> </w:t>
      </w:r>
    </w:p>
    <w:p w:rsidR="0030296C" w:rsidRPr="002A6002" w:rsidRDefault="0030296C" w:rsidP="00EE3ADD">
      <w:pPr>
        <w:ind w:left="426"/>
        <w:rPr>
          <w:lang w:val="sr-Latn-ME"/>
        </w:rPr>
      </w:pPr>
    </w:p>
    <w:p w:rsidR="00FF5B24" w:rsidRPr="002A6002" w:rsidRDefault="001E36C7" w:rsidP="001E36C7">
      <w:pPr>
        <w:pStyle w:val="ListParagraph"/>
        <w:numPr>
          <w:ilvl w:val="0"/>
          <w:numId w:val="5"/>
        </w:numPr>
        <w:rPr>
          <w:b/>
          <w:lang w:val="sr-Latn-ME"/>
        </w:rPr>
      </w:pPr>
      <w:r w:rsidRPr="002A6002">
        <w:rPr>
          <w:b/>
          <w:lang w:val="sr-Latn-ME"/>
        </w:rPr>
        <w:lastRenderedPageBreak/>
        <w:t>KONSULTACIJE SA ZAINTERESOVANIM NEVLADINIM ORGANIZAICJAMA</w:t>
      </w:r>
    </w:p>
    <w:p w:rsidR="00FF5B24" w:rsidRPr="002A6002" w:rsidRDefault="001E36C7" w:rsidP="00B36C88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2A6002">
        <w:rPr>
          <w:lang w:val="sr-Latn-ME"/>
        </w:rPr>
        <w:t xml:space="preserve">Navesti na koji način je u skladu sa </w:t>
      </w:r>
      <w:r w:rsidR="00FC7A86" w:rsidRPr="002A6002">
        <w:rPr>
          <w:lang w:val="sr-Latn-ME"/>
        </w:rPr>
        <w:t xml:space="preserve">važećim propisima </w:t>
      </w:r>
      <w:r w:rsidRPr="002A6002">
        <w:rPr>
          <w:lang w:val="sr-Latn-ME"/>
        </w:rPr>
        <w:t>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05"/>
        <w:gridCol w:w="4504"/>
        <w:gridCol w:w="4511"/>
      </w:tblGrid>
      <w:tr w:rsidR="00893D37" w:rsidRPr="002A6002" w:rsidTr="00893D37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2A6002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2A6002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893D37" w:rsidRPr="002A6002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Naziv  NVO koj</w:t>
            </w:r>
            <w:r w:rsidR="007F6C61" w:rsidRPr="002A6002">
              <w:rPr>
                <w:rFonts w:ascii="Calibri" w:hAnsi="Calibri"/>
                <w:lang w:val="sr-Latn-ME"/>
              </w:rPr>
              <w:t>e</w:t>
            </w:r>
            <w:r w:rsidRPr="002A6002">
              <w:rPr>
                <w:rFonts w:ascii="Calibri" w:hAnsi="Calibri"/>
                <w:lang w:val="sr-Latn-ME"/>
              </w:rPr>
              <w:t xml:space="preserve"> su učestvoval</w:t>
            </w:r>
            <w:r w:rsidR="007F6C61" w:rsidRPr="002A6002">
              <w:rPr>
                <w:rFonts w:ascii="Calibri" w:hAnsi="Calibri"/>
                <w:lang w:val="sr-Latn-ME"/>
              </w:rPr>
              <w:t>e</w:t>
            </w:r>
            <w:r w:rsidRPr="002A6002">
              <w:rPr>
                <w:rFonts w:ascii="Calibri" w:hAnsi="Calibri"/>
                <w:lang w:val="sr-Latn-ME"/>
              </w:rPr>
              <w:t xml:space="preserve"> u konsultacijama</w:t>
            </w:r>
          </w:p>
        </w:tc>
      </w:tr>
      <w:tr w:rsidR="00893D37" w:rsidRPr="002A6002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2A6002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2A6002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2A6002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</w:tr>
      <w:tr w:rsidR="00893D37" w:rsidRPr="002A6002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2A6002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2A6002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2A6002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</w:tr>
      <w:tr w:rsidR="00893D37" w:rsidRPr="002A6002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2A6002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2A6002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2A6002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</w:tr>
    </w:tbl>
    <w:p w:rsidR="00FF5B24" w:rsidRPr="002A6002" w:rsidRDefault="00FF5B24" w:rsidP="00FF5B24">
      <w:pPr>
        <w:rPr>
          <w:lang w:val="sr-Latn-ME"/>
        </w:rPr>
      </w:pPr>
    </w:p>
    <w:p w:rsidR="00D170E4" w:rsidRPr="002A6002" w:rsidRDefault="00D170E4" w:rsidP="00FF5B24">
      <w:pPr>
        <w:rPr>
          <w:lang w:val="sr-Latn-ME"/>
        </w:rPr>
      </w:pPr>
    </w:p>
    <w:p w:rsidR="00D170E4" w:rsidRPr="002A6002" w:rsidRDefault="00D170E4" w:rsidP="00FF5B24">
      <w:pPr>
        <w:rPr>
          <w:lang w:val="sr-Latn-ME"/>
        </w:rPr>
      </w:pPr>
    </w:p>
    <w:p w:rsidR="00FF5B24" w:rsidRPr="002A6002" w:rsidRDefault="001E36C7" w:rsidP="00F47631">
      <w:pPr>
        <w:pStyle w:val="ListParagraph"/>
        <w:numPr>
          <w:ilvl w:val="0"/>
          <w:numId w:val="5"/>
        </w:numPr>
        <w:jc w:val="both"/>
        <w:rPr>
          <w:b/>
          <w:lang w:val="sr-Latn-ME"/>
        </w:rPr>
      </w:pPr>
      <w:r w:rsidRPr="002A6002">
        <w:rPr>
          <w:b/>
          <w:lang w:val="sr-Latn-ME"/>
        </w:rPr>
        <w:t>KAPACITETI ZA SPROVOĐENJE JAVNOG KONKURSA</w:t>
      </w:r>
    </w:p>
    <w:p w:rsidR="001E36C7" w:rsidRPr="002A6002" w:rsidRDefault="001E36C7" w:rsidP="00F47631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2A6002">
        <w:rPr>
          <w:lang w:val="sr-Latn-ME"/>
        </w:rPr>
        <w:t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</w:t>
      </w:r>
      <w:r w:rsidR="00773572" w:rsidRPr="002A6002">
        <w:rPr>
          <w:lang w:val="sr-Latn-ME"/>
        </w:rPr>
        <w:t xml:space="preserve"> i odobrenim projektom</w:t>
      </w:r>
      <w:r w:rsidR="00234A90" w:rsidRPr="002A6002">
        <w:rPr>
          <w:lang w:val="sr-Latn-ME"/>
        </w:rPr>
        <w:t>/programom</w:t>
      </w:r>
      <w:r w:rsidRPr="002A6002">
        <w:rPr>
          <w:lang w:val="sr-Latn-ME"/>
        </w:rPr>
        <w:t xml:space="preserve">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B215A4" w:rsidRPr="002A6002" w:rsidTr="00B215A4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2A6002" w:rsidRDefault="00B215A4" w:rsidP="002F1960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2A6002" w:rsidRDefault="00B215A4" w:rsidP="00E270F9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 xml:space="preserve">Broj službenika/ica </w:t>
            </w:r>
            <w:r w:rsidR="00E47DA5" w:rsidRPr="002A6002">
              <w:rPr>
                <w:rFonts w:ascii="Calibri" w:hAnsi="Calibri"/>
                <w:lang w:val="sr-Latn-ME"/>
              </w:rPr>
              <w:t>zaduženi</w:t>
            </w:r>
            <w:r w:rsidR="00966ED1" w:rsidRPr="002A6002">
              <w:rPr>
                <w:rFonts w:ascii="Calibri" w:hAnsi="Calibri"/>
                <w:lang w:val="sr-Latn-ME"/>
              </w:rPr>
              <w:t>h</w:t>
            </w:r>
            <w:r w:rsidRPr="002A6002">
              <w:rPr>
                <w:rFonts w:ascii="Calibri" w:hAnsi="Calibri"/>
                <w:lang w:val="sr-Latn-ME"/>
              </w:rPr>
              <w:t xml:space="preserve"> </w:t>
            </w:r>
            <w:r w:rsidR="00E47DA5" w:rsidRPr="002A6002">
              <w:rPr>
                <w:rFonts w:ascii="Calibri" w:hAnsi="Calibri"/>
                <w:lang w:val="sr-Latn-ME"/>
              </w:rPr>
              <w:t xml:space="preserve">za sprovođenje javnog konkursa i praćenje finansiranih projekata i programa nevladinih organizacija 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15A4" w:rsidRPr="002A6002" w:rsidRDefault="00B215A4" w:rsidP="00E270F9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 xml:space="preserve">Imena </w:t>
            </w:r>
            <w:r w:rsidR="00E270F9" w:rsidRPr="002A6002">
              <w:rPr>
                <w:rFonts w:ascii="Calibri" w:hAnsi="Calibri"/>
                <w:lang w:val="sr-Latn-ME"/>
              </w:rPr>
              <w:t xml:space="preserve">službenika/ica </w:t>
            </w:r>
            <w:r w:rsidRPr="002A6002">
              <w:rPr>
                <w:rFonts w:ascii="Calibri" w:hAnsi="Calibri"/>
                <w:lang w:val="sr-Latn-ME"/>
              </w:rPr>
              <w:t>zaduženih za sprovođenje javnog konkursa i praćenje finansiranih projekata i programa nevladinih organizacija</w:t>
            </w:r>
          </w:p>
        </w:tc>
      </w:tr>
      <w:tr w:rsidR="00B215A4" w:rsidRPr="002A6002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2A6002" w:rsidRDefault="00B215A4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2A6002" w:rsidRDefault="00B215A4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2A6002" w:rsidRDefault="00B215A4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</w:tr>
      <w:tr w:rsidR="00B215A4" w:rsidRPr="002A6002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2A6002" w:rsidRDefault="00B215A4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2A6002" w:rsidRDefault="00B215A4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2A6002" w:rsidRDefault="00B215A4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</w:tr>
      <w:tr w:rsidR="00B215A4" w:rsidRPr="002A6002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2A6002" w:rsidRDefault="00B215A4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2A6002" w:rsidRDefault="00B215A4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2A6002" w:rsidRDefault="00B215A4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</w:tr>
    </w:tbl>
    <w:p w:rsidR="009A2079" w:rsidRPr="002A6002" w:rsidRDefault="009A2079" w:rsidP="009A2079">
      <w:pPr>
        <w:ind w:left="792"/>
        <w:rPr>
          <w:lang w:val="sr-Latn-ME"/>
        </w:rPr>
      </w:pPr>
    </w:p>
    <w:p w:rsidR="001E36C7" w:rsidRPr="002A6002" w:rsidRDefault="00997797" w:rsidP="00997797">
      <w:pPr>
        <w:ind w:left="720"/>
        <w:jc w:val="center"/>
        <w:rPr>
          <w:rFonts w:ascii="Calibri" w:hAnsi="Calibri"/>
          <w:b/>
          <w:lang w:val="sr-Latn-ME"/>
        </w:rPr>
      </w:pPr>
      <w:r w:rsidRPr="002A6002">
        <w:rPr>
          <w:rFonts w:ascii="Calibri" w:hAnsi="Calibri"/>
          <w:b/>
          <w:lang w:val="sr-Latn-ME"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"/>
        <w:gridCol w:w="4182"/>
        <w:gridCol w:w="4449"/>
        <w:gridCol w:w="4310"/>
        <w:gridCol w:w="236"/>
      </w:tblGrid>
      <w:tr w:rsidR="00997797" w:rsidRPr="002A6002" w:rsidTr="001742F3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9A2079" w:rsidRPr="002A6002" w:rsidRDefault="009A2079" w:rsidP="00997797">
            <w:pPr>
              <w:rPr>
                <w:lang w:val="sr-Latn-ME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:rsidR="009A2079" w:rsidRPr="002A6002" w:rsidRDefault="009A2079" w:rsidP="009A2079">
            <w:pPr>
              <w:jc w:val="center"/>
              <w:rPr>
                <w:lang w:val="sr-Latn-ME"/>
              </w:rPr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9A2079" w:rsidRPr="002A6002" w:rsidRDefault="009A2079" w:rsidP="009A2079">
            <w:pPr>
              <w:jc w:val="center"/>
              <w:rPr>
                <w:lang w:val="sr-Latn-ME"/>
              </w:rPr>
            </w:pPr>
          </w:p>
          <w:p w:rsidR="00997797" w:rsidRPr="002A6002" w:rsidRDefault="00997797" w:rsidP="009A2079">
            <w:pPr>
              <w:jc w:val="center"/>
              <w:rPr>
                <w:lang w:val="sr-Latn-ME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9A2079" w:rsidRPr="002A6002" w:rsidRDefault="009A2079" w:rsidP="009A2079">
            <w:pPr>
              <w:jc w:val="center"/>
              <w:rPr>
                <w:lang w:val="sr-Latn-ME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9A2079" w:rsidRPr="002A6002" w:rsidRDefault="009A2079" w:rsidP="001E36C7">
            <w:pPr>
              <w:rPr>
                <w:lang w:val="sr-Latn-ME"/>
              </w:rPr>
            </w:pPr>
          </w:p>
        </w:tc>
      </w:tr>
      <w:tr w:rsidR="00997797" w:rsidRPr="002A6002" w:rsidTr="001742F3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9A2079" w:rsidRPr="002A6002" w:rsidRDefault="009A2079" w:rsidP="001E36C7">
            <w:pPr>
              <w:rPr>
                <w:lang w:val="sr-Latn-ME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:rsidR="009A2079" w:rsidRPr="002A6002" w:rsidRDefault="009A2079" w:rsidP="009A2079">
            <w:pPr>
              <w:jc w:val="center"/>
              <w:rPr>
                <w:lang w:val="sr-Latn-ME"/>
              </w:rPr>
            </w:pPr>
            <w:r w:rsidRPr="002A6002">
              <w:rPr>
                <w:lang w:val="sr-Latn-ME"/>
              </w:rPr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9A2079" w:rsidRPr="002A6002" w:rsidRDefault="009A2079" w:rsidP="009A2079">
            <w:pPr>
              <w:jc w:val="center"/>
              <w:rPr>
                <w:lang w:val="sr-Latn-ME"/>
              </w:rPr>
            </w:pPr>
            <w:r w:rsidRPr="002A6002">
              <w:rPr>
                <w:lang w:val="sr-Latn-ME"/>
              </w:rPr>
              <w:t>M.P.</w:t>
            </w:r>
          </w:p>
          <w:p w:rsidR="00997797" w:rsidRPr="002A6002" w:rsidRDefault="00997797" w:rsidP="009A2079">
            <w:pPr>
              <w:jc w:val="center"/>
              <w:rPr>
                <w:lang w:val="sr-Latn-ME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9A2079" w:rsidRPr="002A6002" w:rsidRDefault="009A2079" w:rsidP="009A2079">
            <w:pPr>
              <w:jc w:val="center"/>
              <w:rPr>
                <w:lang w:val="sr-Latn-ME"/>
              </w:rPr>
            </w:pPr>
            <w:r w:rsidRPr="002A6002">
              <w:rPr>
                <w:lang w:val="sr-Latn-ME"/>
              </w:rPr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9A2079" w:rsidRPr="002A6002" w:rsidRDefault="009A2079" w:rsidP="001E36C7">
            <w:pPr>
              <w:rPr>
                <w:lang w:val="sr-Latn-ME"/>
              </w:rPr>
            </w:pPr>
          </w:p>
        </w:tc>
      </w:tr>
    </w:tbl>
    <w:p w:rsidR="009A2079" w:rsidRPr="002A6002" w:rsidRDefault="009A2079" w:rsidP="00D14758">
      <w:pPr>
        <w:rPr>
          <w:lang w:val="sr-Latn-ME"/>
        </w:rPr>
      </w:pPr>
    </w:p>
    <w:sectPr w:rsidR="009A2079" w:rsidRPr="002A6002" w:rsidSect="00B82707">
      <w:headerReference w:type="first" r:id="rId9"/>
      <w:pgSz w:w="16840" w:h="11900" w:orient="landscape"/>
      <w:pgMar w:top="852" w:right="1440" w:bottom="1080" w:left="1078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38D" w:rsidRDefault="00B1238D" w:rsidP="00893B03">
      <w:pPr>
        <w:spacing w:after="0"/>
      </w:pPr>
      <w:r>
        <w:separator/>
      </w:r>
    </w:p>
  </w:endnote>
  <w:endnote w:type="continuationSeparator" w:id="0">
    <w:p w:rsidR="00B1238D" w:rsidRDefault="00B1238D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38D" w:rsidRDefault="00B1238D" w:rsidP="00893B03">
      <w:pPr>
        <w:spacing w:after="0"/>
      </w:pPr>
      <w:r>
        <w:separator/>
      </w:r>
    </w:p>
  </w:footnote>
  <w:footnote w:type="continuationSeparator" w:id="0">
    <w:p w:rsidR="00B1238D" w:rsidRDefault="00B1238D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36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14358"/>
    </w:tblGrid>
    <w:tr w:rsidR="00B84AF3" w:rsidRPr="005E37F9" w:rsidTr="00B84AF3">
      <w:tc>
        <w:tcPr>
          <w:tcW w:w="978" w:type="dxa"/>
          <w:shd w:val="clear" w:color="auto" w:fill="auto"/>
        </w:tcPr>
        <w:p w:rsidR="00B84AF3" w:rsidRPr="005E37F9" w:rsidRDefault="00B84AF3" w:rsidP="00B84AF3">
          <w:pPr>
            <w:pStyle w:val="Header"/>
            <w:jc w:val="right"/>
          </w:pPr>
        </w:p>
      </w:tc>
      <w:tc>
        <w:tcPr>
          <w:tcW w:w="14358" w:type="dxa"/>
          <w:shd w:val="clear" w:color="auto" w:fill="auto"/>
        </w:tcPr>
        <w:p w:rsidR="00B84AF3" w:rsidRDefault="00B84AF3" w:rsidP="00B84AF3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9097010</wp:posOffset>
                </wp:positionH>
                <wp:positionV relativeFrom="paragraph">
                  <wp:posOffset>-1693</wp:posOffset>
                </wp:positionV>
                <wp:extent cx="228600" cy="243840"/>
                <wp:effectExtent l="0" t="0" r="0" b="10160"/>
                <wp:wrapNone/>
                <wp:docPr id="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1</w:t>
          </w:r>
        </w:p>
        <w:p w:rsidR="00B84AF3" w:rsidRPr="005E37F9" w:rsidRDefault="00B84AF3" w:rsidP="009600C7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proofErr w:type="spellStart"/>
          <w:r>
            <w:rPr>
              <w:rFonts w:ascii="Courier New" w:hAnsi="Courier New" w:cs="Courier New"/>
              <w:color w:val="548DD4"/>
              <w:sz w:val="16"/>
              <w:szCs w:val="16"/>
            </w:rPr>
            <w:t>P</w:t>
          </w:r>
          <w:r w:rsidR="009600C7">
            <w:rPr>
              <w:rFonts w:ascii="Courier New" w:hAnsi="Courier New" w:cs="Courier New"/>
              <w:color w:val="548DD4"/>
              <w:sz w:val="16"/>
              <w:szCs w:val="16"/>
            </w:rPr>
            <w:t>o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>moćni</w:t>
          </w:r>
          <w:proofErr w:type="spellEnd"/>
          <w:r>
            <w:rPr>
              <w:rFonts w:ascii="Courier New" w:hAnsi="Courier New" w:cs="Courier New"/>
              <w:color w:val="548DD4"/>
              <w:sz w:val="16"/>
              <w:szCs w:val="16"/>
            </w:rPr>
            <w:t xml:space="preserve"> </w:t>
          </w:r>
          <w:proofErr w:type="spellStart"/>
          <w:r>
            <w:rPr>
              <w:rFonts w:ascii="Courier New" w:hAnsi="Courier New" w:cs="Courier New"/>
              <w:color w:val="548DD4"/>
              <w:sz w:val="16"/>
              <w:szCs w:val="16"/>
            </w:rPr>
            <w:t>obrazac</w:t>
          </w:r>
          <w:proofErr w:type="spellEnd"/>
          <w:r>
            <w:rPr>
              <w:rFonts w:ascii="Courier New" w:hAnsi="Courier New" w:cs="Courier New"/>
              <w:color w:val="548DD4"/>
              <w:sz w:val="16"/>
              <w:szCs w:val="16"/>
            </w:rPr>
            <w:t xml:space="preserve"> </w:t>
          </w:r>
          <w:proofErr w:type="spellStart"/>
          <w:r>
            <w:rPr>
              <w:rFonts w:ascii="Courier New" w:hAnsi="Courier New" w:cs="Courier New"/>
              <w:color w:val="548DD4"/>
              <w:sz w:val="16"/>
              <w:szCs w:val="16"/>
            </w:rPr>
            <w:t>sektorske</w:t>
          </w:r>
          <w:proofErr w:type="spellEnd"/>
          <w:r>
            <w:rPr>
              <w:rFonts w:ascii="Courier New" w:hAnsi="Courier New" w:cs="Courier New"/>
              <w:color w:val="548DD4"/>
              <w:sz w:val="16"/>
              <w:szCs w:val="16"/>
            </w:rPr>
            <w:t xml:space="preserve"> </w:t>
          </w:r>
          <w:proofErr w:type="spellStart"/>
          <w:r>
            <w:rPr>
              <w:rFonts w:ascii="Courier New" w:hAnsi="Courier New" w:cs="Courier New"/>
              <w:color w:val="548DD4"/>
              <w:sz w:val="16"/>
              <w:szCs w:val="16"/>
            </w:rPr>
            <w:t>analize</w:t>
          </w:r>
          <w:proofErr w:type="spellEnd"/>
        </w:p>
      </w:tc>
    </w:tr>
  </w:tbl>
  <w:p w:rsidR="00B84AF3" w:rsidRDefault="00B84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D53073"/>
    <w:multiLevelType w:val="hybridMultilevel"/>
    <w:tmpl w:val="1A382ED6"/>
    <w:lvl w:ilvl="0" w:tplc="02B899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D70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049F0"/>
    <w:rsid w:val="000054D9"/>
    <w:rsid w:val="0002197E"/>
    <w:rsid w:val="00026A98"/>
    <w:rsid w:val="00031932"/>
    <w:rsid w:val="0003220A"/>
    <w:rsid w:val="00035B3D"/>
    <w:rsid w:val="00042A84"/>
    <w:rsid w:val="00056D8B"/>
    <w:rsid w:val="000572A1"/>
    <w:rsid w:val="000650E4"/>
    <w:rsid w:val="00085B89"/>
    <w:rsid w:val="000A27E9"/>
    <w:rsid w:val="000B55C4"/>
    <w:rsid w:val="000B7F68"/>
    <w:rsid w:val="000C517D"/>
    <w:rsid w:val="000E649C"/>
    <w:rsid w:val="000F067E"/>
    <w:rsid w:val="000F62E3"/>
    <w:rsid w:val="00114B5E"/>
    <w:rsid w:val="001157CF"/>
    <w:rsid w:val="001338DC"/>
    <w:rsid w:val="00152265"/>
    <w:rsid w:val="0015454A"/>
    <w:rsid w:val="001715D6"/>
    <w:rsid w:val="001742F3"/>
    <w:rsid w:val="00176412"/>
    <w:rsid w:val="00192DDA"/>
    <w:rsid w:val="001956EF"/>
    <w:rsid w:val="0019681C"/>
    <w:rsid w:val="001B2A55"/>
    <w:rsid w:val="001D1EBF"/>
    <w:rsid w:val="001E03BD"/>
    <w:rsid w:val="001E36C7"/>
    <w:rsid w:val="001E3871"/>
    <w:rsid w:val="001E5E62"/>
    <w:rsid w:val="00207805"/>
    <w:rsid w:val="00233060"/>
    <w:rsid w:val="00234A90"/>
    <w:rsid w:val="002357C4"/>
    <w:rsid w:val="00241CD7"/>
    <w:rsid w:val="002450A0"/>
    <w:rsid w:val="00256C60"/>
    <w:rsid w:val="0026502A"/>
    <w:rsid w:val="00266490"/>
    <w:rsid w:val="00266734"/>
    <w:rsid w:val="002A52FE"/>
    <w:rsid w:val="002A6002"/>
    <w:rsid w:val="002C2C9C"/>
    <w:rsid w:val="002D10E5"/>
    <w:rsid w:val="002E0BB3"/>
    <w:rsid w:val="002E68C7"/>
    <w:rsid w:val="002F1960"/>
    <w:rsid w:val="002F5717"/>
    <w:rsid w:val="00301306"/>
    <w:rsid w:val="0030296C"/>
    <w:rsid w:val="00303E71"/>
    <w:rsid w:val="00326A9D"/>
    <w:rsid w:val="00345BD0"/>
    <w:rsid w:val="00351FC9"/>
    <w:rsid w:val="003559DA"/>
    <w:rsid w:val="00366EA9"/>
    <w:rsid w:val="00367DE2"/>
    <w:rsid w:val="00377CA2"/>
    <w:rsid w:val="0038266C"/>
    <w:rsid w:val="00382D90"/>
    <w:rsid w:val="003864BC"/>
    <w:rsid w:val="00391A6A"/>
    <w:rsid w:val="003B4204"/>
    <w:rsid w:val="003B714D"/>
    <w:rsid w:val="003C222F"/>
    <w:rsid w:val="003C24D8"/>
    <w:rsid w:val="003C384B"/>
    <w:rsid w:val="003D6752"/>
    <w:rsid w:val="003E6367"/>
    <w:rsid w:val="003E6605"/>
    <w:rsid w:val="00400616"/>
    <w:rsid w:val="00415EBC"/>
    <w:rsid w:val="004500B0"/>
    <w:rsid w:val="004628BC"/>
    <w:rsid w:val="00465741"/>
    <w:rsid w:val="004757CE"/>
    <w:rsid w:val="004775FA"/>
    <w:rsid w:val="004864F1"/>
    <w:rsid w:val="00493A3F"/>
    <w:rsid w:val="00496590"/>
    <w:rsid w:val="004B2A62"/>
    <w:rsid w:val="004B45C9"/>
    <w:rsid w:val="004E6F52"/>
    <w:rsid w:val="004F2421"/>
    <w:rsid w:val="00502869"/>
    <w:rsid w:val="00504165"/>
    <w:rsid w:val="00510F37"/>
    <w:rsid w:val="00516ED3"/>
    <w:rsid w:val="00541704"/>
    <w:rsid w:val="005428BA"/>
    <w:rsid w:val="00545714"/>
    <w:rsid w:val="00560F47"/>
    <w:rsid w:val="00561268"/>
    <w:rsid w:val="00564218"/>
    <w:rsid w:val="005754F2"/>
    <w:rsid w:val="005756A6"/>
    <w:rsid w:val="00596A50"/>
    <w:rsid w:val="005B1C23"/>
    <w:rsid w:val="005B3171"/>
    <w:rsid w:val="005B4794"/>
    <w:rsid w:val="005C0065"/>
    <w:rsid w:val="005E04CE"/>
    <w:rsid w:val="005E37F9"/>
    <w:rsid w:val="005F0375"/>
    <w:rsid w:val="006062EB"/>
    <w:rsid w:val="00622E6D"/>
    <w:rsid w:val="00631376"/>
    <w:rsid w:val="0064123D"/>
    <w:rsid w:val="00652635"/>
    <w:rsid w:val="00685B8E"/>
    <w:rsid w:val="0069330B"/>
    <w:rsid w:val="00695A8E"/>
    <w:rsid w:val="006B441C"/>
    <w:rsid w:val="006C6504"/>
    <w:rsid w:val="006E763B"/>
    <w:rsid w:val="006F6C11"/>
    <w:rsid w:val="007077EE"/>
    <w:rsid w:val="00736968"/>
    <w:rsid w:val="00744B81"/>
    <w:rsid w:val="007508D1"/>
    <w:rsid w:val="00773572"/>
    <w:rsid w:val="0077617D"/>
    <w:rsid w:val="007849C3"/>
    <w:rsid w:val="007A587F"/>
    <w:rsid w:val="007D51D8"/>
    <w:rsid w:val="007E3C51"/>
    <w:rsid w:val="007E50A4"/>
    <w:rsid w:val="007E77A8"/>
    <w:rsid w:val="007F5587"/>
    <w:rsid w:val="007F5D79"/>
    <w:rsid w:val="007F6C61"/>
    <w:rsid w:val="008058E1"/>
    <w:rsid w:val="00806934"/>
    <w:rsid w:val="0085188D"/>
    <w:rsid w:val="0087654A"/>
    <w:rsid w:val="00893B03"/>
    <w:rsid w:val="00893D37"/>
    <w:rsid w:val="008C51C2"/>
    <w:rsid w:val="008E6154"/>
    <w:rsid w:val="008F0BE5"/>
    <w:rsid w:val="008F1A2D"/>
    <w:rsid w:val="009068E4"/>
    <w:rsid w:val="00906EDE"/>
    <w:rsid w:val="00916AEF"/>
    <w:rsid w:val="009600C7"/>
    <w:rsid w:val="00960A94"/>
    <w:rsid w:val="00963B9D"/>
    <w:rsid w:val="00966ED1"/>
    <w:rsid w:val="00976040"/>
    <w:rsid w:val="0098003E"/>
    <w:rsid w:val="00982A7E"/>
    <w:rsid w:val="0098708B"/>
    <w:rsid w:val="00997797"/>
    <w:rsid w:val="009A2079"/>
    <w:rsid w:val="009A6DBC"/>
    <w:rsid w:val="009A743C"/>
    <w:rsid w:val="009B1B14"/>
    <w:rsid w:val="00A130E2"/>
    <w:rsid w:val="00A1337B"/>
    <w:rsid w:val="00A2558B"/>
    <w:rsid w:val="00A33786"/>
    <w:rsid w:val="00A37134"/>
    <w:rsid w:val="00A756BD"/>
    <w:rsid w:val="00A97800"/>
    <w:rsid w:val="00AA16B7"/>
    <w:rsid w:val="00AA607B"/>
    <w:rsid w:val="00AB6D92"/>
    <w:rsid w:val="00AC3BB3"/>
    <w:rsid w:val="00AC58B0"/>
    <w:rsid w:val="00AD6294"/>
    <w:rsid w:val="00AE3BBD"/>
    <w:rsid w:val="00AE65B1"/>
    <w:rsid w:val="00AF44A5"/>
    <w:rsid w:val="00AF7B4B"/>
    <w:rsid w:val="00B1238D"/>
    <w:rsid w:val="00B215A4"/>
    <w:rsid w:val="00B231E9"/>
    <w:rsid w:val="00B26DED"/>
    <w:rsid w:val="00B33C20"/>
    <w:rsid w:val="00B36C88"/>
    <w:rsid w:val="00B4123A"/>
    <w:rsid w:val="00B556FC"/>
    <w:rsid w:val="00B64E29"/>
    <w:rsid w:val="00B82707"/>
    <w:rsid w:val="00B83AE0"/>
    <w:rsid w:val="00B84AF3"/>
    <w:rsid w:val="00BA608E"/>
    <w:rsid w:val="00BB12A2"/>
    <w:rsid w:val="00BD2076"/>
    <w:rsid w:val="00BF7161"/>
    <w:rsid w:val="00C04A93"/>
    <w:rsid w:val="00C22F75"/>
    <w:rsid w:val="00C4725B"/>
    <w:rsid w:val="00C51F68"/>
    <w:rsid w:val="00C54064"/>
    <w:rsid w:val="00C5727D"/>
    <w:rsid w:val="00C63484"/>
    <w:rsid w:val="00C644CB"/>
    <w:rsid w:val="00C95284"/>
    <w:rsid w:val="00CC6F83"/>
    <w:rsid w:val="00CD6658"/>
    <w:rsid w:val="00D1232A"/>
    <w:rsid w:val="00D1426E"/>
    <w:rsid w:val="00D14758"/>
    <w:rsid w:val="00D170E4"/>
    <w:rsid w:val="00D30B2D"/>
    <w:rsid w:val="00D34C60"/>
    <w:rsid w:val="00D45CD4"/>
    <w:rsid w:val="00D71441"/>
    <w:rsid w:val="00DB4556"/>
    <w:rsid w:val="00DD6599"/>
    <w:rsid w:val="00DF4537"/>
    <w:rsid w:val="00E218BD"/>
    <w:rsid w:val="00E24648"/>
    <w:rsid w:val="00E25512"/>
    <w:rsid w:val="00E270F9"/>
    <w:rsid w:val="00E34F32"/>
    <w:rsid w:val="00E47DA5"/>
    <w:rsid w:val="00E74144"/>
    <w:rsid w:val="00E77F93"/>
    <w:rsid w:val="00EA19DC"/>
    <w:rsid w:val="00EA3EBA"/>
    <w:rsid w:val="00EC2EB9"/>
    <w:rsid w:val="00ED0560"/>
    <w:rsid w:val="00ED5324"/>
    <w:rsid w:val="00EE3ADD"/>
    <w:rsid w:val="00EF0197"/>
    <w:rsid w:val="00EF3633"/>
    <w:rsid w:val="00F02BD6"/>
    <w:rsid w:val="00F11066"/>
    <w:rsid w:val="00F14CFA"/>
    <w:rsid w:val="00F17416"/>
    <w:rsid w:val="00F22620"/>
    <w:rsid w:val="00F25BC9"/>
    <w:rsid w:val="00F2723F"/>
    <w:rsid w:val="00F406E0"/>
    <w:rsid w:val="00F42D89"/>
    <w:rsid w:val="00F470AB"/>
    <w:rsid w:val="00F47631"/>
    <w:rsid w:val="00F50C5D"/>
    <w:rsid w:val="00F517FE"/>
    <w:rsid w:val="00F7162D"/>
    <w:rsid w:val="00F71F33"/>
    <w:rsid w:val="00F86F8B"/>
    <w:rsid w:val="00F935E9"/>
    <w:rsid w:val="00FB0F76"/>
    <w:rsid w:val="00FC7A86"/>
    <w:rsid w:val="00FD1778"/>
    <w:rsid w:val="00FE6324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03C00C"/>
  <w15:docId w15:val="{207A49D1-F8D9-457C-B8DD-17880BE0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F32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FE623D-D0F4-41B2-A5D1-63DDA2B15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10</Pages>
  <Words>3025</Words>
  <Characters>17246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1: Pomoćni obrazac sektorske analize</vt:lpstr>
    </vt:vector>
  </TitlesOfParts>
  <Manager>Nacionalna kancelarija za saradnju s NVO</Manager>
  <Company>VLADA CRNE GORE - Ministarstvo javne uprave</Company>
  <LinksUpToDate>false</LinksUpToDate>
  <CharactersWithSpaces>20231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1: Pomoćni obrazac sektorske analize</dc:title>
  <dc:subject>Priručnik za primjenu pravnog okvira za finansiranje projekata/programa NVO iz javnih izvora</dc:subject>
  <dc:creator>Vesna Lendić Kasalo, Igor Vidačak, Danka Latković, Marija Janković</dc:creator>
  <dc:description>PRVO ONLINE IZDANJE_x000d_Finansira Evropska unija kroz projekat „Tehnička podrška razvoju institucionalnih mehanizama saradnje Vlade i nevladinih organizacija u Crnoj Gori“</dc:description>
  <cp:lastModifiedBy>Jovana Radifkovic</cp:lastModifiedBy>
  <cp:revision>33</cp:revision>
  <dcterms:created xsi:type="dcterms:W3CDTF">2018-07-03T09:08:00Z</dcterms:created>
  <dcterms:modified xsi:type="dcterms:W3CDTF">2018-07-19T11:12:00Z</dcterms:modified>
</cp:coreProperties>
</file>