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049028980"/>
        <w:docPartObj>
          <w:docPartGallery w:val="Cover Pages"/>
          <w:docPartUnique/>
        </w:docPartObj>
      </w:sdtPr>
      <w:sdtEndPr/>
      <w:sdtContent>
        <w:p w14:paraId="5503625C" w14:textId="2DFCC503" w:rsidR="00CB7685" w:rsidRDefault="00CB7685">
          <w:r>
            <w:t>Crna Gora</w:t>
          </w:r>
        </w:p>
        <w:p w14:paraId="52E5D3BA" w14:textId="39DC5706" w:rsidR="0036318D" w:rsidRDefault="00CB7685">
          <w:r>
            <w:t>Ministarstvo prosvjete, nauke i inovacija</w:t>
          </w:r>
        </w:p>
        <w:p w14:paraId="1AD97C6C" w14:textId="24810DEC" w:rsidR="0036318D" w:rsidRDefault="0036318D">
          <w:r>
            <w:rPr>
              <w:noProof/>
              <w:lang w:val="en-US"/>
            </w:rPr>
            <mc:AlternateContent>
              <mc:Choice Requires="wps">
                <w:drawing>
                  <wp:anchor distT="0" distB="0" distL="182880" distR="182880" simplePos="0" relativeHeight="251660288" behindDoc="0" locked="0" layoutInCell="1" allowOverlap="1" wp14:anchorId="33837A3C" wp14:editId="4220DD90">
                    <wp:simplePos x="0" y="0"/>
                    <wp:positionH relativeFrom="page">
                      <wp:posOffset>1787237</wp:posOffset>
                    </wp:positionH>
                    <wp:positionV relativeFrom="page">
                      <wp:posOffset>4197927</wp:posOffset>
                    </wp:positionV>
                    <wp:extent cx="6858000" cy="6720840"/>
                    <wp:effectExtent l="0" t="0" r="0" b="14605"/>
                    <wp:wrapSquare wrapText="bothSides"/>
                    <wp:docPr id="131" name="Text Box 131"/>
                    <wp:cNvGraphicFramePr/>
                    <a:graphic xmlns:a="http://schemas.openxmlformats.org/drawingml/2006/main">
                      <a:graphicData uri="http://schemas.microsoft.com/office/word/2010/wordprocessingShape">
                        <wps:wsp>
                          <wps:cNvSpPr txBox="1"/>
                          <wps:spPr>
                            <a:xfrm>
                              <a:off x="0" y="0"/>
                              <a:ext cx="68580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D71DA" w14:textId="00905DD0" w:rsidR="0036318D" w:rsidRDefault="00A037FB" w:rsidP="0036318D">
                                <w:pPr>
                                  <w:pStyle w:val="NoSpacing"/>
                                  <w:spacing w:before="40" w:after="560" w:line="216" w:lineRule="auto"/>
                                  <w:jc w:val="center"/>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6318D">
                                      <w:rPr>
                                        <w:color w:val="4472C4" w:themeColor="accent1"/>
                                        <w:sz w:val="72"/>
                                        <w:szCs w:val="72"/>
                                      </w:rPr>
                                      <w:t>STRATEGIJA KARIJERNOG VOĐENJA I SAVJETOVANJA 2025-2030</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7B3C0F5" w14:textId="21ACEBE5" w:rsidR="0036318D" w:rsidRPr="00CB7685" w:rsidRDefault="0036318D" w:rsidP="00CB7685">
                                    <w:pPr>
                                      <w:pStyle w:val="NoSpacing"/>
                                      <w:spacing w:before="40" w:after="40"/>
                                      <w:rPr>
                                        <w:caps/>
                                        <w:color w:val="1F4E79" w:themeColor="accent5" w:themeShade="80"/>
                                        <w:sz w:val="28"/>
                                        <w:szCs w:val="28"/>
                                      </w:rPr>
                                    </w:pPr>
                                    <w:r>
                                      <w:rPr>
                                        <w:caps/>
                                        <w:color w:val="1F4E79" w:themeColor="accent5" w:themeShade="80"/>
                                        <w:sz w:val="28"/>
                                        <w:szCs w:val="28"/>
                                      </w:rPr>
                                      <w:t>RADNA VERZIJA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33837A3C" id="_x0000_t202" coordsize="21600,21600" o:spt="202" path="m,l,21600r21600,l21600,xe">
                    <v:stroke joinstyle="miter"/>
                    <v:path gradientshapeok="t" o:connecttype="rect"/>
                  </v:shapetype>
                  <v:shape id="Text Box 131" o:spid="_x0000_s1026" type="#_x0000_t202" style="position:absolute;margin-left:140.75pt;margin-top:330.55pt;width:540pt;height:529.2pt;z-index:251660288;visibility:visible;mso-wrap-style:square;mso-width-percent:0;mso-height-percent:350;mso-wrap-distance-left:14.4pt;mso-wrap-distance-top:0;mso-wrap-distance-right:14.4pt;mso-wrap-distance-bottom:0;mso-position-horizontal:absolute;mso-position-horizontal-relative:page;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" filled="f" stroked="f" strokeweight=".5pt">
                    <v:textbox style="mso-fit-shape-to-text:t" inset="0,0,0,0">
                      <w:txbxContent>
                        <w:p w14:paraId="69ED71DA" w14:textId="00905DD0" w:rsidR="0036318D" w:rsidRDefault="00CB32FB" w:rsidP="0036318D">
                          <w:pPr>
                            <w:pStyle w:val="NoSpacing"/>
                            <w:spacing w:before="40" w:after="560" w:line="216" w:lineRule="auto"/>
                            <w:jc w:val="center"/>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6318D">
                                <w:rPr>
                                  <w:color w:val="4472C4" w:themeColor="accent1"/>
                                  <w:sz w:val="72"/>
                                  <w:szCs w:val="72"/>
                                </w:rPr>
                                <w:t>STRATEGIJA KARIJERNOG VOĐENJA I SAVJETOVANJA 2025-2030</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7B3C0F5" w14:textId="21ACEBE5" w:rsidR="0036318D" w:rsidRPr="00CB7685" w:rsidRDefault="0036318D" w:rsidP="00CB7685">
                              <w:pPr>
                                <w:pStyle w:val="NoSpacing"/>
                                <w:spacing w:before="40" w:after="40"/>
                                <w:rPr>
                                  <w:caps/>
                                  <w:color w:val="1F4E79" w:themeColor="accent5" w:themeShade="80"/>
                                  <w:sz w:val="28"/>
                                  <w:szCs w:val="28"/>
                                </w:rPr>
                              </w:pPr>
                              <w:r>
                                <w:rPr>
                                  <w:caps/>
                                  <w:color w:val="1F4E79" w:themeColor="accent5" w:themeShade="80"/>
                                  <w:sz w:val="28"/>
                                  <w:szCs w:val="28"/>
                                </w:rPr>
                                <w:t>RADNA VERZIJA</w:t>
                              </w:r>
                            </w:p>
                          </w:sdtContent>
                        </w:sdt>
                      </w:txbxContent>
                    </v:textbox>
                    <w10:wrap type="square" anchorx="page" anchory="page"/>
                  </v:shape>
                </w:pict>
              </mc:Fallback>
            </mc:AlternateContent>
          </w:r>
          <w:r>
            <w:rPr>
              <w:noProof/>
              <w:lang w:val="en-US"/>
            </w:rPr>
            <mc:AlternateContent>
              <mc:Choice Requires="wps">
                <w:drawing>
                  <wp:anchor distT="0" distB="0" distL="114300" distR="114300" simplePos="0" relativeHeight="251659264" behindDoc="0" locked="0" layoutInCell="1" allowOverlap="1" wp14:anchorId="35461230" wp14:editId="5C347FFF">
                    <wp:simplePos x="0" y="0"/>
                    <wp:positionH relativeFrom="margin">
                      <wp:align>right</wp:align>
                    </wp:positionH>
                    <mc:AlternateContent>
                      <mc:Choice Requires="wp14">
                        <wp:positionV relativeFrom="page">
                          <wp14:pctPosVOffset>2300</wp14:pctPosVOffset>
                        </wp:positionV>
                      </mc:Choice>
                      <mc:Fallback>
                        <wp:positionV relativeFrom="page">
                          <wp:posOffset>178435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51910F4A" w14:textId="19174407" w:rsidR="0036318D" w:rsidRDefault="0036318D">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5461230"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51910F4A" w14:textId="19174407" w:rsidR="0036318D" w:rsidRDefault="0036318D">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lang w:val="sr-Latn-ME"/>
        </w:rPr>
        <w:id w:val="1223793962"/>
        <w:docPartObj>
          <w:docPartGallery w:val="Table of Contents"/>
          <w:docPartUnique/>
        </w:docPartObj>
      </w:sdtPr>
      <w:sdtEndPr>
        <w:rPr>
          <w:b/>
          <w:bCs/>
          <w:noProof/>
          <w:lang w:val="bs-Latn-BA"/>
        </w:rPr>
      </w:sdtEndPr>
      <w:sdtContent>
        <w:p w14:paraId="39D576A7" w14:textId="7B843B07" w:rsidR="0036318D" w:rsidRDefault="0036318D">
          <w:pPr>
            <w:pStyle w:val="TOCHeading"/>
          </w:pPr>
          <w:r>
            <w:t>Sadržaj:</w:t>
          </w:r>
        </w:p>
        <w:p w14:paraId="2BF98066" w14:textId="16895E54" w:rsidR="00541D68" w:rsidRDefault="0036318D">
          <w:pPr>
            <w:pStyle w:val="TOC1"/>
            <w:tabs>
              <w:tab w:val="right" w:leader="dot" w:pos="12950"/>
            </w:tabs>
            <w:rPr>
              <w:rFonts w:eastAsiaTheme="minorEastAsia"/>
              <w:noProof/>
              <w:lang w:val="en-US"/>
            </w:rPr>
          </w:pPr>
          <w:r>
            <w:fldChar w:fldCharType="begin"/>
          </w:r>
          <w:r>
            <w:instrText xml:space="preserve"> TOC \o "1-3" \h \z \u </w:instrText>
          </w:r>
          <w:r>
            <w:fldChar w:fldCharType="separate"/>
          </w:r>
          <w:hyperlink w:anchor="_Toc197274065" w:history="1">
            <w:r w:rsidR="00541D68" w:rsidRPr="003B0947">
              <w:rPr>
                <w:rStyle w:val="Hyperlink"/>
                <w:noProof/>
              </w:rPr>
              <w:t>UVOD</w:t>
            </w:r>
            <w:r w:rsidR="00541D68">
              <w:rPr>
                <w:noProof/>
                <w:webHidden/>
              </w:rPr>
              <w:tab/>
            </w:r>
            <w:r w:rsidR="00541D68">
              <w:rPr>
                <w:noProof/>
                <w:webHidden/>
              </w:rPr>
              <w:fldChar w:fldCharType="begin"/>
            </w:r>
            <w:r w:rsidR="00541D68">
              <w:rPr>
                <w:noProof/>
                <w:webHidden/>
              </w:rPr>
              <w:instrText xml:space="preserve"> PAGEREF _Toc197274065 \h </w:instrText>
            </w:r>
            <w:r w:rsidR="00541D68">
              <w:rPr>
                <w:noProof/>
                <w:webHidden/>
              </w:rPr>
            </w:r>
            <w:r w:rsidR="00541D68">
              <w:rPr>
                <w:noProof/>
                <w:webHidden/>
              </w:rPr>
              <w:fldChar w:fldCharType="separate"/>
            </w:r>
            <w:r w:rsidR="00541D68">
              <w:rPr>
                <w:noProof/>
                <w:webHidden/>
              </w:rPr>
              <w:t>2</w:t>
            </w:r>
            <w:r w:rsidR="00541D68">
              <w:rPr>
                <w:noProof/>
                <w:webHidden/>
              </w:rPr>
              <w:fldChar w:fldCharType="end"/>
            </w:r>
          </w:hyperlink>
        </w:p>
        <w:p w14:paraId="1DBF9D5A" w14:textId="297C3A1C" w:rsidR="00541D68" w:rsidRDefault="00A037FB">
          <w:pPr>
            <w:pStyle w:val="TOC2"/>
            <w:tabs>
              <w:tab w:val="right" w:leader="dot" w:pos="12950"/>
            </w:tabs>
            <w:rPr>
              <w:rFonts w:eastAsiaTheme="minorEastAsia"/>
              <w:noProof/>
              <w:lang w:val="en-US"/>
            </w:rPr>
          </w:pPr>
          <w:hyperlink w:anchor="_Toc197274066" w:history="1">
            <w:r w:rsidR="00541D68" w:rsidRPr="003B0947">
              <w:rPr>
                <w:rStyle w:val="Hyperlink"/>
                <w:noProof/>
              </w:rPr>
              <w:t>POZICIONIRANJE U STRATEŠKOM OKVIRU CRNE GORE</w:t>
            </w:r>
            <w:r w:rsidR="00541D68">
              <w:rPr>
                <w:noProof/>
                <w:webHidden/>
              </w:rPr>
              <w:tab/>
            </w:r>
            <w:r w:rsidR="00541D68">
              <w:rPr>
                <w:noProof/>
                <w:webHidden/>
              </w:rPr>
              <w:fldChar w:fldCharType="begin"/>
            </w:r>
            <w:r w:rsidR="00541D68">
              <w:rPr>
                <w:noProof/>
                <w:webHidden/>
              </w:rPr>
              <w:instrText xml:space="preserve"> PAGEREF _Toc197274066 \h </w:instrText>
            </w:r>
            <w:r w:rsidR="00541D68">
              <w:rPr>
                <w:noProof/>
                <w:webHidden/>
              </w:rPr>
            </w:r>
            <w:r w:rsidR="00541D68">
              <w:rPr>
                <w:noProof/>
                <w:webHidden/>
              </w:rPr>
              <w:fldChar w:fldCharType="separate"/>
            </w:r>
            <w:r w:rsidR="00541D68">
              <w:rPr>
                <w:noProof/>
                <w:webHidden/>
              </w:rPr>
              <w:t>6</w:t>
            </w:r>
            <w:r w:rsidR="00541D68">
              <w:rPr>
                <w:noProof/>
                <w:webHidden/>
              </w:rPr>
              <w:fldChar w:fldCharType="end"/>
            </w:r>
          </w:hyperlink>
        </w:p>
        <w:p w14:paraId="5B04466F" w14:textId="6E989350" w:rsidR="00541D68" w:rsidRDefault="00A037FB">
          <w:pPr>
            <w:pStyle w:val="TOC2"/>
            <w:tabs>
              <w:tab w:val="right" w:leader="dot" w:pos="12950"/>
            </w:tabs>
            <w:rPr>
              <w:rFonts w:eastAsiaTheme="minorEastAsia"/>
              <w:noProof/>
              <w:lang w:val="en-US"/>
            </w:rPr>
          </w:pPr>
          <w:hyperlink w:anchor="_Toc197274067" w:history="1">
            <w:r w:rsidR="00541D68" w:rsidRPr="003B0947">
              <w:rPr>
                <w:rStyle w:val="Hyperlink"/>
                <w:noProof/>
              </w:rPr>
              <w:t>USKLAĐENOST SA MEĐUNARODNIM OBAVEZAMA</w:t>
            </w:r>
            <w:r w:rsidR="00541D68">
              <w:rPr>
                <w:noProof/>
                <w:webHidden/>
              </w:rPr>
              <w:tab/>
            </w:r>
            <w:r w:rsidR="00541D68">
              <w:rPr>
                <w:noProof/>
                <w:webHidden/>
              </w:rPr>
              <w:fldChar w:fldCharType="begin"/>
            </w:r>
            <w:r w:rsidR="00541D68">
              <w:rPr>
                <w:noProof/>
                <w:webHidden/>
              </w:rPr>
              <w:instrText xml:space="preserve"> PAGEREF _Toc197274067 \h </w:instrText>
            </w:r>
            <w:r w:rsidR="00541D68">
              <w:rPr>
                <w:noProof/>
                <w:webHidden/>
              </w:rPr>
            </w:r>
            <w:r w:rsidR="00541D68">
              <w:rPr>
                <w:noProof/>
                <w:webHidden/>
              </w:rPr>
              <w:fldChar w:fldCharType="separate"/>
            </w:r>
            <w:r w:rsidR="00541D68">
              <w:rPr>
                <w:noProof/>
                <w:webHidden/>
              </w:rPr>
              <w:t>10</w:t>
            </w:r>
            <w:r w:rsidR="00541D68">
              <w:rPr>
                <w:noProof/>
                <w:webHidden/>
              </w:rPr>
              <w:fldChar w:fldCharType="end"/>
            </w:r>
          </w:hyperlink>
        </w:p>
        <w:p w14:paraId="4E0EE7C4" w14:textId="27F4176E" w:rsidR="00541D68" w:rsidRDefault="00A037FB">
          <w:pPr>
            <w:pStyle w:val="TOC2"/>
            <w:tabs>
              <w:tab w:val="right" w:leader="dot" w:pos="12950"/>
            </w:tabs>
            <w:rPr>
              <w:rFonts w:eastAsiaTheme="minorEastAsia"/>
              <w:noProof/>
              <w:lang w:val="en-US"/>
            </w:rPr>
          </w:pPr>
          <w:hyperlink w:anchor="_Toc197274068" w:history="1">
            <w:r w:rsidR="00541D68" w:rsidRPr="003B0947">
              <w:rPr>
                <w:rStyle w:val="Hyperlink"/>
                <w:noProof/>
              </w:rPr>
              <w:t>KARIJERNO VOĐENJE I SAVJETOVANJE I RODNA RAVNOPRAVNOST</w:t>
            </w:r>
            <w:r w:rsidR="00541D68">
              <w:rPr>
                <w:noProof/>
                <w:webHidden/>
              </w:rPr>
              <w:tab/>
            </w:r>
            <w:r w:rsidR="00541D68">
              <w:rPr>
                <w:noProof/>
                <w:webHidden/>
              </w:rPr>
              <w:fldChar w:fldCharType="begin"/>
            </w:r>
            <w:r w:rsidR="00541D68">
              <w:rPr>
                <w:noProof/>
                <w:webHidden/>
              </w:rPr>
              <w:instrText xml:space="preserve"> PAGEREF _Toc197274068 \h </w:instrText>
            </w:r>
            <w:r w:rsidR="00541D68">
              <w:rPr>
                <w:noProof/>
                <w:webHidden/>
              </w:rPr>
            </w:r>
            <w:r w:rsidR="00541D68">
              <w:rPr>
                <w:noProof/>
                <w:webHidden/>
              </w:rPr>
              <w:fldChar w:fldCharType="separate"/>
            </w:r>
            <w:r w:rsidR="00541D68">
              <w:rPr>
                <w:noProof/>
                <w:webHidden/>
              </w:rPr>
              <w:t>12</w:t>
            </w:r>
            <w:r w:rsidR="00541D68">
              <w:rPr>
                <w:noProof/>
                <w:webHidden/>
              </w:rPr>
              <w:fldChar w:fldCharType="end"/>
            </w:r>
          </w:hyperlink>
        </w:p>
        <w:p w14:paraId="2CDE2312" w14:textId="5970E55F" w:rsidR="00541D68" w:rsidRDefault="00A037FB">
          <w:pPr>
            <w:pStyle w:val="TOC2"/>
            <w:tabs>
              <w:tab w:val="right" w:leader="dot" w:pos="12950"/>
            </w:tabs>
            <w:rPr>
              <w:rFonts w:eastAsiaTheme="minorEastAsia"/>
              <w:noProof/>
              <w:lang w:val="en-US"/>
            </w:rPr>
          </w:pPr>
          <w:hyperlink w:anchor="_Toc197274069" w:history="1">
            <w:r w:rsidR="00541D68" w:rsidRPr="003B0947">
              <w:rPr>
                <w:rStyle w:val="Hyperlink"/>
                <w:noProof/>
              </w:rPr>
              <w:t>UTICAJ NA ŽIVOTNU SREDINU</w:t>
            </w:r>
            <w:r w:rsidR="00541D68">
              <w:rPr>
                <w:noProof/>
                <w:webHidden/>
              </w:rPr>
              <w:tab/>
            </w:r>
            <w:r w:rsidR="00541D68">
              <w:rPr>
                <w:noProof/>
                <w:webHidden/>
              </w:rPr>
              <w:fldChar w:fldCharType="begin"/>
            </w:r>
            <w:r w:rsidR="00541D68">
              <w:rPr>
                <w:noProof/>
                <w:webHidden/>
              </w:rPr>
              <w:instrText xml:space="preserve"> PAGEREF _Toc197274069 \h </w:instrText>
            </w:r>
            <w:r w:rsidR="00541D68">
              <w:rPr>
                <w:noProof/>
                <w:webHidden/>
              </w:rPr>
            </w:r>
            <w:r w:rsidR="00541D68">
              <w:rPr>
                <w:noProof/>
                <w:webHidden/>
              </w:rPr>
              <w:fldChar w:fldCharType="separate"/>
            </w:r>
            <w:r w:rsidR="00541D68">
              <w:rPr>
                <w:noProof/>
                <w:webHidden/>
              </w:rPr>
              <w:t>14</w:t>
            </w:r>
            <w:r w:rsidR="00541D68">
              <w:rPr>
                <w:noProof/>
                <w:webHidden/>
              </w:rPr>
              <w:fldChar w:fldCharType="end"/>
            </w:r>
          </w:hyperlink>
        </w:p>
        <w:p w14:paraId="60F42D59" w14:textId="3F9EA601" w:rsidR="00541D68" w:rsidRDefault="00A037FB">
          <w:pPr>
            <w:pStyle w:val="TOC1"/>
            <w:tabs>
              <w:tab w:val="right" w:leader="dot" w:pos="12950"/>
            </w:tabs>
            <w:rPr>
              <w:rFonts w:eastAsiaTheme="minorEastAsia"/>
              <w:noProof/>
              <w:lang w:val="en-US"/>
            </w:rPr>
          </w:pPr>
          <w:hyperlink w:anchor="_Toc197274070" w:history="1">
            <w:r w:rsidR="00541D68" w:rsidRPr="003B0947">
              <w:rPr>
                <w:rStyle w:val="Hyperlink"/>
                <w:noProof/>
              </w:rPr>
              <w:t>ANALIZA STANJA</w:t>
            </w:r>
            <w:r w:rsidR="00541D68">
              <w:rPr>
                <w:noProof/>
                <w:webHidden/>
              </w:rPr>
              <w:tab/>
            </w:r>
            <w:r w:rsidR="00541D68">
              <w:rPr>
                <w:noProof/>
                <w:webHidden/>
              </w:rPr>
              <w:fldChar w:fldCharType="begin"/>
            </w:r>
            <w:r w:rsidR="00541D68">
              <w:rPr>
                <w:noProof/>
                <w:webHidden/>
              </w:rPr>
              <w:instrText xml:space="preserve"> PAGEREF _Toc197274070 \h </w:instrText>
            </w:r>
            <w:r w:rsidR="00541D68">
              <w:rPr>
                <w:noProof/>
                <w:webHidden/>
              </w:rPr>
            </w:r>
            <w:r w:rsidR="00541D68">
              <w:rPr>
                <w:noProof/>
                <w:webHidden/>
              </w:rPr>
              <w:fldChar w:fldCharType="separate"/>
            </w:r>
            <w:r w:rsidR="00541D68">
              <w:rPr>
                <w:noProof/>
                <w:webHidden/>
              </w:rPr>
              <w:t>14</w:t>
            </w:r>
            <w:r w:rsidR="00541D68">
              <w:rPr>
                <w:noProof/>
                <w:webHidden/>
              </w:rPr>
              <w:fldChar w:fldCharType="end"/>
            </w:r>
          </w:hyperlink>
        </w:p>
        <w:p w14:paraId="127C97EF" w14:textId="576FF9BC" w:rsidR="00541D68" w:rsidRDefault="00A037FB">
          <w:pPr>
            <w:pStyle w:val="TOC2"/>
            <w:tabs>
              <w:tab w:val="right" w:leader="dot" w:pos="12950"/>
            </w:tabs>
            <w:rPr>
              <w:rFonts w:eastAsiaTheme="minorEastAsia"/>
              <w:noProof/>
              <w:lang w:val="en-US"/>
            </w:rPr>
          </w:pPr>
          <w:hyperlink w:anchor="_Toc197274071" w:history="1">
            <w:r w:rsidR="00541D68" w:rsidRPr="003B0947">
              <w:rPr>
                <w:rStyle w:val="Hyperlink"/>
                <w:noProof/>
              </w:rPr>
              <w:t>SWOT ANALIZA</w:t>
            </w:r>
            <w:r w:rsidR="00541D68">
              <w:rPr>
                <w:noProof/>
                <w:webHidden/>
              </w:rPr>
              <w:tab/>
            </w:r>
            <w:r w:rsidR="00541D68">
              <w:rPr>
                <w:noProof/>
                <w:webHidden/>
              </w:rPr>
              <w:fldChar w:fldCharType="begin"/>
            </w:r>
            <w:r w:rsidR="00541D68">
              <w:rPr>
                <w:noProof/>
                <w:webHidden/>
              </w:rPr>
              <w:instrText xml:space="preserve"> PAGEREF _Toc197274071 \h </w:instrText>
            </w:r>
            <w:r w:rsidR="00541D68">
              <w:rPr>
                <w:noProof/>
                <w:webHidden/>
              </w:rPr>
            </w:r>
            <w:r w:rsidR="00541D68">
              <w:rPr>
                <w:noProof/>
                <w:webHidden/>
              </w:rPr>
              <w:fldChar w:fldCharType="separate"/>
            </w:r>
            <w:r w:rsidR="00541D68">
              <w:rPr>
                <w:noProof/>
                <w:webHidden/>
              </w:rPr>
              <w:t>16</w:t>
            </w:r>
            <w:r w:rsidR="00541D68">
              <w:rPr>
                <w:noProof/>
                <w:webHidden/>
              </w:rPr>
              <w:fldChar w:fldCharType="end"/>
            </w:r>
          </w:hyperlink>
        </w:p>
        <w:p w14:paraId="50DD752E" w14:textId="0C11F074" w:rsidR="00541D68" w:rsidRDefault="00A037FB">
          <w:pPr>
            <w:pStyle w:val="TOC2"/>
            <w:tabs>
              <w:tab w:val="right" w:leader="dot" w:pos="12950"/>
            </w:tabs>
            <w:rPr>
              <w:rFonts w:eastAsiaTheme="minorEastAsia"/>
              <w:noProof/>
              <w:lang w:val="en-US"/>
            </w:rPr>
          </w:pPr>
          <w:hyperlink w:anchor="_Toc197274072" w:history="1">
            <w:r w:rsidR="00541D68" w:rsidRPr="003B0947">
              <w:rPr>
                <w:rStyle w:val="Hyperlink"/>
                <w:noProof/>
              </w:rPr>
              <w:t>PRETHODNI PERIOD SPROVOĐENJA JAVNE POLITIKE</w:t>
            </w:r>
            <w:r w:rsidR="00541D68">
              <w:rPr>
                <w:noProof/>
                <w:webHidden/>
              </w:rPr>
              <w:tab/>
            </w:r>
            <w:r w:rsidR="00541D68">
              <w:rPr>
                <w:noProof/>
                <w:webHidden/>
              </w:rPr>
              <w:fldChar w:fldCharType="begin"/>
            </w:r>
            <w:r w:rsidR="00541D68">
              <w:rPr>
                <w:noProof/>
                <w:webHidden/>
              </w:rPr>
              <w:instrText xml:space="preserve"> PAGEREF _Toc197274072 \h </w:instrText>
            </w:r>
            <w:r w:rsidR="00541D68">
              <w:rPr>
                <w:noProof/>
                <w:webHidden/>
              </w:rPr>
            </w:r>
            <w:r w:rsidR="00541D68">
              <w:rPr>
                <w:noProof/>
                <w:webHidden/>
              </w:rPr>
              <w:fldChar w:fldCharType="separate"/>
            </w:r>
            <w:r w:rsidR="00541D68">
              <w:rPr>
                <w:noProof/>
                <w:webHidden/>
              </w:rPr>
              <w:t>17</w:t>
            </w:r>
            <w:r w:rsidR="00541D68">
              <w:rPr>
                <w:noProof/>
                <w:webHidden/>
              </w:rPr>
              <w:fldChar w:fldCharType="end"/>
            </w:r>
          </w:hyperlink>
        </w:p>
        <w:p w14:paraId="5AE538E1" w14:textId="7B5B07B4" w:rsidR="00541D68" w:rsidRDefault="00A037FB">
          <w:pPr>
            <w:pStyle w:val="TOC2"/>
            <w:tabs>
              <w:tab w:val="right" w:leader="dot" w:pos="12950"/>
            </w:tabs>
            <w:rPr>
              <w:rFonts w:eastAsiaTheme="minorEastAsia"/>
              <w:noProof/>
              <w:lang w:val="en-US"/>
            </w:rPr>
          </w:pPr>
          <w:hyperlink w:anchor="_Toc197274073" w:history="1">
            <w:r w:rsidR="00541D68" w:rsidRPr="003B0947">
              <w:rPr>
                <w:rStyle w:val="Hyperlink"/>
                <w:noProof/>
              </w:rPr>
              <w:t>JAČANJE KARIJERNE ORIJENTACIJE U OBRAZOVNOM SISTEMU CRNE GORE</w:t>
            </w:r>
            <w:r w:rsidR="00541D68">
              <w:rPr>
                <w:noProof/>
                <w:webHidden/>
              </w:rPr>
              <w:tab/>
            </w:r>
            <w:r w:rsidR="00541D68">
              <w:rPr>
                <w:noProof/>
                <w:webHidden/>
              </w:rPr>
              <w:fldChar w:fldCharType="begin"/>
            </w:r>
            <w:r w:rsidR="00541D68">
              <w:rPr>
                <w:noProof/>
                <w:webHidden/>
              </w:rPr>
              <w:instrText xml:space="preserve"> PAGEREF _Toc197274073 \h </w:instrText>
            </w:r>
            <w:r w:rsidR="00541D68">
              <w:rPr>
                <w:noProof/>
                <w:webHidden/>
              </w:rPr>
            </w:r>
            <w:r w:rsidR="00541D68">
              <w:rPr>
                <w:noProof/>
                <w:webHidden/>
              </w:rPr>
              <w:fldChar w:fldCharType="separate"/>
            </w:r>
            <w:r w:rsidR="00541D68">
              <w:rPr>
                <w:noProof/>
                <w:webHidden/>
              </w:rPr>
              <w:t>19</w:t>
            </w:r>
            <w:r w:rsidR="00541D68">
              <w:rPr>
                <w:noProof/>
                <w:webHidden/>
              </w:rPr>
              <w:fldChar w:fldCharType="end"/>
            </w:r>
          </w:hyperlink>
        </w:p>
        <w:p w14:paraId="26C40168" w14:textId="6BDDF203" w:rsidR="00541D68" w:rsidRDefault="00A037FB">
          <w:pPr>
            <w:pStyle w:val="TOC2"/>
            <w:tabs>
              <w:tab w:val="right" w:leader="dot" w:pos="12950"/>
            </w:tabs>
            <w:rPr>
              <w:rFonts w:eastAsiaTheme="minorEastAsia"/>
              <w:noProof/>
              <w:lang w:val="en-US"/>
            </w:rPr>
          </w:pPr>
          <w:hyperlink w:anchor="_Toc197274074" w:history="1">
            <w:r w:rsidR="00541D68" w:rsidRPr="003B0947">
              <w:rPr>
                <w:rStyle w:val="Hyperlink"/>
                <w:noProof/>
              </w:rPr>
              <w:t>JAČANJE USLUGA KARIJERNE ORIJENTACIJE ZA NEZAPOSLENE I ZAPOSLENE</w:t>
            </w:r>
            <w:r w:rsidR="00541D68">
              <w:rPr>
                <w:noProof/>
                <w:webHidden/>
              </w:rPr>
              <w:tab/>
            </w:r>
            <w:r w:rsidR="00541D68">
              <w:rPr>
                <w:noProof/>
                <w:webHidden/>
              </w:rPr>
              <w:fldChar w:fldCharType="begin"/>
            </w:r>
            <w:r w:rsidR="00541D68">
              <w:rPr>
                <w:noProof/>
                <w:webHidden/>
              </w:rPr>
              <w:instrText xml:space="preserve"> PAGEREF _Toc197274074 \h </w:instrText>
            </w:r>
            <w:r w:rsidR="00541D68">
              <w:rPr>
                <w:noProof/>
                <w:webHidden/>
              </w:rPr>
            </w:r>
            <w:r w:rsidR="00541D68">
              <w:rPr>
                <w:noProof/>
                <w:webHidden/>
              </w:rPr>
              <w:fldChar w:fldCharType="separate"/>
            </w:r>
            <w:r w:rsidR="00541D68">
              <w:rPr>
                <w:noProof/>
                <w:webHidden/>
              </w:rPr>
              <w:t>28</w:t>
            </w:r>
            <w:r w:rsidR="00541D68">
              <w:rPr>
                <w:noProof/>
                <w:webHidden/>
              </w:rPr>
              <w:fldChar w:fldCharType="end"/>
            </w:r>
          </w:hyperlink>
        </w:p>
        <w:p w14:paraId="4876BB50" w14:textId="4AE3D0AD" w:rsidR="00541D68" w:rsidRDefault="00A037FB">
          <w:pPr>
            <w:pStyle w:val="TOC2"/>
            <w:tabs>
              <w:tab w:val="right" w:leader="dot" w:pos="12950"/>
            </w:tabs>
            <w:rPr>
              <w:rFonts w:eastAsiaTheme="minorEastAsia"/>
              <w:noProof/>
              <w:lang w:val="en-US"/>
            </w:rPr>
          </w:pPr>
          <w:hyperlink w:anchor="_Toc197274075" w:history="1">
            <w:r w:rsidR="00541D68" w:rsidRPr="003B0947">
              <w:rPr>
                <w:rStyle w:val="Hyperlink"/>
                <w:noProof/>
              </w:rPr>
              <w:t>OBEZBJEĐENJE KVALITETA I INFORMISANOSTI O KARIJERNOM VOĐENJU I SAVJETOVANJU</w:t>
            </w:r>
            <w:r w:rsidR="00541D68">
              <w:rPr>
                <w:noProof/>
                <w:webHidden/>
              </w:rPr>
              <w:tab/>
            </w:r>
            <w:r w:rsidR="00541D68">
              <w:rPr>
                <w:noProof/>
                <w:webHidden/>
              </w:rPr>
              <w:fldChar w:fldCharType="begin"/>
            </w:r>
            <w:r w:rsidR="00541D68">
              <w:rPr>
                <w:noProof/>
                <w:webHidden/>
              </w:rPr>
              <w:instrText xml:space="preserve"> PAGEREF _Toc197274075 \h </w:instrText>
            </w:r>
            <w:r w:rsidR="00541D68">
              <w:rPr>
                <w:noProof/>
                <w:webHidden/>
              </w:rPr>
            </w:r>
            <w:r w:rsidR="00541D68">
              <w:rPr>
                <w:noProof/>
                <w:webHidden/>
              </w:rPr>
              <w:fldChar w:fldCharType="separate"/>
            </w:r>
            <w:r w:rsidR="00541D68">
              <w:rPr>
                <w:noProof/>
                <w:webHidden/>
              </w:rPr>
              <w:t>36</w:t>
            </w:r>
            <w:r w:rsidR="00541D68">
              <w:rPr>
                <w:noProof/>
                <w:webHidden/>
              </w:rPr>
              <w:fldChar w:fldCharType="end"/>
            </w:r>
          </w:hyperlink>
        </w:p>
        <w:p w14:paraId="0DFCBF50" w14:textId="606FC03C" w:rsidR="00541D68" w:rsidRDefault="00A037FB">
          <w:pPr>
            <w:pStyle w:val="TOC1"/>
            <w:tabs>
              <w:tab w:val="right" w:leader="dot" w:pos="12950"/>
            </w:tabs>
            <w:rPr>
              <w:rFonts w:eastAsiaTheme="minorEastAsia"/>
              <w:noProof/>
              <w:lang w:val="en-US"/>
            </w:rPr>
          </w:pPr>
          <w:hyperlink w:anchor="_Toc197274076" w:history="1">
            <w:r w:rsidR="00541D68" w:rsidRPr="003B0947">
              <w:rPr>
                <w:rStyle w:val="Hyperlink"/>
                <w:noProof/>
              </w:rPr>
              <w:t>FINANSIJSKI OKVIR STRATEŠKOG DOKUMENTA</w:t>
            </w:r>
            <w:r w:rsidR="00541D68">
              <w:rPr>
                <w:noProof/>
                <w:webHidden/>
              </w:rPr>
              <w:tab/>
            </w:r>
            <w:r w:rsidR="00541D68">
              <w:rPr>
                <w:noProof/>
                <w:webHidden/>
              </w:rPr>
              <w:fldChar w:fldCharType="begin"/>
            </w:r>
            <w:r w:rsidR="00541D68">
              <w:rPr>
                <w:noProof/>
                <w:webHidden/>
              </w:rPr>
              <w:instrText xml:space="preserve"> PAGEREF _Toc197274076 \h </w:instrText>
            </w:r>
            <w:r w:rsidR="00541D68">
              <w:rPr>
                <w:noProof/>
                <w:webHidden/>
              </w:rPr>
            </w:r>
            <w:r w:rsidR="00541D68">
              <w:rPr>
                <w:noProof/>
                <w:webHidden/>
              </w:rPr>
              <w:fldChar w:fldCharType="separate"/>
            </w:r>
            <w:r w:rsidR="00541D68">
              <w:rPr>
                <w:noProof/>
                <w:webHidden/>
              </w:rPr>
              <w:t>40</w:t>
            </w:r>
            <w:r w:rsidR="00541D68">
              <w:rPr>
                <w:noProof/>
                <w:webHidden/>
              </w:rPr>
              <w:fldChar w:fldCharType="end"/>
            </w:r>
          </w:hyperlink>
        </w:p>
        <w:p w14:paraId="34440BF9" w14:textId="4A306BF5" w:rsidR="00541D68" w:rsidRDefault="00A037FB">
          <w:pPr>
            <w:pStyle w:val="TOC1"/>
            <w:tabs>
              <w:tab w:val="right" w:leader="dot" w:pos="12950"/>
            </w:tabs>
            <w:rPr>
              <w:rFonts w:eastAsiaTheme="minorEastAsia"/>
              <w:noProof/>
              <w:lang w:val="en-US"/>
            </w:rPr>
          </w:pPr>
          <w:hyperlink w:anchor="_Toc197274077" w:history="1">
            <w:r w:rsidR="00541D68" w:rsidRPr="003B0947">
              <w:rPr>
                <w:rStyle w:val="Hyperlink"/>
                <w:noProof/>
                <w:lang w:val="en-US"/>
              </w:rPr>
              <w:t>NAČIN IZVJEŠTAVANJA I EVALUACIJA</w:t>
            </w:r>
            <w:r w:rsidR="00541D68">
              <w:rPr>
                <w:noProof/>
                <w:webHidden/>
              </w:rPr>
              <w:tab/>
            </w:r>
            <w:r w:rsidR="00541D68">
              <w:rPr>
                <w:noProof/>
                <w:webHidden/>
              </w:rPr>
              <w:fldChar w:fldCharType="begin"/>
            </w:r>
            <w:r w:rsidR="00541D68">
              <w:rPr>
                <w:noProof/>
                <w:webHidden/>
              </w:rPr>
              <w:instrText xml:space="preserve"> PAGEREF _Toc197274077 \h </w:instrText>
            </w:r>
            <w:r w:rsidR="00541D68">
              <w:rPr>
                <w:noProof/>
                <w:webHidden/>
              </w:rPr>
            </w:r>
            <w:r w:rsidR="00541D68">
              <w:rPr>
                <w:noProof/>
                <w:webHidden/>
              </w:rPr>
              <w:fldChar w:fldCharType="separate"/>
            </w:r>
            <w:r w:rsidR="00541D68">
              <w:rPr>
                <w:noProof/>
                <w:webHidden/>
              </w:rPr>
              <w:t>41</w:t>
            </w:r>
            <w:r w:rsidR="00541D68">
              <w:rPr>
                <w:noProof/>
                <w:webHidden/>
              </w:rPr>
              <w:fldChar w:fldCharType="end"/>
            </w:r>
          </w:hyperlink>
        </w:p>
        <w:p w14:paraId="318C13DE" w14:textId="087B24D4" w:rsidR="00541D68" w:rsidRDefault="00A037FB">
          <w:pPr>
            <w:pStyle w:val="TOC2"/>
            <w:tabs>
              <w:tab w:val="right" w:leader="dot" w:pos="12950"/>
            </w:tabs>
            <w:rPr>
              <w:rFonts w:eastAsiaTheme="minorEastAsia"/>
              <w:noProof/>
              <w:lang w:val="en-US"/>
            </w:rPr>
          </w:pPr>
          <w:hyperlink w:anchor="_Toc197274078" w:history="1">
            <w:r w:rsidR="00541D68" w:rsidRPr="003B0947">
              <w:rPr>
                <w:rStyle w:val="Hyperlink"/>
                <w:noProof/>
                <w:lang w:val="en-US"/>
              </w:rPr>
              <w:t>EVALUACIJA</w:t>
            </w:r>
            <w:r w:rsidR="00541D68">
              <w:rPr>
                <w:noProof/>
                <w:webHidden/>
              </w:rPr>
              <w:tab/>
            </w:r>
            <w:r w:rsidR="00541D68">
              <w:rPr>
                <w:noProof/>
                <w:webHidden/>
              </w:rPr>
              <w:fldChar w:fldCharType="begin"/>
            </w:r>
            <w:r w:rsidR="00541D68">
              <w:rPr>
                <w:noProof/>
                <w:webHidden/>
              </w:rPr>
              <w:instrText xml:space="preserve"> PAGEREF _Toc197274078 \h </w:instrText>
            </w:r>
            <w:r w:rsidR="00541D68">
              <w:rPr>
                <w:noProof/>
                <w:webHidden/>
              </w:rPr>
            </w:r>
            <w:r w:rsidR="00541D68">
              <w:rPr>
                <w:noProof/>
                <w:webHidden/>
              </w:rPr>
              <w:fldChar w:fldCharType="separate"/>
            </w:r>
            <w:r w:rsidR="00541D68">
              <w:rPr>
                <w:noProof/>
                <w:webHidden/>
              </w:rPr>
              <w:t>43</w:t>
            </w:r>
            <w:r w:rsidR="00541D68">
              <w:rPr>
                <w:noProof/>
                <w:webHidden/>
              </w:rPr>
              <w:fldChar w:fldCharType="end"/>
            </w:r>
          </w:hyperlink>
        </w:p>
        <w:p w14:paraId="65E2FF44" w14:textId="1D45F3A9" w:rsidR="00541D68" w:rsidRDefault="00A037FB">
          <w:pPr>
            <w:pStyle w:val="TOC1"/>
            <w:tabs>
              <w:tab w:val="right" w:leader="dot" w:pos="12950"/>
            </w:tabs>
            <w:rPr>
              <w:rFonts w:eastAsiaTheme="minorEastAsia"/>
              <w:noProof/>
              <w:lang w:val="en-US"/>
            </w:rPr>
          </w:pPr>
          <w:hyperlink w:anchor="_Toc197274079" w:history="1">
            <w:r w:rsidR="00541D68" w:rsidRPr="003B0947">
              <w:rPr>
                <w:rStyle w:val="Hyperlink"/>
                <w:noProof/>
                <w:lang w:val="en-US"/>
              </w:rPr>
              <w:t>INFORMACIJA ZA JAVNOST O CILJEVIMA I OČEKIVANIM UČINCIMA STRATEŠKOG DOKUMENTA U SKLADU SA KOMUNIKACIONOM STRATEGIJOM VLADE CRNE GORE</w:t>
            </w:r>
            <w:r w:rsidR="00541D68">
              <w:rPr>
                <w:noProof/>
                <w:webHidden/>
              </w:rPr>
              <w:tab/>
            </w:r>
            <w:r w:rsidR="00541D68">
              <w:rPr>
                <w:noProof/>
                <w:webHidden/>
              </w:rPr>
              <w:fldChar w:fldCharType="begin"/>
            </w:r>
            <w:r w:rsidR="00541D68">
              <w:rPr>
                <w:noProof/>
                <w:webHidden/>
              </w:rPr>
              <w:instrText xml:space="preserve"> PAGEREF _Toc197274079 \h </w:instrText>
            </w:r>
            <w:r w:rsidR="00541D68">
              <w:rPr>
                <w:noProof/>
                <w:webHidden/>
              </w:rPr>
            </w:r>
            <w:r w:rsidR="00541D68">
              <w:rPr>
                <w:noProof/>
                <w:webHidden/>
              </w:rPr>
              <w:fldChar w:fldCharType="separate"/>
            </w:r>
            <w:r w:rsidR="00541D68">
              <w:rPr>
                <w:noProof/>
                <w:webHidden/>
              </w:rPr>
              <w:t>44</w:t>
            </w:r>
            <w:r w:rsidR="00541D68">
              <w:rPr>
                <w:noProof/>
                <w:webHidden/>
              </w:rPr>
              <w:fldChar w:fldCharType="end"/>
            </w:r>
          </w:hyperlink>
        </w:p>
        <w:p w14:paraId="4D35AEC6" w14:textId="5067C8D1" w:rsidR="0036318D" w:rsidRDefault="0036318D">
          <w:r>
            <w:rPr>
              <w:b/>
              <w:bCs/>
              <w:noProof/>
            </w:rPr>
            <w:fldChar w:fldCharType="end"/>
          </w:r>
        </w:p>
      </w:sdtContent>
    </w:sdt>
    <w:p w14:paraId="4F574496" w14:textId="77777777" w:rsidR="0036318D" w:rsidRDefault="0036318D" w:rsidP="0036318D"/>
    <w:p w14:paraId="29142294" w14:textId="77777777" w:rsidR="0036318D" w:rsidRDefault="0036318D" w:rsidP="0036318D"/>
    <w:p w14:paraId="25B0AA68" w14:textId="77777777" w:rsidR="0036318D" w:rsidRDefault="0036318D" w:rsidP="0036318D"/>
    <w:p w14:paraId="0364C967" w14:textId="77777777" w:rsidR="0036318D" w:rsidRDefault="0036318D" w:rsidP="0036318D"/>
    <w:p w14:paraId="28EC4588" w14:textId="77777777" w:rsidR="0036318D" w:rsidRDefault="0036318D" w:rsidP="0036318D"/>
    <w:p w14:paraId="6E5595F7" w14:textId="77777777" w:rsidR="0036318D" w:rsidRDefault="0036318D" w:rsidP="0036318D"/>
    <w:p w14:paraId="60BC3C21" w14:textId="77777777" w:rsidR="0036318D" w:rsidRDefault="0036318D" w:rsidP="0036318D"/>
    <w:p w14:paraId="46498143" w14:textId="77777777" w:rsidR="0036318D" w:rsidRDefault="0036318D" w:rsidP="0036318D"/>
    <w:p w14:paraId="225B967F" w14:textId="381ACBDD" w:rsidR="008E35E8" w:rsidRPr="00062473" w:rsidRDefault="008E35E8" w:rsidP="0036318D">
      <w:pPr>
        <w:pStyle w:val="Heading1"/>
      </w:pPr>
      <w:bookmarkStart w:id="1" w:name="_Toc197274065"/>
      <w:r w:rsidRPr="00062473">
        <w:t>U</w:t>
      </w:r>
      <w:r w:rsidR="00CC7797" w:rsidRPr="00062473">
        <w:t>VOD</w:t>
      </w:r>
      <w:bookmarkEnd w:id="1"/>
    </w:p>
    <w:p w14:paraId="0C14AEA2" w14:textId="4B3390AB" w:rsidR="00BD4380" w:rsidRPr="00062473" w:rsidRDefault="00BD4380" w:rsidP="00BD4380">
      <w:pPr>
        <w:spacing w:line="256" w:lineRule="auto"/>
        <w:jc w:val="both"/>
        <w:rPr>
          <w:rFonts w:eastAsia="Calibri" w:cstheme="minorHAnsi"/>
        </w:rPr>
      </w:pPr>
      <w:r w:rsidRPr="00062473">
        <w:rPr>
          <w:rFonts w:eastAsia="Calibri" w:cstheme="minorHAnsi"/>
        </w:rPr>
        <w:t>Potreba za sveobuhvatnim pristupom razvoju karijere tokom čitavog života javila se usljed raznih socio</w:t>
      </w:r>
      <w:r w:rsidR="00E40EC0" w:rsidRPr="00062473">
        <w:rPr>
          <w:rFonts w:eastAsia="Calibri" w:cstheme="minorHAnsi"/>
        </w:rPr>
        <w:t>-</w:t>
      </w:r>
      <w:r w:rsidRPr="00062473">
        <w:rPr>
          <w:rFonts w:eastAsia="Calibri" w:cstheme="minorHAnsi"/>
        </w:rPr>
        <w:t>ekonomskih i tehnoloških promjena kroz koje kao društvo prolazimo i ima posljedice na promjenu puteva školovanja, zapošljavanja i tržišta rada. Današnji koncept karijere se znatno razlikuje od nekadašnjeg shvatanja, kada se smatralo da karijera počinje prvim poslom, a završava se odlaskom u penziju. Karijera je danas dinamičnija kategorija, ne obuhvata samo posao i novac, već i cjeloživotno učenje i slobodno vrijeme.</w:t>
      </w:r>
    </w:p>
    <w:p w14:paraId="107C2BE9" w14:textId="3ECF2405" w:rsidR="00BD4380" w:rsidRPr="00062473" w:rsidRDefault="00BD4380" w:rsidP="00BD4380">
      <w:pPr>
        <w:spacing w:line="256" w:lineRule="auto"/>
        <w:jc w:val="both"/>
        <w:rPr>
          <w:rFonts w:eastAsia="Calibri" w:cstheme="minorHAnsi"/>
        </w:rPr>
      </w:pPr>
      <w:r w:rsidRPr="00062473">
        <w:rPr>
          <w:rFonts w:eastAsia="Calibri" w:cstheme="minorHAnsi"/>
        </w:rPr>
        <w:t>Karijera predstavlja interakciju profesionalnih i drugih životnih uloga osobe, uključujući način na koji ona uspostavlja ravnotežu između svog plaćenog i neplaćenog posla, kao i proces učenja i obrazovanja. Karijerno vođenje i savjetovanje treba da osnaži pojedinca u procesu adaptacije na sve dinamičnije životne uslove i usklađivanja mnogobrojnih životnih uloga, koje nisu isključivo u vezi sa zaposlenjem.</w:t>
      </w:r>
      <w:r w:rsidR="00DA5696">
        <w:rPr>
          <w:rFonts w:eastAsia="Calibri" w:cstheme="minorHAnsi"/>
        </w:rPr>
        <w:t xml:space="preserve"> </w:t>
      </w:r>
      <w:r w:rsidRPr="00062473">
        <w:rPr>
          <w:rFonts w:eastAsia="Calibri" w:cstheme="minorHAnsi"/>
        </w:rPr>
        <w:t>Karijerno vođenje i savjetovanje ima veliki uticaj na ključne oblasti: obrazovanje, privredu i zapošljavanje, te socijalno uključivanje.</w:t>
      </w:r>
    </w:p>
    <w:p w14:paraId="7B087666" w14:textId="209BDE1A" w:rsidR="00E40EC0" w:rsidRPr="00062473" w:rsidRDefault="00BD4380" w:rsidP="008E35E8">
      <w:pPr>
        <w:spacing w:line="256" w:lineRule="auto"/>
        <w:jc w:val="both"/>
        <w:rPr>
          <w:rFonts w:eastAsia="Calibri" w:cstheme="minorHAnsi"/>
        </w:rPr>
      </w:pPr>
      <w:r w:rsidRPr="00062473">
        <w:rPr>
          <w:rFonts w:eastAsia="Calibri" w:cstheme="minorHAnsi"/>
        </w:rPr>
        <w:t>Da bi karijerno vođenje i savjetovanje u državi bilo dostupno svim građanima, od ranog uzrasta pa sve do kasnog doba, neophodan je inter</w:t>
      </w:r>
      <w:r w:rsidR="00DA5696">
        <w:rPr>
          <w:rFonts w:eastAsia="Calibri" w:cstheme="minorHAnsi"/>
        </w:rPr>
        <w:t>-</w:t>
      </w:r>
      <w:r w:rsidRPr="00062473">
        <w:rPr>
          <w:rFonts w:eastAsia="Calibri" w:cstheme="minorHAnsi"/>
        </w:rPr>
        <w:t xml:space="preserve">sektorski pristup različitih resora, saradnja u ovoj oblasti i uključivanje svih ciljnih grupa podjednako: učenika, nastavnika, roditelja, karijernih savjetnika u Zavodu za zapošljavanje Crne Gore i obrazovnim ustanovama, odraslih, mladih, zaposlenih i nezaposlenih, što ovaj planski dokumenat treba da obezbijedi.  Prepoznaje se potreba da se ova saradnja unaprijedi i dalje razvija. Detaljni podaci o realizaciji  strateških ciljeva i aktivnosti </w:t>
      </w:r>
      <w:r w:rsidR="00FB0CDF" w:rsidRPr="00062473">
        <w:rPr>
          <w:rFonts w:eastAsia="Calibri" w:cstheme="minorHAnsi"/>
        </w:rPr>
        <w:t xml:space="preserve">iz prethodnog perioda sprovođenja javne politike </w:t>
      </w:r>
      <w:r w:rsidRPr="00062473">
        <w:rPr>
          <w:rFonts w:eastAsia="Calibri" w:cstheme="minorHAnsi"/>
        </w:rPr>
        <w:t>se mogu naći u Zavšnom izvještaju o realizaciji Strategije cjeloživotne karijerne orijentacije za period 2016-2020. godine. Ono što je važno prepoznati jeste izmjena terminologije u ovoj oblasti. Budući da je Ministarstvo prosvjete</w:t>
      </w:r>
      <w:r w:rsidR="00DE6FDE">
        <w:rPr>
          <w:rFonts w:eastAsia="Calibri" w:cstheme="minorHAnsi"/>
        </w:rPr>
        <w:t>, nauke i inovacija</w:t>
      </w:r>
      <w:r w:rsidRPr="00062473">
        <w:rPr>
          <w:rFonts w:eastAsia="Calibri" w:cstheme="minorHAnsi"/>
        </w:rPr>
        <w:t xml:space="preserve"> od 2017. godine  član evropske Europass i Euroguidance mreže koja je zadužena za promociju karijernog vođenja i savjetovanja u Evropi, termin orijentacije se pokazao kao nedovoljno sveobuhvatan i u okviru ove mreže, termin karijerno vođenje i savjetovanje je prihvaćen kao termin koji obuhvata ono što se podrazumijeva pod ovom oblašću.</w:t>
      </w:r>
      <w:r w:rsidR="00741EE2">
        <w:rPr>
          <w:rFonts w:eastAsia="Calibri" w:cstheme="minorHAnsi"/>
        </w:rPr>
        <w:t xml:space="preserve"> </w:t>
      </w:r>
      <w:r w:rsidR="008E35E8" w:rsidRPr="00062473">
        <w:rPr>
          <w:rFonts w:eastAsia="Calibri" w:cstheme="minorHAnsi"/>
        </w:rPr>
        <w:t>Istraživanja na nacionalnom i evropskom nivou pokazuju da karijerno vođenje i savjetovanje ima pozitivne efekte u pogledu prevencije nezaposlenosti, smanjenja broja onih koji napuštaju školovanje, povećanja zainteresovanosti za školu i uspjeha u školi, uspješne tranzicije sa nižih ka višim nivoima obrazovanja, kao i u pogledu socijalne inkluzije. Kako bi karijerno vođenje i savjetovanje bilo zaista efektivno, neophodno je da se ova oblast sistemski postavi, te pravno i institucionalno reguliše.</w:t>
      </w:r>
    </w:p>
    <w:p w14:paraId="1A2BBE39" w14:textId="01674BD6" w:rsidR="008E35E8" w:rsidRDefault="00BD6A10" w:rsidP="008E35E8">
      <w:pPr>
        <w:spacing w:line="256" w:lineRule="auto"/>
        <w:jc w:val="both"/>
        <w:rPr>
          <w:rFonts w:eastAsia="Calibri" w:cstheme="minorHAnsi"/>
        </w:rPr>
      </w:pPr>
      <w:r w:rsidRPr="00062473">
        <w:rPr>
          <w:rFonts w:eastAsia="Calibri" w:cstheme="minorHAnsi"/>
        </w:rPr>
        <w:t>Kratak istorijat ove javne politike pokazuje da, nakon perioda SFR Jug</w:t>
      </w:r>
      <w:r w:rsidR="008339C3" w:rsidRPr="00062473">
        <w:rPr>
          <w:rFonts w:eastAsia="Calibri" w:cstheme="minorHAnsi"/>
        </w:rPr>
        <w:t>o</w:t>
      </w:r>
      <w:r w:rsidRPr="00062473">
        <w:rPr>
          <w:rFonts w:eastAsia="Calibri" w:cstheme="minorHAnsi"/>
        </w:rPr>
        <w:t xml:space="preserve">slavije gdje su </w:t>
      </w:r>
      <w:r w:rsidR="008339C3" w:rsidRPr="00062473">
        <w:rPr>
          <w:rFonts w:eastAsia="Calibri" w:cstheme="minorHAnsi"/>
        </w:rPr>
        <w:t>uspostavljene</w:t>
      </w:r>
      <w:r w:rsidRPr="00062473">
        <w:rPr>
          <w:rFonts w:eastAsia="Calibri" w:cstheme="minorHAnsi"/>
        </w:rPr>
        <w:t xml:space="preserve"> osnove </w:t>
      </w:r>
      <w:r w:rsidR="008339C3" w:rsidRPr="00062473">
        <w:rPr>
          <w:rFonts w:eastAsia="Calibri" w:cstheme="minorHAnsi"/>
        </w:rPr>
        <w:t>ove politike, p</w:t>
      </w:r>
      <w:r w:rsidR="008E35E8" w:rsidRPr="00062473">
        <w:rPr>
          <w:rFonts w:eastAsia="Calibri" w:cstheme="minorHAnsi"/>
        </w:rPr>
        <w:t>očetkom 2000.</w:t>
      </w:r>
      <w:r w:rsidR="00E21AEE" w:rsidRPr="00062473">
        <w:rPr>
          <w:rFonts w:eastAsia="Calibri" w:cstheme="minorHAnsi"/>
        </w:rPr>
        <w:t xml:space="preserve"> godine,</w:t>
      </w:r>
      <w:r w:rsidR="008E35E8" w:rsidRPr="00062473">
        <w:rPr>
          <w:rFonts w:eastAsia="Calibri" w:cstheme="minorHAnsi"/>
        </w:rPr>
        <w:t xml:space="preserve"> počinje</w:t>
      </w:r>
      <w:r w:rsidR="008339C3" w:rsidRPr="00062473">
        <w:rPr>
          <w:rFonts w:eastAsia="Calibri" w:cstheme="minorHAnsi"/>
        </w:rPr>
        <w:t xml:space="preserve"> sveobuhvatna</w:t>
      </w:r>
      <w:r w:rsidR="008E35E8" w:rsidRPr="00062473">
        <w:rPr>
          <w:rFonts w:eastAsia="Calibri" w:cstheme="minorHAnsi"/>
        </w:rPr>
        <w:t xml:space="preserve"> reforma svih usluga u Zavodu za zapošljavanje</w:t>
      </w:r>
      <w:r w:rsidR="008339C3" w:rsidRPr="00062473">
        <w:rPr>
          <w:rFonts w:eastAsia="Calibri" w:cstheme="minorHAnsi"/>
        </w:rPr>
        <w:t xml:space="preserve"> Crne Gore</w:t>
      </w:r>
      <w:r w:rsidR="008E35E8" w:rsidRPr="00062473">
        <w:rPr>
          <w:rFonts w:eastAsia="Calibri" w:cstheme="minorHAnsi"/>
        </w:rPr>
        <w:t xml:space="preserve">, pa i profesionalne orijentacije. To rezultira osnivanjem Centra za informisanje i profesionalno savjetovanje (2007) u okviru ove institucije u Podgorici. Do 2012. godine osnovano je osam centara za informisanje i profesionalno savjetovanje (CIPS). Osim u Podgorici, CIPS centri su funkcionisali u Pljevljima, Bijelom Polju, Beranama, Nikšiću, Baru, Mojkovcu i </w:t>
      </w:r>
      <w:r w:rsidR="008E35E8" w:rsidRPr="00062473">
        <w:rPr>
          <w:rFonts w:eastAsia="Calibri" w:cstheme="minorHAnsi"/>
        </w:rPr>
        <w:lastRenderedPageBreak/>
        <w:t>Herceg Novom. Međunarodna organizacija rada dala je preporuke da se CIPS centri formiraju kao posebne organizacione jedinice u okviru područnih jedinica Zavoda kako bi njihov rad bio vidljiviji. Međutim zakonska rješenja nijesu dozvoljavala takav vid organizacije. Donošenjem Zakona o posredovanju pri zapošljavanju i pravima za vrijeme nezaposlenosti iz 2019. godine, akcenat u radu savjetnika u Zavodu za zapošljavanje  stavljen je na nezaposlene i ostale tražioce posla, a mnogo manje pažnje usmjereno je na rad sa učenicima osnovnih i srednjih škola.</w:t>
      </w:r>
    </w:p>
    <w:p w14:paraId="08AFCEBB" w14:textId="77777777" w:rsidR="00561D9F" w:rsidRDefault="00561D9F" w:rsidP="00561D9F">
      <w:pPr>
        <w:jc w:val="both"/>
        <w:rPr>
          <w:rFonts w:cstheme="minorHAnsi"/>
        </w:rPr>
      </w:pPr>
      <w:r w:rsidRPr="00561D9F">
        <w:rPr>
          <w:rFonts w:cstheme="minorHAnsi"/>
        </w:rPr>
        <w:t xml:space="preserve">U procesu približavanja Crne Gore Evropskoj Uniji, kroz reformisane politike obrazovanja, zapošljavanja, ekonomskog i socijalnog razvoja identifikovana je i potreba da se definišu prioriteti, mjere i aktivnosti koje će svim pojedincima  obezbijediti podršku u prepoznavanju i razvoju njihovih sposobnosti, znanja i vještina koje su im neophodne za uspješno obrazovanje i upravljanje karijerom. </w:t>
      </w:r>
    </w:p>
    <w:p w14:paraId="288AC501" w14:textId="2B417199" w:rsidR="00561D9F" w:rsidRPr="00062473" w:rsidRDefault="00561D9F" w:rsidP="00561D9F">
      <w:pPr>
        <w:jc w:val="both"/>
        <w:rPr>
          <w:rFonts w:cstheme="minorHAnsi"/>
        </w:rPr>
      </w:pPr>
      <w:r w:rsidRPr="00062473">
        <w:rPr>
          <w:rFonts w:cstheme="minorHAnsi"/>
        </w:rPr>
        <w:t>U prethodnom periodu sproveden</w:t>
      </w:r>
      <w:r>
        <w:rPr>
          <w:rFonts w:cstheme="minorHAnsi"/>
        </w:rPr>
        <w:t>o</w:t>
      </w:r>
      <w:r w:rsidRPr="00062473">
        <w:rPr>
          <w:rFonts w:cstheme="minorHAnsi"/>
        </w:rPr>
        <w:t xml:space="preserve"> je niz projekata </w:t>
      </w:r>
      <w:r>
        <w:rPr>
          <w:rFonts w:cstheme="minorHAnsi"/>
        </w:rPr>
        <w:t xml:space="preserve">koji </w:t>
      </w:r>
      <w:r w:rsidRPr="00062473">
        <w:rPr>
          <w:rFonts w:cstheme="minorHAnsi"/>
        </w:rPr>
        <w:t>su imali za cilj jačanje kvaliteta profesionalne orijentacije učenika završnog razreda osnovne škole i osnažena pod</w:t>
      </w:r>
      <w:r>
        <w:rPr>
          <w:rFonts w:cstheme="minorHAnsi"/>
        </w:rPr>
        <w:t>r</w:t>
      </w:r>
      <w:r w:rsidRPr="00062473">
        <w:rPr>
          <w:rFonts w:cstheme="minorHAnsi"/>
        </w:rPr>
        <w:t>ška u odabiru budućeg zanimanja i  srednje škole, kao i u aktivnom doprinosu razvoju zajednice u kojoj žive. Primarno se radi o sledećim projektima:</w:t>
      </w:r>
    </w:p>
    <w:p w14:paraId="6EB46E82" w14:textId="09FBFA6C" w:rsidR="00561D9F" w:rsidRPr="00062473" w:rsidRDefault="00561D9F" w:rsidP="00561D9F">
      <w:pPr>
        <w:pStyle w:val="ListParagraph"/>
        <w:numPr>
          <w:ilvl w:val="0"/>
          <w:numId w:val="15"/>
        </w:numPr>
        <w:jc w:val="both"/>
        <w:rPr>
          <w:rFonts w:cstheme="minorHAnsi"/>
        </w:rPr>
      </w:pPr>
      <w:r w:rsidRPr="00062473">
        <w:rPr>
          <w:rFonts w:cstheme="minorHAnsi"/>
        </w:rPr>
        <w:t>Od školske 2009/2010. godine Njemačko društvo za tehničku saradnju (GTZ), kasnije GIZ u saradnji sa Ministarstvom prosvjete realizovalo je regionalni projekat „Osmišljavanje prelaska mladih u svijet rada“</w:t>
      </w:r>
      <w:r w:rsidR="00242353">
        <w:rPr>
          <w:rFonts w:cstheme="minorHAnsi"/>
        </w:rPr>
        <w:t xml:space="preserve"> </w:t>
      </w:r>
      <w:r w:rsidRPr="00062473">
        <w:rPr>
          <w:rFonts w:cstheme="minorHAnsi"/>
        </w:rPr>
        <w:t xml:space="preserve">u osnovnim škola u Crnoj Gori. </w:t>
      </w:r>
      <w:r>
        <w:rPr>
          <w:rFonts w:cstheme="minorHAnsi"/>
        </w:rPr>
        <w:t xml:space="preserve">Ovim projektom </w:t>
      </w:r>
      <w:r w:rsidRPr="00062473">
        <w:rPr>
          <w:rFonts w:cstheme="minorHAnsi"/>
        </w:rPr>
        <w:t xml:space="preserve">predviđen je  program razvoja profesionalnog savjetovanja mladih sa ciljem bolje obaviještenosti mladih o svijetu rada, jačanje i prepoznavanje sopstvenih kapaciteta, kao i  mogućnosti koje mladi ljudi u Crnoj Gori mogu iskoristiti, čime će se doprinijeti da se položaj unaprijedi kada je u pitanju profesionalna informisanost. Kao rezultat edukacije lokalnih eksperata za pisanje priručnika, inicijalne obuke nastavnika, primjera dobre prakse iz Austrije, proizašla su dva priručnika profesionalne orijentacije: </w:t>
      </w:r>
      <w:r w:rsidRPr="00242353">
        <w:rPr>
          <w:rFonts w:cstheme="minorHAnsi"/>
          <w:i/>
          <w:iCs/>
        </w:rPr>
        <w:t>Priručnik za trenere i Priručnik za nastavnike</w:t>
      </w:r>
      <w:r w:rsidRPr="00062473">
        <w:rPr>
          <w:rFonts w:cstheme="minorHAnsi"/>
        </w:rPr>
        <w:t>. Priručnici sadrže veliki broj scenarija za radionice koje su kako budućim trenerima tako i nastavnicima, velika pomoć u praktičnom radu. Program obuke nastavnika je akreditovan od strane Zavoda za školstvo, izrađen je i odštampan portfolio u koji učenici unose sva zapažanja do kojih dolaze tokom procesa izbora budućeg zanimanja. Ukupno su obučeni timovi (sa po 4-5 nastavnika) u 29 osnovnih škola. Akreditacija Programa obuke nastavnika je obnovljena za svaku  narednu godinu.</w:t>
      </w:r>
    </w:p>
    <w:p w14:paraId="1B006571" w14:textId="77777777" w:rsidR="00561D9F" w:rsidRPr="00062473" w:rsidRDefault="00561D9F" w:rsidP="00561D9F">
      <w:pPr>
        <w:pStyle w:val="ListParagraph"/>
        <w:jc w:val="both"/>
        <w:rPr>
          <w:rFonts w:cstheme="minorHAnsi"/>
        </w:rPr>
      </w:pPr>
    </w:p>
    <w:p w14:paraId="79406F66" w14:textId="603C93EB" w:rsidR="00561D9F" w:rsidRPr="00062473" w:rsidRDefault="00561D9F" w:rsidP="00561D9F">
      <w:pPr>
        <w:pStyle w:val="ListParagraph"/>
        <w:numPr>
          <w:ilvl w:val="0"/>
          <w:numId w:val="15"/>
        </w:numPr>
        <w:jc w:val="both"/>
        <w:rPr>
          <w:rFonts w:cstheme="minorHAnsi"/>
        </w:rPr>
      </w:pPr>
      <w:r w:rsidRPr="00062473">
        <w:rPr>
          <w:rFonts w:cstheme="minorHAnsi"/>
        </w:rPr>
        <w:t xml:space="preserve">IPA </w:t>
      </w:r>
      <w:r w:rsidR="005A68C8">
        <w:rPr>
          <w:rFonts w:cstheme="minorHAnsi"/>
        </w:rPr>
        <w:t>p</w:t>
      </w:r>
      <w:r w:rsidRPr="00062473">
        <w:rPr>
          <w:rFonts w:cstheme="minorHAnsi"/>
        </w:rPr>
        <w:t xml:space="preserve">rojekat </w:t>
      </w:r>
      <w:r w:rsidR="005A68C8">
        <w:rPr>
          <w:rFonts w:cstheme="minorHAnsi"/>
        </w:rPr>
        <w:t>„</w:t>
      </w:r>
      <w:r w:rsidRPr="00062473">
        <w:rPr>
          <w:rFonts w:cstheme="minorHAnsi"/>
        </w:rPr>
        <w:t>Reforma tržišta rada i razvoj radne snage II</w:t>
      </w:r>
      <w:r w:rsidR="005A68C8">
        <w:rPr>
          <w:rFonts w:cstheme="minorHAnsi"/>
        </w:rPr>
        <w:t>“</w:t>
      </w:r>
      <w:r w:rsidRPr="00062473">
        <w:rPr>
          <w:rFonts w:cstheme="minorHAnsi"/>
        </w:rPr>
        <w:t xml:space="preserve"> čiji su korisnici Ministarstvo rada i socijalnog staranja, Ministarstvo prosvjete i sporta i Zavod za zapošljavanje Crne Gore započeo je sa implementacijom februara 2010. godine. Opšti cilj Projekta se odnosi na unaprijeđenje političke i institucionalne spremnosti za implementaciju EU politika zapošljavanja i razvoja ljudskih resursa, kao dio širih priprema pristupanju EU, koji je realizovan kroz podršku institucionalnom i resursnom jačanju „administracija rada i obrazovanja“ (MRSS i ZZZCG), u razvoju aktivnih mjera zapošljavanja (a posebno posredstvom lokalnih partnerstava) i okvira usluga sveživotnog karijernog savjetovanja i informisanja u Crnoj Gori. U okviru projekta pripremljena je Nacionalna </w:t>
      </w:r>
      <w:r w:rsidR="000714C5">
        <w:rPr>
          <w:rFonts w:cstheme="minorHAnsi"/>
        </w:rPr>
        <w:t>s</w:t>
      </w:r>
      <w:r w:rsidRPr="00062473">
        <w:rPr>
          <w:rFonts w:cstheme="minorHAnsi"/>
        </w:rPr>
        <w:t>trategiju cjeloživotne karijerne orijentacije (2011-2015). Jedan od  zadataka je bio i formiranje Nacionalnog koordinacionog tijela, koje je Ministarstvo prosvjete i sporta formiralo decembra 2011. godine</w:t>
      </w:r>
      <w:r w:rsidR="00F96378">
        <w:rPr>
          <w:rFonts w:cstheme="minorHAnsi"/>
        </w:rPr>
        <w:t>, i kog su činili predstavnici</w:t>
      </w:r>
      <w:r w:rsidRPr="00062473">
        <w:rPr>
          <w:rFonts w:cstheme="minorHAnsi"/>
        </w:rPr>
        <w:t xml:space="preserve"> Ministarstva prosvjete i sporta, Ministarstva rada i socijanog staranja, Zavoda za zapošljavanje, Univerziteta Crne Gore, Unije poslodavaca.  </w:t>
      </w:r>
    </w:p>
    <w:p w14:paraId="614F1823" w14:textId="134667EC" w:rsidR="00741EE2" w:rsidRDefault="00561D9F" w:rsidP="008E35E8">
      <w:pPr>
        <w:spacing w:line="256" w:lineRule="auto"/>
        <w:jc w:val="both"/>
        <w:rPr>
          <w:rFonts w:eastAsia="Calibri" w:cstheme="minorHAnsi"/>
        </w:rPr>
      </w:pPr>
      <w:r>
        <w:rPr>
          <w:rFonts w:eastAsia="Calibri" w:cstheme="minorHAnsi"/>
        </w:rPr>
        <w:lastRenderedPageBreak/>
        <w:t>Kao ključni rezultat razvoja javne politike</w:t>
      </w:r>
      <w:r w:rsidR="008E35E8" w:rsidRPr="00062473">
        <w:rPr>
          <w:rFonts w:eastAsia="Calibri" w:cstheme="minorHAnsi"/>
        </w:rPr>
        <w:t xml:space="preserve">, u </w:t>
      </w:r>
      <w:r>
        <w:rPr>
          <w:rFonts w:eastAsia="Calibri" w:cstheme="minorHAnsi"/>
        </w:rPr>
        <w:t>poslednje dvije decenije</w:t>
      </w:r>
      <w:r w:rsidR="008E35E8" w:rsidRPr="00062473">
        <w:rPr>
          <w:rFonts w:eastAsia="Calibri" w:cstheme="minorHAnsi"/>
        </w:rPr>
        <w:t xml:space="preserve"> su definisana dva</w:t>
      </w:r>
      <w:r w:rsidR="00DA5696">
        <w:rPr>
          <w:rFonts w:eastAsia="Calibri" w:cstheme="minorHAnsi"/>
        </w:rPr>
        <w:t xml:space="preserve"> </w:t>
      </w:r>
      <w:r w:rsidR="008E35E8" w:rsidRPr="00062473">
        <w:rPr>
          <w:rFonts w:eastAsia="Calibri" w:cstheme="minorHAnsi"/>
        </w:rPr>
        <w:t>strateška dokumenta za razvoj karijerne orijentacije</w:t>
      </w:r>
      <w:r w:rsidR="008E35E8" w:rsidRPr="00062473">
        <w:rPr>
          <w:rFonts w:eastAsia="Calibri" w:cstheme="minorHAnsi"/>
          <w:vertAlign w:val="superscript"/>
        </w:rPr>
        <w:footnoteReference w:id="1"/>
      </w:r>
      <w:r w:rsidR="008E35E8" w:rsidRPr="00062473">
        <w:rPr>
          <w:rFonts w:eastAsia="Calibri" w:cstheme="minorHAnsi"/>
        </w:rPr>
        <w:t xml:space="preserve"> u kojima se ona definiše kao</w:t>
      </w:r>
      <w:r w:rsidR="00741EE2">
        <w:rPr>
          <w:rFonts w:eastAsia="Calibri" w:cstheme="minorHAnsi"/>
        </w:rPr>
        <w:t>:</w:t>
      </w:r>
    </w:p>
    <w:p w14:paraId="575B239F" w14:textId="77777777" w:rsidR="00741EE2" w:rsidRDefault="008E35E8" w:rsidP="008E35E8">
      <w:pPr>
        <w:spacing w:line="256" w:lineRule="auto"/>
        <w:jc w:val="both"/>
        <w:rPr>
          <w:rFonts w:eastAsia="Calibri" w:cstheme="minorHAnsi"/>
        </w:rPr>
      </w:pPr>
      <w:r w:rsidRPr="00062473">
        <w:rPr>
          <w:rFonts w:eastAsia="Calibri" w:cstheme="minorHAnsi"/>
        </w:rPr>
        <w:t xml:space="preserve"> </w:t>
      </w:r>
      <w:r w:rsidRPr="00741EE2">
        <w:rPr>
          <w:rFonts w:eastAsia="Calibri" w:cstheme="minorHAnsi"/>
          <w:i/>
          <w:iCs/>
        </w:rPr>
        <w:t>„... niz aktivnosti koje omogućavaju da pojedinac, bez obzira na uzrast ili životno razdoblje, u bilo kom trenutku života, procijeni sopstvene sposobnosti, kompetencije i interesovanja, da donese odluke u pogledu svog obrazovanja, osposobljavanja i kvalifikacija i da upravljaju sopstvenim životnim putevima u obrazovnom, radnom i drugim okruženjima, u kojima se njegovi kapaciteti i kompetencije uče i/ili koriste</w:t>
      </w:r>
      <w:r w:rsidRPr="00062473">
        <w:rPr>
          <w:rFonts w:eastAsia="Calibri" w:cstheme="minorHAnsi"/>
        </w:rPr>
        <w:t>.”</w:t>
      </w:r>
      <w:r w:rsidRPr="00062473">
        <w:rPr>
          <w:rFonts w:eastAsia="Calibri" w:cstheme="minorHAnsi"/>
          <w:vertAlign w:val="superscript"/>
        </w:rPr>
        <w:footnoteReference w:id="2"/>
      </w:r>
      <w:r w:rsidRPr="00062473">
        <w:rPr>
          <w:rFonts w:eastAsia="Calibri" w:cstheme="minorHAnsi"/>
        </w:rPr>
        <w:t xml:space="preserve"> </w:t>
      </w:r>
    </w:p>
    <w:p w14:paraId="6E6B3272" w14:textId="46CFABAD" w:rsidR="00741EE2" w:rsidRDefault="00741EE2" w:rsidP="008E35E8">
      <w:pPr>
        <w:spacing w:line="256" w:lineRule="auto"/>
        <w:jc w:val="both"/>
        <w:rPr>
          <w:rFonts w:eastAsia="Calibri" w:cstheme="minorHAnsi"/>
        </w:rPr>
      </w:pPr>
      <w:r>
        <w:rPr>
          <w:rFonts w:eastAsia="Calibri" w:cstheme="minorHAnsi"/>
        </w:rPr>
        <w:t>Strategija karijernog vođenja i savjetovanja za period 2025-2030, predstavlja treći strateški dokument koji adresira predmetnu javnu politiku. Strateški dokument je zasnovan na sledećim principima:</w:t>
      </w:r>
    </w:p>
    <w:p w14:paraId="13C68637" w14:textId="421796B1" w:rsidR="00741EE2" w:rsidRDefault="00741EE2" w:rsidP="008E35E8">
      <w:pPr>
        <w:spacing w:line="256" w:lineRule="auto"/>
        <w:jc w:val="both"/>
        <w:rPr>
          <w:rFonts w:eastAsia="Calibri" w:cstheme="minorHAnsi"/>
        </w:rPr>
      </w:pPr>
      <w:r w:rsidRPr="00062473">
        <w:rPr>
          <w:rFonts w:cstheme="minorHAnsi"/>
          <w:noProof/>
          <w:lang w:val="en-US"/>
        </w:rPr>
        <w:drawing>
          <wp:inline distT="0" distB="0" distL="0" distR="0" wp14:anchorId="1DFCCC4F" wp14:editId="20F7BA59">
            <wp:extent cx="8537864" cy="2234565"/>
            <wp:effectExtent l="38100" t="0" r="15875" b="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B2D4DA0" w14:textId="4C694E91" w:rsidR="008E35E8" w:rsidRDefault="00741EE2" w:rsidP="008E35E8">
      <w:pPr>
        <w:spacing w:line="256" w:lineRule="auto"/>
        <w:jc w:val="both"/>
        <w:rPr>
          <w:rFonts w:eastAsia="Calibri" w:cstheme="minorHAnsi"/>
        </w:rPr>
      </w:pPr>
      <w:r>
        <w:rPr>
          <w:rFonts w:eastAsia="Calibri" w:cstheme="minorHAnsi"/>
        </w:rPr>
        <w:t>P</w:t>
      </w:r>
      <w:r w:rsidR="008E35E8" w:rsidRPr="00062473">
        <w:rPr>
          <w:rFonts w:eastAsia="Calibri" w:cstheme="minorHAnsi"/>
        </w:rPr>
        <w:t>ovećani stepen svjesnosti o značaju karijernog vođenja i savjetovanja za društvo i pojedinca</w:t>
      </w:r>
      <w:r>
        <w:rPr>
          <w:rFonts w:eastAsia="Calibri" w:cstheme="minorHAnsi"/>
        </w:rPr>
        <w:t xml:space="preserve"> u prethodnom periodu</w:t>
      </w:r>
      <w:r w:rsidR="008E35E8" w:rsidRPr="00062473">
        <w:rPr>
          <w:rFonts w:eastAsia="Calibri" w:cstheme="minorHAnsi"/>
        </w:rPr>
        <w:t xml:space="preserve"> pratile su i zakonske promjene, pa se kao jedan od ciljeva osnovnog obrazovanja propisuje karijerna orijentacija</w:t>
      </w:r>
      <w:r w:rsidR="00815D89">
        <w:rPr>
          <w:rFonts w:eastAsia="Calibri" w:cstheme="minorHAnsi"/>
        </w:rPr>
        <w:t xml:space="preserve"> (</w:t>
      </w:r>
      <w:r w:rsidR="00815D89" w:rsidRPr="00815D89">
        <w:rPr>
          <w:rFonts w:eastAsia="Calibri" w:cstheme="minorHAnsi"/>
          <w:b/>
          <w:bCs/>
        </w:rPr>
        <w:t>Zakon o osnovnom obrazovanju i vaspitanju Crne Gore</w:t>
      </w:r>
      <w:r w:rsidR="00815D89">
        <w:rPr>
          <w:rFonts w:eastAsia="Calibri" w:cstheme="minorHAnsi"/>
        </w:rPr>
        <w:t>)</w:t>
      </w:r>
      <w:r w:rsidR="008E35E8" w:rsidRPr="00062473">
        <w:rPr>
          <w:rFonts w:eastAsia="Calibri" w:cstheme="minorHAnsi"/>
          <w:vertAlign w:val="superscript"/>
        </w:rPr>
        <w:footnoteReference w:id="3"/>
      </w:r>
      <w:r w:rsidR="008E35E8" w:rsidRPr="00062473">
        <w:rPr>
          <w:rFonts w:eastAsia="Calibri" w:cstheme="minorHAnsi"/>
        </w:rPr>
        <w:t xml:space="preserve">. Takođe, u </w:t>
      </w:r>
      <w:r w:rsidR="008E35E8" w:rsidRPr="00815D89">
        <w:rPr>
          <w:rFonts w:eastAsia="Calibri" w:cstheme="minorHAnsi"/>
          <w:b/>
          <w:bCs/>
        </w:rPr>
        <w:t>Zakonu o stručnom obrazovanju</w:t>
      </w:r>
      <w:r>
        <w:rPr>
          <w:rStyle w:val="FootnoteReference"/>
          <w:rFonts w:eastAsia="Calibri" w:cstheme="minorHAnsi"/>
        </w:rPr>
        <w:footnoteReference w:id="4"/>
      </w:r>
      <w:r w:rsidR="008E35E8" w:rsidRPr="00062473">
        <w:rPr>
          <w:rFonts w:eastAsia="Calibri" w:cstheme="minorHAnsi"/>
        </w:rPr>
        <w:t xml:space="preserve"> definišu se ciljevi stručnog obrazovanja : „obezbjeđivanje znanja i sposobnosti neophodnih za život i rad; lična interesovanja; profesionalni razvoj ličnosti i za dalje obrazovanje”. Identifikovane su i institucije</w:t>
      </w:r>
      <w:r w:rsidR="008E35E8" w:rsidRPr="00062473">
        <w:rPr>
          <w:rFonts w:eastAsia="Calibri" w:cstheme="minorHAnsi"/>
          <w:vertAlign w:val="superscript"/>
        </w:rPr>
        <w:footnoteReference w:id="5"/>
      </w:r>
      <w:r w:rsidR="008E35E8" w:rsidRPr="00062473">
        <w:rPr>
          <w:rFonts w:eastAsia="Calibri" w:cstheme="minorHAnsi"/>
        </w:rPr>
        <w:t xml:space="preserve"> čiji su zadaci da prate i analiziraju potrebe tržišta </w:t>
      </w:r>
      <w:r w:rsidR="008E35E8" w:rsidRPr="00062473">
        <w:rPr>
          <w:rFonts w:eastAsia="Calibri" w:cstheme="minorHAnsi"/>
        </w:rPr>
        <w:lastRenderedPageBreak/>
        <w:t>rada, informišu i savjetuju zainteresovane kandidate i poslodavce. Kao jedna od aktivnosti u poslovima zapošljavanja zakonski</w:t>
      </w:r>
      <w:r w:rsidR="008E35E8" w:rsidRPr="00062473">
        <w:rPr>
          <w:rFonts w:eastAsia="Calibri" w:cstheme="minorHAnsi"/>
          <w:vertAlign w:val="superscript"/>
        </w:rPr>
        <w:footnoteReference w:id="6"/>
      </w:r>
      <w:r w:rsidR="008E35E8" w:rsidRPr="00062473">
        <w:rPr>
          <w:rFonts w:eastAsia="Calibri" w:cstheme="minorHAnsi"/>
        </w:rPr>
        <w:t xml:space="preserve"> se prepoznaje profesionalna orijentacija i savjetovanje o planiranju karijere.</w:t>
      </w:r>
      <w:r w:rsidR="00815D89">
        <w:rPr>
          <w:rFonts w:eastAsia="Calibri" w:cstheme="minorHAnsi"/>
        </w:rPr>
        <w:t xml:space="preserve"> </w:t>
      </w:r>
      <w:r w:rsidR="00815D89" w:rsidRPr="00815D89">
        <w:rPr>
          <w:rFonts w:eastAsia="Calibri" w:cstheme="minorHAnsi"/>
        </w:rPr>
        <w:t xml:space="preserve">Karijerna orijentacija je prepoznata kao važan činililac za ukupan razvoj ličnosti, te se već od osnovnoškolskog uzrasta pristupa planskim aktivnostima na ovom polju. </w:t>
      </w:r>
      <w:r w:rsidR="00815D89" w:rsidRPr="00815D89">
        <w:rPr>
          <w:rFonts w:eastAsia="Calibri" w:cstheme="minorHAnsi"/>
          <w:b/>
          <w:bCs/>
        </w:rPr>
        <w:t>Zakon o nacionalnom okviru kvalifikacija</w:t>
      </w:r>
      <w:r w:rsidR="00815D89" w:rsidRPr="00815D89">
        <w:rPr>
          <w:rFonts w:eastAsia="Calibri" w:cstheme="minorHAnsi"/>
        </w:rPr>
        <w:t xml:space="preserve"> ukazuje na institucije</w:t>
      </w:r>
      <w:r w:rsidR="00815D89">
        <w:rPr>
          <w:rFonts w:eastAsia="Calibri" w:cstheme="minorHAnsi"/>
        </w:rPr>
        <w:t xml:space="preserve"> </w:t>
      </w:r>
      <w:r w:rsidR="00815D89" w:rsidRPr="00815D89">
        <w:rPr>
          <w:rFonts w:eastAsia="Calibri" w:cstheme="minorHAnsi"/>
        </w:rPr>
        <w:t xml:space="preserve">koje, u okviru svojih nadležnosti, treba da prate i analiziraju potrebe tržišta rada i informišu i savjetuju zainteresovane kandidate i poslodavce. </w:t>
      </w:r>
      <w:r w:rsidR="00815D89">
        <w:rPr>
          <w:rFonts w:eastAsia="Calibri" w:cstheme="minorHAnsi"/>
        </w:rPr>
        <w:t>Ovim zakonom se kao</w:t>
      </w:r>
      <w:r w:rsidR="00815D89" w:rsidRPr="00815D89">
        <w:rPr>
          <w:rFonts w:eastAsia="Calibri" w:cstheme="minorHAnsi"/>
        </w:rPr>
        <w:t xml:space="preserve"> ciljev</w:t>
      </w:r>
      <w:r w:rsidR="00815D89">
        <w:rPr>
          <w:rFonts w:eastAsia="Calibri" w:cstheme="minorHAnsi"/>
        </w:rPr>
        <w:t>i</w:t>
      </w:r>
      <w:r w:rsidR="00815D89" w:rsidRPr="00815D89">
        <w:rPr>
          <w:rFonts w:eastAsia="Calibri" w:cstheme="minorHAnsi"/>
        </w:rPr>
        <w:t xml:space="preserve"> definiš</w:t>
      </w:r>
      <w:r w:rsidR="00815D89">
        <w:rPr>
          <w:rFonts w:eastAsia="Calibri" w:cstheme="minorHAnsi"/>
        </w:rPr>
        <w:t>u</w:t>
      </w:r>
      <w:r w:rsidR="00815D89" w:rsidRPr="00815D89">
        <w:rPr>
          <w:rFonts w:eastAsia="Calibri" w:cstheme="minorHAnsi"/>
        </w:rPr>
        <w:t xml:space="preserve"> omogućavanje cjeloživotnog učenja i dostupnost sticanja kvalifikacija, što je od značaja za karijernu orijentaciju. U sistemu zapošljavanja, ovu oblast definiše </w:t>
      </w:r>
      <w:r w:rsidR="00815D89" w:rsidRPr="00815D89">
        <w:rPr>
          <w:rFonts w:eastAsia="Calibri" w:cstheme="minorHAnsi"/>
          <w:b/>
          <w:bCs/>
        </w:rPr>
        <w:t>Zakon o posredovanju pri zapošljavanju i pravima za vrijemene zaposlenosti i Pravilnik o aktivnom traženju zaposlenja</w:t>
      </w:r>
      <w:r w:rsidR="00815D89" w:rsidRPr="00815D89">
        <w:rPr>
          <w:rFonts w:eastAsia="Calibri" w:cstheme="minorHAnsi"/>
        </w:rPr>
        <w:t>.  U skladu sa ovim zakonskim rješenjima, karijerna orijentacija je prepoznata kao aktivnost pripreme pri zapošljavanju i definisana je kao usluga za tržište rada koja obuhvata skup različitihstručnih postupaka kojima se identifikuju mogućnost i nezaposlenog lica pri izboru zanimanja, promjeni zanimanja i donošenju odluka u vezi sa karijernim razvojem, odnosno usklađivanjem individualnih potreba sa zahtjevima tržišta rada.</w:t>
      </w:r>
    </w:p>
    <w:p w14:paraId="1581DEE4" w14:textId="7841C0CB" w:rsidR="009E20DF" w:rsidRDefault="00D5414D" w:rsidP="008E35E8">
      <w:pPr>
        <w:spacing w:line="256" w:lineRule="auto"/>
        <w:jc w:val="both"/>
        <w:rPr>
          <w:rFonts w:eastAsia="Calibri" w:cstheme="minorHAnsi"/>
        </w:rPr>
      </w:pPr>
      <w:r>
        <w:rPr>
          <w:rFonts w:eastAsia="Calibri" w:cstheme="minorHAnsi"/>
          <w:noProof/>
          <w:lang w:val="en-US"/>
        </w:rPr>
        <mc:AlternateContent>
          <mc:Choice Requires="wps">
            <w:drawing>
              <wp:anchor distT="0" distB="0" distL="114300" distR="114300" simplePos="0" relativeHeight="251661312" behindDoc="1" locked="0" layoutInCell="1" allowOverlap="1" wp14:anchorId="0D8E31F2" wp14:editId="16AD53C0">
                <wp:simplePos x="0" y="0"/>
                <wp:positionH relativeFrom="column">
                  <wp:posOffset>-55179</wp:posOffset>
                </wp:positionH>
                <wp:positionV relativeFrom="paragraph">
                  <wp:posOffset>816632</wp:posOffset>
                </wp:positionV>
                <wp:extent cx="8560676" cy="685800"/>
                <wp:effectExtent l="0" t="0" r="12065" b="19050"/>
                <wp:wrapNone/>
                <wp:docPr id="19" name="Pravougaonik: sa zaobljenim uglovima 19"/>
                <wp:cNvGraphicFramePr/>
                <a:graphic xmlns:a="http://schemas.openxmlformats.org/drawingml/2006/main">
                  <a:graphicData uri="http://schemas.microsoft.com/office/word/2010/wordprocessingShape">
                    <wps:wsp>
                      <wps:cNvSpPr/>
                      <wps:spPr>
                        <a:xfrm>
                          <a:off x="0" y="0"/>
                          <a:ext cx="8560676" cy="68580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878A211" id="Pravougaonik: sa zaobljenim uglovima 19" o:spid="_x0000_s1026" style="position:absolute;margin-left:-4.35pt;margin-top:64.3pt;width:674.05pt;height:5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" fillcolor="white [3201]" strokecolor="#ed7d31 [3205]" strokeweight="1pt">
                <v:stroke joinstyle="miter"/>
              </v:roundrect>
            </w:pict>
          </mc:Fallback>
        </mc:AlternateContent>
      </w:r>
      <w:r w:rsidR="000D6735" w:rsidRPr="000D6735">
        <w:rPr>
          <w:rFonts w:eastAsia="Calibri" w:cstheme="minorHAnsi"/>
        </w:rPr>
        <w:t>Sistemsko uređenje karijerne orijentacije važno je i zbog toga što je ova oblast direktno povezana sa politikama obrazovanja, zapošljavanja, ekonomskog i socijalnog razvoja.</w:t>
      </w:r>
      <w:r w:rsidR="000D6735">
        <w:rPr>
          <w:rFonts w:eastAsia="Calibri" w:cstheme="minorHAnsi"/>
        </w:rPr>
        <w:t xml:space="preserve"> Svrha ovog strateškog dokumenta se ogleda u povećanju</w:t>
      </w:r>
      <w:r w:rsidR="000D6735" w:rsidRPr="000D6735">
        <w:rPr>
          <w:rFonts w:eastAsia="Calibri" w:cstheme="minorHAnsi"/>
        </w:rPr>
        <w:t xml:space="preserve"> zapošljivost</w:t>
      </w:r>
      <w:r w:rsidR="000D6735">
        <w:rPr>
          <w:rFonts w:eastAsia="Calibri" w:cstheme="minorHAnsi"/>
        </w:rPr>
        <w:t>i</w:t>
      </w:r>
      <w:r w:rsidR="000D6735" w:rsidRPr="000D6735">
        <w:rPr>
          <w:rFonts w:eastAsia="Calibri" w:cstheme="minorHAnsi"/>
        </w:rPr>
        <w:t>, efikasnost</w:t>
      </w:r>
      <w:r w:rsidR="000D6735">
        <w:rPr>
          <w:rFonts w:eastAsia="Calibri" w:cstheme="minorHAnsi"/>
        </w:rPr>
        <w:t>i</w:t>
      </w:r>
      <w:r w:rsidR="000D6735" w:rsidRPr="000D6735">
        <w:rPr>
          <w:rFonts w:eastAsia="Calibri" w:cstheme="minorHAnsi"/>
        </w:rPr>
        <w:t xml:space="preserve"> i efektivnost</w:t>
      </w:r>
      <w:r w:rsidR="000D6735">
        <w:rPr>
          <w:rFonts w:eastAsia="Calibri" w:cstheme="minorHAnsi"/>
        </w:rPr>
        <w:t>i</w:t>
      </w:r>
      <w:r w:rsidR="000D6735" w:rsidRPr="000D6735">
        <w:rPr>
          <w:rFonts w:eastAsia="Calibri" w:cstheme="minorHAnsi"/>
        </w:rPr>
        <w:t xml:space="preserve"> učenja i rada u školi, ojačati socijalnu inkluziju, smanjiti rano napuštanje školovanja, kao i ojačati ravnopravnost svih u obrazovnom procesu.</w:t>
      </w:r>
      <w:r w:rsidR="000D6735">
        <w:rPr>
          <w:rFonts w:eastAsia="Calibri" w:cstheme="minorHAnsi"/>
        </w:rPr>
        <w:t xml:space="preserve"> </w:t>
      </w:r>
      <w:r w:rsidR="00DB23FA">
        <w:rPr>
          <w:rFonts w:eastAsia="Calibri" w:cstheme="minorHAnsi"/>
        </w:rPr>
        <w:t>U tom pogledu, strateškim dokumentom je definisan jedan strateški cilj</w:t>
      </w:r>
      <w:r w:rsidR="006F7418">
        <w:rPr>
          <w:rFonts w:eastAsia="Calibri" w:cstheme="minorHAnsi"/>
        </w:rPr>
        <w:t xml:space="preserve"> koji adresira sve ključne oblasti javne politike:</w:t>
      </w:r>
    </w:p>
    <w:p w14:paraId="1CA302A0" w14:textId="33A29111" w:rsidR="006F7418" w:rsidRPr="00836382" w:rsidRDefault="00836382" w:rsidP="008E35E8">
      <w:pPr>
        <w:spacing w:line="256" w:lineRule="auto"/>
        <w:jc w:val="both"/>
        <w:rPr>
          <w:rFonts w:eastAsia="Calibri" w:cstheme="minorHAnsi"/>
          <w:i/>
          <w:iCs/>
        </w:rPr>
      </w:pPr>
      <w:r w:rsidRPr="00836382">
        <w:rPr>
          <w:rFonts w:eastAsia="Calibri" w:cstheme="minorHAnsi"/>
          <w:b/>
          <w:bCs/>
          <w:i/>
          <w:iCs/>
        </w:rPr>
        <w:t>STRATEŠKI CILJ</w:t>
      </w:r>
      <w:r w:rsidRPr="00836382">
        <w:rPr>
          <w:rFonts w:eastAsia="Calibri" w:cstheme="minorHAnsi"/>
          <w:i/>
          <w:iCs/>
        </w:rPr>
        <w:t>:  Do 2030. godine, razviti i implementirati sveobuhvatan okvir za karijerno vođenje i savjetovanje zasnovan na podacima iz svih obrazovnih ustanova i institucija za zapošljavanje, sa ciljem da se smanji napuštanje školovanja, ojača usklađenost obrazovnog sistema i tržišta rada, pomogne u povećanju motivacije za učenje i postignuća u učenju i podrži lakši prelazak na tržište rada.</w:t>
      </w:r>
    </w:p>
    <w:p w14:paraId="2F04CA89" w14:textId="39AC5425" w:rsidR="000D6735" w:rsidRDefault="000D6735" w:rsidP="008E35E8">
      <w:pPr>
        <w:spacing w:line="256" w:lineRule="auto"/>
        <w:jc w:val="both"/>
        <w:rPr>
          <w:rFonts w:eastAsia="Calibri" w:cstheme="minorHAnsi"/>
        </w:rPr>
      </w:pPr>
      <w:r>
        <w:rPr>
          <w:rFonts w:eastAsia="Calibri" w:cstheme="minorHAnsi"/>
        </w:rPr>
        <w:t>Da bi se navedeni cilj ostvari</w:t>
      </w:r>
      <w:r w:rsidR="00FD4909">
        <w:rPr>
          <w:rFonts w:eastAsia="Calibri" w:cstheme="minorHAnsi"/>
        </w:rPr>
        <w:t>o</w:t>
      </w:r>
      <w:r>
        <w:rPr>
          <w:rFonts w:eastAsia="Calibri" w:cstheme="minorHAnsi"/>
        </w:rPr>
        <w:t>, kroz razvoj i implementaciju javne politike potrebno je uključite sve zainteresovane strane, gdje je primarni akcenat na sl</w:t>
      </w:r>
      <w:r w:rsidR="004E7250">
        <w:rPr>
          <w:rFonts w:eastAsia="Calibri" w:cstheme="minorHAnsi"/>
        </w:rPr>
        <w:t>j</w:t>
      </w:r>
      <w:r>
        <w:rPr>
          <w:rFonts w:eastAsia="Calibri" w:cstheme="minorHAnsi"/>
        </w:rPr>
        <w:t>edećim subjektima:</w:t>
      </w:r>
    </w:p>
    <w:p w14:paraId="2561EB04" w14:textId="7D4E9ACE" w:rsidR="00190FC9" w:rsidRPr="00815D89" w:rsidRDefault="00741EE2" w:rsidP="00815D89">
      <w:pPr>
        <w:spacing w:line="256" w:lineRule="auto"/>
        <w:jc w:val="both"/>
        <w:rPr>
          <w:rFonts w:eastAsia="Calibri" w:cstheme="minorHAnsi"/>
        </w:rPr>
      </w:pPr>
      <w:r w:rsidRPr="00062473">
        <w:rPr>
          <w:rFonts w:cstheme="minorHAnsi"/>
          <w:noProof/>
          <w:lang w:val="en-US"/>
        </w:rPr>
        <w:lastRenderedPageBreak/>
        <w:drawing>
          <wp:inline distT="0" distB="0" distL="0" distR="0" wp14:anchorId="3E8F8282" wp14:editId="1CEB8264">
            <wp:extent cx="8229600" cy="2549525"/>
            <wp:effectExtent l="0" t="19050" r="0" b="22225"/>
            <wp:docPr id="5" name="Dij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8B57E99" w14:textId="2D10D7B2" w:rsidR="00D27514" w:rsidRDefault="00D27514" w:rsidP="00190FC9">
      <w:pPr>
        <w:jc w:val="both"/>
        <w:rPr>
          <w:rFonts w:cstheme="minorHAnsi"/>
        </w:rPr>
      </w:pPr>
      <w:r w:rsidRPr="00D27514">
        <w:rPr>
          <w:rFonts w:cstheme="minorHAnsi"/>
        </w:rPr>
        <w:t xml:space="preserve">Strateški dokument je pripremljen od strane Radne grupe koju  je formiralo Ministarstvo </w:t>
      </w:r>
      <w:r>
        <w:rPr>
          <w:rFonts w:cstheme="minorHAnsi"/>
        </w:rPr>
        <w:t>prosvjete, nauke i inovacija,</w:t>
      </w:r>
      <w:r w:rsidRPr="00D27514">
        <w:rPr>
          <w:rFonts w:cstheme="minorHAnsi"/>
        </w:rPr>
        <w:t xml:space="preserve"> u čijem radu su učešće uzeli predstavnici/ce  svih relevantnih subjekata za </w:t>
      </w:r>
      <w:r w:rsidR="0006433A">
        <w:rPr>
          <w:rFonts w:cstheme="minorHAnsi"/>
        </w:rPr>
        <w:t>politiku karijernog vođenja i savjetovanja</w:t>
      </w:r>
      <w:r w:rsidRPr="00D27514">
        <w:rPr>
          <w:rFonts w:cstheme="minorHAnsi"/>
        </w:rPr>
        <w:t xml:space="preserve"> u Crnoj Gori.  Radna grupa je sačinjena od ukupno </w:t>
      </w:r>
      <w:r w:rsidR="00392AE4">
        <w:rPr>
          <w:rFonts w:cstheme="minorHAnsi"/>
        </w:rPr>
        <w:t>22</w:t>
      </w:r>
      <w:r w:rsidRPr="00D27514">
        <w:rPr>
          <w:rFonts w:cstheme="minorHAnsi"/>
        </w:rPr>
        <w:t xml:space="preserve"> članova/ca, od koj</w:t>
      </w:r>
      <w:r w:rsidR="00E655E3">
        <w:rPr>
          <w:rFonts w:cstheme="minorHAnsi"/>
        </w:rPr>
        <w:t>ih</w:t>
      </w:r>
      <w:r w:rsidRPr="00D27514">
        <w:rPr>
          <w:rFonts w:cstheme="minorHAnsi"/>
        </w:rPr>
        <w:t xml:space="preserve"> su </w:t>
      </w:r>
      <w:r w:rsidR="00D93A7B">
        <w:rPr>
          <w:rFonts w:cstheme="minorHAnsi"/>
        </w:rPr>
        <w:t>14</w:t>
      </w:r>
      <w:r w:rsidRPr="00D27514">
        <w:rPr>
          <w:rFonts w:cstheme="minorHAnsi"/>
        </w:rPr>
        <w:t xml:space="preserve"> bile žene, odnosno učešće u izradi strateškog dokumenta </w:t>
      </w:r>
      <w:r w:rsidR="00D93A7B">
        <w:rPr>
          <w:rFonts w:cstheme="minorHAnsi"/>
        </w:rPr>
        <w:t>je</w:t>
      </w:r>
      <w:r w:rsidRPr="00D27514">
        <w:rPr>
          <w:rFonts w:cstheme="minorHAnsi"/>
        </w:rPr>
        <w:t xml:space="preserve"> uzel</w:t>
      </w:r>
      <w:r w:rsidR="00D93A7B">
        <w:rPr>
          <w:rFonts w:cstheme="minorHAnsi"/>
        </w:rPr>
        <w:t>o</w:t>
      </w:r>
      <w:r w:rsidRPr="00D27514">
        <w:rPr>
          <w:rFonts w:cstheme="minorHAnsi"/>
        </w:rPr>
        <w:t xml:space="preserve"> </w:t>
      </w:r>
      <w:r w:rsidR="00D93A7B">
        <w:rPr>
          <w:rFonts w:cstheme="minorHAnsi"/>
        </w:rPr>
        <w:t>8</w:t>
      </w:r>
      <w:r w:rsidR="0006433A">
        <w:rPr>
          <w:rFonts w:cstheme="minorHAnsi"/>
        </w:rPr>
        <w:t xml:space="preserve"> </w:t>
      </w:r>
      <w:r w:rsidRPr="00D27514">
        <w:rPr>
          <w:rFonts w:cstheme="minorHAnsi"/>
        </w:rPr>
        <w:t>muškar</w:t>
      </w:r>
      <w:r w:rsidR="0006433A">
        <w:rPr>
          <w:rFonts w:cstheme="minorHAnsi"/>
        </w:rPr>
        <w:t>a</w:t>
      </w:r>
      <w:r w:rsidRPr="00D27514">
        <w:rPr>
          <w:rFonts w:cstheme="minorHAnsi"/>
        </w:rPr>
        <w:t>ca.</w:t>
      </w:r>
    </w:p>
    <w:p w14:paraId="48EAB89F" w14:textId="475AFD55" w:rsidR="002A0183" w:rsidRPr="00062473" w:rsidRDefault="000D6735" w:rsidP="00190FC9">
      <w:pPr>
        <w:jc w:val="both"/>
        <w:rPr>
          <w:rFonts w:cstheme="minorHAnsi"/>
        </w:rPr>
      </w:pPr>
      <w:r>
        <w:rPr>
          <w:rFonts w:cstheme="minorHAnsi"/>
        </w:rPr>
        <w:t>U narednom segmentu uvodnog dijela predstavljena je usklađenost strateškog dokumenta sa ključnim nacionalnim i međunarodnim obavezama Crne Gore u predmetnoj javnoj politici.</w:t>
      </w:r>
    </w:p>
    <w:p w14:paraId="2E8F2D0E" w14:textId="5831821C" w:rsidR="00CC7797" w:rsidRPr="0036318D" w:rsidRDefault="00CC7797" w:rsidP="0036318D">
      <w:pPr>
        <w:pStyle w:val="Heading2"/>
      </w:pPr>
      <w:bookmarkStart w:id="2" w:name="_Toc197274066"/>
      <w:r w:rsidRPr="0036318D">
        <w:t>POZICIONIRANJE U STRATEŠKOM OKVIRU CRNE GORE</w:t>
      </w:r>
      <w:bookmarkEnd w:id="2"/>
    </w:p>
    <w:p w14:paraId="45C04D59" w14:textId="11309F60" w:rsidR="00CC7797" w:rsidRPr="00062473" w:rsidRDefault="00815D89" w:rsidP="00CC7797">
      <w:pPr>
        <w:jc w:val="both"/>
        <w:rPr>
          <w:rFonts w:cstheme="minorHAnsi"/>
        </w:rPr>
      </w:pPr>
      <w:r>
        <w:rPr>
          <w:rFonts w:cstheme="minorHAnsi"/>
        </w:rPr>
        <w:t>Strategija</w:t>
      </w:r>
      <w:r w:rsidR="00CC7797" w:rsidRPr="00062473">
        <w:rPr>
          <w:rFonts w:cstheme="minorHAnsi"/>
        </w:rPr>
        <w:t xml:space="preserve"> razvoja karijernog vođenja i savjetovanja 20</w:t>
      </w:r>
      <w:r>
        <w:rPr>
          <w:rFonts w:cstheme="minorHAnsi"/>
        </w:rPr>
        <w:t>25</w:t>
      </w:r>
      <w:r w:rsidR="00CC7797" w:rsidRPr="00062473">
        <w:rPr>
          <w:rFonts w:cstheme="minorHAnsi"/>
        </w:rPr>
        <w:t>-20</w:t>
      </w:r>
      <w:r>
        <w:rPr>
          <w:rFonts w:cstheme="minorHAnsi"/>
        </w:rPr>
        <w:t>30</w:t>
      </w:r>
      <w:r w:rsidR="00CC7797" w:rsidRPr="00062473">
        <w:rPr>
          <w:rFonts w:cstheme="minorHAnsi"/>
        </w:rPr>
        <w:t>.</w:t>
      </w:r>
      <w:r>
        <w:rPr>
          <w:rFonts w:cstheme="minorHAnsi"/>
        </w:rPr>
        <w:t xml:space="preserve">, </w:t>
      </w:r>
      <w:r w:rsidR="00CC7797" w:rsidRPr="00062473">
        <w:rPr>
          <w:rFonts w:cstheme="minorHAnsi"/>
        </w:rPr>
        <w:t xml:space="preserve">sadrži prepoznate prioritetne oblasti, niz mjera i aktivnosti u dijelu razvoja karijernog vođenja i savjetovanja od ranog uzrasta učenika sve do kasne dobi, na nivou cijele populacije stanovništva. Značajno je da se </w:t>
      </w:r>
      <w:r>
        <w:rPr>
          <w:rFonts w:cstheme="minorHAnsi"/>
        </w:rPr>
        <w:t xml:space="preserve">Strategija </w:t>
      </w:r>
      <w:r w:rsidR="00CC7797" w:rsidRPr="00062473">
        <w:rPr>
          <w:rFonts w:cstheme="minorHAnsi"/>
        </w:rPr>
        <w:t>odnosi na sve strukture stanovništva, bez obzira na to da li su u sistemu školovanja, zaposleni, nezaposleni ili penzioneri.</w:t>
      </w:r>
      <w:r>
        <w:rPr>
          <w:rFonts w:cstheme="minorHAnsi"/>
        </w:rPr>
        <w:t xml:space="preserve"> U tom pogledu, strateški dokument je usklađen sa sledećim nacionalnim javnim politikama:</w:t>
      </w:r>
    </w:p>
    <w:p w14:paraId="78848F0A" w14:textId="13EFA934" w:rsidR="00381B3A" w:rsidRPr="00381B3A" w:rsidRDefault="00CC7797" w:rsidP="00381B3A">
      <w:pPr>
        <w:jc w:val="both"/>
        <w:rPr>
          <w:rFonts w:cstheme="minorHAnsi"/>
          <w:b/>
          <w:bCs/>
        </w:rPr>
      </w:pPr>
      <w:r w:rsidRPr="00381B3A">
        <w:rPr>
          <w:rFonts w:cstheme="minorHAnsi"/>
          <w:b/>
          <w:bCs/>
        </w:rPr>
        <w:t>Srednj</w:t>
      </w:r>
      <w:r w:rsidR="006062E2" w:rsidRPr="00381B3A">
        <w:rPr>
          <w:rFonts w:cstheme="minorHAnsi"/>
          <w:b/>
          <w:bCs/>
        </w:rPr>
        <w:t>o</w:t>
      </w:r>
      <w:r w:rsidRPr="00381B3A">
        <w:rPr>
          <w:rFonts w:cstheme="minorHAnsi"/>
          <w:b/>
          <w:bCs/>
        </w:rPr>
        <w:t>ročni program rada Vlade Crne Gore 2024-202</w:t>
      </w:r>
      <w:r w:rsidR="00257DCB" w:rsidRPr="00381B3A">
        <w:rPr>
          <w:rFonts w:cstheme="minorHAnsi"/>
          <w:b/>
          <w:bCs/>
        </w:rPr>
        <w:t>7</w:t>
      </w:r>
      <w:r w:rsidR="00815D89">
        <w:rPr>
          <w:rStyle w:val="FootnoteReference"/>
          <w:rFonts w:cstheme="minorHAnsi"/>
          <w:b/>
          <w:bCs/>
        </w:rPr>
        <w:footnoteReference w:id="7"/>
      </w:r>
      <w:r w:rsidR="00381B3A">
        <w:rPr>
          <w:rFonts w:cstheme="minorHAnsi"/>
          <w:b/>
          <w:bCs/>
        </w:rPr>
        <w:t xml:space="preserve">. </w:t>
      </w:r>
      <w:r w:rsidR="00257DCB" w:rsidRPr="00062473">
        <w:rPr>
          <w:rFonts w:cstheme="minorHAnsi"/>
        </w:rPr>
        <w:t xml:space="preserve">Strategija je usklađena sa </w:t>
      </w:r>
      <w:r w:rsidR="006062E2" w:rsidRPr="00062473">
        <w:rPr>
          <w:rFonts w:cstheme="minorHAnsi"/>
        </w:rPr>
        <w:t>SPRV</w:t>
      </w:r>
      <w:r w:rsidR="00257DCB" w:rsidRPr="00062473">
        <w:rPr>
          <w:rFonts w:cstheme="minorHAnsi"/>
        </w:rPr>
        <w:t xml:space="preserve"> 2024-2027, u dijelu koji se odnosi na ciljeve </w:t>
      </w:r>
      <w:r w:rsidRPr="00062473">
        <w:rPr>
          <w:rFonts w:cstheme="minorHAnsi"/>
        </w:rPr>
        <w:t xml:space="preserve"> </w:t>
      </w:r>
      <w:r w:rsidR="00257DCB" w:rsidRPr="00062473">
        <w:rPr>
          <w:rFonts w:cstheme="minorHAnsi"/>
        </w:rPr>
        <w:t>koji</w:t>
      </w:r>
      <w:r w:rsidRPr="00062473">
        <w:rPr>
          <w:rFonts w:cstheme="minorHAnsi"/>
        </w:rPr>
        <w:t xml:space="preserve"> sadrže elemente karijernog vođenja i savjetovanja:</w:t>
      </w:r>
      <w:r w:rsidR="00381B3A">
        <w:rPr>
          <w:rFonts w:cstheme="minorHAnsi"/>
          <w:b/>
          <w:bCs/>
        </w:rPr>
        <w:t xml:space="preserve"> </w:t>
      </w:r>
      <w:r w:rsidR="00B835A3">
        <w:rPr>
          <w:rFonts w:cstheme="minorHAnsi"/>
        </w:rPr>
        <w:t>Strateški dokument će doprinijeti ostvarenju indikatora SPRV</w:t>
      </w:r>
      <w:r w:rsidR="00381B3A">
        <w:rPr>
          <w:rFonts w:cstheme="minorHAnsi"/>
        </w:rPr>
        <w:t>-</w:t>
      </w:r>
      <w:r w:rsidR="00B835A3">
        <w:rPr>
          <w:rFonts w:cstheme="minorHAnsi"/>
        </w:rPr>
        <w:t>a koji se odnosi na smanjenje nezaposlenosti</w:t>
      </w:r>
      <w:r w:rsidR="00381B3A">
        <w:rPr>
          <w:rFonts w:cstheme="minorHAnsi"/>
        </w:rPr>
        <w:t xml:space="preserve"> </w:t>
      </w:r>
      <w:r w:rsidR="00B835A3">
        <w:rPr>
          <w:rFonts w:cstheme="minorHAnsi"/>
        </w:rPr>
        <w:t xml:space="preserve">u Crnoj Gori, sa 13,95% iz 2023. godine, na 11% u 2027. godini. Dodatni fokus se odnosi na povećanje broja zaposlenih na 296,000 </w:t>
      </w:r>
      <w:r w:rsidR="00B835A3">
        <w:rPr>
          <w:rFonts w:cstheme="minorHAnsi"/>
        </w:rPr>
        <w:lastRenderedPageBreak/>
        <w:t>u 2027. godini.</w:t>
      </w:r>
      <w:r w:rsidR="00381B3A">
        <w:rPr>
          <w:rFonts w:cstheme="minorHAnsi"/>
        </w:rPr>
        <w:t xml:space="preserve">  Pored navedenog, strategija će doprinijeti daljem jačanju u</w:t>
      </w:r>
      <w:r w:rsidR="00381B3A" w:rsidRPr="00381B3A">
        <w:rPr>
          <w:rFonts w:cstheme="minorHAnsi"/>
        </w:rPr>
        <w:t>češće sektora industrije u BDV</w:t>
      </w:r>
      <w:r w:rsidR="00381B3A">
        <w:rPr>
          <w:rFonts w:cstheme="minorHAnsi"/>
        </w:rPr>
        <w:t xml:space="preserve">, gdje će sa trenutnog učešća od </w:t>
      </w:r>
      <w:r w:rsidR="00381B3A" w:rsidRPr="00381B3A">
        <w:rPr>
          <w:rFonts w:cstheme="minorHAnsi"/>
        </w:rPr>
        <w:t>491.807.000€</w:t>
      </w:r>
      <w:r w:rsidR="00381B3A">
        <w:rPr>
          <w:rFonts w:cstheme="minorHAnsi"/>
        </w:rPr>
        <w:t>, do kraja 2027. godine doći do p</w:t>
      </w:r>
      <w:r w:rsidR="00381B3A" w:rsidRPr="00381B3A">
        <w:rPr>
          <w:rFonts w:cstheme="minorHAnsi"/>
        </w:rPr>
        <w:t>ovećanj</w:t>
      </w:r>
      <w:r w:rsidR="00381B3A">
        <w:rPr>
          <w:rFonts w:cstheme="minorHAnsi"/>
        </w:rPr>
        <w:t>a</w:t>
      </w:r>
      <w:r w:rsidR="00381B3A" w:rsidRPr="00381B3A">
        <w:rPr>
          <w:rFonts w:cstheme="minorHAnsi"/>
        </w:rPr>
        <w:t xml:space="preserve"> BDV</w:t>
      </w:r>
      <w:r w:rsidR="00381B3A">
        <w:rPr>
          <w:rFonts w:cstheme="minorHAnsi"/>
        </w:rPr>
        <w:t xml:space="preserve"> </w:t>
      </w:r>
      <w:r w:rsidR="00381B3A" w:rsidRPr="00381B3A">
        <w:rPr>
          <w:rFonts w:cstheme="minorHAnsi"/>
        </w:rPr>
        <w:t>industrije za</w:t>
      </w:r>
      <w:r w:rsidR="00381B3A">
        <w:rPr>
          <w:rFonts w:cstheme="minorHAnsi"/>
        </w:rPr>
        <w:t xml:space="preserve"> </w:t>
      </w:r>
      <w:r w:rsidR="00381B3A" w:rsidRPr="00381B3A">
        <w:rPr>
          <w:rFonts w:cstheme="minorHAnsi"/>
        </w:rPr>
        <w:t>10% u odnosnu</w:t>
      </w:r>
      <w:r w:rsidR="00381B3A">
        <w:rPr>
          <w:rFonts w:cstheme="minorHAnsi"/>
        </w:rPr>
        <w:t xml:space="preserve"> </w:t>
      </w:r>
      <w:r w:rsidR="00381B3A" w:rsidRPr="00381B3A">
        <w:rPr>
          <w:rFonts w:cstheme="minorHAnsi"/>
        </w:rPr>
        <w:t xml:space="preserve">na </w:t>
      </w:r>
      <w:r w:rsidR="00381B3A">
        <w:rPr>
          <w:rFonts w:cstheme="minorHAnsi"/>
        </w:rPr>
        <w:t>početni vrijednost.</w:t>
      </w:r>
    </w:p>
    <w:p w14:paraId="29F64554" w14:textId="4145960A" w:rsidR="00CC7797" w:rsidRDefault="00381B3A" w:rsidP="00CC7797">
      <w:pPr>
        <w:jc w:val="both"/>
        <w:rPr>
          <w:rFonts w:cstheme="minorHAnsi"/>
        </w:rPr>
      </w:pPr>
      <w:r>
        <w:rPr>
          <w:rFonts w:cstheme="minorHAnsi"/>
        </w:rPr>
        <w:t xml:space="preserve">Posebno je značajno istaći </w:t>
      </w:r>
      <w:r w:rsidR="001B3819">
        <w:rPr>
          <w:rFonts w:cstheme="minorHAnsi"/>
        </w:rPr>
        <w:t>i</w:t>
      </w:r>
      <w:r>
        <w:rPr>
          <w:rFonts w:cstheme="minorHAnsi"/>
        </w:rPr>
        <w:t xml:space="preserve"> potrebu uvezivanja javne politike sa realizacijom namjenskih </w:t>
      </w:r>
      <w:r w:rsidRPr="00381B3A">
        <w:rPr>
          <w:rFonts w:cstheme="minorHAnsi"/>
        </w:rPr>
        <w:t>programa</w:t>
      </w:r>
      <w:r>
        <w:rPr>
          <w:rFonts w:cstheme="minorHAnsi"/>
        </w:rPr>
        <w:t xml:space="preserve"> </w:t>
      </w:r>
      <w:r w:rsidRPr="00381B3A">
        <w:rPr>
          <w:rFonts w:cstheme="minorHAnsi"/>
        </w:rPr>
        <w:t>finansijske podrške (IRF)</w:t>
      </w:r>
      <w:r>
        <w:rPr>
          <w:rFonts w:cstheme="minorHAnsi"/>
        </w:rPr>
        <w:t xml:space="preserve">. Doprinos će biti pružen i kroz uvećanje broja registrovanih zanatlija </w:t>
      </w:r>
      <w:r w:rsidRPr="00381B3A">
        <w:rPr>
          <w:rFonts w:cstheme="minorHAnsi"/>
        </w:rPr>
        <w:t>u Zanatskoj</w:t>
      </w:r>
      <w:r>
        <w:rPr>
          <w:rFonts w:cstheme="minorHAnsi"/>
        </w:rPr>
        <w:t xml:space="preserve"> </w:t>
      </w:r>
      <w:r w:rsidRPr="00381B3A">
        <w:rPr>
          <w:rFonts w:cstheme="minorHAnsi"/>
        </w:rPr>
        <w:t>komori</w:t>
      </w:r>
      <w:r>
        <w:rPr>
          <w:rFonts w:cstheme="minorHAnsi"/>
        </w:rPr>
        <w:t xml:space="preserve">, odnosno kroz uvećanje broja </w:t>
      </w:r>
      <w:r w:rsidRPr="00381B3A">
        <w:rPr>
          <w:rFonts w:cstheme="minorHAnsi"/>
        </w:rPr>
        <w:t>mikro, malih i srednjih preduzeća -MMSP</w:t>
      </w:r>
      <w:r>
        <w:rPr>
          <w:rFonts w:cstheme="minorHAnsi"/>
        </w:rPr>
        <w:t xml:space="preserve">. </w:t>
      </w:r>
      <w:r w:rsidR="00CC7797" w:rsidRPr="00062473">
        <w:rPr>
          <w:rFonts w:cstheme="minorHAnsi"/>
        </w:rPr>
        <w:t>Crna Gora će raditi na povećanju broja sprovedenih inicijativa od značaja za promociju investicionih potencijala Crne Gore i podsticanje izvoza proizvoda i usluga crnogorskih kompanija.</w:t>
      </w:r>
    </w:p>
    <w:p w14:paraId="3C053182" w14:textId="6D5485BC" w:rsidR="00DA5696" w:rsidRDefault="00DA5696" w:rsidP="00181585">
      <w:pPr>
        <w:jc w:val="both"/>
        <w:rPr>
          <w:rFonts w:cstheme="minorHAnsi"/>
        </w:rPr>
      </w:pPr>
      <w:r w:rsidRPr="00DA5696">
        <w:rPr>
          <w:rFonts w:cstheme="minorHAnsi"/>
          <w:b/>
          <w:bCs/>
        </w:rPr>
        <w:t>Reformska agenda Crne Gore</w:t>
      </w:r>
      <w:r>
        <w:rPr>
          <w:rFonts w:cstheme="minorHAnsi"/>
        </w:rPr>
        <w:t>.</w:t>
      </w:r>
      <w:r>
        <w:rPr>
          <w:rStyle w:val="FootnoteReference"/>
          <w:rFonts w:cstheme="minorHAnsi"/>
        </w:rPr>
        <w:footnoteReference w:id="8"/>
      </w:r>
      <w:r w:rsidR="00AC5D81">
        <w:rPr>
          <w:rFonts w:cstheme="minorHAnsi"/>
        </w:rPr>
        <w:t xml:space="preserve"> </w:t>
      </w:r>
      <w:r>
        <w:rPr>
          <w:rFonts w:cstheme="minorHAnsi"/>
        </w:rPr>
        <w:t xml:space="preserve">Strateški dokument je usklađen sa Reformskog agendom Crne Gore, sa akcentom na </w:t>
      </w:r>
      <w:r w:rsidR="00181585">
        <w:rPr>
          <w:rFonts w:cstheme="minorHAnsi"/>
        </w:rPr>
        <w:t xml:space="preserve">oblast Razvoja ljudskog kapitala. </w:t>
      </w:r>
      <w:r w:rsidR="00181585" w:rsidRPr="00181585">
        <w:rPr>
          <w:rFonts w:cstheme="minorHAnsi"/>
        </w:rPr>
        <w:t>Kako bi postala dio jedinstvenog tržišta znanja i vještina Evropske unije, Crna</w:t>
      </w:r>
      <w:r w:rsidR="00181585">
        <w:rPr>
          <w:rFonts w:cstheme="minorHAnsi"/>
        </w:rPr>
        <w:t xml:space="preserve"> </w:t>
      </w:r>
      <w:r w:rsidR="00181585" w:rsidRPr="00181585">
        <w:rPr>
          <w:rFonts w:cstheme="minorHAnsi"/>
        </w:rPr>
        <w:t>Gora razvila je niz ključnih reformskih</w:t>
      </w:r>
      <w:r w:rsidR="00181585">
        <w:rPr>
          <w:rFonts w:cstheme="minorHAnsi"/>
        </w:rPr>
        <w:t xml:space="preserve"> </w:t>
      </w:r>
      <w:r w:rsidR="00181585" w:rsidRPr="00181585">
        <w:rPr>
          <w:rFonts w:cstheme="minorHAnsi"/>
        </w:rPr>
        <w:t>mjera kao podsticaj razvoju ljudskog</w:t>
      </w:r>
      <w:r w:rsidR="00181585">
        <w:rPr>
          <w:rFonts w:cstheme="minorHAnsi"/>
        </w:rPr>
        <w:t xml:space="preserve"> </w:t>
      </w:r>
      <w:r w:rsidR="00181585" w:rsidRPr="00181585">
        <w:rPr>
          <w:rFonts w:cstheme="minorHAnsi"/>
        </w:rPr>
        <w:t>kapitala, uglavnom kroz unapređenje</w:t>
      </w:r>
      <w:r w:rsidR="00181585">
        <w:rPr>
          <w:rFonts w:cstheme="minorHAnsi"/>
        </w:rPr>
        <w:t xml:space="preserve"> </w:t>
      </w:r>
      <w:r w:rsidR="00181585" w:rsidRPr="00181585">
        <w:rPr>
          <w:rFonts w:cstheme="minorHAnsi"/>
        </w:rPr>
        <w:t>mogućnosti za zapošljavanje, podršku za aktivaciju, reformu socijalnih</w:t>
      </w:r>
      <w:r w:rsidR="00181585">
        <w:rPr>
          <w:rFonts w:cstheme="minorHAnsi"/>
        </w:rPr>
        <w:t xml:space="preserve"> </w:t>
      </w:r>
      <w:r w:rsidR="00181585" w:rsidRPr="00181585">
        <w:rPr>
          <w:rFonts w:cstheme="minorHAnsi"/>
        </w:rPr>
        <w:t>usluga zajedno sa obrazovanjem i</w:t>
      </w:r>
      <w:r w:rsidR="00181585">
        <w:rPr>
          <w:rFonts w:cstheme="minorHAnsi"/>
        </w:rPr>
        <w:t xml:space="preserve"> </w:t>
      </w:r>
      <w:r w:rsidR="00181585" w:rsidRPr="00181585">
        <w:rPr>
          <w:rFonts w:cstheme="minorHAnsi"/>
        </w:rPr>
        <w:t>razvojem vještina i unapređenjem</w:t>
      </w:r>
      <w:r w:rsidR="00181585">
        <w:rPr>
          <w:rFonts w:cstheme="minorHAnsi"/>
        </w:rPr>
        <w:t xml:space="preserve"> </w:t>
      </w:r>
      <w:r w:rsidR="00181585" w:rsidRPr="00181585">
        <w:rPr>
          <w:rFonts w:cstheme="minorHAnsi"/>
        </w:rPr>
        <w:t>inovacionog okruženja</w:t>
      </w:r>
      <w:r w:rsidR="00181585">
        <w:rPr>
          <w:rFonts w:cstheme="minorHAnsi"/>
        </w:rPr>
        <w:t xml:space="preserve">. </w:t>
      </w:r>
      <w:r w:rsidR="00122C86">
        <w:rPr>
          <w:rFonts w:cstheme="minorHAnsi"/>
        </w:rPr>
        <w:t>Akcenat je stavljen na sljedeće korake</w:t>
      </w:r>
      <w:r w:rsidR="00181585">
        <w:rPr>
          <w:rFonts w:cstheme="minorHAnsi"/>
        </w:rPr>
        <w:t>:</w:t>
      </w:r>
    </w:p>
    <w:p w14:paraId="1F474CFE" w14:textId="00FDE800" w:rsidR="00181585" w:rsidRDefault="00181585" w:rsidP="00181585">
      <w:pPr>
        <w:pStyle w:val="ListParagraph"/>
        <w:numPr>
          <w:ilvl w:val="0"/>
          <w:numId w:val="15"/>
        </w:numPr>
        <w:jc w:val="both"/>
        <w:rPr>
          <w:rFonts w:cstheme="minorHAnsi"/>
        </w:rPr>
      </w:pPr>
      <w:r w:rsidRPr="00181585">
        <w:rPr>
          <w:rFonts w:cstheme="minorHAnsi"/>
        </w:rPr>
        <w:t>Usavršavanje i prekvalifikacija radne snage</w:t>
      </w:r>
      <w:r w:rsidR="00333287">
        <w:rPr>
          <w:rFonts w:cstheme="minorHAnsi"/>
        </w:rPr>
        <w:t>: n</w:t>
      </w:r>
      <w:r w:rsidRPr="00181585">
        <w:rPr>
          <w:rFonts w:cstheme="minorHAnsi"/>
        </w:rPr>
        <w:t>ajmanje 7% odraslih, uzrasta 25-64 (od čega okvirno 50% žena) je učestvovalo u ovakvoj vrsti obrazovanja tokom prethodnih 12 mjeseci.</w:t>
      </w:r>
    </w:p>
    <w:p w14:paraId="2F8B8083" w14:textId="3284E435" w:rsidR="00181585" w:rsidRDefault="00181585" w:rsidP="00181585">
      <w:pPr>
        <w:pStyle w:val="ListParagraph"/>
        <w:numPr>
          <w:ilvl w:val="0"/>
          <w:numId w:val="15"/>
        </w:numPr>
        <w:jc w:val="both"/>
        <w:rPr>
          <w:rFonts w:cstheme="minorHAnsi"/>
        </w:rPr>
      </w:pPr>
      <w:r w:rsidRPr="00181585">
        <w:rPr>
          <w:rFonts w:cstheme="minorHAnsi"/>
        </w:rPr>
        <w:t>Rad u okviru stručnog obrazovanja i osposobljavanja (SOO)</w:t>
      </w:r>
      <w:r w:rsidR="00333287">
        <w:rPr>
          <w:rFonts w:cstheme="minorHAnsi"/>
        </w:rPr>
        <w:t>: n</w:t>
      </w:r>
      <w:r w:rsidRPr="00181585">
        <w:rPr>
          <w:rFonts w:cstheme="minorHAnsi"/>
        </w:rPr>
        <w:t>ajmanje 50% diplomaca (od čega</w:t>
      </w:r>
      <w:r>
        <w:rPr>
          <w:rFonts w:cstheme="minorHAnsi"/>
        </w:rPr>
        <w:t xml:space="preserve"> </w:t>
      </w:r>
      <w:r w:rsidRPr="00181585">
        <w:rPr>
          <w:rFonts w:cstheme="minorHAnsi"/>
        </w:rPr>
        <w:t>ok</w:t>
      </w:r>
      <w:r w:rsidR="00391700">
        <w:rPr>
          <w:rFonts w:cstheme="minorHAnsi"/>
        </w:rPr>
        <w:t>o</w:t>
      </w:r>
      <w:r w:rsidRPr="00181585">
        <w:rPr>
          <w:rFonts w:cstheme="minorHAnsi"/>
        </w:rPr>
        <w:t xml:space="preserve"> 40% žena) iz trogodišnjeg</w:t>
      </w:r>
      <w:r>
        <w:rPr>
          <w:rFonts w:cstheme="minorHAnsi"/>
        </w:rPr>
        <w:t xml:space="preserve"> </w:t>
      </w:r>
      <w:r w:rsidRPr="00181585">
        <w:rPr>
          <w:rFonts w:cstheme="minorHAnsi"/>
        </w:rPr>
        <w:t>nastavnog programa za SSO ima</w:t>
      </w:r>
      <w:r>
        <w:rPr>
          <w:rFonts w:cstheme="minorHAnsi"/>
        </w:rPr>
        <w:t xml:space="preserve"> </w:t>
      </w:r>
      <w:r w:rsidRPr="00181585">
        <w:rPr>
          <w:rFonts w:cstheme="minorHAnsi"/>
        </w:rPr>
        <w:t>koristi od rada (obuhvata najmanje 25% programa) kod poslodavaca tokom obrazovanja</w:t>
      </w:r>
      <w:r>
        <w:rPr>
          <w:rFonts w:cstheme="minorHAnsi"/>
        </w:rPr>
        <w:t>.</w:t>
      </w:r>
    </w:p>
    <w:p w14:paraId="7D61B574" w14:textId="6BFE6850" w:rsidR="00181585" w:rsidRDefault="00181585" w:rsidP="00181585">
      <w:pPr>
        <w:pStyle w:val="ListParagraph"/>
        <w:numPr>
          <w:ilvl w:val="0"/>
          <w:numId w:val="15"/>
        </w:numPr>
        <w:jc w:val="both"/>
        <w:rPr>
          <w:rFonts w:cstheme="minorHAnsi"/>
        </w:rPr>
      </w:pPr>
      <w:r w:rsidRPr="00181585">
        <w:rPr>
          <w:rFonts w:cstheme="minorHAnsi"/>
        </w:rPr>
        <w:t>Učenje kroz rad u visokom obrazovanju: 20% visokoškolskih</w:t>
      </w:r>
      <w:r>
        <w:rPr>
          <w:rFonts w:cstheme="minorHAnsi"/>
        </w:rPr>
        <w:t xml:space="preserve"> </w:t>
      </w:r>
      <w:r w:rsidRPr="00181585">
        <w:rPr>
          <w:rFonts w:cstheme="minorHAnsi"/>
        </w:rPr>
        <w:t xml:space="preserve">diplomaca (od čega </w:t>
      </w:r>
      <w:r w:rsidR="00333287">
        <w:rPr>
          <w:rFonts w:cstheme="minorHAnsi"/>
        </w:rPr>
        <w:t>oko</w:t>
      </w:r>
      <w:r w:rsidRPr="00181585">
        <w:rPr>
          <w:rFonts w:cstheme="minorHAnsi"/>
        </w:rPr>
        <w:t xml:space="preserve"> 50%</w:t>
      </w:r>
      <w:r>
        <w:rPr>
          <w:rFonts w:cstheme="minorHAnsi"/>
        </w:rPr>
        <w:t xml:space="preserve"> </w:t>
      </w:r>
      <w:r w:rsidRPr="00181585">
        <w:rPr>
          <w:rFonts w:cstheme="minorHAnsi"/>
        </w:rPr>
        <w:t>žena) ima značajnu korist od</w:t>
      </w:r>
      <w:r>
        <w:rPr>
          <w:rFonts w:cstheme="minorHAnsi"/>
        </w:rPr>
        <w:t xml:space="preserve"> </w:t>
      </w:r>
      <w:r w:rsidRPr="00181585">
        <w:rPr>
          <w:rFonts w:cstheme="minorHAnsi"/>
        </w:rPr>
        <w:t>učenja kroz rad kod poslodavaca</w:t>
      </w:r>
      <w:r>
        <w:rPr>
          <w:rFonts w:cstheme="minorHAnsi"/>
        </w:rPr>
        <w:t xml:space="preserve"> </w:t>
      </w:r>
      <w:r w:rsidRPr="00181585">
        <w:rPr>
          <w:rFonts w:cstheme="minorHAnsi"/>
        </w:rPr>
        <w:t>tokom predviđenog obrazovanja</w:t>
      </w:r>
      <w:r>
        <w:rPr>
          <w:rFonts w:cstheme="minorHAnsi"/>
        </w:rPr>
        <w:t>.</w:t>
      </w:r>
    </w:p>
    <w:p w14:paraId="2124BF2E" w14:textId="154CEC0E" w:rsidR="00181585" w:rsidRDefault="00181585" w:rsidP="00181585">
      <w:pPr>
        <w:pStyle w:val="ListParagraph"/>
        <w:numPr>
          <w:ilvl w:val="0"/>
          <w:numId w:val="15"/>
        </w:numPr>
        <w:jc w:val="both"/>
        <w:rPr>
          <w:rFonts w:cstheme="minorHAnsi"/>
        </w:rPr>
      </w:pPr>
      <w:r w:rsidRPr="00181585">
        <w:rPr>
          <w:rFonts w:cstheme="minorHAnsi"/>
        </w:rPr>
        <w:t>Upravljanje karijerom i savjetovanje: novi model za upravljanje</w:t>
      </w:r>
      <w:r>
        <w:rPr>
          <w:rFonts w:cstheme="minorHAnsi"/>
        </w:rPr>
        <w:t xml:space="preserve"> </w:t>
      </w:r>
      <w:r w:rsidRPr="00181585">
        <w:rPr>
          <w:rFonts w:cstheme="minorHAnsi"/>
        </w:rPr>
        <w:t>karijerom i savjetovanje usvojen u</w:t>
      </w:r>
      <w:r>
        <w:rPr>
          <w:rFonts w:cstheme="minorHAnsi"/>
        </w:rPr>
        <w:t xml:space="preserve"> </w:t>
      </w:r>
      <w:r w:rsidRPr="00181585">
        <w:rPr>
          <w:rFonts w:cstheme="minorHAnsi"/>
        </w:rPr>
        <w:t>okviru Strategije vođenja karijere i</w:t>
      </w:r>
      <w:r>
        <w:rPr>
          <w:rFonts w:cstheme="minorHAnsi"/>
        </w:rPr>
        <w:t xml:space="preserve"> </w:t>
      </w:r>
      <w:r w:rsidRPr="00181585">
        <w:rPr>
          <w:rFonts w:cstheme="minorHAnsi"/>
        </w:rPr>
        <w:t>savjetovanja 2025-2030</w:t>
      </w:r>
      <w:r>
        <w:rPr>
          <w:rFonts w:cstheme="minorHAnsi"/>
        </w:rPr>
        <w:t>.</w:t>
      </w:r>
    </w:p>
    <w:p w14:paraId="1C9EDB39" w14:textId="655C722A" w:rsidR="00181585" w:rsidRPr="00181585" w:rsidRDefault="00181585" w:rsidP="00181585">
      <w:pPr>
        <w:pStyle w:val="ListParagraph"/>
        <w:numPr>
          <w:ilvl w:val="0"/>
          <w:numId w:val="15"/>
        </w:numPr>
        <w:jc w:val="both"/>
        <w:rPr>
          <w:rFonts w:cstheme="minorHAnsi"/>
        </w:rPr>
      </w:pPr>
      <w:r w:rsidRPr="00181585">
        <w:rPr>
          <w:rFonts w:cstheme="minorHAnsi"/>
        </w:rPr>
        <w:t>800 karijernih savjetnika u osnovnim i srednjim školama i univerzitetima obučeni su u skladu sa</w:t>
      </w:r>
      <w:r>
        <w:rPr>
          <w:rFonts w:cstheme="minorHAnsi"/>
        </w:rPr>
        <w:t xml:space="preserve"> </w:t>
      </w:r>
      <w:r w:rsidRPr="00181585">
        <w:rPr>
          <w:rFonts w:cstheme="minorHAnsi"/>
        </w:rPr>
        <w:t>novim modelom</w:t>
      </w:r>
      <w:r>
        <w:rPr>
          <w:rFonts w:cstheme="minorHAnsi"/>
        </w:rPr>
        <w:t>.</w:t>
      </w:r>
    </w:p>
    <w:p w14:paraId="206698C5" w14:textId="24359420" w:rsidR="00CC28BC" w:rsidRPr="00CC28BC" w:rsidRDefault="00CC28BC" w:rsidP="00CC7797">
      <w:pPr>
        <w:jc w:val="both"/>
        <w:rPr>
          <w:rFonts w:cstheme="minorHAnsi"/>
          <w:b/>
          <w:bCs/>
        </w:rPr>
      </w:pPr>
      <w:r w:rsidRPr="00062473">
        <w:rPr>
          <w:rFonts w:cstheme="minorHAnsi"/>
          <w:b/>
          <w:bCs/>
        </w:rPr>
        <w:t>Program pristupanja Crne Gore Evropskoj uniji</w:t>
      </w:r>
      <w:r>
        <w:rPr>
          <w:rFonts w:cstheme="minorHAnsi"/>
          <w:b/>
          <w:bCs/>
        </w:rPr>
        <w:t xml:space="preserve"> (PPCG)</w:t>
      </w:r>
      <w:r w:rsidRPr="00062473">
        <w:rPr>
          <w:rFonts w:cstheme="minorHAnsi"/>
          <w:b/>
          <w:bCs/>
        </w:rPr>
        <w:t xml:space="preserve"> 202</w:t>
      </w:r>
      <w:r>
        <w:rPr>
          <w:rFonts w:cstheme="minorHAnsi"/>
          <w:b/>
          <w:bCs/>
        </w:rPr>
        <w:t>5</w:t>
      </w:r>
      <w:r w:rsidRPr="00062473">
        <w:rPr>
          <w:rFonts w:cstheme="minorHAnsi"/>
          <w:b/>
          <w:bCs/>
        </w:rPr>
        <w:t xml:space="preserve"> – 202</w:t>
      </w:r>
      <w:r>
        <w:rPr>
          <w:rFonts w:cstheme="minorHAnsi"/>
          <w:b/>
          <w:bCs/>
        </w:rPr>
        <w:t>6</w:t>
      </w:r>
      <w:r>
        <w:rPr>
          <w:rStyle w:val="FootnoteReference"/>
          <w:rFonts w:cstheme="minorHAnsi"/>
          <w:b/>
          <w:bCs/>
        </w:rPr>
        <w:footnoteReference w:id="9"/>
      </w:r>
      <w:r>
        <w:rPr>
          <w:rFonts w:cstheme="minorHAnsi"/>
          <w:b/>
          <w:bCs/>
        </w:rPr>
        <w:t xml:space="preserve">. </w:t>
      </w:r>
      <w:r>
        <w:rPr>
          <w:rFonts w:cstheme="minorHAnsi"/>
        </w:rPr>
        <w:t>Strategija je usklađena sa PPCG-om za period 2025-2026, gdje je predviđeno donošenje novog strateškog dokumenta u oblasti karijernog vođenja i savjetovanja do kraja III kvartala 2025. godine.</w:t>
      </w:r>
    </w:p>
    <w:p w14:paraId="0D574C6F" w14:textId="522E7699" w:rsidR="00CC7797" w:rsidRPr="00062473" w:rsidRDefault="00CC7797" w:rsidP="00CC7797">
      <w:pPr>
        <w:jc w:val="both"/>
        <w:rPr>
          <w:rFonts w:cstheme="minorHAnsi"/>
        </w:rPr>
      </w:pPr>
      <w:r w:rsidRPr="00062473">
        <w:rPr>
          <w:rFonts w:cstheme="minorHAnsi"/>
          <w:b/>
          <w:bCs/>
        </w:rPr>
        <w:t>Nacionalna strategija zapošljavanja (2021 – 2025)</w:t>
      </w:r>
      <w:r w:rsidR="0050323C" w:rsidRPr="00062473">
        <w:rPr>
          <w:rStyle w:val="FootnoteReference"/>
          <w:rFonts w:cstheme="minorHAnsi"/>
          <w:b/>
          <w:bCs/>
        </w:rPr>
        <w:footnoteReference w:id="10"/>
      </w:r>
      <w:r w:rsidRPr="00062473">
        <w:rPr>
          <w:rFonts w:cstheme="minorHAnsi"/>
        </w:rPr>
        <w:t xml:space="preserve"> kroz svoje operativne ciljeve obuhvata mjere i aktivnosti značajne za karijerno vođenje i savjetovanje: Ostvarivanje rasta zaposlenosti, ulaganja u kvalitetna i sigurna radna mjesta kroz unapređenje poslovnog ambijenta; Kreiranje znanja i kompetencija za tržište rada u digitalno doba; unapređenje položaja nezaposlenih lica na tržištu rada kroz efikasnost usluga za tržište rada i mjera aktivne politike zapošljavanja i jačanje socijalne uključenosti i smanjenja siromaštva; efikasno funkcionisanje tržišta rada. Ovom strategijom je </w:t>
      </w:r>
      <w:r w:rsidRPr="00062473">
        <w:rPr>
          <w:rFonts w:cstheme="minorHAnsi"/>
        </w:rPr>
        <w:lastRenderedPageBreak/>
        <w:t>prepoznato da “sticanje digitalnih vještina u toku redovnog obrazovanja samo formalnim obrazovanjem neće biti dovoljno brzo u svijetu koji se stalno mijenja. Formalno obrazovanje treba onima koji uče omogućiti temeljna znanja i kompetencije koja su osnov za cjeloživotno učenje i spremnost za prilagođavanje i odgovor na često nepredvidive promjene zahtjeva tržišta rada. Da bi se adekvatno odgovorilo na buduće potrebe za vještinama, obrazovni sistemi, formalni i neformalni, treba da se prilagođavaju sve zahtjevnijim potrebama tržišta rada.” Ova strategija ima jednu od mjera: Unapređenje kvaliteta stručnog i visokog obrazovanja kroz unapređenje praktične nastave u cilju povećanja zapošljivosti. Ovom mjerom predviđeno je “unapređenje efikasnosti i fleksibilnosti obrazovnog sistema, kroz izradu novih programa i zamjenom onih koji više ne odgovaraju potrebama tržišta rada”.  Jedna od važnih uloga sistema obrazovanje je da nadoknadi deficit radne snage za zanimanjima i vještinama koje iskazuje svijet rada odnosno da obezbijedi pojedincima funkcionalna znanja i vještine koje će im omogućiti dobru poziciju na tržištu rada.</w:t>
      </w:r>
    </w:p>
    <w:p w14:paraId="0A8CABAD" w14:textId="3257A308" w:rsidR="008C0590" w:rsidRDefault="002737C6" w:rsidP="008C0590">
      <w:pPr>
        <w:jc w:val="both"/>
        <w:rPr>
          <w:rFonts w:cstheme="minorHAnsi"/>
        </w:rPr>
      </w:pPr>
      <w:r>
        <w:rPr>
          <w:rFonts w:cstheme="minorHAnsi"/>
        </w:rPr>
        <w:t>Takođe</w:t>
      </w:r>
      <w:r w:rsidR="00CC7797" w:rsidRPr="00062473">
        <w:rPr>
          <w:rFonts w:cstheme="minorHAnsi"/>
        </w:rPr>
        <w:t xml:space="preserve">, </w:t>
      </w:r>
      <w:r>
        <w:rPr>
          <w:rFonts w:cstheme="minorHAnsi"/>
        </w:rPr>
        <w:t>strateški dokument je usklađen</w:t>
      </w:r>
      <w:r w:rsidR="00CC7797" w:rsidRPr="00062473">
        <w:rPr>
          <w:rFonts w:cstheme="minorHAnsi"/>
        </w:rPr>
        <w:t xml:space="preserve"> sa </w:t>
      </w:r>
      <w:r w:rsidR="00F75D92">
        <w:rPr>
          <w:rFonts w:cstheme="minorHAnsi"/>
          <w:b/>
          <w:bCs/>
        </w:rPr>
        <w:t>Strategijom reforme obrazovanja 2025-2035,</w:t>
      </w:r>
      <w:r w:rsidR="00225909">
        <w:rPr>
          <w:rStyle w:val="FootnoteReference"/>
          <w:rFonts w:cstheme="minorHAnsi"/>
          <w:b/>
          <w:bCs/>
        </w:rPr>
        <w:footnoteReference w:id="11"/>
      </w:r>
      <w:r w:rsidR="00F75D92">
        <w:rPr>
          <w:rFonts w:cstheme="minorHAnsi"/>
          <w:b/>
          <w:bCs/>
        </w:rPr>
        <w:t xml:space="preserve"> </w:t>
      </w:r>
      <w:r w:rsidR="008C0590">
        <w:rPr>
          <w:rFonts w:cstheme="minorHAnsi"/>
        </w:rPr>
        <w:t>u odnosu na sledeće ključne ciljeve:</w:t>
      </w:r>
    </w:p>
    <w:p w14:paraId="0413D448" w14:textId="77777777" w:rsidR="00CD5BA1" w:rsidRDefault="008C0590" w:rsidP="00083419">
      <w:pPr>
        <w:pStyle w:val="ListParagraph"/>
        <w:numPr>
          <w:ilvl w:val="0"/>
          <w:numId w:val="15"/>
        </w:numPr>
        <w:jc w:val="both"/>
        <w:rPr>
          <w:rFonts w:cstheme="minorHAnsi"/>
        </w:rPr>
      </w:pPr>
      <w:r w:rsidRPr="00806B73">
        <w:rPr>
          <w:rFonts w:cstheme="minorHAnsi"/>
        </w:rPr>
        <w:t xml:space="preserve">Operativni cilj 1.1: Svoj djeci je obezbijeđen pristup obrazovanju, a rezultati ispunjavaju ciljeve održivog razvoja i u skladu su sa prosječnim postignućima država članica EU. Akcenat je na </w:t>
      </w:r>
      <w:r w:rsidR="00806B73">
        <w:rPr>
          <w:rFonts w:cstheme="minorHAnsi"/>
        </w:rPr>
        <w:t>o</w:t>
      </w:r>
      <w:r w:rsidR="00806B73" w:rsidRPr="00806B73">
        <w:rPr>
          <w:rFonts w:cstheme="minorHAnsi"/>
        </w:rPr>
        <w:t>siguranj</w:t>
      </w:r>
      <w:r w:rsidR="00806B73">
        <w:rPr>
          <w:rFonts w:cstheme="minorHAnsi"/>
        </w:rPr>
        <w:t>u</w:t>
      </w:r>
      <w:r w:rsidR="00806B73" w:rsidRPr="00806B73">
        <w:rPr>
          <w:rFonts w:cstheme="minorHAnsi"/>
        </w:rPr>
        <w:t xml:space="preserve"> punog obuhvata obrazovanjem i prevencij</w:t>
      </w:r>
      <w:r w:rsidR="00F8305B">
        <w:rPr>
          <w:rFonts w:cstheme="minorHAnsi"/>
        </w:rPr>
        <w:t>u</w:t>
      </w:r>
      <w:r w:rsidR="00806B73" w:rsidRPr="00806B73">
        <w:rPr>
          <w:rFonts w:cstheme="minorHAnsi"/>
        </w:rPr>
        <w:t xml:space="preserve"> ranog napuštanja školovanja za djecu u osnovnoj i srednjoj školi,</w:t>
      </w:r>
      <w:r w:rsidR="00083419">
        <w:rPr>
          <w:rFonts w:cstheme="minorHAnsi"/>
        </w:rPr>
        <w:t xml:space="preserve"> kao i p</w:t>
      </w:r>
      <w:r w:rsidR="00083419" w:rsidRPr="00083419">
        <w:rPr>
          <w:rFonts w:cstheme="minorHAnsi"/>
        </w:rPr>
        <w:t>ovećanj</w:t>
      </w:r>
      <w:r w:rsidR="00083419">
        <w:rPr>
          <w:rFonts w:cstheme="minorHAnsi"/>
        </w:rPr>
        <w:t>u</w:t>
      </w:r>
      <w:r w:rsidR="00083419" w:rsidRPr="00083419">
        <w:rPr>
          <w:rFonts w:cstheme="minorHAnsi"/>
        </w:rPr>
        <w:t xml:space="preserve"> uključenosti učenika u stručnim školama u učenje na radnom mjestu tokom školovanja,  uključujući i osiguranje veće zainteresovanosti malih i srednjih preduzeća za pružanje praktične obuke</w:t>
      </w:r>
      <w:r w:rsidR="00083419">
        <w:rPr>
          <w:rFonts w:cstheme="minorHAnsi"/>
        </w:rPr>
        <w:t>.</w:t>
      </w:r>
    </w:p>
    <w:p w14:paraId="74CCE532" w14:textId="66BFFF46" w:rsidR="00806B73" w:rsidRPr="00CD5BA1" w:rsidRDefault="00CD5BA1" w:rsidP="00CD5BA1">
      <w:pPr>
        <w:pStyle w:val="ListParagraph"/>
        <w:numPr>
          <w:ilvl w:val="0"/>
          <w:numId w:val="15"/>
        </w:numPr>
        <w:jc w:val="both"/>
        <w:rPr>
          <w:rFonts w:cstheme="minorHAnsi"/>
        </w:rPr>
      </w:pPr>
      <w:r w:rsidRPr="00CD5BA1">
        <w:rPr>
          <w:rFonts w:cstheme="minorHAnsi"/>
        </w:rPr>
        <w:t>Operativni cilj 1.2: Smanjene nejednakosti u obuhvatu obrazovanjem i  obrazovnim postignućima, uključujući ranjive i marginalizovane grupe</w:t>
      </w:r>
      <w:r>
        <w:rPr>
          <w:rFonts w:cstheme="minorHAnsi"/>
        </w:rPr>
        <w:t xml:space="preserve">, gdje je akcenat </w:t>
      </w:r>
      <w:r w:rsidR="00BF30E1" w:rsidRPr="00CD5BA1">
        <w:rPr>
          <w:rFonts w:cstheme="minorHAnsi"/>
        </w:rPr>
        <w:t xml:space="preserve">stavljen na što veći nivo uključenosti u sistem obrazovanja pripadnika </w:t>
      </w:r>
      <w:r w:rsidR="00CF40D7" w:rsidRPr="00CD5BA1">
        <w:rPr>
          <w:rFonts w:cstheme="minorHAnsi"/>
        </w:rPr>
        <w:t>manjinskih i ugroženih kategorija društva.</w:t>
      </w:r>
    </w:p>
    <w:p w14:paraId="4134FCA5" w14:textId="1FC7F6AB" w:rsidR="00CF40D7" w:rsidRDefault="00EC437D" w:rsidP="00EC437D">
      <w:pPr>
        <w:pStyle w:val="ListParagraph"/>
        <w:numPr>
          <w:ilvl w:val="0"/>
          <w:numId w:val="15"/>
        </w:numPr>
        <w:jc w:val="both"/>
        <w:rPr>
          <w:rFonts w:cstheme="minorHAnsi"/>
        </w:rPr>
      </w:pPr>
      <w:r w:rsidRPr="00EC437D">
        <w:rPr>
          <w:rFonts w:cstheme="minorHAnsi"/>
        </w:rPr>
        <w:t>Operativni cilj 1.3: Nastava je usmjerena na razvoj ključnih kompetencija za cjeloživotno učenje i životnih vještina, u skladu sa politikama i standardima EU</w:t>
      </w:r>
      <w:r w:rsidR="00D8651F">
        <w:rPr>
          <w:rFonts w:cstheme="minorHAnsi"/>
        </w:rPr>
        <w:t xml:space="preserve">. </w:t>
      </w:r>
      <w:r w:rsidR="00840C65">
        <w:rPr>
          <w:rFonts w:cstheme="minorHAnsi"/>
        </w:rPr>
        <w:t>Akcenat je stavljen na potrebu u</w:t>
      </w:r>
      <w:r w:rsidR="00D8651F" w:rsidRPr="00D8651F">
        <w:rPr>
          <w:rFonts w:cstheme="minorHAnsi"/>
        </w:rPr>
        <w:t>sklađivanj</w:t>
      </w:r>
      <w:r w:rsidR="00840C65">
        <w:rPr>
          <w:rFonts w:cstheme="minorHAnsi"/>
        </w:rPr>
        <w:t>a</w:t>
      </w:r>
      <w:r w:rsidR="00D8651F" w:rsidRPr="00D8651F">
        <w:rPr>
          <w:rFonts w:cstheme="minorHAnsi"/>
        </w:rPr>
        <w:t xml:space="preserve"> i obogaćivanj</w:t>
      </w:r>
      <w:r w:rsidR="00840C65">
        <w:rPr>
          <w:rFonts w:cstheme="minorHAnsi"/>
        </w:rPr>
        <w:t>a</w:t>
      </w:r>
      <w:r w:rsidR="00D8651F" w:rsidRPr="00D8651F">
        <w:rPr>
          <w:rFonts w:cstheme="minorHAnsi"/>
        </w:rPr>
        <w:t xml:space="preserve"> kurikuluma i materijala za učenje</w:t>
      </w:r>
      <w:r w:rsidR="00840C65">
        <w:rPr>
          <w:rFonts w:cstheme="minorHAnsi"/>
        </w:rPr>
        <w:t>, kao i u</w:t>
      </w:r>
      <w:r w:rsidR="00F43870" w:rsidRPr="00F43870">
        <w:rPr>
          <w:rFonts w:cstheme="minorHAnsi"/>
        </w:rPr>
        <w:t>napređenje kvaliteta nastave i učenja i podrška inovativnim nastavnim praksama</w:t>
      </w:r>
    </w:p>
    <w:p w14:paraId="034CB500" w14:textId="6D547A14" w:rsidR="00AC3797" w:rsidRDefault="00AC3797" w:rsidP="00AC3797">
      <w:pPr>
        <w:pStyle w:val="ListParagraph"/>
        <w:numPr>
          <w:ilvl w:val="0"/>
          <w:numId w:val="15"/>
        </w:numPr>
        <w:jc w:val="both"/>
        <w:rPr>
          <w:rFonts w:cstheme="minorHAnsi"/>
        </w:rPr>
      </w:pPr>
      <w:r w:rsidRPr="00AC3797">
        <w:rPr>
          <w:rFonts w:cstheme="minorHAnsi"/>
        </w:rPr>
        <w:t xml:space="preserve">Operativni cilj 2.1: Obrazovni sistem raspolaže dovoljnim brojem kvalifikovanih i </w:t>
      </w:r>
      <w:r>
        <w:rPr>
          <w:rFonts w:cstheme="minorHAnsi"/>
        </w:rPr>
        <w:t xml:space="preserve"> </w:t>
      </w:r>
      <w:r w:rsidRPr="00AC3797">
        <w:rPr>
          <w:rFonts w:cstheme="minorHAnsi"/>
        </w:rPr>
        <w:t>kompetentnih vaspitača, nastavnika, stručnih saradnika, direktora, asistenata i drugih neophodnih kadrova koji se zapošljavaju na osnovu objektivnih kriterijuma kvaliteta i kompetencija.</w:t>
      </w:r>
    </w:p>
    <w:p w14:paraId="3D52ADF3" w14:textId="66B4DEAA" w:rsidR="00D926A5" w:rsidRPr="002737C6" w:rsidRDefault="00D926A5" w:rsidP="002737C6">
      <w:pPr>
        <w:pStyle w:val="ListParagraph"/>
        <w:numPr>
          <w:ilvl w:val="0"/>
          <w:numId w:val="15"/>
        </w:numPr>
        <w:jc w:val="both"/>
        <w:rPr>
          <w:rFonts w:cstheme="minorHAnsi"/>
        </w:rPr>
      </w:pPr>
      <w:r w:rsidRPr="00D926A5">
        <w:rPr>
          <w:rFonts w:cstheme="minorHAnsi"/>
        </w:rPr>
        <w:t xml:space="preserve">Operativni cilj 3.4: Finansiranje, upravljanje i planiranje obrazovanja je u funkciji obezbjeđivanja </w:t>
      </w:r>
      <w:r w:rsidRPr="002737C6">
        <w:rPr>
          <w:rFonts w:cstheme="minorHAnsi"/>
        </w:rPr>
        <w:t>kvaliteta, pravičnosti i razvoja obrazovanja.</w:t>
      </w:r>
    </w:p>
    <w:p w14:paraId="29B16960" w14:textId="70A80AD8" w:rsidR="009F6158" w:rsidRPr="00062473" w:rsidRDefault="00CC7797" w:rsidP="00CC7797">
      <w:pPr>
        <w:jc w:val="both"/>
        <w:rPr>
          <w:rFonts w:cstheme="minorHAnsi"/>
        </w:rPr>
      </w:pPr>
      <w:r w:rsidRPr="00062473">
        <w:rPr>
          <w:rFonts w:cstheme="minorHAnsi"/>
          <w:b/>
          <w:bCs/>
        </w:rPr>
        <w:t>Industrijska politika Crne Gore  20</w:t>
      </w:r>
      <w:r w:rsidR="009F6158" w:rsidRPr="00062473">
        <w:rPr>
          <w:rFonts w:cstheme="minorHAnsi"/>
          <w:b/>
          <w:bCs/>
        </w:rPr>
        <w:t>24</w:t>
      </w:r>
      <w:r w:rsidRPr="00062473">
        <w:rPr>
          <w:rFonts w:cstheme="minorHAnsi"/>
          <w:b/>
          <w:bCs/>
        </w:rPr>
        <w:t>-202</w:t>
      </w:r>
      <w:r w:rsidR="009F6158" w:rsidRPr="00062473">
        <w:rPr>
          <w:rFonts w:cstheme="minorHAnsi"/>
          <w:b/>
          <w:bCs/>
        </w:rPr>
        <w:t>8</w:t>
      </w:r>
      <w:r w:rsidRPr="00062473">
        <w:rPr>
          <w:rFonts w:cstheme="minorHAnsi"/>
          <w:b/>
          <w:bCs/>
        </w:rPr>
        <w:t>. godine</w:t>
      </w:r>
      <w:r w:rsidR="009F6158" w:rsidRPr="00062473">
        <w:rPr>
          <w:rStyle w:val="FootnoteReference"/>
          <w:rFonts w:cstheme="minorHAnsi"/>
          <w:b/>
          <w:bCs/>
        </w:rPr>
        <w:footnoteReference w:id="12"/>
      </w:r>
      <w:r w:rsidR="00062473" w:rsidRPr="00062473">
        <w:rPr>
          <w:rFonts w:cstheme="minorHAnsi"/>
          <w:b/>
          <w:bCs/>
        </w:rPr>
        <w:t>,</w:t>
      </w:r>
      <w:r w:rsidRPr="00062473">
        <w:rPr>
          <w:rFonts w:cstheme="minorHAnsi"/>
        </w:rPr>
        <w:t xml:space="preserve"> prepoznaje  značaj razvoja karijere i zapošljivosti </w:t>
      </w:r>
      <w:r w:rsidR="009F6158" w:rsidRPr="00062473">
        <w:rPr>
          <w:rFonts w:cstheme="minorHAnsi"/>
        </w:rPr>
        <w:t>primarno kroz Operativni cilj 1.3, koji se odnosi na potrebu daljeg jačanja obrazovanja i vještina za tehnološki razvoj industrije.</w:t>
      </w:r>
      <w:r w:rsidR="00062473" w:rsidRPr="00062473">
        <w:rPr>
          <w:rFonts w:cstheme="minorHAnsi"/>
        </w:rPr>
        <w:t xml:space="preserve"> </w:t>
      </w:r>
      <w:r w:rsidR="009F6158" w:rsidRPr="00062473">
        <w:rPr>
          <w:rFonts w:cstheme="minorHAnsi"/>
        </w:rPr>
        <w:t>Akcenat je na adresiranju pitanja koja se odnose na neusklađenosti između vještina koje pojedinci stiču kroz proces obrazovanja i osposobljavanja i onih koje se traže na tržištu rada, </w:t>
      </w:r>
      <w:r w:rsidR="00062473">
        <w:rPr>
          <w:rFonts w:cstheme="minorHAnsi"/>
        </w:rPr>
        <w:t>odnosno neophodno je permanentno, adekvatno i fleksibilno usklađivanje znanja, vještina i kompetencija, adresirajući na taj način strukturne slabosti u sistemu obrazovanja i obuka, posebno nezaposlenost mladih i dugoročnu nezaposlenost.</w:t>
      </w:r>
    </w:p>
    <w:p w14:paraId="5BFE5FF2" w14:textId="3F62B45F" w:rsidR="00CC7797" w:rsidRPr="00062473" w:rsidRDefault="00CC7797" w:rsidP="00CC7797">
      <w:pPr>
        <w:jc w:val="both"/>
        <w:rPr>
          <w:rFonts w:cstheme="minorHAnsi"/>
        </w:rPr>
      </w:pPr>
      <w:r w:rsidRPr="00062473">
        <w:rPr>
          <w:rFonts w:cstheme="minorHAnsi"/>
          <w:b/>
          <w:bCs/>
        </w:rPr>
        <w:lastRenderedPageBreak/>
        <w:t>Strategija za digitalizaciju obrazovnog sistema 2022 - 2027. godine</w:t>
      </w:r>
      <w:r w:rsidR="0050323C" w:rsidRPr="00062473">
        <w:rPr>
          <w:rFonts w:cstheme="minorHAnsi"/>
        </w:rPr>
        <w:t>.</w:t>
      </w:r>
      <w:r w:rsidR="0050323C" w:rsidRPr="00062473">
        <w:rPr>
          <w:rStyle w:val="FootnoteReference"/>
          <w:rFonts w:cstheme="minorHAnsi"/>
        </w:rPr>
        <w:footnoteReference w:id="13"/>
      </w:r>
      <w:r w:rsidR="0050323C" w:rsidRPr="00062473">
        <w:rPr>
          <w:rFonts w:cstheme="minorHAnsi"/>
        </w:rPr>
        <w:t xml:space="preserve"> </w:t>
      </w:r>
      <w:r w:rsidRPr="00062473">
        <w:rPr>
          <w:rFonts w:cstheme="minorHAnsi"/>
        </w:rPr>
        <w:t>Digitalizacija obrazovnog sistema treba da podstakne veću primjenu IKT-a u nastavi u cilju unapređenja kvaliteta nastavnog procesa, ali i da utiče na razvoj digital</w:t>
      </w:r>
      <w:r w:rsidR="001C77DD">
        <w:rPr>
          <w:rFonts w:cstheme="minorHAnsi"/>
        </w:rPr>
        <w:t>n</w:t>
      </w:r>
      <w:r w:rsidRPr="00062473">
        <w:rPr>
          <w:rFonts w:cstheme="minorHAnsi"/>
        </w:rPr>
        <w:t xml:space="preserve">ih kompetencija učenika i nastavnika. Osim toga, treba da unaprijedi i modernizuje sve procese u sistemu obrazovanja, od elektronske pedagoške evidencije do razmjene podataka i pokretanja niza elektronskih usluga za građane i druge institucije. U vezi sa tim, prepoznata su tri strateška cilja: unapređenje Informacionog sistema obrazovanja, razvoj i unapređenje digitalnog ekosistema i razvoj i unapređenje digitalnih vještina i kompetencija, što je važan pokazatelj za karijerno vođenje, jer bez adekvatnih digitalnih kompetencija, gotovo da ne možemo govoriti o konkurentnosti pojedinca na tržištu rada. </w:t>
      </w:r>
    </w:p>
    <w:p w14:paraId="5CD912A8" w14:textId="77777777" w:rsidR="002A3495" w:rsidRDefault="00CC7797" w:rsidP="00CC7797">
      <w:pPr>
        <w:jc w:val="both"/>
        <w:rPr>
          <w:rFonts w:cstheme="minorHAnsi"/>
        </w:rPr>
      </w:pPr>
      <w:r w:rsidRPr="00062473">
        <w:rPr>
          <w:rFonts w:cstheme="minorHAnsi"/>
          <w:b/>
          <w:bCs/>
        </w:rPr>
        <w:t>Nacionalnom strategijom održivog razvoja u Crnoj Gori 2016-2030 (NSOR)</w:t>
      </w:r>
      <w:r w:rsidR="0050323C" w:rsidRPr="00062473">
        <w:rPr>
          <w:rStyle w:val="FootnoteReference"/>
          <w:rFonts w:cstheme="minorHAnsi"/>
          <w:b/>
          <w:bCs/>
        </w:rPr>
        <w:footnoteReference w:id="14"/>
      </w:r>
      <w:r w:rsidRPr="00062473">
        <w:rPr>
          <w:rFonts w:cstheme="minorHAnsi"/>
        </w:rPr>
        <w:t xml:space="preserve"> postavljeni su ambiciozni ciljevi za kvalitetno obrazovanje (SDG 4), inkluzivan i održiv ekonomski rast, punu i produktivnu zaposlenost i dostojanstven rad za sve (SDG 8), mir, pravdu i jake institucije (SDG 16) i partnerstva za postizanje ciljeva (SDG 17). Program karijernog vođenja i savjetovanja uvažava i ciljeve održivog razvoja UN Agende 2030 i EU Agende, posebno imajući u vidu da je Vlada Crne Gore je nacionalizovala ciljeve održivog razvoja kroz Nacionalnu strategiju održivog razvoja do 2030. godine. U tom kontekstu se posebno izdvajaju sljedeći ciljevi Agende 2030: Cilj 4: Obrazovanje; Cilj 8: Ekonomski razvoj i zapošljavanje; Cilj 9: Inovacije i industrija.</w:t>
      </w:r>
      <w:r w:rsidR="006657F2">
        <w:rPr>
          <w:rFonts w:cstheme="minorHAnsi"/>
        </w:rPr>
        <w:t xml:space="preserve"> </w:t>
      </w:r>
      <w:r w:rsidRPr="00062473">
        <w:rPr>
          <w:rFonts w:cstheme="minorHAnsi"/>
        </w:rPr>
        <w:t xml:space="preserve">Dalje unapređenje podrške za preduzetnike koji započinju biznis u tradicionalnim sektorima kao i za žene u preduzetništvu, mlade, socijalno preduzetništvo, predviđa set mjera jačanja institucionalnog okruženja, finansijske podrške, unapređenja znanja i vještina i promocije njihovog osnivanja i razvoja. </w:t>
      </w:r>
    </w:p>
    <w:p w14:paraId="2D7C1347" w14:textId="4F9C0968" w:rsidR="0038558F" w:rsidRPr="003712CB" w:rsidRDefault="00B433BA" w:rsidP="0038558F">
      <w:pPr>
        <w:jc w:val="both"/>
        <w:rPr>
          <w:rFonts w:cstheme="minorHAnsi"/>
        </w:rPr>
      </w:pPr>
      <w:r>
        <w:rPr>
          <w:rFonts w:cstheme="minorHAnsi"/>
        </w:rPr>
        <w:t xml:space="preserve">Strategija je usklađena i sa </w:t>
      </w:r>
      <w:r w:rsidRPr="00B433BA">
        <w:rPr>
          <w:rFonts w:cstheme="minorHAnsi"/>
          <w:b/>
          <w:bCs/>
        </w:rPr>
        <w:t>Strategijom razvoja mikro, malih i srednjih preduzeća u Crnoj Gori 2023-2026</w:t>
      </w:r>
      <w:r>
        <w:rPr>
          <w:rStyle w:val="FootnoteReference"/>
          <w:rFonts w:cstheme="minorHAnsi"/>
          <w:b/>
          <w:bCs/>
        </w:rPr>
        <w:footnoteReference w:id="15"/>
      </w:r>
      <w:r w:rsidR="00201CEF">
        <w:rPr>
          <w:rFonts w:cstheme="minorHAnsi"/>
          <w:b/>
          <w:bCs/>
        </w:rPr>
        <w:t xml:space="preserve">, </w:t>
      </w:r>
      <w:r w:rsidR="008A1102">
        <w:rPr>
          <w:rFonts w:cstheme="minorHAnsi"/>
        </w:rPr>
        <w:t xml:space="preserve">primarno kroz </w:t>
      </w:r>
      <w:r w:rsidR="00EC20FA">
        <w:rPr>
          <w:rFonts w:cstheme="minorHAnsi"/>
        </w:rPr>
        <w:t>p</w:t>
      </w:r>
      <w:r w:rsidR="003712CB" w:rsidRPr="003712CB">
        <w:rPr>
          <w:rFonts w:cstheme="minorHAnsi"/>
        </w:rPr>
        <w:t>romocij</w:t>
      </w:r>
      <w:r w:rsidR="00EC20FA">
        <w:rPr>
          <w:rFonts w:cstheme="minorHAnsi"/>
        </w:rPr>
        <w:t>u</w:t>
      </w:r>
      <w:r w:rsidR="003712CB" w:rsidRPr="003712CB">
        <w:rPr>
          <w:rFonts w:cstheme="minorHAnsi"/>
        </w:rPr>
        <w:t xml:space="preserve"> preduzetništva i podsticanje početnika</w:t>
      </w:r>
      <w:r w:rsidR="00EC20FA">
        <w:rPr>
          <w:rFonts w:cstheme="minorHAnsi"/>
        </w:rPr>
        <w:t>/ca</w:t>
      </w:r>
      <w:r w:rsidR="003712CB" w:rsidRPr="003712CB">
        <w:rPr>
          <w:rFonts w:cstheme="minorHAnsi"/>
        </w:rPr>
        <w:t xml:space="preserve"> u poslovanju</w:t>
      </w:r>
      <w:r w:rsidR="00EC20FA">
        <w:rPr>
          <w:rFonts w:cstheme="minorHAnsi"/>
        </w:rPr>
        <w:t>, što predstavlja jednu od ključnih poveznih tačaka sa politikom karijernog vođenja i savjetovanja</w:t>
      </w:r>
      <w:r w:rsidR="00F12633">
        <w:rPr>
          <w:rFonts w:cstheme="minorHAnsi"/>
        </w:rPr>
        <w:t xml:space="preserve">. Dodatno, potrebno je raditi na razvoju </w:t>
      </w:r>
      <w:r w:rsidR="003712CB" w:rsidRPr="003712CB">
        <w:rPr>
          <w:rFonts w:cstheme="minorHAnsi"/>
        </w:rPr>
        <w:t>institucionalne mreže za podršku MMSP i poslovno udruživanje</w:t>
      </w:r>
      <w:r w:rsidR="00F12633">
        <w:rPr>
          <w:rFonts w:cstheme="minorHAnsi"/>
        </w:rPr>
        <w:t xml:space="preserve">, kroz razvoj </w:t>
      </w:r>
      <w:r w:rsidR="0038558F" w:rsidRPr="0038558F">
        <w:rPr>
          <w:rFonts w:cstheme="minorHAnsi"/>
        </w:rPr>
        <w:t xml:space="preserve">savremenih znanja i vještina </w:t>
      </w:r>
      <w:r w:rsidR="006F2281">
        <w:rPr>
          <w:rFonts w:cstheme="minorHAnsi"/>
        </w:rPr>
        <w:t xml:space="preserve">mladih is sistema obrazovanja za </w:t>
      </w:r>
      <w:r w:rsidR="0038558F" w:rsidRPr="0038558F">
        <w:rPr>
          <w:rFonts w:cstheme="minorHAnsi"/>
        </w:rPr>
        <w:t>MMSP</w:t>
      </w:r>
      <w:r w:rsidR="006F2281">
        <w:rPr>
          <w:rFonts w:cstheme="minorHAnsi"/>
        </w:rPr>
        <w:t>, odnosno kroz p</w:t>
      </w:r>
      <w:r w:rsidR="0038558F" w:rsidRPr="0038558F">
        <w:rPr>
          <w:rFonts w:cstheme="minorHAnsi"/>
        </w:rPr>
        <w:t xml:space="preserve">odsticanje inovativnosti </w:t>
      </w:r>
      <w:r w:rsidR="006F2281">
        <w:rPr>
          <w:rFonts w:cstheme="minorHAnsi"/>
        </w:rPr>
        <w:t xml:space="preserve">maldih u </w:t>
      </w:r>
      <w:r w:rsidR="0038558F" w:rsidRPr="0038558F">
        <w:rPr>
          <w:rFonts w:cstheme="minorHAnsi"/>
        </w:rPr>
        <w:t>MMSP</w:t>
      </w:r>
      <w:r w:rsidR="006F2281">
        <w:rPr>
          <w:rFonts w:cstheme="minorHAnsi"/>
        </w:rPr>
        <w:t>.</w:t>
      </w:r>
    </w:p>
    <w:p w14:paraId="3E711E5E" w14:textId="77777777" w:rsidR="00DA1627" w:rsidRDefault="00CC7797" w:rsidP="00CC7797">
      <w:pPr>
        <w:jc w:val="both"/>
        <w:rPr>
          <w:rFonts w:cstheme="minorHAnsi"/>
        </w:rPr>
      </w:pPr>
      <w:r w:rsidRPr="00062473">
        <w:rPr>
          <w:rFonts w:cstheme="minorHAnsi"/>
          <w:b/>
          <w:bCs/>
        </w:rPr>
        <w:t>Nacionalna strategija rodne ravnopravnosti 2021-2025. godina</w:t>
      </w:r>
      <w:r w:rsidR="0050323C" w:rsidRPr="00062473">
        <w:rPr>
          <w:rStyle w:val="FootnoteReference"/>
          <w:rFonts w:cstheme="minorHAnsi"/>
          <w:b/>
          <w:bCs/>
        </w:rPr>
        <w:footnoteReference w:id="16"/>
      </w:r>
      <w:r w:rsidRPr="00062473">
        <w:rPr>
          <w:rFonts w:cstheme="minorHAnsi"/>
        </w:rPr>
        <w:t xml:space="preserve"> kroz svoj </w:t>
      </w:r>
      <w:r w:rsidR="00DA1627">
        <w:rPr>
          <w:rFonts w:cstheme="minorHAnsi"/>
        </w:rPr>
        <w:t>O</w:t>
      </w:r>
      <w:r w:rsidRPr="00062473">
        <w:rPr>
          <w:rFonts w:cstheme="minorHAnsi"/>
        </w:rPr>
        <w:t xml:space="preserve">perativni cilj: Povećati nivo učešća žena i osoba drugačijih polnih i rodnih identiteta u oblastima koje omogućavaju pristup resursima i dobrobiti od korišćenja resursa), kao i kroz brojne mjere kojima se žele stvoriti preduslovi za njihovo učešće, kao i mjere kojima se žele osnažiti ove društvene grupe dopirinosi razvoju karijere i osnaživanju žena i osoba drugačijih polnih i rodnih identiteta u planiranju svog karijernog puta. Mjere u okviru ovog </w:t>
      </w:r>
      <w:r w:rsidR="00DA1627">
        <w:rPr>
          <w:rFonts w:cstheme="minorHAnsi"/>
        </w:rPr>
        <w:t>O</w:t>
      </w:r>
      <w:r w:rsidRPr="00062473">
        <w:rPr>
          <w:rFonts w:cstheme="minorHAnsi"/>
        </w:rPr>
        <w:t xml:space="preserve">perativnog cilja su: </w:t>
      </w:r>
    </w:p>
    <w:p w14:paraId="3A1FECED" w14:textId="77777777" w:rsidR="00DA1627" w:rsidRDefault="00CC7797" w:rsidP="00DA1627">
      <w:pPr>
        <w:pStyle w:val="ListParagraph"/>
        <w:numPr>
          <w:ilvl w:val="0"/>
          <w:numId w:val="15"/>
        </w:numPr>
        <w:jc w:val="both"/>
        <w:rPr>
          <w:rFonts w:cstheme="minorHAnsi"/>
        </w:rPr>
      </w:pPr>
      <w:r w:rsidRPr="00DA1627">
        <w:rPr>
          <w:rFonts w:cstheme="minorHAnsi"/>
        </w:rPr>
        <w:t>Osnažiti žene i osobe drugačijih polnih i rodnih identiteta da učestvuju u političkom odlučivanju</w:t>
      </w:r>
      <w:r w:rsidR="00DA1627">
        <w:rPr>
          <w:rFonts w:cstheme="minorHAnsi"/>
        </w:rPr>
        <w:t>,</w:t>
      </w:r>
    </w:p>
    <w:p w14:paraId="28C444B4" w14:textId="77777777" w:rsidR="00DA1627" w:rsidRDefault="00CC7797" w:rsidP="00DA1627">
      <w:pPr>
        <w:pStyle w:val="ListParagraph"/>
        <w:numPr>
          <w:ilvl w:val="0"/>
          <w:numId w:val="15"/>
        </w:numPr>
        <w:jc w:val="both"/>
        <w:rPr>
          <w:rFonts w:cstheme="minorHAnsi"/>
        </w:rPr>
      </w:pPr>
      <w:r w:rsidRPr="00DA1627">
        <w:rPr>
          <w:rFonts w:cstheme="minorHAnsi"/>
        </w:rPr>
        <w:lastRenderedPageBreak/>
        <w:t>Osnažiti žene i osobe drugačijih polnih i rodnih identiteta, kao i marginalizovane i osjetljive osobe i grupe da učestvuju u ekonomskom životu; Podići nivo prevencije i zaštite od rodno zasnovane diskriminacije, seksualnog uznemiravanja, rodno zasnovanog nasilja i višestruke diskriminacije na radnom mjestu</w:t>
      </w:r>
      <w:r w:rsidR="00DA1627">
        <w:rPr>
          <w:rFonts w:cstheme="minorHAnsi"/>
        </w:rPr>
        <w:t>,</w:t>
      </w:r>
    </w:p>
    <w:p w14:paraId="500DC139" w14:textId="77777777" w:rsidR="00DA1627" w:rsidRDefault="00CC7797" w:rsidP="00DA1627">
      <w:pPr>
        <w:pStyle w:val="ListParagraph"/>
        <w:numPr>
          <w:ilvl w:val="0"/>
          <w:numId w:val="15"/>
        </w:numPr>
        <w:jc w:val="both"/>
        <w:rPr>
          <w:rFonts w:cstheme="minorHAnsi"/>
        </w:rPr>
      </w:pPr>
      <w:r w:rsidRPr="00DA1627">
        <w:rPr>
          <w:rFonts w:cstheme="minorHAnsi"/>
        </w:rPr>
        <w:t>Organizovati kampanje za ravnomjerniju raspodjelu rada u kući, brige o djeci, starijim podatke o učešću muškaraca i žena u neplaćenim poslova njege i rada u domaćinstvu</w:t>
      </w:r>
      <w:r w:rsidR="00DA1627">
        <w:rPr>
          <w:rFonts w:cstheme="minorHAnsi"/>
        </w:rPr>
        <w:t>,</w:t>
      </w:r>
    </w:p>
    <w:p w14:paraId="07E18668" w14:textId="77777777" w:rsidR="00DA1627" w:rsidRDefault="00CC7797" w:rsidP="00DA1627">
      <w:pPr>
        <w:pStyle w:val="ListParagraph"/>
        <w:numPr>
          <w:ilvl w:val="0"/>
          <w:numId w:val="15"/>
        </w:numPr>
        <w:jc w:val="both"/>
        <w:rPr>
          <w:rFonts w:cstheme="minorHAnsi"/>
        </w:rPr>
      </w:pPr>
      <w:r w:rsidRPr="00DA1627">
        <w:rPr>
          <w:rFonts w:cstheme="minorHAnsi"/>
        </w:rPr>
        <w:t>Podstaći tripartitni dijalog o izmjenama zakona kojima će se omogućiti veće učešće žena na tržištu rada i postizanje bolje ravnoteže između poslovnog i privatnog života</w:t>
      </w:r>
      <w:r w:rsidR="00DA1627">
        <w:rPr>
          <w:rFonts w:cstheme="minorHAnsi"/>
        </w:rPr>
        <w:t>,</w:t>
      </w:r>
    </w:p>
    <w:p w14:paraId="419743C0" w14:textId="31AAFE10" w:rsidR="00CC7797" w:rsidRPr="00DA1627" w:rsidRDefault="00CC7797" w:rsidP="00DA1627">
      <w:pPr>
        <w:pStyle w:val="ListParagraph"/>
        <w:numPr>
          <w:ilvl w:val="0"/>
          <w:numId w:val="15"/>
        </w:numPr>
        <w:jc w:val="both"/>
        <w:rPr>
          <w:rFonts w:cstheme="minorHAnsi"/>
        </w:rPr>
      </w:pPr>
      <w:r w:rsidRPr="00DA1627">
        <w:rPr>
          <w:rFonts w:cstheme="minorHAnsi"/>
        </w:rPr>
        <w:t>Povećati procenat žena u STEM (nauka, tehnologija, inženjerstvo, matematika) oblastima u obrazovanju; Procijeniti uticaj i sprovesti mjere prevencije kako bi se umanjio negativan uticaj klimatskih promjena i prirodnih katastrofa na zdravlje žena, muškaraca, osoba drugačijih polnih i rodnih identiteta, kao i marginalizovanih i posebno osjetljivih osoba i grupa.</w:t>
      </w:r>
    </w:p>
    <w:p w14:paraId="31AFD492" w14:textId="162F8217" w:rsidR="009425E2" w:rsidRDefault="00CC7797" w:rsidP="00CC7797">
      <w:pPr>
        <w:jc w:val="both"/>
        <w:rPr>
          <w:rFonts w:cstheme="minorHAnsi"/>
        </w:rPr>
      </w:pPr>
      <w:r w:rsidRPr="00062473">
        <w:rPr>
          <w:rFonts w:cstheme="minorHAnsi"/>
          <w:b/>
          <w:bCs/>
        </w:rPr>
        <w:t>Garancija za mlade</w:t>
      </w:r>
      <w:r w:rsidR="0050323C" w:rsidRPr="00062473">
        <w:rPr>
          <w:rStyle w:val="FootnoteReference"/>
          <w:rFonts w:cstheme="minorHAnsi"/>
        </w:rPr>
        <w:footnoteReference w:id="17"/>
      </w:r>
      <w:r w:rsidR="009425E2">
        <w:rPr>
          <w:rFonts w:cstheme="minorHAnsi"/>
        </w:rPr>
        <w:t xml:space="preserve">. </w:t>
      </w:r>
      <w:r w:rsidR="009425E2" w:rsidRPr="009425E2">
        <w:rPr>
          <w:rFonts w:cstheme="minorHAnsi"/>
        </w:rPr>
        <w:t>Dokument Garancija za mlade sadrži značaj karijernog vođenja i savjetovanja sa akcentom na besplatno grupno ili individualno savjetovanje pri zapošljavanju. Neophodno je izmijeniti program stručnog osposobljavanja diplomaca i uskladiti ga sa kriterijumima za kvalitet koji mladima omogućava napredovanje u karijeri. Karijerno vođenje je neophodno pružati putem različitih komunikacijskih kanala. Jedan od njih uključuje usluge na daljinu kao što su telefon, video konferencije,</w:t>
      </w:r>
      <w:r w:rsidR="009425E2">
        <w:rPr>
          <w:rFonts w:cstheme="minorHAnsi"/>
        </w:rPr>
        <w:t xml:space="preserve">  </w:t>
      </w:r>
      <w:r w:rsidR="009425E2" w:rsidRPr="009425E2">
        <w:rPr>
          <w:rFonts w:cstheme="minorHAnsi"/>
        </w:rPr>
        <w:t>tekstualne poruke.</w:t>
      </w:r>
      <w:r w:rsidR="009425E2">
        <w:rPr>
          <w:rFonts w:cstheme="minorHAnsi"/>
        </w:rPr>
        <w:t xml:space="preserve"> </w:t>
      </w:r>
      <w:r w:rsidR="009425E2" w:rsidRPr="009425E2">
        <w:rPr>
          <w:rFonts w:cstheme="minorHAnsi"/>
        </w:rPr>
        <w:t>Treba omogućiti korištenje e-pošte, skype-a ili zoom sastanaka pri komunikaciji sa praktičarima karijernog vođenja i savjetovanja.</w:t>
      </w:r>
      <w:r w:rsidR="009425E2">
        <w:rPr>
          <w:rFonts w:cstheme="minorHAnsi"/>
        </w:rPr>
        <w:t xml:space="preserve"> </w:t>
      </w:r>
      <w:r w:rsidR="009425E2" w:rsidRPr="009425E2">
        <w:rPr>
          <w:rFonts w:cstheme="minorHAnsi"/>
        </w:rPr>
        <w:t>Neophodno je razmotriti kvalitet kompetencija savjetnika za karijerno vođenje u cilju sprovođenja njihove obuke i obezbjeđivanja sredstava  za procjenu njihovih vještina.</w:t>
      </w:r>
      <w:r w:rsidR="009425E2">
        <w:rPr>
          <w:rFonts w:cstheme="minorHAnsi"/>
        </w:rPr>
        <w:t xml:space="preserve"> </w:t>
      </w:r>
      <w:r w:rsidR="009425E2" w:rsidRPr="009425E2">
        <w:rPr>
          <w:rFonts w:cstheme="minorHAnsi"/>
        </w:rPr>
        <w:t>Univerziteti bi trebalo da stimuli</w:t>
      </w:r>
      <w:r w:rsidR="009425E2">
        <w:rPr>
          <w:rFonts w:cstheme="minorHAnsi"/>
        </w:rPr>
        <w:t>š</w:t>
      </w:r>
      <w:r w:rsidR="009425E2" w:rsidRPr="009425E2">
        <w:rPr>
          <w:rFonts w:cstheme="minorHAnsi"/>
        </w:rPr>
        <w:t>u studente za rad na sezonskim poslovima uvode</w:t>
      </w:r>
      <w:r w:rsidR="009425E2">
        <w:rPr>
          <w:rFonts w:cstheme="minorHAnsi"/>
        </w:rPr>
        <w:t>ć</w:t>
      </w:r>
      <w:r w:rsidR="009425E2" w:rsidRPr="009425E2">
        <w:rPr>
          <w:rFonts w:cstheme="minorHAnsi"/>
        </w:rPr>
        <w:t>i bodovanje ovakve vrste anga</w:t>
      </w:r>
      <w:r w:rsidR="009425E2">
        <w:rPr>
          <w:rFonts w:cstheme="minorHAnsi"/>
        </w:rPr>
        <w:t>ž</w:t>
      </w:r>
      <w:r w:rsidR="009425E2" w:rsidRPr="009425E2">
        <w:rPr>
          <w:rFonts w:cstheme="minorHAnsi"/>
        </w:rPr>
        <w:t>mana prilikom ocjenjivanja. Osnivanje studentskih zadruga u skladu sa savremenim ambijentom bi omogu</w:t>
      </w:r>
      <w:r w:rsidR="009425E2">
        <w:rPr>
          <w:rFonts w:cstheme="minorHAnsi"/>
        </w:rPr>
        <w:t>ć</w:t>
      </w:r>
      <w:r w:rsidR="009425E2" w:rsidRPr="009425E2">
        <w:rPr>
          <w:rFonts w:cstheme="minorHAnsi"/>
        </w:rPr>
        <w:t>ilo studentu sticanje znanja i vje</w:t>
      </w:r>
      <w:r w:rsidR="009425E2">
        <w:rPr>
          <w:rFonts w:cstheme="minorHAnsi"/>
        </w:rPr>
        <w:t>š</w:t>
      </w:r>
      <w:r w:rsidR="009425E2" w:rsidRPr="009425E2">
        <w:rPr>
          <w:rFonts w:cstheme="minorHAnsi"/>
        </w:rPr>
        <w:t>tina va</w:t>
      </w:r>
      <w:r w:rsidR="009425E2">
        <w:rPr>
          <w:rFonts w:cstheme="minorHAnsi"/>
        </w:rPr>
        <w:t>ž</w:t>
      </w:r>
      <w:r w:rsidR="009425E2" w:rsidRPr="009425E2">
        <w:rPr>
          <w:rFonts w:cstheme="minorHAnsi"/>
        </w:rPr>
        <w:t>nih na tr</w:t>
      </w:r>
      <w:r w:rsidR="009425E2">
        <w:rPr>
          <w:rFonts w:cstheme="minorHAnsi"/>
        </w:rPr>
        <w:t>ž</w:t>
      </w:r>
      <w:r w:rsidR="009425E2" w:rsidRPr="009425E2">
        <w:rPr>
          <w:rFonts w:cstheme="minorHAnsi"/>
        </w:rPr>
        <w:t>i</w:t>
      </w:r>
      <w:r w:rsidR="009425E2">
        <w:rPr>
          <w:rFonts w:cstheme="minorHAnsi"/>
        </w:rPr>
        <w:t>š</w:t>
      </w:r>
      <w:r w:rsidR="009425E2" w:rsidRPr="009425E2">
        <w:rPr>
          <w:rFonts w:cstheme="minorHAnsi"/>
        </w:rPr>
        <w:t>tu</w:t>
      </w:r>
      <w:r w:rsidR="009425E2">
        <w:rPr>
          <w:rFonts w:cstheme="minorHAnsi"/>
        </w:rPr>
        <w:t xml:space="preserve"> rada</w:t>
      </w:r>
      <w:r w:rsidR="009425E2" w:rsidRPr="009425E2">
        <w:rPr>
          <w:rFonts w:cstheme="minorHAnsi"/>
        </w:rPr>
        <w:t>.</w:t>
      </w:r>
    </w:p>
    <w:p w14:paraId="7BC29D59" w14:textId="1BEF59D0" w:rsidR="0054524C" w:rsidRPr="0001203D" w:rsidRDefault="003E67B5" w:rsidP="003E67B5">
      <w:pPr>
        <w:jc w:val="both"/>
        <w:rPr>
          <w:rFonts w:cstheme="minorHAnsi"/>
          <w:color w:val="0000FF"/>
          <w:u w:val="single"/>
          <w:lang w:val="sr-Latn-ME"/>
        </w:rPr>
      </w:pPr>
      <w:r>
        <w:rPr>
          <w:lang w:val="sr-Latn-ME"/>
        </w:rPr>
        <w:t xml:space="preserve">Posebno je značajno istaći usklađenost javne politike sa </w:t>
      </w:r>
      <w:r w:rsidRPr="003E67B5">
        <w:rPr>
          <w:b/>
          <w:bCs/>
          <w:lang w:val="sr-Latn-ME"/>
        </w:rPr>
        <w:t>Strategijom za mlade 2023-2027</w:t>
      </w:r>
      <w:r>
        <w:rPr>
          <w:lang w:val="sr-Latn-ME"/>
        </w:rPr>
        <w:t>,</w:t>
      </w:r>
      <w:r>
        <w:rPr>
          <w:rStyle w:val="FootnoteReference"/>
          <w:lang w:val="sr-Latn-ME"/>
        </w:rPr>
        <w:footnoteReference w:id="18"/>
      </w:r>
      <w:r>
        <w:rPr>
          <w:lang w:val="sr-Latn-ME"/>
        </w:rPr>
        <w:t xml:space="preserve"> </w:t>
      </w:r>
      <w:r w:rsidR="00AC4FF1">
        <w:rPr>
          <w:rFonts w:cstheme="minorHAnsi"/>
          <w:color w:val="000000" w:themeColor="text1"/>
          <w:lang w:val="sr-Latn-ME"/>
        </w:rPr>
        <w:t xml:space="preserve">u </w:t>
      </w:r>
      <w:r>
        <w:rPr>
          <w:rFonts w:cstheme="minorHAnsi"/>
          <w:color w:val="000000"/>
          <w:lang w:val="sr-Latn-ME"/>
        </w:rPr>
        <w:t xml:space="preserve">dijelu koji se odnosi na </w:t>
      </w:r>
      <w:r w:rsidR="00AC4FF1">
        <w:rPr>
          <w:rFonts w:cstheme="minorHAnsi"/>
          <w:color w:val="000000"/>
          <w:lang w:val="sr-Latn-ME"/>
        </w:rPr>
        <w:t xml:space="preserve"> potrebu jačanja inf</w:t>
      </w:r>
      <w:r w:rsidR="0003054F">
        <w:rPr>
          <w:rFonts w:cstheme="minorHAnsi"/>
          <w:color w:val="000000"/>
          <w:lang w:val="sr-Latn-ME"/>
        </w:rPr>
        <w:t xml:space="preserve">ormisanosti </w:t>
      </w:r>
      <w:r w:rsidR="0003054F" w:rsidRPr="0001203D">
        <w:rPr>
          <w:rFonts w:cstheme="minorHAnsi"/>
          <w:color w:val="000000"/>
          <w:lang w:val="sr-Latn-ME"/>
        </w:rPr>
        <w:t xml:space="preserve">mladih </w:t>
      </w:r>
      <w:r w:rsidR="0054524C" w:rsidRPr="0001203D">
        <w:rPr>
          <w:rFonts w:cstheme="minorHAnsi"/>
          <w:color w:val="000000"/>
          <w:lang w:val="sr-Latn-ME"/>
        </w:rPr>
        <w:t>o tržištu rada i vještin</w:t>
      </w:r>
      <w:r w:rsidR="0003054F" w:rsidRPr="0001203D">
        <w:rPr>
          <w:rFonts w:cstheme="minorHAnsi"/>
          <w:color w:val="000000"/>
          <w:lang w:val="sr-Latn-ME"/>
        </w:rPr>
        <w:t>ama i znanjima koje je potrebno razvijati</w:t>
      </w:r>
      <w:r w:rsidR="0054524C" w:rsidRPr="0001203D">
        <w:rPr>
          <w:rFonts w:cstheme="minorHAnsi"/>
          <w:color w:val="000000"/>
          <w:lang w:val="sr-Latn-ME"/>
        </w:rPr>
        <w:t xml:space="preserve"> </w:t>
      </w:r>
      <w:r w:rsidR="0003054F" w:rsidRPr="0001203D">
        <w:rPr>
          <w:rFonts w:cstheme="minorHAnsi"/>
          <w:color w:val="000000"/>
          <w:lang w:val="sr-Latn-ME"/>
        </w:rPr>
        <w:t xml:space="preserve">u cilju njihovog uključivanja </w:t>
      </w:r>
      <w:r w:rsidR="00EE1B8C" w:rsidRPr="0001203D">
        <w:rPr>
          <w:rFonts w:cstheme="minorHAnsi"/>
          <w:color w:val="000000"/>
          <w:lang w:val="sr-Latn-ME"/>
        </w:rPr>
        <w:t xml:space="preserve">na tržište rada  i razvoj </w:t>
      </w:r>
      <w:r w:rsidR="0054524C" w:rsidRPr="0001203D">
        <w:rPr>
          <w:rFonts w:cstheme="minorHAnsi"/>
          <w:color w:val="000000"/>
          <w:lang w:val="sr-Latn-ME"/>
        </w:rPr>
        <w:t>karijere</w:t>
      </w:r>
      <w:r w:rsidR="00EE1B8C" w:rsidRPr="0001203D">
        <w:rPr>
          <w:rFonts w:cstheme="minorHAnsi"/>
          <w:color w:val="000000"/>
          <w:lang w:val="sr-Latn-ME"/>
        </w:rPr>
        <w:t>. P</w:t>
      </w:r>
      <w:r w:rsidR="0054524C" w:rsidRPr="0001203D">
        <w:rPr>
          <w:rFonts w:cstheme="minorHAnsi"/>
          <w:color w:val="000000"/>
          <w:lang w:val="sr-Latn-ME"/>
        </w:rPr>
        <w:t xml:space="preserve">osebno su potrebni programi podrške i razvoja kapaciteta mladima iz marginalizovanih grupa za razvoj dodatnih kompetencija, a što će doprinijeti njihovoj šansi za zapošljaanjem na tržištu rada. </w:t>
      </w:r>
    </w:p>
    <w:p w14:paraId="379E5CFC" w14:textId="77777777" w:rsidR="0054524C" w:rsidRPr="009B6935" w:rsidRDefault="0054524C" w:rsidP="00CC7797">
      <w:pPr>
        <w:jc w:val="both"/>
        <w:rPr>
          <w:rFonts w:cstheme="minorHAnsi"/>
          <w:lang w:val="sr-Latn-ME"/>
        </w:rPr>
      </w:pPr>
    </w:p>
    <w:p w14:paraId="72B85B1B" w14:textId="4A1872B7" w:rsidR="00CC7797" w:rsidRPr="0036318D" w:rsidRDefault="00826288" w:rsidP="0036318D">
      <w:pPr>
        <w:pStyle w:val="Heading2"/>
      </w:pPr>
      <w:bookmarkStart w:id="3" w:name="_Toc197274067"/>
      <w:r w:rsidRPr="0036318D">
        <w:t>USKLAĐENOST SA MEĐUNARODNIM OBAVEZAMA</w:t>
      </w:r>
      <w:bookmarkEnd w:id="3"/>
    </w:p>
    <w:p w14:paraId="258C0223" w14:textId="741712AC" w:rsidR="00CC7797" w:rsidRPr="00062473" w:rsidRDefault="00CC7797" w:rsidP="00CC7797">
      <w:pPr>
        <w:jc w:val="both"/>
        <w:rPr>
          <w:rFonts w:cstheme="minorHAnsi"/>
        </w:rPr>
      </w:pPr>
      <w:r w:rsidRPr="00062473">
        <w:rPr>
          <w:rFonts w:cstheme="minorHAnsi"/>
        </w:rPr>
        <w:t xml:space="preserve">Evropska komisija podržava i koordinira </w:t>
      </w:r>
      <w:r w:rsidRPr="00CC28BC">
        <w:rPr>
          <w:rFonts w:cstheme="minorHAnsi"/>
          <w:b/>
          <w:bCs/>
        </w:rPr>
        <w:t>Euroguidance mrežu</w:t>
      </w:r>
      <w:r w:rsidRPr="00062473">
        <w:rPr>
          <w:rFonts w:cstheme="minorHAnsi"/>
        </w:rPr>
        <w:t>,</w:t>
      </w:r>
      <w:r w:rsidR="00CC28BC">
        <w:rPr>
          <w:rStyle w:val="FootnoteReference"/>
          <w:rFonts w:cstheme="minorHAnsi"/>
        </w:rPr>
        <w:footnoteReference w:id="19"/>
      </w:r>
      <w:r w:rsidRPr="00062473">
        <w:rPr>
          <w:rFonts w:cstheme="minorHAnsi"/>
        </w:rPr>
        <w:t xml:space="preserve"> koja obezbjeđuje nacionalni resurs u 34 evropske zemlje</w:t>
      </w:r>
      <w:r w:rsidRPr="00CC28BC">
        <w:rPr>
          <w:rFonts w:cstheme="minorHAnsi"/>
        </w:rPr>
        <w:t>. Euroguidance mreža</w:t>
      </w:r>
      <w:r w:rsidRPr="00062473">
        <w:rPr>
          <w:rFonts w:cstheme="minorHAnsi"/>
        </w:rPr>
        <w:t xml:space="preserve"> prikuplja, distribuira i razm</w:t>
      </w:r>
      <w:r w:rsidR="001C77DD">
        <w:rPr>
          <w:rFonts w:cstheme="minorHAnsi"/>
        </w:rPr>
        <w:t>j</w:t>
      </w:r>
      <w:r w:rsidRPr="00062473">
        <w:rPr>
          <w:rFonts w:cstheme="minorHAnsi"/>
        </w:rPr>
        <w:t>enjuje informacije o nacionalnim pristupima u karijernom vođenju, dijeli</w:t>
      </w:r>
      <w:r w:rsidR="009425E2">
        <w:rPr>
          <w:rFonts w:cstheme="minorHAnsi"/>
        </w:rPr>
        <w:t xml:space="preserve"> </w:t>
      </w:r>
      <w:r w:rsidRPr="00062473">
        <w:rPr>
          <w:rFonts w:cstheme="minorHAnsi"/>
        </w:rPr>
        <w:t xml:space="preserve">rezultate projekata, inovativne metode rada </w:t>
      </w:r>
      <w:r w:rsidRPr="00062473">
        <w:rPr>
          <w:rFonts w:cstheme="minorHAnsi"/>
        </w:rPr>
        <w:lastRenderedPageBreak/>
        <w:t xml:space="preserve">i dobre prakse u oblasti karijernog vođenja. </w:t>
      </w:r>
      <w:r w:rsidR="00C642AB">
        <w:rPr>
          <w:rFonts w:cstheme="minorHAnsi"/>
        </w:rPr>
        <w:t>Osnovnu ciljnu grup</w:t>
      </w:r>
      <w:r w:rsidR="008515DB">
        <w:rPr>
          <w:rFonts w:cstheme="minorHAnsi"/>
        </w:rPr>
        <w:t>u mreže</w:t>
      </w:r>
      <w:r w:rsidRPr="00062473">
        <w:rPr>
          <w:rFonts w:cstheme="minorHAnsi"/>
        </w:rPr>
        <w:t xml:space="preserve"> čine praktičari karijernog vođenja u obrazovanju i zapošljavanju koji pružaju informacije i uputstva o međunarodnoj mobilnosti za učenje za</w:t>
      </w:r>
      <w:r w:rsidR="009425E2">
        <w:rPr>
          <w:rFonts w:cstheme="minorHAnsi"/>
        </w:rPr>
        <w:t xml:space="preserve"> </w:t>
      </w:r>
      <w:r w:rsidRPr="00062473">
        <w:rPr>
          <w:rFonts w:cstheme="minorHAnsi"/>
        </w:rPr>
        <w:t>krajnje korisnike koji traže prilike za studiranje i obuku u inostranstvu. Takođe, ova mreža podržava razvoj kompetencija zajednice kroz pripreme vodiča i promoviše nacionalno i međunarodno umrežavanje praktičara organizovanjem seminara, obuka i studijskih posjeta. Ministarstvo prosvjete</w:t>
      </w:r>
      <w:r w:rsidR="00DE6FDE">
        <w:rPr>
          <w:rFonts w:cstheme="minorHAnsi"/>
        </w:rPr>
        <w:t>, nauke i inovacija</w:t>
      </w:r>
      <w:r w:rsidRPr="00062473">
        <w:rPr>
          <w:rFonts w:cstheme="minorHAnsi"/>
        </w:rPr>
        <w:t xml:space="preserve"> je od 2017. godine  član evropske Europass i Euroguidance mreže koja je zadužena za promociju karijernog vođenja i savjetovanja u Evropi</w:t>
      </w:r>
    </w:p>
    <w:p w14:paraId="073ABEC7" w14:textId="5CE300EB" w:rsidR="00CC7797" w:rsidRPr="00062473" w:rsidRDefault="00CC7797" w:rsidP="00CC7797">
      <w:pPr>
        <w:jc w:val="both"/>
        <w:rPr>
          <w:rFonts w:cstheme="minorHAnsi"/>
        </w:rPr>
      </w:pPr>
      <w:r w:rsidRPr="00062473">
        <w:rPr>
          <w:rFonts w:cstheme="minorHAnsi"/>
        </w:rPr>
        <w:t>Ministarstvo prosvjete</w:t>
      </w:r>
      <w:r w:rsidR="00DE6FDE">
        <w:rPr>
          <w:rFonts w:cstheme="minorHAnsi"/>
        </w:rPr>
        <w:t>, nauke i inovacija</w:t>
      </w:r>
      <w:r w:rsidRPr="00062473">
        <w:rPr>
          <w:rFonts w:cstheme="minorHAnsi"/>
        </w:rPr>
        <w:t xml:space="preserve"> sarađuje sa </w:t>
      </w:r>
      <w:r w:rsidRPr="009425E2">
        <w:rPr>
          <w:rFonts w:cstheme="minorHAnsi"/>
          <w:b/>
          <w:bCs/>
        </w:rPr>
        <w:t>Evropskom fondacijom za obuku (ETF)</w:t>
      </w:r>
      <w:r w:rsidRPr="00062473">
        <w:rPr>
          <w:rFonts w:cstheme="minorHAnsi"/>
        </w:rPr>
        <w:t xml:space="preserve"> koja podržava evropske i centralno</w:t>
      </w:r>
      <w:r w:rsidR="009425E2">
        <w:rPr>
          <w:rFonts w:cstheme="minorHAnsi"/>
        </w:rPr>
        <w:t>-</w:t>
      </w:r>
      <w:r w:rsidRPr="00062473">
        <w:rPr>
          <w:rFonts w:cstheme="minorHAnsi"/>
        </w:rPr>
        <w:t>azijske zemlje u razvoju sistema karijernog vođenja. ETF pruža savjete o politici u oblasti karijernog vođenja i obrazovanja, redovno prati</w:t>
      </w:r>
      <w:r w:rsidR="009425E2">
        <w:rPr>
          <w:rFonts w:cstheme="minorHAnsi"/>
        </w:rPr>
        <w:t xml:space="preserve"> </w:t>
      </w:r>
      <w:r w:rsidRPr="00062473">
        <w:rPr>
          <w:rFonts w:cstheme="minorHAnsi"/>
        </w:rPr>
        <w:t>tržište rada i stanje zapošljavanja u EU zemljama</w:t>
      </w:r>
      <w:r w:rsidR="009425E2">
        <w:rPr>
          <w:rFonts w:cstheme="minorHAnsi"/>
        </w:rPr>
        <w:t xml:space="preserve"> </w:t>
      </w:r>
      <w:r w:rsidRPr="00062473">
        <w:rPr>
          <w:rFonts w:cstheme="minorHAnsi"/>
        </w:rPr>
        <w:t>i zemljama Centralne Azije i podržava ih u vještinama prikupljanja i analize za podršku razvoja ljudskog kapitala i odgovora sistema (stručnog) obrazovanja i obuke na potrebe tržište rada.</w:t>
      </w:r>
    </w:p>
    <w:p w14:paraId="4DB8F99C" w14:textId="0C110FE5" w:rsidR="00E86C92" w:rsidRDefault="00CC28BC" w:rsidP="00CC7797">
      <w:pPr>
        <w:jc w:val="both"/>
        <w:rPr>
          <w:rFonts w:cstheme="minorHAnsi"/>
        </w:rPr>
      </w:pPr>
      <w:r>
        <w:rPr>
          <w:rFonts w:cstheme="minorHAnsi"/>
        </w:rPr>
        <w:t>Strategija</w:t>
      </w:r>
      <w:r w:rsidR="009425E2">
        <w:rPr>
          <w:rFonts w:cstheme="minorHAnsi"/>
        </w:rPr>
        <w:t xml:space="preserve"> </w:t>
      </w:r>
      <w:r w:rsidR="00CC7797" w:rsidRPr="00062473">
        <w:rPr>
          <w:rFonts w:cstheme="minorHAnsi"/>
        </w:rPr>
        <w:t xml:space="preserve">predviđa dalju implementaciju tekovina Evropske unije u oblasti socijalne politike i zapošljavanja koje se tiču </w:t>
      </w:r>
      <w:r w:rsidR="00CC7797" w:rsidRPr="006657F2">
        <w:rPr>
          <w:rFonts w:cstheme="minorHAnsi"/>
          <w:b/>
          <w:bCs/>
        </w:rPr>
        <w:t>područja radnog prava, zaštite i zdravlja na radu, jednakog tretiranja muškaraca i žena po pitanjima zapošljavanja, socijalne zaštite, socijalne inkluzije, politike zapošljavanja, socijalnog dijaloga</w:t>
      </w:r>
      <w:r w:rsidR="00CC7797" w:rsidRPr="00062473">
        <w:rPr>
          <w:rFonts w:cstheme="minorHAnsi"/>
        </w:rPr>
        <w:t>. Najbitniji ciljevi socijalne politike Evropske unije jesu postizanje jedinstvenog i pravednog pristupa osnovnim socijalnim uslugama, unapređenje sistema socijalne zaštite, visok obrazovni stepen radne snage, visoka stopa zaposlenosti uz posebnu brigu za grupe koje su manje prisutne na tržištu Evropska unija ističe preduzetništvo i industriju kao jedan od prioriteta za budućnost evropske privrede i postavlja tri osnovna stuba kojima definiše</w:t>
      </w:r>
      <w:r w:rsidR="00840503" w:rsidRPr="00062473">
        <w:rPr>
          <w:rFonts w:cstheme="minorHAnsi"/>
        </w:rPr>
        <w:t xml:space="preserve"> </w:t>
      </w:r>
      <w:r w:rsidR="00CC7797" w:rsidRPr="00062473">
        <w:rPr>
          <w:rFonts w:cstheme="minorHAnsi"/>
        </w:rPr>
        <w:t>ovo poglavlje: preduzetnička politika, industrijska politika i sektorske politike koje imaju za cilj podizanje konkurentnosti na tržištu. Evropska unija putem mnogobrojnih programa</w:t>
      </w:r>
      <w:r>
        <w:rPr>
          <w:rFonts w:cstheme="minorHAnsi"/>
        </w:rPr>
        <w:t xml:space="preserve"> </w:t>
      </w:r>
      <w:r w:rsidR="00CC7797" w:rsidRPr="00062473">
        <w:rPr>
          <w:rFonts w:cstheme="minorHAnsi"/>
        </w:rPr>
        <w:t>finansijske pomoći za podsticaj preduzetništva, inovacija i industrije ima za cilj promovisanje programa putem kojih će biti olakšan proces pokretanja</w:t>
      </w:r>
      <w:r>
        <w:rPr>
          <w:rFonts w:cstheme="minorHAnsi"/>
        </w:rPr>
        <w:t xml:space="preserve"> </w:t>
      </w:r>
      <w:r w:rsidR="00CC7797" w:rsidRPr="00062473">
        <w:rPr>
          <w:rFonts w:cstheme="minorHAnsi"/>
        </w:rPr>
        <w:t>sopstvenih biznisa i unapređenje poslovanja već postojećih, kao i mogućnosti za otvaranje novih mjesta za zapošljavanje</w:t>
      </w:r>
      <w:r>
        <w:rPr>
          <w:rFonts w:cstheme="minorHAnsi"/>
        </w:rPr>
        <w:t xml:space="preserve"> </w:t>
      </w:r>
      <w:r w:rsidR="00CC7797" w:rsidRPr="00062473">
        <w:rPr>
          <w:rFonts w:cstheme="minorHAnsi"/>
        </w:rPr>
        <w:t>rada, postizanje sigurnih i održivih prihoda, kao i dostojanstvenih uslova rada za žene i muškarce.</w:t>
      </w:r>
    </w:p>
    <w:p w14:paraId="059B8083" w14:textId="2774242E" w:rsidR="006657F2" w:rsidRDefault="006657F2" w:rsidP="00CC7797">
      <w:pPr>
        <w:jc w:val="both"/>
        <w:rPr>
          <w:rFonts w:cstheme="minorHAnsi"/>
        </w:rPr>
      </w:pPr>
      <w:r w:rsidRPr="006657F2">
        <w:rPr>
          <w:rFonts w:cstheme="minorHAnsi"/>
        </w:rPr>
        <w:t xml:space="preserve">Program je usklađen sa </w:t>
      </w:r>
      <w:r w:rsidRPr="006657F2">
        <w:rPr>
          <w:rFonts w:cstheme="minorHAnsi"/>
          <w:b/>
          <w:bCs/>
        </w:rPr>
        <w:t>Odlukom (EU) 2018/646 Evropskog parlamenta i Vijeća</w:t>
      </w:r>
      <w:r>
        <w:rPr>
          <w:rStyle w:val="FootnoteReference"/>
          <w:rFonts w:cstheme="minorHAnsi"/>
          <w:b/>
          <w:bCs/>
        </w:rPr>
        <w:footnoteReference w:id="20"/>
      </w:r>
      <w:r w:rsidRPr="006657F2">
        <w:rPr>
          <w:rFonts w:cstheme="minorHAnsi"/>
        </w:rPr>
        <w:t xml:space="preserve"> od 18. aprila 2018. o zajedničkom okviru za pružanje boljih usluga za vještine i kvalifikacije (Europass)</w:t>
      </w:r>
      <w:r>
        <w:rPr>
          <w:rFonts w:cstheme="minorHAnsi"/>
        </w:rPr>
        <w:t xml:space="preserve">, kojom se </w:t>
      </w:r>
      <w:r w:rsidRPr="006657F2">
        <w:rPr>
          <w:rFonts w:cstheme="minorHAnsi"/>
        </w:rPr>
        <w:t>uspostavlja e</w:t>
      </w:r>
      <w:r>
        <w:rPr>
          <w:rFonts w:cstheme="minorHAnsi"/>
        </w:rPr>
        <w:t>v</w:t>
      </w:r>
      <w:r w:rsidRPr="006657F2">
        <w:rPr>
          <w:rFonts w:cstheme="minorHAnsi"/>
        </w:rPr>
        <w:t xml:space="preserve">ropski okvir za </w:t>
      </w:r>
      <w:r>
        <w:rPr>
          <w:rFonts w:cstheme="minorHAnsi"/>
        </w:rPr>
        <w:t>podršku</w:t>
      </w:r>
      <w:r w:rsidRPr="006657F2">
        <w:rPr>
          <w:rFonts w:cstheme="minorHAnsi"/>
        </w:rPr>
        <w:t xml:space="preserve"> transparentnosti i razumijevanju vještina i kvalifikacija stečenih u formalnom, neformalnom i informalnom okruženju, među ostalim i s pomoću praktičnog iskustva, mobilnosti i volonterskog rada („Europass”).</w:t>
      </w:r>
    </w:p>
    <w:p w14:paraId="19CEDEC0" w14:textId="5F7C31C7" w:rsidR="009425E2" w:rsidRPr="009425E2" w:rsidRDefault="009425E2" w:rsidP="009425E2">
      <w:pPr>
        <w:jc w:val="both"/>
        <w:rPr>
          <w:rFonts w:cstheme="minorHAnsi"/>
          <w:b/>
          <w:bCs/>
        </w:rPr>
      </w:pPr>
      <w:r w:rsidRPr="009425E2">
        <w:rPr>
          <w:rFonts w:cstheme="minorHAnsi"/>
          <w:b/>
          <w:bCs/>
        </w:rPr>
        <w:t>Centralnoevropski program razm</w:t>
      </w:r>
      <w:r>
        <w:rPr>
          <w:rFonts w:cstheme="minorHAnsi"/>
          <w:b/>
          <w:bCs/>
        </w:rPr>
        <w:t>j</w:t>
      </w:r>
      <w:r w:rsidRPr="009425E2">
        <w:rPr>
          <w:rFonts w:cstheme="minorHAnsi"/>
          <w:b/>
          <w:bCs/>
        </w:rPr>
        <w:t>ene za univerzitetske studije</w:t>
      </w:r>
      <w:r>
        <w:rPr>
          <w:rFonts w:cstheme="minorHAnsi"/>
          <w:b/>
          <w:bCs/>
        </w:rPr>
        <w:t>-</w:t>
      </w:r>
      <w:r w:rsidRPr="009425E2">
        <w:rPr>
          <w:rFonts w:cstheme="minorHAnsi"/>
          <w:b/>
          <w:bCs/>
        </w:rPr>
        <w:t>CEEPUS</w:t>
      </w:r>
      <w:r>
        <w:rPr>
          <w:rStyle w:val="FootnoteReference"/>
          <w:rFonts w:cstheme="minorHAnsi"/>
          <w:b/>
          <w:bCs/>
        </w:rPr>
        <w:footnoteReference w:id="21"/>
      </w:r>
    </w:p>
    <w:p w14:paraId="30443DB9" w14:textId="7E846054" w:rsidR="009425E2" w:rsidRPr="009425E2" w:rsidRDefault="009425E2" w:rsidP="009425E2">
      <w:pPr>
        <w:jc w:val="both"/>
        <w:rPr>
          <w:rFonts w:cstheme="minorHAnsi"/>
        </w:rPr>
      </w:pPr>
      <w:r w:rsidRPr="009425E2">
        <w:rPr>
          <w:rFonts w:cstheme="minorHAnsi"/>
        </w:rPr>
        <w:t xml:space="preserve">Cilj sporazuma je postizanje regionalne akademske razmjene i dugoročne akademske saradnje kroz kvalitetne univerzitetske mreže i priznavanje perioda studiranja u inostranstvu, kao i kvalifikacije visokog obrazovanja između univerziteta, te podsticanje razvoja Centralnoevropske dimenzije </w:t>
      </w:r>
      <w:r w:rsidRPr="009425E2">
        <w:rPr>
          <w:rFonts w:cstheme="minorHAnsi"/>
        </w:rPr>
        <w:lastRenderedPageBreak/>
        <w:t>univerzitetskog nastavnog plana i programa. Sporazum se sastoji od 13 članova u kojima se definiše način saradnje između ugovornih strana u oblasti visokog obrazovanja i sa njim povez</w:t>
      </w:r>
      <w:r w:rsidR="00DA5696">
        <w:rPr>
          <w:rFonts w:cstheme="minorHAnsi"/>
        </w:rPr>
        <w:t>a</w:t>
      </w:r>
      <w:r w:rsidRPr="009425E2">
        <w:rPr>
          <w:rFonts w:cstheme="minorHAnsi"/>
        </w:rPr>
        <w:t>nog istraživanja, a naročito među</w:t>
      </w:r>
      <w:r>
        <w:rPr>
          <w:rFonts w:cstheme="minorHAnsi"/>
        </w:rPr>
        <w:t>-</w:t>
      </w:r>
      <w:r w:rsidRPr="009425E2">
        <w:rPr>
          <w:rFonts w:cstheme="minorHAnsi"/>
        </w:rPr>
        <w:t>univerzitetska saradnja i mobilnost i njihova promocija u skladu sa ovim sporazumom. Njime su, takođe, definisana pitanja stipendija, odnosno grantova koji pokrivaju troškove života, labaratorijskih pregleda, smještaja i osnovnog zdravstvenog osiguranja za korisnike ovih stipendija. Definisani su</w:t>
      </w:r>
      <w:r w:rsidR="008515DB">
        <w:rPr>
          <w:rFonts w:cstheme="minorHAnsi"/>
        </w:rPr>
        <w:t xml:space="preserve"> i </w:t>
      </w:r>
      <w:r w:rsidRPr="009425E2">
        <w:rPr>
          <w:rFonts w:cstheme="minorHAnsi"/>
        </w:rPr>
        <w:t>uslovi pod kojima lice može da stekne ovu stipendije, kao i lica koja mogu da budu njeni korisnici. Studijski boravci se odobravaju za redovne semestarske aktivnosti, koji mogu trajati od 3 do 10 mjeseci i za kraće studijske boravke u cilju izrade teze/disertacija ili realizacije zajedničkog projekta, u trajanju od 1 do 3 mjeseca. U okviru formiranih CEEPUS mreža, partnerski univerziteti mogu raditi na razvoju zajedničkih aktivnosti kao što su zajednički razvojni projekti, razvoj zajedničkih studijskih programa i organizovati ljetnje škole i ekskurzije. Crna Gora u programu CEEPUS učestvuje sa 165 mjeseci razmjene.</w:t>
      </w:r>
    </w:p>
    <w:p w14:paraId="4500B11B" w14:textId="77777777" w:rsidR="009425E2" w:rsidRPr="009425E2" w:rsidRDefault="009425E2" w:rsidP="009425E2">
      <w:pPr>
        <w:jc w:val="both"/>
        <w:rPr>
          <w:rFonts w:cstheme="minorHAnsi"/>
          <w:b/>
          <w:bCs/>
        </w:rPr>
      </w:pPr>
      <w:r w:rsidRPr="009425E2">
        <w:rPr>
          <w:rFonts w:cstheme="minorHAnsi"/>
          <w:b/>
          <w:bCs/>
        </w:rPr>
        <w:t>Studije za Visoko obrazovanje</w:t>
      </w:r>
    </w:p>
    <w:p w14:paraId="46973CEA" w14:textId="77D2070B" w:rsidR="009425E2" w:rsidRPr="009425E2" w:rsidRDefault="009425E2" w:rsidP="009425E2">
      <w:pPr>
        <w:jc w:val="both"/>
        <w:rPr>
          <w:rFonts w:cstheme="minorHAnsi"/>
        </w:rPr>
      </w:pPr>
      <w:r w:rsidRPr="009425E2">
        <w:rPr>
          <w:rFonts w:cstheme="minorHAnsi"/>
        </w:rPr>
        <w:t>Prva i osnovna tema koju uređuje Sporazum jeste omogućavanje jednakih uslova za studente iz svih država potpisnica prilikom upisa na visokoobrazovne ustanove. To znači da će studenti iz jedne države moći da konkurišu za upis na javne univerzitete i visoke škole u drugim državama potpisnicama pod istim ili ekvivalentnim uslovima kao i domaći kandidati. Time se smanjuju administrativne prepreke i poboljšava dostupnost visokog obrazovanja u regionu. Dalje, drugo ključno pitanje koje Sporazum reguliše jeste priznavanje srednjoškolskih kvalifikacija u svrhu nastavka obrazovanja. Svaka država potpisnica obavezuje se da će priznavati diplome i kvalifikacije stečene u ostalim državama članicama, osim u slučajevima kada postoje značajne razlike u obrazovnim standardima. Na ovaj način se studentima omogućava lakši prelazak iz jedne obrazovne institucije u drugu, bez dodatnih birokratskih procedura ili dugotrajnih nostrifikacija diploma. Na samom kraju, treća važna oblast koju ovaj međunarodni ugovor uređuje jeste osnivanje Zajedničke komisije za pristup visokom obrazovanju i prijem na studije. Ova komisija ima zadatak da nadgleda sprovođenje Sporazuma, usklađuje zajedničke liste priznatih obrazovnih institucija i razmatra eventualne sporove ili izazove u njegovoj prim</w:t>
      </w:r>
      <w:r w:rsidR="00DA5696">
        <w:rPr>
          <w:rFonts w:cstheme="minorHAnsi"/>
        </w:rPr>
        <w:t>j</w:t>
      </w:r>
      <w:r w:rsidRPr="009425E2">
        <w:rPr>
          <w:rFonts w:cstheme="minorHAnsi"/>
        </w:rPr>
        <w:t>eni. Komisija se sastoji od predstavnika svake države potpisnice i redovno se sastaje kako bi pratila efikasnost prim</w:t>
      </w:r>
      <w:r w:rsidR="00DA5696">
        <w:rPr>
          <w:rFonts w:cstheme="minorHAnsi"/>
        </w:rPr>
        <w:t>j</w:t>
      </w:r>
      <w:r w:rsidRPr="009425E2">
        <w:rPr>
          <w:rFonts w:cstheme="minorHAnsi"/>
        </w:rPr>
        <w:t>ene Sporazuma i predlagala eventualne izm</w:t>
      </w:r>
      <w:r w:rsidR="00DA5696">
        <w:rPr>
          <w:rFonts w:cstheme="minorHAnsi"/>
        </w:rPr>
        <w:t>je</w:t>
      </w:r>
      <w:r w:rsidRPr="009425E2">
        <w:rPr>
          <w:rFonts w:cstheme="minorHAnsi"/>
        </w:rPr>
        <w:t>ne.</w:t>
      </w:r>
    </w:p>
    <w:p w14:paraId="22C3223F" w14:textId="3308AA43" w:rsidR="009425E2" w:rsidRPr="00062473" w:rsidRDefault="009425E2" w:rsidP="009425E2">
      <w:pPr>
        <w:jc w:val="both"/>
        <w:rPr>
          <w:rFonts w:cstheme="minorHAnsi"/>
        </w:rPr>
      </w:pPr>
      <w:r w:rsidRPr="009425E2">
        <w:rPr>
          <w:rFonts w:cstheme="minorHAnsi"/>
        </w:rPr>
        <w:t>Pored ovih osnovnih oblasti, Sporazum se bavi i dodatnim aspektima, kao što su transparentnost prijemnih procedura, obaveza država da obezbijede informacije o dostupnim programima studiranja, kao i mogućnost daljeg razvoja zajedničkih studijskih programa između visokoškolskih ustanova iz različitih država potpisnica.</w:t>
      </w:r>
    </w:p>
    <w:p w14:paraId="2BC6C97E" w14:textId="46FC69BB" w:rsidR="00A1625D" w:rsidRPr="0036318D" w:rsidRDefault="00A1625D" w:rsidP="0036318D">
      <w:pPr>
        <w:pStyle w:val="Heading2"/>
      </w:pPr>
      <w:bookmarkStart w:id="4" w:name="_Toc197274068"/>
      <w:r w:rsidRPr="0036318D">
        <w:t>KARIJERNO VOĐENJE I SAVJETOVANJE I RODNA RAVNOPRAVNOST</w:t>
      </w:r>
      <w:bookmarkEnd w:id="4"/>
    </w:p>
    <w:p w14:paraId="7BDB525A" w14:textId="2634E5AC" w:rsidR="00277537" w:rsidRPr="00062473" w:rsidRDefault="00277537" w:rsidP="003E6627">
      <w:pPr>
        <w:jc w:val="both"/>
        <w:rPr>
          <w:rFonts w:cstheme="minorHAnsi"/>
        </w:rPr>
      </w:pPr>
      <w:r w:rsidRPr="00062473">
        <w:rPr>
          <w:rFonts w:cstheme="minorHAnsi"/>
        </w:rPr>
        <w:t xml:space="preserve">Stalna diskriminacija i nepovoljan položaj žena na tržištu rada u odnosu na muškarce je jedan od prepoznatih problema u okviru šireg spektra povezanih javnih politika. Jedan od osnovnih uzroka ove nejednakosti je profesionalna segregacija. U poređenju sa muškarcima, žene su koncentrisane u uskom rasponu oblasti zanimanja (kao što su zdravstvo, obrazovanje, neformalna ekonomija, briga o porodici djeci, ugostiteljstvo, maloprodaja i higijeničarski poslovi, itd.). Ova zanimanja često karakterišu niska zarada i veoma često nesigurnu uslovi rada. Pored toga, žene su takođe tipično segregirane na uski raspon profesionalnih uloga na tržištu rada. Posebna neravnoteža postoji u liderskim ulogama, sa muškarcima </w:t>
      </w:r>
      <w:r w:rsidRPr="00062473">
        <w:rPr>
          <w:rFonts w:cstheme="minorHAnsi"/>
        </w:rPr>
        <w:lastRenderedPageBreak/>
        <w:t xml:space="preserve">koji imaju tendenciju da dominiraju liderskim/upravljačkim ulogama, dok su žene primarno koncentrisane na neupravljačkim ulogama. </w:t>
      </w:r>
      <w:r w:rsidR="003E6627" w:rsidRPr="00062473">
        <w:rPr>
          <w:rFonts w:cstheme="minorHAnsi"/>
        </w:rPr>
        <w:t>Očigledno je da rod igra značajnu ulogu u oblikovanju individualnih izbora karijere, iskustva i potrebe za savjetovanjem. Društvena očekivanja, uticaj porodice, rodna pristrasnost i diskriminacija su ključni faktori koji mogu uticati na razvoj karijere. Pored toga, rodno specifični izazovi kao što su prijetnja stereotipa, pitanja samopouzdanja i briga o ravnoteži između poslovnog i privatnog života zahtjevaju pažnju u intervencijama karijernog savjetovanja.</w:t>
      </w:r>
    </w:p>
    <w:p w14:paraId="27F32E9F" w14:textId="5748A273" w:rsidR="00277537" w:rsidRPr="00062473" w:rsidRDefault="00277537" w:rsidP="00277537">
      <w:pPr>
        <w:jc w:val="both"/>
        <w:rPr>
          <w:rFonts w:cstheme="minorHAnsi"/>
        </w:rPr>
      </w:pPr>
      <w:r w:rsidRPr="00062473">
        <w:rPr>
          <w:rFonts w:cstheme="minorHAnsi"/>
        </w:rPr>
        <w:t>Rodni stereotipi su široko rasprostranjeno uvjerenje ili generalizacija o ponašanju, karakteristikama i ulogama koje obavljaju muškarci i žene. Ova uvjerenja mogu postaviti ograničenja na prihvatljive izbore i postupke mladih ljudi i mogu uticati na samopercepciju, dobrobit, stavove i učešće u širokom spektru društvenih interakcija. Mladi ljudi od ranog djetinjstva upijaju društvene stereotipe o odgovarajućim poslovima za muškarce i žene. Istraživanja pokazuju da više od polovine mladih žena smatra da su njihove mogućnosti za karijeru ograničene njihovim polom. Karijerno vođenje, bez rodnih pristrasnosti, je jedan od načina na koji škole mogu da počnu da se bave ovim stavovima i prevaziđu barijere koje proizilaze iz nesvjesne pristrasnosti.</w:t>
      </w:r>
    </w:p>
    <w:p w14:paraId="37506134" w14:textId="0D767C7E" w:rsidR="00277537" w:rsidRPr="00062473" w:rsidRDefault="00277537" w:rsidP="00277537">
      <w:pPr>
        <w:jc w:val="both"/>
        <w:rPr>
          <w:rFonts w:cstheme="minorHAnsi"/>
        </w:rPr>
      </w:pPr>
      <w:r w:rsidRPr="00062473">
        <w:rPr>
          <w:rFonts w:cstheme="minorHAnsi"/>
        </w:rPr>
        <w:t xml:space="preserve">U tom pogledu, svaka škola i univerzitet treba da imaju ugrađen program obrazovanja i usmjeravanja u karijeri koji znaju i razumiju učenici, roditelji, nastavnici i poslodavci. </w:t>
      </w:r>
      <w:r w:rsidR="00FC28DD">
        <w:rPr>
          <w:rFonts w:cstheme="minorHAnsi"/>
        </w:rPr>
        <w:t>U narednom periodu sprovođenja javne politike</w:t>
      </w:r>
      <w:r w:rsidR="00FD0B99">
        <w:rPr>
          <w:rFonts w:cstheme="minorHAnsi"/>
        </w:rPr>
        <w:t xml:space="preserve"> akcenat je stavljen n</w:t>
      </w:r>
      <w:r w:rsidR="00C76879">
        <w:rPr>
          <w:rFonts w:cstheme="minorHAnsi"/>
        </w:rPr>
        <w:t>a razvoju.</w:t>
      </w:r>
    </w:p>
    <w:p w14:paraId="1FDA8255" w14:textId="4C118974" w:rsidR="00277537" w:rsidRPr="00062473" w:rsidRDefault="00277537" w:rsidP="00277537">
      <w:pPr>
        <w:pStyle w:val="ListParagraph"/>
        <w:numPr>
          <w:ilvl w:val="0"/>
          <w:numId w:val="16"/>
        </w:numPr>
        <w:jc w:val="both"/>
        <w:rPr>
          <w:rFonts w:cstheme="minorHAnsi"/>
        </w:rPr>
      </w:pPr>
      <w:r w:rsidRPr="00062473">
        <w:rPr>
          <w:rFonts w:cstheme="minorHAnsi"/>
        </w:rPr>
        <w:t>Programa koji informiše učenike</w:t>
      </w:r>
      <w:r w:rsidR="003E6627" w:rsidRPr="00062473">
        <w:rPr>
          <w:rFonts w:cstheme="minorHAnsi"/>
        </w:rPr>
        <w:t>/ce</w:t>
      </w:r>
      <w:r w:rsidRPr="00062473">
        <w:rPr>
          <w:rFonts w:cstheme="minorHAnsi"/>
        </w:rPr>
        <w:t>, roditelje i osoblje (u više navrata) o potencijalnom uticaju rodne pristrasnosti, navodeći odgovarajuće strategije za rješavanje ovog problema, uključujući i razvoj savjetodavnih vodiča.</w:t>
      </w:r>
    </w:p>
    <w:p w14:paraId="1C926305" w14:textId="06CA192A" w:rsidR="00277537" w:rsidRPr="00062473" w:rsidRDefault="008746B3" w:rsidP="00277537">
      <w:pPr>
        <w:pStyle w:val="ListParagraph"/>
        <w:numPr>
          <w:ilvl w:val="0"/>
          <w:numId w:val="16"/>
        </w:numPr>
        <w:jc w:val="both"/>
        <w:rPr>
          <w:rFonts w:cstheme="minorHAnsi"/>
        </w:rPr>
      </w:pPr>
      <w:r>
        <w:rPr>
          <w:rFonts w:cstheme="minorHAnsi"/>
        </w:rPr>
        <w:t>Prikupljanje i p</w:t>
      </w:r>
      <w:r w:rsidR="00277537" w:rsidRPr="00062473">
        <w:rPr>
          <w:rFonts w:cstheme="minorHAnsi"/>
        </w:rPr>
        <w:t>regled podataka iz cjelokupnog obrazovnog sistema, u cilju identifikacije rodne neravnoteže</w:t>
      </w:r>
      <w:r>
        <w:rPr>
          <w:rFonts w:cstheme="minorHAnsi"/>
        </w:rPr>
        <w:t xml:space="preserve"> u različitim karijernim oblastima.</w:t>
      </w:r>
    </w:p>
    <w:p w14:paraId="47BEDA2E" w14:textId="77777777" w:rsidR="00D27CF6" w:rsidRPr="00062473" w:rsidRDefault="00277537" w:rsidP="003E6627">
      <w:pPr>
        <w:pStyle w:val="ListParagraph"/>
        <w:numPr>
          <w:ilvl w:val="0"/>
          <w:numId w:val="16"/>
        </w:numPr>
        <w:jc w:val="both"/>
        <w:rPr>
          <w:rFonts w:cstheme="minorHAnsi"/>
        </w:rPr>
      </w:pPr>
      <w:r w:rsidRPr="00062473">
        <w:rPr>
          <w:rFonts w:cstheme="minorHAnsi"/>
        </w:rPr>
        <w:t>Svaki učenik</w:t>
      </w:r>
      <w:r w:rsidR="003E6627" w:rsidRPr="00062473">
        <w:rPr>
          <w:rFonts w:cstheme="minorHAnsi"/>
        </w:rPr>
        <w:t>/ca</w:t>
      </w:r>
      <w:r w:rsidRPr="00062473">
        <w:rPr>
          <w:rFonts w:cstheme="minorHAnsi"/>
        </w:rPr>
        <w:t xml:space="preserve"> i njihovi roditelji treba da imaju pristup kvalitetnim informacijama o budućim mogućnostima studiranja i mogućnostima na tržištu rada. Biće im potrebna podrška informisanog sav</w:t>
      </w:r>
      <w:r w:rsidR="003E6627" w:rsidRPr="00062473">
        <w:rPr>
          <w:rFonts w:cstheme="minorHAnsi"/>
        </w:rPr>
        <w:t>j</w:t>
      </w:r>
      <w:r w:rsidRPr="00062473">
        <w:rPr>
          <w:rFonts w:cstheme="minorHAnsi"/>
        </w:rPr>
        <w:t>etnika kako bi na najbolji način iskoristili dostupne informacije</w:t>
      </w:r>
      <w:r w:rsidR="003E6627" w:rsidRPr="00062473">
        <w:rPr>
          <w:rFonts w:cstheme="minorHAnsi"/>
        </w:rPr>
        <w:t xml:space="preserve"> prilagođene potrebama i talentima muškarca i žena.</w:t>
      </w:r>
    </w:p>
    <w:p w14:paraId="6ECE2016" w14:textId="67B9249F" w:rsidR="00D27CF6" w:rsidRPr="00062473" w:rsidRDefault="003E6627" w:rsidP="003E6627">
      <w:pPr>
        <w:pStyle w:val="ListParagraph"/>
        <w:numPr>
          <w:ilvl w:val="0"/>
          <w:numId w:val="16"/>
        </w:numPr>
        <w:jc w:val="both"/>
        <w:rPr>
          <w:rFonts w:cstheme="minorHAnsi"/>
        </w:rPr>
      </w:pPr>
      <w:r w:rsidRPr="00062473">
        <w:rPr>
          <w:rFonts w:cstheme="minorHAnsi"/>
        </w:rPr>
        <w:t xml:space="preserve">Inkluzivni nastavni plan i program: Integrisati teme o rodnoj ravnopravnosti i različitosti u nastavni plan i program za sve predmete. </w:t>
      </w:r>
      <w:r w:rsidR="008746B3">
        <w:rPr>
          <w:rFonts w:cstheme="minorHAnsi"/>
        </w:rPr>
        <w:t>Isticanje</w:t>
      </w:r>
      <w:r w:rsidRPr="00062473">
        <w:rPr>
          <w:rFonts w:cstheme="minorHAnsi"/>
        </w:rPr>
        <w:t xml:space="preserve"> doprinos</w:t>
      </w:r>
      <w:r w:rsidR="008746B3">
        <w:rPr>
          <w:rFonts w:cstheme="minorHAnsi"/>
        </w:rPr>
        <w:t>a</w:t>
      </w:r>
      <w:r w:rsidRPr="00062473">
        <w:rPr>
          <w:rFonts w:cstheme="minorHAnsi"/>
        </w:rPr>
        <w:t xml:space="preserve"> različitih pojedinaca u različitim oblastima, sa akcentom na važnost i i značaj inkluzivnosti žena i mu</w:t>
      </w:r>
      <w:r w:rsidR="00D27CF6" w:rsidRPr="00062473">
        <w:rPr>
          <w:rFonts w:cstheme="minorHAnsi"/>
        </w:rPr>
        <w:t>š</w:t>
      </w:r>
      <w:r w:rsidRPr="00062473">
        <w:rPr>
          <w:rFonts w:cstheme="minorHAnsi"/>
        </w:rPr>
        <w:t>kar</w:t>
      </w:r>
      <w:r w:rsidR="00D27CF6" w:rsidRPr="00062473">
        <w:rPr>
          <w:rFonts w:cstheme="minorHAnsi"/>
        </w:rPr>
        <w:t>a</w:t>
      </w:r>
      <w:r w:rsidRPr="00062473">
        <w:rPr>
          <w:rFonts w:cstheme="minorHAnsi"/>
        </w:rPr>
        <w:t>ca.</w:t>
      </w:r>
    </w:p>
    <w:p w14:paraId="05D2D857" w14:textId="77777777" w:rsidR="00D27CF6" w:rsidRPr="00062473" w:rsidRDefault="003E6627" w:rsidP="003E6627">
      <w:pPr>
        <w:pStyle w:val="ListParagraph"/>
        <w:numPr>
          <w:ilvl w:val="0"/>
          <w:numId w:val="16"/>
        </w:numPr>
        <w:jc w:val="both"/>
        <w:rPr>
          <w:rFonts w:cstheme="minorHAnsi"/>
        </w:rPr>
      </w:pPr>
      <w:r w:rsidRPr="00062473">
        <w:rPr>
          <w:rFonts w:cstheme="minorHAnsi"/>
        </w:rPr>
        <w:t xml:space="preserve">Uzori i mentori: Učenici i studenti moraju imati priliku da upoznaju mentore i uzore koji će im predstaviti ključne karijerama. </w:t>
      </w:r>
      <w:r w:rsidR="00D27CF6" w:rsidRPr="00062473">
        <w:rPr>
          <w:rFonts w:cstheme="minorHAnsi"/>
        </w:rPr>
        <w:t>Posebno je potrebno istaći</w:t>
      </w:r>
      <w:r w:rsidRPr="00062473">
        <w:rPr>
          <w:rFonts w:cstheme="minorHAnsi"/>
        </w:rPr>
        <w:t xml:space="preserve"> usp</w:t>
      </w:r>
      <w:r w:rsidR="00D27CF6" w:rsidRPr="00062473">
        <w:rPr>
          <w:rFonts w:cstheme="minorHAnsi"/>
        </w:rPr>
        <w:t>j</w:t>
      </w:r>
      <w:r w:rsidRPr="00062473">
        <w:rPr>
          <w:rFonts w:cstheme="minorHAnsi"/>
        </w:rPr>
        <w:t>ešne profesionalce iz nedovoljno zastupljenih grupa</w:t>
      </w:r>
      <w:r w:rsidR="00D27CF6" w:rsidRPr="00062473">
        <w:rPr>
          <w:rFonts w:cstheme="minorHAnsi"/>
        </w:rPr>
        <w:t>, u cilju inspirisanja studenata i učenika.</w:t>
      </w:r>
    </w:p>
    <w:p w14:paraId="0EBB679B" w14:textId="77777777" w:rsidR="00D27CF6" w:rsidRPr="00062473" w:rsidRDefault="003E6627" w:rsidP="003E6627">
      <w:pPr>
        <w:pStyle w:val="ListParagraph"/>
        <w:numPr>
          <w:ilvl w:val="0"/>
          <w:numId w:val="16"/>
        </w:numPr>
        <w:jc w:val="both"/>
        <w:rPr>
          <w:rFonts w:cstheme="minorHAnsi"/>
        </w:rPr>
      </w:pPr>
      <w:r w:rsidRPr="00062473">
        <w:rPr>
          <w:rFonts w:cstheme="minorHAnsi"/>
        </w:rPr>
        <w:t>Radionice i aktivnosti: Organizacija radionica i aktivnosti koje promovišu rodnu ravnopravnost i različitost, sa fokusom na netradicionalne puteve karijere.</w:t>
      </w:r>
    </w:p>
    <w:p w14:paraId="5C9FFD15" w14:textId="77777777" w:rsidR="00D27CF6" w:rsidRPr="00062473" w:rsidRDefault="003E6627" w:rsidP="003E6627">
      <w:pPr>
        <w:pStyle w:val="ListParagraph"/>
        <w:numPr>
          <w:ilvl w:val="0"/>
          <w:numId w:val="16"/>
        </w:numPr>
        <w:jc w:val="both"/>
        <w:rPr>
          <w:rFonts w:cstheme="minorHAnsi"/>
        </w:rPr>
      </w:pPr>
      <w:r w:rsidRPr="00062473">
        <w:rPr>
          <w:rFonts w:cstheme="minorHAnsi"/>
        </w:rPr>
        <w:t>Karijerno vođenje i sav</w:t>
      </w:r>
      <w:r w:rsidR="00D27CF6" w:rsidRPr="00062473">
        <w:rPr>
          <w:rFonts w:cstheme="minorHAnsi"/>
        </w:rPr>
        <w:t>j</w:t>
      </w:r>
      <w:r w:rsidRPr="00062473">
        <w:rPr>
          <w:rFonts w:cstheme="minorHAnsi"/>
        </w:rPr>
        <w:t>etovanje: Obezb</w:t>
      </w:r>
      <w:r w:rsidR="00D27CF6" w:rsidRPr="00062473">
        <w:rPr>
          <w:rFonts w:cstheme="minorHAnsi"/>
        </w:rPr>
        <w:t>ij</w:t>
      </w:r>
      <w:r w:rsidRPr="00062473">
        <w:rPr>
          <w:rFonts w:cstheme="minorHAnsi"/>
        </w:rPr>
        <w:t>edit</w:t>
      </w:r>
      <w:r w:rsidR="00D27CF6" w:rsidRPr="00062473">
        <w:rPr>
          <w:rFonts w:cstheme="minorHAnsi"/>
        </w:rPr>
        <w:t>i</w:t>
      </w:r>
      <w:r w:rsidRPr="00062473">
        <w:rPr>
          <w:rFonts w:cstheme="minorHAnsi"/>
        </w:rPr>
        <w:t xml:space="preserve"> personalizovano vođenje karijere koje podstiče učenike</w:t>
      </w:r>
      <w:r w:rsidR="00D27CF6" w:rsidRPr="00062473">
        <w:rPr>
          <w:rFonts w:cstheme="minorHAnsi"/>
        </w:rPr>
        <w:t xml:space="preserve"> i studente</w:t>
      </w:r>
      <w:r w:rsidRPr="00062473">
        <w:rPr>
          <w:rFonts w:cstheme="minorHAnsi"/>
        </w:rPr>
        <w:t xml:space="preserve"> da sl</w:t>
      </w:r>
      <w:r w:rsidR="00D27CF6" w:rsidRPr="00062473">
        <w:rPr>
          <w:rFonts w:cstheme="minorHAnsi"/>
        </w:rPr>
        <w:t>ij</w:t>
      </w:r>
      <w:r w:rsidRPr="00062473">
        <w:rPr>
          <w:rFonts w:cstheme="minorHAnsi"/>
        </w:rPr>
        <w:t xml:space="preserve">ede svoja interesovanja i talente, bez obzira na pol. </w:t>
      </w:r>
      <w:r w:rsidR="00D27CF6" w:rsidRPr="00062473">
        <w:rPr>
          <w:rFonts w:cstheme="minorHAnsi"/>
        </w:rPr>
        <w:t>Primarni akcenat je na resursima</w:t>
      </w:r>
      <w:r w:rsidRPr="00062473">
        <w:rPr>
          <w:rFonts w:cstheme="minorHAnsi"/>
        </w:rPr>
        <w:t xml:space="preserve"> koji izazivaju stereotipe i promovišu širok spektar opcija za karijeru.</w:t>
      </w:r>
    </w:p>
    <w:p w14:paraId="5BAEE06A" w14:textId="00D585E2" w:rsidR="003E6627" w:rsidRDefault="003E6627" w:rsidP="003E6627">
      <w:pPr>
        <w:pStyle w:val="ListParagraph"/>
        <w:numPr>
          <w:ilvl w:val="0"/>
          <w:numId w:val="16"/>
        </w:numPr>
        <w:jc w:val="both"/>
        <w:rPr>
          <w:rFonts w:cstheme="minorHAnsi"/>
        </w:rPr>
      </w:pPr>
      <w:r w:rsidRPr="00062473">
        <w:rPr>
          <w:rFonts w:cstheme="minorHAnsi"/>
        </w:rPr>
        <w:lastRenderedPageBreak/>
        <w:t>Školske politike i prakse: Sprovoditi školske politike i prakse koje promovišu rodnu ravnopravnost i različitost. Ovo uključuje stvaranje okruženja podrške za sve učenike</w:t>
      </w:r>
      <w:r w:rsidR="00D27CF6" w:rsidRPr="00062473">
        <w:rPr>
          <w:rFonts w:cstheme="minorHAnsi"/>
        </w:rPr>
        <w:t>/ce</w:t>
      </w:r>
      <w:r w:rsidRPr="00062473">
        <w:rPr>
          <w:rFonts w:cstheme="minorHAnsi"/>
        </w:rPr>
        <w:t xml:space="preserve"> i r</w:t>
      </w:r>
      <w:r w:rsidR="00D27CF6" w:rsidRPr="00062473">
        <w:rPr>
          <w:rFonts w:cstheme="minorHAnsi"/>
        </w:rPr>
        <w:t>j</w:t>
      </w:r>
      <w:r w:rsidRPr="00062473">
        <w:rPr>
          <w:rFonts w:cstheme="minorHAnsi"/>
        </w:rPr>
        <w:t>ešavanje svih slučajeva diskriminacije ili pristrasnosti.</w:t>
      </w:r>
    </w:p>
    <w:p w14:paraId="1A7DF217" w14:textId="1E480AF8" w:rsidR="00E20020" w:rsidRPr="0036318D" w:rsidRDefault="00E20020" w:rsidP="0036318D">
      <w:pPr>
        <w:pStyle w:val="Heading2"/>
      </w:pPr>
      <w:bookmarkStart w:id="5" w:name="_Toc197274069"/>
      <w:r w:rsidRPr="0036318D">
        <w:t>UTICAJ NA ŽIVOTNU SREDINU</w:t>
      </w:r>
      <w:bookmarkEnd w:id="5"/>
    </w:p>
    <w:p w14:paraId="759A780E" w14:textId="1ADD1B19" w:rsidR="00E20020" w:rsidRDefault="00E20020" w:rsidP="00E20020">
      <w:pPr>
        <w:jc w:val="both"/>
      </w:pPr>
      <w:r>
        <w:t xml:space="preserve">Naredni period društvenog razvoja će biti obilježen izazovima zelene tranzicije, koji će u značajnoj mjeri preoblikovati tržište rada. Ova promjena predstavlja i ekonomske i redistributivne izazove, sa posebnom akcentom za mlade ljude koji ulaze na tržište rada. Obrazovanje igra ključnu ulogu u pripremi učenika sa znanjem, vještinama, stavovima i vrijednostima potrebnim za zelene karijere. Međutim, postoji pitanje u tome koliko dobro </w:t>
      </w:r>
      <w:r w:rsidR="00A40B21">
        <w:t>obrazovne institucije</w:t>
      </w:r>
      <w:r>
        <w:t xml:space="preserve"> u Crnoj Gori pripremaju učenike za ove karijerne mogućnosti. Efikasni sistemi karijernog vođenja su od suštinskog značaja da služe kao most između interesovanja učenika i zahtjeva tržišta rada. </w:t>
      </w:r>
    </w:p>
    <w:p w14:paraId="4CD98E68" w14:textId="3725022C" w:rsidR="00E20020" w:rsidRPr="00E20020" w:rsidRDefault="00E20020" w:rsidP="00E20020">
      <w:pPr>
        <w:jc w:val="both"/>
      </w:pPr>
      <w:r>
        <w:t xml:space="preserve">Da bi odgovor na klimatske promjene bio efikasan, može se očekivati značajna promjena u karakteru poslova i dostupnosti mogućnosti na tržištu rada. Poslodavci već pokazuju značajnu zabrinutost da neće pronaći radnike sa interesovanjem, vještinama i znanjem potrebnim za rješavanje ekoloških izazova, uprkos tome što mnogi mladi ljudi izražavaju veliko interesovanje za rad u zelenim zanimanjima. Sistemi karijernog vođenja imaju ključnu ulogu u omogućavanju učenicima da razumiju zelene poslove i napreduju ka njima. Uloga usmjeravanja je posebno važna, jer brz tempo promjena na tržištu rada otežava </w:t>
      </w:r>
      <w:r w:rsidR="00A40B21">
        <w:t>mladim ljudima</w:t>
      </w:r>
      <w:r>
        <w:t xml:space="preserve"> pristup savjetima i smjernicama o takvim profesijama kroz njihove neformalne mreže. Nadovezujući se na temeljnu ekološku pismenost, </w:t>
      </w:r>
      <w:r w:rsidR="00A40B21">
        <w:t>obrazovne institucije</w:t>
      </w:r>
      <w:r>
        <w:t xml:space="preserve"> mogu pomoći učenicima da uspostave veze između akademskih znanja i stvarnog svijeta. Oni mogu olakšati učenicima da shvate opseg zelenih poslova, šta imaju da ponude i šta treba da urade u okviru obrazovanja kako bi se pripremili za ulazak na zeleno tržište rada. Kako učenici/studenti budu stariji, obrazovne mogu da obezbijede sredstva koja će pomoći njima da napreduju ka poželjnom zaposlenju, izgrađujući društveni kapital kroz redovne angažmane sa ljudima koji rade u relevantnim profesijama</w:t>
      </w:r>
      <w:r w:rsidR="00A40B21">
        <w:t>, kao i kroz</w:t>
      </w:r>
      <w:r>
        <w:t xml:space="preserve"> </w:t>
      </w:r>
      <w:r w:rsidR="00A40B21">
        <w:t>širenje i razmjenu</w:t>
      </w:r>
      <w:r>
        <w:t xml:space="preserve"> iskustava zasnovanih na radu. Na ovaj način, od učenika</w:t>
      </w:r>
      <w:r w:rsidR="00A40B21">
        <w:t>/studenata</w:t>
      </w:r>
      <w:r>
        <w:t xml:space="preserve"> se može očekivati da izgrade samouv</w:t>
      </w:r>
      <w:r w:rsidR="00A40B21">
        <w:t>j</w:t>
      </w:r>
      <w:r>
        <w:t>erenije i informisanije os</w:t>
      </w:r>
      <w:r w:rsidR="00A40B21">
        <w:t>j</w:t>
      </w:r>
      <w:r>
        <w:t>ećanje lične aktivnosti, izgrađujući svoje razum</w:t>
      </w:r>
      <w:r w:rsidR="00A40B21">
        <w:t>ij</w:t>
      </w:r>
      <w:r>
        <w:t>evanje</w:t>
      </w:r>
      <w:r w:rsidR="00A40B21">
        <w:t xml:space="preserve"> zelenih politika i za njih vezanih radnih karijera i profesija.</w:t>
      </w:r>
      <w:r>
        <w:t xml:space="preserve"> </w:t>
      </w:r>
    </w:p>
    <w:p w14:paraId="7C9C6DE5" w14:textId="1813DD89" w:rsidR="00257DCB" w:rsidRPr="0036318D" w:rsidRDefault="00257DCB" w:rsidP="0036318D">
      <w:pPr>
        <w:pStyle w:val="Heading1"/>
      </w:pPr>
      <w:bookmarkStart w:id="6" w:name="_Toc197274070"/>
      <w:r w:rsidRPr="0036318D">
        <w:t>ANALIZA STANJA</w:t>
      </w:r>
      <w:bookmarkEnd w:id="6"/>
    </w:p>
    <w:p w14:paraId="6EE551F9" w14:textId="50894370" w:rsidR="006657F2" w:rsidRPr="006657F2" w:rsidRDefault="006657F2" w:rsidP="006657F2">
      <w:pPr>
        <w:jc w:val="both"/>
        <w:rPr>
          <w:rFonts w:cstheme="minorHAnsi"/>
        </w:rPr>
      </w:pPr>
      <w:r w:rsidRPr="006657F2">
        <w:rPr>
          <w:rFonts w:cstheme="minorHAnsi"/>
        </w:rPr>
        <w:t xml:space="preserve">Sistem karijernog vođenja i savjetovanja u Crnoj Gori </w:t>
      </w:r>
      <w:r>
        <w:rPr>
          <w:rFonts w:cstheme="minorHAnsi"/>
        </w:rPr>
        <w:t>stavlja</w:t>
      </w:r>
      <w:r w:rsidRPr="006657F2">
        <w:rPr>
          <w:rFonts w:cstheme="minorHAnsi"/>
        </w:rPr>
        <w:t xml:space="preserve"> </w:t>
      </w:r>
      <w:r>
        <w:rPr>
          <w:rFonts w:cstheme="minorHAnsi"/>
        </w:rPr>
        <w:t xml:space="preserve">primarni </w:t>
      </w:r>
      <w:r w:rsidRPr="006657F2">
        <w:rPr>
          <w:rFonts w:cstheme="minorHAnsi"/>
        </w:rPr>
        <w:t xml:space="preserve">fokus </w:t>
      </w:r>
      <w:r>
        <w:rPr>
          <w:rFonts w:cstheme="minorHAnsi"/>
        </w:rPr>
        <w:t>na nezaposlena lica</w:t>
      </w:r>
      <w:r w:rsidRPr="006657F2">
        <w:rPr>
          <w:rFonts w:cstheme="minorHAnsi"/>
        </w:rPr>
        <w:t>, a od relativno nedavno</w:t>
      </w:r>
      <w:r>
        <w:rPr>
          <w:rFonts w:cstheme="minorHAnsi"/>
        </w:rPr>
        <w:t xml:space="preserve"> sastavni dio ove javne politike su i učenici i studenti iz cjelokupnog obrazovnog sistema</w:t>
      </w:r>
      <w:r w:rsidRPr="006657F2">
        <w:rPr>
          <w:rFonts w:cstheme="minorHAnsi"/>
        </w:rPr>
        <w:t xml:space="preserve">. </w:t>
      </w:r>
      <w:r>
        <w:rPr>
          <w:rFonts w:cstheme="minorHAnsi"/>
        </w:rPr>
        <w:t>Analiza koju je sprovela Evropska trening fondacija (ETF) iz 2022. godine,</w:t>
      </w:r>
      <w:r w:rsidR="00DA5696">
        <w:rPr>
          <w:rStyle w:val="FootnoteReference"/>
          <w:rFonts w:cstheme="minorHAnsi"/>
        </w:rPr>
        <w:footnoteReference w:id="22"/>
      </w:r>
      <w:r>
        <w:rPr>
          <w:rFonts w:cstheme="minorHAnsi"/>
        </w:rPr>
        <w:t xml:space="preserve"> pokazuje da se sistem karijernog vođenja i savjetovanja u Crnoj Gori </w:t>
      </w:r>
      <w:r w:rsidR="00262A40">
        <w:rPr>
          <w:rFonts w:cstheme="minorHAnsi"/>
        </w:rPr>
        <w:t xml:space="preserve">svodi na </w:t>
      </w:r>
      <w:r w:rsidRPr="006657F2">
        <w:rPr>
          <w:rFonts w:cstheme="minorHAnsi"/>
        </w:rPr>
        <w:t>na pružanje informacija korisnicima, a manje na istinsko karijerno usmjeravanje i savjetovanje. S obzirom na nepovoljnu situaciju na tržištu rada u Crnoj Gori i činjenicu da postojeći obrazovni sistem često ne zadovoljava potrebe tržišta rada, KVS je potrebno dalje razvijati i na taj način pomoći pojedincima da donose informisane odluke o svom obrazovanju i karijeri. Naravno, to se može postići samo ukoliko postoji izvrsna saradnja i koordinacija svih uključenih aktera.</w:t>
      </w:r>
    </w:p>
    <w:p w14:paraId="46D35B3C" w14:textId="42A5AFED" w:rsidR="00262A40" w:rsidRDefault="006657F2" w:rsidP="006657F2">
      <w:pPr>
        <w:jc w:val="both"/>
        <w:rPr>
          <w:rFonts w:cstheme="minorHAnsi"/>
        </w:rPr>
      </w:pPr>
      <w:r w:rsidRPr="006657F2">
        <w:rPr>
          <w:rFonts w:cstheme="minorHAnsi"/>
        </w:rPr>
        <w:lastRenderedPageBreak/>
        <w:t xml:space="preserve">Svakako da je najbolji mogući način podučavati pojedince od najranije dobi o sebi, karijeri, tržištu rada, i tako ih istinski voditi i savjetovati tokom školovanja, a onda će biti puno lakše nastaviti to raditi i kada odrastu i započnu svoj profesionalni život. Budući da živimo u okruženju </w:t>
      </w:r>
      <w:r w:rsidR="00B84D27">
        <w:rPr>
          <w:rFonts w:cstheme="minorHAnsi"/>
        </w:rPr>
        <w:t>u kojem se promjene dešavaju brzo</w:t>
      </w:r>
      <w:r w:rsidRPr="006657F2">
        <w:rPr>
          <w:rFonts w:cstheme="minorHAnsi"/>
        </w:rPr>
        <w:t xml:space="preserve">, </w:t>
      </w:r>
      <w:r w:rsidR="00E77530">
        <w:rPr>
          <w:rFonts w:cstheme="minorHAnsi"/>
        </w:rPr>
        <w:t xml:space="preserve">potrebno je </w:t>
      </w:r>
      <w:r w:rsidR="00AA3E85">
        <w:rPr>
          <w:rFonts w:cstheme="minorHAnsi"/>
        </w:rPr>
        <w:t>koristiti sve dostupne inovativne tehnologije u cilju omoguć</w:t>
      </w:r>
      <w:r w:rsidR="00071E4E">
        <w:rPr>
          <w:rFonts w:cstheme="minorHAnsi"/>
        </w:rPr>
        <w:t>a</w:t>
      </w:r>
      <w:r w:rsidR="00AA3E85">
        <w:rPr>
          <w:rFonts w:cstheme="minorHAnsi"/>
        </w:rPr>
        <w:t xml:space="preserve">vanja </w:t>
      </w:r>
      <w:r w:rsidRPr="006657F2">
        <w:rPr>
          <w:rFonts w:cstheme="minorHAnsi"/>
        </w:rPr>
        <w:t>dostupnost</w:t>
      </w:r>
      <w:r w:rsidR="00071E4E">
        <w:rPr>
          <w:rFonts w:cstheme="minorHAnsi"/>
        </w:rPr>
        <w:t>i</w:t>
      </w:r>
      <w:r w:rsidRPr="006657F2">
        <w:rPr>
          <w:rFonts w:cstheme="minorHAnsi"/>
        </w:rPr>
        <w:t xml:space="preserve"> KVS-a svim</w:t>
      </w:r>
      <w:r w:rsidR="00071E4E">
        <w:rPr>
          <w:rFonts w:cstheme="minorHAnsi"/>
        </w:rPr>
        <w:t xml:space="preserve"> zainteresovanim korisnicima</w:t>
      </w:r>
      <w:r w:rsidRPr="006657F2">
        <w:rPr>
          <w:rFonts w:cstheme="minorHAnsi"/>
        </w:rPr>
        <w:t xml:space="preserve">. Usluge KVS-a moraju biti savremene, modernizovane i prilagođene individualnim potrebama </w:t>
      </w:r>
      <w:r w:rsidR="001E397D">
        <w:rPr>
          <w:rFonts w:cstheme="minorHAnsi"/>
        </w:rPr>
        <w:t>korisnika</w:t>
      </w:r>
      <w:r w:rsidRPr="006657F2">
        <w:rPr>
          <w:rFonts w:cstheme="minorHAnsi"/>
        </w:rPr>
        <w:t>. Crna Gora je donekle uspostavila pravni okvir i strateške smjernice u pogledu karijernog vođenja i savjetovanja. Međutim, čini se da nedostaje zajednička vizija na nivou države o tome kako bi sistem</w:t>
      </w:r>
      <w:r w:rsidR="00262A40">
        <w:rPr>
          <w:rFonts w:cstheme="minorHAnsi"/>
        </w:rPr>
        <w:t xml:space="preserve"> </w:t>
      </w:r>
      <w:r w:rsidRPr="006657F2">
        <w:rPr>
          <w:rFonts w:cstheme="minorHAnsi"/>
        </w:rPr>
        <w:t xml:space="preserve">KVS-a trebalo da izgleda. </w:t>
      </w:r>
    </w:p>
    <w:p w14:paraId="3D896338" w14:textId="0AC19A3D" w:rsidR="006657F2" w:rsidRPr="006657F2" w:rsidRDefault="006657F2" w:rsidP="006657F2">
      <w:pPr>
        <w:jc w:val="both"/>
        <w:rPr>
          <w:rFonts w:cstheme="minorHAnsi"/>
        </w:rPr>
      </w:pPr>
      <w:r w:rsidRPr="006657F2">
        <w:rPr>
          <w:rFonts w:cstheme="minorHAnsi"/>
        </w:rPr>
        <w:t>KVS nije prisutan u svim zakonima i strategijama koje se odnose na obrazovanje, zapošljavanje, mlade, preduzetništvo, rodnu problematiku itd. Standardi kvaliteta koji se odnose na KVS postoje u određenim područjima, ali ima puno prostora za poboljšanje.</w:t>
      </w:r>
      <w:r w:rsidR="00262A40">
        <w:rPr>
          <w:rFonts w:cstheme="minorHAnsi"/>
        </w:rPr>
        <w:t xml:space="preserve"> </w:t>
      </w:r>
      <w:r w:rsidRPr="006657F2">
        <w:rPr>
          <w:rFonts w:cstheme="minorHAnsi"/>
        </w:rPr>
        <w:t>Budući da je u pružanje karijernog vođenja i savjetovanja uključeno mnogo aktera, za uspješno funkcionisanje sistema je potreban odgovarajući nivo koordinacije i saradnje koji trenutno nije jasno uočljiv. Čini se da je ponuda KVS-a fragmentisana u okviru svakodnevnih aktivnosti pojedinačih institucija, bez jasne horizontalne ili vertikalne komunikacije koja je potrebna za stvaranje sinergijskog učinka. Međutim, postoje dobre mogućnosti za stvaranje snažnih partnerstava na državnom, regionalnom i lokalnom nivou uključivanjem svih aktera koji bi mogli da daju doprinos pružanju KVS-a.Usluge KVS-a se u najvećoj mjeri nude učenicima u formalnom obrazovanju i nezaposlenima na evidenciji Zavoda za zapošljavanje, ali kvalitet ovih usluga mora biti na višem nivou. Formalno obrazovanje ne pruža KVS na sistematičan način i obično pruža osnovne informacije o daljnjim mogućnostima školovanja. Z</w:t>
      </w:r>
      <w:r w:rsidR="00663C63">
        <w:rPr>
          <w:rFonts w:cstheme="minorHAnsi"/>
        </w:rPr>
        <w:t>avod za zapošljavanje Crne Gore</w:t>
      </w:r>
      <w:r w:rsidR="00946A93">
        <w:rPr>
          <w:rFonts w:cstheme="minorHAnsi"/>
        </w:rPr>
        <w:t xml:space="preserve"> (ZZZCG),</w:t>
      </w:r>
      <w:r w:rsidRPr="006657F2">
        <w:rPr>
          <w:rFonts w:cstheme="minorHAnsi"/>
        </w:rPr>
        <w:t xml:space="preserve"> uglavnom nudi KVS na tradicionalan način i treba da osavremeni svoje usluge. Drugim velikim grupama, kao što su zaposleni, NEET, žene i druge ranjive grupe rijetko se nude usluge KVS-a.</w:t>
      </w:r>
      <w:r w:rsidR="00262A40">
        <w:rPr>
          <w:rFonts w:cstheme="minorHAnsi"/>
        </w:rPr>
        <w:t xml:space="preserve"> </w:t>
      </w:r>
      <w:r w:rsidRPr="006657F2">
        <w:rPr>
          <w:rFonts w:cstheme="minorHAnsi"/>
        </w:rPr>
        <w:t xml:space="preserve">Pružanje KVS-a se obično finansira iz državnog budžeta, ali sredstva nijesu posebno opredijeljena za potrebe KVS-a, već za uobičajene poslove </w:t>
      </w:r>
      <w:r w:rsidR="00663C63">
        <w:rPr>
          <w:rFonts w:cstheme="minorHAnsi"/>
        </w:rPr>
        <w:t>pomenute</w:t>
      </w:r>
      <w:r w:rsidRPr="006657F2">
        <w:rPr>
          <w:rFonts w:cstheme="minorHAnsi"/>
        </w:rPr>
        <w:t xml:space="preserve"> institucije. Javne ustanove ponekad daju male grantove (obično) nevladinom sektoru ili profesionalnim udruženjima za sprovođenje nekih projekata koji uključuju KVS. Međunarodne organizacije, prvenstveno sprovođenjem projekata u obrazovanju, zapošljavanju, tržištu rada i drugim sektorima, takođe učestvuju u finansiranju pružanja KVS-a. </w:t>
      </w:r>
    </w:p>
    <w:p w14:paraId="67D2B56E" w14:textId="5115C724" w:rsidR="006657F2" w:rsidRDefault="006657F2" w:rsidP="006657F2">
      <w:pPr>
        <w:jc w:val="both"/>
        <w:rPr>
          <w:rFonts w:cstheme="minorHAnsi"/>
        </w:rPr>
      </w:pPr>
      <w:r w:rsidRPr="006657F2">
        <w:rPr>
          <w:rFonts w:cstheme="minorHAnsi"/>
        </w:rPr>
        <w:t>Učešće poslodavaca u finansiranju KVS-a vrlo je ograničeno.</w:t>
      </w:r>
      <w:r w:rsidR="00262A40">
        <w:rPr>
          <w:rFonts w:cstheme="minorHAnsi"/>
        </w:rPr>
        <w:t xml:space="preserve"> </w:t>
      </w:r>
      <w:r w:rsidRPr="006657F2">
        <w:rPr>
          <w:rFonts w:cstheme="minorHAnsi"/>
        </w:rPr>
        <w:t>Pristup uslugama KVS-a formalno je omogućen učenicima/studentima iz sektora formalnog obrazovanja i registrovanim nezaposlenim osobama, uz sva postojeća ograničenja u vezi sa manjkom osoblja, nedostatkom prostora, vremena i kvalifikovanih stručnjaka u školama/univerzitetima i kancelarijama Z</w:t>
      </w:r>
      <w:r w:rsidR="00946A93">
        <w:rPr>
          <w:rFonts w:cstheme="minorHAnsi"/>
        </w:rPr>
        <w:t>ZZCG</w:t>
      </w:r>
      <w:r w:rsidRPr="006657F2">
        <w:rPr>
          <w:rFonts w:cstheme="minorHAnsi"/>
        </w:rPr>
        <w:t xml:space="preserve">-a. Ostalim grupama nije lako da dobiju ove usluge. </w:t>
      </w:r>
      <w:r w:rsidR="002F0065">
        <w:rPr>
          <w:rFonts w:cstheme="minorHAnsi"/>
        </w:rPr>
        <w:t>Takođe</w:t>
      </w:r>
      <w:r w:rsidRPr="006657F2">
        <w:rPr>
          <w:rFonts w:cstheme="minorHAnsi"/>
        </w:rPr>
        <w:t xml:space="preserve">, smatra se da šira javnost nije na pravi način informisana o svim mogućnostima pružanja KVS-a. Najčešći način pružanja usluga KVS-a je tradicionalni način rada licem u lice, u individualnom ili grupnom okruženju, što ima svoje prednosti. U posljednje vrijeme bilježimo porast korišćenja tehnologije u pružanju ovih usluga. Međutim, problem infrastrukture i kod javnih ustanova i kod građana i, često, nizak nivo digitalne pismenosti </w:t>
      </w:r>
      <w:r w:rsidR="00567418">
        <w:rPr>
          <w:rFonts w:cstheme="minorHAnsi"/>
        </w:rPr>
        <w:t>korisn</w:t>
      </w:r>
      <w:r w:rsidRPr="006657F2">
        <w:rPr>
          <w:rFonts w:cstheme="minorHAnsi"/>
        </w:rPr>
        <w:t>i</w:t>
      </w:r>
      <w:r w:rsidR="00567418">
        <w:rPr>
          <w:rFonts w:cstheme="minorHAnsi"/>
        </w:rPr>
        <w:t>ka</w:t>
      </w:r>
      <w:r w:rsidRPr="006657F2">
        <w:rPr>
          <w:rFonts w:cstheme="minorHAnsi"/>
        </w:rPr>
        <w:t>, ne dozvoljavaju da se iskoristi puni potencijal tehnologije.</w:t>
      </w:r>
      <w:r w:rsidR="00262A40">
        <w:rPr>
          <w:rFonts w:cstheme="minorHAnsi"/>
        </w:rPr>
        <w:t xml:space="preserve"> </w:t>
      </w:r>
      <w:r w:rsidRPr="006657F2">
        <w:rPr>
          <w:rFonts w:cstheme="minorHAnsi"/>
        </w:rPr>
        <w:t>Profesiji karijernog praktičara do sada nije posvećena odgovarajuća pažnja jer nije regulisana zakonom. Malo je standarda kvaliteta koji se odnose na KVS i za pružaoce i za praktičare, i oni tek treba da zažive. Postoje programi za početnu obuku školskih praktičara (potrebno ih je ažurirati), ali ne postoje programi za kontinuirano stručno usavršavanje karijernih praktičara. Informacije o tržištu rada takođe treba ažurirati, modernizovati i prezentovati na način koji je jednostavan za korišćenje.</w:t>
      </w:r>
    </w:p>
    <w:p w14:paraId="3490A5B0" w14:textId="34F5346C" w:rsidR="00993F6F" w:rsidRDefault="00993F6F" w:rsidP="00993F6F">
      <w:pPr>
        <w:pStyle w:val="Heading2"/>
      </w:pPr>
      <w:bookmarkStart w:id="7" w:name="_Toc197274071"/>
      <w:r>
        <w:lastRenderedPageBreak/>
        <w:t>SWOT ANALIZA</w:t>
      </w:r>
      <w:bookmarkEnd w:id="7"/>
    </w:p>
    <w:p w14:paraId="0F4D297A" w14:textId="3E962970" w:rsidR="00DE6FDE" w:rsidRPr="008D40B8" w:rsidRDefault="00DE6FDE" w:rsidP="00DE6FDE">
      <w:pPr>
        <w:jc w:val="both"/>
        <w:rPr>
          <w:rFonts w:cstheme="minorHAnsi"/>
        </w:rPr>
      </w:pPr>
      <w:r>
        <w:rPr>
          <w:rFonts w:cstheme="minorHAnsi"/>
        </w:rPr>
        <w:t>Sprovedena SWOT analiza je pokazala da se kao ključne snage, slabosti, mogućnosti i prijetnje u sistemu KVS-a, javljaju:</w:t>
      </w:r>
    </w:p>
    <w:tbl>
      <w:tblPr>
        <w:tblStyle w:val="TableGrid"/>
        <w:tblW w:w="0" w:type="auto"/>
        <w:tblLook w:val="04A0" w:firstRow="1" w:lastRow="0" w:firstColumn="1" w:lastColumn="0" w:noHBand="0" w:noVBand="1"/>
      </w:tblPr>
      <w:tblGrid>
        <w:gridCol w:w="6470"/>
        <w:gridCol w:w="6480"/>
      </w:tblGrid>
      <w:tr w:rsidR="00DE6FDE" w:rsidRPr="008D40B8" w14:paraId="6F3CA5E7" w14:textId="77777777" w:rsidTr="007D7963">
        <w:tc>
          <w:tcPr>
            <w:tcW w:w="6974" w:type="dxa"/>
            <w:tcBorders>
              <w:top w:val="single" w:sz="4" w:space="0" w:color="auto"/>
              <w:left w:val="single" w:sz="4" w:space="0" w:color="auto"/>
              <w:bottom w:val="single" w:sz="4" w:space="0" w:color="auto"/>
              <w:right w:val="single" w:sz="4" w:space="0" w:color="auto"/>
            </w:tcBorders>
          </w:tcPr>
          <w:p w14:paraId="1E3CE631" w14:textId="77777777" w:rsidR="00DE6FDE" w:rsidRPr="008D40B8" w:rsidRDefault="00DE6FDE" w:rsidP="007D7963">
            <w:pPr>
              <w:shd w:val="clear" w:color="auto" w:fill="D9D9D9"/>
              <w:rPr>
                <w:rFonts w:ascii="Calibri" w:eastAsia="Calibri" w:hAnsi="Calibri" w:cs="Times New Roman"/>
                <w:b/>
                <w:color w:val="2F5496"/>
                <w:lang w:val="en-GB"/>
              </w:rPr>
            </w:pPr>
            <w:r w:rsidRPr="008D40B8">
              <w:rPr>
                <w:rFonts w:ascii="Calibri" w:eastAsia="Calibri" w:hAnsi="Calibri" w:cs="Times New Roman"/>
                <w:b/>
                <w:color w:val="2F5496"/>
                <w:lang w:val="en-GB"/>
              </w:rPr>
              <w:t xml:space="preserve">S - SNAGE: </w:t>
            </w:r>
          </w:p>
          <w:p w14:paraId="7FB42878" w14:textId="77777777" w:rsidR="009C3DD5" w:rsidRDefault="00DE6FDE" w:rsidP="009C3DD5">
            <w:pPr>
              <w:pStyle w:val="ListParagraph"/>
              <w:numPr>
                <w:ilvl w:val="0"/>
                <w:numId w:val="16"/>
              </w:numPr>
              <w:rPr>
                <w:rFonts w:ascii="Calibri" w:eastAsia="Calibri" w:hAnsi="Calibri" w:cs="Times New Roman"/>
                <w:lang w:val="en-GB"/>
              </w:rPr>
            </w:pPr>
            <w:r w:rsidRPr="009C3DD5">
              <w:rPr>
                <w:rFonts w:ascii="Calibri" w:eastAsia="Calibri" w:hAnsi="Calibri" w:cs="Times New Roman"/>
                <w:lang w:val="en-GB"/>
              </w:rPr>
              <w:t xml:space="preserve">Školski timovi za karijerno vođenje i savjetovanje su formirani u  osnovnim i srednjim školama </w:t>
            </w:r>
          </w:p>
          <w:p w14:paraId="757BB8C5" w14:textId="77777777" w:rsidR="009C3DD5" w:rsidRDefault="00DE6FDE" w:rsidP="009C3DD5">
            <w:pPr>
              <w:pStyle w:val="ListParagraph"/>
              <w:numPr>
                <w:ilvl w:val="0"/>
                <w:numId w:val="16"/>
              </w:numPr>
              <w:rPr>
                <w:rFonts w:ascii="Calibri" w:eastAsia="Calibri" w:hAnsi="Calibri" w:cs="Times New Roman"/>
                <w:lang w:val="en-GB"/>
              </w:rPr>
            </w:pPr>
            <w:r w:rsidRPr="009C3DD5">
              <w:rPr>
                <w:rFonts w:ascii="Calibri" w:eastAsia="Calibri" w:hAnsi="Calibri" w:cs="Times New Roman"/>
                <w:lang w:val="en-GB"/>
              </w:rPr>
              <w:t xml:space="preserve">Svi univerziteti imaju karijerne centre </w:t>
            </w:r>
          </w:p>
          <w:p w14:paraId="6E72BCED" w14:textId="77777777" w:rsidR="009C3DD5" w:rsidRPr="009C3DD5" w:rsidRDefault="00DE6FDE" w:rsidP="009C3DD5">
            <w:pPr>
              <w:pStyle w:val="ListParagraph"/>
              <w:numPr>
                <w:ilvl w:val="0"/>
                <w:numId w:val="16"/>
              </w:numPr>
              <w:rPr>
                <w:rFonts w:ascii="Calibri" w:eastAsia="Calibri" w:hAnsi="Calibri" w:cs="Times New Roman"/>
                <w:lang w:val="en-GB"/>
              </w:rPr>
            </w:pPr>
            <w:r w:rsidRPr="009C3DD5">
              <w:rPr>
                <w:rFonts w:ascii="Calibri" w:eastAsia="Calibri" w:hAnsi="Calibri" w:cs="Times New Roman"/>
                <w:lang w:val="en-GB"/>
              </w:rPr>
              <w:t xml:space="preserve">Svaka osnovna i srednja škola usvaja Godišnji plan rada Tima </w:t>
            </w:r>
            <w:r w:rsidRPr="009C3DD5">
              <w:rPr>
                <w:rFonts w:ascii="Calibri" w:eastAsia="Calibri" w:hAnsi="Calibri" w:cs="Times New Roman"/>
                <w:color w:val="000000" w:themeColor="text1"/>
                <w:lang w:val="en-GB"/>
              </w:rPr>
              <w:t xml:space="preserve">za karijerno vođenje i savjetovanje </w:t>
            </w:r>
          </w:p>
          <w:p w14:paraId="439F361F" w14:textId="77777777" w:rsidR="009C3DD5" w:rsidRPr="009C3DD5" w:rsidRDefault="00DE6FDE" w:rsidP="009C3DD5">
            <w:pPr>
              <w:pStyle w:val="ListParagraph"/>
              <w:numPr>
                <w:ilvl w:val="0"/>
                <w:numId w:val="16"/>
              </w:numPr>
              <w:rPr>
                <w:rFonts w:ascii="Calibri" w:eastAsia="Calibri" w:hAnsi="Calibri" w:cs="Times New Roman"/>
                <w:lang w:val="en-GB"/>
              </w:rPr>
            </w:pPr>
            <w:r w:rsidRPr="009C3DD5">
              <w:rPr>
                <w:rFonts w:ascii="Calibri" w:eastAsia="Calibri" w:hAnsi="Calibri" w:cs="Times New Roman"/>
                <w:color w:val="000000" w:themeColor="text1"/>
                <w:lang w:val="en-GB"/>
              </w:rPr>
              <w:t xml:space="preserve">Veliki broj nastavnika iz srednjih škola pohađao obuke u prethodnih pet godina iz ove oblasti </w:t>
            </w:r>
          </w:p>
          <w:p w14:paraId="3FD50CCC" w14:textId="77777777" w:rsidR="009C3DD5" w:rsidRPr="009C3DD5" w:rsidRDefault="00DE6FDE" w:rsidP="009C3DD5">
            <w:pPr>
              <w:pStyle w:val="ListParagraph"/>
              <w:numPr>
                <w:ilvl w:val="0"/>
                <w:numId w:val="16"/>
              </w:numPr>
              <w:rPr>
                <w:rFonts w:ascii="Calibri" w:eastAsia="Calibri" w:hAnsi="Calibri" w:cs="Times New Roman"/>
                <w:lang w:val="en-GB"/>
              </w:rPr>
            </w:pPr>
            <w:r w:rsidRPr="009C3DD5">
              <w:rPr>
                <w:rFonts w:ascii="Calibri" w:eastAsia="Calibri" w:hAnsi="Calibri" w:cs="Times New Roman"/>
                <w:color w:val="000000" w:themeColor="text1"/>
                <w:lang w:val="en-GB"/>
              </w:rPr>
              <w:t xml:space="preserve">U Crnoj Gori postoji Nacionalni Euroguidance centar koji promoviše evropske standarde u ovoj oblasti i predstavlja podršku karijernim savjetnicima za razvoj ove oblasti </w:t>
            </w:r>
          </w:p>
          <w:p w14:paraId="0E3CC74B" w14:textId="6F8E4409" w:rsidR="00DE6FDE" w:rsidRPr="009C3DD5" w:rsidRDefault="00DE6FDE" w:rsidP="009C3DD5">
            <w:pPr>
              <w:pStyle w:val="ListParagraph"/>
              <w:numPr>
                <w:ilvl w:val="0"/>
                <w:numId w:val="16"/>
              </w:numPr>
              <w:rPr>
                <w:rFonts w:ascii="Calibri" w:eastAsia="Calibri" w:hAnsi="Calibri" w:cs="Times New Roman"/>
                <w:lang w:val="en-GB"/>
              </w:rPr>
            </w:pPr>
            <w:r w:rsidRPr="009C3DD5">
              <w:rPr>
                <w:rFonts w:ascii="Calibri" w:eastAsia="Calibri" w:hAnsi="Calibri" w:cs="Times New Roman"/>
                <w:color w:val="000000" w:themeColor="text1"/>
                <w:lang w:val="en-GB"/>
              </w:rPr>
              <w:t>Akreditovani programi obuke stručnog usavršavanja nastavnika za karijernu orijentaciju (osnovna i srednja škole): osnovn</w:t>
            </w:r>
            <w:r w:rsidR="009C3DD5" w:rsidRPr="009C3DD5">
              <w:rPr>
                <w:rFonts w:ascii="Calibri" w:eastAsia="Calibri" w:hAnsi="Calibri" w:cs="Times New Roman"/>
                <w:color w:val="000000" w:themeColor="text1"/>
                <w:lang w:val="en-GB"/>
              </w:rPr>
              <w:t>i</w:t>
            </w:r>
            <w:r w:rsidRPr="009C3DD5">
              <w:rPr>
                <w:rFonts w:ascii="Calibri" w:eastAsia="Calibri" w:hAnsi="Calibri" w:cs="Times New Roman"/>
                <w:color w:val="000000" w:themeColor="text1"/>
                <w:lang w:val="en-GB"/>
              </w:rPr>
              <w:t xml:space="preserve"> trening i napredni trening</w:t>
            </w:r>
            <w:r w:rsidR="009C3DD5" w:rsidRPr="009C3DD5">
              <w:rPr>
                <w:rFonts w:ascii="Calibri" w:eastAsia="Calibri" w:hAnsi="Calibri" w:cs="Times New Roman"/>
                <w:color w:val="000000" w:themeColor="text1"/>
                <w:lang w:val="en-GB"/>
              </w:rPr>
              <w:t>.</w:t>
            </w:r>
          </w:p>
          <w:p w14:paraId="4CB6349A" w14:textId="77777777" w:rsidR="00DE6FDE" w:rsidRPr="008D40B8" w:rsidRDefault="00DE6FDE" w:rsidP="007D7963">
            <w:pPr>
              <w:rPr>
                <w:rFonts w:ascii="Calibri" w:eastAsia="Calibri" w:hAnsi="Calibri" w:cs="Times New Roman"/>
                <w:color w:val="000000" w:themeColor="text1"/>
                <w:lang w:val="en-GB"/>
              </w:rPr>
            </w:pPr>
          </w:p>
          <w:p w14:paraId="050CE62B" w14:textId="77777777" w:rsidR="00DE6FDE" w:rsidRPr="008D40B8" w:rsidRDefault="00DE6FDE" w:rsidP="007D7963">
            <w:pPr>
              <w:rPr>
                <w:rFonts w:ascii="Calibri" w:eastAsia="Calibri" w:hAnsi="Calibri" w:cs="Times New Roman"/>
                <w:lang w:val="en-GB"/>
              </w:rPr>
            </w:pPr>
          </w:p>
        </w:tc>
        <w:tc>
          <w:tcPr>
            <w:tcW w:w="6974" w:type="dxa"/>
            <w:tcBorders>
              <w:top w:val="single" w:sz="4" w:space="0" w:color="auto"/>
              <w:left w:val="single" w:sz="4" w:space="0" w:color="auto"/>
              <w:bottom w:val="single" w:sz="4" w:space="0" w:color="auto"/>
              <w:right w:val="single" w:sz="4" w:space="0" w:color="auto"/>
            </w:tcBorders>
            <w:hideMark/>
          </w:tcPr>
          <w:p w14:paraId="5AE6BA83" w14:textId="77777777" w:rsidR="00DE6FDE" w:rsidRPr="008D40B8" w:rsidRDefault="00DE6FDE" w:rsidP="007D7963">
            <w:pPr>
              <w:shd w:val="clear" w:color="auto" w:fill="D9D9D9"/>
              <w:rPr>
                <w:rFonts w:ascii="Calibri" w:eastAsia="Calibri" w:hAnsi="Calibri" w:cs="Times New Roman"/>
                <w:b/>
                <w:color w:val="2F5496"/>
                <w:lang w:val="en-GB"/>
              </w:rPr>
            </w:pPr>
            <w:r w:rsidRPr="008D40B8">
              <w:rPr>
                <w:rFonts w:ascii="Calibri" w:eastAsia="Calibri" w:hAnsi="Calibri" w:cs="Times New Roman"/>
                <w:b/>
                <w:color w:val="2F5496"/>
                <w:lang w:val="en-GB"/>
              </w:rPr>
              <w:t>W – SLABOSTI:</w:t>
            </w:r>
          </w:p>
          <w:p w14:paraId="09938BBA" w14:textId="77777777" w:rsidR="00B55C4C" w:rsidRDefault="00DE6FDE" w:rsidP="00B55C4C">
            <w:pPr>
              <w:pStyle w:val="ListParagraph"/>
              <w:numPr>
                <w:ilvl w:val="0"/>
                <w:numId w:val="16"/>
              </w:numPr>
              <w:rPr>
                <w:rFonts w:ascii="Calibri" w:eastAsia="Calibri" w:hAnsi="Calibri" w:cs="Times New Roman"/>
                <w:lang w:val="en-GB"/>
              </w:rPr>
            </w:pPr>
            <w:r w:rsidRPr="00B55C4C">
              <w:rPr>
                <w:rFonts w:ascii="Calibri" w:eastAsia="Calibri" w:hAnsi="Calibri" w:cs="Times New Roman"/>
                <w:lang w:val="en-GB"/>
              </w:rPr>
              <w:t xml:space="preserve">Ne postojiosoba-karijerni savjetnik u osnovnim I srednjim školama, već te poslove obavlja ili psihološko-pedagoška služba ili nastavnici koji su članovi školaskog Tima za karijerno vođenje i savjetovanje </w:t>
            </w:r>
          </w:p>
          <w:p w14:paraId="3AAD5D61" w14:textId="77777777" w:rsidR="00B55C4C" w:rsidRDefault="00DE6FDE" w:rsidP="00B55C4C">
            <w:pPr>
              <w:pStyle w:val="ListParagraph"/>
              <w:numPr>
                <w:ilvl w:val="0"/>
                <w:numId w:val="16"/>
              </w:numPr>
              <w:rPr>
                <w:rFonts w:ascii="Calibri" w:eastAsia="Calibri" w:hAnsi="Calibri" w:cs="Times New Roman"/>
                <w:lang w:val="en-GB"/>
              </w:rPr>
            </w:pPr>
            <w:r w:rsidRPr="00B55C4C">
              <w:rPr>
                <w:rFonts w:ascii="Calibri" w:eastAsia="Calibri" w:hAnsi="Calibri" w:cs="Times New Roman"/>
                <w:lang w:val="en-GB"/>
              </w:rPr>
              <w:t>Ne postoji jedno tijelo koje nadgleda rad svih institucija u ovoj oblasti, već svako radi u svojoj nadležnosti bez podrške druge institucije</w:t>
            </w:r>
          </w:p>
          <w:p w14:paraId="1E015002" w14:textId="77777777" w:rsidR="00B55C4C" w:rsidRPr="00B55C4C" w:rsidRDefault="00CE6F74" w:rsidP="00B55C4C">
            <w:pPr>
              <w:pStyle w:val="ListParagraph"/>
              <w:numPr>
                <w:ilvl w:val="0"/>
                <w:numId w:val="16"/>
              </w:numPr>
              <w:rPr>
                <w:rFonts w:ascii="Calibri" w:eastAsia="Calibri" w:hAnsi="Calibri" w:cs="Times New Roman"/>
                <w:lang w:val="en-GB"/>
              </w:rPr>
            </w:pPr>
            <w:r w:rsidRPr="00B55C4C">
              <w:rPr>
                <w:rFonts w:ascii="Calibri" w:eastAsia="Calibri" w:hAnsi="Calibri" w:cs="Times New Roman"/>
                <w:lang w:val="fr-FR"/>
              </w:rPr>
              <w:t>U prethodnom periodu nisu bila obezbijeđena dovoljna</w:t>
            </w:r>
            <w:r w:rsidR="00DE6FDE" w:rsidRPr="00B55C4C">
              <w:rPr>
                <w:rFonts w:ascii="Calibri" w:eastAsia="Calibri" w:hAnsi="Calibri" w:cs="Times New Roman"/>
                <w:lang w:val="fr-FR"/>
              </w:rPr>
              <w:t xml:space="preserve"> budžetska finansiranja za ovu oblast </w:t>
            </w:r>
          </w:p>
          <w:p w14:paraId="636ABA39" w14:textId="77777777" w:rsidR="00B55C4C" w:rsidRPr="00B55C4C" w:rsidRDefault="00DE6FDE" w:rsidP="00B55C4C">
            <w:pPr>
              <w:pStyle w:val="ListParagraph"/>
              <w:numPr>
                <w:ilvl w:val="0"/>
                <w:numId w:val="16"/>
              </w:numPr>
              <w:rPr>
                <w:rFonts w:ascii="Calibri" w:eastAsia="Calibri" w:hAnsi="Calibri" w:cs="Times New Roman"/>
                <w:lang w:val="en-GB"/>
              </w:rPr>
            </w:pPr>
            <w:r w:rsidRPr="00B55C4C">
              <w:rPr>
                <w:rFonts w:ascii="Calibri" w:eastAsia="Calibri" w:hAnsi="Calibri" w:cs="Times New Roman"/>
                <w:lang w:val="fr-FR"/>
              </w:rPr>
              <w:t xml:space="preserve">Saradnja osnovnih škola sa srednjim školama, I srednjih škola sa univerzitetima nije na zavidnom nivou, već se politika saradnje sprovodi sporadično I zavisi isključivo od škole, odnosno univerziteta. </w:t>
            </w:r>
          </w:p>
          <w:p w14:paraId="497BDDDA" w14:textId="77777777" w:rsidR="00B55C4C" w:rsidRPr="00B55C4C" w:rsidRDefault="00DE6FDE" w:rsidP="00B55C4C">
            <w:pPr>
              <w:pStyle w:val="ListParagraph"/>
              <w:numPr>
                <w:ilvl w:val="0"/>
                <w:numId w:val="16"/>
              </w:numPr>
              <w:rPr>
                <w:rFonts w:ascii="Calibri" w:eastAsia="Calibri" w:hAnsi="Calibri" w:cs="Times New Roman"/>
                <w:lang w:val="en-GB"/>
              </w:rPr>
            </w:pPr>
            <w:r w:rsidRPr="00B55C4C">
              <w:rPr>
                <w:rFonts w:ascii="Calibri" w:eastAsia="Calibri" w:hAnsi="Calibri" w:cs="Times New Roman"/>
                <w:lang w:val="fr-FR"/>
              </w:rPr>
              <w:t>Politika upisa učenika u srednja škole i fakultete nije usklađena sa potrebama tržišta rada</w:t>
            </w:r>
          </w:p>
          <w:p w14:paraId="30E2FF35" w14:textId="64E093F2" w:rsidR="00B55C4C" w:rsidRPr="00B55C4C" w:rsidRDefault="00DE6FDE" w:rsidP="00B55C4C">
            <w:pPr>
              <w:pStyle w:val="ListParagraph"/>
              <w:numPr>
                <w:ilvl w:val="0"/>
                <w:numId w:val="16"/>
              </w:numPr>
              <w:rPr>
                <w:rFonts w:ascii="Calibri" w:eastAsia="Calibri" w:hAnsi="Calibri" w:cs="Times New Roman"/>
                <w:lang w:val="en-GB"/>
              </w:rPr>
            </w:pPr>
            <w:r w:rsidRPr="00B55C4C">
              <w:rPr>
                <w:rFonts w:ascii="Calibri" w:eastAsia="Calibri" w:hAnsi="Calibri" w:cs="Times New Roman"/>
                <w:lang w:val="fr-FR"/>
              </w:rPr>
              <w:t xml:space="preserve">Podsticanje razvoja karijere zaposlenih se uglavnom odnosi na nivo menadžmenta, ostali zaposleni nemaju dovoljno mogućnosti za uspješno vertikalno i horizontalno napredovanje u karijeri.  Službe za razvoj ljudskih resursa u kolektivima nisu dovoljno razvijene, njihova međusobna saradnja </w:t>
            </w:r>
            <w:r w:rsidR="00185A49">
              <w:rPr>
                <w:rFonts w:ascii="Calibri" w:eastAsia="Calibri" w:hAnsi="Calibri" w:cs="Times New Roman"/>
                <w:lang w:val="fr-FR"/>
              </w:rPr>
              <w:t xml:space="preserve">je </w:t>
            </w:r>
            <w:r w:rsidRPr="00B55C4C">
              <w:rPr>
                <w:rFonts w:ascii="Calibri" w:eastAsia="Calibri" w:hAnsi="Calibri" w:cs="Times New Roman"/>
                <w:lang w:val="fr-FR"/>
              </w:rPr>
              <w:t>na niskom nivou.</w:t>
            </w:r>
          </w:p>
          <w:p w14:paraId="28F413CB" w14:textId="27A654B5" w:rsidR="00B55C4C" w:rsidRPr="00B55C4C" w:rsidRDefault="00DE6FDE" w:rsidP="00B55C4C">
            <w:pPr>
              <w:pStyle w:val="ListParagraph"/>
              <w:numPr>
                <w:ilvl w:val="0"/>
                <w:numId w:val="16"/>
              </w:numPr>
              <w:rPr>
                <w:rFonts w:ascii="Calibri" w:eastAsia="Calibri" w:hAnsi="Calibri" w:cs="Times New Roman"/>
                <w:lang w:val="en-GB"/>
              </w:rPr>
            </w:pPr>
            <w:r w:rsidRPr="00B55C4C">
              <w:rPr>
                <w:rFonts w:ascii="Calibri" w:eastAsia="Calibri" w:hAnsi="Calibri" w:cs="Times New Roman"/>
                <w:lang w:val="fr-FR"/>
              </w:rPr>
              <w:t>Nezaposleni nemaju adekvatne usluge karijernog vođenja</w:t>
            </w:r>
            <w:r w:rsidR="00421CD5">
              <w:rPr>
                <w:rFonts w:ascii="Calibri" w:eastAsia="Calibri" w:hAnsi="Calibri" w:cs="Times New Roman"/>
                <w:lang w:val="fr-FR"/>
              </w:rPr>
              <w:t xml:space="preserve"> i</w:t>
            </w:r>
            <w:r w:rsidRPr="00B55C4C">
              <w:rPr>
                <w:rFonts w:ascii="Calibri" w:eastAsia="Calibri" w:hAnsi="Calibri" w:cs="Times New Roman"/>
                <w:lang w:val="fr-FR"/>
              </w:rPr>
              <w:t xml:space="preserve"> savjetovanja.</w:t>
            </w:r>
          </w:p>
          <w:p w14:paraId="58E89F85" w14:textId="77777777" w:rsidR="00DE6FDE" w:rsidRPr="00567418" w:rsidRDefault="00DE6FDE" w:rsidP="00567418">
            <w:pPr>
              <w:ind w:left="360"/>
              <w:rPr>
                <w:rFonts w:ascii="Calibri" w:eastAsia="Calibri" w:hAnsi="Calibri" w:cs="Times New Roman"/>
                <w:lang w:val="fr-FR"/>
              </w:rPr>
            </w:pPr>
          </w:p>
        </w:tc>
      </w:tr>
      <w:tr w:rsidR="00DE6FDE" w:rsidRPr="008D40B8" w14:paraId="2F75EED2" w14:textId="77777777" w:rsidTr="007D7963">
        <w:tc>
          <w:tcPr>
            <w:tcW w:w="6974" w:type="dxa"/>
            <w:tcBorders>
              <w:top w:val="single" w:sz="4" w:space="0" w:color="auto"/>
              <w:left w:val="single" w:sz="4" w:space="0" w:color="auto"/>
              <w:bottom w:val="single" w:sz="4" w:space="0" w:color="auto"/>
              <w:right w:val="single" w:sz="4" w:space="0" w:color="auto"/>
            </w:tcBorders>
            <w:hideMark/>
          </w:tcPr>
          <w:p w14:paraId="04B5810A" w14:textId="77777777" w:rsidR="00DE6FDE" w:rsidRPr="008D40B8" w:rsidRDefault="00DE6FDE" w:rsidP="007D7963">
            <w:pPr>
              <w:shd w:val="clear" w:color="auto" w:fill="D9D9D9"/>
              <w:rPr>
                <w:rFonts w:ascii="Calibri" w:eastAsia="Calibri" w:hAnsi="Calibri" w:cs="Times New Roman"/>
                <w:b/>
                <w:color w:val="2F5496"/>
                <w:lang w:val="en-GB"/>
              </w:rPr>
            </w:pPr>
            <w:r w:rsidRPr="008D40B8">
              <w:rPr>
                <w:rFonts w:ascii="Calibri" w:eastAsia="Calibri" w:hAnsi="Calibri" w:cs="Times New Roman"/>
                <w:b/>
                <w:color w:val="2F5496"/>
                <w:lang w:val="en-GB"/>
              </w:rPr>
              <w:t>O – MOGUĆNOSTI</w:t>
            </w:r>
          </w:p>
          <w:p w14:paraId="0E219FCA" w14:textId="53BEACD9" w:rsidR="00421CD5" w:rsidRDefault="00DE6FDE" w:rsidP="00421CD5">
            <w:pPr>
              <w:pStyle w:val="ListParagraph"/>
              <w:numPr>
                <w:ilvl w:val="0"/>
                <w:numId w:val="16"/>
              </w:numPr>
              <w:rPr>
                <w:rFonts w:ascii="Calibri" w:eastAsia="Calibri" w:hAnsi="Calibri" w:cs="Times New Roman"/>
                <w:lang w:val="en-GB"/>
              </w:rPr>
            </w:pPr>
            <w:r w:rsidRPr="00185A49">
              <w:rPr>
                <w:rFonts w:ascii="Calibri" w:eastAsia="Calibri" w:hAnsi="Calibri" w:cs="Times New Roman"/>
                <w:lang w:val="en-GB"/>
              </w:rPr>
              <w:t xml:space="preserve">Postoji velika zaintersovanost kod učenika, studenata, roditelja, nezaposlenih lica za usluge karijernog vođenja </w:t>
            </w:r>
            <w:r w:rsidR="000F65CE">
              <w:rPr>
                <w:rFonts w:ascii="Calibri" w:eastAsia="Calibri" w:hAnsi="Calibri" w:cs="Times New Roman"/>
                <w:lang w:val="en-GB"/>
              </w:rPr>
              <w:t>i</w:t>
            </w:r>
            <w:r w:rsidRPr="00185A49">
              <w:rPr>
                <w:rFonts w:ascii="Calibri" w:eastAsia="Calibri" w:hAnsi="Calibri" w:cs="Times New Roman"/>
                <w:lang w:val="en-GB"/>
              </w:rPr>
              <w:t xml:space="preserve"> savjetovanja</w:t>
            </w:r>
          </w:p>
          <w:p w14:paraId="0F43F128" w14:textId="77777777" w:rsidR="00421CD5" w:rsidRDefault="00DE6FDE" w:rsidP="00421CD5">
            <w:pPr>
              <w:pStyle w:val="ListParagraph"/>
              <w:numPr>
                <w:ilvl w:val="0"/>
                <w:numId w:val="16"/>
              </w:numPr>
              <w:rPr>
                <w:rFonts w:ascii="Calibri" w:eastAsia="Calibri" w:hAnsi="Calibri" w:cs="Times New Roman"/>
                <w:lang w:val="en-GB"/>
              </w:rPr>
            </w:pPr>
            <w:r w:rsidRPr="00421CD5">
              <w:rPr>
                <w:rFonts w:ascii="Calibri" w:eastAsia="Calibri" w:hAnsi="Calibri" w:cs="Times New Roman"/>
                <w:lang w:val="en-GB"/>
              </w:rPr>
              <w:t xml:space="preserve">Infrastruktura za razvoj ove oblasti postoji (školski karijerni timovi, karijerni centri na univerzitetima, CIPS-ovi u Zavodu za zapošljavanje) </w:t>
            </w:r>
          </w:p>
          <w:p w14:paraId="3251C2FA" w14:textId="1FBC20D3" w:rsidR="00DE6FDE" w:rsidRPr="00421CD5" w:rsidRDefault="00DE6FDE" w:rsidP="00421CD5">
            <w:pPr>
              <w:pStyle w:val="ListParagraph"/>
              <w:numPr>
                <w:ilvl w:val="0"/>
                <w:numId w:val="16"/>
              </w:numPr>
              <w:rPr>
                <w:rFonts w:ascii="Calibri" w:eastAsia="Calibri" w:hAnsi="Calibri" w:cs="Times New Roman"/>
                <w:lang w:val="en-GB"/>
              </w:rPr>
            </w:pPr>
            <w:r w:rsidRPr="00421CD5">
              <w:rPr>
                <w:rFonts w:ascii="Calibri" w:eastAsia="Calibri" w:hAnsi="Calibri" w:cs="Times New Roman"/>
                <w:lang w:val="en-GB"/>
              </w:rPr>
              <w:lastRenderedPageBreak/>
              <w:t>Sve veća realna potreba pojedinaca za usluge karijernog savjetovanja</w:t>
            </w:r>
          </w:p>
        </w:tc>
        <w:tc>
          <w:tcPr>
            <w:tcW w:w="6974" w:type="dxa"/>
            <w:tcBorders>
              <w:top w:val="single" w:sz="4" w:space="0" w:color="auto"/>
              <w:left w:val="single" w:sz="4" w:space="0" w:color="auto"/>
              <w:bottom w:val="single" w:sz="4" w:space="0" w:color="auto"/>
              <w:right w:val="single" w:sz="4" w:space="0" w:color="auto"/>
            </w:tcBorders>
          </w:tcPr>
          <w:p w14:paraId="05B1C6EB" w14:textId="77777777" w:rsidR="00DE6FDE" w:rsidRPr="008D40B8" w:rsidRDefault="00DE6FDE" w:rsidP="007D7963">
            <w:pPr>
              <w:shd w:val="clear" w:color="auto" w:fill="D9D9D9"/>
              <w:rPr>
                <w:rFonts w:ascii="Calibri" w:eastAsia="Calibri" w:hAnsi="Calibri" w:cs="Times New Roman"/>
                <w:b/>
                <w:color w:val="2F5496"/>
                <w:lang w:val="en-GB"/>
              </w:rPr>
            </w:pPr>
            <w:r w:rsidRPr="008D40B8">
              <w:rPr>
                <w:rFonts w:ascii="Calibri" w:eastAsia="Calibri" w:hAnsi="Calibri" w:cs="Times New Roman"/>
                <w:b/>
                <w:color w:val="2F5496"/>
                <w:lang w:val="en-GB"/>
              </w:rPr>
              <w:lastRenderedPageBreak/>
              <w:t xml:space="preserve">T – PRIJETNJE: </w:t>
            </w:r>
          </w:p>
          <w:p w14:paraId="54D71FB2" w14:textId="7FFBF03E" w:rsidR="00421CD5" w:rsidRDefault="00DE6FDE" w:rsidP="00421CD5">
            <w:pPr>
              <w:pStyle w:val="ListParagraph"/>
              <w:numPr>
                <w:ilvl w:val="0"/>
                <w:numId w:val="16"/>
              </w:numPr>
              <w:rPr>
                <w:rFonts w:ascii="Calibri" w:eastAsia="Calibri" w:hAnsi="Calibri" w:cs="Times New Roman"/>
                <w:lang w:val="en-GB"/>
              </w:rPr>
            </w:pPr>
            <w:r w:rsidRPr="00421CD5">
              <w:rPr>
                <w:rFonts w:ascii="Calibri" w:eastAsia="Calibri" w:hAnsi="Calibri" w:cs="Times New Roman"/>
                <w:lang w:val="en-GB"/>
              </w:rPr>
              <w:t xml:space="preserve">Nedovoljno finansiranje aktivnosti karijernog vođenja </w:t>
            </w:r>
            <w:r w:rsidR="00421CD5">
              <w:rPr>
                <w:rFonts w:ascii="Calibri" w:eastAsia="Calibri" w:hAnsi="Calibri" w:cs="Times New Roman"/>
                <w:lang w:val="en-GB"/>
              </w:rPr>
              <w:t>i</w:t>
            </w:r>
            <w:r w:rsidRPr="00421CD5">
              <w:rPr>
                <w:rFonts w:ascii="Calibri" w:eastAsia="Calibri" w:hAnsi="Calibri" w:cs="Times New Roman"/>
                <w:lang w:val="en-GB"/>
              </w:rPr>
              <w:t xml:space="preserve"> savjetovanja na nivou države</w:t>
            </w:r>
          </w:p>
          <w:p w14:paraId="5CD7CDE6" w14:textId="77777777" w:rsidR="00421CD5" w:rsidRDefault="00421CD5" w:rsidP="00421CD5">
            <w:pPr>
              <w:pStyle w:val="ListParagraph"/>
              <w:numPr>
                <w:ilvl w:val="0"/>
                <w:numId w:val="16"/>
              </w:numPr>
              <w:rPr>
                <w:rFonts w:ascii="Calibri" w:eastAsia="Calibri" w:hAnsi="Calibri" w:cs="Times New Roman"/>
                <w:lang w:val="en-GB"/>
              </w:rPr>
            </w:pPr>
            <w:r w:rsidRPr="00421CD5">
              <w:rPr>
                <w:rFonts w:ascii="Calibri" w:eastAsia="Calibri" w:hAnsi="Calibri" w:cs="Times New Roman"/>
                <w:lang w:val="en-GB"/>
              </w:rPr>
              <w:t>Značajan procenat mladih koji su nezaposleni</w:t>
            </w:r>
          </w:p>
          <w:p w14:paraId="61072A79" w14:textId="3EE7C5ED" w:rsidR="00421CD5" w:rsidRPr="00421CD5" w:rsidRDefault="00DE6FDE" w:rsidP="00421CD5">
            <w:pPr>
              <w:pStyle w:val="ListParagraph"/>
              <w:numPr>
                <w:ilvl w:val="0"/>
                <w:numId w:val="16"/>
              </w:numPr>
              <w:rPr>
                <w:rFonts w:ascii="Calibri" w:eastAsia="Calibri" w:hAnsi="Calibri" w:cs="Times New Roman"/>
                <w:lang w:val="en-GB"/>
              </w:rPr>
            </w:pPr>
            <w:r w:rsidRPr="00421CD5">
              <w:rPr>
                <w:rFonts w:ascii="Calibri" w:eastAsia="Calibri" w:hAnsi="Calibri" w:cs="Times New Roman"/>
                <w:lang w:val="it-IT"/>
              </w:rPr>
              <w:t>Brze promjene trendova u zapošljavanju mladih kojima se sistem teško prilagođava (npr.digitalni nomadi</w:t>
            </w:r>
            <w:r w:rsidR="00421CD5">
              <w:rPr>
                <w:rFonts w:ascii="Calibri" w:eastAsia="Calibri" w:hAnsi="Calibri" w:cs="Times New Roman"/>
                <w:lang w:val="it-IT"/>
              </w:rPr>
              <w:t xml:space="preserve"> i</w:t>
            </w:r>
            <w:r w:rsidRPr="00421CD5">
              <w:rPr>
                <w:rFonts w:ascii="Calibri" w:eastAsia="Calibri" w:hAnsi="Calibri" w:cs="Times New Roman"/>
                <w:lang w:val="it-IT"/>
              </w:rPr>
              <w:t xml:space="preserve"> sl.) </w:t>
            </w:r>
          </w:p>
          <w:p w14:paraId="37AD9E24" w14:textId="22C60CD4" w:rsidR="00DE6FDE" w:rsidRPr="00421CD5" w:rsidRDefault="00DE6FDE" w:rsidP="00421CD5">
            <w:pPr>
              <w:pStyle w:val="ListParagraph"/>
              <w:numPr>
                <w:ilvl w:val="0"/>
                <w:numId w:val="16"/>
              </w:numPr>
              <w:rPr>
                <w:rFonts w:ascii="Calibri" w:eastAsia="Calibri" w:hAnsi="Calibri" w:cs="Times New Roman"/>
                <w:lang w:val="en-GB"/>
              </w:rPr>
            </w:pPr>
            <w:r w:rsidRPr="00421CD5">
              <w:rPr>
                <w:rFonts w:ascii="Calibri" w:eastAsia="Calibri" w:hAnsi="Calibri" w:cs="Times New Roman"/>
                <w:lang w:val="it-IT"/>
              </w:rPr>
              <w:lastRenderedPageBreak/>
              <w:t xml:space="preserve">Mali broj nevladinih organizacija zainteresovanih za ovu temuNedovoljno interesovanje obrazovnih ustanova, nevladinih I drugih organizacija I institucija za pristup evropskim fondovima za ovu oblast </w:t>
            </w:r>
          </w:p>
          <w:p w14:paraId="1A989B07" w14:textId="77777777" w:rsidR="00DE6FDE" w:rsidRPr="0089365A" w:rsidRDefault="00DE6FDE" w:rsidP="007D7963">
            <w:pPr>
              <w:numPr>
                <w:ilvl w:val="0"/>
                <w:numId w:val="21"/>
              </w:numPr>
              <w:contextualSpacing/>
              <w:rPr>
                <w:rFonts w:ascii="Calibri" w:eastAsia="Calibri" w:hAnsi="Calibri" w:cs="Times New Roman"/>
                <w:lang w:val="it-IT"/>
              </w:rPr>
            </w:pPr>
            <w:r w:rsidRPr="0089365A">
              <w:rPr>
                <w:rFonts w:ascii="Calibri" w:eastAsia="Calibri" w:hAnsi="Calibri" w:cs="Times New Roman"/>
                <w:lang w:val="it-IT"/>
              </w:rPr>
              <w:t>Promjene na tržištu rada, nedovoljna  informisanost mladih o potrebama i trendovima tržišta rada</w:t>
            </w:r>
          </w:p>
          <w:p w14:paraId="6B802E1D" w14:textId="77777777" w:rsidR="00DE6FDE" w:rsidRPr="0089365A" w:rsidRDefault="00DE6FDE" w:rsidP="007D7963">
            <w:pPr>
              <w:ind w:left="720"/>
              <w:contextualSpacing/>
              <w:rPr>
                <w:rFonts w:ascii="Calibri" w:eastAsia="Calibri" w:hAnsi="Calibri" w:cs="Times New Roman"/>
                <w:lang w:val="it-IT"/>
              </w:rPr>
            </w:pPr>
          </w:p>
        </w:tc>
      </w:tr>
    </w:tbl>
    <w:p w14:paraId="3C357C1C" w14:textId="77777777" w:rsidR="00DE6FDE" w:rsidRDefault="00DE6FDE" w:rsidP="006657F2">
      <w:pPr>
        <w:jc w:val="both"/>
        <w:rPr>
          <w:rFonts w:cstheme="minorHAnsi"/>
        </w:rPr>
      </w:pPr>
    </w:p>
    <w:p w14:paraId="4D268BAA" w14:textId="1E6F466A" w:rsidR="00257DCB" w:rsidRPr="00062473" w:rsidRDefault="00262A40" w:rsidP="00262A40">
      <w:pPr>
        <w:jc w:val="both"/>
        <w:rPr>
          <w:rFonts w:cstheme="minorHAnsi"/>
        </w:rPr>
      </w:pPr>
      <w:r>
        <w:rPr>
          <w:rFonts w:cstheme="minorHAnsi"/>
        </w:rPr>
        <w:t xml:space="preserve">Uzimajući u obzir prethodno navedeno, novi strateški dokument je zasnovan na tri osnovne </w:t>
      </w:r>
      <w:r w:rsidR="00F52A7F" w:rsidRPr="00062473">
        <w:rPr>
          <w:rFonts w:cstheme="minorHAnsi"/>
        </w:rPr>
        <w:t>oblasti i prioriteta javne politike:</w:t>
      </w:r>
    </w:p>
    <w:p w14:paraId="312ECB9A" w14:textId="66F79B3F" w:rsidR="00F52A7F" w:rsidRPr="00062473" w:rsidRDefault="00F52A7F" w:rsidP="00257DCB">
      <w:pPr>
        <w:rPr>
          <w:rFonts w:cstheme="minorHAnsi"/>
        </w:rPr>
      </w:pPr>
      <w:r w:rsidRPr="00062473">
        <w:rPr>
          <w:rFonts w:cstheme="minorHAnsi"/>
          <w:noProof/>
          <w:lang w:val="en-US"/>
        </w:rPr>
        <w:drawing>
          <wp:inline distT="0" distB="0" distL="0" distR="0" wp14:anchorId="440BB334" wp14:editId="389F00A9">
            <wp:extent cx="8222673" cy="3200400"/>
            <wp:effectExtent l="0" t="76200" r="0" b="0"/>
            <wp:docPr id="3"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3F0D883" w14:textId="53760D3B" w:rsidR="00257DCB" w:rsidRPr="0036318D" w:rsidRDefault="00257DCB" w:rsidP="0036318D">
      <w:pPr>
        <w:pStyle w:val="Heading2"/>
      </w:pPr>
      <w:bookmarkStart w:id="8" w:name="_Toc197274072"/>
      <w:r w:rsidRPr="0036318D">
        <w:t>PRETHODNI PERIOD SPROVOĐENJA JAVNE POLITIKE</w:t>
      </w:r>
      <w:bookmarkEnd w:id="8"/>
    </w:p>
    <w:p w14:paraId="08309F9B" w14:textId="1097468A" w:rsidR="00257DCB" w:rsidRPr="00062473" w:rsidRDefault="00257DCB" w:rsidP="00257DCB">
      <w:pPr>
        <w:jc w:val="both"/>
        <w:rPr>
          <w:rFonts w:cstheme="minorHAnsi"/>
        </w:rPr>
      </w:pPr>
      <w:r w:rsidRPr="00062473">
        <w:rPr>
          <w:rFonts w:cstheme="minorHAnsi"/>
        </w:rPr>
        <w:t xml:space="preserve">Strategija cjeloživotne karijerne orijentacije </w:t>
      </w:r>
      <w:r w:rsidR="00040166">
        <w:rPr>
          <w:rFonts w:cstheme="minorHAnsi"/>
        </w:rPr>
        <w:t xml:space="preserve">za period </w:t>
      </w:r>
      <w:r w:rsidRPr="00062473">
        <w:rPr>
          <w:rFonts w:cstheme="minorHAnsi"/>
        </w:rPr>
        <w:t>2016-2020</w:t>
      </w:r>
      <w:r w:rsidR="00040166">
        <w:rPr>
          <w:rFonts w:cstheme="minorHAnsi"/>
        </w:rPr>
        <w:t>,</w:t>
      </w:r>
      <w:r w:rsidRPr="00062473">
        <w:rPr>
          <w:rFonts w:cstheme="minorHAnsi"/>
        </w:rPr>
        <w:t xml:space="preserve"> prepoznala je pet strateških prioriteta, i to: </w:t>
      </w:r>
    </w:p>
    <w:p w14:paraId="78C4DC53" w14:textId="77777777" w:rsidR="00257DCB" w:rsidRPr="00062473" w:rsidRDefault="00257DCB" w:rsidP="00257DCB">
      <w:pPr>
        <w:pStyle w:val="ListParagraph"/>
        <w:numPr>
          <w:ilvl w:val="0"/>
          <w:numId w:val="15"/>
        </w:numPr>
        <w:jc w:val="both"/>
        <w:rPr>
          <w:rFonts w:cstheme="minorHAnsi"/>
        </w:rPr>
      </w:pPr>
      <w:r w:rsidRPr="00062473">
        <w:rPr>
          <w:rFonts w:cstheme="minorHAnsi"/>
        </w:rPr>
        <w:t xml:space="preserve">Podizanje svijesti  o potrebi za cjeloživotnim učenjem i razvojem karijere, </w:t>
      </w:r>
    </w:p>
    <w:p w14:paraId="07C9973D" w14:textId="77777777" w:rsidR="00257DCB" w:rsidRPr="00062473" w:rsidRDefault="00257DCB" w:rsidP="00257DCB">
      <w:pPr>
        <w:pStyle w:val="ListParagraph"/>
        <w:numPr>
          <w:ilvl w:val="0"/>
          <w:numId w:val="15"/>
        </w:numPr>
        <w:jc w:val="both"/>
        <w:rPr>
          <w:rFonts w:cstheme="minorHAnsi"/>
        </w:rPr>
      </w:pPr>
      <w:r w:rsidRPr="00062473">
        <w:rPr>
          <w:rFonts w:cstheme="minorHAnsi"/>
        </w:rPr>
        <w:lastRenderedPageBreak/>
        <w:t xml:space="preserve">Osnaživanje politika karijerne orijentacije na nivou sistema, </w:t>
      </w:r>
    </w:p>
    <w:p w14:paraId="4C05BA46" w14:textId="77777777" w:rsidR="00257DCB" w:rsidRPr="00062473" w:rsidRDefault="00257DCB" w:rsidP="00257DCB">
      <w:pPr>
        <w:pStyle w:val="ListParagraph"/>
        <w:numPr>
          <w:ilvl w:val="0"/>
          <w:numId w:val="15"/>
        </w:numPr>
        <w:jc w:val="both"/>
        <w:rPr>
          <w:rFonts w:cstheme="minorHAnsi"/>
        </w:rPr>
      </w:pPr>
      <w:r w:rsidRPr="00062473">
        <w:rPr>
          <w:rFonts w:cstheme="minorHAnsi"/>
        </w:rPr>
        <w:t xml:space="preserve">Jačanje karijerne orijentacije u obrazovnom sistemu Crne Gore, </w:t>
      </w:r>
    </w:p>
    <w:p w14:paraId="196F77B3" w14:textId="77777777" w:rsidR="00257DCB" w:rsidRPr="00062473" w:rsidRDefault="00257DCB" w:rsidP="00257DCB">
      <w:pPr>
        <w:pStyle w:val="ListParagraph"/>
        <w:numPr>
          <w:ilvl w:val="0"/>
          <w:numId w:val="15"/>
        </w:numPr>
        <w:jc w:val="both"/>
        <w:rPr>
          <w:rFonts w:cstheme="minorHAnsi"/>
        </w:rPr>
      </w:pPr>
      <w:r w:rsidRPr="00062473">
        <w:rPr>
          <w:rFonts w:cstheme="minorHAnsi"/>
        </w:rPr>
        <w:t xml:space="preserve">Jačanje usluga karijerne orijentacije za nezaposlene i zaposlene i </w:t>
      </w:r>
    </w:p>
    <w:p w14:paraId="234F455C" w14:textId="12C7E381" w:rsidR="00257DCB" w:rsidRPr="00062473" w:rsidRDefault="00257DCB" w:rsidP="00257DCB">
      <w:pPr>
        <w:pStyle w:val="ListParagraph"/>
        <w:numPr>
          <w:ilvl w:val="0"/>
          <w:numId w:val="15"/>
        </w:numPr>
        <w:jc w:val="both"/>
        <w:rPr>
          <w:rFonts w:cstheme="minorHAnsi"/>
        </w:rPr>
      </w:pPr>
      <w:r w:rsidRPr="00062473">
        <w:rPr>
          <w:rFonts w:cstheme="minorHAnsi"/>
        </w:rPr>
        <w:t>Obezbjeđivanje kvaliteta u karijernoj orijentaciji.</w:t>
      </w:r>
    </w:p>
    <w:p w14:paraId="33249518" w14:textId="74F0217C" w:rsidR="00257DCB" w:rsidRDefault="00257DCB" w:rsidP="00257DCB">
      <w:pPr>
        <w:jc w:val="both"/>
        <w:rPr>
          <w:rFonts w:cstheme="minorHAnsi"/>
        </w:rPr>
      </w:pPr>
      <w:r w:rsidRPr="00062473">
        <w:rPr>
          <w:rFonts w:cstheme="minorHAnsi"/>
        </w:rPr>
        <w:t xml:space="preserve">Ukupno posmatrajući, procenat </w:t>
      </w:r>
      <w:r w:rsidR="0060674B">
        <w:rPr>
          <w:rFonts w:cstheme="minorHAnsi"/>
        </w:rPr>
        <w:t xml:space="preserve">potpuno </w:t>
      </w:r>
      <w:r w:rsidRPr="00062473">
        <w:rPr>
          <w:rFonts w:cstheme="minorHAnsi"/>
        </w:rPr>
        <w:t>realizovanih aktivnosti</w:t>
      </w:r>
      <w:r w:rsidR="0060674B">
        <w:rPr>
          <w:rFonts w:cstheme="minorHAnsi"/>
        </w:rPr>
        <w:t xml:space="preserve"> za cjelokupni period trajanja </w:t>
      </w:r>
      <w:r w:rsidR="00040166">
        <w:rPr>
          <w:rFonts w:cstheme="minorHAnsi"/>
        </w:rPr>
        <w:t xml:space="preserve">prethodnog </w:t>
      </w:r>
      <w:r w:rsidR="0060674B">
        <w:rPr>
          <w:rFonts w:cstheme="minorHAnsi"/>
        </w:rPr>
        <w:t>strateškog dokumenta je</w:t>
      </w:r>
      <w:r w:rsidRPr="00062473">
        <w:rPr>
          <w:rFonts w:cstheme="minorHAnsi"/>
        </w:rPr>
        <w:t xml:space="preserve"> zadovoljavajući (83%), uzevši u obzir okolnosti u kojima se Strategija realizovala: </w:t>
      </w:r>
      <w:r w:rsidR="007B6AD0">
        <w:rPr>
          <w:rFonts w:cstheme="minorHAnsi"/>
        </w:rPr>
        <w:t>p</w:t>
      </w:r>
      <w:r w:rsidRPr="00062473">
        <w:rPr>
          <w:rFonts w:cstheme="minorHAnsi"/>
        </w:rPr>
        <w:t>andemija virusa Covid-19, temeljne struk</w:t>
      </w:r>
      <w:r w:rsidR="00334D2B">
        <w:rPr>
          <w:rFonts w:cstheme="minorHAnsi"/>
        </w:rPr>
        <w:t>t</w:t>
      </w:r>
      <w:r w:rsidRPr="00062473">
        <w:rPr>
          <w:rFonts w:cstheme="minorHAnsi"/>
        </w:rPr>
        <w:t>urne i kadrovske promjene sistema, nedostatak budžetskih sredstava kao i promjene na tržištu rada, što svakako ne bi smjelo biti opravdanje za dalje planske i str</w:t>
      </w:r>
      <w:r w:rsidR="00334D2B">
        <w:rPr>
          <w:rFonts w:cstheme="minorHAnsi"/>
        </w:rPr>
        <w:t>a</w:t>
      </w:r>
      <w:r w:rsidRPr="00062473">
        <w:rPr>
          <w:rFonts w:cstheme="minorHAnsi"/>
        </w:rPr>
        <w:t>teške aktivnosti u ovoj važnoj oblasti.</w:t>
      </w:r>
    </w:p>
    <w:p w14:paraId="77B4F323" w14:textId="3151C9B0" w:rsidR="0060674B" w:rsidRPr="00062473" w:rsidRDefault="0060674B" w:rsidP="0060674B">
      <w:pPr>
        <w:jc w:val="center"/>
        <w:rPr>
          <w:rFonts w:cstheme="minorHAnsi"/>
        </w:rPr>
      </w:pPr>
      <w:r w:rsidRPr="0060674B">
        <w:rPr>
          <w:rFonts w:ascii="Calibri" w:eastAsia="Calibri" w:hAnsi="Calibri" w:cs="Times New Roman"/>
          <w:b/>
          <w:noProof/>
          <w:lang w:val="en-US"/>
        </w:rPr>
        <w:drawing>
          <wp:inline distT="0" distB="0" distL="0" distR="0" wp14:anchorId="7F4A7BB0" wp14:editId="0CB7ACFB">
            <wp:extent cx="4092678" cy="2396490"/>
            <wp:effectExtent l="0" t="0" r="3175" b="3810"/>
            <wp:docPr id="1" name="Slika 1" descr="Slika na kojoj se nalazi tekst, snimak ekrana, dijagram, krug&#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nalazi tekst, snimak ekrana, dijagram, krug&#10;&#10;Opis je automatski generis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07746" cy="2405313"/>
                    </a:xfrm>
                    <a:prstGeom prst="rect">
                      <a:avLst/>
                    </a:prstGeom>
                    <a:noFill/>
                    <a:ln>
                      <a:noFill/>
                    </a:ln>
                  </pic:spPr>
                </pic:pic>
              </a:graphicData>
            </a:graphic>
          </wp:inline>
        </w:drawing>
      </w:r>
    </w:p>
    <w:p w14:paraId="13D0778B" w14:textId="6823FFF7" w:rsidR="00040166" w:rsidRPr="00040166" w:rsidRDefault="00040166" w:rsidP="00040166">
      <w:pPr>
        <w:jc w:val="center"/>
        <w:rPr>
          <w:rFonts w:cstheme="minorHAnsi"/>
          <w:color w:val="595959" w:themeColor="text1" w:themeTint="A6"/>
          <w:sz w:val="18"/>
          <w:szCs w:val="18"/>
        </w:rPr>
      </w:pPr>
      <w:r w:rsidRPr="00040166">
        <w:rPr>
          <w:rFonts w:cstheme="minorHAnsi"/>
          <w:color w:val="595959" w:themeColor="text1" w:themeTint="A6"/>
          <w:sz w:val="18"/>
          <w:szCs w:val="18"/>
        </w:rPr>
        <w:t>Grafik br. ??: Ukupan procenat realizacije aktivnosti za period 2016-2020</w:t>
      </w:r>
    </w:p>
    <w:p w14:paraId="6C17F063" w14:textId="65BB7078" w:rsidR="0060674B" w:rsidRPr="0060674B" w:rsidRDefault="0060674B" w:rsidP="0060674B">
      <w:pPr>
        <w:jc w:val="both"/>
        <w:rPr>
          <w:rFonts w:cstheme="minorHAnsi"/>
        </w:rPr>
      </w:pPr>
      <w:r w:rsidRPr="0060674B">
        <w:rPr>
          <w:rFonts w:cstheme="minorHAnsi"/>
        </w:rPr>
        <w:t xml:space="preserve">Tokom </w:t>
      </w:r>
      <w:r w:rsidR="00621D25">
        <w:rPr>
          <w:rFonts w:cstheme="minorHAnsi"/>
        </w:rPr>
        <w:t>perioda implementacije</w:t>
      </w:r>
      <w:r w:rsidRPr="0060674B">
        <w:rPr>
          <w:rFonts w:cstheme="minorHAnsi"/>
        </w:rPr>
        <w:t xml:space="preserve">, nadležne institucije su u skladu sa mogućnostima i okolnostima realizovale aktivnosti </w:t>
      </w:r>
      <w:r w:rsidR="005C6F95">
        <w:rPr>
          <w:rFonts w:cstheme="minorHAnsi"/>
        </w:rPr>
        <w:t>strateškim dokumentom za period 2016-2020</w:t>
      </w:r>
      <w:r w:rsidRPr="0060674B">
        <w:rPr>
          <w:rFonts w:cstheme="minorHAnsi"/>
        </w:rPr>
        <w:t>. Tadašnje Ministarstvo prosvjete, nauke, kulture i sporta u saradnji sa ostalim nadležnim institucijama: Centrom za stručno obrazovanje, Zavodom za školstvo, Zavodom za zapošljavanje Crne Gore je realizovalo brojne aktivnosti u cilju promocije karijernog vođenja i savjetovanja među učenicima, karijernim savjetnicima u školama i CIPS-ovima, roditeljima, dok su institucije visokog obrazovanja bile zadužene za saradnju sa studentima preko karijernih cenatara na univerzitetima. Takođe, značajan doprinos su dali i udruženja poslodavaca, Privredna komora i Unija poslodavaca Crne Gore koje su kroz svoje odbore i druga savjetovana tijela promovisale ideju karijernog vođenja i savjetovanja među zaposlenim i odraslim građanima Crne Gore. Međutim, osim promotivnih aktivnosti, ostali segmenti značajni za unapređenje stanja u ovoj oblasti nisu pokazali veliki napredak, što će i sam izvještaj pokazati.</w:t>
      </w:r>
    </w:p>
    <w:p w14:paraId="6C1AD9C6" w14:textId="06F89A68" w:rsidR="0060674B" w:rsidRDefault="0060674B" w:rsidP="0060674B">
      <w:pPr>
        <w:jc w:val="both"/>
        <w:rPr>
          <w:rFonts w:cstheme="minorHAnsi"/>
        </w:rPr>
      </w:pPr>
      <w:r w:rsidRPr="0060674B">
        <w:rPr>
          <w:rFonts w:cstheme="minorHAnsi"/>
        </w:rPr>
        <w:lastRenderedPageBreak/>
        <w:t>Poseban doprinos razvoju karijernog savjetovanja u Crnoj Gori predstavlja intersektorska saradnja u ovoj oblasti i uključivanje svih ciljnih grupa podjednako: učenika, roditelja, karijernih savjetnika u CIPS-ovima i obrazovnim ustanovama, odraslih, mladih. Prethodno formirano Nacionalno koordinaciono tijelo za karijernu orijentaciju nije funkcionisalo, što je uticalo na kvalitet i efektivnost međuresorske saradnje.</w:t>
      </w:r>
    </w:p>
    <w:p w14:paraId="0805C867" w14:textId="45F0F0B2" w:rsidR="0060674B" w:rsidRPr="0060674B" w:rsidRDefault="0060674B" w:rsidP="0060674B">
      <w:pPr>
        <w:jc w:val="both"/>
        <w:rPr>
          <w:rFonts w:cstheme="minorHAnsi"/>
        </w:rPr>
      </w:pPr>
      <w:r w:rsidRPr="0060674B">
        <w:rPr>
          <w:rFonts w:cstheme="minorHAnsi"/>
        </w:rPr>
        <w:t xml:space="preserve">Najviši stepen realizacije je evidentan u ostvarivanju prioriteta 1: Podizanje svijesti o potrebi za cjeloživotnim učenjem i razvojem karijere, i to </w:t>
      </w:r>
      <w:r w:rsidR="00040166">
        <w:rPr>
          <w:rFonts w:cstheme="minorHAnsi"/>
        </w:rPr>
        <w:t xml:space="preserve">primarno kroz realizaciju mjere koja se odnosi na promociju </w:t>
      </w:r>
      <w:r w:rsidRPr="0060674B">
        <w:rPr>
          <w:rFonts w:cstheme="minorHAnsi"/>
        </w:rPr>
        <w:t>cjeloživotno</w:t>
      </w:r>
      <w:r w:rsidR="00040166">
        <w:rPr>
          <w:rFonts w:cstheme="minorHAnsi"/>
        </w:rPr>
        <w:t>g</w:t>
      </w:r>
      <w:r w:rsidRPr="0060674B">
        <w:rPr>
          <w:rFonts w:cstheme="minorHAnsi"/>
        </w:rPr>
        <w:t xml:space="preserve"> učenj</w:t>
      </w:r>
      <w:r w:rsidR="00040166">
        <w:rPr>
          <w:rFonts w:cstheme="minorHAnsi"/>
        </w:rPr>
        <w:t>a</w:t>
      </w:r>
      <w:r w:rsidRPr="0060674B">
        <w:rPr>
          <w:rFonts w:cstheme="minorHAnsi"/>
        </w:rPr>
        <w:t xml:space="preserve"> i karijern</w:t>
      </w:r>
      <w:r w:rsidR="00040166">
        <w:rPr>
          <w:rFonts w:cstheme="minorHAnsi"/>
        </w:rPr>
        <w:t>e</w:t>
      </w:r>
      <w:r w:rsidRPr="0060674B">
        <w:rPr>
          <w:rFonts w:cstheme="minorHAnsi"/>
        </w:rPr>
        <w:t xml:space="preserve"> orijentacij</w:t>
      </w:r>
      <w:r w:rsidR="00040166">
        <w:rPr>
          <w:rFonts w:cstheme="minorHAnsi"/>
        </w:rPr>
        <w:t>e</w:t>
      </w:r>
      <w:r w:rsidRPr="0060674B">
        <w:rPr>
          <w:rFonts w:cstheme="minorHAnsi"/>
        </w:rPr>
        <w:t xml:space="preserve">, </w:t>
      </w:r>
      <w:r w:rsidR="00683D99">
        <w:rPr>
          <w:rFonts w:cstheme="minorHAnsi"/>
        </w:rPr>
        <w:t>u okviru koje je</w:t>
      </w:r>
      <w:r w:rsidRPr="0060674B">
        <w:rPr>
          <w:rFonts w:cstheme="minorHAnsi"/>
        </w:rPr>
        <w:t xml:space="preserve"> real</w:t>
      </w:r>
      <w:r w:rsidR="00040166">
        <w:rPr>
          <w:rFonts w:cstheme="minorHAnsi"/>
        </w:rPr>
        <w:t>i</w:t>
      </w:r>
      <w:r w:rsidRPr="0060674B">
        <w:rPr>
          <w:rFonts w:cstheme="minorHAnsi"/>
        </w:rPr>
        <w:t>zovano 30 aktivnosti, o</w:t>
      </w:r>
      <w:r w:rsidR="00040166">
        <w:rPr>
          <w:rFonts w:cstheme="minorHAnsi"/>
        </w:rPr>
        <w:t>d</w:t>
      </w:r>
      <w:r w:rsidRPr="0060674B">
        <w:rPr>
          <w:rFonts w:cstheme="minorHAnsi"/>
        </w:rPr>
        <w:t xml:space="preserve"> ukupno 72</w:t>
      </w:r>
      <w:r w:rsidR="00040166">
        <w:rPr>
          <w:rFonts w:cstheme="minorHAnsi"/>
        </w:rPr>
        <w:t xml:space="preserve"> aktivnosti</w:t>
      </w:r>
      <w:r w:rsidRPr="0060674B">
        <w:rPr>
          <w:rFonts w:cstheme="minorHAnsi"/>
        </w:rPr>
        <w:t xml:space="preserve"> koliko </w:t>
      </w:r>
      <w:r w:rsidR="00040166">
        <w:rPr>
          <w:rFonts w:cstheme="minorHAnsi"/>
        </w:rPr>
        <w:t xml:space="preserve">strateški dokument </w:t>
      </w:r>
      <w:r w:rsidRPr="0060674B">
        <w:rPr>
          <w:rFonts w:cstheme="minorHAnsi"/>
        </w:rPr>
        <w:t>sadrži. Najveći doprinos realizaciji ovog cilja ostva</w:t>
      </w:r>
      <w:r>
        <w:rPr>
          <w:rFonts w:cstheme="minorHAnsi"/>
        </w:rPr>
        <w:t>r</w:t>
      </w:r>
      <w:r w:rsidRPr="0060674B">
        <w:rPr>
          <w:rFonts w:cstheme="minorHAnsi"/>
        </w:rPr>
        <w:t>en je putem nacionalnog Euroguidance centra, u okviru  Ministarstva prosvjete</w:t>
      </w:r>
      <w:r w:rsidR="00DE6FDE">
        <w:rPr>
          <w:rFonts w:cstheme="minorHAnsi"/>
        </w:rPr>
        <w:t>, nauke i inovacija</w:t>
      </w:r>
      <w:r w:rsidRPr="0060674B">
        <w:rPr>
          <w:rFonts w:cstheme="minorHAnsi"/>
        </w:rPr>
        <w:t>. Poslije toga, slijedi realizacija mjere</w:t>
      </w:r>
      <w:r w:rsidR="00040166">
        <w:rPr>
          <w:rFonts w:cstheme="minorHAnsi"/>
        </w:rPr>
        <w:t xml:space="preserve"> r</w:t>
      </w:r>
      <w:r w:rsidRPr="0060674B">
        <w:rPr>
          <w:rFonts w:cstheme="minorHAnsi"/>
        </w:rPr>
        <w:t>azvoj i unapređenj</w:t>
      </w:r>
      <w:r w:rsidR="00040166">
        <w:rPr>
          <w:rFonts w:cstheme="minorHAnsi"/>
        </w:rPr>
        <w:t>a</w:t>
      </w:r>
      <w:r w:rsidRPr="0060674B">
        <w:rPr>
          <w:rFonts w:cstheme="minorHAnsi"/>
        </w:rPr>
        <w:t xml:space="preserve"> programa za nezaposlene i zaposlene u cilju savladavanja i unapređenja vještina koje su važne za razvoj karijere, u okviru Prioriteta 4: Jačanje usluga karijerne orijentacije za nezaposlene i zaposlene, kojom je ost</w:t>
      </w:r>
      <w:r w:rsidR="00040166">
        <w:rPr>
          <w:rFonts w:cstheme="minorHAnsi"/>
        </w:rPr>
        <w:t>v</w:t>
      </w:r>
      <w:r w:rsidRPr="0060674B">
        <w:rPr>
          <w:rFonts w:cstheme="minorHAnsi"/>
        </w:rPr>
        <w:t>a</w:t>
      </w:r>
      <w:r w:rsidR="00040166">
        <w:rPr>
          <w:rFonts w:cstheme="minorHAnsi"/>
        </w:rPr>
        <w:t>r</w:t>
      </w:r>
      <w:r w:rsidRPr="0060674B">
        <w:rPr>
          <w:rFonts w:cstheme="minorHAnsi"/>
        </w:rPr>
        <w:t>eno 13 aktivnosti od ukupno 15 realizovanih u okviru navedene mjere (86,7%). Najveći doprinos realizaciji ove mjere je dala Privredna komora Crne Gore.</w:t>
      </w:r>
    </w:p>
    <w:p w14:paraId="0A483F4F" w14:textId="43CBC5DD" w:rsidR="0060674B" w:rsidRDefault="0060674B" w:rsidP="0060674B">
      <w:pPr>
        <w:jc w:val="both"/>
        <w:rPr>
          <w:rFonts w:cstheme="minorHAnsi"/>
        </w:rPr>
      </w:pPr>
      <w:r>
        <w:rPr>
          <w:rFonts w:cstheme="minorHAnsi"/>
        </w:rPr>
        <w:t>Potrebno je istaći</w:t>
      </w:r>
      <w:r w:rsidRPr="0060674B">
        <w:rPr>
          <w:rFonts w:cstheme="minorHAnsi"/>
        </w:rPr>
        <w:t xml:space="preserve"> da je prioritet 3: Jačanje karijerne orijentacije u obrazovnom sistemu, realizovan 100% sa ukupno 14 realizovanih mjera, što se, bez obzira na visok stepen ralizacije,  pokazalo nedovoljnim, jer efekti ove mjere na same učenike nisu dali potrebne rezultate. Zbog toga bi u narednom strateškom dokumentu bilo izuzetno važno ovoj temi posvetiti veći značaj.</w:t>
      </w:r>
    </w:p>
    <w:p w14:paraId="08C4BBC8" w14:textId="48CFA487" w:rsidR="0060674B" w:rsidRPr="0060674B" w:rsidRDefault="0060674B" w:rsidP="0060674B">
      <w:pPr>
        <w:jc w:val="both"/>
        <w:rPr>
          <w:rFonts w:cstheme="minorHAnsi"/>
        </w:rPr>
      </w:pPr>
      <w:r w:rsidRPr="0060674B">
        <w:rPr>
          <w:rFonts w:cstheme="minorHAnsi"/>
        </w:rPr>
        <w:t>Potpuno nerelizovana mjera se odnosi</w:t>
      </w:r>
      <w:r w:rsidR="00040166">
        <w:rPr>
          <w:rFonts w:cstheme="minorHAnsi"/>
        </w:rPr>
        <w:t xml:space="preserve"> </w:t>
      </w:r>
      <w:r w:rsidRPr="0060674B">
        <w:rPr>
          <w:rFonts w:cstheme="minorHAnsi"/>
        </w:rPr>
        <w:t>na širenje mreže karijernih centara u institucijama i ustanovama (u okviru Prioriteta 4)</w:t>
      </w:r>
      <w:r w:rsidR="00040166">
        <w:rPr>
          <w:rFonts w:cstheme="minorHAnsi"/>
        </w:rPr>
        <w:t>,</w:t>
      </w:r>
      <w:r w:rsidRPr="0060674B">
        <w:rPr>
          <w:rFonts w:cstheme="minorHAnsi"/>
        </w:rPr>
        <w:t xml:space="preserve"> zbog </w:t>
      </w:r>
      <w:r w:rsidR="00040166">
        <w:rPr>
          <w:rFonts w:cstheme="minorHAnsi"/>
        </w:rPr>
        <w:t xml:space="preserve">tada </w:t>
      </w:r>
      <w:r w:rsidRPr="0060674B">
        <w:rPr>
          <w:rFonts w:cstheme="minorHAnsi"/>
        </w:rPr>
        <w:t>aktuelne sitacije</w:t>
      </w:r>
      <w:r w:rsidR="00040166">
        <w:rPr>
          <w:rFonts w:cstheme="minorHAnsi"/>
        </w:rPr>
        <w:t xml:space="preserve"> izazvane</w:t>
      </w:r>
      <w:r w:rsidRPr="0060674B">
        <w:rPr>
          <w:rFonts w:cstheme="minorHAnsi"/>
        </w:rPr>
        <w:t xml:space="preserve"> pandemij</w:t>
      </w:r>
      <w:r w:rsidR="00040166">
        <w:rPr>
          <w:rFonts w:cstheme="minorHAnsi"/>
        </w:rPr>
        <w:t>om</w:t>
      </w:r>
      <w:r w:rsidRPr="0060674B">
        <w:rPr>
          <w:rFonts w:cstheme="minorHAnsi"/>
        </w:rPr>
        <w:t xml:space="preserve"> </w:t>
      </w:r>
      <w:r w:rsidR="00040166">
        <w:rPr>
          <w:rFonts w:cstheme="minorHAnsi"/>
        </w:rPr>
        <w:t xml:space="preserve">virusa </w:t>
      </w:r>
      <w:r w:rsidRPr="0060674B">
        <w:rPr>
          <w:rFonts w:cstheme="minorHAnsi"/>
        </w:rPr>
        <w:t>Covid</w:t>
      </w:r>
      <w:r w:rsidR="00040166">
        <w:rPr>
          <w:rFonts w:cstheme="minorHAnsi"/>
        </w:rPr>
        <w:t>-</w:t>
      </w:r>
      <w:r w:rsidRPr="0060674B">
        <w:rPr>
          <w:rFonts w:cstheme="minorHAnsi"/>
        </w:rPr>
        <w:t xml:space="preserve">19, zatim usljed statusa CIPS centara, strukturnih promjena ministarstva nadležnog za resor rada, promjena u visoko-rukovodnom kadru, te bi se ovom polju djelovanja moralo posvetiti više pažnje u novom strateškom dokumentu. </w:t>
      </w:r>
      <w:r w:rsidR="007C6551">
        <w:rPr>
          <w:rFonts w:cstheme="minorHAnsi"/>
        </w:rPr>
        <w:t xml:space="preserve"> </w:t>
      </w:r>
      <w:r w:rsidRPr="0060674B">
        <w:rPr>
          <w:rFonts w:cstheme="minorHAnsi"/>
        </w:rPr>
        <w:t xml:space="preserve">Transformacija CIPS centara je važno strateško pitanje, koje značajno utiče na usluge koje se pružaju prije svega nezaposlenima, a zatim i drugim licima na polju karijerne orijentacije.  </w:t>
      </w:r>
    </w:p>
    <w:p w14:paraId="7B728E5E" w14:textId="2FF4ED36" w:rsidR="0060674B" w:rsidRDefault="0060674B" w:rsidP="0060674B">
      <w:pPr>
        <w:jc w:val="both"/>
        <w:rPr>
          <w:rFonts w:cstheme="minorHAnsi"/>
        </w:rPr>
      </w:pPr>
      <w:r w:rsidRPr="0060674B">
        <w:rPr>
          <w:rFonts w:cstheme="minorHAnsi"/>
        </w:rPr>
        <w:t xml:space="preserve">Najniži stepen realizacije (svega 40%) je u realizaciji prioriteta 2: Osnaživanje politike karijerne orijentacije na nivou sistema, koji </w:t>
      </w:r>
      <w:r w:rsidR="007C6551">
        <w:rPr>
          <w:rFonts w:cstheme="minorHAnsi"/>
        </w:rPr>
        <w:t>je imao</w:t>
      </w:r>
      <w:r w:rsidRPr="0060674B">
        <w:rPr>
          <w:rFonts w:cstheme="minorHAnsi"/>
        </w:rPr>
        <w:t xml:space="preserve"> planiranu samo jednu mjeru</w:t>
      </w:r>
      <w:r w:rsidR="007C6551">
        <w:rPr>
          <w:rFonts w:cstheme="minorHAnsi"/>
        </w:rPr>
        <w:t xml:space="preserve"> koja se odnosi na unapređenje zakonske regulative</w:t>
      </w:r>
      <w:r w:rsidRPr="0060674B">
        <w:rPr>
          <w:rFonts w:cstheme="minorHAnsi"/>
        </w:rPr>
        <w:t xml:space="preserve"> i drug</w:t>
      </w:r>
      <w:r w:rsidR="007C6551">
        <w:rPr>
          <w:rFonts w:cstheme="minorHAnsi"/>
        </w:rPr>
        <w:t>ih</w:t>
      </w:r>
      <w:r w:rsidRPr="0060674B">
        <w:rPr>
          <w:rFonts w:cstheme="minorHAnsi"/>
        </w:rPr>
        <w:t xml:space="preserve"> dokumenata u odnosu na okvire EU, što je </w:t>
      </w:r>
      <w:r w:rsidR="007C6551">
        <w:rPr>
          <w:rFonts w:cstheme="minorHAnsi"/>
        </w:rPr>
        <w:t>predstavljao</w:t>
      </w:r>
      <w:r w:rsidRPr="0060674B">
        <w:rPr>
          <w:rFonts w:cstheme="minorHAnsi"/>
        </w:rPr>
        <w:t xml:space="preserve"> previše ambiciozno postavljen cilj</w:t>
      </w:r>
      <w:r w:rsidR="007C6551">
        <w:rPr>
          <w:rFonts w:cstheme="minorHAnsi"/>
        </w:rPr>
        <w:t xml:space="preserve"> za tada postojeće kapacitete u okviru javne politike</w:t>
      </w:r>
      <w:r w:rsidRPr="0060674B">
        <w:rPr>
          <w:rFonts w:cstheme="minorHAnsi"/>
        </w:rPr>
        <w:t>. Preporuka za naredni period je da se prilikom planiranja aktivnosti u okviru ove teme, razmotre realne prilike</w:t>
      </w:r>
      <w:r w:rsidR="007C6551">
        <w:rPr>
          <w:rFonts w:cstheme="minorHAnsi"/>
        </w:rPr>
        <w:t xml:space="preserve"> i kapaciteti koji su dostupni </w:t>
      </w:r>
      <w:r w:rsidRPr="0060674B">
        <w:rPr>
          <w:rFonts w:cstheme="minorHAnsi"/>
        </w:rPr>
        <w:t xml:space="preserve"> za </w:t>
      </w:r>
      <w:r w:rsidR="007C6551">
        <w:rPr>
          <w:rFonts w:cstheme="minorHAnsi"/>
        </w:rPr>
        <w:t>realizaciju navedenih aktivnosti</w:t>
      </w:r>
      <w:r w:rsidRPr="0060674B">
        <w:rPr>
          <w:rFonts w:cstheme="minorHAnsi"/>
        </w:rPr>
        <w:t>.</w:t>
      </w:r>
    </w:p>
    <w:p w14:paraId="11C21387" w14:textId="321B375B" w:rsidR="00A66BAC" w:rsidRDefault="00993F6F" w:rsidP="00A66BAC">
      <w:pPr>
        <w:pStyle w:val="Heading2"/>
      </w:pPr>
      <w:bookmarkStart w:id="9" w:name="_Toc197274073"/>
      <w:r w:rsidRPr="00A66BAC">
        <w:t>JAČANJE KARIJERNE ORIJENTACIJE U OBRAZOVNOM SISTEMU CRNE GORE</w:t>
      </w:r>
      <w:bookmarkEnd w:id="9"/>
    </w:p>
    <w:p w14:paraId="7AB53167" w14:textId="77777777" w:rsidR="00A87B0E" w:rsidRDefault="008D40B8" w:rsidP="00AB2E5F">
      <w:pPr>
        <w:jc w:val="both"/>
      </w:pPr>
      <w:r>
        <w:t>Jačanje karijernog vođenja i savjetovanja u obrazovnom sistemu jeste neophodnost koja sistemskim djelovanjem treba da rezultira značajnim efektima, naročito kada dugoročno posmatramo rezultate ove mjere.</w:t>
      </w:r>
      <w:r w:rsidR="00AB2E5F">
        <w:t xml:space="preserve"> U Crnoj Gori postoje i funkcioni</w:t>
      </w:r>
      <w:r w:rsidR="00773C30">
        <w:t>šu</w:t>
      </w:r>
      <w:r w:rsidR="00AB2E5F">
        <w:t xml:space="preserve"> 163 javne ustanove</w:t>
      </w:r>
      <w:r w:rsidR="00773C30">
        <w:t>-</w:t>
      </w:r>
      <w:r w:rsidR="00AB2E5F">
        <w:t>osnovne škole i 51 srednja škola. Osnovnim obrazovanjem obuhvaćena su djeca uzrasta od šest do 15 godina, a srednjim od 15 do 19 godina.</w:t>
      </w:r>
      <w:r w:rsidR="00773C30">
        <w:t xml:space="preserve"> </w:t>
      </w:r>
      <w:r w:rsidR="00AB2E5F">
        <w:t>Školske 2024/2025. godine</w:t>
      </w:r>
      <w:r w:rsidR="00773C30">
        <w:t>,</w:t>
      </w:r>
      <w:r w:rsidR="00AB2E5F">
        <w:t xml:space="preserve"> nastavu pohađa 69.000 učenika osnovnih i oko 26.400 učenika srednjih škola. </w:t>
      </w:r>
    </w:p>
    <w:p w14:paraId="23B8A3BB" w14:textId="1C94E7FE" w:rsidR="00DA69B5" w:rsidRPr="0076500F" w:rsidRDefault="00DA69B5" w:rsidP="00DA69B5">
      <w:pPr>
        <w:pStyle w:val="ListParagraph"/>
        <w:numPr>
          <w:ilvl w:val="0"/>
          <w:numId w:val="15"/>
        </w:numPr>
        <w:jc w:val="both"/>
      </w:pPr>
      <w:r w:rsidRPr="0076500F">
        <w:t>Od ukupnog broja učenika/ca koji su upisali osnovnu školu 48,2% ili 33</w:t>
      </w:r>
      <w:r w:rsidR="00BB1E64" w:rsidRPr="0076500F">
        <w:t>,</w:t>
      </w:r>
      <w:r w:rsidRPr="0076500F">
        <w:t>665 su djevojčice, a 51,8% ili 36</w:t>
      </w:r>
      <w:r w:rsidR="00BB1E64" w:rsidRPr="0076500F">
        <w:t>,</w:t>
      </w:r>
      <w:r w:rsidRPr="0076500F">
        <w:t xml:space="preserve">143 su dječaci.  </w:t>
      </w:r>
    </w:p>
    <w:p w14:paraId="7D6E1293" w14:textId="277FD900" w:rsidR="00DA69B5" w:rsidRPr="0076500F" w:rsidRDefault="00DA69B5" w:rsidP="00DA69B5">
      <w:pPr>
        <w:pStyle w:val="ListParagraph"/>
        <w:numPr>
          <w:ilvl w:val="0"/>
          <w:numId w:val="15"/>
        </w:numPr>
      </w:pPr>
      <w:r w:rsidRPr="0076500F">
        <w:lastRenderedPageBreak/>
        <w:t>Od ukupnog broja učenika/ca koji su upisali srednju školu</w:t>
      </w:r>
      <w:r w:rsidR="0076500F">
        <w:t xml:space="preserve"> 48,8% ili 13,037 su ženskog pola, dok je </w:t>
      </w:r>
      <w:r w:rsidR="001D6B7F">
        <w:t xml:space="preserve">51,2% ili 13,678 muškog pola. </w:t>
      </w:r>
      <w:r w:rsidRPr="0076500F">
        <w:t xml:space="preserve"> </w:t>
      </w:r>
    </w:p>
    <w:p w14:paraId="64D54D9E" w14:textId="3CD66C72" w:rsidR="00174142" w:rsidRPr="0076500F" w:rsidRDefault="000F1BC2" w:rsidP="00AB2E5F">
      <w:pPr>
        <w:pStyle w:val="ListParagraph"/>
        <w:numPr>
          <w:ilvl w:val="0"/>
          <w:numId w:val="15"/>
        </w:numPr>
        <w:jc w:val="both"/>
      </w:pPr>
      <w:r w:rsidRPr="0076500F">
        <w:t>U zimskom semestru akademske 202</w:t>
      </w:r>
      <w:r w:rsidR="00ED38F5" w:rsidRPr="0076500F">
        <w:t>4</w:t>
      </w:r>
      <w:r w:rsidRPr="0076500F">
        <w:t>/202</w:t>
      </w:r>
      <w:r w:rsidR="00ED38F5" w:rsidRPr="0076500F">
        <w:t>5</w:t>
      </w:r>
      <w:r w:rsidRPr="0076500F">
        <w:t>. godine, na osnovnim</w:t>
      </w:r>
      <w:r w:rsidR="00A479A3" w:rsidRPr="0076500F">
        <w:t xml:space="preserve"> i master</w:t>
      </w:r>
      <w:r w:rsidRPr="0076500F">
        <w:t xml:space="preserve"> studijama, upisano je </w:t>
      </w:r>
      <w:r w:rsidR="00A479A3" w:rsidRPr="0076500F">
        <w:t xml:space="preserve">ukupno </w:t>
      </w:r>
      <w:r w:rsidR="007326BE" w:rsidRPr="0076500F">
        <w:t>6</w:t>
      </w:r>
      <w:r w:rsidR="00962D16" w:rsidRPr="0076500F">
        <w:t>,065</w:t>
      </w:r>
      <w:r w:rsidR="00ED38F5" w:rsidRPr="0076500F">
        <w:t xml:space="preserve"> </w:t>
      </w:r>
      <w:r w:rsidRPr="0076500F">
        <w:t>studenata</w:t>
      </w:r>
      <w:r w:rsidR="00ED38F5" w:rsidRPr="0076500F">
        <w:t xml:space="preserve">. </w:t>
      </w:r>
      <w:r w:rsidR="00962D16" w:rsidRPr="0076500F">
        <w:t>Ukupan broj studentkinja</w:t>
      </w:r>
      <w:r w:rsidR="00174142" w:rsidRPr="0076500F">
        <w:t xml:space="preserve"> 3,512</w:t>
      </w:r>
      <w:r w:rsidR="00962D16" w:rsidRPr="0076500F">
        <w:t xml:space="preserve"> </w:t>
      </w:r>
      <w:r w:rsidR="00174142" w:rsidRPr="0076500F">
        <w:t xml:space="preserve">iliti </w:t>
      </w:r>
      <w:r w:rsidR="00A479A3" w:rsidRPr="0076500F">
        <w:t>58,5%</w:t>
      </w:r>
      <w:r w:rsidR="00174142" w:rsidRPr="0076500F">
        <w:t xml:space="preserve">%, dok je udio studenata </w:t>
      </w:r>
      <w:r w:rsidR="0017666E" w:rsidRPr="0076500F">
        <w:t xml:space="preserve">2,553 iliti </w:t>
      </w:r>
      <w:r w:rsidR="00A479A3" w:rsidRPr="0076500F">
        <w:t>41,5</w:t>
      </w:r>
      <w:r w:rsidR="0017666E" w:rsidRPr="0076500F">
        <w:t>%</w:t>
      </w:r>
      <w:r w:rsidR="007A317A" w:rsidRPr="0076500F">
        <w:t>.</w:t>
      </w:r>
    </w:p>
    <w:p w14:paraId="5DE0E922" w14:textId="77777777" w:rsidR="00BB756C" w:rsidRDefault="00AB2E5F" w:rsidP="00AB2E5F">
      <w:pPr>
        <w:pStyle w:val="ListParagraph"/>
        <w:numPr>
          <w:ilvl w:val="0"/>
          <w:numId w:val="15"/>
        </w:numPr>
        <w:jc w:val="both"/>
      </w:pPr>
      <w:r w:rsidRPr="0076500F">
        <w:t>U dva obrazovna centra nastavu pohađa oko 260 učenika osnovne i srednje</w:t>
      </w:r>
      <w:r>
        <w:t xml:space="preserve"> škole.</w:t>
      </w:r>
      <w:r w:rsidR="00773C30">
        <w:t xml:space="preserve"> </w:t>
      </w:r>
    </w:p>
    <w:p w14:paraId="2D658FDF" w14:textId="0CC432E3" w:rsidR="00773C30" w:rsidRDefault="00AB2E5F" w:rsidP="00BB756C">
      <w:pPr>
        <w:jc w:val="both"/>
      </w:pPr>
      <w:r>
        <w:t>Prema podacima iz Informacionog sistema obrazovanja (MEIS)</w:t>
      </w:r>
      <w:r w:rsidR="00773C30">
        <w:t>,</w:t>
      </w:r>
      <w:r>
        <w:t xml:space="preserve"> timovi za karijerno vođenje formirani su u: </w:t>
      </w:r>
    </w:p>
    <w:p w14:paraId="50FD9420" w14:textId="77777777" w:rsidR="00E764A3" w:rsidRDefault="00AB2E5F" w:rsidP="00E764A3">
      <w:pPr>
        <w:pStyle w:val="ListParagraph"/>
        <w:numPr>
          <w:ilvl w:val="0"/>
          <w:numId w:val="15"/>
        </w:numPr>
        <w:jc w:val="both"/>
      </w:pPr>
      <w:r>
        <w:t xml:space="preserve">69 osnovnih škola sa 372 člana, </w:t>
      </w:r>
    </w:p>
    <w:p w14:paraId="2F4D68CE" w14:textId="47BA767C" w:rsidR="00E764A3" w:rsidRDefault="00AB2E5F" w:rsidP="00E764A3">
      <w:pPr>
        <w:pStyle w:val="ListParagraph"/>
        <w:numPr>
          <w:ilvl w:val="0"/>
          <w:numId w:val="15"/>
        </w:numPr>
        <w:jc w:val="both"/>
      </w:pPr>
      <w:r>
        <w:t>3 srednje škole sa 123 člana</w:t>
      </w:r>
      <w:r w:rsidR="00773C30">
        <w:t>,</w:t>
      </w:r>
    </w:p>
    <w:p w14:paraId="2FDA825A" w14:textId="23DEA42F" w:rsidR="00AB2E5F" w:rsidRDefault="00AB2E5F" w:rsidP="00E764A3">
      <w:pPr>
        <w:pStyle w:val="ListParagraph"/>
        <w:numPr>
          <w:ilvl w:val="0"/>
          <w:numId w:val="15"/>
        </w:numPr>
        <w:jc w:val="both"/>
      </w:pPr>
      <w:r>
        <w:t>dva obrazovna centra sa osam članova.</w:t>
      </w:r>
    </w:p>
    <w:p w14:paraId="29ABF91D" w14:textId="51DD7083" w:rsidR="008D40B8" w:rsidRDefault="008D40B8" w:rsidP="008D40B8">
      <w:pPr>
        <w:jc w:val="both"/>
      </w:pPr>
      <w:r>
        <w:t>Osnaživanje školskih timova za karijernu orijentaciju, edukacija postojećih timova, edukacija novih članova timova (nastavnika</w:t>
      </w:r>
      <w:r w:rsidR="00DA1E66">
        <w:t>/ca</w:t>
      </w:r>
      <w:r>
        <w:t xml:space="preserve"> i stručnih saradnika</w:t>
      </w:r>
      <w:r w:rsidR="00DA1E66">
        <w:t>/ca</w:t>
      </w:r>
      <w:r>
        <w:t>), organizovanje radionica, nastavnih i vannastavnih aktivnosti, ponovno uvođenje izbornog predmeta u osnovnim školama, organizovanje raznih manifestacija, učešća na sajmovima, posjete preduzećima i sl., značajno bi unaprijedilo stanje u ovoj oblasti. Ono što nedostaje, jeste saradnja među školama, fakultetima, poslodavcima i udruženjima poslodavaca, zavodom za zapošljavanje, ne samo u promociji nekih aktivnosti nego u konkretnim aktivnostima na realizaciji programa za učenike</w:t>
      </w:r>
      <w:r w:rsidR="00DA1E66">
        <w:t>/ce</w:t>
      </w:r>
      <w:r>
        <w:t xml:space="preserve"> i studente</w:t>
      </w:r>
      <w:r w:rsidR="00DA1E66">
        <w:t>/kinje</w:t>
      </w:r>
      <w:r>
        <w:t xml:space="preserve">. Što se tiče jačanja karijernog vođenja i savjetovanja na univerzitetima, neophodno je osnažiti aktivnosti karijernog centra na Univerzitetu Crne Gore, kao i saradnju sa drugim univerzitetima i umrežavanje aktivnosti koje doprinose boljim rezultatima. Osnaživanje veze između univerziteta i tržišta rada, značajno bi doprineo ukupnom razvoju društvene strukture. </w:t>
      </w:r>
    </w:p>
    <w:p w14:paraId="4E75297F" w14:textId="77777777" w:rsidR="003A4DC4" w:rsidRDefault="003A4DC4" w:rsidP="003A4DC4">
      <w:pPr>
        <w:jc w:val="both"/>
      </w:pPr>
      <w:r>
        <w:t xml:space="preserve">Centar za stručno obrazovanje i Zavod za školstvo, u okviru eksternog utvrđivanja kvaliteta obrazovno-vaspitnog rada osnovnih i srednjih škola prate pojedine segmente značajne za procjenu kvaliteta sprovođenja usluga karijerne orijentacije kao što su: saradnja škole sa ustanovama i lokalnom zajednicom, praćenje procedura i politika upisa učenika, saradnja sa roditeljima, praćenje učenika koji napuštaju školovanje, praćenje učenika koji su završili školovanje, pružanje podrške nadarenim učenicima, praćenje realizacije praktičnog obrazovanja i profesionalne prakse, profesionalna orijentacija i sl. </w:t>
      </w:r>
    </w:p>
    <w:p w14:paraId="7FC5BAFC" w14:textId="77777777" w:rsidR="003A4DC4" w:rsidRDefault="003A4DC4" w:rsidP="003A4DC4">
      <w:pPr>
        <w:jc w:val="both"/>
      </w:pPr>
      <w:r>
        <w:t>Zaključuje se da je za obezbeđivanje kvaliteta usluga karijerne orijentacije u školama potrebno, u skladu sa zajedničkim standardima kvaliteta, prilagoditi kriterijume i razviti deskriptore u okviru indikatora koji su značajni za praćenje kvaliteta usluga u karijernoj orijentaciji, kako u samoevaluaciji rada škole tako i u eksternoj evaluaciji škole. Anketirani nastavnici smatraju da je za podizanje kvaliteta KVS najvažnije da se učenici upoznaju s poslovima kroz praksu, da se uspostavi saradnja svih aktera u sistemu i da se svim nastavnicima obezbijedi stručno usavršavanje o KVS (Grafik br. 1). Činioci koji se odnose na moguća unaprijeđivanja sistema za KVS, navedeni u Grafiku br. 1 procjenjivani su na skali od 1 do 5 i svi imaju veoma visoke vrijednosti, od 3.76 pa naviše.</w:t>
      </w:r>
    </w:p>
    <w:p w14:paraId="16882ACF" w14:textId="6806E95A" w:rsidR="003A4DC4" w:rsidRDefault="003A4DC4" w:rsidP="003A4DC4">
      <w:pPr>
        <w:jc w:val="center"/>
      </w:pPr>
      <w:r w:rsidRPr="001138B5">
        <w:rPr>
          <w:noProof/>
          <w:highlight w:val="yellow"/>
          <w:lang w:val="en-US"/>
        </w:rPr>
        <w:lastRenderedPageBreak/>
        <w:drawing>
          <wp:inline distT="0" distB="0" distL="0" distR="0" wp14:anchorId="098CA906" wp14:editId="743D05D8">
            <wp:extent cx="5857240" cy="2237740"/>
            <wp:effectExtent l="0" t="0" r="0" b="0"/>
            <wp:docPr id="9"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F080439" w14:textId="32A3D820" w:rsidR="003A4DC4" w:rsidRPr="003A4DC4" w:rsidRDefault="003A4DC4" w:rsidP="003A4DC4">
      <w:pPr>
        <w:jc w:val="center"/>
        <w:rPr>
          <w:color w:val="595959" w:themeColor="text1" w:themeTint="A6"/>
          <w:sz w:val="18"/>
          <w:szCs w:val="18"/>
        </w:rPr>
      </w:pPr>
      <w:r w:rsidRPr="003A4DC4">
        <w:rPr>
          <w:color w:val="595959" w:themeColor="text1" w:themeTint="A6"/>
          <w:sz w:val="18"/>
          <w:szCs w:val="18"/>
        </w:rPr>
        <w:t xml:space="preserve">Grafik br. </w:t>
      </w:r>
      <w:r w:rsidR="007C6551">
        <w:rPr>
          <w:color w:val="595959" w:themeColor="text1" w:themeTint="A6"/>
          <w:sz w:val="18"/>
          <w:szCs w:val="18"/>
        </w:rPr>
        <w:t>??</w:t>
      </w:r>
      <w:r w:rsidRPr="003A4DC4">
        <w:rPr>
          <w:color w:val="595959" w:themeColor="text1" w:themeTint="A6"/>
          <w:sz w:val="18"/>
          <w:szCs w:val="18"/>
        </w:rPr>
        <w:t>: Mišljenje nastavnika o načinima unapređenja KVS</w:t>
      </w:r>
    </w:p>
    <w:p w14:paraId="421869C2" w14:textId="18ED1BF2" w:rsidR="003A4DC4" w:rsidRDefault="000E5276" w:rsidP="003A4DC4">
      <w:pPr>
        <w:jc w:val="both"/>
      </w:pPr>
      <w:r>
        <w:t xml:space="preserve">Kada govorimo o dostupnim podacima, važno je istaći i </w:t>
      </w:r>
      <w:r w:rsidR="003A4DC4" w:rsidRPr="003A4DC4">
        <w:t>E</w:t>
      </w:r>
      <w:r>
        <w:t>-</w:t>
      </w:r>
      <w:r w:rsidR="003A4DC4" w:rsidRPr="003A4DC4">
        <w:t xml:space="preserve">twinning </w:t>
      </w:r>
      <w:r>
        <w:t xml:space="preserve">koji predstavlja </w:t>
      </w:r>
      <w:r w:rsidR="003A4DC4" w:rsidRPr="003A4DC4">
        <w:t>evropsk</w:t>
      </w:r>
      <w:r>
        <w:t>u</w:t>
      </w:r>
      <w:r w:rsidR="003A4DC4" w:rsidRPr="003A4DC4">
        <w:t xml:space="preserve"> platform</w:t>
      </w:r>
      <w:r>
        <w:t>u</w:t>
      </w:r>
      <w:r w:rsidR="003A4DC4" w:rsidRPr="003A4DC4">
        <w:t xml:space="preserve"> za profesionalni razvoj nastavnika, u okviru programa Era</w:t>
      </w:r>
      <w:r w:rsidR="00E16B1B">
        <w:t>s</w:t>
      </w:r>
      <w:r w:rsidR="003A4DC4" w:rsidRPr="003A4DC4">
        <w:t xml:space="preserve">mus+, </w:t>
      </w:r>
      <w:r>
        <w:t xml:space="preserve">koja je </w:t>
      </w:r>
      <w:r w:rsidR="003A4DC4" w:rsidRPr="003A4DC4">
        <w:t>finansiran</w:t>
      </w:r>
      <w:r>
        <w:t>a</w:t>
      </w:r>
      <w:r w:rsidR="003A4DC4" w:rsidRPr="003A4DC4">
        <w:t xml:space="preserve"> od strane EU. </w:t>
      </w:r>
      <w:r w:rsidR="003A4DC4">
        <w:t xml:space="preserve"> </w:t>
      </w:r>
      <w:r w:rsidR="003A4DC4" w:rsidRPr="003A4DC4">
        <w:t>U Crnu Goru je Twinning počeo 1. aprila 2022. godine i u prvoj godini impleme</w:t>
      </w:r>
      <w:r w:rsidR="003A4DC4">
        <w:t>n</w:t>
      </w:r>
      <w:r w:rsidR="003A4DC4" w:rsidRPr="003A4DC4">
        <w:t>tacije organizovanje su jedinice za sprovođenje programa. Istraživanje o stavovima učenika srednjih škola</w:t>
      </w:r>
      <w:r w:rsidR="003A4DC4">
        <w:t xml:space="preserve"> je pokazalo da većina učenika (60%), nije upoznata sa informacijom da li u srednjoj školi koju pohađaju postoji tim za karijerno vođenje</w:t>
      </w:r>
      <w:r w:rsidR="006D68F7">
        <w:t xml:space="preserve"> i savjetovanje. Nasuprot tome, 23% učenika ima dostupan tim za KVS u svojim školama, odnosno 17% učenika nema takav tim u školi koju pohađa.</w:t>
      </w:r>
    </w:p>
    <w:p w14:paraId="3413CD14" w14:textId="4B2A6172" w:rsidR="003A4DC4" w:rsidRDefault="003A4DC4" w:rsidP="003A4DC4">
      <w:pPr>
        <w:jc w:val="center"/>
      </w:pPr>
      <w:r w:rsidRPr="003A4DC4">
        <w:rPr>
          <w:rFonts w:ascii="Century Gothic" w:eastAsia="Times New Roman" w:hAnsi="Century Gothic" w:cs="Times New Roman"/>
          <w:noProof/>
          <w:color w:val="000000"/>
          <w:bdr w:val="none" w:sz="0" w:space="0" w:color="auto" w:frame="1"/>
          <w:lang w:val="en-US"/>
        </w:rPr>
        <w:drawing>
          <wp:inline distT="0" distB="0" distL="0" distR="0" wp14:anchorId="33E9322C" wp14:editId="28888338">
            <wp:extent cx="3672349" cy="2190012"/>
            <wp:effectExtent l="0" t="0" r="4445" b="1270"/>
            <wp:docPr id="8" name="Picture 15" descr="https://lh6.googleusercontent.com/CkeeUJz64sp4qFqx11ssR_K7iABdPaAvBd7cVo2uc74zWcFDZ9U_aFo9QW89X41Fn7Yl1IPU6fZ33KWwgWZjvlVQDl5eUe08tLF_0PbaM0FrIhYRgpBX0K3uf4TT8Msh1IW8RQF0ufl-LnqMb6Agg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CkeeUJz64sp4qFqx11ssR_K7iABdPaAvBd7cVo2uc74zWcFDZ9U_aFo9QW89X41Fn7Yl1IPU6fZ33KWwgWZjvlVQDl5eUe08tLF_0PbaM0FrIhYRgpBX0K3uf4TT8Msh1IW8RQF0ufl-LnqMb6Aggo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88988" cy="2199934"/>
                    </a:xfrm>
                    <a:prstGeom prst="rect">
                      <a:avLst/>
                    </a:prstGeom>
                    <a:noFill/>
                    <a:ln>
                      <a:noFill/>
                    </a:ln>
                  </pic:spPr>
                </pic:pic>
              </a:graphicData>
            </a:graphic>
          </wp:inline>
        </w:drawing>
      </w:r>
    </w:p>
    <w:p w14:paraId="5FA70717" w14:textId="790E46C5" w:rsidR="00EB7860" w:rsidRPr="00EB7860" w:rsidRDefault="00EB7860" w:rsidP="00EB7860">
      <w:pPr>
        <w:jc w:val="center"/>
        <w:rPr>
          <w:color w:val="595959" w:themeColor="text1" w:themeTint="A6"/>
          <w:sz w:val="18"/>
          <w:szCs w:val="18"/>
        </w:rPr>
      </w:pPr>
      <w:r w:rsidRPr="00EB7860">
        <w:rPr>
          <w:color w:val="595959" w:themeColor="text1" w:themeTint="A6"/>
          <w:sz w:val="18"/>
          <w:szCs w:val="18"/>
        </w:rPr>
        <w:lastRenderedPageBreak/>
        <w:t>Grafik br. ??:</w:t>
      </w:r>
      <w:r>
        <w:rPr>
          <w:color w:val="595959" w:themeColor="text1" w:themeTint="A6"/>
          <w:sz w:val="18"/>
          <w:szCs w:val="18"/>
        </w:rPr>
        <w:t xml:space="preserve"> Upoznatost učesnika sa postojanjem tima za karijerno vođenje u školama koje pohađaju</w:t>
      </w:r>
      <w:r w:rsidRPr="00EB7860">
        <w:rPr>
          <w:color w:val="595959" w:themeColor="text1" w:themeTint="A6"/>
          <w:sz w:val="18"/>
          <w:szCs w:val="18"/>
        </w:rPr>
        <w:t>?</w:t>
      </w:r>
    </w:p>
    <w:p w14:paraId="75D14DA9" w14:textId="0D2D21F8" w:rsidR="003A4DC4" w:rsidRDefault="006D68F7" w:rsidP="006D68F7">
      <w:pPr>
        <w:jc w:val="both"/>
      </w:pPr>
      <w:r>
        <w:t xml:space="preserve">U pogledu nivoa detekcije aktivnosti karijernog vođenja u školama od strane učenika, 23% učesnika ankete </w:t>
      </w:r>
      <w:r w:rsidR="000964EC">
        <w:t xml:space="preserve">je </w:t>
      </w:r>
      <w:r w:rsidR="00D22DE5">
        <w:t xml:space="preserve">imalo priliku da detektuje </w:t>
      </w:r>
      <w:r>
        <w:t>naveden</w:t>
      </w:r>
      <w:r w:rsidR="00D22DE5">
        <w:t>e</w:t>
      </w:r>
      <w:r>
        <w:t xml:space="preserve"> aktivnostima </w:t>
      </w:r>
      <w:r w:rsidR="00D22DE5">
        <w:t xml:space="preserve">minimum </w:t>
      </w:r>
      <w:r>
        <w:t>dva puta godišnje, dok njih 15% tu priliku ima jednom godišnje. Važno je istaći da skoro 22% učesnika ankete rijetko ili uopšte ne detektuje navedene aktivnosti, što predstavlja podatak koji je potrebno adresirati u narednom periodu sprovođenja politike u oblasti obrazovanja.</w:t>
      </w:r>
    </w:p>
    <w:p w14:paraId="37001C2C" w14:textId="1A458A45" w:rsidR="006D68F7" w:rsidRDefault="006D68F7" w:rsidP="006D68F7">
      <w:pPr>
        <w:jc w:val="center"/>
      </w:pPr>
      <w:r w:rsidRPr="006D68F7">
        <w:rPr>
          <w:rFonts w:ascii="Century Gothic" w:eastAsia="Times New Roman" w:hAnsi="Century Gothic" w:cs="Times New Roman"/>
          <w:noProof/>
          <w:color w:val="000000"/>
          <w:bdr w:val="none" w:sz="0" w:space="0" w:color="auto" w:frame="1"/>
          <w:lang w:val="en-US"/>
        </w:rPr>
        <w:drawing>
          <wp:inline distT="0" distB="0" distL="0" distR="0" wp14:anchorId="78D63B13" wp14:editId="4DA54914">
            <wp:extent cx="3760839" cy="2359660"/>
            <wp:effectExtent l="0" t="0" r="0" b="2540"/>
            <wp:docPr id="2" name="Picture 16" descr="https://lh4.googleusercontent.com/S-THzUbW2KCE6G1j160NvBk0yOnbJZXc0BW8gdfpIUhWOwTfwCWKIv8DrijUVakNOMH0OPTyS-yiqJQhuXSj5N1FHeOjx6Mqn4Qz5QJeRuG9qmpBJiuUPGKjUfPwgwQO8KKFxLQawEsuGzx53DsdC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4.googleusercontent.com/S-THzUbW2KCE6G1j160NvBk0yOnbJZXc0BW8gdfpIUhWOwTfwCWKIv8DrijUVakNOMH0OPTyS-yiqJQhuXSj5N1FHeOjx6Mqn4Qz5QJeRuG9qmpBJiuUPGKjUfPwgwQO8KKFxLQawEsuGzx53DsdCi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73960" cy="2367893"/>
                    </a:xfrm>
                    <a:prstGeom prst="rect">
                      <a:avLst/>
                    </a:prstGeom>
                    <a:noFill/>
                    <a:ln>
                      <a:noFill/>
                    </a:ln>
                  </pic:spPr>
                </pic:pic>
              </a:graphicData>
            </a:graphic>
          </wp:inline>
        </w:drawing>
      </w:r>
    </w:p>
    <w:p w14:paraId="2947A120" w14:textId="4F3A6B40" w:rsidR="00EB7860" w:rsidRPr="00EB7860" w:rsidRDefault="00EB7860" w:rsidP="00EB7860">
      <w:pPr>
        <w:jc w:val="center"/>
        <w:rPr>
          <w:color w:val="595959" w:themeColor="text1" w:themeTint="A6"/>
          <w:sz w:val="18"/>
          <w:szCs w:val="18"/>
        </w:rPr>
      </w:pPr>
      <w:r w:rsidRPr="00EB7860">
        <w:rPr>
          <w:color w:val="595959" w:themeColor="text1" w:themeTint="A6"/>
          <w:sz w:val="18"/>
          <w:szCs w:val="18"/>
        </w:rPr>
        <w:t xml:space="preserve">Grafik br. ??: </w:t>
      </w:r>
      <w:r>
        <w:rPr>
          <w:color w:val="595959" w:themeColor="text1" w:themeTint="A6"/>
          <w:sz w:val="18"/>
          <w:szCs w:val="18"/>
        </w:rPr>
        <w:t>Detekcija aktivnosti karijernog vođenja u školama</w:t>
      </w:r>
      <w:r w:rsidRPr="00EB7860">
        <w:rPr>
          <w:color w:val="595959" w:themeColor="text1" w:themeTint="A6"/>
          <w:sz w:val="18"/>
          <w:szCs w:val="18"/>
        </w:rPr>
        <w:t>?</w:t>
      </w:r>
    </w:p>
    <w:p w14:paraId="3173DCD4" w14:textId="0EC11EFC" w:rsidR="00C16DEC" w:rsidRDefault="00C16DEC" w:rsidP="00C16DEC">
      <w:pPr>
        <w:jc w:val="both"/>
      </w:pPr>
      <w:r>
        <w:t xml:space="preserve">Tokom decembra mjeseca 2020. godine, uz podršku tadašnjeg Ministarstva prosvjete, nauke, kulture i sporta,  NVO </w:t>
      </w:r>
      <w:r w:rsidR="005A4CFD">
        <w:t>„</w:t>
      </w:r>
      <w:r>
        <w:t>Centar kreativnih vještina</w:t>
      </w:r>
      <w:r w:rsidR="005A4CFD">
        <w:t>“</w:t>
      </w:r>
      <w:r>
        <w:t xml:space="preserve"> sproveo je istraživanje o stavovima učenika srednjih škola na sjeveru Crne Gore, koji se spremaju za dalje obrazovanje ili zaposlenje a bitno je za njihovu karijeru ili uspjeh. Istraživanje je sprovedeno u okviru projekta </w:t>
      </w:r>
      <w:r w:rsidR="005A4CFD">
        <w:t>„</w:t>
      </w:r>
      <w:r>
        <w:t xml:space="preserve">Tvoj talenat za bolju buducnost” koji je podržan od strane </w:t>
      </w:r>
      <w:r w:rsidR="00DE6FDE">
        <w:t xml:space="preserve">tadašnjeg </w:t>
      </w:r>
      <w:r>
        <w:t xml:space="preserve">Ministarstva prosvjete, nauke, kulture i sporta a isti se sprovodio u partnerstvu sa NVO Šansa. Istrazivanje je realizovano na teritoriji opština Berane, Bijelo Polje, Plav, Andrijevica i Rožaje. Anketiranjem 500 ispitanika, od čega je 54% djevojčica (270) i  46% dječaka (230) dobijeni su rezultati koji mogu dati relevantnu sliku o stavovima budućih akademskih građana i poslovnih ljudi, a donekle i o postignućima ovog strateškog dokumenta. </w:t>
      </w:r>
    </w:p>
    <w:p w14:paraId="7B93BCE7" w14:textId="77777777" w:rsidR="00FB4FF4" w:rsidRDefault="00C16DEC" w:rsidP="00C16DEC">
      <w:pPr>
        <w:jc w:val="both"/>
      </w:pPr>
      <w:r>
        <w:t>Anketa je pokazala da su</w:t>
      </w:r>
      <w:r w:rsidR="00FB4FF4">
        <w:t>:</w:t>
      </w:r>
    </w:p>
    <w:p w14:paraId="110DC659" w14:textId="5FABFAF7" w:rsidR="00FB4FF4" w:rsidRDefault="009F1291" w:rsidP="00FB4FF4">
      <w:pPr>
        <w:pStyle w:val="ListParagraph"/>
        <w:numPr>
          <w:ilvl w:val="0"/>
          <w:numId w:val="15"/>
        </w:numPr>
        <w:jc w:val="both"/>
      </w:pPr>
      <w:r>
        <w:t>U</w:t>
      </w:r>
      <w:r w:rsidR="00C16DEC">
        <w:t>čenici</w:t>
      </w:r>
      <w:r>
        <w:t>/ce</w:t>
      </w:r>
      <w:r w:rsidR="00C16DEC">
        <w:t xml:space="preserve"> svjesni činjenice da je učenje iz svojih grešaka  jedan od puteva ka uspjehu i taj procenat je veoma visok, čak 92%.  </w:t>
      </w:r>
    </w:p>
    <w:p w14:paraId="64C10075" w14:textId="77777777" w:rsidR="00FB4FF4" w:rsidRDefault="00C16DEC" w:rsidP="00FB4FF4">
      <w:pPr>
        <w:pStyle w:val="ListParagraph"/>
        <w:numPr>
          <w:ilvl w:val="0"/>
          <w:numId w:val="15"/>
        </w:numPr>
        <w:jc w:val="both"/>
      </w:pPr>
      <w:r>
        <w:t xml:space="preserve">Oko 74% ispitanika su svjesni da preuzimanjem lične odgovornosti mogu uspjeti u daljem školovanju i zaposlenju. </w:t>
      </w:r>
    </w:p>
    <w:p w14:paraId="12DEFD1F" w14:textId="77777777" w:rsidR="00FB4FF4" w:rsidRDefault="00C16DEC" w:rsidP="00FB4FF4">
      <w:pPr>
        <w:pStyle w:val="ListParagraph"/>
        <w:numPr>
          <w:ilvl w:val="0"/>
          <w:numId w:val="15"/>
        </w:numPr>
        <w:jc w:val="both"/>
      </w:pPr>
      <w:r>
        <w:lastRenderedPageBreak/>
        <w:t>Ovim putem</w:t>
      </w:r>
      <w:r w:rsidR="00FB4FF4">
        <w:t>,</w:t>
      </w:r>
      <w:r>
        <w:t xml:space="preserve"> a i putem suočavanja sa sopstvenim ograničenjima mogu da steknu povjerenje i poštovanje kod poslovnih saradnika što je potvrdilo 50% ispitanika. </w:t>
      </w:r>
    </w:p>
    <w:p w14:paraId="3C0CD72C" w14:textId="77777777" w:rsidR="00FB4FF4" w:rsidRDefault="00C16DEC" w:rsidP="00FB4FF4">
      <w:pPr>
        <w:pStyle w:val="ListParagraph"/>
        <w:numPr>
          <w:ilvl w:val="0"/>
          <w:numId w:val="15"/>
        </w:numPr>
        <w:jc w:val="both"/>
      </w:pPr>
      <w:r>
        <w:t xml:space="preserve">Oko 71% je odgovorilo da od svoje buduće karijere očekuju da budu uspješni, a isto toliko ispitanika je odgovorilo da je najvažnije steći odgovornost koja je bitna za dalji poslovni angažman. </w:t>
      </w:r>
    </w:p>
    <w:p w14:paraId="5D6D35FC" w14:textId="0684661E" w:rsidR="00FB4FF4" w:rsidRDefault="00C16DEC" w:rsidP="00FB4FF4">
      <w:pPr>
        <w:pStyle w:val="ListParagraph"/>
        <w:numPr>
          <w:ilvl w:val="0"/>
          <w:numId w:val="15"/>
        </w:numPr>
        <w:jc w:val="both"/>
      </w:pPr>
      <w:r>
        <w:t>Što se tiče daljeg školovanja više od pola ispitanika</w:t>
      </w:r>
      <w:r w:rsidR="00FC01E1">
        <w:t>/ca</w:t>
      </w:r>
      <w:r>
        <w:t>, njih 54% se izjasnilo da najveći uticaj i pružanje realne slike dobijaju od roditelja. Na drugom mjestu se nalaze lični stavovi učenika</w:t>
      </w:r>
      <w:r w:rsidR="00FC01E1">
        <w:t>/ca</w:t>
      </w:r>
      <w:r>
        <w:t xml:space="preserve"> 16% , dok na nešto manji broj ispitanika</w:t>
      </w:r>
      <w:r w:rsidR="00FC01E1">
        <w:t>/ca</w:t>
      </w:r>
      <w:r>
        <w:t xml:space="preserve"> njih 13% utiče škola. </w:t>
      </w:r>
    </w:p>
    <w:p w14:paraId="5CF168B6" w14:textId="71A4E189" w:rsidR="00C16DEC" w:rsidRDefault="00C16DEC" w:rsidP="00FB4FF4">
      <w:pPr>
        <w:pStyle w:val="ListParagraph"/>
        <w:numPr>
          <w:ilvl w:val="0"/>
          <w:numId w:val="15"/>
        </w:numPr>
        <w:jc w:val="both"/>
      </w:pPr>
      <w:r>
        <w:t>Na pitanje gdje se u Crnoj Gori obično može naći posao u željenoj oblasti 40% se izjasnilo da su to državne institucije, 5% lokalna uprava i 19% privatni sektor. Njih 59% želi da nastavi dalje školovanje i usavršavanje, dok 25% nakon završetka srednje škole planira odmah zaposlenje.</w:t>
      </w:r>
    </w:p>
    <w:p w14:paraId="310D5700" w14:textId="3BBD1008" w:rsidR="00C16DEC" w:rsidRDefault="00C16DEC" w:rsidP="00C16DEC">
      <w:pPr>
        <w:jc w:val="both"/>
      </w:pPr>
      <w:r>
        <w:t>Učenici su odgovorili na sljedeći način:</w:t>
      </w:r>
    </w:p>
    <w:p w14:paraId="5F1CC6B8" w14:textId="66018755" w:rsidR="00C16DEC" w:rsidRDefault="00EB7860" w:rsidP="00C16DEC">
      <w:pPr>
        <w:jc w:val="both"/>
      </w:pPr>
      <w:r w:rsidRPr="00EB7860">
        <w:t>Na pitanje</w:t>
      </w:r>
      <w:r>
        <w:t xml:space="preserve"> k</w:t>
      </w:r>
      <w:r w:rsidRPr="00EB7860">
        <w:t xml:space="preserve">ada si odlučio/la šta želiš biti po </w:t>
      </w:r>
      <w:r>
        <w:t xml:space="preserve">završetku </w:t>
      </w:r>
      <w:r w:rsidRPr="00EB7860">
        <w:t>obrazovanj</w:t>
      </w:r>
      <w:r>
        <w:t>a, većina učesnika</w:t>
      </w:r>
      <w:r w:rsidR="00FC01E1">
        <w:t>/ca</w:t>
      </w:r>
      <w:r>
        <w:t xml:space="preserve"> (65%) je odgovorila da je taj vid odluke donijela tokom trajanja školovanja, dok njih 22% u momentu sprovođenja ankete nije donijelo odluku o svojoj budućnosti nakon obrazovanja.</w:t>
      </w:r>
      <w:r w:rsidRPr="00EB7860">
        <w:t xml:space="preserve">  </w:t>
      </w:r>
    </w:p>
    <w:p w14:paraId="155867F3" w14:textId="46E41429" w:rsidR="00EB7860" w:rsidRDefault="00EB7860" w:rsidP="00EB7860">
      <w:pPr>
        <w:jc w:val="center"/>
      </w:pPr>
      <w:r w:rsidRPr="00EB7860">
        <w:rPr>
          <w:rFonts w:ascii="Calibri" w:eastAsia="Calibri" w:hAnsi="Calibri" w:cs="Times New Roman"/>
          <w:noProof/>
          <w:lang w:val="en-US"/>
        </w:rPr>
        <w:drawing>
          <wp:inline distT="0" distB="0" distL="0" distR="0" wp14:anchorId="36E64223" wp14:editId="1BDA1FB1">
            <wp:extent cx="3258127" cy="2403475"/>
            <wp:effectExtent l="0" t="0" r="0" b="0"/>
            <wp:docPr id="6" name="Picture 13" descr="Slika na kojoj se nalazi tekst, snimak ekrana, Font, logotip&#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Slika na kojoj se nalazi tekst, snimak ekrana, Font, logotip&#10;&#10;Opis je automatski generisa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0442" cy="2419936"/>
                    </a:xfrm>
                    <a:prstGeom prst="rect">
                      <a:avLst/>
                    </a:prstGeom>
                    <a:noFill/>
                    <a:ln>
                      <a:noFill/>
                    </a:ln>
                  </pic:spPr>
                </pic:pic>
              </a:graphicData>
            </a:graphic>
          </wp:inline>
        </w:drawing>
      </w:r>
    </w:p>
    <w:p w14:paraId="01041E2D" w14:textId="0FB4AC24" w:rsidR="00EB7860" w:rsidRPr="00EB7860" w:rsidRDefault="00EB7860" w:rsidP="00EB7860">
      <w:pPr>
        <w:jc w:val="center"/>
        <w:rPr>
          <w:color w:val="595959" w:themeColor="text1" w:themeTint="A6"/>
          <w:sz w:val="18"/>
          <w:szCs w:val="18"/>
        </w:rPr>
      </w:pPr>
      <w:r w:rsidRPr="00EB7860">
        <w:rPr>
          <w:color w:val="595959" w:themeColor="text1" w:themeTint="A6"/>
          <w:sz w:val="18"/>
          <w:szCs w:val="18"/>
        </w:rPr>
        <w:t xml:space="preserve">Grafik br. ??: </w:t>
      </w:r>
      <w:r>
        <w:rPr>
          <w:color w:val="595959" w:themeColor="text1" w:themeTint="A6"/>
          <w:sz w:val="18"/>
          <w:szCs w:val="18"/>
        </w:rPr>
        <w:t>Šta želiš biti po završetku obraovanja</w:t>
      </w:r>
      <w:r w:rsidRPr="00EB7860">
        <w:rPr>
          <w:color w:val="595959" w:themeColor="text1" w:themeTint="A6"/>
          <w:sz w:val="18"/>
          <w:szCs w:val="18"/>
        </w:rPr>
        <w:t>?</w:t>
      </w:r>
    </w:p>
    <w:p w14:paraId="6FE11850" w14:textId="3C6A6D8E" w:rsidR="00EB7860" w:rsidRPr="00EB7860" w:rsidRDefault="00EB7860" w:rsidP="00EB7860">
      <w:pPr>
        <w:jc w:val="both"/>
      </w:pPr>
      <w:r w:rsidRPr="00EB7860">
        <w:t>Na pitanje</w:t>
      </w:r>
      <w:r>
        <w:t xml:space="preserve"> </w:t>
      </w:r>
      <w:bookmarkStart w:id="10" w:name="_Hlk192139232"/>
      <w:r w:rsidR="003758C4">
        <w:t>„K</w:t>
      </w:r>
      <w:r w:rsidRPr="00EB7860">
        <w:t>o ti je pomogao da dobiješ realnu sliku različitih zanimanja</w:t>
      </w:r>
      <w:bookmarkEnd w:id="10"/>
      <w:r w:rsidR="003758C4">
        <w:t>“</w:t>
      </w:r>
      <w:r>
        <w:t>, pokazatelj da samo 16% učenika samostalno donosi odluku o izboru svog budućeg karijernog puta ukazuje na neminovnot sprovođenja programa sa učenicima</w:t>
      </w:r>
      <w:r w:rsidR="00807ECB">
        <w:t>/cama</w:t>
      </w:r>
      <w:r>
        <w:t xml:space="preserve"> osnovnoškolskog uzrasta, i to sa svim učenicima</w:t>
      </w:r>
      <w:r w:rsidR="003758C4">
        <w:t>/cama</w:t>
      </w:r>
      <w:r>
        <w:t xml:space="preserve">, </w:t>
      </w:r>
      <w:r>
        <w:lastRenderedPageBreak/>
        <w:t>a ne samo onima koji bi eventualno izabrali karijernu orijentaciju kao izborni predmet. Rezulatati pokazuju da učenici</w:t>
      </w:r>
      <w:r w:rsidR="00457BAC">
        <w:t>/ce</w:t>
      </w:r>
      <w:r>
        <w:t xml:space="preserve"> još uvijek nemaju dovoljnu sistemsku podršku kada je donošenje odluke o svojim putevima školovanja i izbora karijere .</w:t>
      </w:r>
    </w:p>
    <w:p w14:paraId="23E0EC73" w14:textId="419BA986" w:rsidR="00EB7860" w:rsidRDefault="00EB7860" w:rsidP="00EB7860">
      <w:pPr>
        <w:jc w:val="center"/>
      </w:pPr>
      <w:r w:rsidRPr="00EB7860">
        <w:rPr>
          <w:rFonts w:ascii="Calibri" w:eastAsia="Calibri" w:hAnsi="Calibri" w:cs="Times New Roman"/>
          <w:noProof/>
          <w:lang w:val="en-US"/>
        </w:rPr>
        <w:drawing>
          <wp:inline distT="0" distB="0" distL="0" distR="0" wp14:anchorId="0BC35EE9" wp14:editId="5AEACC21">
            <wp:extent cx="3340100" cy="2374490"/>
            <wp:effectExtent l="0" t="0" r="0" b="6985"/>
            <wp:docPr id="7" name="Picture 14" descr="Slika na kojoj se nalazi tekst, snimak ekrana, Font, dijagram&#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descr="Slika na kojoj se nalazi tekst, snimak ekrana, Font, dijagram&#10;&#10;Opis je automatski generisa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52806" cy="2383523"/>
                    </a:xfrm>
                    <a:prstGeom prst="rect">
                      <a:avLst/>
                    </a:prstGeom>
                    <a:noFill/>
                    <a:ln>
                      <a:noFill/>
                    </a:ln>
                  </pic:spPr>
                </pic:pic>
              </a:graphicData>
            </a:graphic>
          </wp:inline>
        </w:drawing>
      </w:r>
    </w:p>
    <w:p w14:paraId="04F4D398" w14:textId="2AF6CEEA" w:rsidR="00EB7860" w:rsidRPr="00EB7860" w:rsidRDefault="00EB7860" w:rsidP="00EB7860">
      <w:pPr>
        <w:jc w:val="center"/>
        <w:rPr>
          <w:color w:val="595959" w:themeColor="text1" w:themeTint="A6"/>
          <w:sz w:val="18"/>
          <w:szCs w:val="18"/>
        </w:rPr>
      </w:pPr>
      <w:r w:rsidRPr="00EB7860">
        <w:rPr>
          <w:color w:val="595959" w:themeColor="text1" w:themeTint="A6"/>
          <w:sz w:val="18"/>
          <w:szCs w:val="18"/>
        </w:rPr>
        <w:t>Grafik br. ??: Ko ti je pomogao da dobiješ realnu sliku različitih  zanimanja?</w:t>
      </w:r>
    </w:p>
    <w:p w14:paraId="42B83763" w14:textId="7CA5EFFE" w:rsidR="003A4DC4" w:rsidRDefault="003A4DC4" w:rsidP="003A4DC4">
      <w:pPr>
        <w:jc w:val="both"/>
      </w:pPr>
      <w:r>
        <w:t xml:space="preserve">Kada govorimo o kapacitetima ustanova visokog obrazovanja  u Crnoj Gori, potrebno je istaći da svi univerziteti u Crnoj Gori imaju osnovan karijerni centar koji pruža usluge karijernog savjetovanja svim svojim studentima. </w:t>
      </w:r>
    </w:p>
    <w:p w14:paraId="3031AE8D" w14:textId="597AA23A" w:rsidR="003A4DC4" w:rsidRDefault="003A4DC4" w:rsidP="003A4DC4">
      <w:pPr>
        <w:jc w:val="both"/>
      </w:pPr>
      <w:r>
        <w:t xml:space="preserve">Karijerni centar Univerziteta Crne Gore kao servis podrške na raspolaganju je prvenstveno studentima Univerziteta Crne Gore, ali i akademskom osoblju, poslodavcima i budućim studentima. Aktivnosti centra predstavljaju dodatne načine usavršavanja i razvoja karijere koje se sprovode kroz radionice, treninge, seminare i obuke, i to sledećim ciljnim grupama: svim studentima Univerziteta Crne Gore omogućene su redovne konsultacije u vidu psihološko-pedagoških savjeta i podrške, koje su  dostupne i budućim brucošima u pripremi za studiranje i prilagođavanje na novu,  akademsku sredinu. Maturantima u Crnoj Gori pruža se karijerno savjetovanje kroz </w:t>
      </w:r>
      <w:r w:rsidR="00457BAC">
        <w:t>„</w:t>
      </w:r>
      <w:r>
        <w:t xml:space="preserve">Dan otvorenih vrata”. Ovaj projekat srednjoškolcima pruža priliku da se najbolje informišu prije nego što donesu odluku o  smjeru u kom će ići njihovo dalje obrazovanje i usavršavanje.  Od izuzetnog značaja za karijerno savjetovanje i vođenje je obezbjeđivanje karijernog savjetnika/koordinatora na svim jedinicama Univerziteta Crne Gore koji bi bio dostupan studentima za rješavanje eventualnih dilema u početnim koracima na karijernom putu. Takođe, Karijerni centar planira kreiranje posebne platforme za praćenje karijere mladih i studenata. </w:t>
      </w:r>
    </w:p>
    <w:p w14:paraId="7D022C0A" w14:textId="77EE84F8" w:rsidR="003A4DC4" w:rsidRDefault="003A4DC4" w:rsidP="003A4DC4">
      <w:pPr>
        <w:jc w:val="both"/>
      </w:pPr>
      <w:r>
        <w:t xml:space="preserve">Prepoznavši značaj karijernog savjetovanja za razvoj cjelokupnog obrazovnog sistema i pripremu studenata za sve izazove savremenog tržišta rada, predmet Preduzetništvo i inovacije je akreditovan kao obavezan predmet na većini studijskih programa na Univerzitetu Donja Gorica (UDG), </w:t>
      </w:r>
      <w:r>
        <w:lastRenderedPageBreak/>
        <w:t xml:space="preserve">uključujući i one studijske programe koji se ne vezuju za oblast ekonomije. Na taj način se studenti podstiču da razvijaju kreativnost, inovativnost, kritičko mišljenje, spremnost da prepoznaju prilike u okruženju i preuzmu rizik,  ali se razvijaju svoje organizacione sposobnosti, liderske vještine, kao  i tzv. </w:t>
      </w:r>
      <w:r w:rsidR="009F21D5">
        <w:t>„</w:t>
      </w:r>
      <w:r>
        <w:t xml:space="preserve">soft skills” ili </w:t>
      </w:r>
      <w:r w:rsidR="009F21D5">
        <w:t>„</w:t>
      </w:r>
      <w:r>
        <w:t xml:space="preserve">meke vještine” koje imaju neprocjenjiv značaj na savremenom tržištu rada.  </w:t>
      </w:r>
    </w:p>
    <w:p w14:paraId="57606D26" w14:textId="3CAB90E1" w:rsidR="003A4DC4" w:rsidRDefault="003A4DC4" w:rsidP="003A4DC4">
      <w:pPr>
        <w:jc w:val="both"/>
      </w:pPr>
      <w:r>
        <w:t xml:space="preserve">Na Univerzitetu Donja Gorica se u kontinuitetu organizuju različiti događaji koji su, između ostalog, posvećeni karijernom savjetovanju kao što su: Škola preduzetništva i inovacija za mlade, Berza preduzetničkih ideja, Fabrika znanja, Nacionalna konferencija o preduzetničkom učenju, </w:t>
      </w:r>
      <w:r w:rsidR="003E2584">
        <w:t>„</w:t>
      </w:r>
      <w:r>
        <w:t>Miločerski razvojni forum</w:t>
      </w:r>
      <w:r w:rsidR="003E2584">
        <w:t>“</w:t>
      </w:r>
      <w:r>
        <w:t xml:space="preserve">, </w:t>
      </w:r>
      <w:r w:rsidR="003E2584">
        <w:t>„</w:t>
      </w:r>
      <w:r>
        <w:t>Božićne rasprave</w:t>
      </w:r>
      <w:r w:rsidR="003E2584">
        <w:t>“</w:t>
      </w:r>
      <w:r>
        <w:t xml:space="preserve">, </w:t>
      </w:r>
      <w:r w:rsidR="003E2584">
        <w:t>„</w:t>
      </w:r>
      <w:r>
        <w:t>Kamp talenata</w:t>
      </w:r>
      <w:r w:rsidR="003E2584">
        <w:t>“</w:t>
      </w:r>
      <w:r>
        <w:t>, ali i brojne ljetnje škole, okrugli stolovi, konferencije, forumi  itd. u toku kojih se kako studenti, tako i srednjoškolci mogu upoznati sa najsavremenijim trendovima i kretanjima na savremenom tržištu rada, dobiti značajne informacije I savjete koji im mogu biti korisni pri donošenju kompleksnih odluka u daljem školovanju, usavršavanju ili zaposlenju, a u skladu sa njihovim talentima, sklonostima i interesovanjima;</w:t>
      </w:r>
    </w:p>
    <w:p w14:paraId="44E9E831" w14:textId="52E78340" w:rsidR="003A4DC4" w:rsidRDefault="003A4DC4" w:rsidP="003A4DC4">
      <w:pPr>
        <w:jc w:val="both"/>
      </w:pPr>
      <w:r>
        <w:t>Poseban doprinos razvoju karijernog savjetovanja na UDG-u daju Preduzetničko gnijezdo  i Studentski biznis centar. Preduzetničko gnijezdo predstavlja laboratoriju za buđenje duha kreativnosti i preduzetništva kod svih studenata UDG-a. Savremeno opremljen prostor koji se prostire na preko 400 metara kvadradnih predstavlja svojevrsno gnijezdo za “izlijeganje start-up ideja” u kojem studenti okviru multidisciplinarnih timova razvijaju svoje ideje i plasiraju ih na tržište. Pri tome, student</w:t>
      </w:r>
      <w:r w:rsidR="009F3FE7">
        <w:t>i/kinje</w:t>
      </w:r>
      <w:r>
        <w:t xml:space="preserve"> imaju na raspolaganju iskusne mentore iz različitih oblasti koji dolaze kako iz akademske, tako I iz biznis zajednice. U Preduzetničkom gnijezdu se u kontinuitetu organizuju predavanja eksperata iz različitih oblasti koja studentima u značajnoj mjeri pomažu da donesu određene odluke koje se odnose na njihovu buduću karijeru. Takođe, treba pomenuti i Studentski biznis centar u okviru UDG-a koji realizacijom brojnih aktivnosti daje značajan doprinos promovisanju značaja karijernog savjetovanja, ne samo na Univerzitetu Donja Gorica, već i na lokalnom i nacionalnom nivou, a čija se aktivnost vezuje za organizaciju različitih događaja i manifestacija (okrugli stolovi, tribine, obuke, seminari, konferencije, gostujuća predavanja itd.), kao i za organizaciju studentske prakse- kako u zemlji, tako i u inostranstvu, a koji su od izuzetnog značaja za karijerno vođenje i savjetovanje na UDG-u.</w:t>
      </w:r>
    </w:p>
    <w:p w14:paraId="45808488" w14:textId="767B2383" w:rsidR="008D40B8" w:rsidRDefault="008D40B8" w:rsidP="008D40B8">
      <w:pPr>
        <w:jc w:val="both"/>
      </w:pPr>
      <w:r>
        <w:t xml:space="preserve">Uloga Zavoda za školstvo i Centra za stručno obrazovanje u kreiranju ponude obuka za nastavnike koju je potrebno kontinuirano širiti, na osnovu identifikovanih potreba različitih grupa nastavnika u školi (npr. </w:t>
      </w:r>
      <w:r w:rsidR="0077078A">
        <w:t>n</w:t>
      </w:r>
      <w:r>
        <w:t>astavnici</w:t>
      </w:r>
      <w:r w:rsidR="0077078A">
        <w:t>/ce</w:t>
      </w:r>
      <w:r>
        <w:t xml:space="preserve"> predmetne nastave, timovi za KVS, uprava škole, stručni saradnici</w:t>
      </w:r>
      <w:r w:rsidR="0077078A">
        <w:t>/ce</w:t>
      </w:r>
      <w:r>
        <w:t xml:space="preserve">), kao i </w:t>
      </w:r>
      <w:r w:rsidR="002A5F4B">
        <w:t>u kontinitetu pripremati</w:t>
      </w:r>
      <w:r>
        <w:t xml:space="preserve"> edukativne materijale za nastavnike u ovim područjima. Posebno je važno naglašavati nastavnicima da je KVS preventivni mehanizam za osipanje učenika i napuštanje školovanja. Obuku nastavnika potrebno je planirati makar u dva pravca: povećati obuhvat nastavnika iz osnovnih škola i gimnazija, i ne samo iz završnih razreda ovih škola. S d</w:t>
      </w:r>
      <w:r w:rsidR="00A71951">
        <w:t>r</w:t>
      </w:r>
      <w:r>
        <w:t>uge strane, treba diversifikovati obuke i njihove sadržaje: ponuditi obuke za izradu samih programa, s naglaskom na mehanizme praćenja i evaluacije, kao i nove programe za KVS (npr. za učenike s posebnim potrebama).</w:t>
      </w:r>
    </w:p>
    <w:p w14:paraId="1F84E2F5" w14:textId="238328E1" w:rsidR="00A66BAC" w:rsidRDefault="008D40B8" w:rsidP="008D40B8">
      <w:pPr>
        <w:jc w:val="both"/>
      </w:pPr>
      <w:r>
        <w:t xml:space="preserve">Osnaživanje karijernih centara na univerzitetima i njihova veća angažovanost u saradnji sa privrednim subjektima bi trebalo da se naslanja na praktičnu nastavu i doprinijela bi lakšem prelasku studenata iz obrazovnog sistema na tržište rada. Neophodno je sistemsko umrežavanje univerziteta i udruženja poslodavaca. Univerziteti </w:t>
      </w:r>
      <w:r w:rsidR="00493496">
        <w:t xml:space="preserve">treba da osmisle mehanizme </w:t>
      </w:r>
      <w:r>
        <w:t xml:space="preserve">da stimulišu studenate za rad na sezonskim poslovima ili na poslovima sa skraćenim radnim vremenom kroz bodovanje ovakve vrste angažmana prilikom ocjenjivanja. Redefinisanje koncepta studentskih </w:t>
      </w:r>
      <w:r>
        <w:lastRenderedPageBreak/>
        <w:t>zadruga i njegovo prilagođavanje savremenom privrednom ambijentu i osavremenjivanje trenutnog normativnog okvira jer zadruge tradicionalno imaju ulogu da pored pomaganja porodičnog budžeta, omoguće studentu sticanje znanja i vještina važnih na tržištu.</w:t>
      </w:r>
    </w:p>
    <w:p w14:paraId="4BF81D98" w14:textId="22AEFF1B" w:rsidR="00A66BAC" w:rsidRDefault="00696477" w:rsidP="00A66BAC">
      <w:r>
        <w:t>Uzevši u obzir prethodno navedeno, k</w:t>
      </w:r>
      <w:r w:rsidR="0060674B">
        <w:t xml:space="preserve">ljučni pravci razvoja KVS-a u </w:t>
      </w:r>
      <w:r w:rsidR="00E45F02">
        <w:t>oblasti obrazovanja u narednom periodu:</w:t>
      </w:r>
    </w:p>
    <w:p w14:paraId="544D85E4" w14:textId="57AF3650" w:rsidR="00E45F02" w:rsidRDefault="00E45F02" w:rsidP="00E45F02">
      <w:pPr>
        <w:pStyle w:val="ListParagraph"/>
        <w:numPr>
          <w:ilvl w:val="0"/>
          <w:numId w:val="15"/>
        </w:numPr>
        <w:jc w:val="both"/>
      </w:pPr>
      <w:r>
        <w:t xml:space="preserve">Razvijati karijerno obrazovanje i karijerno vođenje u obrazovnom sistemu od ranog osnovnog obrazovanja kao obavezni element nastavnih planova i programa. Njime uključiti i modalitete praktičnog radnog iskustva koje će olakšati prvi prelaz iz obrazovanja na </w:t>
      </w:r>
      <w:r w:rsidR="00D74036">
        <w:t>tržište rada</w:t>
      </w:r>
      <w:r>
        <w:t xml:space="preserve"> kao i sve naredne prelaze kroz život, prelaz iz nezaposlenosti u zaposlenost, itd.</w:t>
      </w:r>
    </w:p>
    <w:p w14:paraId="445316D1" w14:textId="130BA0BC" w:rsidR="00E45F02" w:rsidRDefault="00E45F02" w:rsidP="00E45F02">
      <w:pPr>
        <w:pStyle w:val="ListParagraph"/>
        <w:numPr>
          <w:ilvl w:val="0"/>
          <w:numId w:val="15"/>
        </w:numPr>
        <w:jc w:val="both"/>
      </w:pPr>
      <w:r>
        <w:t>Obezbijediti pristup karijernom vođenju na nivou cijele škole, što znači da odgovorni za karijerno vođenje blisko sarađuju sa svim nastavnicima</w:t>
      </w:r>
      <w:r w:rsidR="00D74036">
        <w:t>/cama</w:t>
      </w:r>
      <w:r>
        <w:t xml:space="preserve"> na razvoju učenja o karijeri u svojim predmetima i na stvaranju školske kulture koja podržava učenje o karijeri u svim predmetima, sa lako dostupnim javnim prostorom za karijerno vođenje i resurse, uključujući i prostor za individualno, roditeljsko i grupno savjetovanje - godišnji plan KVS-a na nivou škole i KVS timovi u osnovnim i srednjim školama predstavljaju idealnu osnovu za to.</w:t>
      </w:r>
    </w:p>
    <w:p w14:paraId="2C26D152" w14:textId="5965DFC0" w:rsidR="00E45F02" w:rsidRDefault="00E45F02" w:rsidP="00E45F02">
      <w:pPr>
        <w:pStyle w:val="ListParagraph"/>
        <w:numPr>
          <w:ilvl w:val="0"/>
          <w:numId w:val="15"/>
        </w:numPr>
        <w:jc w:val="both"/>
      </w:pPr>
      <w:r>
        <w:t xml:space="preserve">Fokusirati se na razvoj vještina upravljanja karijerom od </w:t>
      </w:r>
      <w:r w:rsidR="00D74036">
        <w:t xml:space="preserve">prvog </w:t>
      </w:r>
      <w:r>
        <w:t>razreda osnovne škole pa nadalje uz tradicionalno pružanje informacija o zanimanjima i mogućnostima daljnjeg učenja u tranzicionim periodima.</w:t>
      </w:r>
    </w:p>
    <w:p w14:paraId="7168E9EF" w14:textId="06B8C778" w:rsidR="00E45F02" w:rsidRDefault="00E45F02" w:rsidP="00E45F02">
      <w:pPr>
        <w:pStyle w:val="ListParagraph"/>
        <w:numPr>
          <w:ilvl w:val="0"/>
          <w:numId w:val="15"/>
        </w:numPr>
        <w:jc w:val="both"/>
      </w:pPr>
      <w:r>
        <w:t>Umjesto marketinških aktivnosti za upis novih učenika ponuditi neutralno karijerno vođenje kojese zasniva na informacijama o tržištu rada, studijama praćenja diplomaca, predviđanjima vještina itd.</w:t>
      </w:r>
    </w:p>
    <w:p w14:paraId="79C8EBD4" w14:textId="51434D55" w:rsidR="00E45F02" w:rsidRDefault="00E45F02" w:rsidP="00E45F02">
      <w:pPr>
        <w:pStyle w:val="ListParagraph"/>
        <w:numPr>
          <w:ilvl w:val="0"/>
          <w:numId w:val="15"/>
        </w:numPr>
        <w:jc w:val="both"/>
      </w:pPr>
      <w:r w:rsidRPr="00E45F02">
        <w:t>Transformisati lokalne srednje škole u lokalne centre za učenje koji nude bogat izbor programa obuke (kratkih i srednje dužine) za kojima postoji potražnja. Škole učiniti lokalnim centralnim mjestima za obrazovanje i zapošljavanje i razmotriti mogućnost da lokalni centri za KVS budu smješteni u tim školama.</w:t>
      </w:r>
    </w:p>
    <w:p w14:paraId="19840777" w14:textId="10A36EF8" w:rsidR="00E45F02" w:rsidRDefault="00E45F02" w:rsidP="00E45F02">
      <w:pPr>
        <w:pStyle w:val="ListParagraph"/>
        <w:numPr>
          <w:ilvl w:val="0"/>
          <w:numId w:val="15"/>
        </w:numPr>
        <w:jc w:val="both"/>
      </w:pPr>
      <w:r w:rsidRPr="00E45F02">
        <w:t>Razmotriti, prema potrebi, isplative načine nadopunjavanja oblika ličnog karijernog vođenja licem u lice, uključujući i kroz nastavne planove i programe, grupno vođenje</w:t>
      </w:r>
      <w:r w:rsidR="00426942">
        <w:t xml:space="preserve"> </w:t>
      </w:r>
      <w:r w:rsidRPr="00E45F02">
        <w:t>i usluge zasnovane na IKT-u. Finansirati visokokvalitetne portale kako bi se oslobodilo vrijeme i osoblje za one kojima je to najpotrebnije.</w:t>
      </w:r>
    </w:p>
    <w:tbl>
      <w:tblPr>
        <w:tblStyle w:val="TableGridLight"/>
        <w:tblW w:w="12240" w:type="dxa"/>
        <w:tblLayout w:type="fixed"/>
        <w:tblLook w:val="04A0" w:firstRow="1" w:lastRow="0" w:firstColumn="1" w:lastColumn="0" w:noHBand="0" w:noVBand="1"/>
      </w:tblPr>
      <w:tblGrid>
        <w:gridCol w:w="2212"/>
        <w:gridCol w:w="3368"/>
        <w:gridCol w:w="3420"/>
        <w:gridCol w:w="3240"/>
      </w:tblGrid>
      <w:tr w:rsidR="001B5634" w:rsidRPr="004A1A8D" w14:paraId="29EA5894" w14:textId="77777777" w:rsidTr="00562CC6">
        <w:trPr>
          <w:trHeight w:val="390"/>
        </w:trPr>
        <w:tc>
          <w:tcPr>
            <w:tcW w:w="2212" w:type="dxa"/>
          </w:tcPr>
          <w:p w14:paraId="275FEA01" w14:textId="698FC26A" w:rsidR="001B5634" w:rsidRPr="004A1A8D" w:rsidRDefault="001B5634" w:rsidP="007D7963">
            <w:pPr>
              <w:ind w:left="3"/>
              <w:rPr>
                <w:rFonts w:cstheme="minorHAnsi"/>
                <w:b/>
              </w:rPr>
            </w:pPr>
            <w:r w:rsidRPr="004A1A8D">
              <w:rPr>
                <w:rFonts w:eastAsia="Arial" w:cstheme="minorHAnsi"/>
                <w:b/>
              </w:rPr>
              <w:t xml:space="preserve">Operativni cilj </w:t>
            </w:r>
            <w:r>
              <w:rPr>
                <w:rFonts w:eastAsia="Arial" w:cstheme="minorHAnsi"/>
              </w:rPr>
              <w:t>1</w:t>
            </w:r>
            <w:r w:rsidRPr="004A1A8D">
              <w:rPr>
                <w:rFonts w:eastAsia="Arial" w:cstheme="minorHAnsi"/>
                <w:b/>
              </w:rPr>
              <w:t xml:space="preserve">: </w:t>
            </w:r>
          </w:p>
        </w:tc>
        <w:tc>
          <w:tcPr>
            <w:tcW w:w="10028" w:type="dxa"/>
            <w:gridSpan w:val="3"/>
          </w:tcPr>
          <w:p w14:paraId="25A0EE80" w14:textId="3CD96A8D" w:rsidR="001B5634" w:rsidRPr="004A1A8D" w:rsidRDefault="005C6101" w:rsidP="007D7963">
            <w:pPr>
              <w:rPr>
                <w:rFonts w:cstheme="minorHAnsi"/>
              </w:rPr>
            </w:pPr>
            <w:r w:rsidRPr="005C6101">
              <w:rPr>
                <w:rFonts w:cstheme="minorHAnsi"/>
              </w:rPr>
              <w:t xml:space="preserve">Ojačati efektivnost sistema karijerne orijentacije u obrazovnom sistemu Crne Gore kroz izgradnju održivog institucionalnog okvira </w:t>
            </w:r>
          </w:p>
        </w:tc>
      </w:tr>
      <w:tr w:rsidR="00490561" w:rsidRPr="004A1A8D" w14:paraId="4D80A61F" w14:textId="77777777" w:rsidTr="00562CC6">
        <w:trPr>
          <w:trHeight w:val="58"/>
        </w:trPr>
        <w:tc>
          <w:tcPr>
            <w:tcW w:w="2212" w:type="dxa"/>
          </w:tcPr>
          <w:p w14:paraId="2D3F61E4" w14:textId="77777777" w:rsidR="00490561" w:rsidRDefault="00490561" w:rsidP="00490561">
            <w:pPr>
              <w:rPr>
                <w:rFonts w:ascii="Calibri" w:eastAsia="Calibri" w:hAnsi="Calibri" w:cs="Times New Roman"/>
                <w:lang w:val="en-GB"/>
              </w:rPr>
            </w:pPr>
            <w:r w:rsidRPr="00062878">
              <w:rPr>
                <w:rFonts w:ascii="Calibri" w:eastAsia="Calibri" w:hAnsi="Calibri" w:cs="Times New Roman"/>
                <w:b/>
                <w:bCs/>
                <w:lang w:val="en-GB"/>
              </w:rPr>
              <w:t>Indikator učinka 1</w:t>
            </w:r>
            <w:r w:rsidRPr="006E6B3B">
              <w:rPr>
                <w:rFonts w:ascii="Calibri" w:eastAsia="Calibri" w:hAnsi="Calibri" w:cs="Times New Roman"/>
                <w:lang w:val="en-GB"/>
              </w:rPr>
              <w:t xml:space="preserve">: </w:t>
            </w:r>
          </w:p>
          <w:p w14:paraId="739B3ED1" w14:textId="77777777" w:rsidR="00490561" w:rsidRDefault="00490561" w:rsidP="00490561">
            <w:pPr>
              <w:rPr>
                <w:rFonts w:ascii="Calibri" w:eastAsia="Calibri" w:hAnsi="Calibri" w:cs="Times New Roman"/>
                <w:lang w:val="en-GB"/>
              </w:rPr>
            </w:pPr>
          </w:p>
          <w:p w14:paraId="25C5D3B6" w14:textId="77777777" w:rsidR="00490561" w:rsidRPr="006E6B3B" w:rsidRDefault="00490561" w:rsidP="00490561">
            <w:pPr>
              <w:rPr>
                <w:rFonts w:ascii="Calibri" w:eastAsia="Calibri" w:hAnsi="Calibri" w:cs="Times New Roman"/>
                <w:lang w:val="en-GB"/>
              </w:rPr>
            </w:pPr>
            <w:r>
              <w:rPr>
                <w:rFonts w:ascii="Calibri" w:eastAsia="Calibri" w:hAnsi="Calibri" w:cs="Times New Roman"/>
                <w:lang w:val="en-GB"/>
              </w:rPr>
              <w:t xml:space="preserve">Uspostavljen i </w:t>
            </w:r>
            <w:r w:rsidRPr="00477BCD">
              <w:rPr>
                <w:rFonts w:ascii="Calibri" w:eastAsia="Calibri" w:hAnsi="Calibri" w:cs="Times New Roman"/>
                <w:lang w:val="en-GB"/>
              </w:rPr>
              <w:t>funkcionalan Karijerni centar u okviru</w:t>
            </w:r>
            <w:r>
              <w:rPr>
                <w:rFonts w:ascii="Calibri" w:eastAsia="Calibri" w:hAnsi="Calibri" w:cs="Times New Roman"/>
                <w:lang w:val="en-GB"/>
              </w:rPr>
              <w:t xml:space="preserve"> Ministarstva prosvjete, nauke i inovacija koji će rukovoditi i </w:t>
            </w:r>
            <w:r>
              <w:rPr>
                <w:rFonts w:ascii="Calibri" w:eastAsia="Calibri" w:hAnsi="Calibri" w:cs="Times New Roman"/>
                <w:lang w:val="en-GB"/>
              </w:rPr>
              <w:lastRenderedPageBreak/>
              <w:t>koordinitati procesom karijernog vođenja i savjetovanja unutar svih obrazovnih ustanove u Crnoj Gori</w:t>
            </w:r>
          </w:p>
          <w:p w14:paraId="435272C0" w14:textId="77777777" w:rsidR="00490561" w:rsidRPr="004A1A8D" w:rsidRDefault="00490561" w:rsidP="00490561">
            <w:pPr>
              <w:rPr>
                <w:rFonts w:cstheme="minorHAnsi"/>
              </w:rPr>
            </w:pPr>
          </w:p>
        </w:tc>
        <w:tc>
          <w:tcPr>
            <w:tcW w:w="3368" w:type="dxa"/>
          </w:tcPr>
          <w:p w14:paraId="3157A34B" w14:textId="77777777" w:rsidR="00490561" w:rsidRDefault="00490561" w:rsidP="00490561">
            <w:pPr>
              <w:jc w:val="center"/>
              <w:rPr>
                <w:rFonts w:ascii="Calibri" w:eastAsia="Calibri" w:hAnsi="Calibri" w:cs="Times New Roman"/>
                <w:b/>
                <w:bCs/>
                <w:lang w:val="en-GB"/>
              </w:rPr>
            </w:pPr>
            <w:r w:rsidRPr="00062878">
              <w:rPr>
                <w:rFonts w:ascii="Calibri" w:eastAsia="Calibri" w:hAnsi="Calibri" w:cs="Times New Roman"/>
                <w:b/>
                <w:bCs/>
                <w:lang w:val="en-GB"/>
              </w:rPr>
              <w:lastRenderedPageBreak/>
              <w:t>Početna vrijednost 2025</w:t>
            </w:r>
          </w:p>
          <w:p w14:paraId="0A20343D" w14:textId="77777777" w:rsidR="00490561" w:rsidRDefault="00490561" w:rsidP="00490561">
            <w:pPr>
              <w:jc w:val="center"/>
              <w:rPr>
                <w:rFonts w:ascii="Calibri" w:eastAsia="Calibri" w:hAnsi="Calibri" w:cs="Times New Roman"/>
                <w:b/>
                <w:bCs/>
                <w:lang w:val="en-GB"/>
              </w:rPr>
            </w:pPr>
          </w:p>
          <w:p w14:paraId="1080C049" w14:textId="77777777" w:rsidR="00490561" w:rsidRDefault="00490561" w:rsidP="00490561">
            <w:pPr>
              <w:jc w:val="center"/>
              <w:rPr>
                <w:rFonts w:ascii="Calibri" w:eastAsia="Calibri" w:hAnsi="Calibri" w:cs="Times New Roman"/>
                <w:b/>
                <w:bCs/>
                <w:lang w:val="en-GB"/>
              </w:rPr>
            </w:pPr>
          </w:p>
          <w:p w14:paraId="365D65DF" w14:textId="77777777" w:rsidR="00490561" w:rsidRPr="006E3BB7" w:rsidRDefault="00490561" w:rsidP="00490561">
            <w:pPr>
              <w:jc w:val="center"/>
              <w:rPr>
                <w:rFonts w:ascii="Calibri" w:eastAsia="Calibri" w:hAnsi="Calibri" w:cs="Times New Roman"/>
                <w:lang w:val="en-GB"/>
              </w:rPr>
            </w:pPr>
            <w:r w:rsidRPr="006E3BB7">
              <w:rPr>
                <w:rFonts w:ascii="Calibri" w:eastAsia="Calibri" w:hAnsi="Calibri" w:cs="Times New Roman"/>
                <w:lang w:val="en-GB"/>
              </w:rPr>
              <w:t xml:space="preserve">Trenutno </w:t>
            </w:r>
            <w:r>
              <w:rPr>
                <w:rFonts w:ascii="Calibri" w:eastAsia="Calibri" w:hAnsi="Calibri" w:cs="Times New Roman"/>
                <w:lang w:val="en-GB"/>
              </w:rPr>
              <w:t>ne postoji tijelo na nivou cjelokupne CG koje koordinira i rukovodi procesima karijernog vođenja i savjetovanja</w:t>
            </w:r>
          </w:p>
          <w:p w14:paraId="3819DC14" w14:textId="77777777" w:rsidR="00490561" w:rsidRPr="00062878" w:rsidRDefault="00490561" w:rsidP="00490561">
            <w:pPr>
              <w:jc w:val="center"/>
              <w:rPr>
                <w:rFonts w:ascii="Calibri" w:eastAsia="Calibri" w:hAnsi="Calibri" w:cs="Times New Roman"/>
                <w:b/>
                <w:bCs/>
                <w:lang w:val="en-GB"/>
              </w:rPr>
            </w:pPr>
          </w:p>
          <w:p w14:paraId="2B51564C" w14:textId="64B46790" w:rsidR="00490561" w:rsidRPr="004A1A8D" w:rsidRDefault="00490561" w:rsidP="00490561">
            <w:pPr>
              <w:jc w:val="center"/>
              <w:rPr>
                <w:rFonts w:cstheme="minorHAnsi"/>
                <w:i/>
                <w:sz w:val="18"/>
                <w:szCs w:val="18"/>
              </w:rPr>
            </w:pPr>
          </w:p>
        </w:tc>
        <w:tc>
          <w:tcPr>
            <w:tcW w:w="3420" w:type="dxa"/>
          </w:tcPr>
          <w:p w14:paraId="531CAA5B" w14:textId="77777777" w:rsidR="00490561" w:rsidRDefault="00490561" w:rsidP="00490561">
            <w:pPr>
              <w:jc w:val="center"/>
              <w:rPr>
                <w:rFonts w:ascii="Calibri" w:eastAsia="Calibri" w:hAnsi="Calibri" w:cs="Times New Roman"/>
                <w:b/>
                <w:bCs/>
                <w:lang w:val="en-GB"/>
              </w:rPr>
            </w:pPr>
            <w:r w:rsidRPr="00062878">
              <w:rPr>
                <w:rFonts w:ascii="Calibri" w:eastAsia="Calibri" w:hAnsi="Calibri" w:cs="Times New Roman"/>
                <w:b/>
                <w:bCs/>
                <w:lang w:val="en-GB"/>
              </w:rPr>
              <w:t>Srednja vrijednost 2028</w:t>
            </w:r>
          </w:p>
          <w:p w14:paraId="0DC03CA7" w14:textId="77777777" w:rsidR="00490561" w:rsidRDefault="00490561" w:rsidP="00490561">
            <w:pPr>
              <w:jc w:val="center"/>
              <w:rPr>
                <w:rFonts w:ascii="Calibri" w:eastAsia="Calibri" w:hAnsi="Calibri" w:cs="Times New Roman"/>
                <w:b/>
                <w:bCs/>
                <w:lang w:val="en-GB"/>
              </w:rPr>
            </w:pPr>
          </w:p>
          <w:p w14:paraId="22E3931C" w14:textId="77777777" w:rsidR="00490561" w:rsidRDefault="00490561" w:rsidP="00490561">
            <w:pPr>
              <w:jc w:val="center"/>
              <w:rPr>
                <w:rFonts w:ascii="Calibri" w:eastAsia="Calibri" w:hAnsi="Calibri" w:cs="Times New Roman"/>
                <w:b/>
                <w:bCs/>
                <w:lang w:val="en-GB"/>
              </w:rPr>
            </w:pPr>
          </w:p>
          <w:p w14:paraId="0F8F54BE" w14:textId="77777777" w:rsidR="00490561" w:rsidRPr="006E3BB7" w:rsidRDefault="00490561" w:rsidP="00490561">
            <w:pPr>
              <w:jc w:val="center"/>
              <w:rPr>
                <w:rFonts w:ascii="Calibri" w:eastAsia="Calibri" w:hAnsi="Calibri" w:cs="Times New Roman"/>
                <w:lang w:val="en-GB"/>
              </w:rPr>
            </w:pPr>
            <w:r w:rsidRPr="006E3BB7">
              <w:rPr>
                <w:rFonts w:ascii="Calibri" w:eastAsia="Calibri" w:hAnsi="Calibri" w:cs="Times New Roman"/>
                <w:lang w:val="en-GB"/>
              </w:rPr>
              <w:t>Do kraja 2028. godine, će biti uspostavljeno tijelo</w:t>
            </w:r>
            <w:r>
              <w:rPr>
                <w:rFonts w:ascii="Calibri" w:eastAsia="Calibri" w:hAnsi="Calibri" w:cs="Times New Roman"/>
                <w:lang w:val="en-GB"/>
              </w:rPr>
              <w:t xml:space="preserve"> koje</w:t>
            </w:r>
            <w:r w:rsidRPr="006E3BB7">
              <w:rPr>
                <w:rFonts w:ascii="Calibri" w:eastAsia="Calibri" w:hAnsi="Calibri" w:cs="Times New Roman"/>
                <w:lang w:val="en-GB"/>
              </w:rPr>
              <w:t xml:space="preserve"> koordinira i rukovodi procesima karijernog vođenja </w:t>
            </w:r>
            <w:r>
              <w:rPr>
                <w:rFonts w:ascii="Calibri" w:eastAsia="Calibri" w:hAnsi="Calibri" w:cs="Times New Roman"/>
                <w:lang w:val="en-GB"/>
              </w:rPr>
              <w:t>i</w:t>
            </w:r>
            <w:r w:rsidRPr="006E3BB7">
              <w:rPr>
                <w:rFonts w:ascii="Calibri" w:eastAsia="Calibri" w:hAnsi="Calibri" w:cs="Times New Roman"/>
                <w:lang w:val="en-GB"/>
              </w:rPr>
              <w:t xml:space="preserve"> savjetovanja</w:t>
            </w:r>
            <w:r>
              <w:rPr>
                <w:rFonts w:ascii="Calibri" w:eastAsia="Calibri" w:hAnsi="Calibri" w:cs="Times New Roman"/>
                <w:lang w:val="en-GB"/>
              </w:rPr>
              <w:t xml:space="preserve"> u svim obrazovnim ustanovama</w:t>
            </w:r>
          </w:p>
          <w:p w14:paraId="08B2C003" w14:textId="77777777" w:rsidR="00490561" w:rsidRPr="00062878" w:rsidRDefault="00490561" w:rsidP="00490561">
            <w:pPr>
              <w:jc w:val="center"/>
              <w:rPr>
                <w:rFonts w:ascii="Calibri" w:eastAsia="Calibri" w:hAnsi="Calibri" w:cs="Times New Roman"/>
                <w:b/>
                <w:bCs/>
                <w:lang w:val="en-GB"/>
              </w:rPr>
            </w:pPr>
          </w:p>
          <w:p w14:paraId="5869FE9E" w14:textId="199F56AF" w:rsidR="00490561" w:rsidRPr="004A1A8D" w:rsidRDefault="00490561" w:rsidP="00490561">
            <w:pPr>
              <w:jc w:val="center"/>
              <w:rPr>
                <w:rFonts w:cstheme="minorHAnsi"/>
                <w:i/>
                <w:sz w:val="18"/>
                <w:szCs w:val="18"/>
              </w:rPr>
            </w:pPr>
          </w:p>
        </w:tc>
        <w:tc>
          <w:tcPr>
            <w:tcW w:w="3240" w:type="dxa"/>
          </w:tcPr>
          <w:p w14:paraId="4C7CF567" w14:textId="77777777" w:rsidR="00490561" w:rsidRPr="00062878" w:rsidRDefault="00490561" w:rsidP="00490561">
            <w:pPr>
              <w:jc w:val="center"/>
              <w:rPr>
                <w:rFonts w:ascii="Calibri" w:eastAsia="Calibri" w:hAnsi="Calibri" w:cs="Times New Roman"/>
                <w:b/>
                <w:bCs/>
                <w:lang w:val="en-GB"/>
              </w:rPr>
            </w:pPr>
            <w:r w:rsidRPr="00062878">
              <w:rPr>
                <w:rFonts w:ascii="Calibri" w:eastAsia="Calibri" w:hAnsi="Calibri" w:cs="Times New Roman"/>
                <w:b/>
                <w:bCs/>
                <w:lang w:val="en-GB"/>
              </w:rPr>
              <w:lastRenderedPageBreak/>
              <w:t>Ciljna vrijednost 2030</w:t>
            </w:r>
          </w:p>
          <w:p w14:paraId="70DF40BD" w14:textId="77777777" w:rsidR="00490561" w:rsidRPr="00062878" w:rsidRDefault="00490561" w:rsidP="00490561">
            <w:pPr>
              <w:rPr>
                <w:rFonts w:ascii="Calibri" w:eastAsia="Calibri" w:hAnsi="Calibri" w:cs="Times New Roman"/>
                <w:lang w:val="en-GB"/>
              </w:rPr>
            </w:pPr>
          </w:p>
          <w:p w14:paraId="3FC38813" w14:textId="77777777" w:rsidR="00490561" w:rsidRDefault="00490561" w:rsidP="00490561">
            <w:pPr>
              <w:jc w:val="center"/>
              <w:rPr>
                <w:b/>
                <w:bCs/>
                <w:lang w:val="sr-Latn-RS"/>
              </w:rPr>
            </w:pPr>
          </w:p>
          <w:p w14:paraId="63D06A08" w14:textId="4B480CA8" w:rsidR="00490561" w:rsidRPr="004A1A8D" w:rsidRDefault="00490561" w:rsidP="00490561">
            <w:pPr>
              <w:jc w:val="center"/>
              <w:rPr>
                <w:rFonts w:cstheme="minorHAnsi"/>
                <w:i/>
                <w:sz w:val="18"/>
                <w:szCs w:val="18"/>
              </w:rPr>
            </w:pPr>
            <w:r w:rsidRPr="00477BCD">
              <w:rPr>
                <w:lang w:val="sr-Latn-RS"/>
              </w:rPr>
              <w:t>Karijerni centar je funkcionalan i služi kao servis</w:t>
            </w:r>
            <w:r w:rsidRPr="006E3BB7">
              <w:rPr>
                <w:lang w:val="sr-Latn-RS"/>
              </w:rPr>
              <w:t xml:space="preserve"> svim subjektima/zainteresovanim stranama za KVS u Crnoj Gori</w:t>
            </w:r>
          </w:p>
        </w:tc>
      </w:tr>
      <w:tr w:rsidR="00371312" w:rsidRPr="004A1A8D" w14:paraId="16AE400D" w14:textId="77777777" w:rsidTr="00562CC6">
        <w:trPr>
          <w:trHeight w:val="58"/>
        </w:trPr>
        <w:tc>
          <w:tcPr>
            <w:tcW w:w="2212" w:type="dxa"/>
          </w:tcPr>
          <w:p w14:paraId="469DE78C" w14:textId="77777777" w:rsidR="00371312" w:rsidRDefault="00371312" w:rsidP="00371312">
            <w:pPr>
              <w:rPr>
                <w:b/>
                <w:bCs/>
                <w:lang w:val="sr-Latn-RS"/>
              </w:rPr>
            </w:pPr>
            <w:r w:rsidRPr="00062878">
              <w:rPr>
                <w:b/>
                <w:bCs/>
                <w:lang w:val="sr-Latn-RS"/>
              </w:rPr>
              <w:t>Indikator učinka 2</w:t>
            </w:r>
            <w:r>
              <w:rPr>
                <w:b/>
                <w:bCs/>
                <w:lang w:val="sr-Latn-RS"/>
              </w:rPr>
              <w:t>:</w:t>
            </w:r>
          </w:p>
          <w:p w14:paraId="32C8CA0A" w14:textId="77777777" w:rsidR="00371312" w:rsidRDefault="00371312" w:rsidP="00371312">
            <w:pPr>
              <w:rPr>
                <w:lang w:val="sr-Latn-RS"/>
              </w:rPr>
            </w:pPr>
          </w:p>
          <w:p w14:paraId="5BFBB5DA" w14:textId="77777777" w:rsidR="00371312" w:rsidRDefault="00371312" w:rsidP="00371312">
            <w:pPr>
              <w:rPr>
                <w:lang w:val="sr-Latn-RS"/>
              </w:rPr>
            </w:pPr>
            <w:r>
              <w:rPr>
                <w:lang w:val="sr-Latn-RS"/>
              </w:rPr>
              <w:t>Procenat osnovnih i</w:t>
            </w:r>
            <w:r w:rsidRPr="005963E4">
              <w:rPr>
                <w:lang w:val="sr-Latn-RS"/>
              </w:rPr>
              <w:t xml:space="preserve"> srednjih</w:t>
            </w:r>
            <w:r>
              <w:rPr>
                <w:lang w:val="sr-Latn-RS"/>
              </w:rPr>
              <w:t xml:space="preserve"> škola</w:t>
            </w:r>
            <w:r w:rsidRPr="005963E4">
              <w:rPr>
                <w:lang w:val="sr-Latn-RS"/>
              </w:rPr>
              <w:t xml:space="preserve"> koj</w:t>
            </w:r>
            <w:r>
              <w:rPr>
                <w:lang w:val="sr-Latn-RS"/>
              </w:rPr>
              <w:t xml:space="preserve">e </w:t>
            </w:r>
            <w:r w:rsidRPr="005963E4">
              <w:rPr>
                <w:lang w:val="sr-Latn-RS"/>
              </w:rPr>
              <w:t xml:space="preserve">imaju uspostavljene </w:t>
            </w:r>
            <w:r>
              <w:rPr>
                <w:lang w:val="sr-Latn-RS"/>
              </w:rPr>
              <w:t>timove karijerno vođenje i savjetovanje</w:t>
            </w:r>
          </w:p>
          <w:p w14:paraId="6CDE5A27" w14:textId="3C8965CC" w:rsidR="00371312" w:rsidRPr="004A1A8D" w:rsidRDefault="00371312" w:rsidP="00371312">
            <w:pPr>
              <w:rPr>
                <w:rFonts w:eastAsia="Arial" w:cstheme="minorHAnsi"/>
                <w:b/>
              </w:rPr>
            </w:pPr>
          </w:p>
        </w:tc>
        <w:tc>
          <w:tcPr>
            <w:tcW w:w="3368" w:type="dxa"/>
          </w:tcPr>
          <w:p w14:paraId="627C4C54" w14:textId="77777777" w:rsidR="00371312" w:rsidRPr="009163F3" w:rsidRDefault="00371312" w:rsidP="00371312">
            <w:pPr>
              <w:jc w:val="center"/>
              <w:rPr>
                <w:b/>
                <w:bCs/>
                <w:lang w:val="sr-Latn-RS"/>
              </w:rPr>
            </w:pPr>
            <w:r w:rsidRPr="009163F3">
              <w:rPr>
                <w:b/>
                <w:bCs/>
                <w:lang w:val="sr-Latn-RS"/>
              </w:rPr>
              <w:t>Početna vrijednost 2025</w:t>
            </w:r>
          </w:p>
          <w:p w14:paraId="55890E14" w14:textId="77777777" w:rsidR="00371312" w:rsidRPr="009163F3" w:rsidRDefault="00371312" w:rsidP="00371312">
            <w:pPr>
              <w:jc w:val="center"/>
              <w:rPr>
                <w:b/>
                <w:bCs/>
                <w:lang w:val="sr-Latn-RS"/>
              </w:rPr>
            </w:pPr>
          </w:p>
          <w:p w14:paraId="05EDEDC3" w14:textId="77777777" w:rsidR="00371312" w:rsidRDefault="00371312" w:rsidP="00371312">
            <w:pPr>
              <w:rPr>
                <w:lang w:val="sr-Latn-RS"/>
              </w:rPr>
            </w:pPr>
          </w:p>
          <w:p w14:paraId="13C6F2D0" w14:textId="77777777" w:rsidR="00371312" w:rsidRDefault="00371312" w:rsidP="00371312">
            <w:pPr>
              <w:rPr>
                <w:lang w:val="sr-Latn-RS"/>
              </w:rPr>
            </w:pPr>
            <w:r>
              <w:rPr>
                <w:lang w:val="sr-Latn-RS"/>
              </w:rPr>
              <w:t xml:space="preserve">36% osnovnih škola ima </w:t>
            </w:r>
            <w:r w:rsidRPr="0047321D">
              <w:rPr>
                <w:lang w:val="sr-Latn-RS"/>
              </w:rPr>
              <w:t>uspostavljene timove karijerno vođenje i savjetovanje</w:t>
            </w:r>
          </w:p>
          <w:p w14:paraId="525DC60A" w14:textId="77777777" w:rsidR="00371312" w:rsidRDefault="00371312" w:rsidP="00371312">
            <w:pPr>
              <w:jc w:val="center"/>
              <w:rPr>
                <w:lang w:val="sr-Latn-RS"/>
              </w:rPr>
            </w:pPr>
          </w:p>
          <w:p w14:paraId="72835B7A" w14:textId="77777777" w:rsidR="00371312" w:rsidRDefault="00371312" w:rsidP="00371312">
            <w:pPr>
              <w:rPr>
                <w:lang w:val="sr-Latn-RS"/>
              </w:rPr>
            </w:pPr>
          </w:p>
          <w:p w14:paraId="34593C1A" w14:textId="77777777" w:rsidR="00371312" w:rsidRDefault="00371312" w:rsidP="00371312">
            <w:pPr>
              <w:rPr>
                <w:lang w:val="sr-Latn-RS"/>
              </w:rPr>
            </w:pPr>
          </w:p>
          <w:p w14:paraId="5E6370C2" w14:textId="77777777" w:rsidR="00371312" w:rsidRDefault="00371312" w:rsidP="00371312">
            <w:pPr>
              <w:rPr>
                <w:lang w:val="sr-Latn-RS"/>
              </w:rPr>
            </w:pPr>
            <w:r>
              <w:rPr>
                <w:lang w:val="sr-Latn-RS"/>
              </w:rPr>
              <w:t xml:space="preserve">45% srednjih škola </w:t>
            </w:r>
            <w:r w:rsidRPr="0047321D">
              <w:rPr>
                <w:lang w:val="sr-Latn-RS"/>
              </w:rPr>
              <w:t>ima uspostavljene timove karijerno vođenje i savjetovanje</w:t>
            </w:r>
          </w:p>
          <w:p w14:paraId="29357A6A" w14:textId="127769A2" w:rsidR="00371312" w:rsidRPr="004A1A8D" w:rsidRDefault="00371312" w:rsidP="00371312">
            <w:pPr>
              <w:rPr>
                <w:rFonts w:cstheme="minorHAnsi"/>
                <w:i/>
                <w:sz w:val="18"/>
                <w:szCs w:val="18"/>
              </w:rPr>
            </w:pPr>
          </w:p>
        </w:tc>
        <w:tc>
          <w:tcPr>
            <w:tcW w:w="3420" w:type="dxa"/>
          </w:tcPr>
          <w:p w14:paraId="27E9AEF9" w14:textId="77777777" w:rsidR="00371312" w:rsidRDefault="00371312" w:rsidP="00371312">
            <w:pPr>
              <w:jc w:val="center"/>
              <w:rPr>
                <w:b/>
                <w:bCs/>
                <w:lang w:val="sr-Latn-RS"/>
              </w:rPr>
            </w:pPr>
            <w:r w:rsidRPr="009163F3">
              <w:rPr>
                <w:b/>
                <w:bCs/>
                <w:lang w:val="sr-Latn-RS"/>
              </w:rPr>
              <w:t>Srednja vrijednost 2028</w:t>
            </w:r>
          </w:p>
          <w:p w14:paraId="4AEA60E5" w14:textId="77777777" w:rsidR="00371312" w:rsidRDefault="00371312" w:rsidP="00371312">
            <w:pPr>
              <w:jc w:val="center"/>
              <w:rPr>
                <w:b/>
                <w:bCs/>
                <w:lang w:val="sr-Latn-RS"/>
              </w:rPr>
            </w:pPr>
          </w:p>
          <w:p w14:paraId="1C941440" w14:textId="77777777" w:rsidR="00371312" w:rsidRDefault="00371312" w:rsidP="00371312">
            <w:pPr>
              <w:rPr>
                <w:lang w:val="sr-Latn-RS"/>
              </w:rPr>
            </w:pPr>
          </w:p>
          <w:p w14:paraId="77D993AB" w14:textId="77777777" w:rsidR="00371312" w:rsidRDefault="00371312" w:rsidP="00371312">
            <w:pPr>
              <w:rPr>
                <w:lang w:val="sr-Latn-RS"/>
              </w:rPr>
            </w:pPr>
            <w:r>
              <w:rPr>
                <w:lang w:val="sr-Latn-RS"/>
              </w:rPr>
              <w:t xml:space="preserve">Minimum 70% </w:t>
            </w:r>
            <w:r w:rsidRPr="003C7799">
              <w:rPr>
                <w:lang w:val="sr-Latn-RS"/>
              </w:rPr>
              <w:t>osnovnih škola ima uspostavljene timove karijerno vođenje i savjetovanje</w:t>
            </w:r>
          </w:p>
          <w:p w14:paraId="7102FEB4" w14:textId="77777777" w:rsidR="00371312" w:rsidRDefault="00371312" w:rsidP="00371312">
            <w:pPr>
              <w:rPr>
                <w:lang w:val="sr-Latn-RS"/>
              </w:rPr>
            </w:pPr>
          </w:p>
          <w:p w14:paraId="1AF23BB3" w14:textId="77777777" w:rsidR="00371312" w:rsidRDefault="00371312" w:rsidP="00371312">
            <w:pPr>
              <w:rPr>
                <w:lang w:val="sr-Latn-RS"/>
              </w:rPr>
            </w:pPr>
          </w:p>
          <w:p w14:paraId="59E902B0" w14:textId="77777777" w:rsidR="00371312" w:rsidRDefault="00371312" w:rsidP="00371312">
            <w:pPr>
              <w:rPr>
                <w:lang w:val="sr-Latn-RS"/>
              </w:rPr>
            </w:pPr>
            <w:r w:rsidRPr="00EB369B">
              <w:rPr>
                <w:lang w:val="sr-Latn-RS"/>
              </w:rPr>
              <w:t xml:space="preserve">Minimum 70% </w:t>
            </w:r>
            <w:r>
              <w:rPr>
                <w:lang w:val="sr-Latn-RS"/>
              </w:rPr>
              <w:t>srednjih</w:t>
            </w:r>
            <w:r w:rsidRPr="00EB369B">
              <w:rPr>
                <w:lang w:val="sr-Latn-RS"/>
              </w:rPr>
              <w:t xml:space="preserve"> škola ima uspostavljene timove karijerno vođenje i savjetovanje</w:t>
            </w:r>
          </w:p>
          <w:p w14:paraId="5B1910C6" w14:textId="77777777" w:rsidR="00371312" w:rsidRDefault="00371312" w:rsidP="00371312">
            <w:pPr>
              <w:rPr>
                <w:lang w:val="sr-Latn-RS"/>
              </w:rPr>
            </w:pPr>
          </w:p>
          <w:p w14:paraId="6BA558EA" w14:textId="77777777" w:rsidR="00371312" w:rsidRDefault="00371312" w:rsidP="00371312">
            <w:pPr>
              <w:rPr>
                <w:lang w:val="sr-Latn-RS"/>
              </w:rPr>
            </w:pPr>
          </w:p>
          <w:p w14:paraId="4150F2CF" w14:textId="77777777" w:rsidR="00371312" w:rsidRDefault="00371312" w:rsidP="00371312">
            <w:pPr>
              <w:rPr>
                <w:lang w:val="sr-Latn-RS"/>
              </w:rPr>
            </w:pPr>
          </w:p>
          <w:p w14:paraId="597FB4F5" w14:textId="77777777" w:rsidR="00371312" w:rsidRDefault="00371312" w:rsidP="00371312">
            <w:pPr>
              <w:rPr>
                <w:lang w:val="sr-Latn-RS"/>
              </w:rPr>
            </w:pPr>
          </w:p>
          <w:p w14:paraId="134DF8F8" w14:textId="77777777" w:rsidR="00371312" w:rsidRDefault="00371312" w:rsidP="00371312">
            <w:pPr>
              <w:rPr>
                <w:lang w:val="sr-Latn-RS"/>
              </w:rPr>
            </w:pPr>
          </w:p>
          <w:p w14:paraId="03A5EBE2" w14:textId="53F72F42" w:rsidR="00371312" w:rsidRPr="004A1A8D" w:rsidRDefault="00371312" w:rsidP="00371312">
            <w:pPr>
              <w:jc w:val="center"/>
              <w:rPr>
                <w:rFonts w:cstheme="minorHAnsi"/>
                <w:i/>
                <w:sz w:val="18"/>
                <w:szCs w:val="18"/>
              </w:rPr>
            </w:pPr>
          </w:p>
        </w:tc>
        <w:tc>
          <w:tcPr>
            <w:tcW w:w="3240" w:type="dxa"/>
          </w:tcPr>
          <w:p w14:paraId="3154ED07" w14:textId="77777777" w:rsidR="00371312" w:rsidRDefault="00371312" w:rsidP="00371312">
            <w:pPr>
              <w:jc w:val="center"/>
              <w:rPr>
                <w:b/>
                <w:bCs/>
                <w:lang w:val="sr-Latn-RS"/>
              </w:rPr>
            </w:pPr>
            <w:r w:rsidRPr="009163F3">
              <w:rPr>
                <w:b/>
                <w:bCs/>
                <w:lang w:val="sr-Latn-RS"/>
              </w:rPr>
              <w:t>Ciljna vrijednost 2030</w:t>
            </w:r>
          </w:p>
          <w:p w14:paraId="22160275" w14:textId="77777777" w:rsidR="00371312" w:rsidRDefault="00371312" w:rsidP="00371312">
            <w:pPr>
              <w:jc w:val="center"/>
              <w:rPr>
                <w:b/>
                <w:bCs/>
                <w:lang w:val="sr-Latn-RS"/>
              </w:rPr>
            </w:pPr>
          </w:p>
          <w:p w14:paraId="4168FEF9" w14:textId="77777777" w:rsidR="00371312" w:rsidRDefault="00371312" w:rsidP="00371312">
            <w:pPr>
              <w:rPr>
                <w:lang w:val="sr-Latn-RS"/>
              </w:rPr>
            </w:pPr>
          </w:p>
          <w:p w14:paraId="740A6055" w14:textId="77777777" w:rsidR="00371312" w:rsidRDefault="00371312" w:rsidP="00371312">
            <w:pPr>
              <w:rPr>
                <w:lang w:val="sr-Latn-RS"/>
              </w:rPr>
            </w:pPr>
            <w:r>
              <w:rPr>
                <w:lang w:val="sr-Latn-RS"/>
              </w:rPr>
              <w:t>Minimum 10</w:t>
            </w:r>
            <w:r w:rsidRPr="00A00C80">
              <w:rPr>
                <w:lang w:val="sr-Latn-RS"/>
              </w:rPr>
              <w:t>0% osnovnih škola ima uspostavljene timove karijerno vođenje i savjetovanje</w:t>
            </w:r>
          </w:p>
          <w:p w14:paraId="4D1EA0D4" w14:textId="77777777" w:rsidR="00371312" w:rsidRDefault="00371312" w:rsidP="00371312">
            <w:pPr>
              <w:rPr>
                <w:lang w:val="sr-Latn-RS"/>
              </w:rPr>
            </w:pPr>
          </w:p>
          <w:p w14:paraId="2B0CB9E9" w14:textId="77777777" w:rsidR="00371312" w:rsidRDefault="00371312" w:rsidP="00371312">
            <w:pPr>
              <w:rPr>
                <w:lang w:val="sr-Latn-RS"/>
              </w:rPr>
            </w:pPr>
          </w:p>
          <w:p w14:paraId="2244F1C5" w14:textId="77777777" w:rsidR="00371312" w:rsidRDefault="00371312" w:rsidP="00371312">
            <w:pPr>
              <w:rPr>
                <w:lang w:val="sr-Latn-RS"/>
              </w:rPr>
            </w:pPr>
            <w:r w:rsidRPr="00EB369B">
              <w:rPr>
                <w:lang w:val="sr-Latn-RS"/>
              </w:rPr>
              <w:t xml:space="preserve">Minimum 100% </w:t>
            </w:r>
            <w:r>
              <w:rPr>
                <w:lang w:val="sr-Latn-RS"/>
              </w:rPr>
              <w:t>srednjih</w:t>
            </w:r>
            <w:r w:rsidRPr="00EB369B">
              <w:rPr>
                <w:lang w:val="sr-Latn-RS"/>
              </w:rPr>
              <w:t xml:space="preserve"> škola ima uspostavljene timove karijerno vođenje i savjetovanje</w:t>
            </w:r>
          </w:p>
          <w:p w14:paraId="0F56F97F" w14:textId="42E41579" w:rsidR="00371312" w:rsidRPr="004A1A8D" w:rsidRDefault="00371312" w:rsidP="00371312">
            <w:pPr>
              <w:jc w:val="center"/>
              <w:rPr>
                <w:rFonts w:cstheme="minorHAnsi"/>
                <w:i/>
                <w:sz w:val="18"/>
                <w:szCs w:val="18"/>
                <w:lang w:val="it-IT"/>
              </w:rPr>
            </w:pPr>
          </w:p>
        </w:tc>
      </w:tr>
    </w:tbl>
    <w:p w14:paraId="60534FB3" w14:textId="77777777" w:rsidR="001B5634" w:rsidRDefault="001B5634" w:rsidP="001B5634">
      <w:pPr>
        <w:jc w:val="both"/>
      </w:pPr>
    </w:p>
    <w:p w14:paraId="37970DB1" w14:textId="4B485D41" w:rsidR="00A66BAC" w:rsidRDefault="00993F6F" w:rsidP="00A66BAC">
      <w:pPr>
        <w:pStyle w:val="Heading2"/>
      </w:pPr>
      <w:bookmarkStart w:id="11" w:name="_Toc197274074"/>
      <w:r w:rsidRPr="00A66BAC">
        <w:t>JAČANJE USLUGA KARIJERNE ORIJENTACIJE ZA NEZAPOSLENE I ZAPOSLENE</w:t>
      </w:r>
      <w:bookmarkEnd w:id="11"/>
    </w:p>
    <w:p w14:paraId="26A60F7B" w14:textId="492891AF" w:rsidR="006D087D" w:rsidRDefault="006D087D" w:rsidP="006D087D">
      <w:pPr>
        <w:jc w:val="both"/>
      </w:pPr>
      <w:r>
        <w:t xml:space="preserve">U oblasti zapošljavanja i tržišta rada Zavod za zapošljavanje Crne Gore je jedan od glavnih aktera odgovornih za pružanje usluga karijerne orijentacije. Ove usluge realizuju se kroz rad savjetnika za profesionalnu orijentaciju, ali i drugih savjetnika u ZZZCG. Ranije su pri područnim jednicama Zavoda za zapošljavanje funkcionisali Centi za profesionalno informisanje i savjetovanje (CIPS) u kojima su zainteresovani (učenici, roditelji, studenti, nezaposleni, zaposleni) mogli dobiti  informacije i savjete korisne prilikom planiranja karijere. CIPS centri su funkcionisali u punom kapacitetu do pandemije virusa Covid-19. Međunarodna organizacija rada dala je preporuke da se CIPS centri formiraju kao posebne organizacione jedinice u okviru područnih jedinica Zavoda kako bi njihov rad bio vidljiviji. Međutim zakonska rješenja nijesu dozvoljavala takav vid organizacije.Zakon o posredovanju pri zapošljavanju i pravima za vrijeme nezaposlenosti je akcenat stavio na rad sa nezaposlenim licima i ostalim tražiocima zaposlenja te su oni prioritetne ciljne grupe kojima se ZZZCG bavi. </w:t>
      </w:r>
    </w:p>
    <w:p w14:paraId="07F20AB1" w14:textId="53B93B27" w:rsidR="006D087D" w:rsidRDefault="006D087D" w:rsidP="006D087D">
      <w:pPr>
        <w:jc w:val="both"/>
      </w:pPr>
      <w:r>
        <w:lastRenderedPageBreak/>
        <w:t>Sama profesionalna orijentacija u skladu sa zakonskim rješenjima definisana je kao usluga za tržište rada koja obuhvata skup različitih stručnih postupaka kojima se identifikuju mogućnosti nezaposlenog lica pri izboru zanimanja, promjeni zanimanja i donošenju odluka u vezi sa karijernim razvojem, odnosno usklađivanje individualnih potreba sa zahtjevima tržišta rada.</w:t>
      </w:r>
    </w:p>
    <w:p w14:paraId="30A76F28" w14:textId="77777777" w:rsidR="009B6524" w:rsidRDefault="006D087D" w:rsidP="006D087D">
      <w:pPr>
        <w:spacing w:line="256" w:lineRule="auto"/>
        <w:jc w:val="both"/>
        <w:rPr>
          <w:rFonts w:eastAsia="Calibri" w:cstheme="minorHAnsi"/>
        </w:rPr>
      </w:pPr>
      <w:r w:rsidRPr="006D087D">
        <w:rPr>
          <w:rFonts w:eastAsia="Calibri" w:cstheme="minorHAnsi"/>
        </w:rPr>
        <w:t xml:space="preserve">Stručni postupci profesionalne orijentacije obuhvataju: </w:t>
      </w:r>
    </w:p>
    <w:p w14:paraId="6847B5BB" w14:textId="3554BB39" w:rsidR="009B6524" w:rsidRDefault="00FB32E6" w:rsidP="009B6524">
      <w:pPr>
        <w:pStyle w:val="ListParagraph"/>
        <w:numPr>
          <w:ilvl w:val="0"/>
          <w:numId w:val="15"/>
        </w:numPr>
        <w:spacing w:line="256" w:lineRule="auto"/>
        <w:jc w:val="both"/>
        <w:rPr>
          <w:rFonts w:eastAsia="Calibri" w:cstheme="minorHAnsi"/>
        </w:rPr>
      </w:pPr>
      <w:r>
        <w:rPr>
          <w:rFonts w:eastAsia="Calibri" w:cstheme="minorHAnsi"/>
        </w:rPr>
        <w:t>I</w:t>
      </w:r>
      <w:r w:rsidR="006D087D" w:rsidRPr="009B6524">
        <w:rPr>
          <w:rFonts w:eastAsia="Calibri" w:cstheme="minorHAnsi"/>
        </w:rPr>
        <w:t>nf</w:t>
      </w:r>
      <w:r w:rsidR="009B6524" w:rsidRPr="009B6524">
        <w:rPr>
          <w:rFonts w:eastAsia="Calibri" w:cstheme="minorHAnsi"/>
        </w:rPr>
        <w:t>or</w:t>
      </w:r>
      <w:r w:rsidR="006D087D" w:rsidRPr="009B6524">
        <w:rPr>
          <w:rFonts w:eastAsia="Calibri" w:cstheme="minorHAnsi"/>
        </w:rPr>
        <w:t>misanje o mogućnostima razvoja karijere</w:t>
      </w:r>
      <w:r w:rsidR="00EB1FAD">
        <w:rPr>
          <w:rFonts w:eastAsia="Calibri" w:cstheme="minorHAnsi"/>
        </w:rPr>
        <w:t>;</w:t>
      </w:r>
    </w:p>
    <w:p w14:paraId="6BE81A17" w14:textId="1040FFF3" w:rsidR="009B6524" w:rsidRDefault="00FB32E6" w:rsidP="00FB32E6">
      <w:pPr>
        <w:pStyle w:val="ListParagraph"/>
        <w:spacing w:line="256" w:lineRule="auto"/>
        <w:jc w:val="both"/>
        <w:rPr>
          <w:rFonts w:eastAsia="Calibri" w:cstheme="minorHAnsi"/>
        </w:rPr>
      </w:pPr>
      <w:r>
        <w:rPr>
          <w:rFonts w:eastAsia="Calibri" w:cstheme="minorHAnsi"/>
        </w:rPr>
        <w:t>P</w:t>
      </w:r>
      <w:r w:rsidR="006D087D" w:rsidRPr="009B6524">
        <w:rPr>
          <w:rFonts w:eastAsia="Calibri" w:cstheme="minorHAnsi"/>
        </w:rPr>
        <w:t>procjenu u cilju planiranja karijere,</w:t>
      </w:r>
      <w:r w:rsidR="00EB1FAD">
        <w:rPr>
          <w:rFonts w:eastAsia="Calibri" w:cstheme="minorHAnsi"/>
        </w:rPr>
        <w:t>;</w:t>
      </w:r>
    </w:p>
    <w:p w14:paraId="5AF79963" w14:textId="0FB79B39" w:rsidR="009B6524" w:rsidRDefault="00FB32E6" w:rsidP="009B6524">
      <w:pPr>
        <w:pStyle w:val="ListParagraph"/>
        <w:numPr>
          <w:ilvl w:val="0"/>
          <w:numId w:val="15"/>
        </w:numPr>
        <w:spacing w:line="256" w:lineRule="auto"/>
        <w:jc w:val="both"/>
        <w:rPr>
          <w:rFonts w:eastAsia="Calibri" w:cstheme="minorHAnsi"/>
        </w:rPr>
      </w:pPr>
      <w:r>
        <w:rPr>
          <w:rFonts w:eastAsia="Calibri" w:cstheme="minorHAnsi"/>
        </w:rPr>
        <w:t>S</w:t>
      </w:r>
      <w:r w:rsidR="006D087D" w:rsidRPr="009B6524">
        <w:rPr>
          <w:rFonts w:eastAsia="Calibri" w:cstheme="minorHAnsi"/>
        </w:rPr>
        <w:t xml:space="preserve">avjetovanje u cilju planiranja karijere i druge aktivnosti koje se odnose na planiranje i razvoj karijere. </w:t>
      </w:r>
    </w:p>
    <w:p w14:paraId="06A3DA24" w14:textId="423DE143" w:rsidR="006D087D" w:rsidRPr="009B6524" w:rsidRDefault="006D087D" w:rsidP="009B6524">
      <w:pPr>
        <w:spacing w:line="256" w:lineRule="auto"/>
        <w:jc w:val="both"/>
        <w:rPr>
          <w:rFonts w:eastAsia="Calibri" w:cstheme="minorHAnsi"/>
        </w:rPr>
      </w:pPr>
      <w:r w:rsidRPr="009B6524">
        <w:rPr>
          <w:rFonts w:eastAsia="Calibri" w:cstheme="minorHAnsi"/>
        </w:rPr>
        <w:t xml:space="preserve">U odnosu na metod rada dijele se na individualne i grupne postupke. Individualni podrazumijevaju procjenu ličnih potencijala, individualno savjetovanje (može uključivati i psihološko testiranja), dok se grupni baziraju na radioničarskom tipu rada, gdje korisnici kroz interaktivan rad razmjenjuju iskustva, usvajaju znanja i vještine. Grupni rad uključuje od 7 do 16 učesnika, dok vremenski okvir pružanja usluga zavisi od strukture programa. Takođe, tu su i postupci selekcije, bilo po zahtjevu poslodavca za zapošljavanje ili u cilju uključivanja nezaposlenih u mjere aktivne politike zapošljavanja. Sve ove aktivnosti profesionalnog usmjeravanja se sprovode u cilju povećanja zapošljivosti nezaposlenih i ostalih tražilaca posla. </w:t>
      </w:r>
    </w:p>
    <w:p w14:paraId="4093B41E" w14:textId="77777777" w:rsidR="006D087D" w:rsidRPr="006D087D" w:rsidRDefault="006D087D" w:rsidP="006D087D">
      <w:pPr>
        <w:spacing w:line="256" w:lineRule="auto"/>
        <w:jc w:val="both"/>
        <w:rPr>
          <w:rFonts w:eastAsia="Calibri" w:cstheme="minorHAnsi"/>
        </w:rPr>
      </w:pPr>
      <w:r w:rsidRPr="006D087D">
        <w:rPr>
          <w:rFonts w:eastAsia="Calibri" w:cstheme="minorHAnsi"/>
        </w:rPr>
        <w:t xml:space="preserve">Zavod za zapošljavanje Crne Gore realizuje više mjera aktivne politike zapošljavanja i to: </w:t>
      </w:r>
    </w:p>
    <w:p w14:paraId="0BE6DCD2" w14:textId="485529DE" w:rsidR="006D087D" w:rsidRPr="006D087D" w:rsidRDefault="00EB1FAD" w:rsidP="006D087D">
      <w:pPr>
        <w:pStyle w:val="ListParagraph"/>
        <w:numPr>
          <w:ilvl w:val="0"/>
          <w:numId w:val="15"/>
        </w:numPr>
        <w:spacing w:line="256" w:lineRule="auto"/>
        <w:jc w:val="both"/>
        <w:rPr>
          <w:rFonts w:eastAsia="Calibri" w:cstheme="minorHAnsi"/>
        </w:rPr>
      </w:pPr>
      <w:r>
        <w:rPr>
          <w:rFonts w:eastAsia="Calibri" w:cstheme="minorHAnsi"/>
        </w:rPr>
        <w:t>O</w:t>
      </w:r>
      <w:r w:rsidR="006D087D" w:rsidRPr="006D087D">
        <w:rPr>
          <w:rFonts w:eastAsia="Calibri" w:cstheme="minorHAnsi"/>
        </w:rPr>
        <w:t>brazovanje i osposobljavanje odraslih</w:t>
      </w:r>
      <w:r>
        <w:rPr>
          <w:rFonts w:eastAsia="Calibri" w:cstheme="minorHAnsi"/>
        </w:rPr>
        <w:t>;</w:t>
      </w:r>
      <w:r w:rsidR="006D087D" w:rsidRPr="006D087D">
        <w:rPr>
          <w:rFonts w:eastAsia="Calibri" w:cstheme="minorHAnsi"/>
        </w:rPr>
        <w:t xml:space="preserve"> </w:t>
      </w:r>
    </w:p>
    <w:p w14:paraId="7820AB06" w14:textId="17060699" w:rsidR="006D087D" w:rsidRPr="006D087D" w:rsidRDefault="00EB1FAD" w:rsidP="006D087D">
      <w:pPr>
        <w:pStyle w:val="ListParagraph"/>
        <w:numPr>
          <w:ilvl w:val="0"/>
          <w:numId w:val="15"/>
        </w:numPr>
        <w:spacing w:line="256" w:lineRule="auto"/>
        <w:jc w:val="both"/>
        <w:rPr>
          <w:rFonts w:eastAsia="Calibri" w:cstheme="minorHAnsi"/>
        </w:rPr>
      </w:pPr>
      <w:r>
        <w:rPr>
          <w:rFonts w:eastAsia="Calibri" w:cstheme="minorHAnsi"/>
        </w:rPr>
        <w:t>P</w:t>
      </w:r>
      <w:r w:rsidR="006D087D" w:rsidRPr="006D087D">
        <w:rPr>
          <w:rFonts w:eastAsia="Calibri" w:cstheme="minorHAnsi"/>
        </w:rPr>
        <w:t>odsticaje za zapošljavanje, direktno otvaranje radnih mjesta i podsticaje za preduzetništvo</w:t>
      </w:r>
      <w:r>
        <w:rPr>
          <w:rFonts w:eastAsia="Calibri" w:cstheme="minorHAnsi"/>
        </w:rPr>
        <w:t>;</w:t>
      </w:r>
      <w:r w:rsidR="006D087D" w:rsidRPr="006D087D">
        <w:rPr>
          <w:rFonts w:eastAsia="Calibri" w:cstheme="minorHAnsi"/>
        </w:rPr>
        <w:t xml:space="preserve"> </w:t>
      </w:r>
    </w:p>
    <w:p w14:paraId="56F44D07" w14:textId="32B22ACC" w:rsidR="006D087D" w:rsidRPr="006D087D" w:rsidRDefault="006D087D" w:rsidP="006D087D">
      <w:pPr>
        <w:pStyle w:val="ListParagraph"/>
        <w:numPr>
          <w:ilvl w:val="0"/>
          <w:numId w:val="15"/>
        </w:numPr>
        <w:spacing w:line="256" w:lineRule="auto"/>
        <w:jc w:val="both"/>
        <w:rPr>
          <w:rFonts w:eastAsia="Calibri" w:cstheme="minorHAnsi"/>
        </w:rPr>
      </w:pPr>
      <w:r w:rsidRPr="006D087D">
        <w:rPr>
          <w:rFonts w:eastAsia="Calibri" w:cstheme="minorHAnsi"/>
        </w:rPr>
        <w:t>Zavod može sprovoditi i druge mjere aktivne politike zapošljavanja u zavisnosti od potreba tržišta rada i identifikovanih potreba određenih grupa nezaposlenih. Mjere se sprovode kroz programe aktivne politike zapošljavanja usmjerene ka povećanju zaposlenosti, odnosno smanjenju nezaposlenosti.</w:t>
      </w:r>
    </w:p>
    <w:p w14:paraId="753BD6FD" w14:textId="77777777" w:rsidR="006D087D" w:rsidRPr="006D087D" w:rsidRDefault="006D087D" w:rsidP="006D087D">
      <w:pPr>
        <w:spacing w:line="256" w:lineRule="auto"/>
        <w:jc w:val="both"/>
        <w:rPr>
          <w:rFonts w:eastAsia="Calibri" w:cstheme="minorHAnsi"/>
        </w:rPr>
      </w:pPr>
      <w:r w:rsidRPr="006D087D">
        <w:rPr>
          <w:rFonts w:eastAsia="Calibri" w:cstheme="minorHAnsi"/>
        </w:rPr>
        <w:t>Programi aktivne politike zapošljavanja realizuju se u saradnji sa organizatorima obrazovanja i poslodavcima. Programi su namijenjeni nezaposlenim, naročito iz kategorije uslovno zapošljivih koji su u riziku na tržištu rada, jer je njihovo zapošljavanje zbog određenih razloga, odnosno okolnosti na tržištu rada otežano. Cilj je da se poveća zapošljivost i doprinese zapošljavanju ovih lica.</w:t>
      </w:r>
    </w:p>
    <w:p w14:paraId="027C6603" w14:textId="77777777" w:rsidR="006D087D" w:rsidRPr="006D087D" w:rsidRDefault="006D087D" w:rsidP="006D087D">
      <w:pPr>
        <w:spacing w:line="256" w:lineRule="auto"/>
        <w:jc w:val="both"/>
        <w:rPr>
          <w:rFonts w:eastAsia="Calibri" w:cstheme="minorHAnsi"/>
        </w:rPr>
      </w:pPr>
      <w:r w:rsidRPr="006D087D">
        <w:rPr>
          <w:rFonts w:eastAsia="Calibri" w:cstheme="minorHAnsi"/>
        </w:rPr>
        <w:t xml:space="preserve">Portfelj mjera za integraciju na tržište rada koje su trenutno dostupne klijentima ZZZCG uključuje: </w:t>
      </w:r>
    </w:p>
    <w:p w14:paraId="4F79E7FA" w14:textId="77777777" w:rsidR="006D087D" w:rsidRPr="006D087D" w:rsidRDefault="006D087D" w:rsidP="006D087D">
      <w:pPr>
        <w:pStyle w:val="ListParagraph"/>
        <w:numPr>
          <w:ilvl w:val="0"/>
          <w:numId w:val="15"/>
        </w:numPr>
        <w:spacing w:line="256" w:lineRule="auto"/>
        <w:jc w:val="both"/>
        <w:rPr>
          <w:rFonts w:eastAsia="Calibri" w:cstheme="minorHAnsi"/>
        </w:rPr>
      </w:pPr>
      <w:r w:rsidRPr="006D087D">
        <w:rPr>
          <w:rFonts w:eastAsia="Calibri" w:cstheme="minorHAnsi"/>
        </w:rPr>
        <w:t>programe obrazovanja i obuke odraslih (van posla i na radnom mjestu),</w:t>
      </w:r>
    </w:p>
    <w:p w14:paraId="69CAF6B3" w14:textId="0BD6E0C5" w:rsidR="006D087D" w:rsidRPr="006D087D" w:rsidRDefault="006D087D" w:rsidP="006D087D">
      <w:pPr>
        <w:pStyle w:val="ListParagraph"/>
        <w:numPr>
          <w:ilvl w:val="0"/>
          <w:numId w:val="15"/>
        </w:numPr>
        <w:spacing w:line="256" w:lineRule="auto"/>
        <w:jc w:val="both"/>
        <w:rPr>
          <w:rFonts w:eastAsia="Calibri" w:cstheme="minorHAnsi"/>
        </w:rPr>
      </w:pPr>
      <w:r w:rsidRPr="006D087D">
        <w:rPr>
          <w:rFonts w:eastAsia="Calibri" w:cstheme="minorHAnsi"/>
        </w:rPr>
        <w:t>subvencije za zapošljavanj</w:t>
      </w:r>
      <w:r w:rsidR="00974AC7">
        <w:rPr>
          <w:rFonts w:eastAsia="Calibri" w:cstheme="minorHAnsi"/>
        </w:rPr>
        <w:t>e</w:t>
      </w:r>
      <w:r w:rsidRPr="006D087D">
        <w:rPr>
          <w:rFonts w:eastAsia="Calibri" w:cstheme="minorHAnsi"/>
        </w:rPr>
        <w:t>,</w:t>
      </w:r>
    </w:p>
    <w:p w14:paraId="13B392C3" w14:textId="42203B6A" w:rsidR="006D087D" w:rsidRPr="006D087D" w:rsidRDefault="006D087D" w:rsidP="006D087D">
      <w:pPr>
        <w:pStyle w:val="ListParagraph"/>
        <w:numPr>
          <w:ilvl w:val="0"/>
          <w:numId w:val="15"/>
        </w:numPr>
        <w:spacing w:line="256" w:lineRule="auto"/>
        <w:jc w:val="both"/>
        <w:rPr>
          <w:rFonts w:eastAsia="Calibri" w:cstheme="minorHAnsi"/>
        </w:rPr>
      </w:pPr>
      <w:r w:rsidRPr="006D087D">
        <w:rPr>
          <w:rFonts w:eastAsia="Calibri" w:cstheme="minorHAnsi"/>
        </w:rPr>
        <w:lastRenderedPageBreak/>
        <w:t>subvencije za preduzetništvo. Učešće nezaposlenih klijenata u aktivnim programima tržišta rada određuje se njihovim individualnim planom zapošljavanja (IPZ) i finansijskim okvirom koji je dostupan na godišnjem nivou</w:t>
      </w:r>
      <w:r w:rsidR="00B065D4">
        <w:rPr>
          <w:rFonts w:eastAsia="Calibri" w:cstheme="minorHAnsi"/>
        </w:rPr>
        <w:t>.</w:t>
      </w:r>
      <w:r w:rsidRPr="006D087D">
        <w:rPr>
          <w:vertAlign w:val="superscript"/>
        </w:rPr>
        <w:footnoteReference w:id="23"/>
      </w:r>
    </w:p>
    <w:p w14:paraId="6E52D55B" w14:textId="69942FEA" w:rsidR="006D087D" w:rsidRDefault="006D087D" w:rsidP="006D087D">
      <w:pPr>
        <w:spacing w:line="256" w:lineRule="auto"/>
        <w:jc w:val="both"/>
        <w:rPr>
          <w:rFonts w:eastAsia="Calibri" w:cstheme="minorHAnsi"/>
        </w:rPr>
      </w:pPr>
      <w:r w:rsidRPr="006D087D">
        <w:rPr>
          <w:rFonts w:eastAsia="Calibri" w:cstheme="minorHAnsi"/>
        </w:rPr>
        <w:t>Neke od mjera aktivne politike zapošljavanja koje pruža Z</w:t>
      </w:r>
      <w:r w:rsidR="009B6524">
        <w:rPr>
          <w:rFonts w:eastAsia="Calibri" w:cstheme="minorHAnsi"/>
        </w:rPr>
        <w:t>Z</w:t>
      </w:r>
      <w:r w:rsidRPr="006D087D">
        <w:rPr>
          <w:rFonts w:eastAsia="Calibri" w:cstheme="minorHAnsi"/>
        </w:rPr>
        <w:t>Z uključuju učenje i osposobljavanje odraslih, osposobljavanje za rad kod poslodavca, osposobljavanje za samostalan rad, program „Stop sivoj ekonomiji“, kao i druge mjere koje su u prethodnom period bile sve više finansirane. Međutim, vrlo je teško procijeniti učinak ovih programa jer još uvijek nedostaje odgovarajući mehanizam  praćenja. To prije svega znači da ne postoje tačni podaci o broju zaposlenih nakon 6, 12 i 18 mjeseci učestvovanja u programima, vrstama poslova na kojima rade (tj. radi li se o punom ili skraćenom radnom vremenu) kao i o visini plate. U bliskoj budućnosti bilo bi više nego korisno započeti sa pripremama za prikupljanje ovih podataka."</w:t>
      </w:r>
      <w:r w:rsidRPr="006D087D">
        <w:rPr>
          <w:rFonts w:eastAsia="Calibri" w:cstheme="minorHAnsi"/>
          <w:vertAlign w:val="superscript"/>
        </w:rPr>
        <w:footnoteReference w:id="24"/>
      </w:r>
      <w:r w:rsidRPr="006D087D">
        <w:rPr>
          <w:rFonts w:eastAsia="Calibri" w:cstheme="minorHAnsi"/>
        </w:rPr>
        <w:t xml:space="preserve"> Sastav učesnika u programima aktivne politike zapošljavanja koje su se sprovodile </w:t>
      </w:r>
      <w:r w:rsidRPr="00562CC6">
        <w:rPr>
          <w:rFonts w:eastAsia="Calibri" w:cstheme="minorHAnsi"/>
        </w:rPr>
        <w:t>u 2020.godini je sljedeći: udio žena je 57,18%, mladih 49,39%, dok je udio dugotrajno nezaposlenih 1,86%. Učesnici  romske i egipćanske populacije imali su udio od 2%, dok je udio osoba sa invaliditetom bio 6,79%.  (Program ekonomskih reformi, 2021-23).</w:t>
      </w:r>
    </w:p>
    <w:p w14:paraId="39FD0E60" w14:textId="74DFE6FC" w:rsidR="00396A14" w:rsidRPr="006D087D" w:rsidRDefault="00396A14" w:rsidP="00396A14">
      <w:pPr>
        <w:spacing w:line="256" w:lineRule="auto"/>
        <w:jc w:val="both"/>
        <w:rPr>
          <w:rFonts w:eastAsia="Calibri" w:cstheme="minorHAnsi"/>
        </w:rPr>
      </w:pPr>
      <w:r w:rsidRPr="00396A14">
        <w:rPr>
          <w:lang w:val="sr-Latn-RS"/>
        </w:rPr>
        <w:t>NEET mladi čine značajan dio populacije u Crnoj Gori. Podaci Monstatove Ankete o radnoj snazi (ARS)</w:t>
      </w:r>
      <w:r w:rsidRPr="00396A14">
        <w:rPr>
          <w:vertAlign w:val="superscript"/>
          <w:lang w:val="sr-Latn-RS"/>
        </w:rPr>
        <w:footnoteReference w:id="25"/>
      </w:r>
      <w:r w:rsidRPr="00396A14">
        <w:rPr>
          <w:lang w:val="sr-Latn-RS"/>
        </w:rPr>
        <w:t xml:space="preserve"> na kraju 202</w:t>
      </w:r>
      <w:r>
        <w:rPr>
          <w:lang w:val="sr-Latn-RS"/>
        </w:rPr>
        <w:t>3</w:t>
      </w:r>
      <w:r w:rsidRPr="00396A14">
        <w:rPr>
          <w:lang w:val="sr-Latn-RS"/>
        </w:rPr>
        <w:t>. godine</w:t>
      </w:r>
      <w:r>
        <w:rPr>
          <w:lang w:val="sr-Latn-RS"/>
        </w:rPr>
        <w:t>,</w:t>
      </w:r>
      <w:r w:rsidRPr="00396A14">
        <w:rPr>
          <w:lang w:val="sr-Latn-RS"/>
        </w:rPr>
        <w:t xml:space="preserve"> broj mladih u Crnoj Gori sa NEET statusom iznosio oko 27.100 pojedinaca ili 20,3% od ukupne populacije mladih.</w:t>
      </w:r>
      <w:r>
        <w:rPr>
          <w:lang w:val="sr-Latn-RS"/>
        </w:rPr>
        <w:t xml:space="preserve"> U tom pogledu je važno napraviti uporedni prikaz sa podacima sa nivoa EU i regiona Zapadnog Balkana:</w:t>
      </w:r>
    </w:p>
    <w:p w14:paraId="39728DC4" w14:textId="77777777" w:rsidR="00396A14" w:rsidRDefault="00396A14" w:rsidP="00396A14">
      <w:pPr>
        <w:pStyle w:val="ListParagraph"/>
        <w:numPr>
          <w:ilvl w:val="0"/>
          <w:numId w:val="15"/>
        </w:numPr>
        <w:jc w:val="both"/>
        <w:rPr>
          <w:lang w:val="sr-Latn-RS"/>
        </w:rPr>
      </w:pPr>
      <w:r w:rsidRPr="00396A14">
        <w:rPr>
          <w:lang w:val="sr-Latn-RS"/>
        </w:rPr>
        <w:t>Podaci Eurofonda (Eurofound) pokazuju da, u 27 država članica Evropske unije (EU), udio NEET-a starosti 15–29 godina dostigao je vrhunac izražen u procentu od 16,1% u 2013. godini. Narednih godina je evidentirano smanjenje procenta NEET populacije,  uslijed sprovođenja mjera politike kao što je Garancija za mlade. Do 2019, stopa NEET je pala na 12,6%, što je najniža tačka u poslednjih 10 godina. Pandemija virusa COVID-19 i povezana ekonomska ograničenja doprinijeli su povećanju stope NEET-a na 13,8% u 2020. godini, kao rezultat gubitka posla i prepreka obrazovanju i obuci mladih. Stopa NEET-a je u stalnom opadanju od 2021. godine i dostigla je najniži nivo u istoriji od 11,2% u 2023. godine. Štaviše, udio nezaposlenih mladih među NEET populacijom je takođe na najnižem zabilježenom nivou.</w:t>
      </w:r>
      <w:r w:rsidRPr="00396A14">
        <w:rPr>
          <w:vertAlign w:val="superscript"/>
          <w:lang w:val="sr-Latn-RS"/>
        </w:rPr>
        <w:footnoteReference w:id="26"/>
      </w:r>
      <w:r w:rsidRPr="00396A14">
        <w:rPr>
          <w:lang w:val="sr-Latn-RS"/>
        </w:rPr>
        <w:t xml:space="preserve"> Stopa NEET-a za mlade žene od 15 do 29 godina u EU iznosila je 15,5% u 2020. i iznosi 12,5% u 2023. godini, što je nešto veći procenat u odnosu na NEET stopu nezaposlenosti od 10,1% za mlade muškarce. Navedeni procenat je veći za mlade žene u skoro svim državama članicama.</w:t>
      </w:r>
    </w:p>
    <w:p w14:paraId="4B22CFE3" w14:textId="5DC714B7" w:rsidR="00396A14" w:rsidRPr="00396A14" w:rsidRDefault="00396A14" w:rsidP="00396A14">
      <w:pPr>
        <w:pStyle w:val="ListParagraph"/>
        <w:numPr>
          <w:ilvl w:val="0"/>
          <w:numId w:val="15"/>
        </w:numPr>
        <w:jc w:val="both"/>
        <w:rPr>
          <w:lang w:val="sr-Latn-RS"/>
        </w:rPr>
      </w:pPr>
      <w:r w:rsidRPr="00396A14">
        <w:rPr>
          <w:lang w:val="sr-Latn-RS"/>
        </w:rPr>
        <w:lastRenderedPageBreak/>
        <w:t>Prema podacima RCC-a iz 2021. godine,</w:t>
      </w:r>
      <w:r w:rsidRPr="00396A14">
        <w:rPr>
          <w:vertAlign w:val="superscript"/>
          <w:lang w:val="sr-Latn-RS"/>
        </w:rPr>
        <w:footnoteReference w:id="27"/>
      </w:r>
      <w:r w:rsidRPr="00396A14">
        <w:rPr>
          <w:lang w:val="sr-Latn-RS"/>
        </w:rPr>
        <w:t xml:space="preserve"> udio mladih ljudi koji nisu ni zaposleni ni u obrazovanju ili obuci (NEET) za starosnu grupu 15-24 u prosjeku iznosi 23,7% na Zapadnom Balkanu (WB6), u rasponu od 15,9% u Srbiji do 37,4% na Kosovu (K3), u poređenju sa samo 11,1% u starosnoj grupi 15-24 u EU. Dugotrajna nezaposlenost pogađa skoro dvije trećine nezaposlenih mladih u Sjevernoj Makedoniji, Bosni i Hercegovini i na Kosovu. Procjenjuje se da je ukupan broj NEET u regionu WB6 u dobi od 15-24 godine oko 530.000. </w:t>
      </w:r>
    </w:p>
    <w:p w14:paraId="176C0A57" w14:textId="143B7B89" w:rsidR="009B6524" w:rsidRDefault="009B6524" w:rsidP="006D087D">
      <w:pPr>
        <w:spacing w:line="256" w:lineRule="auto"/>
        <w:jc w:val="both"/>
        <w:rPr>
          <w:rFonts w:eastAsia="Calibri" w:cstheme="minorHAnsi"/>
        </w:rPr>
      </w:pPr>
      <w:r>
        <w:rPr>
          <w:rFonts w:eastAsia="Calibri" w:cstheme="minorHAnsi"/>
        </w:rPr>
        <w:t>Prema podacima Ankete o radnoj snazi za I</w:t>
      </w:r>
      <w:r w:rsidR="00B23696">
        <w:rPr>
          <w:rFonts w:eastAsia="Calibri" w:cstheme="minorHAnsi"/>
        </w:rPr>
        <w:t xml:space="preserve">V </w:t>
      </w:r>
      <w:r>
        <w:rPr>
          <w:rFonts w:eastAsia="Calibri" w:cstheme="minorHAnsi"/>
        </w:rPr>
        <w:t>kvartal 2024. godine,</w:t>
      </w:r>
      <w:r>
        <w:rPr>
          <w:rStyle w:val="FootnoteReference"/>
          <w:rFonts w:eastAsia="Calibri" w:cstheme="minorHAnsi"/>
        </w:rPr>
        <w:footnoteReference w:id="28"/>
      </w:r>
      <w:r>
        <w:rPr>
          <w:rFonts w:eastAsia="Calibri" w:cstheme="minorHAnsi"/>
        </w:rPr>
        <w:t xml:space="preserve"> </w:t>
      </w:r>
      <w:r w:rsidRPr="009B6524">
        <w:rPr>
          <w:rFonts w:eastAsia="Calibri" w:cstheme="minorHAnsi"/>
        </w:rPr>
        <w:t xml:space="preserve">u Crnoj Gori aktivnog stanovništva bilo je </w:t>
      </w:r>
      <w:r w:rsidR="00B23696" w:rsidRPr="00B23696">
        <w:rPr>
          <w:rFonts w:eastAsia="Calibri" w:cstheme="minorHAnsi"/>
        </w:rPr>
        <w:t>315,2 hiljade od kojih je 278,7 hiljada ili 88,4% zaposlenih i 36,5 hiljada ili 11,6% nezaposlenih lica. Broj zaposlenih u odnosu na prethodni kvartal je smanjen za 3,1%, i u odnosu na isti kvartal prethodne godine bilježi pad od 0,4%. Broj nezaposlenih u odnosu na prethodni kvartal je povećan za 2,5%, a u odnosu na isti kvartal prethodne godine bilježi pad od 5,9%.</w:t>
      </w:r>
    </w:p>
    <w:p w14:paraId="63F06487" w14:textId="77777777" w:rsidR="00B23696" w:rsidRDefault="00B23696" w:rsidP="00B23696">
      <w:pPr>
        <w:spacing w:line="256" w:lineRule="auto"/>
        <w:jc w:val="both"/>
        <w:rPr>
          <w:rFonts w:eastAsia="Calibri" w:cstheme="minorHAnsi"/>
        </w:rPr>
      </w:pPr>
      <w:r w:rsidRPr="00B23696">
        <w:rPr>
          <w:rFonts w:eastAsia="Calibri" w:cstheme="minorHAnsi"/>
        </w:rPr>
        <w:t xml:space="preserve">Stanovništvo van radne snage (15-89 godina starosti) čini 184,4 hiljade lica. Broj stanovništva van radne snage u odnosu na prethodni kvartal je povećan za 4,3%, i u odnosu na isti kvartal prethodne godine bilježi rast od 2,3%. Za starosnu grupu od 15 do 89 godina u četvrtom kvartalu 2024. godine stopa aktivnosti je 63,1%, stopa zaposlenosti je 55,8%, stopa nezaposlenosti je 11,6% i stopa stanovništva van radne snage je 36,9%. </w:t>
      </w:r>
    </w:p>
    <w:p w14:paraId="678DB622" w14:textId="155B203C" w:rsidR="00CB2EDA" w:rsidRPr="006D087D" w:rsidRDefault="00B23696" w:rsidP="00B23696">
      <w:pPr>
        <w:spacing w:line="256" w:lineRule="auto"/>
        <w:jc w:val="center"/>
        <w:rPr>
          <w:rFonts w:eastAsia="Calibri" w:cstheme="minorHAnsi"/>
        </w:rPr>
      </w:pPr>
      <w:r>
        <w:rPr>
          <w:rFonts w:eastAsia="Calibri" w:cstheme="minorHAnsi"/>
          <w:noProof/>
          <w:lang w:val="en-US"/>
        </w:rPr>
        <w:drawing>
          <wp:inline distT="0" distB="0" distL="0" distR="0" wp14:anchorId="6F3C8CD4" wp14:editId="394D0EF0">
            <wp:extent cx="5721985" cy="2200275"/>
            <wp:effectExtent l="0" t="0" r="0" b="952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45489" cy="2209313"/>
                    </a:xfrm>
                    <a:prstGeom prst="rect">
                      <a:avLst/>
                    </a:prstGeom>
                    <a:noFill/>
                    <a:ln>
                      <a:noFill/>
                    </a:ln>
                  </pic:spPr>
                </pic:pic>
              </a:graphicData>
            </a:graphic>
          </wp:inline>
        </w:drawing>
      </w:r>
    </w:p>
    <w:p w14:paraId="554D39FF" w14:textId="2E367642" w:rsidR="00CB2EDA" w:rsidRPr="00CB2EDA" w:rsidRDefault="00CB2EDA" w:rsidP="00CB2EDA">
      <w:pPr>
        <w:spacing w:line="256" w:lineRule="auto"/>
        <w:jc w:val="center"/>
        <w:rPr>
          <w:rFonts w:eastAsia="Calibri" w:cstheme="minorHAnsi"/>
          <w:color w:val="595959" w:themeColor="text1" w:themeTint="A6"/>
          <w:sz w:val="18"/>
          <w:szCs w:val="18"/>
          <w:lang w:val="sr-Latn-ME"/>
        </w:rPr>
      </w:pPr>
      <w:r w:rsidRPr="00CB2EDA">
        <w:rPr>
          <w:rFonts w:eastAsia="Calibri" w:cstheme="minorHAnsi"/>
          <w:color w:val="595959" w:themeColor="text1" w:themeTint="A6"/>
          <w:sz w:val="18"/>
          <w:szCs w:val="18"/>
          <w:lang w:val="sr-Latn-ME"/>
        </w:rPr>
        <w:t>Grafik br. ??: Radno sposobno stanovništvo prema aktivnosti</w:t>
      </w:r>
    </w:p>
    <w:p w14:paraId="40AA7A58" w14:textId="25CE0753" w:rsidR="00B23696" w:rsidRDefault="00CB2EDA" w:rsidP="006D087D">
      <w:pPr>
        <w:spacing w:line="256" w:lineRule="auto"/>
        <w:jc w:val="both"/>
        <w:rPr>
          <w:rFonts w:eastAsia="Calibri" w:cstheme="minorHAnsi"/>
          <w:lang w:val="sr-Latn-ME"/>
        </w:rPr>
      </w:pPr>
      <w:r>
        <w:rPr>
          <w:rFonts w:eastAsia="Calibri" w:cstheme="minorHAnsi"/>
          <w:lang w:val="sr-Latn-ME"/>
        </w:rPr>
        <w:t xml:space="preserve">Podaci ARS-a pokazuju da od </w:t>
      </w:r>
      <w:r w:rsidRPr="00CB2EDA">
        <w:rPr>
          <w:rFonts w:eastAsia="Calibri" w:cstheme="minorHAnsi"/>
          <w:lang w:val="sr-Latn-ME"/>
        </w:rPr>
        <w:t xml:space="preserve">ukupnog broja aktivnog stanovništva </w:t>
      </w:r>
      <w:r w:rsidR="00B23696" w:rsidRPr="00B23696">
        <w:rPr>
          <w:rFonts w:eastAsia="Calibri" w:cstheme="minorHAnsi"/>
          <w:lang w:val="sr-Latn-ME"/>
        </w:rPr>
        <w:t xml:space="preserve">171,0 hiljada ili 54,3% čine muškarci, a 144,2 hiljade ili 45,7% čine žene, dok ukupan broj stanovništva van radne snage čine žene 108,1 hiljadu ili 58,6%, a muškarci 76,3 hiljade ili 41,4%. Od ukupnog broja zaposlenih 150,1 </w:t>
      </w:r>
      <w:r w:rsidR="00B23696" w:rsidRPr="00B23696">
        <w:rPr>
          <w:rFonts w:eastAsia="Calibri" w:cstheme="minorHAnsi"/>
          <w:lang w:val="sr-Latn-ME"/>
        </w:rPr>
        <w:lastRenderedPageBreak/>
        <w:t>hiljadu ili 53,9% čine muškarci, a 128,6 hiljada ili 46,1% čine žene, a od ukupnog broja nezaposlenih 20,8 hiljada ili 57,0% čine žene, a 15,7 hiljada ili 43,0% čine muškarci.</w:t>
      </w:r>
    </w:p>
    <w:p w14:paraId="6AB3E1FC" w14:textId="5214FFD7" w:rsidR="00CB2EDA" w:rsidRDefault="00B23696" w:rsidP="00CB2EDA">
      <w:pPr>
        <w:spacing w:line="256" w:lineRule="auto"/>
        <w:jc w:val="center"/>
        <w:rPr>
          <w:rFonts w:eastAsia="Calibri" w:cstheme="minorHAnsi"/>
          <w:lang w:val="sr-Latn-ME"/>
        </w:rPr>
      </w:pPr>
      <w:r>
        <w:rPr>
          <w:rFonts w:eastAsia="Calibri" w:cstheme="minorHAnsi"/>
          <w:noProof/>
          <w:lang w:val="en-US"/>
        </w:rPr>
        <w:drawing>
          <wp:inline distT="0" distB="0" distL="0" distR="0" wp14:anchorId="3FE9A423" wp14:editId="565DB8E8">
            <wp:extent cx="5915025" cy="2286000"/>
            <wp:effectExtent l="0" t="0" r="9525"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3490" cy="2293136"/>
                    </a:xfrm>
                    <a:prstGeom prst="rect">
                      <a:avLst/>
                    </a:prstGeom>
                    <a:noFill/>
                    <a:ln>
                      <a:noFill/>
                    </a:ln>
                  </pic:spPr>
                </pic:pic>
              </a:graphicData>
            </a:graphic>
          </wp:inline>
        </w:drawing>
      </w:r>
    </w:p>
    <w:p w14:paraId="243E1C1F" w14:textId="5DDBE3FD" w:rsidR="00CB2EDA" w:rsidRPr="00CB2EDA" w:rsidRDefault="00CB2EDA" w:rsidP="00CB2EDA">
      <w:pPr>
        <w:spacing w:line="256" w:lineRule="auto"/>
        <w:jc w:val="center"/>
        <w:rPr>
          <w:rFonts w:eastAsia="Calibri" w:cstheme="minorHAnsi"/>
          <w:color w:val="595959" w:themeColor="text1" w:themeTint="A6"/>
          <w:sz w:val="18"/>
          <w:szCs w:val="18"/>
          <w:lang w:val="sr-Latn-ME"/>
        </w:rPr>
      </w:pPr>
      <w:r w:rsidRPr="00CB2EDA">
        <w:rPr>
          <w:rFonts w:eastAsia="Calibri" w:cstheme="minorHAnsi"/>
          <w:color w:val="595959" w:themeColor="text1" w:themeTint="A6"/>
          <w:sz w:val="18"/>
          <w:szCs w:val="18"/>
          <w:lang w:val="sr-Latn-ME"/>
        </w:rPr>
        <w:t>Grafik br.??: Radno sposobno stanovništvo prema aktivnosti i polu, (u hiljadama)</w:t>
      </w:r>
    </w:p>
    <w:p w14:paraId="6E413C0A" w14:textId="77777777" w:rsidR="00130CAD" w:rsidRDefault="00130CAD" w:rsidP="00130CAD">
      <w:pPr>
        <w:spacing w:line="256" w:lineRule="auto"/>
        <w:jc w:val="both"/>
        <w:rPr>
          <w:rFonts w:eastAsia="Calibri" w:cstheme="minorHAnsi"/>
          <w:lang w:val="sr-Latn-ME"/>
        </w:rPr>
      </w:pPr>
      <w:r w:rsidRPr="00BB7816">
        <w:rPr>
          <w:rFonts w:eastAsia="Calibri" w:cstheme="minorHAnsi"/>
          <w:lang w:val="sr-Latn-ME"/>
        </w:rPr>
        <w:t>Učešće žena u radnoj snazi je očigledno neiskorišćeni pokretač rasta. Žene su nedovoljno zastupljene u zaposlenosti i manje su plaćene u većini sektora privrede. Jaz u učešću u radnoj snazi između muškaraca i žena (koji se smanjuje tokom vremena, ali i dalje prelazi 10 procentnih poena u 2023), ako se smanji, može dovesti do značajnih makroekonomskih koristi</w:t>
      </w:r>
      <w:r>
        <w:rPr>
          <w:rFonts w:eastAsia="Calibri" w:cstheme="minorHAnsi"/>
          <w:lang w:val="sr-Latn-ME"/>
        </w:rPr>
        <w:t xml:space="preserve">. </w:t>
      </w:r>
      <w:r w:rsidRPr="00130CAD">
        <w:rPr>
          <w:rFonts w:eastAsia="Calibri" w:cstheme="minorHAnsi"/>
          <w:lang w:val="sr-Latn-ME"/>
        </w:rPr>
        <w:t>Uprkos višim nivoima obrazovanja među zaposlenim ženama, dispariteti u zaradama i dalje postoje, što ukazuje na direktnu ili indirektnu rodno zasnovanu diskriminaciju u zaradama. Izvještaj M</w:t>
      </w:r>
      <w:r>
        <w:rPr>
          <w:rFonts w:eastAsia="Calibri" w:cstheme="minorHAnsi"/>
          <w:lang w:val="sr-Latn-ME"/>
        </w:rPr>
        <w:t>eđuanrodne organizacije rada (MOR)</w:t>
      </w:r>
      <w:r w:rsidRPr="00130CAD">
        <w:rPr>
          <w:rFonts w:eastAsia="Calibri" w:cstheme="minorHAnsi"/>
          <w:lang w:val="sr-Latn-ME"/>
        </w:rPr>
        <w:t xml:space="preserve"> povezuje </w:t>
      </w:r>
      <w:r>
        <w:rPr>
          <w:rFonts w:eastAsia="Calibri" w:cstheme="minorHAnsi"/>
          <w:lang w:val="sr-Latn-ME"/>
        </w:rPr>
        <w:t>identifikovani jaz</w:t>
      </w:r>
      <w:r w:rsidRPr="00130CAD">
        <w:rPr>
          <w:rFonts w:eastAsia="Calibri" w:cstheme="minorHAnsi"/>
          <w:lang w:val="sr-Latn-ME"/>
        </w:rPr>
        <w:t xml:space="preserve"> s majčinstvom ili prekidima u karijeri, horizontalnom diskriminacijom i kaznama kroz zarade u zanimanjima u kojima dominiraju žene</w:t>
      </w:r>
      <w:r>
        <w:rPr>
          <w:rFonts w:eastAsia="Calibri" w:cstheme="minorHAnsi"/>
          <w:lang w:val="sr-Latn-ME"/>
        </w:rPr>
        <w:t>.</w:t>
      </w:r>
    </w:p>
    <w:p w14:paraId="379973C1" w14:textId="77777777" w:rsidR="00B23696" w:rsidRDefault="00B23696" w:rsidP="006D087D">
      <w:pPr>
        <w:spacing w:line="256" w:lineRule="auto"/>
        <w:jc w:val="both"/>
        <w:rPr>
          <w:rFonts w:eastAsia="Calibri" w:cstheme="minorHAnsi"/>
          <w:lang w:val="sr-Latn-ME"/>
        </w:rPr>
      </w:pPr>
      <w:r w:rsidRPr="00B23696">
        <w:rPr>
          <w:rFonts w:eastAsia="Calibri" w:cstheme="minorHAnsi"/>
          <w:lang w:val="sr-Latn-ME"/>
        </w:rPr>
        <w:t xml:space="preserve">Najveći broj aktivnog stanovništva čine lica u starosnoj grupi od 25 do 49 godina i to 198,3 hiljade. Starosna grupa u kojoj je najveći broj stanovništva van radne snage je grupa od 65 do 89 godina, što čini 63,4 hiljade lica van radne snage. Najveći broj zaposlenih čine lica u starosnoj grupi od 25 do 49 godina i to 174,0 hiljada zaposlenih lica. Takođe, najveći broj nezaposlenih čine lica u istoj starosnoj grupi odnosno 24,4 hiljade nezaposlenih lica. </w:t>
      </w:r>
    </w:p>
    <w:p w14:paraId="6C379037" w14:textId="040CBE63" w:rsidR="00B23696" w:rsidRDefault="008B5326" w:rsidP="006D087D">
      <w:pPr>
        <w:spacing w:line="256" w:lineRule="auto"/>
        <w:jc w:val="both"/>
        <w:rPr>
          <w:rFonts w:eastAsia="Calibri" w:cstheme="minorHAnsi"/>
          <w:lang w:val="sr-Latn-ME"/>
        </w:rPr>
      </w:pPr>
      <w:r>
        <w:rPr>
          <w:rFonts w:eastAsia="Calibri" w:cstheme="minorHAnsi"/>
          <w:lang w:val="sr-Latn-ME"/>
        </w:rPr>
        <w:t>ARS pokazuje da n</w:t>
      </w:r>
      <w:r w:rsidR="00CB2EDA" w:rsidRPr="00CB2EDA">
        <w:rPr>
          <w:rFonts w:eastAsia="Calibri" w:cstheme="minorHAnsi"/>
          <w:lang w:val="sr-Latn-ME"/>
        </w:rPr>
        <w:t xml:space="preserve">ajveće učešće u obrazovnoj strukturi aktivnog stanovništva imaju lica sa završenim srednjim obrazovanjem </w:t>
      </w:r>
      <w:r w:rsidR="00B23696" w:rsidRPr="00B23696">
        <w:rPr>
          <w:rFonts w:eastAsia="Calibri" w:cstheme="minorHAnsi"/>
          <w:lang w:val="sr-Latn-ME"/>
        </w:rPr>
        <w:t xml:space="preserve">i to 61,8%, zatim 31,5% lica sa završenim višim ili visokim obrazovanjem i 6,7% lica sa završenom osnovnom školom ili nižim obrazovanjem. Najveće učešće u obrazovnoj strukturi stanovništva van radne snage imaju lica sa završenim srednjim obrazovanjem i to 51,7%, zatim 36,4% lica sa završenom osnovnom školom ili niže, a preostalih 11,9% su lica sa završenim višim ili visokim obrazovanjem. Obrazovna struktura zaposlenih osoba pokazuje </w:t>
      </w:r>
      <w:r w:rsidR="00B23696" w:rsidRPr="00B23696">
        <w:rPr>
          <w:rFonts w:eastAsia="Calibri" w:cstheme="minorHAnsi"/>
          <w:lang w:val="sr-Latn-ME"/>
        </w:rPr>
        <w:lastRenderedPageBreak/>
        <w:t>da 61,1% lica imaju završenu srednju školu, slijede zaposleni sa završenim višim ili visokim obrazovanjem 33,1%, te osobe sa završenom osnovnom školom ili nižim obrazovanjem 5,8%. Obrazovna struktura nezaposlenih osoba pokazuje da 67,1% lica imaju završenu srednju školu, slijede nezaposleni sa završenim višim ili visokim obrazovanjem 18,9%, te osobe sa završenom osnovnom školom ili nižim obrazovanjem 14,0%.</w:t>
      </w:r>
    </w:p>
    <w:p w14:paraId="1512D013" w14:textId="4EC09E26" w:rsidR="00CB2EDA" w:rsidRDefault="00B23696" w:rsidP="00CB2EDA">
      <w:pPr>
        <w:spacing w:line="256" w:lineRule="auto"/>
        <w:jc w:val="center"/>
        <w:rPr>
          <w:rFonts w:eastAsia="Calibri" w:cstheme="minorHAnsi"/>
          <w:lang w:val="sr-Latn-ME"/>
        </w:rPr>
      </w:pPr>
      <w:r>
        <w:rPr>
          <w:rFonts w:eastAsia="Calibri" w:cstheme="minorHAnsi"/>
          <w:noProof/>
          <w:lang w:val="en-US"/>
        </w:rPr>
        <w:drawing>
          <wp:inline distT="0" distB="0" distL="0" distR="0" wp14:anchorId="54E1FB4A" wp14:editId="02A8E426">
            <wp:extent cx="5536406" cy="2400300"/>
            <wp:effectExtent l="0" t="0" r="762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43953" cy="2403572"/>
                    </a:xfrm>
                    <a:prstGeom prst="rect">
                      <a:avLst/>
                    </a:prstGeom>
                    <a:noFill/>
                    <a:ln>
                      <a:noFill/>
                    </a:ln>
                  </pic:spPr>
                </pic:pic>
              </a:graphicData>
            </a:graphic>
          </wp:inline>
        </w:drawing>
      </w:r>
    </w:p>
    <w:p w14:paraId="601B6C91" w14:textId="1AC898DC" w:rsidR="00CB2EDA" w:rsidRPr="00B22FD4" w:rsidRDefault="00CB2EDA" w:rsidP="00B22FD4">
      <w:pPr>
        <w:spacing w:line="256" w:lineRule="auto"/>
        <w:jc w:val="center"/>
        <w:rPr>
          <w:rFonts w:eastAsia="Calibri" w:cstheme="minorHAnsi"/>
          <w:color w:val="595959" w:themeColor="text1" w:themeTint="A6"/>
          <w:sz w:val="18"/>
          <w:szCs w:val="18"/>
          <w:lang w:val="sr-Latn-ME"/>
        </w:rPr>
      </w:pPr>
      <w:r w:rsidRPr="00B22FD4">
        <w:rPr>
          <w:rFonts w:eastAsia="Calibri" w:cstheme="minorHAnsi"/>
          <w:color w:val="595959" w:themeColor="text1" w:themeTint="A6"/>
          <w:sz w:val="18"/>
          <w:szCs w:val="18"/>
          <w:lang w:val="sr-Latn-ME"/>
        </w:rPr>
        <w:t xml:space="preserve">Grafik br. ??: </w:t>
      </w:r>
      <w:r w:rsidR="00B22FD4" w:rsidRPr="00B22FD4">
        <w:rPr>
          <w:rFonts w:eastAsia="Calibri" w:cstheme="minorHAnsi"/>
          <w:color w:val="595959" w:themeColor="text1" w:themeTint="A6"/>
          <w:sz w:val="18"/>
          <w:szCs w:val="18"/>
          <w:lang w:val="sr-Latn-ME"/>
        </w:rPr>
        <w:t>Radno sposobno stanovništvo prema aktivnosti i stepenu obrazovanja</w:t>
      </w:r>
    </w:p>
    <w:p w14:paraId="0FBC028E" w14:textId="77777777" w:rsidR="004C2F18" w:rsidRDefault="004C2F18" w:rsidP="004C2F18">
      <w:pPr>
        <w:spacing w:line="256" w:lineRule="auto"/>
        <w:jc w:val="both"/>
        <w:rPr>
          <w:rFonts w:eastAsia="Calibri" w:cstheme="minorHAnsi"/>
          <w:lang w:val="sr-Latn-ME"/>
        </w:rPr>
      </w:pPr>
      <w:r w:rsidRPr="004C2F18">
        <w:rPr>
          <w:rFonts w:eastAsia="Calibri" w:cstheme="minorHAnsi"/>
          <w:lang w:val="sr-Latn-ME"/>
        </w:rPr>
        <w:t xml:space="preserve">Struktura zaposlenih lica prema sektorima djelatnosti pokazuje da je najveće učešće zaposlenih u sektorima uslužne djelatnosti 76,1%, zatim u sektorima nepoljoprivredne djelatnosti (industrija i građevinarstvo) 19,5% i u sektoru poljoprivrede, šumarstva i ribolova 4,4%. </w:t>
      </w:r>
    </w:p>
    <w:p w14:paraId="770CBB8C" w14:textId="0854F1FE" w:rsidR="00B22FD4" w:rsidRDefault="004C2F18" w:rsidP="004C2F18">
      <w:pPr>
        <w:spacing w:line="256" w:lineRule="auto"/>
        <w:jc w:val="center"/>
        <w:rPr>
          <w:rFonts w:eastAsia="Calibri" w:cstheme="minorHAnsi"/>
          <w:lang w:val="sr-Latn-ME"/>
        </w:rPr>
      </w:pPr>
      <w:r>
        <w:rPr>
          <w:rFonts w:eastAsia="Calibri" w:cstheme="minorHAnsi"/>
          <w:noProof/>
          <w:lang w:val="en-US"/>
        </w:rPr>
        <w:drawing>
          <wp:inline distT="0" distB="0" distL="0" distR="0" wp14:anchorId="1413DAA1" wp14:editId="34363513">
            <wp:extent cx="4307681" cy="1785620"/>
            <wp:effectExtent l="0" t="0" r="0" b="508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33440" cy="1796298"/>
                    </a:xfrm>
                    <a:prstGeom prst="rect">
                      <a:avLst/>
                    </a:prstGeom>
                    <a:noFill/>
                    <a:ln>
                      <a:noFill/>
                    </a:ln>
                  </pic:spPr>
                </pic:pic>
              </a:graphicData>
            </a:graphic>
          </wp:inline>
        </w:drawing>
      </w:r>
    </w:p>
    <w:p w14:paraId="151BAACD" w14:textId="06696EED" w:rsidR="00B22FD4" w:rsidRPr="00B22FD4" w:rsidRDefault="00B22FD4" w:rsidP="00B22FD4">
      <w:pPr>
        <w:spacing w:line="256" w:lineRule="auto"/>
        <w:jc w:val="center"/>
        <w:rPr>
          <w:rFonts w:eastAsia="Calibri" w:cstheme="minorHAnsi"/>
          <w:color w:val="595959" w:themeColor="text1" w:themeTint="A6"/>
          <w:sz w:val="18"/>
          <w:szCs w:val="18"/>
          <w:lang w:val="sr-Latn-ME"/>
        </w:rPr>
      </w:pPr>
      <w:r w:rsidRPr="00B22FD4">
        <w:rPr>
          <w:rFonts w:eastAsia="Calibri" w:cstheme="minorHAnsi"/>
          <w:color w:val="595959" w:themeColor="text1" w:themeTint="A6"/>
          <w:sz w:val="18"/>
          <w:szCs w:val="18"/>
          <w:lang w:val="sr-Latn-ME"/>
        </w:rPr>
        <w:t>Grafik br. ??: Zaposlena lica prema sektorima djelatnosti</w:t>
      </w:r>
    </w:p>
    <w:p w14:paraId="7A748F2B" w14:textId="2C90A553" w:rsidR="006D087D" w:rsidRDefault="006D087D" w:rsidP="006D087D">
      <w:pPr>
        <w:spacing w:line="256" w:lineRule="auto"/>
        <w:jc w:val="both"/>
        <w:rPr>
          <w:rFonts w:eastAsia="Calibri" w:cstheme="minorHAnsi"/>
          <w:lang w:val="sr-Latn-ME"/>
        </w:rPr>
      </w:pPr>
      <w:r w:rsidRPr="006D087D">
        <w:rPr>
          <w:rFonts w:eastAsia="Calibri" w:cstheme="minorHAnsi"/>
          <w:lang w:val="sr-Latn-ME"/>
        </w:rPr>
        <w:lastRenderedPageBreak/>
        <w:t xml:space="preserve">Kratak osvrt na ostala </w:t>
      </w:r>
      <w:r w:rsidR="00FF2651">
        <w:rPr>
          <w:rFonts w:eastAsia="Calibri" w:cstheme="minorHAnsi"/>
          <w:lang w:val="sr-Latn-ME"/>
        </w:rPr>
        <w:t>ekonomska kretanja</w:t>
      </w:r>
      <w:r w:rsidR="008B5326">
        <w:rPr>
          <w:rFonts w:eastAsia="Calibri" w:cstheme="minorHAnsi"/>
          <w:lang w:val="sr-Latn-ME"/>
        </w:rPr>
        <w:t>:</w:t>
      </w:r>
    </w:p>
    <w:p w14:paraId="5DC1948B" w14:textId="2BF3FB18" w:rsidR="008B5326" w:rsidRPr="006D087D" w:rsidRDefault="008B5326" w:rsidP="006D087D">
      <w:pPr>
        <w:spacing w:line="256" w:lineRule="auto"/>
        <w:jc w:val="both"/>
        <w:rPr>
          <w:rFonts w:eastAsia="Calibri" w:cstheme="minorHAnsi"/>
          <w:lang w:val="sr-Latn-ME"/>
        </w:rPr>
      </w:pPr>
      <w:r>
        <w:rPr>
          <w:rFonts w:eastAsia="Calibri" w:cstheme="minorHAnsi"/>
          <w:lang w:val="sr-Latn-ME"/>
        </w:rPr>
        <w:t xml:space="preserve">Dostupne procjene ukazuju da će </w:t>
      </w:r>
      <w:r w:rsidRPr="008B5326">
        <w:rPr>
          <w:rFonts w:eastAsia="Calibri" w:cstheme="minorHAnsi"/>
          <w:lang w:val="sr-Latn-ME"/>
        </w:rPr>
        <w:t xml:space="preserve">ekonomija </w:t>
      </w:r>
      <w:r>
        <w:rPr>
          <w:rFonts w:eastAsia="Calibri" w:cstheme="minorHAnsi"/>
          <w:lang w:val="sr-Latn-ME"/>
        </w:rPr>
        <w:t>Crne Gore</w:t>
      </w:r>
      <w:r w:rsidRPr="008B5326">
        <w:rPr>
          <w:rFonts w:eastAsia="Calibri" w:cstheme="minorHAnsi"/>
          <w:lang w:val="sr-Latn-ME"/>
        </w:rPr>
        <w:t xml:space="preserve"> u srednjem roku prosječno godišnje rasti po stopi od 3,7 odsto, odnosno po godinama, 4,8 odsto u 2025, 3,2 odsto i 3,1 odsto u 2026. i 2027. godini.</w:t>
      </w:r>
      <w:r>
        <w:rPr>
          <w:rFonts w:eastAsia="Calibri" w:cstheme="minorHAnsi"/>
          <w:lang w:val="sr-Latn-ME"/>
        </w:rPr>
        <w:t xml:space="preserve"> </w:t>
      </w:r>
      <w:r w:rsidRPr="008B5326">
        <w:rPr>
          <w:rFonts w:eastAsia="Calibri" w:cstheme="minorHAnsi"/>
          <w:lang w:val="sr-Latn-ME"/>
        </w:rPr>
        <w:t>Program</w:t>
      </w:r>
      <w:r>
        <w:rPr>
          <w:rFonts w:eastAsia="Calibri" w:cstheme="minorHAnsi"/>
          <w:lang w:val="sr-Latn-ME"/>
        </w:rPr>
        <w:t>om</w:t>
      </w:r>
      <w:r w:rsidRPr="008B5326">
        <w:rPr>
          <w:rFonts w:eastAsia="Calibri" w:cstheme="minorHAnsi"/>
          <w:lang w:val="sr-Latn-ME"/>
        </w:rPr>
        <w:t xml:space="preserve"> ekonomskih reformi 2025-2027. godina</w:t>
      </w:r>
      <w:r>
        <w:rPr>
          <w:rFonts w:eastAsia="Calibri" w:cstheme="minorHAnsi"/>
          <w:lang w:val="sr-Latn-ME"/>
        </w:rPr>
        <w:t>,</w:t>
      </w:r>
      <w:r>
        <w:rPr>
          <w:rStyle w:val="FootnoteReference"/>
          <w:rFonts w:eastAsia="Calibri" w:cstheme="minorHAnsi"/>
          <w:lang w:val="sr-Latn-ME"/>
        </w:rPr>
        <w:footnoteReference w:id="29"/>
      </w:r>
      <w:r>
        <w:rPr>
          <w:rFonts w:eastAsia="Calibri" w:cstheme="minorHAnsi"/>
          <w:lang w:val="sr-Latn-ME"/>
        </w:rPr>
        <w:t xml:space="preserve"> </w:t>
      </w:r>
      <w:r w:rsidR="00FF2651">
        <w:rPr>
          <w:rFonts w:eastAsia="Calibri" w:cstheme="minorHAnsi"/>
          <w:lang w:val="sr-Latn-ME"/>
        </w:rPr>
        <w:t>u</w:t>
      </w:r>
      <w:r w:rsidR="00FF2651" w:rsidRPr="00FF2651">
        <w:rPr>
          <w:rFonts w:eastAsia="Calibri" w:cstheme="minorHAnsi"/>
          <w:lang w:val="sr-Latn-ME"/>
        </w:rPr>
        <w:t>sl</w:t>
      </w:r>
      <w:r w:rsidR="00FF2651">
        <w:rPr>
          <w:rFonts w:eastAsia="Calibri" w:cstheme="minorHAnsi"/>
          <w:lang w:val="sr-Latn-ME"/>
        </w:rPr>
        <w:t>ij</w:t>
      </w:r>
      <w:r w:rsidR="00FF2651" w:rsidRPr="00FF2651">
        <w:rPr>
          <w:rFonts w:eastAsia="Calibri" w:cstheme="minorHAnsi"/>
          <w:lang w:val="sr-Latn-ME"/>
        </w:rPr>
        <w:t>ed usporavanja pritisaka cijena na evropskom nivou, očekuje se postepeno usporavanje inflacije, koja će prosječno iznositi 2,9 odsto u periodu 2025-2027. godine</w:t>
      </w:r>
      <w:r w:rsidR="00FF2651">
        <w:rPr>
          <w:rFonts w:eastAsia="Calibri" w:cstheme="minorHAnsi"/>
          <w:lang w:val="sr-Latn-ME"/>
        </w:rPr>
        <w:t>. K</w:t>
      </w:r>
      <w:r w:rsidR="00FF2651" w:rsidRPr="00FF2651">
        <w:rPr>
          <w:rFonts w:eastAsia="Calibri" w:cstheme="minorHAnsi"/>
          <w:lang w:val="sr-Latn-ME"/>
        </w:rPr>
        <w:t>roz Plan rasta za Zapadni Balkan, Crnoj Gori će na raspolaganju biti 383 miliona eura u periodu 2024-2027. godine za sprovođenje strukturnih reformi i ulaganje u infrastrukturu.</w:t>
      </w:r>
    </w:p>
    <w:p w14:paraId="59151D5C" w14:textId="0A893241" w:rsidR="006D087D" w:rsidRPr="006D087D" w:rsidRDefault="006D087D" w:rsidP="006D087D">
      <w:pPr>
        <w:spacing w:line="256" w:lineRule="auto"/>
        <w:jc w:val="both"/>
        <w:rPr>
          <w:rFonts w:eastAsia="Calibri" w:cstheme="minorHAnsi"/>
          <w:lang w:val="sr-Latn-ME"/>
        </w:rPr>
      </w:pPr>
      <w:r w:rsidRPr="006D087D">
        <w:rPr>
          <w:rFonts w:eastAsia="Calibri" w:cstheme="minorHAnsi"/>
          <w:lang w:val="sr-Latn-ME"/>
        </w:rPr>
        <w:t>Prema Izvještaju za Crnu Goru za 202</w:t>
      </w:r>
      <w:r w:rsidR="00FF2651">
        <w:rPr>
          <w:rFonts w:eastAsia="Calibri" w:cstheme="minorHAnsi"/>
          <w:lang w:val="sr-Latn-ME"/>
        </w:rPr>
        <w:t>4</w:t>
      </w:r>
      <w:r w:rsidRPr="006D087D">
        <w:rPr>
          <w:rFonts w:eastAsia="Calibri" w:cstheme="minorHAnsi"/>
          <w:lang w:val="sr-Latn-ME"/>
        </w:rPr>
        <w:t>. godinu ocjena iz izvještaja je Crna Gora ostvarila određni nivo spremnosti u oblasti socijalne politike i politike zapošljavanja – PP 19. Gen</w:t>
      </w:r>
      <w:r w:rsidR="00250B4B" w:rsidRPr="009B6524">
        <w:rPr>
          <w:rFonts w:eastAsia="Calibri" w:cstheme="minorHAnsi"/>
          <w:lang w:val="sr-Latn-ME"/>
        </w:rPr>
        <w:t>e</w:t>
      </w:r>
      <w:r w:rsidRPr="006D087D">
        <w:rPr>
          <w:rFonts w:eastAsia="Calibri" w:cstheme="minorHAnsi"/>
          <w:lang w:val="sr-Latn-ME"/>
        </w:rPr>
        <w:t>ralno tržište rada i dalje ima strukturne nedostatke i u tom smislu treba da reformiše i ojača Zavod za zapošljavanje kako bi se omogućilo da ima ulogu savremene službe za zapošljavanje, osmišljavajući i implementirajući mjere aktivne politike zapošljavanja koje će biti usmjerene ka mladima i ženama, osobama sa invalidite</w:t>
      </w:r>
      <w:r w:rsidR="00250B4B" w:rsidRPr="009B6524">
        <w:rPr>
          <w:rFonts w:eastAsia="Calibri" w:cstheme="minorHAnsi"/>
          <w:lang w:val="sr-Latn-ME"/>
        </w:rPr>
        <w:t>t</w:t>
      </w:r>
      <w:r w:rsidRPr="006D087D">
        <w:rPr>
          <w:rFonts w:eastAsia="Calibri" w:cstheme="minorHAnsi"/>
          <w:lang w:val="sr-Latn-ME"/>
        </w:rPr>
        <w:t>om, ranjivim licima.</w:t>
      </w:r>
      <w:r w:rsidRPr="006D087D">
        <w:rPr>
          <w:rFonts w:eastAsia="Calibri" w:cstheme="minorHAnsi"/>
          <w:vertAlign w:val="superscript"/>
          <w:lang w:val="sr-Latn-ME"/>
        </w:rPr>
        <w:footnoteReference w:id="30"/>
      </w:r>
    </w:p>
    <w:p w14:paraId="05F98F19" w14:textId="4A9D10A4" w:rsidR="008D40B8" w:rsidRPr="009B6524" w:rsidRDefault="008D40B8" w:rsidP="008D40B8">
      <w:pPr>
        <w:jc w:val="both"/>
        <w:rPr>
          <w:rFonts w:cstheme="minorHAnsi"/>
        </w:rPr>
      </w:pPr>
      <w:r w:rsidRPr="009B6524">
        <w:rPr>
          <w:rFonts w:cstheme="minorHAnsi"/>
        </w:rPr>
        <w:t>Postojeće usluge karijernog vođenja i savjetovanja za nezaposlene (individualno i grupno informisanje, individualno savjetovanje, grupno savjetovanje kroz radionice ili online seminare) potrebno je prilagoditi  aktuelnim programima koji se realizuju. Tako npr. postoje radionice za povećanje vještina aktivnog traženja posla, programi za motivisanje za sezonsko zapošljavanje, za uključivanje u programe aktivne politike zapošljavanja, za grant za samozapošljavanje i sl. Navedene usluge su dostupn</w:t>
      </w:r>
      <w:r w:rsidR="001F3DB6">
        <w:rPr>
          <w:rFonts w:cstheme="minorHAnsi"/>
        </w:rPr>
        <w:t>e</w:t>
      </w:r>
      <w:r w:rsidRPr="009B6524">
        <w:rPr>
          <w:rFonts w:cstheme="minorHAnsi"/>
        </w:rPr>
        <w:t xml:space="preserve"> licima sa evidencije nezaposlenih Zavoda za zapošljavanje</w:t>
      </w:r>
      <w:r w:rsidR="00FD36B9">
        <w:rPr>
          <w:rFonts w:cstheme="minorHAnsi"/>
        </w:rPr>
        <w:t xml:space="preserve"> Crne Gore</w:t>
      </w:r>
      <w:r w:rsidRPr="009B6524">
        <w:rPr>
          <w:rFonts w:cstheme="minorHAnsi"/>
        </w:rPr>
        <w:t xml:space="preserve">. Podsticanje razvoja karijere zaposlenih se ne treba odnositi samo na nivo menadžmenta, već na sve zaposlene kako bi im se omogućilo uspješno vertikalno i horizontalno napredovanje u karijeri. Napredovanje zaposlenih u karijeri ne treba da bude smo formalno uređeno pravnim propisima, već treba da predstavalja realni i očekivani stil i integrisani element etosa svake organizacije. Cjeloživotno učenje je realnost za zaposlene i značajno je da svaki zaposleni ima svoj plan karijere, stručno se usavršava u skladu sa svojim interesovanjima, sposobnostima, znanjima, vještinama, potrebama, usklađenih sa razvojnim ciljevima preduzeća i predviđenim programima stručnog usavršavanja. Osnaživanje službi za razvoj ljudskih resursa u kolektivima i njihova međusobna saradnja, značajno može uticati na jačanje karijernog vođenja i savjetovanja za zaposlene. </w:t>
      </w:r>
    </w:p>
    <w:p w14:paraId="7BD18E0B" w14:textId="69761546" w:rsidR="00A66BAC" w:rsidRPr="009B6524" w:rsidRDefault="008D40B8" w:rsidP="008D40B8">
      <w:pPr>
        <w:jc w:val="both"/>
        <w:rPr>
          <w:rFonts w:cstheme="minorHAnsi"/>
        </w:rPr>
      </w:pPr>
      <w:r w:rsidRPr="009B6524">
        <w:rPr>
          <w:rFonts w:cstheme="minorHAnsi"/>
        </w:rPr>
        <w:t xml:space="preserve">Zavod za zapošljavanje, Privredna komora, Unija poslodavaca </w:t>
      </w:r>
      <w:r w:rsidR="00FF2651">
        <w:rPr>
          <w:rFonts w:cstheme="minorHAnsi"/>
        </w:rPr>
        <w:t>moraju</w:t>
      </w:r>
      <w:r w:rsidRPr="009B6524">
        <w:rPr>
          <w:rFonts w:cstheme="minorHAnsi"/>
        </w:rPr>
        <w:t xml:space="preserve"> da inoviraju programe karijerne orijentacije koji su namijenjeni nezaposlenim i zaposlenim koji traže promjenu posla ili karijere. Prilikom izrade novih programa važno je uključiti aktere na lokalnom nivou i mjesto uniformnog, centralizovanog pristupa, ispitati mogućnosti na lokalnom nivou. Proširivanje kadrovskih i prostornih kapaciteta u cilju pružanja kvalitetne usluge profesionalne orijentacije za tržište rada jednako je važno kako bi svi koji imaju potrebu za ovom uslugom bili u mogućnosti da je dobiju. Kako bi se osigurao kvalitet i efikasnost programa koji se realizuju neophodno je uspostavljanje jedinstvene baze podataka korisnika usluga profesionalne orijentacije na nacionalnom nivou. Jedno od rješenja bi bilo umrežavanje podataka Zavoda za zapošljavanje, Poreske uprave i organizatora obrazovanja odraslih, kako bi se moglo pratiti da li se lice zaposlilo ili obrazovalo na osnovu rezultata karijernog savjetovanja.</w:t>
      </w:r>
    </w:p>
    <w:p w14:paraId="4563FC60" w14:textId="4C43B49D" w:rsidR="0060674B" w:rsidRPr="009B6524" w:rsidRDefault="0060674B" w:rsidP="00A66BAC">
      <w:pPr>
        <w:rPr>
          <w:rFonts w:cstheme="minorHAnsi"/>
        </w:rPr>
      </w:pPr>
      <w:r w:rsidRPr="009B6524">
        <w:rPr>
          <w:rFonts w:cstheme="minorHAnsi"/>
        </w:rPr>
        <w:lastRenderedPageBreak/>
        <w:t>Ključni pravci razvoja KVS-a u o</w:t>
      </w:r>
      <w:r w:rsidR="00250B4B" w:rsidRPr="009B6524">
        <w:rPr>
          <w:rFonts w:cstheme="minorHAnsi"/>
        </w:rPr>
        <w:t>blasti zapošljavanja:</w:t>
      </w:r>
    </w:p>
    <w:p w14:paraId="341F43BB" w14:textId="77777777" w:rsidR="001B702F" w:rsidRPr="009B6524" w:rsidRDefault="001B702F" w:rsidP="00AB3167">
      <w:pPr>
        <w:pStyle w:val="ListParagraph"/>
        <w:numPr>
          <w:ilvl w:val="0"/>
          <w:numId w:val="15"/>
        </w:numPr>
        <w:jc w:val="both"/>
        <w:rPr>
          <w:rFonts w:cstheme="minorHAnsi"/>
        </w:rPr>
      </w:pPr>
      <w:r w:rsidRPr="009B6524">
        <w:rPr>
          <w:rFonts w:cstheme="minorHAnsi"/>
        </w:rPr>
        <w:t>Razviti posebne usluge za ranjive grupe, posebno za NEET osobe i žene, a naročito ako žive ururalnim područjima.</w:t>
      </w:r>
    </w:p>
    <w:p w14:paraId="5C74B6DC" w14:textId="41B1B7C3" w:rsidR="00250B4B" w:rsidRPr="009B6524" w:rsidRDefault="001B702F" w:rsidP="00AB3167">
      <w:pPr>
        <w:pStyle w:val="ListParagraph"/>
        <w:numPr>
          <w:ilvl w:val="0"/>
          <w:numId w:val="15"/>
        </w:numPr>
        <w:jc w:val="both"/>
        <w:rPr>
          <w:rFonts w:cstheme="minorHAnsi"/>
        </w:rPr>
      </w:pPr>
      <w:r w:rsidRPr="009B6524">
        <w:rPr>
          <w:rFonts w:cstheme="minorHAnsi"/>
        </w:rPr>
        <w:t>Razviti posebne usluge za radnike u neformalnom sektoru kako bi se podržao njihov postupni prelaz prema formalnom statusu.</w:t>
      </w:r>
    </w:p>
    <w:p w14:paraId="22D478BD" w14:textId="77777777" w:rsidR="001B702F" w:rsidRPr="009B6524" w:rsidRDefault="001B702F" w:rsidP="00AB3167">
      <w:pPr>
        <w:pStyle w:val="ListParagraph"/>
        <w:numPr>
          <w:ilvl w:val="0"/>
          <w:numId w:val="15"/>
        </w:numPr>
        <w:jc w:val="both"/>
        <w:rPr>
          <w:rFonts w:cstheme="minorHAnsi"/>
        </w:rPr>
      </w:pPr>
      <w:r w:rsidRPr="009B6524">
        <w:rPr>
          <w:rFonts w:cstheme="minorHAnsi"/>
        </w:rPr>
        <w:t>Pružati posebne usluge radnicima u nestandardnim oblicima zapošljavanja; učiti iz praksi kao što su prakse organizacija civilnog društva</w:t>
      </w:r>
    </w:p>
    <w:p w14:paraId="59E37BC5" w14:textId="48E0B3DB" w:rsidR="001B702F" w:rsidRPr="009B6524" w:rsidRDefault="001B702F" w:rsidP="00AB3167">
      <w:pPr>
        <w:pStyle w:val="ListParagraph"/>
        <w:numPr>
          <w:ilvl w:val="0"/>
          <w:numId w:val="15"/>
        </w:numPr>
        <w:jc w:val="both"/>
        <w:rPr>
          <w:rFonts w:cstheme="minorHAnsi"/>
        </w:rPr>
      </w:pPr>
      <w:r w:rsidRPr="009B6524">
        <w:rPr>
          <w:rFonts w:cstheme="minorHAnsi"/>
        </w:rPr>
        <w:t>Razviti strategiju za proširenje usluga ZzZ-a na svu populaciju koja takođe uzima u obzir korišćenje IKT-a za karijerno vođenje.</w:t>
      </w:r>
    </w:p>
    <w:p w14:paraId="6F60C341" w14:textId="446D38C0" w:rsidR="001B702F" w:rsidRPr="009B6524" w:rsidRDefault="001B702F" w:rsidP="00AB3167">
      <w:pPr>
        <w:pStyle w:val="ListParagraph"/>
        <w:numPr>
          <w:ilvl w:val="0"/>
          <w:numId w:val="15"/>
        </w:numPr>
        <w:jc w:val="both"/>
        <w:rPr>
          <w:rFonts w:cstheme="minorHAnsi"/>
        </w:rPr>
      </w:pPr>
      <w:r w:rsidRPr="009B6524">
        <w:rPr>
          <w:rFonts w:cstheme="minorHAnsi"/>
        </w:rPr>
        <w:t>Obezbijediti odgovarajuće javno finansiranje za sisteme karijernog vođenja u skladu sa koristima za društvo koje se ostvaruju. Usmjeriti subvencije na grupe koje su nedovoljno zastupljene na tržištu rada i učešću u obukama (niskokvalifikovani, stariji tražioci posla, žene itd.).</w:t>
      </w:r>
    </w:p>
    <w:p w14:paraId="2D270634" w14:textId="16137831" w:rsidR="001B702F" w:rsidRPr="009B6524" w:rsidRDefault="001B702F" w:rsidP="00AB3167">
      <w:pPr>
        <w:pStyle w:val="ListParagraph"/>
        <w:numPr>
          <w:ilvl w:val="0"/>
          <w:numId w:val="15"/>
        </w:numPr>
        <w:jc w:val="both"/>
        <w:rPr>
          <w:rFonts w:cstheme="minorHAnsi"/>
        </w:rPr>
      </w:pPr>
      <w:r w:rsidRPr="009B6524">
        <w:rPr>
          <w:rFonts w:cstheme="minorHAnsi"/>
        </w:rPr>
        <w:t>Podstaći poslodavce da ulažu u ponudu karijernog vođenja kako bi odgovorili na potrebe razvoja karijere svojih zaposlenih, sa obrazloženjem da to doprinosi konkurentnosti poslodavaca kroz kontinuirani razvoj vještina, motivacije i produktivnosti radnika.</w:t>
      </w:r>
    </w:p>
    <w:p w14:paraId="03F6BDF4" w14:textId="50586E25" w:rsidR="001B702F" w:rsidRPr="009B6524" w:rsidRDefault="001B702F" w:rsidP="00AB3167">
      <w:pPr>
        <w:pStyle w:val="ListParagraph"/>
        <w:numPr>
          <w:ilvl w:val="0"/>
          <w:numId w:val="15"/>
        </w:numPr>
        <w:jc w:val="both"/>
        <w:rPr>
          <w:rFonts w:cstheme="minorHAnsi"/>
        </w:rPr>
      </w:pPr>
      <w:r w:rsidRPr="009B6524">
        <w:rPr>
          <w:rFonts w:cstheme="minorHAnsi"/>
        </w:rPr>
        <w:t>Naći način da se dopre do grupa u nepovoljnom položaju, uključujući starije tražioce posla i nisko kvalifikovane. Te se grupe suočavaju sa poteškoćama u pronalaženju kvalitetnih poslova, nedovoljno su zastupljene u učešću u obuci i mogle bi da imaju koristi od usluga karijernog vođenja.</w:t>
      </w:r>
    </w:p>
    <w:p w14:paraId="6B86568F" w14:textId="1CDE11C8" w:rsidR="001B702F" w:rsidRPr="009B6524" w:rsidRDefault="001B702F" w:rsidP="00AB3167">
      <w:pPr>
        <w:pStyle w:val="ListParagraph"/>
        <w:numPr>
          <w:ilvl w:val="0"/>
          <w:numId w:val="15"/>
        </w:numPr>
        <w:jc w:val="both"/>
        <w:rPr>
          <w:rFonts w:cstheme="minorHAnsi"/>
        </w:rPr>
      </w:pPr>
      <w:r w:rsidRPr="009B6524">
        <w:rPr>
          <w:rFonts w:cstheme="minorHAnsi"/>
        </w:rPr>
        <w:t>Razviti lokalna partnerstva pružaoca obrazovanja, kancelarije ZzZ-a, poslodavaca, opština, klubova mladih, nevladinih organizacija, socijalnih radnika kako bi se pozabavili pitanjem NEET-a i drugih ranjivih grupa.</w:t>
      </w:r>
    </w:p>
    <w:p w14:paraId="0E5CE63F" w14:textId="6628B6F9" w:rsidR="001B702F" w:rsidRPr="009B6524" w:rsidRDefault="001B702F" w:rsidP="00AB3167">
      <w:pPr>
        <w:pStyle w:val="ListParagraph"/>
        <w:numPr>
          <w:ilvl w:val="0"/>
          <w:numId w:val="15"/>
        </w:numPr>
        <w:jc w:val="both"/>
        <w:rPr>
          <w:rFonts w:cstheme="minorHAnsi"/>
        </w:rPr>
      </w:pPr>
      <w:r w:rsidRPr="009B6524">
        <w:rPr>
          <w:rFonts w:cstheme="minorHAnsi"/>
        </w:rPr>
        <w:t>Sprovesti modernizaciju digitalni kapaciteti i usluga Zavoda za zapošljavanje za uspostavljanje jedinstvene ulazne tačke za online karijerno vođenje za različite ciljne grupe (učenici, nastavnici, KVS praktičari, roditelji, poslodavci, radnici itd.); i već sada predviđati u srednjoročnom i dugoročnom razdoblju integraciju rezultata donatorskih projekata poput portala za opis zanimanja koje podržava MOR, JISERP (Jedinstveni informacioni sistem za elektronsku razmjenu podataka između državnih organa i organa državne uprave) , platforme za predviđanje vještina koju podržava MOR itd. i drugih digitalnih i online izvora.</w:t>
      </w:r>
    </w:p>
    <w:p w14:paraId="488BA77F" w14:textId="77777777" w:rsidR="00AB3167" w:rsidRPr="009B6524" w:rsidRDefault="00AB3167" w:rsidP="00AB3167">
      <w:pPr>
        <w:pStyle w:val="ListParagraph"/>
        <w:numPr>
          <w:ilvl w:val="0"/>
          <w:numId w:val="15"/>
        </w:numPr>
        <w:jc w:val="both"/>
        <w:rPr>
          <w:rFonts w:cstheme="minorHAnsi"/>
        </w:rPr>
      </w:pPr>
      <w:r w:rsidRPr="009B6524">
        <w:rPr>
          <w:rFonts w:cstheme="minorHAnsi"/>
        </w:rPr>
        <w:t>Integrisati informacije o tržištu rada koje pružaju ZzZ i druge organizacije, prilagoditi ih potrebama različitih ciljnih grupa i učiniti ih jednostavnijim za korišćenje; razmotriti njihovu integraciju u usluge zasnovane na IKT-u.</w:t>
      </w:r>
    </w:p>
    <w:p w14:paraId="30A591B3" w14:textId="59620942" w:rsidR="00AB3167" w:rsidRPr="009B6524" w:rsidRDefault="00AB3167" w:rsidP="00AB3167">
      <w:pPr>
        <w:pStyle w:val="ListParagraph"/>
        <w:numPr>
          <w:ilvl w:val="0"/>
          <w:numId w:val="15"/>
        </w:numPr>
        <w:jc w:val="both"/>
        <w:rPr>
          <w:rFonts w:cstheme="minorHAnsi"/>
        </w:rPr>
      </w:pPr>
      <w:r w:rsidRPr="009B6524">
        <w:rPr>
          <w:rFonts w:cstheme="minorHAnsi"/>
        </w:rPr>
        <w:t>Obezbijediti informacije o fleksibilnim putevima od jednog zanimanja do drugog, na osnovu analize nedostataka vještina.</w:t>
      </w:r>
    </w:p>
    <w:p w14:paraId="43006A04" w14:textId="712DC245" w:rsidR="00AB3167" w:rsidRPr="009B6524" w:rsidRDefault="00AB3167" w:rsidP="00AB3167">
      <w:pPr>
        <w:pStyle w:val="ListParagraph"/>
        <w:numPr>
          <w:ilvl w:val="0"/>
          <w:numId w:val="15"/>
        </w:numPr>
        <w:jc w:val="both"/>
        <w:rPr>
          <w:rFonts w:cstheme="minorHAnsi"/>
        </w:rPr>
      </w:pPr>
      <w:r w:rsidRPr="009B6524">
        <w:rPr>
          <w:rFonts w:cstheme="minorHAnsi"/>
        </w:rPr>
        <w:t>Osposobiti praktičare da, uz upotrebu tehnologije, koriste najsavremenije dostupne informacije o tržištu rada i promovišu razvoj vještina koje se puno traže.</w:t>
      </w:r>
    </w:p>
    <w:p w14:paraId="0382C249" w14:textId="0FB11CA4" w:rsidR="00AB3167" w:rsidRDefault="00AB3167" w:rsidP="00AB3167">
      <w:pPr>
        <w:pStyle w:val="ListParagraph"/>
        <w:numPr>
          <w:ilvl w:val="0"/>
          <w:numId w:val="15"/>
        </w:numPr>
        <w:jc w:val="both"/>
        <w:rPr>
          <w:rFonts w:cstheme="minorHAnsi"/>
        </w:rPr>
      </w:pPr>
      <w:r w:rsidRPr="009B6524">
        <w:rPr>
          <w:rFonts w:cstheme="minorHAnsi"/>
        </w:rPr>
        <w:t>Obogatiti izvještavanje o strategijama i radu ZzZ-a na način da se pređe sa pukog izvještavanja o sprovedenim aktivnostima na procjenu inputa u odnosu na output-e i ishode.</w:t>
      </w:r>
    </w:p>
    <w:tbl>
      <w:tblPr>
        <w:tblStyle w:val="TableGridLight"/>
        <w:tblW w:w="12240" w:type="dxa"/>
        <w:tblLayout w:type="fixed"/>
        <w:tblLook w:val="04A0" w:firstRow="1" w:lastRow="0" w:firstColumn="1" w:lastColumn="0" w:noHBand="0" w:noVBand="1"/>
      </w:tblPr>
      <w:tblGrid>
        <w:gridCol w:w="2212"/>
        <w:gridCol w:w="3368"/>
        <w:gridCol w:w="3420"/>
        <w:gridCol w:w="3240"/>
      </w:tblGrid>
      <w:tr w:rsidR="001B5634" w:rsidRPr="004A1A8D" w14:paraId="0D33DD08" w14:textId="77777777" w:rsidTr="000F0493">
        <w:trPr>
          <w:trHeight w:val="390"/>
        </w:trPr>
        <w:tc>
          <w:tcPr>
            <w:tcW w:w="2212" w:type="dxa"/>
          </w:tcPr>
          <w:p w14:paraId="5CBB4560" w14:textId="6D0AB159" w:rsidR="001B5634" w:rsidRPr="001B5634" w:rsidRDefault="001B5634" w:rsidP="007D7963">
            <w:pPr>
              <w:ind w:left="3"/>
              <w:rPr>
                <w:rFonts w:cstheme="minorHAnsi"/>
                <w:b/>
              </w:rPr>
            </w:pPr>
            <w:r w:rsidRPr="001B5634">
              <w:rPr>
                <w:rFonts w:eastAsia="Arial" w:cstheme="minorHAnsi"/>
                <w:b/>
              </w:rPr>
              <w:t xml:space="preserve">Operativni cilj 2: </w:t>
            </w:r>
          </w:p>
        </w:tc>
        <w:tc>
          <w:tcPr>
            <w:tcW w:w="10028" w:type="dxa"/>
            <w:gridSpan w:val="3"/>
          </w:tcPr>
          <w:p w14:paraId="17615CDA" w14:textId="344AF045" w:rsidR="001B5634" w:rsidRPr="004A1A8D" w:rsidRDefault="00A3419F" w:rsidP="007D7963">
            <w:pPr>
              <w:rPr>
                <w:rFonts w:cstheme="minorHAnsi"/>
              </w:rPr>
            </w:pPr>
            <w:r w:rsidRPr="00A3419F">
              <w:rPr>
                <w:rFonts w:cstheme="minorHAnsi"/>
              </w:rPr>
              <w:t>Nacionalni sistem zapošljavanja razvija i omogućava dostupnost usluga  karijernog vođenja i savjetovanja za zaposlena lica i nezaposlena lica koja se nalaze na evidenciji ZZZCG-a</w:t>
            </w:r>
          </w:p>
        </w:tc>
      </w:tr>
      <w:tr w:rsidR="00551C3F" w:rsidRPr="004A1A8D" w14:paraId="40BA9B14" w14:textId="77777777" w:rsidTr="000F0493">
        <w:trPr>
          <w:trHeight w:val="58"/>
        </w:trPr>
        <w:tc>
          <w:tcPr>
            <w:tcW w:w="2212" w:type="dxa"/>
          </w:tcPr>
          <w:p w14:paraId="06E0FA86" w14:textId="77777777" w:rsidR="00551C3F" w:rsidRDefault="00551C3F" w:rsidP="00551C3F">
            <w:pPr>
              <w:rPr>
                <w:rFonts w:ascii="Calibri" w:eastAsia="Calibri" w:hAnsi="Calibri" w:cs="Times New Roman"/>
                <w:b/>
                <w:bCs/>
                <w:lang w:val="en-GB"/>
              </w:rPr>
            </w:pPr>
            <w:r w:rsidRPr="00E40018">
              <w:rPr>
                <w:rFonts w:ascii="Calibri" w:eastAsia="Calibri" w:hAnsi="Calibri" w:cs="Times New Roman"/>
                <w:b/>
                <w:bCs/>
                <w:lang w:val="en-GB"/>
              </w:rPr>
              <w:t xml:space="preserve">Indikator učinka 1: </w:t>
            </w:r>
          </w:p>
          <w:p w14:paraId="7FF79F3F" w14:textId="77777777" w:rsidR="00551C3F" w:rsidRDefault="00551C3F" w:rsidP="00551C3F">
            <w:pPr>
              <w:rPr>
                <w:rFonts w:ascii="Calibri" w:eastAsia="Calibri" w:hAnsi="Calibri" w:cs="Times New Roman"/>
                <w:b/>
                <w:bCs/>
                <w:lang w:val="en-GB"/>
              </w:rPr>
            </w:pPr>
          </w:p>
          <w:p w14:paraId="59A53968" w14:textId="77777777" w:rsidR="00551C3F" w:rsidRPr="00200E5E" w:rsidRDefault="00551C3F" w:rsidP="00551C3F">
            <w:pPr>
              <w:rPr>
                <w:rFonts w:ascii="Calibri" w:eastAsia="Calibri" w:hAnsi="Calibri" w:cs="Times New Roman"/>
                <w:lang w:val="en-GB"/>
              </w:rPr>
            </w:pPr>
            <w:r w:rsidRPr="00200E5E">
              <w:rPr>
                <w:rFonts w:ascii="Calibri" w:eastAsia="Calibri" w:hAnsi="Calibri" w:cs="Times New Roman"/>
                <w:lang w:val="en-GB"/>
              </w:rPr>
              <w:lastRenderedPageBreak/>
              <w:t>Povećanje broja usluga KVS koje ZZZCG pruža za nezaposlene na godišnjem nivou</w:t>
            </w:r>
          </w:p>
          <w:p w14:paraId="525352A3" w14:textId="77777777" w:rsidR="00551C3F" w:rsidRPr="004A1A8D" w:rsidRDefault="00551C3F" w:rsidP="00551C3F">
            <w:pPr>
              <w:rPr>
                <w:rFonts w:cstheme="minorHAnsi"/>
              </w:rPr>
            </w:pPr>
          </w:p>
        </w:tc>
        <w:tc>
          <w:tcPr>
            <w:tcW w:w="3368" w:type="dxa"/>
          </w:tcPr>
          <w:p w14:paraId="32983EFF" w14:textId="77777777" w:rsidR="00551C3F" w:rsidRPr="00E40018" w:rsidRDefault="00551C3F" w:rsidP="00551C3F">
            <w:pPr>
              <w:jc w:val="center"/>
              <w:rPr>
                <w:rFonts w:ascii="Calibri" w:eastAsia="Calibri" w:hAnsi="Calibri" w:cs="Times New Roman"/>
                <w:b/>
                <w:bCs/>
                <w:lang w:val="en-GB"/>
              </w:rPr>
            </w:pPr>
            <w:r w:rsidRPr="00E40018">
              <w:rPr>
                <w:rFonts w:ascii="Calibri" w:eastAsia="Calibri" w:hAnsi="Calibri" w:cs="Times New Roman"/>
                <w:b/>
                <w:bCs/>
                <w:lang w:val="en-GB"/>
              </w:rPr>
              <w:lastRenderedPageBreak/>
              <w:t>Početna vrijednost 2025</w:t>
            </w:r>
          </w:p>
          <w:p w14:paraId="15B58BEA" w14:textId="77777777" w:rsidR="00551C3F" w:rsidRDefault="00551C3F" w:rsidP="00551C3F">
            <w:pPr>
              <w:rPr>
                <w:rFonts w:ascii="Calibri" w:eastAsia="Calibri" w:hAnsi="Calibri" w:cs="Times New Roman"/>
                <w:lang w:val="en-GB"/>
              </w:rPr>
            </w:pPr>
          </w:p>
          <w:p w14:paraId="70C54A39" w14:textId="77777777" w:rsidR="00551C3F" w:rsidRDefault="00551C3F" w:rsidP="00551C3F">
            <w:pPr>
              <w:rPr>
                <w:rFonts w:ascii="Calibri" w:eastAsia="Calibri" w:hAnsi="Calibri" w:cs="Times New Roman"/>
                <w:lang w:val="en-GB"/>
              </w:rPr>
            </w:pPr>
          </w:p>
          <w:p w14:paraId="5BBD7214" w14:textId="77777777" w:rsidR="00551C3F" w:rsidRDefault="00551C3F" w:rsidP="00551C3F">
            <w:pPr>
              <w:rPr>
                <w:rFonts w:ascii="Calibri" w:eastAsia="Calibri" w:hAnsi="Calibri" w:cs="Times New Roman"/>
                <w:lang w:val="en-GB"/>
              </w:rPr>
            </w:pPr>
            <w:r>
              <w:rPr>
                <w:rFonts w:ascii="Calibri" w:eastAsia="Calibri" w:hAnsi="Calibri" w:cs="Times New Roman"/>
                <w:lang w:val="en-GB"/>
              </w:rPr>
              <w:lastRenderedPageBreak/>
              <w:t>Trenutni broj dostupnih usluga KVS-a koje ZZZCG pruža:</w:t>
            </w:r>
          </w:p>
          <w:p w14:paraId="0DCE4F65" w14:textId="77777777" w:rsidR="00551C3F" w:rsidRDefault="00551C3F" w:rsidP="00551C3F">
            <w:pPr>
              <w:rPr>
                <w:rFonts w:ascii="Calibri" w:eastAsia="Calibri" w:hAnsi="Calibri" w:cs="Times New Roman"/>
                <w:lang w:val="en-GB"/>
              </w:rPr>
            </w:pPr>
          </w:p>
          <w:p w14:paraId="3EC89F45" w14:textId="77777777" w:rsidR="00551C3F" w:rsidRDefault="00551C3F" w:rsidP="00551C3F">
            <w:pPr>
              <w:jc w:val="center"/>
              <w:rPr>
                <w:rFonts w:ascii="Calibri" w:eastAsia="Calibri" w:hAnsi="Calibri" w:cs="Times New Roman"/>
                <w:lang w:val="en-GB"/>
              </w:rPr>
            </w:pPr>
            <w:r>
              <w:rPr>
                <w:rFonts w:ascii="Calibri" w:eastAsia="Calibri" w:hAnsi="Calibri" w:cs="Times New Roman"/>
                <w:lang w:val="en-GB"/>
              </w:rPr>
              <w:t>6 usluga KVS-a</w:t>
            </w:r>
          </w:p>
          <w:p w14:paraId="31930225" w14:textId="77777777" w:rsidR="00551C3F" w:rsidRPr="00E40018" w:rsidRDefault="00551C3F" w:rsidP="00551C3F">
            <w:pPr>
              <w:jc w:val="center"/>
              <w:rPr>
                <w:rFonts w:ascii="Calibri" w:eastAsia="Calibri" w:hAnsi="Calibri" w:cs="Times New Roman"/>
                <w:lang w:val="en-GB"/>
              </w:rPr>
            </w:pPr>
          </w:p>
          <w:p w14:paraId="22BB5FAD" w14:textId="77777777" w:rsidR="00551C3F" w:rsidRPr="004A1A8D" w:rsidRDefault="00551C3F" w:rsidP="00551C3F">
            <w:pPr>
              <w:jc w:val="center"/>
              <w:rPr>
                <w:rFonts w:cstheme="minorHAnsi"/>
                <w:i/>
                <w:sz w:val="18"/>
                <w:szCs w:val="18"/>
              </w:rPr>
            </w:pPr>
          </w:p>
        </w:tc>
        <w:tc>
          <w:tcPr>
            <w:tcW w:w="3420" w:type="dxa"/>
          </w:tcPr>
          <w:p w14:paraId="6FC60461" w14:textId="77777777" w:rsidR="00551C3F" w:rsidRPr="00E40018" w:rsidRDefault="00551C3F" w:rsidP="00551C3F">
            <w:pPr>
              <w:jc w:val="center"/>
              <w:rPr>
                <w:rFonts w:ascii="Calibri" w:eastAsia="Calibri" w:hAnsi="Calibri" w:cs="Times New Roman"/>
                <w:b/>
                <w:bCs/>
                <w:lang w:val="en-GB"/>
              </w:rPr>
            </w:pPr>
            <w:r w:rsidRPr="00E40018">
              <w:rPr>
                <w:rFonts w:ascii="Calibri" w:eastAsia="Calibri" w:hAnsi="Calibri" w:cs="Times New Roman"/>
                <w:b/>
                <w:bCs/>
                <w:lang w:val="en-GB"/>
              </w:rPr>
              <w:lastRenderedPageBreak/>
              <w:t>Srednja vrijednost 2028</w:t>
            </w:r>
          </w:p>
          <w:p w14:paraId="1AA2ED42" w14:textId="77777777" w:rsidR="00551C3F" w:rsidRDefault="00551C3F" w:rsidP="00551C3F">
            <w:pPr>
              <w:rPr>
                <w:rFonts w:ascii="Calibri" w:eastAsia="Calibri" w:hAnsi="Calibri" w:cs="Times New Roman"/>
                <w:lang w:val="en-GB"/>
              </w:rPr>
            </w:pPr>
          </w:p>
          <w:p w14:paraId="7774C5BB" w14:textId="77777777" w:rsidR="00551C3F" w:rsidRPr="00E40018" w:rsidRDefault="00551C3F" w:rsidP="00551C3F">
            <w:pPr>
              <w:rPr>
                <w:rFonts w:ascii="Calibri" w:eastAsia="Calibri" w:hAnsi="Calibri" w:cs="Times New Roman"/>
                <w:lang w:val="en-GB"/>
              </w:rPr>
            </w:pPr>
          </w:p>
          <w:p w14:paraId="55D27F15" w14:textId="77777777" w:rsidR="00551C3F" w:rsidRDefault="00551C3F" w:rsidP="00551C3F">
            <w:pPr>
              <w:jc w:val="center"/>
              <w:rPr>
                <w:rFonts w:ascii="Calibri" w:eastAsia="Calibri" w:hAnsi="Calibri" w:cs="Times New Roman"/>
                <w:lang w:val="en-GB"/>
              </w:rPr>
            </w:pPr>
            <w:r>
              <w:rPr>
                <w:rFonts w:ascii="Calibri" w:eastAsia="Calibri" w:hAnsi="Calibri" w:cs="Times New Roman"/>
                <w:lang w:val="en-GB"/>
              </w:rPr>
              <w:lastRenderedPageBreak/>
              <w:t xml:space="preserve">Do kraja 2028. godine, ZZZCG će na godišnjem nivou pružati minimum </w:t>
            </w:r>
          </w:p>
          <w:p w14:paraId="0762350E" w14:textId="77777777" w:rsidR="00551C3F" w:rsidRDefault="00551C3F" w:rsidP="00551C3F">
            <w:pPr>
              <w:jc w:val="center"/>
              <w:rPr>
                <w:rFonts w:ascii="Calibri" w:eastAsia="Calibri" w:hAnsi="Calibri" w:cs="Times New Roman"/>
                <w:lang w:val="en-GB"/>
              </w:rPr>
            </w:pPr>
          </w:p>
          <w:p w14:paraId="5D9A0731" w14:textId="77777777" w:rsidR="00551C3F" w:rsidRPr="00E40018" w:rsidRDefault="00551C3F" w:rsidP="00551C3F">
            <w:pPr>
              <w:jc w:val="center"/>
              <w:rPr>
                <w:rFonts w:ascii="Calibri" w:eastAsia="Calibri" w:hAnsi="Calibri" w:cs="Times New Roman"/>
                <w:lang w:val="en-GB"/>
              </w:rPr>
            </w:pPr>
            <w:r>
              <w:rPr>
                <w:rFonts w:ascii="Calibri" w:eastAsia="Calibri" w:hAnsi="Calibri" w:cs="Times New Roman"/>
                <w:lang w:val="en-GB"/>
              </w:rPr>
              <w:t>10 usluga KVS</w:t>
            </w:r>
          </w:p>
          <w:p w14:paraId="56FB34F1" w14:textId="77777777" w:rsidR="00551C3F" w:rsidRPr="004A1A8D" w:rsidRDefault="00551C3F" w:rsidP="00551C3F">
            <w:pPr>
              <w:jc w:val="center"/>
              <w:rPr>
                <w:rFonts w:cstheme="minorHAnsi"/>
                <w:i/>
                <w:sz w:val="18"/>
                <w:szCs w:val="18"/>
              </w:rPr>
            </w:pPr>
          </w:p>
        </w:tc>
        <w:tc>
          <w:tcPr>
            <w:tcW w:w="3240" w:type="dxa"/>
          </w:tcPr>
          <w:p w14:paraId="7912C9F9" w14:textId="77777777" w:rsidR="00551C3F" w:rsidRPr="00E40018" w:rsidRDefault="00551C3F" w:rsidP="00551C3F">
            <w:pPr>
              <w:jc w:val="center"/>
              <w:rPr>
                <w:rFonts w:ascii="Calibri" w:eastAsia="Calibri" w:hAnsi="Calibri" w:cs="Times New Roman"/>
                <w:b/>
                <w:bCs/>
                <w:lang w:val="en-GB"/>
              </w:rPr>
            </w:pPr>
            <w:r w:rsidRPr="00E40018">
              <w:rPr>
                <w:rFonts w:ascii="Calibri" w:eastAsia="Calibri" w:hAnsi="Calibri" w:cs="Times New Roman"/>
                <w:b/>
                <w:bCs/>
                <w:lang w:val="en-GB"/>
              </w:rPr>
              <w:lastRenderedPageBreak/>
              <w:t>Ciljna vrijednost 2030</w:t>
            </w:r>
          </w:p>
          <w:p w14:paraId="60DB5A3A" w14:textId="77777777" w:rsidR="00551C3F" w:rsidRPr="00E40018" w:rsidRDefault="00551C3F" w:rsidP="00551C3F">
            <w:pPr>
              <w:rPr>
                <w:rFonts w:ascii="Calibri" w:eastAsia="Calibri" w:hAnsi="Calibri" w:cs="Times New Roman"/>
                <w:lang w:val="en-GB"/>
              </w:rPr>
            </w:pPr>
          </w:p>
          <w:p w14:paraId="5A215E2D" w14:textId="77777777" w:rsidR="00551C3F" w:rsidRDefault="00551C3F" w:rsidP="00551C3F">
            <w:pPr>
              <w:jc w:val="center"/>
              <w:rPr>
                <w:b/>
                <w:bCs/>
                <w:lang w:val="sr-Latn-RS"/>
              </w:rPr>
            </w:pPr>
          </w:p>
          <w:p w14:paraId="4D26CEE5" w14:textId="77777777" w:rsidR="00551C3F" w:rsidRDefault="00551C3F" w:rsidP="00551C3F">
            <w:pPr>
              <w:rPr>
                <w:rFonts w:ascii="Calibri" w:eastAsia="Calibri" w:hAnsi="Calibri" w:cs="Times New Roman"/>
                <w:lang w:val="en-GB"/>
              </w:rPr>
            </w:pPr>
            <w:r>
              <w:rPr>
                <w:rFonts w:ascii="Calibri" w:eastAsia="Calibri" w:hAnsi="Calibri" w:cs="Times New Roman"/>
                <w:lang w:val="en-GB"/>
              </w:rPr>
              <w:lastRenderedPageBreak/>
              <w:t xml:space="preserve">Do kraja 2030. godine, ZZZCG će  na godišnjem nivou pružati minimum </w:t>
            </w:r>
          </w:p>
          <w:p w14:paraId="64DC0C45" w14:textId="77777777" w:rsidR="00551C3F" w:rsidRDefault="00551C3F" w:rsidP="00551C3F">
            <w:pPr>
              <w:jc w:val="center"/>
              <w:rPr>
                <w:rFonts w:ascii="Calibri" w:eastAsia="Calibri" w:hAnsi="Calibri" w:cs="Times New Roman"/>
                <w:lang w:val="en-GB"/>
              </w:rPr>
            </w:pPr>
          </w:p>
          <w:p w14:paraId="68CF8E2D" w14:textId="77777777" w:rsidR="00551C3F" w:rsidRPr="00E40018" w:rsidRDefault="00551C3F" w:rsidP="00551C3F">
            <w:pPr>
              <w:jc w:val="center"/>
              <w:rPr>
                <w:rFonts w:ascii="Calibri" w:eastAsia="Calibri" w:hAnsi="Calibri" w:cs="Times New Roman"/>
                <w:lang w:val="en-GB"/>
              </w:rPr>
            </w:pPr>
            <w:r>
              <w:rPr>
                <w:rFonts w:ascii="Calibri" w:eastAsia="Calibri" w:hAnsi="Calibri" w:cs="Times New Roman"/>
                <w:lang w:val="en-GB"/>
              </w:rPr>
              <w:t>15 usluga KVS</w:t>
            </w:r>
          </w:p>
          <w:p w14:paraId="474BC468" w14:textId="77777777" w:rsidR="00551C3F" w:rsidRPr="004A1A8D" w:rsidRDefault="00551C3F" w:rsidP="00551C3F">
            <w:pPr>
              <w:jc w:val="center"/>
              <w:rPr>
                <w:rFonts w:cstheme="minorHAnsi"/>
                <w:i/>
                <w:sz w:val="18"/>
                <w:szCs w:val="18"/>
              </w:rPr>
            </w:pPr>
          </w:p>
        </w:tc>
      </w:tr>
      <w:tr w:rsidR="000F0493" w:rsidRPr="004A1A8D" w14:paraId="1B42A938" w14:textId="77777777" w:rsidTr="000F0493">
        <w:trPr>
          <w:trHeight w:val="58"/>
        </w:trPr>
        <w:tc>
          <w:tcPr>
            <w:tcW w:w="2212" w:type="dxa"/>
          </w:tcPr>
          <w:p w14:paraId="5D64F7BE" w14:textId="77777777" w:rsidR="000F0493" w:rsidRPr="00E61A29" w:rsidRDefault="000F0493" w:rsidP="000F0493">
            <w:pPr>
              <w:rPr>
                <w:rFonts w:ascii="Calibri" w:eastAsia="Calibri" w:hAnsi="Calibri" w:cs="Times New Roman"/>
                <w:b/>
                <w:bCs/>
                <w:color w:val="000000" w:themeColor="text1"/>
                <w:lang w:val="en-GB"/>
              </w:rPr>
            </w:pPr>
            <w:r w:rsidRPr="00E61A29">
              <w:rPr>
                <w:rFonts w:ascii="Calibri" w:eastAsia="Calibri" w:hAnsi="Calibri" w:cs="Times New Roman"/>
                <w:b/>
                <w:bCs/>
                <w:color w:val="000000" w:themeColor="text1"/>
                <w:lang w:val="en-GB"/>
              </w:rPr>
              <w:lastRenderedPageBreak/>
              <w:t xml:space="preserve">Indikator učinka 2: </w:t>
            </w:r>
          </w:p>
          <w:p w14:paraId="05812039" w14:textId="77777777" w:rsidR="000F0493" w:rsidRPr="00E61A29" w:rsidRDefault="000F0493" w:rsidP="000F0493">
            <w:pPr>
              <w:rPr>
                <w:rFonts w:ascii="Calibri" w:eastAsia="Calibri" w:hAnsi="Calibri" w:cs="Times New Roman"/>
                <w:b/>
                <w:bCs/>
                <w:color w:val="000000" w:themeColor="text1"/>
                <w:lang w:val="en-GB"/>
              </w:rPr>
            </w:pPr>
          </w:p>
          <w:p w14:paraId="45BDE946" w14:textId="77777777" w:rsidR="000F0493" w:rsidRPr="00E61A29" w:rsidRDefault="000F0493" w:rsidP="000F0493">
            <w:pPr>
              <w:rPr>
                <w:rFonts w:ascii="Calibri" w:eastAsia="Calibri" w:hAnsi="Calibri" w:cs="Times New Roman"/>
                <w:b/>
                <w:bCs/>
                <w:color w:val="000000" w:themeColor="text1"/>
                <w:lang w:val="en-GB"/>
              </w:rPr>
            </w:pPr>
          </w:p>
          <w:p w14:paraId="21AAEF9C" w14:textId="77777777" w:rsidR="000F0493" w:rsidRPr="00E61A29" w:rsidRDefault="000F0493" w:rsidP="000F0493">
            <w:pPr>
              <w:rPr>
                <w:rFonts w:ascii="Calibri" w:eastAsia="Calibri" w:hAnsi="Calibri" w:cs="Times New Roman"/>
                <w:color w:val="000000" w:themeColor="text1"/>
                <w:lang w:val="en-GB"/>
              </w:rPr>
            </w:pPr>
            <w:r w:rsidRPr="00E61A29">
              <w:rPr>
                <w:rFonts w:ascii="Calibri" w:eastAsia="Calibri" w:hAnsi="Calibri" w:cs="Times New Roman"/>
                <w:color w:val="000000" w:themeColor="text1"/>
                <w:lang w:val="en-GB"/>
              </w:rPr>
              <w:t xml:space="preserve">Procenat nezaposlenih lica koji se nalaze na evidenciji ZZZCG koji su koristili usluge KVS-a </w:t>
            </w:r>
            <w:r>
              <w:rPr>
                <w:rFonts w:ascii="Calibri" w:eastAsia="Calibri" w:hAnsi="Calibri" w:cs="Times New Roman"/>
                <w:color w:val="000000" w:themeColor="text1"/>
                <w:lang w:val="en-GB"/>
              </w:rPr>
              <w:t>n</w:t>
            </w:r>
            <w:r w:rsidRPr="00E61A29">
              <w:rPr>
                <w:rFonts w:ascii="Calibri" w:eastAsia="Calibri" w:hAnsi="Calibri" w:cs="Times New Roman"/>
                <w:color w:val="000000" w:themeColor="text1"/>
                <w:lang w:val="en-GB"/>
              </w:rPr>
              <w:t>a godišnjem nivou</w:t>
            </w:r>
          </w:p>
          <w:p w14:paraId="41B7EE97" w14:textId="77777777" w:rsidR="000F0493" w:rsidRPr="004A1A8D" w:rsidRDefault="000F0493" w:rsidP="000F0493">
            <w:pPr>
              <w:ind w:left="3"/>
              <w:rPr>
                <w:rFonts w:eastAsia="Arial" w:cstheme="minorHAnsi"/>
                <w:b/>
              </w:rPr>
            </w:pPr>
          </w:p>
        </w:tc>
        <w:tc>
          <w:tcPr>
            <w:tcW w:w="3368" w:type="dxa"/>
          </w:tcPr>
          <w:p w14:paraId="35B6EA98" w14:textId="77777777" w:rsidR="000F0493" w:rsidRPr="00E61A29" w:rsidRDefault="000F0493" w:rsidP="000F0493">
            <w:pPr>
              <w:jc w:val="center"/>
              <w:rPr>
                <w:rFonts w:ascii="Calibri" w:eastAsia="Calibri" w:hAnsi="Calibri" w:cs="Times New Roman"/>
                <w:b/>
                <w:bCs/>
                <w:color w:val="000000" w:themeColor="text1"/>
                <w:lang w:val="en-GB"/>
              </w:rPr>
            </w:pPr>
            <w:r w:rsidRPr="00E61A29">
              <w:rPr>
                <w:rFonts w:ascii="Calibri" w:eastAsia="Calibri" w:hAnsi="Calibri" w:cs="Times New Roman"/>
                <w:b/>
                <w:bCs/>
                <w:color w:val="000000" w:themeColor="text1"/>
                <w:lang w:val="en-GB"/>
              </w:rPr>
              <w:t>Početna vrijednost 2025</w:t>
            </w:r>
          </w:p>
          <w:p w14:paraId="4552A887" w14:textId="77777777" w:rsidR="000F0493" w:rsidRPr="00E61A29" w:rsidRDefault="000F0493" w:rsidP="000F0493">
            <w:pPr>
              <w:jc w:val="center"/>
              <w:rPr>
                <w:rFonts w:ascii="Calibri" w:eastAsia="Calibri" w:hAnsi="Calibri" w:cs="Times New Roman"/>
                <w:color w:val="000000" w:themeColor="text1"/>
                <w:lang w:val="en-GB"/>
              </w:rPr>
            </w:pPr>
          </w:p>
          <w:p w14:paraId="0F181EAF" w14:textId="77777777" w:rsidR="000F0493" w:rsidRPr="00E61A29" w:rsidRDefault="000F0493" w:rsidP="000F0493">
            <w:pPr>
              <w:jc w:val="center"/>
              <w:rPr>
                <w:rFonts w:ascii="Calibri" w:eastAsia="Calibri" w:hAnsi="Calibri" w:cs="Times New Roman"/>
                <w:color w:val="000000" w:themeColor="text1"/>
                <w:lang w:val="en-GB"/>
              </w:rPr>
            </w:pPr>
          </w:p>
          <w:p w14:paraId="2B5DD8AC" w14:textId="77777777" w:rsidR="000F0493" w:rsidRPr="00E61A29" w:rsidRDefault="000F0493" w:rsidP="000F0493">
            <w:pPr>
              <w:jc w:val="center"/>
              <w:rPr>
                <w:rFonts w:ascii="Calibri" w:eastAsia="Calibri" w:hAnsi="Calibri" w:cs="Times New Roman"/>
                <w:color w:val="000000" w:themeColor="text1"/>
                <w:lang w:val="en-GB"/>
              </w:rPr>
            </w:pPr>
          </w:p>
          <w:p w14:paraId="4848F471" w14:textId="4A4E01B2" w:rsidR="000F0493" w:rsidRPr="004A1A8D" w:rsidRDefault="000F0493" w:rsidP="000F0493">
            <w:pPr>
              <w:jc w:val="center"/>
              <w:rPr>
                <w:rFonts w:cstheme="minorHAnsi"/>
                <w:i/>
                <w:sz w:val="18"/>
                <w:szCs w:val="18"/>
              </w:rPr>
            </w:pPr>
            <w:r w:rsidRPr="00E61A29">
              <w:rPr>
                <w:rFonts w:ascii="Calibri" w:eastAsia="Calibri" w:hAnsi="Calibri" w:cs="Times New Roman"/>
                <w:color w:val="000000" w:themeColor="text1"/>
                <w:lang w:val="en-GB"/>
              </w:rPr>
              <w:t xml:space="preserve">10% od ukupnog broja </w:t>
            </w:r>
            <w:r>
              <w:rPr>
                <w:rFonts w:ascii="Calibri" w:eastAsia="Calibri" w:hAnsi="Calibri" w:cs="Times New Roman"/>
                <w:color w:val="000000" w:themeColor="text1"/>
                <w:lang w:val="en-GB"/>
              </w:rPr>
              <w:t>nezaposlenih lica koji se nalaze na evidenciji ZZZCG je koristilo usluge KVS</w:t>
            </w:r>
          </w:p>
        </w:tc>
        <w:tc>
          <w:tcPr>
            <w:tcW w:w="3420" w:type="dxa"/>
          </w:tcPr>
          <w:p w14:paraId="2DA3E0E2" w14:textId="77777777" w:rsidR="000F0493" w:rsidRPr="00E61A29" w:rsidRDefault="000F0493" w:rsidP="000F0493">
            <w:pPr>
              <w:jc w:val="center"/>
              <w:rPr>
                <w:rFonts w:ascii="Calibri" w:eastAsia="Calibri" w:hAnsi="Calibri" w:cs="Times New Roman"/>
                <w:b/>
                <w:bCs/>
                <w:color w:val="000000" w:themeColor="text1"/>
                <w:lang w:val="en-GB"/>
              </w:rPr>
            </w:pPr>
            <w:r w:rsidRPr="00E61A29">
              <w:rPr>
                <w:rFonts w:ascii="Calibri" w:eastAsia="Calibri" w:hAnsi="Calibri" w:cs="Times New Roman"/>
                <w:b/>
                <w:bCs/>
                <w:color w:val="000000" w:themeColor="text1"/>
                <w:lang w:val="en-GB"/>
              </w:rPr>
              <w:t>Srednja vrijednost 2028</w:t>
            </w:r>
          </w:p>
          <w:p w14:paraId="02F70211" w14:textId="77777777" w:rsidR="000F0493" w:rsidRPr="00E61A29" w:rsidRDefault="000F0493" w:rsidP="000F0493">
            <w:pPr>
              <w:jc w:val="center"/>
              <w:rPr>
                <w:rFonts w:ascii="Calibri" w:eastAsia="Calibri" w:hAnsi="Calibri" w:cs="Times New Roman"/>
                <w:color w:val="000000" w:themeColor="text1"/>
                <w:lang w:val="en-GB"/>
              </w:rPr>
            </w:pPr>
          </w:p>
          <w:p w14:paraId="5916EFFC" w14:textId="77777777" w:rsidR="000F0493" w:rsidRPr="00E61A29" w:rsidRDefault="000F0493" w:rsidP="000F0493">
            <w:pPr>
              <w:jc w:val="center"/>
              <w:rPr>
                <w:rFonts w:ascii="Calibri" w:eastAsia="Calibri" w:hAnsi="Calibri" w:cs="Times New Roman"/>
                <w:b/>
                <w:bCs/>
                <w:color w:val="000000" w:themeColor="text1"/>
                <w:lang w:val="en-GB"/>
              </w:rPr>
            </w:pPr>
          </w:p>
          <w:p w14:paraId="60017E06" w14:textId="77777777" w:rsidR="000F0493" w:rsidRDefault="000F0493" w:rsidP="000F0493">
            <w:pPr>
              <w:jc w:val="center"/>
              <w:rPr>
                <w:rFonts w:ascii="Calibri" w:eastAsia="Calibri" w:hAnsi="Calibri" w:cs="Times New Roman"/>
                <w:b/>
                <w:bCs/>
                <w:color w:val="000000" w:themeColor="text1"/>
                <w:lang w:val="en-GB"/>
              </w:rPr>
            </w:pPr>
          </w:p>
          <w:p w14:paraId="31D667DF" w14:textId="344C971A" w:rsidR="000F0493" w:rsidRPr="004A1A8D" w:rsidRDefault="000F0493" w:rsidP="000F0493">
            <w:pPr>
              <w:jc w:val="center"/>
              <w:rPr>
                <w:rFonts w:cstheme="minorHAnsi"/>
                <w:i/>
                <w:sz w:val="18"/>
                <w:szCs w:val="18"/>
              </w:rPr>
            </w:pPr>
            <w:r w:rsidRPr="00E61A29">
              <w:rPr>
                <w:rFonts w:ascii="Calibri" w:eastAsia="Calibri" w:hAnsi="Calibri" w:cs="Times New Roman"/>
                <w:color w:val="000000" w:themeColor="text1"/>
                <w:lang w:val="en-GB"/>
              </w:rPr>
              <w:t xml:space="preserve">Do kraja 2028. godine, minimum 15% nezaposlenih lica koji se nalaze na evidenciji ZZZCG je koristilo usluge KVS </w:t>
            </w:r>
          </w:p>
        </w:tc>
        <w:tc>
          <w:tcPr>
            <w:tcW w:w="3240" w:type="dxa"/>
          </w:tcPr>
          <w:p w14:paraId="794DA200" w14:textId="77777777" w:rsidR="000F0493" w:rsidRPr="00E61A29" w:rsidRDefault="000F0493" w:rsidP="000F0493">
            <w:pPr>
              <w:jc w:val="center"/>
              <w:rPr>
                <w:rFonts w:ascii="Calibri" w:eastAsia="Calibri" w:hAnsi="Calibri" w:cs="Times New Roman"/>
                <w:b/>
                <w:bCs/>
                <w:color w:val="000000" w:themeColor="text1"/>
                <w:lang w:val="en-GB"/>
              </w:rPr>
            </w:pPr>
            <w:r w:rsidRPr="00E61A29">
              <w:rPr>
                <w:rFonts w:ascii="Calibri" w:eastAsia="Calibri" w:hAnsi="Calibri" w:cs="Times New Roman"/>
                <w:b/>
                <w:bCs/>
                <w:color w:val="000000" w:themeColor="text1"/>
                <w:lang w:val="en-GB"/>
              </w:rPr>
              <w:t>Ciljna vrijednost 2030</w:t>
            </w:r>
          </w:p>
          <w:p w14:paraId="324CC6DF" w14:textId="77777777" w:rsidR="000F0493" w:rsidRPr="00E61A29" w:rsidRDefault="000F0493" w:rsidP="000F0493">
            <w:pPr>
              <w:jc w:val="center"/>
              <w:rPr>
                <w:rFonts w:ascii="Calibri" w:eastAsia="Calibri" w:hAnsi="Calibri" w:cs="Times New Roman"/>
                <w:color w:val="000000" w:themeColor="text1"/>
                <w:lang w:val="en-GB"/>
              </w:rPr>
            </w:pPr>
          </w:p>
          <w:p w14:paraId="46763001" w14:textId="77777777" w:rsidR="000F0493" w:rsidRPr="00E61A29" w:rsidRDefault="000F0493" w:rsidP="000F0493">
            <w:pPr>
              <w:jc w:val="center"/>
              <w:rPr>
                <w:rFonts w:ascii="Calibri" w:eastAsia="Calibri" w:hAnsi="Calibri" w:cs="Times New Roman"/>
                <w:color w:val="000000" w:themeColor="text1"/>
                <w:lang w:val="en-GB"/>
              </w:rPr>
            </w:pPr>
          </w:p>
          <w:p w14:paraId="3F1C6BC8" w14:textId="77777777" w:rsidR="000F0493" w:rsidRPr="00E61A29" w:rsidRDefault="000F0493" w:rsidP="000F0493">
            <w:pPr>
              <w:jc w:val="center"/>
              <w:rPr>
                <w:rFonts w:ascii="Calibri" w:eastAsia="Calibri" w:hAnsi="Calibri" w:cs="Times New Roman"/>
                <w:b/>
                <w:bCs/>
                <w:color w:val="000000" w:themeColor="text1"/>
                <w:lang w:val="en-GB"/>
              </w:rPr>
            </w:pPr>
          </w:p>
          <w:p w14:paraId="095BA12B" w14:textId="405FB431" w:rsidR="000F0493" w:rsidRPr="004A1A8D" w:rsidRDefault="000F0493" w:rsidP="000F0493">
            <w:pPr>
              <w:jc w:val="center"/>
              <w:rPr>
                <w:rFonts w:cstheme="minorHAnsi"/>
                <w:i/>
                <w:sz w:val="18"/>
                <w:szCs w:val="18"/>
                <w:lang w:val="it-IT"/>
              </w:rPr>
            </w:pPr>
            <w:r w:rsidRPr="00653396">
              <w:rPr>
                <w:rFonts w:ascii="Calibri" w:eastAsia="Calibri" w:hAnsi="Calibri" w:cs="Times New Roman"/>
                <w:color w:val="000000" w:themeColor="text1"/>
                <w:lang w:val="en-GB"/>
              </w:rPr>
              <w:t>Do kraja 20</w:t>
            </w:r>
            <w:r>
              <w:rPr>
                <w:rFonts w:ascii="Calibri" w:eastAsia="Calibri" w:hAnsi="Calibri" w:cs="Times New Roman"/>
                <w:color w:val="000000" w:themeColor="text1"/>
                <w:lang w:val="en-GB"/>
              </w:rPr>
              <w:t>30</w:t>
            </w:r>
            <w:r w:rsidRPr="00653396">
              <w:rPr>
                <w:rFonts w:ascii="Calibri" w:eastAsia="Calibri" w:hAnsi="Calibri" w:cs="Times New Roman"/>
                <w:color w:val="000000" w:themeColor="text1"/>
                <w:lang w:val="en-GB"/>
              </w:rPr>
              <w:t xml:space="preserve">. godine, minimum </w:t>
            </w:r>
            <w:r>
              <w:rPr>
                <w:rFonts w:ascii="Calibri" w:eastAsia="Calibri" w:hAnsi="Calibri" w:cs="Times New Roman"/>
                <w:color w:val="000000" w:themeColor="text1"/>
                <w:lang w:val="en-GB"/>
              </w:rPr>
              <w:t>2</w:t>
            </w:r>
            <w:r w:rsidRPr="00653396">
              <w:rPr>
                <w:rFonts w:ascii="Calibri" w:eastAsia="Calibri" w:hAnsi="Calibri" w:cs="Times New Roman"/>
                <w:color w:val="000000" w:themeColor="text1"/>
                <w:lang w:val="en-GB"/>
              </w:rPr>
              <w:t>5% nezaposlenih lica koji se nalaze na evidenciji ZZZCG je koristilo usluge KVS</w:t>
            </w:r>
          </w:p>
        </w:tc>
      </w:tr>
    </w:tbl>
    <w:p w14:paraId="67627E77" w14:textId="77777777" w:rsidR="001B5634" w:rsidRDefault="001B5634" w:rsidP="001B5634">
      <w:pPr>
        <w:jc w:val="both"/>
      </w:pPr>
    </w:p>
    <w:p w14:paraId="5BB64CA0" w14:textId="56507860" w:rsidR="00A66BAC" w:rsidRDefault="00993F6F" w:rsidP="00A66BAC">
      <w:pPr>
        <w:pStyle w:val="Heading2"/>
      </w:pPr>
      <w:bookmarkStart w:id="12" w:name="_Toc197274075"/>
      <w:r w:rsidRPr="00A66BAC">
        <w:t>OBEZBJEĐENJE KVALITETA</w:t>
      </w:r>
      <w:r>
        <w:t xml:space="preserve"> I INFORMISANOSTI</w:t>
      </w:r>
      <w:r w:rsidRPr="00A66BAC">
        <w:t xml:space="preserve"> </w:t>
      </w:r>
      <w:r>
        <w:t>O</w:t>
      </w:r>
      <w:r w:rsidRPr="00A66BAC">
        <w:t xml:space="preserve"> KARIJERNOM VOĐENJU I SAVJETOVANJU</w:t>
      </w:r>
      <w:bookmarkEnd w:id="12"/>
    </w:p>
    <w:p w14:paraId="79E28560" w14:textId="161FBB36" w:rsidR="008D40B8" w:rsidRDefault="008D40B8" w:rsidP="008D40B8">
      <w:pPr>
        <w:jc w:val="both"/>
      </w:pPr>
      <w:r>
        <w:t>Saradnja institucija koje u svojim nadležnostima imaju oblast karijernog vođenja i savjetovanja, neophodna je, kako bi se obezbijedio cjelovit pri</w:t>
      </w:r>
      <w:r w:rsidR="007C6551">
        <w:t>s</w:t>
      </w:r>
      <w:r>
        <w:t xml:space="preserve">tup i bolji kvalitet programa i usluga. Stoga, preporuke za unapređenje oblasti karijernog vođenja i savjetovanja se odnose na one koje se tiču rada nadležnih institucija i one koje se odnose na razvoj ove oblasti u ustanova koje neposredno rade sa učenicima, studentima, nezaposlenima i zaposlenima. </w:t>
      </w:r>
      <w:bookmarkStart w:id="13" w:name="_Hlk192587379"/>
      <w:r>
        <w:t>Koordinaciono tijelo za karijerno vođenje i savjetovanje treba da ima ne samo formalnu ulogu, već da zaista operativno djeluje i obezbijedi saradnju i koordinaciju svih segmenata na nacionalnom nivou važnih za uspješnu implemetaciju kao i izradu jedinstvenih standarda KVS.</w:t>
      </w:r>
    </w:p>
    <w:bookmarkEnd w:id="13"/>
    <w:p w14:paraId="0223A519" w14:textId="7487EBD8" w:rsidR="008D40B8" w:rsidRDefault="008D40B8" w:rsidP="008D40B8">
      <w:pPr>
        <w:jc w:val="both"/>
      </w:pPr>
      <w:r>
        <w:t>Kako bi se osigurao kvalitet i djelotvornost podrške pojedincima neophodno je uspostavljanje jedinstvene baze podataka korisnika usluga karijernog vođenja i savjetovanja na nacionalnom nivou. Jedno od rješenja bi bilo umrežavanje podataka Ministarstva prosvjete</w:t>
      </w:r>
      <w:r w:rsidR="00FD36B9">
        <w:t xml:space="preserve"> nauke i inovacija</w:t>
      </w:r>
      <w:r>
        <w:t xml:space="preserve">, univerziteta, Zavoda za zapošljavanje, Poreske uprave i organizatora obrazovanja odraslih, kako bi se moglo pratiti da li se lice zaposlilo ili obrazovalo na osnovu rezultata karijernog savjetovanja. </w:t>
      </w:r>
      <w:r w:rsidR="00DE6FDE">
        <w:t>Značajan akcenat je na izgradnji baze podataka koja će sadržati podatke razvrstane po polu, odnosno podatke koji će jasno ukazivati na razčičite potrebe i položaj žena i muškaraca kao korisnika usluga karijernog vođenja i savjetovanja.</w:t>
      </w:r>
    </w:p>
    <w:p w14:paraId="003276E2" w14:textId="1E9E0A28" w:rsidR="00724C82" w:rsidRDefault="008D40B8" w:rsidP="008D40B8">
      <w:pPr>
        <w:jc w:val="both"/>
      </w:pPr>
      <w:r>
        <w:t>Uloga Ministarstva prosvjete,</w:t>
      </w:r>
      <w:r w:rsidR="00DE6FDE">
        <w:t xml:space="preserve"> nauke i inovacija</w:t>
      </w:r>
      <w:r>
        <w:t xml:space="preserve"> odnosno vaspitno-obrazovnih ustanova je značajna u prikupljanju efikasno praćenje podataka. Stoga je potrebno dogovoriti i definisati: </w:t>
      </w:r>
    </w:p>
    <w:p w14:paraId="26820556" w14:textId="77777777" w:rsidR="00724C82" w:rsidRDefault="008D40B8" w:rsidP="00724C82">
      <w:pPr>
        <w:pStyle w:val="ListParagraph"/>
        <w:numPr>
          <w:ilvl w:val="0"/>
          <w:numId w:val="15"/>
        </w:numPr>
        <w:jc w:val="both"/>
      </w:pPr>
      <w:r>
        <w:t>obim i vrstu podataka koji bi služili kao osnov za praćenje i usmjeravanje počev od osnovne škole, i nadalje</w:t>
      </w:r>
      <w:r w:rsidR="00724C82">
        <w:t>,</w:t>
      </w:r>
    </w:p>
    <w:p w14:paraId="0D263B72" w14:textId="77777777" w:rsidR="00724C82" w:rsidRDefault="008D40B8" w:rsidP="00724C82">
      <w:pPr>
        <w:pStyle w:val="ListParagraph"/>
        <w:numPr>
          <w:ilvl w:val="0"/>
          <w:numId w:val="15"/>
        </w:numPr>
        <w:jc w:val="both"/>
      </w:pPr>
      <w:r>
        <w:lastRenderedPageBreak/>
        <w:t>način registrovanja i čuvanja ovih podataka (npr. registrovanjem tokom individualnih razgovora učenika i stručnog saradnika; tokom grupnih intervju s učenicima)</w:t>
      </w:r>
      <w:r w:rsidR="00724C82">
        <w:t>,</w:t>
      </w:r>
    </w:p>
    <w:p w14:paraId="446199A8" w14:textId="77777777" w:rsidR="00724C82" w:rsidRDefault="008D40B8" w:rsidP="00724C82">
      <w:pPr>
        <w:pStyle w:val="ListParagraph"/>
        <w:numPr>
          <w:ilvl w:val="0"/>
          <w:numId w:val="15"/>
        </w:numPr>
        <w:jc w:val="both"/>
      </w:pPr>
      <w:r>
        <w:t>ko, kako i kada (u kojim periodima školovanja) se služi ovim podacima (npr. roditelji, poslodavac, druga škola)</w:t>
      </w:r>
      <w:r w:rsidR="00724C82">
        <w:t>,</w:t>
      </w:r>
    </w:p>
    <w:p w14:paraId="03084539" w14:textId="77777777" w:rsidR="00724C82" w:rsidRDefault="008D40B8" w:rsidP="00724C82">
      <w:pPr>
        <w:pStyle w:val="ListParagraph"/>
        <w:numPr>
          <w:ilvl w:val="0"/>
          <w:numId w:val="15"/>
        </w:numPr>
        <w:jc w:val="both"/>
      </w:pPr>
      <w:r>
        <w:t xml:space="preserve">kako se podaci razmjenjuju između škola/nivoa obrazovanja (npr. osnovne i srednje škole) i sl.  </w:t>
      </w:r>
    </w:p>
    <w:p w14:paraId="2C814EE1" w14:textId="018C9D37" w:rsidR="008D40B8" w:rsidRDefault="008D40B8" w:rsidP="00724C82">
      <w:pPr>
        <w:jc w:val="both"/>
      </w:pPr>
      <w:r>
        <w:t>Istraživanja ili godišnje analize podataka dobijenih putem upitnika (npr. na određenoj populaciji učenika), na nivou škole, ali i na nacionalnom nivou, mogu poslužiti za kreiranje aktivnosti i programa koji bi odgovarali na iskazane potrebe i interesovanja učenika u različitim oblastima zanimanja. Tako bi se mogle identifikovati potrebe za novim izbornim predmetima ili ojačavanjem postojećih, zatim osmišljavanje aktivnosti koje interesuju učenike (npr. susreti s određenim profilima poslodavaca; kratke prakse na radnim mjestima, analiza i izvještavanje o ljudskim potencijalima neophodnim za određeno radno mjesto i sl). Takođe, moguće je ove sakupljene podatke komunicirati s drugim školama, na istom ili sljedećem nivou školovanja (npr. osnovna s srednjom, srednja s fakultetom). Poslodavcima bi ovi podaci mogli da koriste za planiranje mogućnosti za praksu, ali i za buduće zapošljavanje. Oblast KVS treba da bude i obavezni sastavni dio izvješta o internoj evaluaciji kvaliteta škole. Shodno tome, u okviru samoevaluacije škole, potrebno je, na osnovu definisanih indikatora za KVS, razviti instrumente (npr. upitnici, skale procjene, ček liste) koji bi služili za mjerenje kvaliteta KVS u školama. Oblast KVS treba da bude i obavezni sastavni dio izvješta</w:t>
      </w:r>
      <w:r w:rsidR="005E4BD4">
        <w:t>ja</w:t>
      </w:r>
      <w:r>
        <w:t xml:space="preserve"> o </w:t>
      </w:r>
      <w:r w:rsidR="005E4BD4">
        <w:t xml:space="preserve">eksternoj </w:t>
      </w:r>
      <w:r>
        <w:t xml:space="preserve"> evaluaciji kvaliteta </w:t>
      </w:r>
      <w:r w:rsidR="005E4BD4">
        <w:t xml:space="preserve">rada obrazovno-vaspitnih ustanova </w:t>
      </w:r>
      <w:r>
        <w:t>Zavoda za školstvo. Shodno tome,</w:t>
      </w:r>
      <w:r w:rsidR="005E4BD4">
        <w:t xml:space="preserve"> potrebno je da Metodologija za obezbjeđivanje i unapređivanje kvaliteta obrazovno-vaspitnog rada sadrži više indikatora kojima će Zavod za školstvo pratiti kvalitet karijernog vođenja i savjetovanja. Ocu indikatori bi trebalo da omoguće sveobuhvatnu procjenu dostupnosti i efikasnosti savjetodavnih usluga, zadovoljstva i uspješnosti učenika u postizanju karijernih ciljeva, kao i evaluaciju kontinuiranog profesionalnog razvoja školskih timova i savjetnika kako bi se osiguralo da su informisani o najnovijim pristupima o karijernom savjetovanju.</w:t>
      </w:r>
    </w:p>
    <w:p w14:paraId="77BBDA50" w14:textId="77777777" w:rsidR="008D40B8" w:rsidRDefault="008D40B8" w:rsidP="008D40B8">
      <w:pPr>
        <w:jc w:val="both"/>
      </w:pPr>
      <w:r>
        <w:t>U narednom periodu će biti vrlo svrsishodno da tijelo, poput Koordinacionog tijela za karijernu orijentaciju pokrene proces izrade jedinstvenih standarda KVS, što znači da će se definisati jedinstven sistem kvaliteta usluga u svakoj od oblasti KVS. To uključuje, na primjer, sve oblike usluga KVS koje se pružaju u sistemu obrazovanja, zatim i u drugim sektorima. Jedinstveni standardi odnosili bi se i na sve pružaoce usluga, u svim sektorima.</w:t>
      </w:r>
    </w:p>
    <w:p w14:paraId="7CB33854" w14:textId="3ABA4D2B" w:rsidR="008D40B8" w:rsidRDefault="008D40B8" w:rsidP="008D40B8">
      <w:pPr>
        <w:jc w:val="both"/>
      </w:pPr>
      <w:r>
        <w:t xml:space="preserve">Kroz rad karijernog tijela na državnom nivou očekuje se bolja saradnja svih aktera uključenih u implemetaciju budućih ciljeva. Nepohodno je unaprijediti zakonsku regulativu i druga dokumenta u odnosu na okvire EU, uskladiti postupke i procedure i uskladiti zakonska rješenja sa propisima i zahtjevima EU.  Od izuzetne je važnosti razvijanje digitalnih alata, kao što su online testovi profesionalne orijentacije u cilju uštede vremena i veće efikasnosti usluga. Ovo bi takođe doprinijelo i povećanju dostupnosti usluga karijerne orijentacije svima onima koji imaju potrebu za njom. Razvijanje novih pristupa u radu u oblasti karijernog vođenja i savjetovanja koji se ne ograničavaju samo na tradicionalan izbor zanimanja, već se realizuje u cilju razvoja kapaciteta korisnika i podstiču ga na kreativno korišćenje svojih znanja, vještina i interesovanja u karijeri, kao i praćenje trendova na tržištu rada. Istraživanja u oblasti KVS treba da obezbijede podatke koji se odnose ne samo na pojedine segmente u tom sistema, već na pokazatelje i preporuke na nacionalnom nivou (npr. interesovanja naših učenika). To bi služilo kao podloga za informisane odluke o upisnoj </w:t>
      </w:r>
      <w:r>
        <w:lastRenderedPageBreak/>
        <w:t>politici, kao i politici KVS u Crnoj Gori, za kreiranje kvalitetnih programa za KVS ili za inoviranje postojećih, i za informisanje poslodavaca i tržišta rada o interesovanjima i potrebama učenika. Za ovu aktivnost neophodna je saradnja svih aktera uključenih u implementaciju strateškog dokumenta.</w:t>
      </w:r>
    </w:p>
    <w:p w14:paraId="0284E5BB" w14:textId="77777777" w:rsidR="008D40B8" w:rsidRDefault="008D40B8" w:rsidP="008D40B8">
      <w:pPr>
        <w:jc w:val="both"/>
      </w:pPr>
      <w:r>
        <w:t>Koordinacioni tim treba da bude formiran od sljedećih članova:</w:t>
      </w:r>
    </w:p>
    <w:p w14:paraId="5953B26E" w14:textId="2130D38A" w:rsidR="008D40B8" w:rsidRDefault="008D40B8" w:rsidP="008D40B8">
      <w:pPr>
        <w:pStyle w:val="ListParagraph"/>
        <w:numPr>
          <w:ilvl w:val="0"/>
          <w:numId w:val="15"/>
        </w:numPr>
        <w:jc w:val="both"/>
      </w:pPr>
      <w:r>
        <w:t>Dva predstavnika Ministarstva prosvjete,</w:t>
      </w:r>
      <w:r w:rsidR="00DE6FDE">
        <w:t xml:space="preserve"> nauke i inovacija</w:t>
      </w:r>
    </w:p>
    <w:p w14:paraId="1523939F" w14:textId="705A09A5" w:rsidR="008D40B8" w:rsidRDefault="008D40B8" w:rsidP="008D40B8">
      <w:pPr>
        <w:pStyle w:val="ListParagraph"/>
        <w:numPr>
          <w:ilvl w:val="0"/>
          <w:numId w:val="15"/>
        </w:numPr>
        <w:jc w:val="both"/>
      </w:pPr>
      <w:r>
        <w:t>Jedan predstavnik Ministarstva rada</w:t>
      </w:r>
      <w:r w:rsidR="00DE6FDE">
        <w:t>, zapošljavanja i socijalmnog dijaloga,</w:t>
      </w:r>
    </w:p>
    <w:p w14:paraId="2E149B55" w14:textId="13441CFE" w:rsidR="00DE6FDE" w:rsidRDefault="00DE6FDE" w:rsidP="008D40B8">
      <w:pPr>
        <w:pStyle w:val="ListParagraph"/>
        <w:numPr>
          <w:ilvl w:val="0"/>
          <w:numId w:val="15"/>
        </w:numPr>
        <w:jc w:val="both"/>
      </w:pPr>
      <w:r>
        <w:t>Jedan predstavnik Ministarstva socijalnog staranja, brige o porodici i demografije,</w:t>
      </w:r>
    </w:p>
    <w:p w14:paraId="0E3D84EA" w14:textId="26160CF2" w:rsidR="008D40B8" w:rsidRDefault="008D40B8" w:rsidP="008D40B8">
      <w:pPr>
        <w:pStyle w:val="ListParagraph"/>
        <w:numPr>
          <w:ilvl w:val="0"/>
          <w:numId w:val="15"/>
        </w:numPr>
        <w:jc w:val="both"/>
      </w:pPr>
      <w:r>
        <w:t>Jedan predstavnik Ministarstva sporta i mladih,</w:t>
      </w:r>
    </w:p>
    <w:p w14:paraId="6B8174F7" w14:textId="77777777" w:rsidR="008D40B8" w:rsidRDefault="008D40B8" w:rsidP="008D40B8">
      <w:pPr>
        <w:pStyle w:val="ListParagraph"/>
        <w:numPr>
          <w:ilvl w:val="0"/>
          <w:numId w:val="15"/>
        </w:numPr>
        <w:jc w:val="both"/>
      </w:pPr>
      <w:r>
        <w:t>Jedan predstavnik Zavoda za školstvo,</w:t>
      </w:r>
    </w:p>
    <w:p w14:paraId="49295AD4" w14:textId="77777777" w:rsidR="008D40B8" w:rsidRDefault="008D40B8" w:rsidP="008D40B8">
      <w:pPr>
        <w:pStyle w:val="ListParagraph"/>
        <w:numPr>
          <w:ilvl w:val="0"/>
          <w:numId w:val="15"/>
        </w:numPr>
        <w:jc w:val="both"/>
      </w:pPr>
      <w:r>
        <w:t>Jedan predstavnik Centra za stručno obrazovanje,</w:t>
      </w:r>
    </w:p>
    <w:p w14:paraId="66BA51F7" w14:textId="77777777" w:rsidR="008D40B8" w:rsidRDefault="008D40B8" w:rsidP="008D40B8">
      <w:pPr>
        <w:pStyle w:val="ListParagraph"/>
        <w:numPr>
          <w:ilvl w:val="0"/>
          <w:numId w:val="15"/>
        </w:numPr>
        <w:jc w:val="both"/>
      </w:pPr>
      <w:r>
        <w:t>Jedan predstavnik Univerziteta Crne Gore,</w:t>
      </w:r>
    </w:p>
    <w:p w14:paraId="7257169C" w14:textId="77777777" w:rsidR="008D40B8" w:rsidRDefault="008D40B8" w:rsidP="008D40B8">
      <w:pPr>
        <w:pStyle w:val="ListParagraph"/>
        <w:numPr>
          <w:ilvl w:val="0"/>
          <w:numId w:val="15"/>
        </w:numPr>
        <w:jc w:val="both"/>
      </w:pPr>
      <w:r>
        <w:t>Predstavnik Privredne komore,</w:t>
      </w:r>
    </w:p>
    <w:p w14:paraId="6DF2C021" w14:textId="77777777" w:rsidR="008D40B8" w:rsidRDefault="008D40B8" w:rsidP="008D40B8">
      <w:pPr>
        <w:pStyle w:val="ListParagraph"/>
        <w:numPr>
          <w:ilvl w:val="0"/>
          <w:numId w:val="15"/>
        </w:numPr>
        <w:jc w:val="both"/>
      </w:pPr>
      <w:r>
        <w:t>Predstavnik Unije poslodavaca,</w:t>
      </w:r>
    </w:p>
    <w:p w14:paraId="7CAB14BD" w14:textId="77777777" w:rsidR="008D40B8" w:rsidRDefault="008D40B8" w:rsidP="008D40B8">
      <w:pPr>
        <w:pStyle w:val="ListParagraph"/>
        <w:numPr>
          <w:ilvl w:val="0"/>
          <w:numId w:val="15"/>
        </w:numPr>
        <w:jc w:val="both"/>
      </w:pPr>
      <w:r>
        <w:t xml:space="preserve">Predstavnik Zavoda za zapošljavanje, </w:t>
      </w:r>
    </w:p>
    <w:p w14:paraId="1A09728B" w14:textId="42060999" w:rsidR="008D40B8" w:rsidRDefault="008D40B8" w:rsidP="008D40B8">
      <w:pPr>
        <w:pStyle w:val="ListParagraph"/>
        <w:numPr>
          <w:ilvl w:val="0"/>
          <w:numId w:val="15"/>
        </w:numPr>
        <w:jc w:val="both"/>
      </w:pPr>
      <w:r>
        <w:t xml:space="preserve">Predstavnik NVO sektora. </w:t>
      </w:r>
    </w:p>
    <w:p w14:paraId="6A0CE2F8" w14:textId="1114BB80" w:rsidR="008D40B8" w:rsidRDefault="008D40B8" w:rsidP="008D40B8">
      <w:pPr>
        <w:jc w:val="both"/>
      </w:pPr>
      <w:r>
        <w:t>Budući da su izdvojene oblasti u potpunosti funkcionalne u organizacionoj i upravljačkoj strukturi obrazovnih ustanova, Koordinacioni tim će pripremiti principe i dinamiku rada. Zadatak tima je da planira i kontroliše realizaciju aktivnosti, prateći indikatore, uz organizovanje periodičnih sastanaka. Tim će pripremati godišnji  izvještaj o statusu aktivnosti i dostavljaće ga nadležnom Direktoratu Ministarstva prosvjete na upoznavanje, dok Završi izvještaj Ministarstvo dostavlja Vladi Crne Gore, na usvajanje.</w:t>
      </w:r>
    </w:p>
    <w:p w14:paraId="70FEB2CF" w14:textId="77777777" w:rsidR="00724C82" w:rsidRDefault="00724C82" w:rsidP="00724C82">
      <w:pPr>
        <w:jc w:val="both"/>
      </w:pPr>
      <w:r>
        <w:t xml:space="preserve">Još uvijek nedovoljno razvijena svijest o potrebi karijernog vođenja, prisutna je u svim segmentima društva. Zbog toga jedan od najvažnijih ciljeva za naredni period jeste podizanje svijesti o potrebi za cjeloživotnim učenjem i razvojem karijere. Informisanost mladih o programima obrazovanja i školama je relativno dobra, međutim postoji problem informisanosti o budućim potrebama tržišta rada. Za to postoje objektivni razlozi zbog promjena na tržištu rada, nedovoljno informacija o potrebama i trendovima tržišta rada, što uzrokuje upisom mladih u srednje škole i fakultete na osnovu stereotipa i nedovoljnih informacija. Informisanost roditelja takođe predstavlja značajan faktor u donošenju odluke o daljem školovanju i putevima karijere. Velike promjene na tržištu rada utiču na migracije radne snage, promjene radnog okruženja, problemi sa prilagođavanjem i promjenom zaposlenja, napredovanjem u karijeri i sl. koje se bez planskih aktivnosti o vođenju karijere i prilagođavanju nastalim promjenama mogu imati velike posljedice na kvalitet života i zdravlja. Novi trendovi u kompetencijama zapošljivosti (IT kompetencije, poznavanje stranih jezika itd.), zahtjevaju dodatne edukacije i svjesnost o neophodnosti novh zahtjeva u vođenju karijere. </w:t>
      </w:r>
    </w:p>
    <w:p w14:paraId="6369C775" w14:textId="79D78294" w:rsidR="00724C82" w:rsidRDefault="00724C82" w:rsidP="00724C82">
      <w:pPr>
        <w:jc w:val="both"/>
      </w:pPr>
      <w:r>
        <w:lastRenderedPageBreak/>
        <w:t xml:space="preserve">Imajući u vidu relativno nizak nivo svijesti i informisanosti o mogućnostima KVS u oblasti obrazovanja odraslih, mehanizmi za unaprijeđenje mogu biti </w:t>
      </w:r>
      <w:bookmarkStart w:id="14" w:name="_Hlk192587577"/>
      <w:r>
        <w:t>kampanje i aktivnosti preko kojih će različite ciljne grupe upoznati potrebe poslodavaca, potrebna znanja i kvalifikacije tendencije na tržištu rada i druge relevantne informacije o tržištu rada. Neravnomjerna distribucija organizatora obuke odraslih u regijama Crne Gore, a na bazi analize potreba, Ministarstvo prosvjete</w:t>
      </w:r>
      <w:r w:rsidR="00DE6FDE">
        <w:t>, nauke i inovacija</w:t>
      </w:r>
      <w:r>
        <w:t xml:space="preserve"> treba racionalnije da planira kroz broj i raspored ponude organizatora obuka. Umrežavanje organizatora obrazovanja odraslih sa ostalim učesnicima/akterima u sistemu KVS </w:t>
      </w:r>
      <w:bookmarkEnd w:id="14"/>
      <w:r>
        <w:t>doprinijelo bi: efektivnijem korišćenju resursa (sredstva, programi obuke, korisnici), većoj pravednosti (npr. putem veće dostupnostima onima kojima je potrebno, i putem ujednačavanju sertifikata), zatim obogućivanju ponude programa obuke za zainteresovane korisnike. Saradnjom Ministarstva prosvjete,</w:t>
      </w:r>
      <w:r w:rsidR="00DE6FDE">
        <w:t xml:space="preserve"> nauke i inovacija,</w:t>
      </w:r>
      <w:r>
        <w:t xml:space="preserve"> Zavoda za školstvo, Centra za stručno obrazovanje, univerziteta, Zavoda za zapošljavanje, Privredne  komore, Unije poslodavaca, odnosno čvršćim povezivanjem sistema fomalnog, neformalnog, informalnog i samousmjeravajućeg učenja omogućilo bi se svakom zainteresovanom pojedincu (npr. pojedincu koji je napustio redovno školovanje; onome koji je nezaposlen) da završi započeto školovanje, odnosno da stekne potrebne vještine u cilju zapošljenja i uključi se na tržište rada. Aktivnije promovisati koncepte organizacija koja uči i kontinuirani profesionalni razvoj zaposlenih, putem realnog planiranja potreba i sredstava za ove ciljeve, kao i praćenjem efekata obuke za sticanje novih znanja i vještina. Ovim aktivnostima moglo bi da rukovodi nacionalno Koordinaciono tijelo za karijernu orijentaciju.</w:t>
      </w:r>
    </w:p>
    <w:p w14:paraId="6D073669" w14:textId="1D6A137A" w:rsidR="001B5634" w:rsidRDefault="00724C82" w:rsidP="008D40B8">
      <w:pPr>
        <w:jc w:val="both"/>
      </w:pPr>
      <w:r>
        <w:t>Koraci u narednom periodu sprovođenja politike u oblasti unapređenja kvaliteta karijernog vođenja i savjetovanja:</w:t>
      </w:r>
    </w:p>
    <w:p w14:paraId="00516096" w14:textId="77777777" w:rsidR="007F4211" w:rsidRDefault="007F4211" w:rsidP="007F4211">
      <w:pPr>
        <w:pStyle w:val="ListParagraph"/>
        <w:numPr>
          <w:ilvl w:val="0"/>
          <w:numId w:val="15"/>
        </w:numPr>
        <w:jc w:val="both"/>
      </w:pPr>
      <w:r>
        <w:t xml:space="preserve">Definisanje jasne uloge i nadležnosti </w:t>
      </w:r>
      <w:r w:rsidRPr="007F4211">
        <w:t>Koordinaciono</w:t>
      </w:r>
      <w:r>
        <w:t>g</w:t>
      </w:r>
      <w:r w:rsidRPr="007F4211">
        <w:t xml:space="preserve"> tijel</w:t>
      </w:r>
      <w:r>
        <w:t>a</w:t>
      </w:r>
      <w:r w:rsidRPr="007F4211">
        <w:t xml:space="preserve"> za karijerno vođenje i savjetovanje, </w:t>
      </w:r>
      <w:r>
        <w:t>u cilju jačanja operativnih kapaciteta i djelovanja ovog tijela.</w:t>
      </w:r>
      <w:r w:rsidRPr="007F4211">
        <w:t xml:space="preserve"> </w:t>
      </w:r>
    </w:p>
    <w:p w14:paraId="0979F36F" w14:textId="5BBBBEFA" w:rsidR="007F4211" w:rsidRDefault="007F4211" w:rsidP="007F4211">
      <w:pPr>
        <w:pStyle w:val="ListParagraph"/>
        <w:numPr>
          <w:ilvl w:val="0"/>
          <w:numId w:val="15"/>
        </w:numPr>
        <w:jc w:val="both"/>
      </w:pPr>
      <w:r>
        <w:t xml:space="preserve">Jačanje </w:t>
      </w:r>
      <w:r w:rsidRPr="007F4211">
        <w:t>saradnj</w:t>
      </w:r>
      <w:r>
        <w:t>e</w:t>
      </w:r>
      <w:r w:rsidRPr="007F4211">
        <w:t xml:space="preserve"> i koordinacij</w:t>
      </w:r>
      <w:r>
        <w:t>e</w:t>
      </w:r>
      <w:r w:rsidRPr="007F4211">
        <w:t xml:space="preserve"> svih </w:t>
      </w:r>
      <w:r>
        <w:t>subjekata/</w:t>
      </w:r>
      <w:r w:rsidRPr="007F4211">
        <w:t>segmenata na nacionalnom nivou važnih za uspješnu</w:t>
      </w:r>
      <w:r>
        <w:t xml:space="preserve"> izradu i</w:t>
      </w:r>
      <w:r w:rsidRPr="007F4211">
        <w:t xml:space="preserve"> impleme</w:t>
      </w:r>
      <w:r>
        <w:t>n</w:t>
      </w:r>
      <w:r w:rsidRPr="007F4211">
        <w:t>taciju jedinstvenih standarda KVS.</w:t>
      </w:r>
    </w:p>
    <w:p w14:paraId="4C9A59F5" w14:textId="400B2102" w:rsidR="007F4211" w:rsidRDefault="007F4211" w:rsidP="007F4211">
      <w:pPr>
        <w:pStyle w:val="ListParagraph"/>
        <w:numPr>
          <w:ilvl w:val="0"/>
          <w:numId w:val="15"/>
        </w:numPr>
      </w:pPr>
      <w:r>
        <w:t>I</w:t>
      </w:r>
      <w:r w:rsidRPr="007F4211">
        <w:t xml:space="preserve">zrade jedinstvenih standarda KVS, </w:t>
      </w:r>
      <w:r>
        <w:t>koji će predstavljati osnovu za uspostavljanje</w:t>
      </w:r>
      <w:r w:rsidRPr="007F4211">
        <w:t xml:space="preserve"> jedinstven</w:t>
      </w:r>
      <w:r>
        <w:t>og</w:t>
      </w:r>
      <w:r w:rsidRPr="007F4211">
        <w:t xml:space="preserve"> sistem</w:t>
      </w:r>
      <w:r>
        <w:t>a</w:t>
      </w:r>
      <w:r w:rsidRPr="007F4211">
        <w:t xml:space="preserve"> kvaliteta usluga u svakoj od oblasti KVS.</w:t>
      </w:r>
    </w:p>
    <w:p w14:paraId="3D461AB8" w14:textId="44605EA6" w:rsidR="007F4211" w:rsidRDefault="007F4211" w:rsidP="007F4211">
      <w:pPr>
        <w:pStyle w:val="ListParagraph"/>
        <w:numPr>
          <w:ilvl w:val="0"/>
          <w:numId w:val="15"/>
        </w:numPr>
        <w:jc w:val="both"/>
      </w:pPr>
      <w:r>
        <w:t>U</w:t>
      </w:r>
      <w:r w:rsidRPr="007F4211">
        <w:t>spostavljanje jedinstvene</w:t>
      </w:r>
      <w:r>
        <w:t xml:space="preserve"> i fukcionalne</w:t>
      </w:r>
      <w:r w:rsidRPr="007F4211">
        <w:t xml:space="preserve"> baze podataka korisnika usluga karijernog vođenja i savjetovanja na nacionalnom nivou.</w:t>
      </w:r>
    </w:p>
    <w:p w14:paraId="05427B68" w14:textId="63102834" w:rsidR="007F4211" w:rsidRDefault="007F4211" w:rsidP="007F4211">
      <w:pPr>
        <w:pStyle w:val="ListParagraph"/>
        <w:numPr>
          <w:ilvl w:val="0"/>
          <w:numId w:val="15"/>
        </w:numPr>
        <w:jc w:val="both"/>
      </w:pPr>
      <w:r>
        <w:t>Jačanje i</w:t>
      </w:r>
      <w:r w:rsidRPr="007F4211">
        <w:t>nformisanost</w:t>
      </w:r>
      <w:r>
        <w:t>i</w:t>
      </w:r>
      <w:r w:rsidRPr="007F4211">
        <w:t xml:space="preserve"> mladih o o budućim potrebama tržišta rada</w:t>
      </w:r>
      <w:r>
        <w:t>, u cilju stvaranja boljih uslova za njihovo uključivanje u sistem zapošljavanja.</w:t>
      </w:r>
    </w:p>
    <w:p w14:paraId="22C3B57F" w14:textId="469284F9" w:rsidR="007F4211" w:rsidRDefault="007F4211" w:rsidP="007F4211">
      <w:pPr>
        <w:pStyle w:val="ListParagraph"/>
        <w:numPr>
          <w:ilvl w:val="0"/>
          <w:numId w:val="15"/>
        </w:numPr>
        <w:jc w:val="both"/>
      </w:pPr>
      <w:r>
        <w:t xml:space="preserve">Sprovođenje </w:t>
      </w:r>
      <w:r w:rsidRPr="007F4211">
        <w:t>kampanj</w:t>
      </w:r>
      <w:r>
        <w:t>a</w:t>
      </w:r>
      <w:r w:rsidRPr="007F4211">
        <w:t xml:space="preserve"> i aktivnosti preko kojih će različite ciljne grupe upoznati potrebe poslodavaca, potrebna znanja i kvalifikacije tendencije na tržištu rada i druge relevantne informacije o tržištu rada. </w:t>
      </w:r>
    </w:p>
    <w:p w14:paraId="2461259A" w14:textId="004A4E23" w:rsidR="008746B3" w:rsidRDefault="007F4211" w:rsidP="008D40B8">
      <w:pPr>
        <w:pStyle w:val="ListParagraph"/>
        <w:numPr>
          <w:ilvl w:val="0"/>
          <w:numId w:val="15"/>
        </w:numPr>
        <w:jc w:val="both"/>
      </w:pPr>
      <w:r w:rsidRPr="007F4211">
        <w:t>Umrežavanje organizatora obrazovanja odraslih sa ostalim učesnicima/akterima u sistemu KVS</w:t>
      </w:r>
      <w:r>
        <w:t>.</w:t>
      </w:r>
    </w:p>
    <w:tbl>
      <w:tblPr>
        <w:tblStyle w:val="TableGridLight21"/>
        <w:tblW w:w="12240" w:type="dxa"/>
        <w:tblInd w:w="625" w:type="dxa"/>
        <w:tblLayout w:type="fixed"/>
        <w:tblLook w:val="04A0" w:firstRow="1" w:lastRow="0" w:firstColumn="1" w:lastColumn="0" w:noHBand="0" w:noVBand="1"/>
      </w:tblPr>
      <w:tblGrid>
        <w:gridCol w:w="2212"/>
        <w:gridCol w:w="3368"/>
        <w:gridCol w:w="3420"/>
        <w:gridCol w:w="3240"/>
      </w:tblGrid>
      <w:tr w:rsidR="001B5634" w:rsidRPr="004A1A8D" w14:paraId="0C266FA3" w14:textId="77777777" w:rsidTr="007D7963">
        <w:trPr>
          <w:trHeight w:val="390"/>
        </w:trPr>
        <w:tc>
          <w:tcPr>
            <w:tcW w:w="2212" w:type="dxa"/>
          </w:tcPr>
          <w:p w14:paraId="3E807517" w14:textId="5BB007F0" w:rsidR="001B5634" w:rsidRPr="001B5634" w:rsidRDefault="001B5634" w:rsidP="007D7963">
            <w:pPr>
              <w:ind w:left="3"/>
              <w:rPr>
                <w:rFonts w:cstheme="minorHAnsi"/>
                <w:b/>
              </w:rPr>
            </w:pPr>
            <w:r w:rsidRPr="001B5634">
              <w:rPr>
                <w:rFonts w:eastAsia="Arial" w:cstheme="minorHAnsi"/>
                <w:b/>
              </w:rPr>
              <w:t xml:space="preserve">Operativni cilj 3: </w:t>
            </w:r>
          </w:p>
        </w:tc>
        <w:tc>
          <w:tcPr>
            <w:tcW w:w="10028" w:type="dxa"/>
            <w:gridSpan w:val="3"/>
          </w:tcPr>
          <w:p w14:paraId="6118B6B7" w14:textId="7CB586F2" w:rsidR="001B5634" w:rsidRPr="004A1A8D" w:rsidRDefault="00BA073D" w:rsidP="007D7963">
            <w:pPr>
              <w:rPr>
                <w:rFonts w:cstheme="minorHAnsi"/>
              </w:rPr>
            </w:pPr>
            <w:r w:rsidRPr="00BA073D">
              <w:rPr>
                <w:rFonts w:cstheme="minorHAnsi"/>
              </w:rPr>
              <w:t>Sistem karijernog vođenja i savjetovanja je zasnovan na evropskim standardima kvaliteta i mjerljivim podacima o karijernom putu korisnika/ca</w:t>
            </w:r>
          </w:p>
        </w:tc>
      </w:tr>
      <w:tr w:rsidR="008177B5" w:rsidRPr="004A1A8D" w14:paraId="6DFAA3DB" w14:textId="77777777" w:rsidTr="007D7963">
        <w:trPr>
          <w:trHeight w:val="58"/>
        </w:trPr>
        <w:tc>
          <w:tcPr>
            <w:tcW w:w="2212" w:type="dxa"/>
          </w:tcPr>
          <w:p w14:paraId="368816F2" w14:textId="77777777" w:rsidR="008177B5" w:rsidRPr="00C77D14" w:rsidRDefault="008177B5" w:rsidP="008177B5">
            <w:pPr>
              <w:rPr>
                <w:b/>
                <w:bCs/>
                <w:lang w:val="sr-Latn-RS"/>
              </w:rPr>
            </w:pPr>
            <w:r w:rsidRPr="00C77D14">
              <w:rPr>
                <w:b/>
                <w:bCs/>
                <w:lang w:val="sr-Latn-RS"/>
              </w:rPr>
              <w:t>Indikator učinka 1:</w:t>
            </w:r>
          </w:p>
          <w:p w14:paraId="1DE50D5F" w14:textId="77777777" w:rsidR="008177B5" w:rsidRDefault="008177B5" w:rsidP="008177B5">
            <w:pPr>
              <w:rPr>
                <w:lang w:val="sr-Latn-RS"/>
              </w:rPr>
            </w:pPr>
          </w:p>
          <w:p w14:paraId="0AE68FD3" w14:textId="773EA59D" w:rsidR="008177B5" w:rsidRPr="004A1A8D" w:rsidRDefault="008177B5" w:rsidP="008177B5">
            <w:pPr>
              <w:rPr>
                <w:rFonts w:cstheme="minorHAnsi"/>
              </w:rPr>
            </w:pPr>
            <w:r>
              <w:rPr>
                <w:lang w:val="sr-Latn-RS"/>
              </w:rPr>
              <w:lastRenderedPageBreak/>
              <w:t>Uspostavljeni standardi kvaliteta za sprovođenje KVS u svim obrazovnim ustanovama</w:t>
            </w:r>
          </w:p>
        </w:tc>
        <w:tc>
          <w:tcPr>
            <w:tcW w:w="3368" w:type="dxa"/>
          </w:tcPr>
          <w:p w14:paraId="39646967" w14:textId="77777777" w:rsidR="008177B5" w:rsidRPr="009163F3" w:rsidRDefault="008177B5" w:rsidP="008177B5">
            <w:pPr>
              <w:jc w:val="center"/>
              <w:rPr>
                <w:b/>
                <w:bCs/>
                <w:lang w:val="sr-Latn-RS"/>
              </w:rPr>
            </w:pPr>
            <w:r w:rsidRPr="009163F3">
              <w:rPr>
                <w:b/>
                <w:bCs/>
                <w:lang w:val="sr-Latn-RS"/>
              </w:rPr>
              <w:lastRenderedPageBreak/>
              <w:t>Početna vrijednost 2025</w:t>
            </w:r>
          </w:p>
          <w:p w14:paraId="5C2C6783" w14:textId="77777777" w:rsidR="008177B5" w:rsidRPr="009163F3" w:rsidRDefault="008177B5" w:rsidP="008177B5">
            <w:pPr>
              <w:jc w:val="center"/>
              <w:rPr>
                <w:b/>
                <w:bCs/>
                <w:lang w:val="sr-Latn-RS"/>
              </w:rPr>
            </w:pPr>
          </w:p>
          <w:p w14:paraId="2E8BF74A" w14:textId="77777777" w:rsidR="008177B5" w:rsidRPr="00D00E25" w:rsidRDefault="008177B5" w:rsidP="008177B5">
            <w:pPr>
              <w:jc w:val="center"/>
              <w:rPr>
                <w:lang w:val="sr-Latn-RS"/>
              </w:rPr>
            </w:pPr>
            <w:r w:rsidRPr="00D00E25">
              <w:rPr>
                <w:lang w:val="sr-Latn-RS"/>
              </w:rPr>
              <w:lastRenderedPageBreak/>
              <w:t>Trenutno ne postoje standardi kvaliteta</w:t>
            </w:r>
          </w:p>
          <w:p w14:paraId="4A9A9E89" w14:textId="77777777" w:rsidR="008177B5" w:rsidRPr="00D00E25" w:rsidRDefault="008177B5" w:rsidP="008177B5">
            <w:pPr>
              <w:jc w:val="center"/>
              <w:rPr>
                <w:lang w:val="sr-Latn-RS"/>
              </w:rPr>
            </w:pPr>
          </w:p>
          <w:p w14:paraId="434AB585" w14:textId="77777777" w:rsidR="008177B5" w:rsidRPr="004A1A8D" w:rsidRDefault="008177B5" w:rsidP="008177B5">
            <w:pPr>
              <w:jc w:val="center"/>
              <w:rPr>
                <w:rFonts w:cstheme="minorHAnsi"/>
                <w:i/>
                <w:sz w:val="18"/>
                <w:szCs w:val="18"/>
              </w:rPr>
            </w:pPr>
          </w:p>
        </w:tc>
        <w:tc>
          <w:tcPr>
            <w:tcW w:w="3420" w:type="dxa"/>
          </w:tcPr>
          <w:p w14:paraId="28C0C0A4" w14:textId="77777777" w:rsidR="008177B5" w:rsidRDefault="008177B5" w:rsidP="008177B5">
            <w:pPr>
              <w:jc w:val="center"/>
              <w:rPr>
                <w:b/>
                <w:bCs/>
                <w:lang w:val="sr-Latn-RS"/>
              </w:rPr>
            </w:pPr>
            <w:r w:rsidRPr="009163F3">
              <w:rPr>
                <w:b/>
                <w:bCs/>
                <w:lang w:val="sr-Latn-RS"/>
              </w:rPr>
              <w:lastRenderedPageBreak/>
              <w:t>Srednja vrijednost 2028</w:t>
            </w:r>
          </w:p>
          <w:p w14:paraId="05AB2960" w14:textId="77777777" w:rsidR="008177B5" w:rsidRDefault="008177B5" w:rsidP="008177B5">
            <w:pPr>
              <w:jc w:val="center"/>
              <w:rPr>
                <w:b/>
                <w:bCs/>
                <w:lang w:val="sr-Latn-RS"/>
              </w:rPr>
            </w:pPr>
          </w:p>
          <w:p w14:paraId="125EFA88" w14:textId="77777777" w:rsidR="008177B5" w:rsidRPr="00E86E02" w:rsidRDefault="008177B5" w:rsidP="008177B5">
            <w:pPr>
              <w:jc w:val="center"/>
              <w:rPr>
                <w:lang w:val="sr-Latn-RS"/>
              </w:rPr>
            </w:pPr>
            <w:r w:rsidRPr="00E86E02">
              <w:rPr>
                <w:lang w:val="sr-Latn-RS"/>
              </w:rPr>
              <w:lastRenderedPageBreak/>
              <w:t>Uspostavljeni i definisani standardi kvalietat za osnovne i srednje škole</w:t>
            </w:r>
          </w:p>
          <w:p w14:paraId="60BDDECA" w14:textId="77777777" w:rsidR="008177B5" w:rsidRPr="00E86E02" w:rsidRDefault="008177B5" w:rsidP="008177B5">
            <w:pPr>
              <w:jc w:val="center"/>
              <w:rPr>
                <w:lang w:val="sr-Latn-RS"/>
              </w:rPr>
            </w:pPr>
          </w:p>
          <w:p w14:paraId="6F18CBBD" w14:textId="77777777" w:rsidR="008177B5" w:rsidRPr="00E86E02" w:rsidRDefault="008177B5" w:rsidP="008177B5">
            <w:pPr>
              <w:jc w:val="center"/>
              <w:rPr>
                <w:lang w:val="sr-Latn-RS"/>
              </w:rPr>
            </w:pPr>
            <w:r w:rsidRPr="00E86E02">
              <w:rPr>
                <w:lang w:val="sr-Latn-RS"/>
              </w:rPr>
              <w:t>Uspostavljeni standardi obrazovanja visokoškolske ustanove</w:t>
            </w:r>
          </w:p>
          <w:p w14:paraId="254D0221" w14:textId="77777777" w:rsidR="008177B5" w:rsidRPr="00E86E02" w:rsidRDefault="008177B5" w:rsidP="008177B5">
            <w:pPr>
              <w:jc w:val="center"/>
              <w:rPr>
                <w:lang w:val="sr-Latn-RS"/>
              </w:rPr>
            </w:pPr>
          </w:p>
          <w:p w14:paraId="16577831" w14:textId="77777777" w:rsidR="008177B5" w:rsidRPr="00E86E02" w:rsidRDefault="008177B5" w:rsidP="008177B5">
            <w:pPr>
              <w:jc w:val="center"/>
              <w:rPr>
                <w:lang w:val="sr-Latn-RS"/>
              </w:rPr>
            </w:pPr>
            <w:r w:rsidRPr="00E86E02">
              <w:rPr>
                <w:lang w:val="sr-Latn-RS"/>
              </w:rPr>
              <w:t>Uspostavljeni standardi kvaliteta za ZZZCG</w:t>
            </w:r>
          </w:p>
          <w:p w14:paraId="34AABF3A" w14:textId="77777777" w:rsidR="008177B5" w:rsidRDefault="008177B5" w:rsidP="008177B5">
            <w:pPr>
              <w:jc w:val="center"/>
              <w:rPr>
                <w:b/>
                <w:bCs/>
                <w:lang w:val="sr-Latn-RS"/>
              </w:rPr>
            </w:pPr>
          </w:p>
          <w:p w14:paraId="1576DC3B" w14:textId="77777777" w:rsidR="008177B5" w:rsidRDefault="008177B5" w:rsidP="008177B5">
            <w:pPr>
              <w:jc w:val="center"/>
              <w:rPr>
                <w:b/>
                <w:bCs/>
                <w:lang w:val="sr-Latn-RS"/>
              </w:rPr>
            </w:pPr>
          </w:p>
          <w:p w14:paraId="67E9001C" w14:textId="77777777" w:rsidR="008177B5" w:rsidRPr="004A1A8D" w:rsidRDefault="008177B5" w:rsidP="008177B5">
            <w:pPr>
              <w:jc w:val="center"/>
              <w:rPr>
                <w:rFonts w:cstheme="minorHAnsi"/>
                <w:i/>
                <w:sz w:val="18"/>
                <w:szCs w:val="18"/>
              </w:rPr>
            </w:pPr>
          </w:p>
        </w:tc>
        <w:tc>
          <w:tcPr>
            <w:tcW w:w="3240" w:type="dxa"/>
          </w:tcPr>
          <w:p w14:paraId="62C7BF9E" w14:textId="77777777" w:rsidR="008177B5" w:rsidRDefault="008177B5" w:rsidP="008177B5">
            <w:pPr>
              <w:jc w:val="center"/>
              <w:rPr>
                <w:b/>
                <w:bCs/>
                <w:lang w:val="sr-Latn-RS"/>
              </w:rPr>
            </w:pPr>
            <w:r w:rsidRPr="009163F3">
              <w:rPr>
                <w:b/>
                <w:bCs/>
                <w:lang w:val="sr-Latn-RS"/>
              </w:rPr>
              <w:lastRenderedPageBreak/>
              <w:t>Ciljna vrijednost 2030</w:t>
            </w:r>
          </w:p>
          <w:p w14:paraId="240EF94D" w14:textId="77777777" w:rsidR="008177B5" w:rsidRDefault="008177B5" w:rsidP="008177B5">
            <w:pPr>
              <w:jc w:val="center"/>
              <w:rPr>
                <w:b/>
                <w:bCs/>
                <w:lang w:val="sr-Latn-RS"/>
              </w:rPr>
            </w:pPr>
          </w:p>
          <w:p w14:paraId="6D7EBDD6" w14:textId="1AF7CA2A" w:rsidR="008177B5" w:rsidRDefault="00C517E1" w:rsidP="008177B5">
            <w:pPr>
              <w:jc w:val="center"/>
              <w:rPr>
                <w:lang w:val="sr-Latn-RS"/>
              </w:rPr>
            </w:pPr>
            <w:r>
              <w:rPr>
                <w:lang w:val="sr-Latn-RS"/>
              </w:rPr>
              <w:lastRenderedPageBreak/>
              <w:t xml:space="preserve">Minimum 80% </w:t>
            </w:r>
            <w:r w:rsidR="008177B5" w:rsidRPr="00E86E02">
              <w:rPr>
                <w:lang w:val="sr-Latn-RS"/>
              </w:rPr>
              <w:t xml:space="preserve"> osnovni</w:t>
            </w:r>
            <w:r w:rsidR="008177B5">
              <w:rPr>
                <w:lang w:val="sr-Latn-RS"/>
              </w:rPr>
              <w:t>h</w:t>
            </w:r>
            <w:r w:rsidR="008177B5" w:rsidRPr="00E86E02">
              <w:rPr>
                <w:lang w:val="sr-Latn-RS"/>
              </w:rPr>
              <w:t xml:space="preserve"> i srednjih škola koji imaju zaposlene sertifikovane karijerne savjetnike u skladu sa uspostavljenim standardima kvaliteta</w:t>
            </w:r>
          </w:p>
          <w:p w14:paraId="3245A3CB" w14:textId="77777777" w:rsidR="008177B5" w:rsidRDefault="008177B5" w:rsidP="008177B5">
            <w:pPr>
              <w:jc w:val="center"/>
              <w:rPr>
                <w:lang w:val="sr-Latn-RS"/>
              </w:rPr>
            </w:pPr>
          </w:p>
          <w:p w14:paraId="34A96FB3" w14:textId="7B4D7AF0" w:rsidR="008177B5" w:rsidRDefault="00C517E1" w:rsidP="008177B5">
            <w:pPr>
              <w:jc w:val="center"/>
              <w:rPr>
                <w:lang w:val="sr-Latn-RS"/>
              </w:rPr>
            </w:pPr>
            <w:r>
              <w:rPr>
                <w:lang w:val="sr-Latn-RS"/>
              </w:rPr>
              <w:t>Minimum 80%</w:t>
            </w:r>
            <w:r w:rsidR="008177B5" w:rsidRPr="00E86E02">
              <w:rPr>
                <w:lang w:val="sr-Latn-RS"/>
              </w:rPr>
              <w:t xml:space="preserve"> </w:t>
            </w:r>
            <w:r w:rsidR="008177B5">
              <w:rPr>
                <w:lang w:val="sr-Latn-RS"/>
              </w:rPr>
              <w:t>visokoškolskih ustanova koje imaju</w:t>
            </w:r>
          </w:p>
          <w:p w14:paraId="632EEE68" w14:textId="77777777" w:rsidR="008177B5" w:rsidRDefault="008177B5" w:rsidP="008177B5">
            <w:pPr>
              <w:jc w:val="center"/>
              <w:rPr>
                <w:lang w:val="sr-Latn-RS"/>
              </w:rPr>
            </w:pPr>
            <w:r w:rsidRPr="00E86E02">
              <w:rPr>
                <w:lang w:val="sr-Latn-RS"/>
              </w:rPr>
              <w:t xml:space="preserve"> karijerne savjetnike u skladu sa uspostavljenim standardima kvaliteta</w:t>
            </w:r>
          </w:p>
          <w:p w14:paraId="1A7CF775" w14:textId="77777777" w:rsidR="008177B5" w:rsidRDefault="008177B5" w:rsidP="008177B5">
            <w:pPr>
              <w:jc w:val="center"/>
              <w:rPr>
                <w:lang w:val="sr-Latn-RS"/>
              </w:rPr>
            </w:pPr>
          </w:p>
          <w:p w14:paraId="472DF7A7" w14:textId="686CEE95" w:rsidR="008177B5" w:rsidRPr="00E86E02" w:rsidRDefault="00C517E1" w:rsidP="008177B5">
            <w:pPr>
              <w:jc w:val="center"/>
              <w:rPr>
                <w:lang w:val="sr-Latn-RS"/>
              </w:rPr>
            </w:pPr>
            <w:r>
              <w:rPr>
                <w:lang w:val="sr-Latn-RS"/>
              </w:rPr>
              <w:t>Minimum 80%</w:t>
            </w:r>
            <w:r w:rsidR="008177B5" w:rsidRPr="00E86E02">
              <w:rPr>
                <w:lang w:val="sr-Latn-RS"/>
              </w:rPr>
              <w:t xml:space="preserve"> </w:t>
            </w:r>
            <w:r w:rsidR="008177B5">
              <w:rPr>
                <w:lang w:val="sr-Latn-RS"/>
              </w:rPr>
              <w:t>sertifikovanih karijernih savjetnika u ZZZCG u skladu sa uspostavljenim standardima kvaliteta</w:t>
            </w:r>
          </w:p>
          <w:p w14:paraId="75CDA9DE" w14:textId="77777777" w:rsidR="008177B5" w:rsidRPr="004A1A8D" w:rsidRDefault="008177B5" w:rsidP="008177B5">
            <w:pPr>
              <w:jc w:val="center"/>
              <w:rPr>
                <w:rFonts w:cstheme="minorHAnsi"/>
                <w:i/>
                <w:sz w:val="18"/>
                <w:szCs w:val="18"/>
              </w:rPr>
            </w:pPr>
          </w:p>
        </w:tc>
      </w:tr>
      <w:tr w:rsidR="00C356A6" w:rsidRPr="004A1A8D" w14:paraId="4DC5C564" w14:textId="77777777" w:rsidTr="007D7963">
        <w:trPr>
          <w:trHeight w:val="58"/>
        </w:trPr>
        <w:tc>
          <w:tcPr>
            <w:tcW w:w="2212" w:type="dxa"/>
          </w:tcPr>
          <w:p w14:paraId="3EFDA72A" w14:textId="77777777" w:rsidR="00C356A6" w:rsidRDefault="00C356A6" w:rsidP="00C356A6">
            <w:pPr>
              <w:rPr>
                <w:b/>
                <w:bCs/>
                <w:lang w:val="sr-Latn-RS"/>
              </w:rPr>
            </w:pPr>
            <w:r w:rsidRPr="00A119F2">
              <w:rPr>
                <w:b/>
                <w:bCs/>
                <w:lang w:val="sr-Latn-RS"/>
              </w:rPr>
              <w:lastRenderedPageBreak/>
              <w:t>Indikator učinka 2</w:t>
            </w:r>
          </w:p>
          <w:p w14:paraId="2402C4DC" w14:textId="77777777" w:rsidR="00C356A6" w:rsidRDefault="00C356A6" w:rsidP="00C356A6">
            <w:pPr>
              <w:rPr>
                <w:b/>
                <w:bCs/>
                <w:lang w:val="sr-Latn-RS"/>
              </w:rPr>
            </w:pPr>
          </w:p>
          <w:p w14:paraId="6DE31665" w14:textId="1946F428" w:rsidR="00C356A6" w:rsidRPr="004A1A8D" w:rsidRDefault="00C356A6" w:rsidP="00C356A6">
            <w:pPr>
              <w:ind w:left="3"/>
              <w:rPr>
                <w:rFonts w:eastAsia="Arial" w:cstheme="minorHAnsi"/>
                <w:b/>
              </w:rPr>
            </w:pPr>
            <w:r w:rsidRPr="00255F39">
              <w:rPr>
                <w:lang w:val="sr-Latn-RS"/>
              </w:rPr>
              <w:t>Uspostavljena baza podataka za praćenje karijernog puta učenika</w:t>
            </w:r>
            <w:r>
              <w:rPr>
                <w:lang w:val="sr-Latn-RS"/>
              </w:rPr>
              <w:t>/ca</w:t>
            </w:r>
            <w:r w:rsidRPr="00255F39">
              <w:rPr>
                <w:lang w:val="sr-Latn-RS"/>
              </w:rPr>
              <w:t>, studenata</w:t>
            </w:r>
            <w:r>
              <w:rPr>
                <w:lang w:val="sr-Latn-RS"/>
              </w:rPr>
              <w:t>/kinja</w:t>
            </w:r>
            <w:r w:rsidRPr="00255F39">
              <w:rPr>
                <w:lang w:val="sr-Latn-RS"/>
              </w:rPr>
              <w:t xml:space="preserve"> i odraslih</w:t>
            </w:r>
          </w:p>
        </w:tc>
        <w:tc>
          <w:tcPr>
            <w:tcW w:w="3368" w:type="dxa"/>
          </w:tcPr>
          <w:p w14:paraId="521159E7" w14:textId="77777777" w:rsidR="00C356A6" w:rsidRPr="009163F3" w:rsidRDefault="00C356A6" w:rsidP="00C356A6">
            <w:pPr>
              <w:jc w:val="center"/>
              <w:rPr>
                <w:b/>
                <w:bCs/>
                <w:lang w:val="sr-Latn-RS"/>
              </w:rPr>
            </w:pPr>
            <w:r w:rsidRPr="009163F3">
              <w:rPr>
                <w:b/>
                <w:bCs/>
                <w:lang w:val="sr-Latn-RS"/>
              </w:rPr>
              <w:t>Početna vrijednost 2025</w:t>
            </w:r>
          </w:p>
          <w:p w14:paraId="7EB2D5AC" w14:textId="77777777" w:rsidR="00C356A6" w:rsidRPr="009163F3" w:rsidRDefault="00C356A6" w:rsidP="00C356A6">
            <w:pPr>
              <w:jc w:val="center"/>
              <w:rPr>
                <w:b/>
                <w:bCs/>
                <w:lang w:val="sr-Latn-RS"/>
              </w:rPr>
            </w:pPr>
          </w:p>
          <w:p w14:paraId="2DBC10C3" w14:textId="77777777" w:rsidR="00C356A6" w:rsidRPr="009163F3" w:rsidRDefault="00C356A6" w:rsidP="00C356A6">
            <w:pPr>
              <w:jc w:val="center"/>
              <w:rPr>
                <w:b/>
                <w:bCs/>
                <w:lang w:val="sr-Latn-RS"/>
              </w:rPr>
            </w:pPr>
          </w:p>
          <w:p w14:paraId="22DBC443" w14:textId="77777777" w:rsidR="00C356A6" w:rsidRPr="00255F39" w:rsidRDefault="00C356A6" w:rsidP="00C356A6">
            <w:pPr>
              <w:jc w:val="center"/>
              <w:rPr>
                <w:lang w:val="sr-Latn-RS"/>
              </w:rPr>
            </w:pPr>
            <w:r w:rsidRPr="00255F39">
              <w:rPr>
                <w:lang w:val="sr-Latn-RS"/>
              </w:rPr>
              <w:t>Trenutno ne postoji baza podataka</w:t>
            </w:r>
            <w:r>
              <w:rPr>
                <w:lang w:val="sr-Latn-RS"/>
              </w:rPr>
              <w:t xml:space="preserve"> </w:t>
            </w:r>
            <w:r w:rsidRPr="0002251A">
              <w:rPr>
                <w:lang w:val="sr-Latn-RS"/>
              </w:rPr>
              <w:t>za praćenje karijernog puta učenika</w:t>
            </w:r>
            <w:r>
              <w:rPr>
                <w:lang w:val="sr-Latn-RS"/>
              </w:rPr>
              <w:t>/ca</w:t>
            </w:r>
            <w:r w:rsidRPr="0002251A">
              <w:rPr>
                <w:lang w:val="sr-Latn-RS"/>
              </w:rPr>
              <w:t>, studenata</w:t>
            </w:r>
            <w:r>
              <w:rPr>
                <w:lang w:val="sr-Latn-RS"/>
              </w:rPr>
              <w:t>/kinja</w:t>
            </w:r>
            <w:r w:rsidRPr="0002251A">
              <w:rPr>
                <w:lang w:val="sr-Latn-RS"/>
              </w:rPr>
              <w:t xml:space="preserve"> i odraslih</w:t>
            </w:r>
          </w:p>
          <w:p w14:paraId="3BDF1C40" w14:textId="77777777" w:rsidR="00C356A6" w:rsidRPr="004A1A8D" w:rsidRDefault="00C356A6" w:rsidP="00C356A6">
            <w:pPr>
              <w:jc w:val="center"/>
              <w:rPr>
                <w:rFonts w:cstheme="minorHAnsi"/>
                <w:i/>
                <w:sz w:val="18"/>
                <w:szCs w:val="18"/>
              </w:rPr>
            </w:pPr>
          </w:p>
        </w:tc>
        <w:tc>
          <w:tcPr>
            <w:tcW w:w="3420" w:type="dxa"/>
          </w:tcPr>
          <w:p w14:paraId="6404F363" w14:textId="77777777" w:rsidR="00C356A6" w:rsidRDefault="00C356A6" w:rsidP="00C356A6">
            <w:pPr>
              <w:jc w:val="center"/>
              <w:rPr>
                <w:b/>
                <w:bCs/>
                <w:lang w:val="sr-Latn-RS"/>
              </w:rPr>
            </w:pPr>
            <w:r w:rsidRPr="009163F3">
              <w:rPr>
                <w:b/>
                <w:bCs/>
                <w:lang w:val="sr-Latn-RS"/>
              </w:rPr>
              <w:t xml:space="preserve">Srednja vrijednost </w:t>
            </w:r>
            <w:r>
              <w:rPr>
                <w:b/>
                <w:bCs/>
                <w:lang w:val="sr-Latn-RS"/>
              </w:rPr>
              <w:t xml:space="preserve">do </w:t>
            </w:r>
            <w:r w:rsidRPr="009163F3">
              <w:rPr>
                <w:b/>
                <w:bCs/>
                <w:lang w:val="sr-Latn-RS"/>
              </w:rPr>
              <w:t>2028</w:t>
            </w:r>
          </w:p>
          <w:p w14:paraId="2CFA0DE2" w14:textId="77777777" w:rsidR="00C356A6" w:rsidRDefault="00C356A6" w:rsidP="00C356A6">
            <w:pPr>
              <w:jc w:val="center"/>
              <w:rPr>
                <w:b/>
                <w:bCs/>
                <w:lang w:val="sr-Latn-RS"/>
              </w:rPr>
            </w:pPr>
          </w:p>
          <w:p w14:paraId="0FF366AE" w14:textId="77777777" w:rsidR="00C356A6" w:rsidRDefault="00C356A6" w:rsidP="00C356A6">
            <w:pPr>
              <w:jc w:val="center"/>
              <w:rPr>
                <w:b/>
                <w:bCs/>
                <w:lang w:val="sr-Latn-RS"/>
              </w:rPr>
            </w:pPr>
          </w:p>
          <w:p w14:paraId="794B8AF4" w14:textId="07B6D0F2" w:rsidR="00C356A6" w:rsidRPr="004A1A8D" w:rsidRDefault="00C356A6" w:rsidP="00C356A6">
            <w:pPr>
              <w:jc w:val="center"/>
              <w:rPr>
                <w:rFonts w:cstheme="minorHAnsi"/>
                <w:i/>
                <w:sz w:val="18"/>
                <w:szCs w:val="18"/>
              </w:rPr>
            </w:pPr>
            <w:r>
              <w:rPr>
                <w:lang w:val="sr-Latn-RS"/>
              </w:rPr>
              <w:t xml:space="preserve">Uspostavljena je baza podataka za </w:t>
            </w:r>
            <w:r w:rsidRPr="003B6B74">
              <w:rPr>
                <w:lang w:val="sr-Latn-RS"/>
              </w:rPr>
              <w:t>praćenje karijernog puta učenika</w:t>
            </w:r>
            <w:r>
              <w:rPr>
                <w:lang w:val="sr-Latn-RS"/>
              </w:rPr>
              <w:t>/ca</w:t>
            </w:r>
            <w:r w:rsidRPr="003B6B74">
              <w:rPr>
                <w:lang w:val="sr-Latn-RS"/>
              </w:rPr>
              <w:t>, studenata</w:t>
            </w:r>
            <w:r>
              <w:rPr>
                <w:lang w:val="sr-Latn-RS"/>
              </w:rPr>
              <w:t>/kinja</w:t>
            </w:r>
            <w:r w:rsidRPr="003B6B74">
              <w:rPr>
                <w:lang w:val="sr-Latn-RS"/>
              </w:rPr>
              <w:t xml:space="preserve"> i odraslih</w:t>
            </w:r>
          </w:p>
        </w:tc>
        <w:tc>
          <w:tcPr>
            <w:tcW w:w="3240" w:type="dxa"/>
          </w:tcPr>
          <w:p w14:paraId="0B7A7C14" w14:textId="77777777" w:rsidR="00C356A6" w:rsidRDefault="00C356A6" w:rsidP="00C356A6">
            <w:pPr>
              <w:jc w:val="center"/>
              <w:rPr>
                <w:b/>
                <w:bCs/>
                <w:lang w:val="sr-Latn-RS"/>
              </w:rPr>
            </w:pPr>
            <w:r w:rsidRPr="009163F3">
              <w:rPr>
                <w:b/>
                <w:bCs/>
                <w:lang w:val="sr-Latn-RS"/>
              </w:rPr>
              <w:t xml:space="preserve">Ciljna vrijednost </w:t>
            </w:r>
            <w:r>
              <w:rPr>
                <w:b/>
                <w:bCs/>
                <w:lang w:val="sr-Latn-RS"/>
              </w:rPr>
              <w:t xml:space="preserve">do </w:t>
            </w:r>
            <w:r w:rsidRPr="009163F3">
              <w:rPr>
                <w:b/>
                <w:bCs/>
                <w:lang w:val="sr-Latn-RS"/>
              </w:rPr>
              <w:t>2030</w:t>
            </w:r>
          </w:p>
          <w:p w14:paraId="74F6CC86" w14:textId="77777777" w:rsidR="00C356A6" w:rsidRDefault="00C356A6" w:rsidP="00C356A6">
            <w:pPr>
              <w:jc w:val="center"/>
              <w:rPr>
                <w:b/>
                <w:bCs/>
                <w:lang w:val="sr-Latn-RS"/>
              </w:rPr>
            </w:pPr>
          </w:p>
          <w:p w14:paraId="3B1138E6" w14:textId="77777777" w:rsidR="00C356A6" w:rsidRDefault="00C356A6" w:rsidP="00C356A6">
            <w:pPr>
              <w:jc w:val="center"/>
              <w:rPr>
                <w:b/>
                <w:bCs/>
                <w:lang w:val="sr-Latn-RS"/>
              </w:rPr>
            </w:pPr>
          </w:p>
          <w:p w14:paraId="1EC0B216" w14:textId="77777777" w:rsidR="00C356A6" w:rsidRDefault="00C356A6" w:rsidP="00C356A6">
            <w:pPr>
              <w:jc w:val="center"/>
              <w:rPr>
                <w:lang w:val="sr-Latn-RS"/>
              </w:rPr>
            </w:pPr>
            <w:r w:rsidRPr="00255F39">
              <w:rPr>
                <w:lang w:val="sr-Latn-RS"/>
              </w:rPr>
              <w:t xml:space="preserve">Do kraja 2030. godine, će biti uspostavljen </w:t>
            </w:r>
            <w:r>
              <w:rPr>
                <w:lang w:val="sr-Latn-RS"/>
              </w:rPr>
              <w:t xml:space="preserve">funkcionalan </w:t>
            </w:r>
            <w:r w:rsidRPr="00255F39">
              <w:rPr>
                <w:lang w:val="sr-Latn-RS"/>
              </w:rPr>
              <w:t>sistem</w:t>
            </w:r>
            <w:r>
              <w:rPr>
                <w:lang w:val="sr-Latn-RS"/>
              </w:rPr>
              <w:t xml:space="preserve"> mjerljivih </w:t>
            </w:r>
            <w:r w:rsidRPr="00255F39">
              <w:rPr>
                <w:lang w:val="sr-Latn-RS"/>
              </w:rPr>
              <w:t xml:space="preserve"> podataka koji pokazuje broj korisnika</w:t>
            </w:r>
            <w:r>
              <w:rPr>
                <w:lang w:val="sr-Latn-RS"/>
              </w:rPr>
              <w:t>/ca</w:t>
            </w:r>
            <w:r w:rsidRPr="00255F39">
              <w:rPr>
                <w:lang w:val="sr-Latn-RS"/>
              </w:rPr>
              <w:t xml:space="preserve"> KVS koji su pronašli zaposlenje.</w:t>
            </w:r>
            <w:r>
              <w:rPr>
                <w:lang w:val="sr-Latn-RS"/>
              </w:rPr>
              <w:t xml:space="preserve"> Prikupljeni p</w:t>
            </w:r>
            <w:r w:rsidRPr="00255F39">
              <w:rPr>
                <w:lang w:val="sr-Latn-RS"/>
              </w:rPr>
              <w:t>odaci će biti razvrstani po polu</w:t>
            </w:r>
          </w:p>
          <w:p w14:paraId="621EAC53" w14:textId="77777777" w:rsidR="00C356A6" w:rsidRPr="004A1A8D" w:rsidRDefault="00C356A6" w:rsidP="00C356A6">
            <w:pPr>
              <w:jc w:val="center"/>
              <w:rPr>
                <w:rFonts w:cstheme="minorHAnsi"/>
                <w:i/>
                <w:sz w:val="18"/>
                <w:szCs w:val="18"/>
                <w:lang w:val="it-IT"/>
              </w:rPr>
            </w:pPr>
          </w:p>
        </w:tc>
      </w:tr>
    </w:tbl>
    <w:p w14:paraId="373273FB" w14:textId="77777777" w:rsidR="001B5634" w:rsidRDefault="001B5634" w:rsidP="001B5634">
      <w:pPr>
        <w:jc w:val="both"/>
      </w:pPr>
    </w:p>
    <w:p w14:paraId="6B4B3015" w14:textId="6330809F" w:rsidR="001B5634" w:rsidRDefault="00993F6F" w:rsidP="00993F6F">
      <w:pPr>
        <w:pStyle w:val="Heading1"/>
      </w:pPr>
      <w:bookmarkStart w:id="15" w:name="_Toc197274076"/>
      <w:r>
        <w:t>FINANSIJSKI OKVIR STRATEŠKOG DOKUMENTA</w:t>
      </w:r>
      <w:bookmarkEnd w:id="15"/>
    </w:p>
    <w:p w14:paraId="42DB2627" w14:textId="1C6F7D53" w:rsidR="00C45EE7" w:rsidRPr="0089365A" w:rsidRDefault="00C45EE7" w:rsidP="00C45EE7">
      <w:pPr>
        <w:jc w:val="both"/>
        <w:rPr>
          <w:rFonts w:eastAsia="Calibri" w:cstheme="minorHAnsi"/>
        </w:rPr>
      </w:pPr>
      <w:r w:rsidRPr="0089365A">
        <w:rPr>
          <w:rFonts w:eastAsia="Calibri" w:cstheme="minorHAnsi"/>
        </w:rPr>
        <w:t xml:space="preserve">Za cjelokupni period trajanja strateškog dokumenta (2025-2030), predviđeno je okvirna procjena finansijskih sredstava u ukupnom iznosu od </w:t>
      </w:r>
      <w:r w:rsidR="00B236F7" w:rsidRPr="00B236F7">
        <w:rPr>
          <w:rFonts w:eastAsia="Calibri" w:cstheme="minorHAnsi"/>
        </w:rPr>
        <w:t>1,194,400 eura</w:t>
      </w:r>
      <w:r w:rsidRPr="0089365A">
        <w:rPr>
          <w:rFonts w:eastAsia="Calibri" w:cstheme="minorHAnsi"/>
        </w:rPr>
        <w:t xml:space="preserve">. Metodologija koja je korišćena prilikom obračuna finansijskih izdataka/prihoda je metoda procjene kao i prethodnih iskustava nosioca aktivnosti. Sredstva je potrebno obezbijediti iz redovnog budžeta i iz donatorske podrške. </w:t>
      </w:r>
    </w:p>
    <w:p w14:paraId="6C536EC5" w14:textId="2F64F95D" w:rsidR="00C45EE7" w:rsidRPr="0089365A" w:rsidRDefault="00C45EE7" w:rsidP="00C45EE7">
      <w:pPr>
        <w:spacing w:after="200" w:line="276" w:lineRule="auto"/>
        <w:jc w:val="both"/>
        <w:rPr>
          <w:rFonts w:eastAsia="Calibri" w:cstheme="minorHAnsi"/>
        </w:rPr>
      </w:pPr>
      <w:r w:rsidRPr="0089365A">
        <w:rPr>
          <w:rFonts w:eastAsia="Calibri" w:cstheme="minorHAnsi"/>
        </w:rPr>
        <w:lastRenderedPageBreak/>
        <w:t>U sljedećoj tabeli dat je pregled finansiranja cjelokupnog strateškog dokumenta za cjelokupni period trajanja strateškog dokumenta, gdje se kao glavni izvori finansiranja javljaju:</w:t>
      </w:r>
    </w:p>
    <w:p w14:paraId="088725FA" w14:textId="77777777" w:rsidR="00B236F7" w:rsidRDefault="00C45EE7" w:rsidP="00C45EE7">
      <w:pPr>
        <w:pStyle w:val="ListParagraph"/>
        <w:numPr>
          <w:ilvl w:val="0"/>
          <w:numId w:val="25"/>
        </w:numPr>
        <w:spacing w:after="200" w:line="276" w:lineRule="auto"/>
        <w:jc w:val="both"/>
        <w:rPr>
          <w:rFonts w:eastAsia="Calibri" w:cstheme="minorHAnsi"/>
          <w:lang w:val="it-IT"/>
        </w:rPr>
      </w:pPr>
      <w:r w:rsidRPr="00B236F7">
        <w:rPr>
          <w:rFonts w:eastAsia="Calibri" w:cstheme="minorHAnsi"/>
          <w:lang w:val="it-IT"/>
        </w:rPr>
        <w:t>Budžet Crne Gore</w:t>
      </w:r>
    </w:p>
    <w:p w14:paraId="52E63D01" w14:textId="7DC0AEBC" w:rsidR="00C45EE7" w:rsidRPr="00B236F7" w:rsidRDefault="00C45EE7" w:rsidP="00C45EE7">
      <w:pPr>
        <w:pStyle w:val="ListParagraph"/>
        <w:numPr>
          <w:ilvl w:val="0"/>
          <w:numId w:val="25"/>
        </w:numPr>
        <w:spacing w:after="200" w:line="276" w:lineRule="auto"/>
        <w:jc w:val="both"/>
        <w:rPr>
          <w:rFonts w:eastAsia="Calibri" w:cstheme="minorHAnsi"/>
          <w:lang w:val="it-IT"/>
        </w:rPr>
      </w:pPr>
      <w:r w:rsidRPr="00B236F7">
        <w:rPr>
          <w:rFonts w:eastAsia="Calibri" w:cstheme="minorHAnsi"/>
          <w:lang w:val="it-IT"/>
        </w:rPr>
        <w:t xml:space="preserve">Donatorska podrška </w:t>
      </w:r>
    </w:p>
    <w:tbl>
      <w:tblPr>
        <w:tblStyle w:val="GridTable4-Accent5"/>
        <w:tblW w:w="13230" w:type="dxa"/>
        <w:tblInd w:w="-5" w:type="dxa"/>
        <w:tblLook w:val="04A0" w:firstRow="1" w:lastRow="0" w:firstColumn="1" w:lastColumn="0" w:noHBand="0" w:noVBand="1"/>
      </w:tblPr>
      <w:tblGrid>
        <w:gridCol w:w="1460"/>
        <w:gridCol w:w="3760"/>
        <w:gridCol w:w="4050"/>
        <w:gridCol w:w="3960"/>
      </w:tblGrid>
      <w:tr w:rsidR="00C45EE7" w:rsidRPr="00D00FED" w14:paraId="592207C3" w14:textId="77777777" w:rsidTr="00C45E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65BF1F76" w14:textId="77777777" w:rsidR="00C45EE7" w:rsidRPr="00D00FED" w:rsidRDefault="00C45EE7" w:rsidP="007D7963">
            <w:pPr>
              <w:rPr>
                <w:rFonts w:eastAsia="Times New Roman" w:cstheme="minorHAnsi"/>
                <w:color w:val="000000"/>
                <w:lang w:val="en-GB"/>
              </w:rPr>
            </w:pPr>
            <w:r w:rsidRPr="00D00FED">
              <w:rPr>
                <w:rFonts w:eastAsia="Times New Roman" w:cstheme="minorHAnsi"/>
                <w:color w:val="000000"/>
                <w:lang w:val="en-GB"/>
              </w:rPr>
              <w:t>Godina</w:t>
            </w:r>
          </w:p>
        </w:tc>
        <w:tc>
          <w:tcPr>
            <w:tcW w:w="3760" w:type="dxa"/>
            <w:noWrap/>
            <w:hideMark/>
          </w:tcPr>
          <w:p w14:paraId="7026DDD6" w14:textId="77777777" w:rsidR="00C45EE7" w:rsidRPr="00D00FED" w:rsidRDefault="00C45EE7" w:rsidP="007D796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D00FED">
              <w:rPr>
                <w:rFonts w:eastAsia="Times New Roman" w:cstheme="minorHAnsi"/>
                <w:color w:val="000000"/>
                <w:lang w:val="en-GB"/>
              </w:rPr>
              <w:t>Budžetska sredstva</w:t>
            </w:r>
          </w:p>
        </w:tc>
        <w:tc>
          <w:tcPr>
            <w:tcW w:w="4050" w:type="dxa"/>
            <w:noWrap/>
            <w:hideMark/>
          </w:tcPr>
          <w:p w14:paraId="1E195122" w14:textId="77777777" w:rsidR="00C45EE7" w:rsidRPr="00D00FED" w:rsidRDefault="00C45EE7" w:rsidP="007D796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D00FED">
              <w:rPr>
                <w:rFonts w:eastAsia="Times New Roman" w:cstheme="minorHAnsi"/>
                <w:color w:val="000000"/>
                <w:lang w:val="en-GB"/>
              </w:rPr>
              <w:t>Donatorska podrška</w:t>
            </w:r>
          </w:p>
        </w:tc>
        <w:tc>
          <w:tcPr>
            <w:tcW w:w="3960" w:type="dxa"/>
            <w:noWrap/>
            <w:hideMark/>
          </w:tcPr>
          <w:p w14:paraId="56676F34" w14:textId="77777777" w:rsidR="00C45EE7" w:rsidRPr="00D00FED" w:rsidRDefault="00C45EE7" w:rsidP="007D7963">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D00FED">
              <w:rPr>
                <w:rFonts w:eastAsia="Times New Roman" w:cstheme="minorHAnsi"/>
                <w:color w:val="000000"/>
                <w:lang w:val="en-GB"/>
              </w:rPr>
              <w:t>Ukupno</w:t>
            </w:r>
          </w:p>
        </w:tc>
      </w:tr>
      <w:tr w:rsidR="00FC1FC5" w:rsidRPr="00D00FED" w14:paraId="14EBCA90" w14:textId="77777777" w:rsidTr="00C45E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0990B6EF" w14:textId="77777777" w:rsidR="00FC1FC5" w:rsidRPr="00C45EE7" w:rsidRDefault="00FC1FC5" w:rsidP="007D7963">
            <w:pPr>
              <w:rPr>
                <w:rFonts w:eastAsia="Times New Roman" w:cstheme="minorHAnsi"/>
                <w:color w:val="000000"/>
                <w:lang w:val="en-GB"/>
              </w:rPr>
            </w:pPr>
            <w:r w:rsidRPr="00C45EE7">
              <w:rPr>
                <w:rFonts w:eastAsia="Times New Roman" w:cstheme="minorHAnsi"/>
                <w:color w:val="000000"/>
                <w:lang w:val="en-GB"/>
              </w:rPr>
              <w:t>2025</w:t>
            </w:r>
          </w:p>
        </w:tc>
        <w:tc>
          <w:tcPr>
            <w:tcW w:w="3760" w:type="dxa"/>
            <w:noWrap/>
            <w:hideMark/>
          </w:tcPr>
          <w:p w14:paraId="0FC6A24E" w14:textId="3DCD67B8" w:rsidR="00FC1FC5" w:rsidRPr="00D00FED" w:rsidRDefault="00FC1FC5"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c>
          <w:tcPr>
            <w:tcW w:w="4050" w:type="dxa"/>
            <w:noWrap/>
            <w:hideMark/>
          </w:tcPr>
          <w:p w14:paraId="524D35A5" w14:textId="2C495A94" w:rsidR="00FC1FC5" w:rsidRPr="00D00FED" w:rsidRDefault="00FC1FC5"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c>
          <w:tcPr>
            <w:tcW w:w="3960" w:type="dxa"/>
            <w:vMerge w:val="restart"/>
            <w:noWrap/>
            <w:hideMark/>
          </w:tcPr>
          <w:p w14:paraId="35518F1B" w14:textId="26EAD71A" w:rsidR="00FC1FC5" w:rsidRPr="00D00FED" w:rsidRDefault="00FC1FC5"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Pr>
                <w:rFonts w:eastAsia="Times New Roman" w:cstheme="minorHAnsi"/>
                <w:color w:val="000000"/>
                <w:lang w:val="en-GB"/>
              </w:rPr>
              <w:t xml:space="preserve">Za period 2025-2026 planiran je ukupan iznos od </w:t>
            </w:r>
            <w:r w:rsidR="009638DC">
              <w:rPr>
                <w:rFonts w:eastAsia="Times New Roman" w:cstheme="minorHAnsi"/>
                <w:color w:val="000000"/>
                <w:lang w:val="en-GB"/>
              </w:rPr>
              <w:t>394,400 eura</w:t>
            </w:r>
          </w:p>
        </w:tc>
      </w:tr>
      <w:tr w:rsidR="00FC1FC5" w:rsidRPr="00D00FED" w14:paraId="49E5D34A" w14:textId="77777777" w:rsidTr="00C45EE7">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34C6C24A" w14:textId="77777777" w:rsidR="00FC1FC5" w:rsidRPr="00C45EE7" w:rsidRDefault="00FC1FC5" w:rsidP="007D7963">
            <w:pPr>
              <w:rPr>
                <w:rFonts w:eastAsia="Times New Roman" w:cstheme="minorHAnsi"/>
                <w:color w:val="000000"/>
                <w:lang w:val="en-GB"/>
              </w:rPr>
            </w:pPr>
            <w:r w:rsidRPr="00C45EE7">
              <w:rPr>
                <w:rFonts w:eastAsia="Times New Roman" w:cstheme="minorHAnsi"/>
                <w:color w:val="000000"/>
                <w:lang w:val="en-GB"/>
              </w:rPr>
              <w:t>2026</w:t>
            </w:r>
          </w:p>
        </w:tc>
        <w:tc>
          <w:tcPr>
            <w:tcW w:w="3760" w:type="dxa"/>
            <w:noWrap/>
            <w:hideMark/>
          </w:tcPr>
          <w:p w14:paraId="481871C4" w14:textId="0C10DFB4" w:rsidR="00FC1FC5" w:rsidRPr="00D00FED" w:rsidRDefault="00FC1FC5" w:rsidP="007D796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c>
          <w:tcPr>
            <w:tcW w:w="4050" w:type="dxa"/>
            <w:noWrap/>
            <w:hideMark/>
          </w:tcPr>
          <w:p w14:paraId="6CD140B8" w14:textId="47EE2689" w:rsidR="00FC1FC5" w:rsidRPr="00D00FED" w:rsidRDefault="00FC1FC5" w:rsidP="007D796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c>
          <w:tcPr>
            <w:tcW w:w="3960" w:type="dxa"/>
            <w:vMerge/>
            <w:noWrap/>
            <w:hideMark/>
          </w:tcPr>
          <w:p w14:paraId="2A884C5A" w14:textId="032D4CA4" w:rsidR="00FC1FC5" w:rsidRPr="00D00FED" w:rsidRDefault="00FC1FC5" w:rsidP="007D796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9638DC" w:rsidRPr="00D00FED" w14:paraId="68B70737" w14:textId="77777777" w:rsidTr="00C45E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10E79960" w14:textId="77777777" w:rsidR="009638DC" w:rsidRPr="00C45EE7" w:rsidRDefault="009638DC" w:rsidP="007D7963">
            <w:pPr>
              <w:rPr>
                <w:rFonts w:eastAsia="Times New Roman" w:cstheme="minorHAnsi"/>
                <w:color w:val="000000"/>
                <w:lang w:val="en-GB"/>
              </w:rPr>
            </w:pPr>
            <w:r w:rsidRPr="00C45EE7">
              <w:rPr>
                <w:rFonts w:eastAsia="Times New Roman" w:cstheme="minorHAnsi"/>
                <w:color w:val="000000"/>
                <w:lang w:val="en-GB"/>
              </w:rPr>
              <w:t>2027</w:t>
            </w:r>
          </w:p>
        </w:tc>
        <w:tc>
          <w:tcPr>
            <w:tcW w:w="3760" w:type="dxa"/>
            <w:noWrap/>
          </w:tcPr>
          <w:p w14:paraId="1FF3A309" w14:textId="7E62B868" w:rsidR="009638DC" w:rsidRPr="00D00FED" w:rsidRDefault="009638DC"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c>
          <w:tcPr>
            <w:tcW w:w="4050" w:type="dxa"/>
            <w:noWrap/>
          </w:tcPr>
          <w:p w14:paraId="60C25BB8" w14:textId="16491DEE" w:rsidR="009638DC" w:rsidRPr="00D00FED" w:rsidRDefault="009638DC"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c>
          <w:tcPr>
            <w:tcW w:w="3960" w:type="dxa"/>
            <w:vMerge w:val="restart"/>
            <w:noWrap/>
          </w:tcPr>
          <w:p w14:paraId="58E51DDA" w14:textId="65262E6F" w:rsidR="009638DC" w:rsidRPr="00D00FED" w:rsidRDefault="009638DC"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9638DC">
              <w:rPr>
                <w:rFonts w:eastAsia="Times New Roman" w:cstheme="minorHAnsi"/>
                <w:color w:val="000000"/>
                <w:lang w:val="en-GB"/>
              </w:rPr>
              <w:t>Za period 202</w:t>
            </w:r>
            <w:r>
              <w:rPr>
                <w:rFonts w:eastAsia="Times New Roman" w:cstheme="minorHAnsi"/>
                <w:color w:val="000000"/>
                <w:lang w:val="en-GB"/>
              </w:rPr>
              <w:t>7</w:t>
            </w:r>
            <w:r w:rsidRPr="009638DC">
              <w:rPr>
                <w:rFonts w:eastAsia="Times New Roman" w:cstheme="minorHAnsi"/>
                <w:color w:val="000000"/>
                <w:lang w:val="en-GB"/>
              </w:rPr>
              <w:t>-202</w:t>
            </w:r>
            <w:r>
              <w:rPr>
                <w:rFonts w:eastAsia="Times New Roman" w:cstheme="minorHAnsi"/>
                <w:color w:val="000000"/>
                <w:lang w:val="en-GB"/>
              </w:rPr>
              <w:t>8</w:t>
            </w:r>
            <w:r w:rsidRPr="009638DC">
              <w:rPr>
                <w:rFonts w:eastAsia="Times New Roman" w:cstheme="minorHAnsi"/>
                <w:color w:val="000000"/>
                <w:lang w:val="en-GB"/>
              </w:rPr>
              <w:t xml:space="preserve"> planiran je ukupan iznos od </w:t>
            </w:r>
            <w:r>
              <w:rPr>
                <w:rFonts w:eastAsia="Times New Roman" w:cstheme="minorHAnsi"/>
                <w:color w:val="000000"/>
                <w:lang w:val="en-GB"/>
              </w:rPr>
              <w:t>minimum 400,000 eura</w:t>
            </w:r>
          </w:p>
        </w:tc>
      </w:tr>
      <w:tr w:rsidR="009638DC" w:rsidRPr="00D00FED" w14:paraId="1A59E3FC" w14:textId="77777777" w:rsidTr="00C45EE7">
        <w:trPr>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557CE156" w14:textId="3396CA89" w:rsidR="009638DC" w:rsidRPr="00C45EE7" w:rsidRDefault="009638DC" w:rsidP="007D7963">
            <w:pPr>
              <w:rPr>
                <w:rFonts w:eastAsia="Times New Roman" w:cstheme="minorHAnsi"/>
                <w:color w:val="000000"/>
                <w:lang w:val="en-GB"/>
              </w:rPr>
            </w:pPr>
            <w:r w:rsidRPr="00C45EE7">
              <w:rPr>
                <w:rFonts w:eastAsia="Times New Roman" w:cstheme="minorHAnsi"/>
                <w:color w:val="000000"/>
                <w:lang w:val="en-GB"/>
              </w:rPr>
              <w:t>2028</w:t>
            </w:r>
          </w:p>
        </w:tc>
        <w:tc>
          <w:tcPr>
            <w:tcW w:w="3760" w:type="dxa"/>
            <w:noWrap/>
          </w:tcPr>
          <w:p w14:paraId="32DD92E2" w14:textId="77777777" w:rsidR="009638DC" w:rsidRPr="00533E2D" w:rsidRDefault="009638DC" w:rsidP="007D796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c>
          <w:tcPr>
            <w:tcW w:w="4050" w:type="dxa"/>
            <w:noWrap/>
          </w:tcPr>
          <w:p w14:paraId="7958BE7E" w14:textId="77777777" w:rsidR="009638DC" w:rsidRPr="00533E2D" w:rsidRDefault="009638DC" w:rsidP="007D796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c>
          <w:tcPr>
            <w:tcW w:w="3960" w:type="dxa"/>
            <w:vMerge/>
            <w:noWrap/>
          </w:tcPr>
          <w:p w14:paraId="3ADBB920" w14:textId="77777777" w:rsidR="009638DC" w:rsidRPr="00533E2D" w:rsidRDefault="009638DC" w:rsidP="007D796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9638DC" w:rsidRPr="00D00FED" w14:paraId="3EAFE2D8" w14:textId="77777777" w:rsidTr="00C45E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2338617C" w14:textId="267B54FF" w:rsidR="009638DC" w:rsidRPr="00C45EE7" w:rsidRDefault="009638DC" w:rsidP="007D7963">
            <w:pPr>
              <w:rPr>
                <w:rFonts w:eastAsia="Times New Roman" w:cstheme="minorHAnsi"/>
                <w:color w:val="000000"/>
                <w:lang w:val="en-GB"/>
              </w:rPr>
            </w:pPr>
            <w:r w:rsidRPr="00C45EE7">
              <w:rPr>
                <w:rFonts w:eastAsia="Times New Roman" w:cstheme="minorHAnsi"/>
                <w:color w:val="000000"/>
                <w:lang w:val="en-GB"/>
              </w:rPr>
              <w:t>2029</w:t>
            </w:r>
          </w:p>
        </w:tc>
        <w:tc>
          <w:tcPr>
            <w:tcW w:w="3760" w:type="dxa"/>
            <w:noWrap/>
          </w:tcPr>
          <w:p w14:paraId="45009B67" w14:textId="77777777" w:rsidR="009638DC" w:rsidRPr="00533E2D" w:rsidRDefault="009638DC"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c>
          <w:tcPr>
            <w:tcW w:w="4050" w:type="dxa"/>
            <w:noWrap/>
          </w:tcPr>
          <w:p w14:paraId="43569197" w14:textId="77777777" w:rsidR="009638DC" w:rsidRPr="00533E2D" w:rsidRDefault="009638DC"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c>
          <w:tcPr>
            <w:tcW w:w="3960" w:type="dxa"/>
            <w:vMerge w:val="restart"/>
            <w:noWrap/>
          </w:tcPr>
          <w:p w14:paraId="2FFE026D" w14:textId="02CAE5C4" w:rsidR="009638DC" w:rsidRPr="00533E2D" w:rsidRDefault="009638DC"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9638DC">
              <w:rPr>
                <w:rFonts w:eastAsia="Times New Roman" w:cstheme="minorHAnsi"/>
                <w:color w:val="000000"/>
                <w:lang w:val="en-GB"/>
              </w:rPr>
              <w:t>Za period 202</w:t>
            </w:r>
            <w:r>
              <w:rPr>
                <w:rFonts w:eastAsia="Times New Roman" w:cstheme="minorHAnsi"/>
                <w:color w:val="000000"/>
                <w:lang w:val="en-GB"/>
              </w:rPr>
              <w:t>9</w:t>
            </w:r>
            <w:r w:rsidRPr="009638DC">
              <w:rPr>
                <w:rFonts w:eastAsia="Times New Roman" w:cstheme="minorHAnsi"/>
                <w:color w:val="000000"/>
                <w:lang w:val="en-GB"/>
              </w:rPr>
              <w:t>-202</w:t>
            </w:r>
            <w:r>
              <w:rPr>
                <w:rFonts w:eastAsia="Times New Roman" w:cstheme="minorHAnsi"/>
                <w:color w:val="000000"/>
                <w:lang w:val="en-GB"/>
              </w:rPr>
              <w:t>3</w:t>
            </w:r>
            <w:r w:rsidRPr="009638DC">
              <w:rPr>
                <w:rFonts w:eastAsia="Times New Roman" w:cstheme="minorHAnsi"/>
                <w:color w:val="000000"/>
                <w:lang w:val="en-GB"/>
              </w:rPr>
              <w:t xml:space="preserve"> planiran je ukupan iznos od minimum 400,000 eura</w:t>
            </w:r>
          </w:p>
        </w:tc>
      </w:tr>
      <w:tr w:rsidR="009638DC" w:rsidRPr="00D00FED" w14:paraId="6742C638" w14:textId="77777777" w:rsidTr="00C45EE7">
        <w:trPr>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42C6FA57" w14:textId="4DE74EF8" w:rsidR="009638DC" w:rsidRPr="00C45EE7" w:rsidRDefault="009638DC" w:rsidP="007D7963">
            <w:pPr>
              <w:rPr>
                <w:rFonts w:eastAsia="Times New Roman" w:cstheme="minorHAnsi"/>
                <w:color w:val="000000"/>
                <w:lang w:val="en-GB"/>
              </w:rPr>
            </w:pPr>
            <w:r w:rsidRPr="00C45EE7">
              <w:rPr>
                <w:rFonts w:eastAsia="Times New Roman" w:cstheme="minorHAnsi"/>
                <w:color w:val="000000"/>
                <w:lang w:val="en-GB"/>
              </w:rPr>
              <w:t>2030</w:t>
            </w:r>
          </w:p>
        </w:tc>
        <w:tc>
          <w:tcPr>
            <w:tcW w:w="3760" w:type="dxa"/>
            <w:noWrap/>
          </w:tcPr>
          <w:p w14:paraId="667EA722" w14:textId="77777777" w:rsidR="009638DC" w:rsidRPr="00533E2D" w:rsidRDefault="009638DC" w:rsidP="007D796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c>
          <w:tcPr>
            <w:tcW w:w="4050" w:type="dxa"/>
            <w:noWrap/>
          </w:tcPr>
          <w:p w14:paraId="23DEAF2D" w14:textId="77777777" w:rsidR="009638DC" w:rsidRPr="00533E2D" w:rsidRDefault="009638DC" w:rsidP="007D796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c>
          <w:tcPr>
            <w:tcW w:w="3960" w:type="dxa"/>
            <w:vMerge/>
            <w:noWrap/>
          </w:tcPr>
          <w:p w14:paraId="783D6B1A" w14:textId="77777777" w:rsidR="009638DC" w:rsidRPr="00533E2D" w:rsidRDefault="009638DC" w:rsidP="007D796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DF5143" w:rsidRPr="00D00FED" w14:paraId="57676911" w14:textId="77777777" w:rsidTr="00F77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509CACB6" w14:textId="77777777" w:rsidR="00DF5143" w:rsidRPr="00D00FED" w:rsidRDefault="00DF5143" w:rsidP="007D7963">
            <w:pPr>
              <w:rPr>
                <w:rFonts w:eastAsia="Times New Roman" w:cstheme="minorHAnsi"/>
                <w:b w:val="0"/>
                <w:bCs w:val="0"/>
                <w:color w:val="000000"/>
                <w:lang w:val="en-GB"/>
              </w:rPr>
            </w:pPr>
            <w:r w:rsidRPr="00D00FED">
              <w:rPr>
                <w:rFonts w:eastAsia="Times New Roman" w:cstheme="minorHAnsi"/>
                <w:color w:val="000000"/>
                <w:lang w:val="en-GB"/>
              </w:rPr>
              <w:t>Ukupno</w:t>
            </w:r>
          </w:p>
        </w:tc>
        <w:tc>
          <w:tcPr>
            <w:tcW w:w="11770" w:type="dxa"/>
            <w:gridSpan w:val="3"/>
            <w:noWrap/>
            <w:hideMark/>
          </w:tcPr>
          <w:p w14:paraId="53E6C6DA" w14:textId="19221F7C" w:rsidR="00DF5143" w:rsidRPr="00D00FED" w:rsidRDefault="00DF5143" w:rsidP="007D796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en-GB"/>
              </w:rPr>
            </w:pPr>
            <w:r>
              <w:rPr>
                <w:rFonts w:eastAsia="Times New Roman" w:cstheme="minorHAnsi"/>
                <w:b/>
                <w:bCs/>
                <w:color w:val="000000"/>
                <w:lang w:val="en-GB"/>
              </w:rPr>
              <w:t xml:space="preserve">Ukupna iznos planiranih sredstava za </w:t>
            </w:r>
            <w:r w:rsidR="00B236F7">
              <w:rPr>
                <w:rFonts w:eastAsia="Times New Roman" w:cstheme="minorHAnsi"/>
                <w:b/>
                <w:bCs/>
                <w:color w:val="000000"/>
                <w:lang w:val="en-GB"/>
              </w:rPr>
              <w:t>sprovođenje strateškog dokumenta za period 2025-2030 iznosi minimum 1,194,400 eura</w:t>
            </w:r>
          </w:p>
        </w:tc>
      </w:tr>
    </w:tbl>
    <w:p w14:paraId="56C34D25" w14:textId="5197B9EC" w:rsidR="00C45EE7" w:rsidRDefault="00C45EE7" w:rsidP="00C45EE7"/>
    <w:p w14:paraId="3FB6C75E" w14:textId="77777777" w:rsidR="001A7B58" w:rsidRPr="001A7B58" w:rsidRDefault="001A7B58" w:rsidP="00541D68">
      <w:pPr>
        <w:pStyle w:val="Heading1"/>
        <w:rPr>
          <w:lang w:val="en-US"/>
        </w:rPr>
      </w:pPr>
      <w:bookmarkStart w:id="16" w:name="_Toc158793656"/>
      <w:bookmarkStart w:id="17" w:name="_Toc197274077"/>
      <w:r w:rsidRPr="001A7B58">
        <w:rPr>
          <w:lang w:val="en-US"/>
        </w:rPr>
        <w:t>NAČIN IZVJEŠTAVANJA I EVALUACIJA</w:t>
      </w:r>
      <w:bookmarkEnd w:id="16"/>
      <w:bookmarkEnd w:id="17"/>
    </w:p>
    <w:p w14:paraId="620B2BB3" w14:textId="49490177" w:rsidR="001A7B58" w:rsidRPr="001A7B58" w:rsidRDefault="001A7B58" w:rsidP="001A7B58">
      <w:pPr>
        <w:jc w:val="both"/>
        <w:rPr>
          <w:rFonts w:ascii="Calibri" w:eastAsia="Calibri" w:hAnsi="Calibri" w:cs="Calibri"/>
          <w:lang w:val="sr-Latn-ME"/>
        </w:rPr>
      </w:pPr>
      <w:r w:rsidRPr="001A7B58">
        <w:rPr>
          <w:rFonts w:ascii="Calibri" w:eastAsia="Calibri" w:hAnsi="Calibri" w:cs="Calibri"/>
          <w:lang w:val="sr-Latn-ME"/>
        </w:rPr>
        <w:t xml:space="preserve">Mehanizam za vršenje monitoringa i izvještavanja o sprovođenju </w:t>
      </w:r>
      <w:bookmarkStart w:id="18" w:name="_Hlk137720473"/>
      <w:r>
        <w:rPr>
          <w:rFonts w:ascii="Calibri" w:eastAsia="Calibri" w:hAnsi="Calibri" w:cs="Calibri"/>
          <w:b/>
          <w:bCs/>
          <w:lang w:val="sr-Latn-ME"/>
        </w:rPr>
        <w:t>Strategije za karijerno vođenje i savjetovanje za period 2025-2030</w:t>
      </w:r>
      <w:r w:rsidRPr="001A7B58">
        <w:rPr>
          <w:rFonts w:ascii="Calibri" w:eastAsia="Calibri" w:hAnsi="Calibri" w:cs="Calibri"/>
          <w:b/>
          <w:bCs/>
          <w:lang w:val="sr-Latn-ME"/>
        </w:rPr>
        <w:t>. godine</w:t>
      </w:r>
      <w:r>
        <w:rPr>
          <w:rFonts w:ascii="Calibri" w:eastAsia="Calibri" w:hAnsi="Calibri" w:cs="Calibri"/>
          <w:b/>
          <w:bCs/>
          <w:lang w:val="sr-Latn-ME"/>
        </w:rPr>
        <w:t>,</w:t>
      </w:r>
      <w:r w:rsidRPr="001A7B58">
        <w:rPr>
          <w:rFonts w:ascii="Calibri" w:eastAsia="Calibri" w:hAnsi="Calibri" w:cs="Calibri"/>
          <w:lang w:val="sr-Latn-ME"/>
        </w:rPr>
        <w:t xml:space="preserve"> </w:t>
      </w:r>
      <w:bookmarkEnd w:id="18"/>
      <w:r w:rsidRPr="001A7B58">
        <w:rPr>
          <w:rFonts w:ascii="Calibri" w:eastAsia="Calibri" w:hAnsi="Calibri" w:cs="Calibri"/>
          <w:lang w:val="sr-Latn-ME"/>
        </w:rPr>
        <w:t xml:space="preserve">je primarno zasnovan na radu </w:t>
      </w:r>
      <w:r>
        <w:rPr>
          <w:rFonts w:ascii="Calibri" w:eastAsia="Calibri" w:hAnsi="Calibri" w:cs="Calibri"/>
          <w:b/>
          <w:bCs/>
          <w:lang w:val="sr-Latn-ME"/>
        </w:rPr>
        <w:t>Komisije</w:t>
      </w:r>
      <w:r w:rsidRPr="001A7B58">
        <w:rPr>
          <w:rFonts w:ascii="Calibri" w:eastAsia="Calibri" w:hAnsi="Calibri" w:cs="Calibri"/>
          <w:b/>
          <w:bCs/>
          <w:lang w:val="sr-Latn-ME"/>
        </w:rPr>
        <w:t xml:space="preserve"> za praćenje sprovođenja strateškog dokumenta</w:t>
      </w:r>
      <w:r w:rsidRPr="001A7B58">
        <w:rPr>
          <w:rFonts w:ascii="Calibri" w:eastAsia="Calibri" w:hAnsi="Calibri" w:cs="Calibri"/>
          <w:lang w:val="sr-Latn-ME"/>
        </w:rPr>
        <w:t xml:space="preserve"> . </w:t>
      </w:r>
      <w:r>
        <w:rPr>
          <w:rFonts w:ascii="Calibri" w:eastAsia="Calibri" w:hAnsi="Calibri" w:cs="Calibri"/>
          <w:lang w:val="sr-Latn-ME"/>
        </w:rPr>
        <w:t>Komisija je sačinjena</w:t>
      </w:r>
      <w:r w:rsidRPr="001A7B58">
        <w:rPr>
          <w:rFonts w:ascii="Calibri" w:eastAsia="Calibri" w:hAnsi="Calibri" w:cs="Calibri"/>
          <w:lang w:val="sr-Latn-ME"/>
        </w:rPr>
        <w:t xml:space="preserve"> od predstavnika institucija koji su nosioci aktivnosti zastupljenih u Akcionom planu, kao i predstavnika svih subjekata čiji je doprinos neophodan i ključan za uspješno sprovođenje politika u oblasti droga u periodu 202</w:t>
      </w:r>
      <w:r>
        <w:rPr>
          <w:rFonts w:ascii="Calibri" w:eastAsia="Calibri" w:hAnsi="Calibri" w:cs="Calibri"/>
          <w:lang w:val="sr-Latn-ME"/>
        </w:rPr>
        <w:t>5</w:t>
      </w:r>
      <w:r w:rsidRPr="001A7B58">
        <w:rPr>
          <w:rFonts w:ascii="Calibri" w:eastAsia="Calibri" w:hAnsi="Calibri" w:cs="Calibri"/>
          <w:lang w:val="sr-Latn-ME"/>
        </w:rPr>
        <w:t>-20</w:t>
      </w:r>
      <w:r>
        <w:rPr>
          <w:rFonts w:ascii="Calibri" w:eastAsia="Calibri" w:hAnsi="Calibri" w:cs="Calibri"/>
          <w:lang w:val="sr-Latn-ME"/>
        </w:rPr>
        <w:t>30</w:t>
      </w:r>
      <w:r w:rsidRPr="001A7B58">
        <w:rPr>
          <w:rFonts w:ascii="Calibri" w:eastAsia="Calibri" w:hAnsi="Calibri" w:cs="Calibri"/>
          <w:lang w:val="sr-Latn-ME"/>
        </w:rPr>
        <w:t xml:space="preserve"> godine. </w:t>
      </w:r>
    </w:p>
    <w:p w14:paraId="619867F6" w14:textId="62C61CC3" w:rsidR="001A7B58" w:rsidRDefault="001A7B58" w:rsidP="001A7B58">
      <w:pPr>
        <w:jc w:val="both"/>
        <w:rPr>
          <w:rFonts w:ascii="Calibri" w:eastAsia="Calibri" w:hAnsi="Calibri" w:cs="Calibri"/>
          <w:lang w:val="sr-Latn-ME"/>
        </w:rPr>
      </w:pPr>
      <w:r>
        <w:rPr>
          <w:rFonts w:ascii="Calibri" w:eastAsia="Calibri" w:hAnsi="Calibri" w:cs="Calibri"/>
          <w:lang w:val="sr-Latn-ME"/>
        </w:rPr>
        <w:t>Sastav Komisije</w:t>
      </w:r>
      <w:r w:rsidRPr="001A7B58">
        <w:rPr>
          <w:rFonts w:ascii="Calibri" w:eastAsia="Calibri" w:hAnsi="Calibri" w:cs="Calibri"/>
          <w:lang w:val="sr-Latn-ME"/>
        </w:rPr>
        <w:t xml:space="preserve">: </w:t>
      </w:r>
    </w:p>
    <w:p w14:paraId="2ED944D3" w14:textId="16E07E43" w:rsidR="001A7B58" w:rsidRPr="001A7B58" w:rsidRDefault="00E655E3" w:rsidP="00BD207D">
      <w:pPr>
        <w:jc w:val="both"/>
        <w:rPr>
          <w:rFonts w:ascii="Calibri" w:eastAsia="Calibri" w:hAnsi="Calibri" w:cs="Calibri"/>
          <w:lang w:val="sr-Latn-ME"/>
        </w:rPr>
      </w:pPr>
      <w:r w:rsidRPr="00062473">
        <w:rPr>
          <w:rFonts w:cstheme="minorHAnsi"/>
          <w:noProof/>
          <w:lang w:val="en-US"/>
        </w:rPr>
        <w:lastRenderedPageBreak/>
        <w:drawing>
          <wp:inline distT="0" distB="0" distL="0" distR="0" wp14:anchorId="586EB75D" wp14:editId="51D62D7D">
            <wp:extent cx="8229600" cy="3535680"/>
            <wp:effectExtent l="38100" t="0" r="19050" b="26670"/>
            <wp:docPr id="12" name="Dij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6032212D" w14:textId="07643564" w:rsidR="001A7B58" w:rsidRPr="001A7B58" w:rsidRDefault="001A7B58" w:rsidP="001A7B58">
      <w:pPr>
        <w:jc w:val="both"/>
        <w:rPr>
          <w:rFonts w:ascii="Calibri" w:eastAsia="Calibri" w:hAnsi="Calibri" w:cs="Calibri"/>
          <w:lang w:val="sr-Latn-ME"/>
        </w:rPr>
      </w:pPr>
      <w:r w:rsidRPr="001A7B58">
        <w:rPr>
          <w:rFonts w:ascii="Calibri" w:eastAsia="Calibri" w:hAnsi="Calibri" w:cs="Calibri"/>
          <w:bCs/>
          <w:lang w:val="sr-Latn-ME"/>
        </w:rPr>
        <w:t xml:space="preserve">Ministarstvo </w:t>
      </w:r>
      <w:r>
        <w:rPr>
          <w:rFonts w:ascii="Calibri" w:eastAsia="Calibri" w:hAnsi="Calibri" w:cs="Calibri"/>
          <w:bCs/>
          <w:lang w:val="sr-Latn-ME"/>
        </w:rPr>
        <w:t>prosvjete, nauke i inovacija</w:t>
      </w:r>
      <w:r w:rsidRPr="001A7B58">
        <w:rPr>
          <w:rFonts w:ascii="Calibri" w:eastAsia="Calibri" w:hAnsi="Calibri" w:cs="Calibri"/>
          <w:lang w:val="sr-Latn-ME"/>
        </w:rPr>
        <w:t xml:space="preserve"> predstavlja instituciju nadležnu za koordinaciju rada operativnog tijela, izradu, sprovođenje i izvještavanje o sprovođenju strateškog dokumenta. Predmetni strateški dokument prati Akcioni plan koji će biti pripremljen na period od dvije godine.</w:t>
      </w:r>
    </w:p>
    <w:p w14:paraId="7E2FA2F8" w14:textId="6B4FDE70" w:rsidR="001A7B58" w:rsidRPr="001A7B58" w:rsidRDefault="001A7B58" w:rsidP="001A7B58">
      <w:pPr>
        <w:jc w:val="both"/>
        <w:rPr>
          <w:rFonts w:ascii="Calibri" w:eastAsia="Calibri" w:hAnsi="Calibri" w:cs="Calibri"/>
          <w:lang w:val="sr-Latn-ME"/>
        </w:rPr>
      </w:pPr>
      <w:r>
        <w:rPr>
          <w:rFonts w:ascii="Calibri" w:eastAsia="Calibri" w:hAnsi="Calibri" w:cs="Calibri"/>
          <w:bCs/>
          <w:lang w:val="sr-Latn-ME"/>
        </w:rPr>
        <w:t>Strategija karijernog vođenja i savjetovanja 2025-20230</w:t>
      </w:r>
      <w:r w:rsidRPr="001A7B58">
        <w:rPr>
          <w:rFonts w:ascii="Calibri" w:eastAsia="Calibri" w:hAnsi="Calibri" w:cs="Calibri"/>
          <w:bCs/>
          <w:lang w:val="sr-Latn-ME"/>
        </w:rPr>
        <w:t>,</w:t>
      </w:r>
      <w:r w:rsidRPr="001A7B58">
        <w:rPr>
          <w:rFonts w:ascii="Calibri" w:eastAsia="Calibri" w:hAnsi="Calibri" w:cs="Calibri"/>
          <w:lang w:val="sr-Latn-ME"/>
        </w:rPr>
        <w:t xml:space="preserve"> predstavlja strateški dokument za čije je sprovođenje neophodno uključivanje svih zainteresovanih institucija, kako organa državne uprave, </w:t>
      </w:r>
      <w:r>
        <w:rPr>
          <w:rFonts w:ascii="Calibri" w:eastAsia="Calibri" w:hAnsi="Calibri" w:cs="Calibri"/>
          <w:lang w:val="sr-Latn-ME"/>
        </w:rPr>
        <w:t xml:space="preserve">obrazovnih institucija, organizacija civilnog sektora i međunarodnih partnera </w:t>
      </w:r>
      <w:r w:rsidRPr="001A7B58">
        <w:rPr>
          <w:rFonts w:ascii="Calibri" w:eastAsia="Calibri" w:hAnsi="Calibri" w:cs="Calibri"/>
          <w:lang w:val="sr-Latn-ME"/>
        </w:rPr>
        <w:t>koj</w:t>
      </w:r>
      <w:r>
        <w:rPr>
          <w:rFonts w:ascii="Calibri" w:eastAsia="Calibri" w:hAnsi="Calibri" w:cs="Calibri"/>
          <w:lang w:val="sr-Latn-ME"/>
        </w:rPr>
        <w:t>i</w:t>
      </w:r>
      <w:r w:rsidRPr="001A7B58">
        <w:rPr>
          <w:rFonts w:ascii="Calibri" w:eastAsia="Calibri" w:hAnsi="Calibri" w:cs="Calibri"/>
          <w:lang w:val="sr-Latn-ME"/>
        </w:rPr>
        <w:t xml:space="preserve"> imaju značajan uticaj na razvoj politike u ovoj oblasti. Shodno tome, navedene institucije će biti u obavezi da dostavljaju informacije o aktivnostima koje realizuju u okviru akcionog plana, a radi blagovremenog i adekvatnog prikupljanja podataka za sačinjavanje godišnjih i završnog izvještaja, kao i mjerenja stepena ostvarenog učinka, ali i identifikovanja izazova koji se mogu javiti prilikom sprovođenja planiranih aktivnosti. </w:t>
      </w:r>
    </w:p>
    <w:p w14:paraId="048C0C51" w14:textId="77777777" w:rsidR="001A7B58" w:rsidRPr="001A7B58" w:rsidRDefault="001A7B58" w:rsidP="001A7B58">
      <w:pPr>
        <w:jc w:val="both"/>
        <w:rPr>
          <w:rFonts w:ascii="Calibri" w:eastAsia="Calibri" w:hAnsi="Calibri" w:cs="Calibri"/>
          <w:lang w:val="sr-Latn-ME"/>
        </w:rPr>
      </w:pPr>
      <w:r w:rsidRPr="001A7B58">
        <w:rPr>
          <w:rFonts w:ascii="Calibri" w:eastAsia="Calibri" w:hAnsi="Calibri" w:cs="Calibri"/>
          <w:lang w:val="sr-Latn-ME"/>
        </w:rPr>
        <w:t>Osnovne nadležnosti operativnog tijela se ogledaju u pripremi dvije vrste izvještaja, i to:</w:t>
      </w:r>
    </w:p>
    <w:p w14:paraId="0BC13B99" w14:textId="77777777" w:rsidR="001A7B58" w:rsidRPr="001A7B58" w:rsidRDefault="001A7B58" w:rsidP="001A7B58">
      <w:pPr>
        <w:jc w:val="both"/>
        <w:rPr>
          <w:rFonts w:ascii="Calibri" w:eastAsia="Calibri" w:hAnsi="Calibri" w:cs="Calibri"/>
          <w:lang w:val="sr-Latn-ME"/>
        </w:rPr>
      </w:pPr>
      <w:r w:rsidRPr="001A7B58">
        <w:rPr>
          <w:rFonts w:ascii="Calibri" w:eastAsia="Calibri" w:hAnsi="Calibri" w:cs="Calibri"/>
          <w:noProof/>
          <w:lang w:val="en-US"/>
        </w:rPr>
        <w:lastRenderedPageBreak/>
        <w:drawing>
          <wp:inline distT="0" distB="0" distL="0" distR="0" wp14:anchorId="55CE06FB" wp14:editId="7E18905D">
            <wp:extent cx="8145780" cy="1192530"/>
            <wp:effectExtent l="38100" t="0" r="26670" b="26670"/>
            <wp:docPr id="1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0F180A97" w14:textId="5BB8758D" w:rsidR="001A7B58" w:rsidRPr="001A7B58" w:rsidRDefault="003A7CAF" w:rsidP="001A7B58">
      <w:pPr>
        <w:jc w:val="both"/>
        <w:rPr>
          <w:rFonts w:ascii="Calibri" w:eastAsia="Calibri" w:hAnsi="Calibri" w:cs="Calibri"/>
          <w:lang w:val="sr-Latn-ME"/>
        </w:rPr>
      </w:pPr>
      <w:r>
        <w:rPr>
          <w:rFonts w:ascii="Calibri" w:eastAsia="Calibri" w:hAnsi="Calibri" w:cs="Calibri"/>
          <w:lang w:val="sr-Latn-ME"/>
        </w:rPr>
        <w:t>Komisija</w:t>
      </w:r>
      <w:r w:rsidR="001A7B58" w:rsidRPr="001A7B58">
        <w:rPr>
          <w:rFonts w:ascii="Calibri" w:eastAsia="Calibri" w:hAnsi="Calibri" w:cs="Calibri"/>
          <w:lang w:val="sr-Latn-ME"/>
        </w:rPr>
        <w:t xml:space="preserve"> će se sastajati najmanje dva puta godišnje, i na taj način blagovremeno i u kontinuitetu razmatrati proces sprovođenja predviđenih aktivnosti, kao i moguće prepreke i izazove sa kojima se institucije mogu suočavati prilikom implementacije aktivnosti. Podaci neophodni za sačinjavanje izvještaja prikupljaće se u toku trajanja cjelokupne godine i biće dostavljani Ministarstvu </w:t>
      </w:r>
      <w:r>
        <w:rPr>
          <w:rFonts w:ascii="Calibri" w:eastAsia="Calibri" w:hAnsi="Calibri" w:cs="Calibri"/>
          <w:lang w:val="sr-Latn-ME"/>
        </w:rPr>
        <w:t>prosvjete, nauke i inovacija</w:t>
      </w:r>
      <w:r w:rsidR="001A7B58" w:rsidRPr="001A7B58">
        <w:rPr>
          <w:rFonts w:ascii="Calibri" w:eastAsia="Calibri" w:hAnsi="Calibri" w:cs="Calibri"/>
          <w:lang w:val="sr-Latn-ME"/>
        </w:rPr>
        <w:t xml:space="preserve">, kao koordinacionom organu rada </w:t>
      </w:r>
      <w:r>
        <w:rPr>
          <w:rFonts w:ascii="Calibri" w:eastAsia="Calibri" w:hAnsi="Calibri" w:cs="Calibri"/>
          <w:lang w:val="sr-Latn-ME"/>
        </w:rPr>
        <w:t>Komisije</w:t>
      </w:r>
      <w:r w:rsidR="001A7B58" w:rsidRPr="001A7B58">
        <w:rPr>
          <w:rFonts w:ascii="Calibri" w:eastAsia="Calibri" w:hAnsi="Calibri" w:cs="Calibri"/>
          <w:lang w:val="sr-Latn-ME"/>
        </w:rPr>
        <w:t xml:space="preserve">. </w:t>
      </w:r>
    </w:p>
    <w:p w14:paraId="285B0A90" w14:textId="4304A900" w:rsidR="001A7B58" w:rsidRPr="001A7B58" w:rsidRDefault="001A7B58" w:rsidP="001A7B58">
      <w:pPr>
        <w:jc w:val="both"/>
        <w:rPr>
          <w:rFonts w:ascii="Calibri" w:eastAsia="Calibri" w:hAnsi="Calibri" w:cs="Calibri"/>
          <w:lang w:val="sr-Latn-ME"/>
        </w:rPr>
      </w:pPr>
      <w:r w:rsidRPr="001A7B58">
        <w:rPr>
          <w:rFonts w:ascii="Calibri" w:eastAsia="Calibri" w:hAnsi="Calibri" w:cs="Calibri"/>
          <w:lang w:val="sr-Latn-ME"/>
        </w:rPr>
        <w:t xml:space="preserve">Ministarstvo </w:t>
      </w:r>
      <w:r w:rsidR="003A7CAF">
        <w:rPr>
          <w:rFonts w:ascii="Calibri" w:eastAsia="Calibri" w:hAnsi="Calibri" w:cs="Calibri"/>
          <w:lang w:val="sr-Latn-ME"/>
        </w:rPr>
        <w:t>prosvjete, nauke i inovacija</w:t>
      </w:r>
      <w:r w:rsidRPr="001A7B58">
        <w:rPr>
          <w:rFonts w:ascii="Calibri" w:eastAsia="Calibri" w:hAnsi="Calibri" w:cs="Calibri"/>
          <w:lang w:val="sr-Latn-ME"/>
        </w:rPr>
        <w:t xml:space="preserve"> biće zaduženo za prikupljanje i objedinjavanje podataka relevantnih za sačinjavanje izvještaja, kao i za koordinaciju i rad </w:t>
      </w:r>
      <w:r w:rsidR="003A7CAF">
        <w:rPr>
          <w:rFonts w:ascii="Calibri" w:eastAsia="Calibri" w:hAnsi="Calibri" w:cs="Calibri"/>
          <w:lang w:val="sr-Latn-ME"/>
        </w:rPr>
        <w:t>Komisije</w:t>
      </w:r>
      <w:r w:rsidRPr="001A7B58">
        <w:rPr>
          <w:rFonts w:ascii="Calibri" w:eastAsia="Calibri" w:hAnsi="Calibri" w:cs="Calibri"/>
          <w:lang w:val="sr-Latn-ME"/>
        </w:rPr>
        <w:t xml:space="preserve">. U cilju obezbjeđenja transparentnosti procesa sprovođenja strategije, </w:t>
      </w:r>
      <w:r w:rsidR="003A7CAF">
        <w:rPr>
          <w:rFonts w:ascii="Calibri" w:eastAsia="Calibri" w:hAnsi="Calibri" w:cs="Calibri"/>
          <w:lang w:val="sr-Latn-ME"/>
        </w:rPr>
        <w:t xml:space="preserve">godišnji i završni </w:t>
      </w:r>
      <w:r w:rsidRPr="001A7B58">
        <w:rPr>
          <w:rFonts w:ascii="Calibri" w:eastAsia="Calibri" w:hAnsi="Calibri" w:cs="Calibri"/>
          <w:lang w:val="sr-Latn-ME"/>
        </w:rPr>
        <w:t xml:space="preserve">izvještaji će biti objavljeni na internet stranici Ministarstva </w:t>
      </w:r>
      <w:r w:rsidR="003A7CAF">
        <w:rPr>
          <w:rFonts w:ascii="Calibri" w:eastAsia="Calibri" w:hAnsi="Calibri" w:cs="Calibri"/>
          <w:lang w:val="sr-Latn-ME"/>
        </w:rPr>
        <w:t>prosvjete, nauke i inovacija</w:t>
      </w:r>
      <w:r w:rsidRPr="001A7B58">
        <w:rPr>
          <w:rFonts w:ascii="Calibri" w:eastAsia="Calibri" w:hAnsi="Calibri" w:cs="Calibri"/>
          <w:lang w:val="sr-Latn-ME"/>
        </w:rPr>
        <w:t>.</w:t>
      </w:r>
    </w:p>
    <w:p w14:paraId="47B109A2" w14:textId="77777777" w:rsidR="001A7B58" w:rsidRPr="001A7B58" w:rsidRDefault="001A7B58" w:rsidP="00541D68">
      <w:pPr>
        <w:pStyle w:val="Heading2"/>
        <w:rPr>
          <w:lang w:val="en-US"/>
        </w:rPr>
      </w:pPr>
      <w:bookmarkStart w:id="19" w:name="_Toc158793657"/>
      <w:bookmarkStart w:id="20" w:name="_Toc197274078"/>
      <w:r w:rsidRPr="001A7B58">
        <w:rPr>
          <w:lang w:val="en-US"/>
        </w:rPr>
        <w:t>EVALUACIJA</w:t>
      </w:r>
      <w:bookmarkEnd w:id="19"/>
      <w:bookmarkEnd w:id="20"/>
    </w:p>
    <w:p w14:paraId="6DCB6517" w14:textId="69C36B53" w:rsidR="001A7B58" w:rsidRPr="001A7B58" w:rsidRDefault="001A7B58" w:rsidP="001A7B58">
      <w:pPr>
        <w:spacing w:line="276" w:lineRule="auto"/>
        <w:jc w:val="both"/>
        <w:rPr>
          <w:rFonts w:ascii="Calibri" w:eastAsia="Calibri" w:hAnsi="Calibri" w:cs="Calibri"/>
          <w:bCs/>
          <w:lang w:val="sr-Latn-ME"/>
        </w:rPr>
      </w:pPr>
      <w:r w:rsidRPr="001A7B58">
        <w:rPr>
          <w:rFonts w:ascii="Calibri" w:eastAsia="Calibri" w:hAnsi="Calibri" w:cs="Calibri"/>
          <w:lang w:val="sr-Latn-ME"/>
        </w:rPr>
        <w:t xml:space="preserve">Evaluacija strateškog dokumenta biće sprovedena u vidu ex post evaluacije. Evaluacija će biti sprovedena od strane eksternih eksperata za oblast </w:t>
      </w:r>
      <w:r w:rsidR="003A7CAF">
        <w:rPr>
          <w:rFonts w:ascii="Calibri" w:eastAsia="Calibri" w:hAnsi="Calibri" w:cs="Calibri"/>
          <w:lang w:val="sr-Latn-ME"/>
        </w:rPr>
        <w:t>karijernog vođenja i savjetovanja</w:t>
      </w:r>
      <w:r w:rsidRPr="001A7B58">
        <w:rPr>
          <w:rFonts w:ascii="Calibri" w:eastAsia="Calibri" w:hAnsi="Calibri" w:cs="Calibri"/>
          <w:lang w:val="sr-Latn-ME"/>
        </w:rPr>
        <w:t xml:space="preserve">, primarno zbog složenosti i obuhvata, ali i zbog obezbjeđivanja većeg stepena objektivnosti. </w:t>
      </w:r>
      <w:r w:rsidRPr="001A7B58">
        <w:rPr>
          <w:rFonts w:ascii="Calibri" w:eastAsia="Calibri" w:hAnsi="Calibri" w:cs="Calibri"/>
          <w:b/>
          <w:lang w:val="sr-Latn-ME"/>
        </w:rPr>
        <w:t xml:space="preserve">Sredstva za sprovođenje biće obezbijeđena budžetom Ministarstva </w:t>
      </w:r>
      <w:r w:rsidR="003A7CAF">
        <w:rPr>
          <w:rFonts w:ascii="Calibri" w:eastAsia="Calibri" w:hAnsi="Calibri" w:cs="Calibri"/>
          <w:b/>
          <w:lang w:val="sr-Latn-ME"/>
        </w:rPr>
        <w:t>prosvjete, nauke i inovacija</w:t>
      </w:r>
      <w:r w:rsidRPr="001A7B58">
        <w:rPr>
          <w:rFonts w:ascii="Calibri" w:eastAsia="Calibri" w:hAnsi="Calibri" w:cs="Calibri"/>
          <w:b/>
          <w:lang w:val="sr-Latn-ME"/>
        </w:rPr>
        <w:t xml:space="preserve"> ili donatorskih organizacija, odnosno eventualne donatorske podrške koja će biti obezbijeđena u kasnijim fazama sprovođenja strateškog dokumenta</w:t>
      </w:r>
      <w:r w:rsidRPr="001A7B58">
        <w:rPr>
          <w:rFonts w:ascii="Calibri" w:eastAsia="Calibri" w:hAnsi="Calibri" w:cs="Calibri"/>
          <w:bCs/>
          <w:lang w:val="sr-Latn-ME"/>
        </w:rPr>
        <w:t xml:space="preserve">. Navedena sredstva će biti definisana u okviru poslednjeg akcionog plana za realizaciju strateškog dokumenta koji bude pripremljen. </w:t>
      </w:r>
    </w:p>
    <w:p w14:paraId="2EF20A02" w14:textId="2DBD1129" w:rsidR="001A7B58" w:rsidRPr="001A7B58" w:rsidRDefault="001A7B58" w:rsidP="001A7B58">
      <w:pPr>
        <w:spacing w:line="276" w:lineRule="auto"/>
        <w:jc w:val="both"/>
        <w:rPr>
          <w:rFonts w:ascii="Calibri" w:eastAsia="Calibri" w:hAnsi="Calibri" w:cs="Calibri"/>
          <w:lang w:val="sr-Latn-ME"/>
        </w:rPr>
      </w:pPr>
      <w:r w:rsidRPr="001A7B58">
        <w:rPr>
          <w:rFonts w:ascii="Calibri" w:eastAsia="Calibri" w:hAnsi="Calibri" w:cs="Calibri"/>
          <w:lang w:val="sr-Latn-ME"/>
        </w:rPr>
        <w:t>Planirano je da proces ex post evaluacije započeti u drugoj polovini 20</w:t>
      </w:r>
      <w:r w:rsidR="003A7CAF">
        <w:rPr>
          <w:rFonts w:ascii="Calibri" w:eastAsia="Calibri" w:hAnsi="Calibri" w:cs="Calibri"/>
          <w:lang w:val="sr-Latn-ME"/>
        </w:rPr>
        <w:t>30</w:t>
      </w:r>
      <w:r w:rsidRPr="001A7B58">
        <w:rPr>
          <w:rFonts w:ascii="Calibri" w:eastAsia="Calibri" w:hAnsi="Calibri" w:cs="Calibri"/>
          <w:lang w:val="sr-Latn-ME"/>
        </w:rPr>
        <w:t>. godine i biti završen u prvom kvartalu 20</w:t>
      </w:r>
      <w:r w:rsidR="003A7CAF">
        <w:rPr>
          <w:rFonts w:ascii="Calibri" w:eastAsia="Calibri" w:hAnsi="Calibri" w:cs="Calibri"/>
          <w:lang w:val="sr-Latn-ME"/>
        </w:rPr>
        <w:t>31</w:t>
      </w:r>
      <w:r w:rsidRPr="001A7B58">
        <w:rPr>
          <w:rFonts w:ascii="Calibri" w:eastAsia="Calibri" w:hAnsi="Calibri" w:cs="Calibri"/>
          <w:lang w:val="sr-Latn-ME"/>
        </w:rPr>
        <w:t xml:space="preserve">. godine, kako bi se pravovremeno obezbijedili nalazi evaluacije, koji će biti predstavljeni u završnom izvještaju, ali i u cilju obezbjeđivanja adekvatnih osnova za kreiranje potencijalno novog strateškog dokumenta. Nalazi evaluacije daće jasan i precizan prikaz uspješnosti sprovođenja </w:t>
      </w:r>
      <w:r w:rsidR="003A7CAF">
        <w:rPr>
          <w:rFonts w:ascii="Calibri" w:eastAsia="Calibri" w:hAnsi="Calibri" w:cs="Calibri"/>
          <w:lang w:val="sr-Latn-ME"/>
        </w:rPr>
        <w:t>predmetne javne politike</w:t>
      </w:r>
      <w:r w:rsidRPr="001A7B58">
        <w:rPr>
          <w:rFonts w:ascii="Calibri" w:eastAsia="Calibri" w:hAnsi="Calibri" w:cs="Calibri"/>
          <w:lang w:val="sr-Latn-ME"/>
        </w:rPr>
        <w:t xml:space="preserve"> kroz unificiran strateški dokument. Na ovaj način nastoji se odrediti da li se postižu planirani efekti zajedničkim djelovanjem, odnosno da li sprovedene aktivnosti vode ka unapređenju </w:t>
      </w:r>
      <w:r w:rsidR="003A7CAF">
        <w:rPr>
          <w:rFonts w:ascii="Calibri" w:eastAsia="Calibri" w:hAnsi="Calibri" w:cs="Calibri"/>
          <w:lang w:val="sr-Latn-ME"/>
        </w:rPr>
        <w:t>sistema karijernog vođenja i savjetovanja</w:t>
      </w:r>
      <w:r w:rsidRPr="001A7B58">
        <w:rPr>
          <w:rFonts w:ascii="Calibri" w:eastAsia="Calibri" w:hAnsi="Calibri" w:cs="Calibri"/>
          <w:lang w:val="sr-Latn-ME"/>
        </w:rPr>
        <w:t xml:space="preserve"> u Crnoj Gori.</w:t>
      </w:r>
    </w:p>
    <w:p w14:paraId="1676C2E0" w14:textId="297FDD1A" w:rsidR="001A7B58" w:rsidRPr="001A7B58" w:rsidRDefault="001A7B58" w:rsidP="00541D68">
      <w:pPr>
        <w:pStyle w:val="Heading1"/>
        <w:rPr>
          <w:lang w:val="en-US"/>
        </w:rPr>
      </w:pPr>
      <w:bookmarkStart w:id="21" w:name="_Toc158793658"/>
      <w:bookmarkStart w:id="22" w:name="_Toc197274079"/>
      <w:r w:rsidRPr="001A7B58">
        <w:rPr>
          <w:lang w:val="en-US"/>
        </w:rPr>
        <w:lastRenderedPageBreak/>
        <w:t xml:space="preserve">INFORMACIJA ZA JAVNOST O CILJEVIMA I OČEKIVANIM UČINCIMA </w:t>
      </w:r>
      <w:r w:rsidR="003A7CAF">
        <w:rPr>
          <w:lang w:val="en-US"/>
        </w:rPr>
        <w:t>STRATEŠKOG DOKUMENTA</w:t>
      </w:r>
      <w:r w:rsidRPr="001A7B58">
        <w:rPr>
          <w:lang w:val="en-US"/>
        </w:rPr>
        <w:t xml:space="preserve"> U SKLADU SA KOMUNIKACIONOM STRATEGIJOM VLADE CRNE GORE</w:t>
      </w:r>
      <w:bookmarkEnd w:id="21"/>
      <w:bookmarkEnd w:id="22"/>
    </w:p>
    <w:p w14:paraId="651EBE2D" w14:textId="77777777" w:rsidR="001A7B58" w:rsidRPr="001A7B58" w:rsidRDefault="001A7B58" w:rsidP="001A7B58">
      <w:pPr>
        <w:autoSpaceDE w:val="0"/>
        <w:autoSpaceDN w:val="0"/>
        <w:adjustRightInd w:val="0"/>
        <w:spacing w:after="0" w:line="276" w:lineRule="auto"/>
        <w:contextualSpacing/>
        <w:rPr>
          <w:rFonts w:ascii="Calibri" w:eastAsia="Times New Roman" w:hAnsi="Calibri" w:cs="Calibri"/>
          <w:b/>
          <w:bCs/>
          <w:color w:val="000000"/>
          <w:lang w:val="sr-Latn-ME"/>
        </w:rPr>
      </w:pPr>
    </w:p>
    <w:p w14:paraId="6772A407" w14:textId="1CD85AC8" w:rsidR="001A7B58" w:rsidRPr="00D02C88" w:rsidRDefault="001A7B58" w:rsidP="001A7B58">
      <w:pPr>
        <w:autoSpaceDE w:val="0"/>
        <w:autoSpaceDN w:val="0"/>
        <w:adjustRightInd w:val="0"/>
        <w:spacing w:after="0" w:line="276" w:lineRule="auto"/>
        <w:contextualSpacing/>
        <w:jc w:val="both"/>
        <w:rPr>
          <w:rFonts w:ascii="Calibri" w:eastAsia="Calibri" w:hAnsi="Calibri" w:cs="Calibri"/>
          <w:lang w:val="sr-Latn-ME"/>
        </w:rPr>
      </w:pPr>
      <w:r w:rsidRPr="00D02C88">
        <w:rPr>
          <w:rFonts w:ascii="Calibri" w:eastAsia="Calibri" w:hAnsi="Calibri" w:cs="Calibri"/>
          <w:lang w:val="sr-Latn-ME"/>
        </w:rPr>
        <w:t>Tokom ciklusa planiranja i sp</w:t>
      </w:r>
      <w:r w:rsidR="00D02C88">
        <w:rPr>
          <w:rFonts w:ascii="Calibri" w:eastAsia="Calibri" w:hAnsi="Calibri" w:cs="Calibri"/>
          <w:lang w:val="sr-Latn-ME"/>
        </w:rPr>
        <w:t>r</w:t>
      </w:r>
      <w:r w:rsidRPr="00D02C88">
        <w:rPr>
          <w:rFonts w:ascii="Calibri" w:eastAsia="Calibri" w:hAnsi="Calibri" w:cs="Calibri"/>
          <w:lang w:val="sr-Latn-ME"/>
        </w:rPr>
        <w:t xml:space="preserve">ovođenja strateškog dokumenta, komuniciranje reformskih aktivnosti sastavni je dio faze sprovođenja planiranih aktivnosti. Informativni instrumenti politika podrazumijevaju sprovođenje različitih kampanja, obuka, različite PR aktivnosti, izradu informativnih lifleta i brošura, pisanje publikacija, u cilju afirmisanja važnosti date javne politike, odnosno rješenja koja se nude predmetnim strateškim dokumentom. Strategijom su planirane i promotivne aktivnosti u cilju postizanja ciljeva, i to: </w:t>
      </w:r>
    </w:p>
    <w:p w14:paraId="340B9F06" w14:textId="77777777" w:rsidR="001A7B58" w:rsidRPr="00D02C88" w:rsidRDefault="001A7B58" w:rsidP="001A7B58">
      <w:pPr>
        <w:numPr>
          <w:ilvl w:val="0"/>
          <w:numId w:val="23"/>
        </w:numPr>
        <w:autoSpaceDE w:val="0"/>
        <w:autoSpaceDN w:val="0"/>
        <w:adjustRightInd w:val="0"/>
        <w:spacing w:after="0" w:line="276" w:lineRule="auto"/>
        <w:contextualSpacing/>
        <w:jc w:val="both"/>
        <w:rPr>
          <w:rFonts w:ascii="Calibri" w:eastAsia="Calibri" w:hAnsi="Calibri" w:cs="Calibri"/>
          <w:lang w:val="sr-Latn-ME"/>
        </w:rPr>
      </w:pPr>
    </w:p>
    <w:p w14:paraId="09D0425B" w14:textId="2A039131" w:rsidR="001A7B58" w:rsidRPr="00D02C88" w:rsidRDefault="001A7B58" w:rsidP="001A7B58">
      <w:pPr>
        <w:autoSpaceDE w:val="0"/>
        <w:autoSpaceDN w:val="0"/>
        <w:adjustRightInd w:val="0"/>
        <w:spacing w:after="0" w:line="276" w:lineRule="auto"/>
        <w:contextualSpacing/>
        <w:jc w:val="both"/>
        <w:rPr>
          <w:rFonts w:ascii="Calibri" w:eastAsia="Times New Roman" w:hAnsi="Calibri" w:cs="Calibri"/>
          <w:b/>
          <w:bCs/>
          <w:color w:val="000000"/>
          <w:lang w:val="sr-Latn-ME"/>
        </w:rPr>
      </w:pPr>
      <w:r w:rsidRPr="00D02C88">
        <w:rPr>
          <w:rFonts w:ascii="Calibri" w:eastAsia="Calibri" w:hAnsi="Calibri" w:cs="Calibri"/>
          <w:lang w:val="sr-Latn-ME"/>
        </w:rPr>
        <w:t xml:space="preserve">Na kraju, veliki je značaj u informisanju ciljnih grupa kao i ukupne javnosti, putem portala i društvenih mreža Ministarstva </w:t>
      </w:r>
      <w:r w:rsidR="003A7CAF" w:rsidRPr="00D02C88">
        <w:rPr>
          <w:rFonts w:ascii="Calibri" w:eastAsia="Calibri" w:hAnsi="Calibri" w:cs="Calibri"/>
          <w:lang w:val="sr-Latn-ME"/>
        </w:rPr>
        <w:t>prosvjete, nauke i inovacija, kao i svih partnerskih institucija koji učestvuju u procesu implementacije javne politike.</w:t>
      </w:r>
    </w:p>
    <w:p w14:paraId="44C47484" w14:textId="77777777" w:rsidR="001A7B58" w:rsidRPr="00C45EE7" w:rsidRDefault="001A7B58" w:rsidP="00C45EE7"/>
    <w:sectPr w:rsidR="001A7B58" w:rsidRPr="00C45EE7" w:rsidSect="0036318D">
      <w:footerReference w:type="default" r:id="rId44"/>
      <w:pgSz w:w="15840" w:h="12240" w:orient="landscape"/>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A7643" w16cex:dateUtc="2025-03-11T07: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CF30A" w14:textId="77777777" w:rsidR="00A037FB" w:rsidRDefault="00A037FB" w:rsidP="00A12B26">
      <w:pPr>
        <w:spacing w:after="0" w:line="240" w:lineRule="auto"/>
      </w:pPr>
      <w:r>
        <w:separator/>
      </w:r>
    </w:p>
  </w:endnote>
  <w:endnote w:type="continuationSeparator" w:id="0">
    <w:p w14:paraId="47AD0F61" w14:textId="77777777" w:rsidR="00A037FB" w:rsidRDefault="00A037FB" w:rsidP="00A1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39924"/>
      <w:docPartObj>
        <w:docPartGallery w:val="Page Numbers (Bottom of Page)"/>
        <w:docPartUnique/>
      </w:docPartObj>
    </w:sdtPr>
    <w:sdtEndPr/>
    <w:sdtContent>
      <w:p w14:paraId="4C61B8A3" w14:textId="068163A4" w:rsidR="0036318D" w:rsidRDefault="0036318D">
        <w:pPr>
          <w:pStyle w:val="Footer"/>
          <w:jc w:val="right"/>
        </w:pPr>
        <w:r>
          <w:fldChar w:fldCharType="begin"/>
        </w:r>
        <w:r>
          <w:instrText>PAGE   \* MERGEFORMAT</w:instrText>
        </w:r>
        <w:r>
          <w:fldChar w:fldCharType="separate"/>
        </w:r>
        <w:r w:rsidR="00BF3864" w:rsidRPr="00BF3864">
          <w:rPr>
            <w:noProof/>
            <w:lang w:val="sr-Latn-RS"/>
          </w:rPr>
          <w:t>20</w:t>
        </w:r>
        <w:r>
          <w:fldChar w:fldCharType="end"/>
        </w:r>
      </w:p>
    </w:sdtContent>
  </w:sdt>
  <w:p w14:paraId="6123E62F" w14:textId="77777777" w:rsidR="0036318D" w:rsidRDefault="00363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FB03A" w14:textId="77777777" w:rsidR="00A037FB" w:rsidRDefault="00A037FB" w:rsidP="00A12B26">
      <w:pPr>
        <w:spacing w:after="0" w:line="240" w:lineRule="auto"/>
      </w:pPr>
      <w:r>
        <w:separator/>
      </w:r>
    </w:p>
  </w:footnote>
  <w:footnote w:type="continuationSeparator" w:id="0">
    <w:p w14:paraId="63785D0F" w14:textId="77777777" w:rsidR="00A037FB" w:rsidRDefault="00A037FB" w:rsidP="00A12B26">
      <w:pPr>
        <w:spacing w:after="0" w:line="240" w:lineRule="auto"/>
      </w:pPr>
      <w:r>
        <w:continuationSeparator/>
      </w:r>
    </w:p>
  </w:footnote>
  <w:footnote w:id="1">
    <w:p w14:paraId="3407C074" w14:textId="77777777" w:rsidR="008E35E8" w:rsidRDefault="008E35E8" w:rsidP="008E35E8">
      <w:pPr>
        <w:pStyle w:val="FootnoteText"/>
      </w:pPr>
      <w:r>
        <w:rPr>
          <w:rStyle w:val="FootnoteReference"/>
        </w:rPr>
        <w:footnoteRef/>
      </w:r>
      <w:r>
        <w:t>Strategija cjeloživotne karijerne orijentacije u Crnoj Gori (za period 2011-2015 i za period 2016-2020)</w:t>
      </w:r>
    </w:p>
  </w:footnote>
  <w:footnote w:id="2">
    <w:p w14:paraId="286EE700" w14:textId="7011D347" w:rsidR="008E35E8" w:rsidRDefault="008E35E8" w:rsidP="008E35E8">
      <w:pPr>
        <w:pStyle w:val="FootnoteText"/>
      </w:pPr>
      <w:r>
        <w:rPr>
          <w:rStyle w:val="FootnoteReference"/>
        </w:rPr>
        <w:footnoteRef/>
      </w:r>
      <w:r>
        <w:t>Strategija cjeloživotne karijerne orijentacije u Crnoj Gori (2016-2020)</w:t>
      </w:r>
      <w:r w:rsidR="00181585">
        <w:t xml:space="preserve">, </w:t>
      </w:r>
      <w:hyperlink r:id="rId1" w:history="1">
        <w:r w:rsidR="00181585" w:rsidRPr="009237B1">
          <w:rPr>
            <w:rStyle w:val="Hyperlink"/>
          </w:rPr>
          <w:t>https://www.gov.me/dokumenta/baff7630-6981-451a-ac1f-011f8a64b4f3</w:t>
        </w:r>
      </w:hyperlink>
      <w:r w:rsidR="00181585">
        <w:t xml:space="preserve"> </w:t>
      </w:r>
    </w:p>
  </w:footnote>
  <w:footnote w:id="3">
    <w:p w14:paraId="41A0C211" w14:textId="08F8091D" w:rsidR="008E35E8" w:rsidRDefault="008E35E8" w:rsidP="008E35E8">
      <w:pPr>
        <w:pStyle w:val="FootnoteText"/>
      </w:pPr>
      <w:r>
        <w:rPr>
          <w:rStyle w:val="FootnoteReference"/>
        </w:rPr>
        <w:footnoteRef/>
      </w:r>
      <w:r>
        <w:t>Zakon o osnovnom obrazovanju i vaspitanju Crne Gore</w:t>
      </w:r>
      <w:r w:rsidR="00181585">
        <w:t xml:space="preserve">, </w:t>
      </w:r>
      <w:hyperlink r:id="rId2" w:history="1">
        <w:r w:rsidR="00181585" w:rsidRPr="009237B1">
          <w:rPr>
            <w:rStyle w:val="Hyperlink"/>
          </w:rPr>
          <w:t>https://www.gov.me/dokumenta/2b95ffd7-5e65-484e-bcd4-0b3bd7ef2fac</w:t>
        </w:r>
      </w:hyperlink>
      <w:r w:rsidR="00181585">
        <w:t xml:space="preserve"> </w:t>
      </w:r>
    </w:p>
  </w:footnote>
  <w:footnote w:id="4">
    <w:p w14:paraId="22E14701" w14:textId="3A4C9E20" w:rsidR="00741EE2" w:rsidRPr="00741EE2" w:rsidRDefault="00741EE2">
      <w:pPr>
        <w:pStyle w:val="FootnoteText"/>
        <w:rPr>
          <w:lang w:val="sr-Latn-RS"/>
        </w:rPr>
      </w:pPr>
      <w:r>
        <w:rPr>
          <w:rStyle w:val="FootnoteReference"/>
        </w:rPr>
        <w:footnoteRef/>
      </w:r>
      <w:r>
        <w:t xml:space="preserve"> </w:t>
      </w:r>
      <w:r>
        <w:rPr>
          <w:lang w:val="sr-Latn-RS"/>
        </w:rPr>
        <w:t>Zakon o stručnom obrazovanju</w:t>
      </w:r>
      <w:r w:rsidR="00181585">
        <w:rPr>
          <w:lang w:val="sr-Latn-RS"/>
        </w:rPr>
        <w:t xml:space="preserve">, </w:t>
      </w:r>
      <w:hyperlink r:id="rId3" w:history="1">
        <w:r w:rsidR="00181585" w:rsidRPr="009237B1">
          <w:rPr>
            <w:rStyle w:val="Hyperlink"/>
            <w:lang w:val="sr-Latn-RS"/>
          </w:rPr>
          <w:t>https://www.gov.me/dokumenta/6a05cf00-25ca-4f77-89c4-468ceb994eb6</w:t>
        </w:r>
      </w:hyperlink>
      <w:r w:rsidR="00181585">
        <w:rPr>
          <w:lang w:val="sr-Latn-RS"/>
        </w:rPr>
        <w:t xml:space="preserve"> </w:t>
      </w:r>
    </w:p>
  </w:footnote>
  <w:footnote w:id="5">
    <w:p w14:paraId="4F41E290" w14:textId="2EDD5449" w:rsidR="008E35E8" w:rsidRDefault="008E35E8" w:rsidP="008E35E8">
      <w:pPr>
        <w:pStyle w:val="FootnoteText"/>
      </w:pPr>
      <w:r>
        <w:rPr>
          <w:rStyle w:val="FootnoteReference"/>
        </w:rPr>
        <w:footnoteRef/>
      </w:r>
      <w:r>
        <w:t>Zakon o nacionalnim stručnim kvalifikacijama</w:t>
      </w:r>
      <w:r w:rsidR="00181585">
        <w:t xml:space="preserve">, </w:t>
      </w:r>
      <w:hyperlink r:id="rId4" w:history="1">
        <w:r w:rsidR="00181585" w:rsidRPr="009237B1">
          <w:rPr>
            <w:rStyle w:val="Hyperlink"/>
          </w:rPr>
          <w:t>https://www.gov.me/dokumenta/c7fbc41d-a5e6-4056-b8fa-c5982ea8d611</w:t>
        </w:r>
      </w:hyperlink>
      <w:r w:rsidR="00181585">
        <w:t xml:space="preserve"> </w:t>
      </w:r>
    </w:p>
  </w:footnote>
  <w:footnote w:id="6">
    <w:p w14:paraId="2D9D86BB" w14:textId="4766703C" w:rsidR="008E35E8" w:rsidRDefault="008E35E8" w:rsidP="008E35E8">
      <w:pPr>
        <w:pStyle w:val="FootnoteText"/>
      </w:pPr>
      <w:r>
        <w:rPr>
          <w:rStyle w:val="FootnoteReference"/>
        </w:rPr>
        <w:footnoteRef/>
      </w:r>
      <w:r>
        <w:t>Zakon o zapošljavanju i ostvarivanju prava iz osiguranja od nezaposlenosti Crne Gore</w:t>
      </w:r>
      <w:r w:rsidR="00181585">
        <w:t xml:space="preserve">, </w:t>
      </w:r>
      <w:hyperlink r:id="rId5" w:history="1">
        <w:r w:rsidR="00181585" w:rsidRPr="009237B1">
          <w:rPr>
            <w:rStyle w:val="Hyperlink"/>
          </w:rPr>
          <w:t>https://www.gov.me/dokumenta/e4974ce7-2e58-4cce-b8ff-577ab3350f8e</w:t>
        </w:r>
      </w:hyperlink>
      <w:r w:rsidR="00181585">
        <w:t xml:space="preserve"> </w:t>
      </w:r>
    </w:p>
  </w:footnote>
  <w:footnote w:id="7">
    <w:p w14:paraId="70687134" w14:textId="2784CFEB" w:rsidR="00815D89" w:rsidRPr="00815D89" w:rsidRDefault="00815D89">
      <w:pPr>
        <w:pStyle w:val="FootnoteText"/>
        <w:rPr>
          <w:lang w:val="sr-Latn-RS"/>
        </w:rPr>
      </w:pPr>
      <w:r>
        <w:rPr>
          <w:rStyle w:val="FootnoteReference"/>
        </w:rPr>
        <w:footnoteRef/>
      </w:r>
      <w:r>
        <w:t xml:space="preserve"> </w:t>
      </w:r>
      <w:r w:rsidRPr="00815D89">
        <w:t>Srednjoročni program rada Vlade Crne Gore 2024-2027</w:t>
      </w:r>
      <w:r>
        <w:t xml:space="preserve">, </w:t>
      </w:r>
      <w:hyperlink r:id="rId6" w:history="1">
        <w:r w:rsidRPr="009237B1">
          <w:rPr>
            <w:rStyle w:val="Hyperlink"/>
          </w:rPr>
          <w:t>https://www.gov.me/dokumenta/ee885398-748f-48fd-912a-29bbac334bfb</w:t>
        </w:r>
      </w:hyperlink>
      <w:r>
        <w:t xml:space="preserve"> </w:t>
      </w:r>
    </w:p>
  </w:footnote>
  <w:footnote w:id="8">
    <w:p w14:paraId="56DDB983" w14:textId="6D66123C" w:rsidR="00DA5696" w:rsidRPr="00DA5696" w:rsidRDefault="00DA5696">
      <w:pPr>
        <w:pStyle w:val="FootnoteText"/>
        <w:rPr>
          <w:lang w:val="sr-Latn-RS"/>
        </w:rPr>
      </w:pPr>
      <w:r>
        <w:rPr>
          <w:rStyle w:val="FootnoteReference"/>
        </w:rPr>
        <w:footnoteRef/>
      </w:r>
      <w:r>
        <w:t xml:space="preserve"> </w:t>
      </w:r>
      <w:r>
        <w:rPr>
          <w:lang w:val="sr-Latn-RS"/>
        </w:rPr>
        <w:t xml:space="preserve">Reformska agenda Crne Gore, </w:t>
      </w:r>
      <w:hyperlink r:id="rId7" w:history="1">
        <w:r w:rsidRPr="009237B1">
          <w:rPr>
            <w:rStyle w:val="Hyperlink"/>
            <w:lang w:val="sr-Latn-RS"/>
          </w:rPr>
          <w:t>https://www.eu.me/download/1696/crna-gora-i-eu/31923/reformska-agenda-crne-gore-2024-2027.pdf</w:t>
        </w:r>
      </w:hyperlink>
      <w:r>
        <w:rPr>
          <w:lang w:val="sr-Latn-RS"/>
        </w:rPr>
        <w:t xml:space="preserve"> </w:t>
      </w:r>
    </w:p>
  </w:footnote>
  <w:footnote w:id="9">
    <w:p w14:paraId="2A8BF7EA" w14:textId="154A19A7" w:rsidR="00CC28BC" w:rsidRPr="00CC28BC" w:rsidRDefault="00CC28BC" w:rsidP="00CC28BC">
      <w:pPr>
        <w:pStyle w:val="FootnoteText"/>
        <w:rPr>
          <w:lang w:val="sr-Latn-RS"/>
        </w:rPr>
      </w:pPr>
      <w:r>
        <w:rPr>
          <w:rStyle w:val="FootnoteReference"/>
        </w:rPr>
        <w:footnoteRef/>
      </w:r>
      <w:r>
        <w:t xml:space="preserve"> </w:t>
      </w:r>
      <w:r w:rsidRPr="00CC28BC">
        <w:t>Program pristupanja Crne Gore Evropskoj uniji 2025 – 2026</w:t>
      </w:r>
      <w:r>
        <w:t xml:space="preserve">, </w:t>
      </w:r>
      <w:hyperlink r:id="rId8" w:history="1">
        <w:r w:rsidR="001C77DD" w:rsidRPr="009237B1">
          <w:rPr>
            <w:rStyle w:val="Hyperlink"/>
          </w:rPr>
          <w:t>https://www.gov.me/dokumenta/abf74c06-91a3-446d-a88f-6c97667ba2da</w:t>
        </w:r>
      </w:hyperlink>
      <w:r w:rsidR="001C77DD">
        <w:t xml:space="preserve"> </w:t>
      </w:r>
    </w:p>
  </w:footnote>
  <w:footnote w:id="10">
    <w:p w14:paraId="5B88AF76" w14:textId="02766BF9" w:rsidR="0050323C" w:rsidRPr="0050323C" w:rsidRDefault="0050323C">
      <w:pPr>
        <w:pStyle w:val="FootnoteText"/>
        <w:rPr>
          <w:lang w:val="sr-Latn-RS"/>
        </w:rPr>
      </w:pPr>
      <w:r>
        <w:rPr>
          <w:rStyle w:val="FootnoteReference"/>
        </w:rPr>
        <w:footnoteRef/>
      </w:r>
      <w:r>
        <w:t xml:space="preserve"> </w:t>
      </w:r>
      <w:r w:rsidRPr="0050323C">
        <w:t>Nacionalna strategija zapošljavanja 2021 – 2025</w:t>
      </w:r>
      <w:r>
        <w:t xml:space="preserve">, </w:t>
      </w:r>
      <w:hyperlink r:id="rId9" w:history="1">
        <w:r w:rsidRPr="009237B1">
          <w:rPr>
            <w:rStyle w:val="Hyperlink"/>
          </w:rPr>
          <w:t>https://www.zzzcg.me/wp-content/uploads/2022/02/predlog-nacionalne-strategije-zaposljavanja-2021-2025-s-predlogom-akcionog-plana-zaposljavanja-za-2021-godinu.pdf</w:t>
        </w:r>
      </w:hyperlink>
      <w:r>
        <w:t xml:space="preserve"> </w:t>
      </w:r>
    </w:p>
  </w:footnote>
  <w:footnote w:id="11">
    <w:p w14:paraId="500F5BB6" w14:textId="332D6FDC" w:rsidR="00225909" w:rsidRPr="00225909" w:rsidRDefault="00225909">
      <w:pPr>
        <w:pStyle w:val="FootnoteText"/>
        <w:rPr>
          <w:lang w:val="sr-Latn-RS"/>
        </w:rPr>
      </w:pPr>
      <w:r>
        <w:rPr>
          <w:rStyle w:val="FootnoteReference"/>
        </w:rPr>
        <w:footnoteRef/>
      </w:r>
      <w:r>
        <w:t xml:space="preserve"> </w:t>
      </w:r>
      <w:r>
        <w:rPr>
          <w:lang w:val="sr-Latn-RS"/>
        </w:rPr>
        <w:t xml:space="preserve">Strategija reforme obrazovanja 2025-2035, </w:t>
      </w:r>
      <w:hyperlink r:id="rId10" w:history="1">
        <w:r w:rsidR="005527F9" w:rsidRPr="0033165B">
          <w:rPr>
            <w:rStyle w:val="Hyperlink"/>
            <w:lang w:val="sr-Latn-RS"/>
          </w:rPr>
          <w:t>https://www.gov.me/dokumenta/73f999b6-b879-4868-a72d-e670ce78f77f</w:t>
        </w:r>
      </w:hyperlink>
      <w:r w:rsidR="005527F9">
        <w:rPr>
          <w:lang w:val="sr-Latn-RS"/>
        </w:rPr>
        <w:t xml:space="preserve"> </w:t>
      </w:r>
    </w:p>
  </w:footnote>
  <w:footnote w:id="12">
    <w:p w14:paraId="2DC5DF25" w14:textId="0B41917A" w:rsidR="009F6158" w:rsidRPr="009F6158" w:rsidRDefault="009F6158">
      <w:pPr>
        <w:pStyle w:val="FootnoteText"/>
        <w:rPr>
          <w:lang w:val="sr-Latn-RS"/>
        </w:rPr>
      </w:pPr>
      <w:r>
        <w:rPr>
          <w:rStyle w:val="FootnoteReference"/>
        </w:rPr>
        <w:footnoteRef/>
      </w:r>
      <w:r>
        <w:t xml:space="preserve"> </w:t>
      </w:r>
      <w:r w:rsidRPr="009F6158">
        <w:t>Industrijska politika Crne Gore  2024-2028</w:t>
      </w:r>
      <w:r>
        <w:t xml:space="preserve">, </w:t>
      </w:r>
      <w:hyperlink r:id="rId11" w:history="1">
        <w:r w:rsidR="001C77DD" w:rsidRPr="009237B1">
          <w:rPr>
            <w:rStyle w:val="Hyperlink"/>
          </w:rPr>
          <w:t>https://wapi.gov.me/download-preview/46dc2fa2-6885-482c-8c59-8179a69c68b6?version=1.0</w:t>
        </w:r>
      </w:hyperlink>
      <w:r w:rsidR="001C77DD">
        <w:t xml:space="preserve"> </w:t>
      </w:r>
    </w:p>
  </w:footnote>
  <w:footnote w:id="13">
    <w:p w14:paraId="722B9873" w14:textId="574228EE" w:rsidR="0050323C" w:rsidRPr="0050323C" w:rsidRDefault="0050323C">
      <w:pPr>
        <w:pStyle w:val="FootnoteText"/>
        <w:rPr>
          <w:lang w:val="sr-Latn-RS"/>
        </w:rPr>
      </w:pPr>
      <w:r>
        <w:rPr>
          <w:rStyle w:val="FootnoteReference"/>
        </w:rPr>
        <w:footnoteRef/>
      </w:r>
      <w:r>
        <w:t xml:space="preserve"> </w:t>
      </w:r>
      <w:r w:rsidRPr="0050323C">
        <w:t xml:space="preserve">Strategija za digitalizaciju obrazovnog sistema 2022 </w:t>
      </w:r>
      <w:r>
        <w:t>–</w:t>
      </w:r>
      <w:r w:rsidRPr="0050323C">
        <w:t xml:space="preserve"> 2027</w:t>
      </w:r>
      <w:r>
        <w:t xml:space="preserve">, </w:t>
      </w:r>
      <w:hyperlink r:id="rId12" w:history="1">
        <w:r w:rsidRPr="009237B1">
          <w:rPr>
            <w:rStyle w:val="Hyperlink"/>
          </w:rPr>
          <w:t>https://www.skolskiportal.edu.me/Docs/Opti%20dokumenti/Strategija%20za%20digitalizaciju%20obrazovnog%20sistema%202022-2027%20sa%20Akcionim%20planom%202022-2023.pdf</w:t>
        </w:r>
      </w:hyperlink>
      <w:r>
        <w:t xml:space="preserve"> </w:t>
      </w:r>
    </w:p>
  </w:footnote>
  <w:footnote w:id="14">
    <w:p w14:paraId="251E51AB" w14:textId="4F071DD0" w:rsidR="0050323C" w:rsidRPr="0050323C" w:rsidRDefault="0050323C">
      <w:pPr>
        <w:pStyle w:val="FootnoteText"/>
        <w:rPr>
          <w:lang w:val="sr-Latn-RS"/>
        </w:rPr>
      </w:pPr>
      <w:r>
        <w:rPr>
          <w:rStyle w:val="FootnoteReference"/>
        </w:rPr>
        <w:footnoteRef/>
      </w:r>
      <w:r>
        <w:t xml:space="preserve"> </w:t>
      </w:r>
      <w:r w:rsidRPr="0050323C">
        <w:t>Nacionalnom strategijom održivog razvoja u Crnoj Gori 2016-2030</w:t>
      </w:r>
      <w:r>
        <w:t xml:space="preserve">, </w:t>
      </w:r>
      <w:hyperlink r:id="rId13" w:history="1">
        <w:r w:rsidRPr="009237B1">
          <w:rPr>
            <w:rStyle w:val="Hyperlink"/>
          </w:rPr>
          <w:t>https://www.gov.me/dokumenta/67dc487e-097d-41d2-8fd5-7827a19a1f5a</w:t>
        </w:r>
      </w:hyperlink>
      <w:r>
        <w:t xml:space="preserve"> </w:t>
      </w:r>
    </w:p>
  </w:footnote>
  <w:footnote w:id="15">
    <w:p w14:paraId="0FCE163B" w14:textId="69211C08" w:rsidR="00B433BA" w:rsidRPr="00B433BA" w:rsidRDefault="00B433BA">
      <w:pPr>
        <w:pStyle w:val="FootnoteText"/>
        <w:rPr>
          <w:lang w:val="sr-Latn-RS"/>
        </w:rPr>
      </w:pPr>
      <w:r>
        <w:rPr>
          <w:rStyle w:val="FootnoteReference"/>
        </w:rPr>
        <w:footnoteRef/>
      </w:r>
      <w:r>
        <w:t xml:space="preserve"> S</w:t>
      </w:r>
      <w:r w:rsidRPr="00B433BA">
        <w:t>trategij</w:t>
      </w:r>
      <w:r>
        <w:t>a</w:t>
      </w:r>
      <w:r w:rsidRPr="00B433BA">
        <w:t xml:space="preserve"> razvoja mikro, malih i srednjih preduzeća u Crnoj Gori 2023-2026</w:t>
      </w:r>
      <w:r>
        <w:t>,</w:t>
      </w:r>
      <w:r w:rsidR="00201CEF">
        <w:t xml:space="preserve"> </w:t>
      </w:r>
      <w:hyperlink r:id="rId14" w:history="1">
        <w:r w:rsidR="00201CEF" w:rsidRPr="0033165B">
          <w:rPr>
            <w:rStyle w:val="Hyperlink"/>
          </w:rPr>
          <w:t>https://www.gov.me/dokumenta/3e145aba-089d-40bf-8bbb-6e7a91b3e873</w:t>
        </w:r>
      </w:hyperlink>
      <w:r w:rsidR="00201CEF">
        <w:t xml:space="preserve"> </w:t>
      </w:r>
    </w:p>
  </w:footnote>
  <w:footnote w:id="16">
    <w:p w14:paraId="54E403E1" w14:textId="6C0EA70B" w:rsidR="0050323C" w:rsidRPr="0050323C" w:rsidRDefault="0050323C">
      <w:pPr>
        <w:pStyle w:val="FootnoteText"/>
        <w:rPr>
          <w:lang w:val="sr-Latn-RS"/>
        </w:rPr>
      </w:pPr>
      <w:r>
        <w:rPr>
          <w:rStyle w:val="FootnoteReference"/>
        </w:rPr>
        <w:footnoteRef/>
      </w:r>
      <w:r>
        <w:t xml:space="preserve"> </w:t>
      </w:r>
      <w:r w:rsidRPr="0050323C">
        <w:t>Nacionalna strategija rodne ravnopravnosti 2021-2025</w:t>
      </w:r>
      <w:r>
        <w:t xml:space="preserve">, </w:t>
      </w:r>
      <w:hyperlink r:id="rId15" w:history="1">
        <w:r w:rsidRPr="009237B1">
          <w:rPr>
            <w:rStyle w:val="Hyperlink"/>
          </w:rPr>
          <w:t>https://www.gov.me/dokumenta/41e3ee6a-757a-4684-9763-9fee5e933afd</w:t>
        </w:r>
      </w:hyperlink>
      <w:r>
        <w:t xml:space="preserve"> </w:t>
      </w:r>
    </w:p>
  </w:footnote>
  <w:footnote w:id="17">
    <w:p w14:paraId="1B9E274B" w14:textId="6AAF2BAD" w:rsidR="0050323C" w:rsidRPr="0050323C" w:rsidRDefault="0050323C">
      <w:pPr>
        <w:pStyle w:val="FootnoteText"/>
        <w:rPr>
          <w:lang w:val="sr-Latn-RS"/>
        </w:rPr>
      </w:pPr>
      <w:r>
        <w:rPr>
          <w:rStyle w:val="FootnoteReference"/>
        </w:rPr>
        <w:footnoteRef/>
      </w:r>
      <w:r>
        <w:t xml:space="preserve"> </w:t>
      </w:r>
      <w:r>
        <w:rPr>
          <w:lang w:val="sr-Latn-RS"/>
        </w:rPr>
        <w:t xml:space="preserve">Garancija za mlade, </w:t>
      </w:r>
      <w:hyperlink r:id="rId16" w:history="1">
        <w:r w:rsidRPr="009237B1">
          <w:rPr>
            <w:rStyle w:val="Hyperlink"/>
            <w:lang w:val="sr-Latn-RS"/>
          </w:rPr>
          <w:t>https://www.gov.me/clanak/garancija-za-mlade</w:t>
        </w:r>
      </w:hyperlink>
      <w:r>
        <w:rPr>
          <w:lang w:val="sr-Latn-RS"/>
        </w:rPr>
        <w:t xml:space="preserve"> </w:t>
      </w:r>
    </w:p>
  </w:footnote>
  <w:footnote w:id="18">
    <w:p w14:paraId="5164DE78" w14:textId="43E9ACE0" w:rsidR="003E67B5" w:rsidRPr="003E67B5" w:rsidRDefault="003E67B5">
      <w:pPr>
        <w:pStyle w:val="FootnoteText"/>
        <w:rPr>
          <w:lang w:val="sr-Latn-RS"/>
        </w:rPr>
      </w:pPr>
      <w:r>
        <w:rPr>
          <w:rStyle w:val="FootnoteReference"/>
        </w:rPr>
        <w:footnoteRef/>
      </w:r>
      <w:r>
        <w:t xml:space="preserve"> </w:t>
      </w:r>
      <w:r w:rsidRPr="003E67B5">
        <w:t>Strategij</w:t>
      </w:r>
      <w:r>
        <w:t>a</w:t>
      </w:r>
      <w:r w:rsidRPr="003E67B5">
        <w:t xml:space="preserve"> za mlade 2023-2027</w:t>
      </w:r>
      <w:r>
        <w:t xml:space="preserve">, </w:t>
      </w:r>
      <w:hyperlink r:id="rId17" w:history="1">
        <w:r w:rsidR="00AE7C7D" w:rsidRPr="0033165B">
          <w:rPr>
            <w:rStyle w:val="Hyperlink"/>
          </w:rPr>
          <w:t>https://www.strategijazamlade.me/2023-2027/</w:t>
        </w:r>
      </w:hyperlink>
      <w:r w:rsidR="00AE7C7D">
        <w:t xml:space="preserve"> </w:t>
      </w:r>
    </w:p>
  </w:footnote>
  <w:footnote w:id="19">
    <w:p w14:paraId="3E4D73FC" w14:textId="1970CC1E" w:rsidR="00CC28BC" w:rsidRPr="00CC28BC" w:rsidRDefault="00CC28BC">
      <w:pPr>
        <w:pStyle w:val="FootnoteText"/>
        <w:rPr>
          <w:lang w:val="sr-Latn-RS"/>
        </w:rPr>
      </w:pPr>
      <w:r>
        <w:rPr>
          <w:rStyle w:val="FootnoteReference"/>
        </w:rPr>
        <w:footnoteRef/>
      </w:r>
      <w:r>
        <w:t xml:space="preserve"> </w:t>
      </w:r>
      <w:r>
        <w:rPr>
          <w:lang w:val="sr-Latn-RS"/>
        </w:rPr>
        <w:t xml:space="preserve">Euroguidance mreža, </w:t>
      </w:r>
      <w:hyperlink r:id="rId18" w:history="1">
        <w:r w:rsidRPr="009237B1">
          <w:rPr>
            <w:rStyle w:val="Hyperlink"/>
            <w:lang w:val="sr-Latn-RS"/>
          </w:rPr>
          <w:t>https://euroguidance.eu/</w:t>
        </w:r>
      </w:hyperlink>
      <w:r>
        <w:rPr>
          <w:lang w:val="sr-Latn-RS"/>
        </w:rPr>
        <w:t xml:space="preserve"> </w:t>
      </w:r>
    </w:p>
  </w:footnote>
  <w:footnote w:id="20">
    <w:p w14:paraId="2D9CCC68" w14:textId="4B77D00D" w:rsidR="006657F2" w:rsidRPr="006657F2" w:rsidRDefault="006657F2">
      <w:pPr>
        <w:pStyle w:val="FootnoteText"/>
        <w:rPr>
          <w:lang w:val="sr-Latn-RS"/>
        </w:rPr>
      </w:pPr>
      <w:r>
        <w:rPr>
          <w:rStyle w:val="FootnoteReference"/>
        </w:rPr>
        <w:footnoteRef/>
      </w:r>
      <w:r>
        <w:t xml:space="preserve"> </w:t>
      </w:r>
      <w:r w:rsidRPr="006657F2">
        <w:t>Odlukom (EU) 2018/646 Evropskog parlamenta i Vijeća</w:t>
      </w:r>
      <w:r>
        <w:t xml:space="preserve">, </w:t>
      </w:r>
      <w:hyperlink r:id="rId19" w:history="1">
        <w:r w:rsidRPr="009237B1">
          <w:rPr>
            <w:rStyle w:val="Hyperlink"/>
          </w:rPr>
          <w:t>https://eur-lex.europa.eu/legal-content/HR/TXT/?uri=CELEX:32018D0646</w:t>
        </w:r>
      </w:hyperlink>
      <w:r>
        <w:t xml:space="preserve"> </w:t>
      </w:r>
    </w:p>
  </w:footnote>
  <w:footnote w:id="21">
    <w:p w14:paraId="3A8E8439" w14:textId="34C3D293" w:rsidR="009425E2" w:rsidRPr="009425E2" w:rsidRDefault="009425E2">
      <w:pPr>
        <w:pStyle w:val="FootnoteText"/>
        <w:rPr>
          <w:lang w:val="sr-Latn-RS"/>
        </w:rPr>
      </w:pPr>
      <w:r>
        <w:rPr>
          <w:rStyle w:val="FootnoteReference"/>
        </w:rPr>
        <w:footnoteRef/>
      </w:r>
      <w:r>
        <w:t xml:space="preserve"> </w:t>
      </w:r>
      <w:r w:rsidRPr="009425E2">
        <w:t>Centralnoevropski program razm</w:t>
      </w:r>
      <w:r>
        <w:t>j</w:t>
      </w:r>
      <w:r w:rsidRPr="009425E2">
        <w:t>ene za univerzitetske studije</w:t>
      </w:r>
      <w:r>
        <w:t xml:space="preserve">, </w:t>
      </w:r>
      <w:hyperlink r:id="rId20" w:history="1">
        <w:r w:rsidRPr="009237B1">
          <w:rPr>
            <w:rStyle w:val="Hyperlink"/>
          </w:rPr>
          <w:t>https://www.ucg.ac.me/objava/blog/19379/objava/6480-ceepus</w:t>
        </w:r>
      </w:hyperlink>
      <w:r>
        <w:t xml:space="preserve"> </w:t>
      </w:r>
    </w:p>
  </w:footnote>
  <w:footnote w:id="22">
    <w:p w14:paraId="3CECEF09" w14:textId="2D452E84" w:rsidR="00DA5696" w:rsidRPr="00DA5696" w:rsidRDefault="00DA5696">
      <w:pPr>
        <w:pStyle w:val="FootnoteText"/>
        <w:rPr>
          <w:lang w:val="sr-Latn-RS"/>
        </w:rPr>
      </w:pPr>
      <w:r>
        <w:rPr>
          <w:rStyle w:val="FootnoteReference"/>
        </w:rPr>
        <w:footnoteRef/>
      </w:r>
      <w:r>
        <w:t xml:space="preserve"> Evropska trening fondacija (ETF), N</w:t>
      </w:r>
      <w:r w:rsidRPr="00DA5696">
        <w:t xml:space="preserve">acionalni pregled sistema podrške razvoju karijere – </w:t>
      </w:r>
      <w:r>
        <w:t>C</w:t>
      </w:r>
      <w:r w:rsidRPr="00DA5696">
        <w:t xml:space="preserve">rna </w:t>
      </w:r>
      <w:r>
        <w:t>G</w:t>
      </w:r>
      <w:r w:rsidRPr="00DA5696">
        <w:t>ora</w:t>
      </w:r>
      <w:r>
        <w:t xml:space="preserve">, </w:t>
      </w:r>
      <w:r w:rsidRPr="00DA5696">
        <w:t>Mart 2022.godine</w:t>
      </w:r>
    </w:p>
  </w:footnote>
  <w:footnote w:id="23">
    <w:p w14:paraId="52BE4BB3" w14:textId="77777777" w:rsidR="006D087D" w:rsidRDefault="006D087D" w:rsidP="006D087D">
      <w:pPr>
        <w:pStyle w:val="FootnoteText"/>
      </w:pPr>
      <w:r>
        <w:rPr>
          <w:rStyle w:val="FootnoteReference"/>
        </w:rPr>
        <w:footnoteRef/>
      </w:r>
      <w:r>
        <w:t xml:space="preserve"> Zakon o posredovanju pri zapošljavanju i pravima za vrijeme zaštite od nezaposlenosti propisuje obavezu izrade individualnog plana zapošljavanja u roku od 45 dana od prijave i zahtijeva da se nezaposleni klijenti ponovo prijave kod svog savjetnika za posredovanje svakih 45 dana, bez obzira na to da li ima slobodnih radnih mjesta ili dostupnih aktivnih mjera</w:t>
      </w:r>
    </w:p>
  </w:footnote>
  <w:footnote w:id="24">
    <w:p w14:paraId="696B0557" w14:textId="77777777" w:rsidR="006D087D" w:rsidRDefault="006D087D" w:rsidP="006D087D">
      <w:pPr>
        <w:pStyle w:val="FootnoteText"/>
        <w:rPr>
          <w:lang w:val="sr-Latn-RS"/>
        </w:rPr>
      </w:pPr>
      <w:r>
        <w:rPr>
          <w:rStyle w:val="FootnoteReference"/>
        </w:rPr>
        <w:footnoteRef/>
      </w:r>
      <w:r>
        <w:t xml:space="preserve"> https://www.esap.online/docs/145/the-evaluation-of-active-labour-market-policy-in-montenegro</w:t>
      </w:r>
    </w:p>
  </w:footnote>
  <w:footnote w:id="25">
    <w:p w14:paraId="3C1D5C4E" w14:textId="77777777" w:rsidR="00396A14" w:rsidRPr="001231C0" w:rsidRDefault="00396A14" w:rsidP="00396A14">
      <w:pPr>
        <w:pStyle w:val="FootnoteText"/>
        <w:rPr>
          <w:lang w:val="sr-Latn-RS"/>
        </w:rPr>
      </w:pPr>
      <w:r>
        <w:rPr>
          <w:rStyle w:val="FootnoteReference"/>
        </w:rPr>
        <w:footnoteRef/>
      </w:r>
      <w:r>
        <w:t xml:space="preserve"> </w:t>
      </w:r>
      <w:r>
        <w:rPr>
          <w:lang w:val="sr-Latn-RS"/>
        </w:rPr>
        <w:t xml:space="preserve">Anketa o radnoj snazi za 2023. godinu, MONSTAT, </w:t>
      </w:r>
      <w:hyperlink r:id="rId21" w:history="1">
        <w:r w:rsidRPr="006B6B29">
          <w:rPr>
            <w:rStyle w:val="Hyperlink"/>
            <w:lang w:val="sr-Latn-RS"/>
          </w:rPr>
          <w:t>https://www.monstat.org/cg/page.php?id=2088&amp;pageid=22</w:t>
        </w:r>
      </w:hyperlink>
      <w:r>
        <w:rPr>
          <w:lang w:val="sr-Latn-RS"/>
        </w:rPr>
        <w:t xml:space="preserve"> </w:t>
      </w:r>
    </w:p>
  </w:footnote>
  <w:footnote w:id="26">
    <w:p w14:paraId="64711E40" w14:textId="77777777" w:rsidR="00396A14" w:rsidRPr="00DB6A12" w:rsidRDefault="00396A14" w:rsidP="00396A14">
      <w:pPr>
        <w:pStyle w:val="FootnoteText"/>
        <w:rPr>
          <w:lang w:val="sr-Latn-RS"/>
        </w:rPr>
      </w:pPr>
      <w:r>
        <w:rPr>
          <w:rStyle w:val="FootnoteReference"/>
        </w:rPr>
        <w:footnoteRef/>
      </w:r>
      <w:r>
        <w:t xml:space="preserve"> Eurofound, NEET, </w:t>
      </w:r>
      <w:hyperlink r:id="rId22" w:anchor=":~:text=In%202023%2C%2011.2%25%20of%20the,been%20steadily%20declining%20since%20then" w:history="1">
        <w:r w:rsidRPr="006B6B29">
          <w:rPr>
            <w:rStyle w:val="Hyperlink"/>
          </w:rPr>
          <w:t>https://www.eurofound.europa.eu/en/topic/neets#:~:text=In%202023%2C%2011.2%25%20of%20the,been%20steadily%20declining%20since%20then</w:t>
        </w:r>
      </w:hyperlink>
      <w:r w:rsidRPr="00DB6A12">
        <w:t>.</w:t>
      </w:r>
      <w:r>
        <w:t xml:space="preserve"> </w:t>
      </w:r>
    </w:p>
  </w:footnote>
  <w:footnote w:id="27">
    <w:p w14:paraId="62A279B4" w14:textId="77777777" w:rsidR="00396A14" w:rsidRPr="00E50295" w:rsidRDefault="00396A14" w:rsidP="00396A14">
      <w:pPr>
        <w:pStyle w:val="FootnoteText"/>
        <w:rPr>
          <w:lang w:val="sr-Latn-RS"/>
        </w:rPr>
      </w:pPr>
      <w:r>
        <w:rPr>
          <w:rStyle w:val="FootnoteReference"/>
        </w:rPr>
        <w:footnoteRef/>
      </w:r>
      <w:r>
        <w:t xml:space="preserve"> </w:t>
      </w:r>
      <w:r>
        <w:rPr>
          <w:lang w:val="sr-Latn-RS"/>
        </w:rPr>
        <w:t xml:space="preserve">Regional Coperation Council (RCC), Studija o zaposlenosti mladih na Zapadnom Balkanu, </w:t>
      </w:r>
      <w:hyperlink r:id="rId23" w:history="1">
        <w:r w:rsidRPr="006B6B29">
          <w:rPr>
            <w:rStyle w:val="Hyperlink"/>
            <w:lang w:val="sr-Latn-RS"/>
          </w:rPr>
          <w:t>https://www.rcc.int/download/docs/Study-on-Youth-Employment-in-the%20Western-Balkans-08072021.pdf/7464a4c82ee558440dfbea2e23028483.pdf</w:t>
        </w:r>
      </w:hyperlink>
      <w:r>
        <w:rPr>
          <w:lang w:val="sr-Latn-RS"/>
        </w:rPr>
        <w:t xml:space="preserve"> </w:t>
      </w:r>
    </w:p>
  </w:footnote>
  <w:footnote w:id="28">
    <w:p w14:paraId="6D351730" w14:textId="40005D76" w:rsidR="009B6524" w:rsidRPr="009B6524" w:rsidRDefault="009B6524">
      <w:pPr>
        <w:pStyle w:val="FootnoteText"/>
        <w:rPr>
          <w:lang w:val="sr-Latn-RS"/>
        </w:rPr>
      </w:pPr>
      <w:r>
        <w:rPr>
          <w:rStyle w:val="FootnoteReference"/>
        </w:rPr>
        <w:footnoteRef/>
      </w:r>
      <w:r>
        <w:t xml:space="preserve"> </w:t>
      </w:r>
      <w:r w:rsidRPr="009B6524">
        <w:t>Anket</w:t>
      </w:r>
      <w:r>
        <w:t>a</w:t>
      </w:r>
      <w:r w:rsidRPr="009B6524">
        <w:t xml:space="preserve"> o radnoj snazi za I</w:t>
      </w:r>
      <w:r w:rsidR="00B23696">
        <w:t>V</w:t>
      </w:r>
      <w:r w:rsidRPr="009B6524">
        <w:t xml:space="preserve"> kvartal 2024. godine</w:t>
      </w:r>
      <w:r>
        <w:t xml:space="preserve">, </w:t>
      </w:r>
      <w:hyperlink r:id="rId24" w:history="1">
        <w:r w:rsidR="00FB4885" w:rsidRPr="00734055">
          <w:rPr>
            <w:rStyle w:val="Hyperlink"/>
          </w:rPr>
          <w:t>https://monstat.org/uploads/files/ARS/2024/4/ARS%20saopstenje_2024_Q4.pdf</w:t>
        </w:r>
      </w:hyperlink>
      <w:r w:rsidR="00FB4885">
        <w:t xml:space="preserve"> </w:t>
      </w:r>
    </w:p>
  </w:footnote>
  <w:footnote w:id="29">
    <w:p w14:paraId="2280E87A" w14:textId="3FA670BF" w:rsidR="008B5326" w:rsidRPr="008B5326" w:rsidRDefault="008B5326">
      <w:pPr>
        <w:pStyle w:val="FootnoteText"/>
        <w:rPr>
          <w:lang w:val="sr-Latn-RS"/>
        </w:rPr>
      </w:pPr>
      <w:r>
        <w:rPr>
          <w:rStyle w:val="FootnoteReference"/>
        </w:rPr>
        <w:footnoteRef/>
      </w:r>
      <w:r>
        <w:t xml:space="preserve"> </w:t>
      </w:r>
      <w:r w:rsidRPr="008B5326">
        <w:t>Program</w:t>
      </w:r>
      <w:r>
        <w:t xml:space="preserve"> </w:t>
      </w:r>
      <w:r w:rsidRPr="008B5326">
        <w:t>ekonomskih reformi 2025-2027. godina</w:t>
      </w:r>
      <w:r>
        <w:t xml:space="preserve">, </w:t>
      </w:r>
    </w:p>
  </w:footnote>
  <w:footnote w:id="30">
    <w:p w14:paraId="1A14467E" w14:textId="77777777" w:rsidR="006D087D" w:rsidRDefault="006D087D" w:rsidP="006D087D">
      <w:pPr>
        <w:pStyle w:val="FootnoteText"/>
        <w:rPr>
          <w:lang w:val="sr-Latn-RS"/>
        </w:rPr>
      </w:pPr>
      <w:r>
        <w:rPr>
          <w:rStyle w:val="FootnoteReference"/>
        </w:rPr>
        <w:footnoteRef/>
      </w:r>
      <w:r>
        <w:t xml:space="preserve">   https://www.gov.me/en/documents/943a4aaf-b4a5-42dc-ab3f-298eea539b91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D5C"/>
    <w:multiLevelType w:val="hybridMultilevel"/>
    <w:tmpl w:val="B09E3C9C"/>
    <w:lvl w:ilvl="0" w:tplc="DE6202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2308"/>
    <w:multiLevelType w:val="hybridMultilevel"/>
    <w:tmpl w:val="D83ABBDA"/>
    <w:lvl w:ilvl="0" w:tplc="80D4DC58">
      <w:start w:val="2020"/>
      <w:numFmt w:val="bullet"/>
      <w:lvlText w:val="-"/>
      <w:lvlJc w:val="left"/>
      <w:pPr>
        <w:ind w:left="720" w:hanging="360"/>
      </w:pPr>
      <w:rPr>
        <w:rFonts w:ascii="Calibri" w:eastAsiaTheme="minorEastAsia" w:hAnsi="Calibri" w:cs="Calibr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95030"/>
    <w:multiLevelType w:val="multilevel"/>
    <w:tmpl w:val="443AED46"/>
    <w:lvl w:ilvl="0">
      <w:start w:val="1"/>
      <w:numFmt w:val="decimal"/>
      <w:lvlText w:val="%1."/>
      <w:lvlJc w:val="left"/>
      <w:pPr>
        <w:ind w:left="720" w:hanging="360"/>
      </w:pPr>
    </w:lvl>
    <w:lvl w:ilvl="1">
      <w:start w:val="4"/>
      <w:numFmt w:val="decimal"/>
      <w:isLgl/>
      <w:lvlText w:val="%1.%2."/>
      <w:lvlJc w:val="left"/>
      <w:pPr>
        <w:ind w:left="870" w:hanging="51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490548"/>
    <w:multiLevelType w:val="hybridMultilevel"/>
    <w:tmpl w:val="3A180094"/>
    <w:lvl w:ilvl="0" w:tplc="0EE23A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C1197"/>
    <w:multiLevelType w:val="hybridMultilevel"/>
    <w:tmpl w:val="47EA37DA"/>
    <w:lvl w:ilvl="0" w:tplc="8FCAE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91CD7"/>
    <w:multiLevelType w:val="multilevel"/>
    <w:tmpl w:val="452283E8"/>
    <w:lvl w:ilvl="0">
      <w:start w:val="2"/>
      <w:numFmt w:val="decimal"/>
      <w:lvlText w:val="%1."/>
      <w:lvlJc w:val="left"/>
      <w:pPr>
        <w:ind w:left="380" w:hanging="380"/>
      </w:pPr>
      <w:rPr>
        <w:rFonts w:asciiTheme="majorHAnsi" w:eastAsiaTheme="majorEastAsia" w:hAnsiTheme="majorHAnsi" w:cstheme="majorBidi" w:hint="default"/>
        <w:b w:val="0"/>
        <w:color w:val="2F5496" w:themeColor="accent1" w:themeShade="BF"/>
        <w:sz w:val="26"/>
      </w:rPr>
    </w:lvl>
    <w:lvl w:ilvl="1">
      <w:start w:val="3"/>
      <w:numFmt w:val="decimal"/>
      <w:lvlText w:val="%1.%2."/>
      <w:lvlJc w:val="left"/>
      <w:pPr>
        <w:ind w:left="720" w:hanging="720"/>
      </w:pPr>
      <w:rPr>
        <w:rFonts w:asciiTheme="majorHAnsi" w:eastAsiaTheme="majorEastAsia" w:hAnsiTheme="majorHAnsi" w:cstheme="majorBidi" w:hint="default"/>
        <w:b w:val="0"/>
        <w:color w:val="2F5496" w:themeColor="accent1" w:themeShade="BF"/>
        <w:sz w:val="26"/>
      </w:rPr>
    </w:lvl>
    <w:lvl w:ilvl="2">
      <w:start w:val="1"/>
      <w:numFmt w:val="decimal"/>
      <w:lvlText w:val="%1.%2.%3."/>
      <w:lvlJc w:val="left"/>
      <w:pPr>
        <w:ind w:left="1571" w:hanging="720"/>
      </w:pPr>
      <w:rPr>
        <w:rFonts w:asciiTheme="majorHAnsi" w:eastAsiaTheme="majorEastAsia" w:hAnsiTheme="majorHAnsi" w:cstheme="majorBidi" w:hint="default"/>
        <w:b w:val="0"/>
        <w:color w:val="2F5496" w:themeColor="accent1" w:themeShade="BF"/>
        <w:sz w:val="26"/>
      </w:rPr>
    </w:lvl>
    <w:lvl w:ilvl="3">
      <w:start w:val="1"/>
      <w:numFmt w:val="decimal"/>
      <w:lvlText w:val="%1.%2.%3.%4."/>
      <w:lvlJc w:val="left"/>
      <w:pPr>
        <w:ind w:left="3240" w:hanging="1080"/>
      </w:pPr>
      <w:rPr>
        <w:rFonts w:asciiTheme="majorHAnsi" w:eastAsiaTheme="majorEastAsia" w:hAnsiTheme="majorHAnsi" w:cstheme="majorBidi" w:hint="default"/>
        <w:b w:val="0"/>
        <w:color w:val="2F5496" w:themeColor="accent1" w:themeShade="BF"/>
        <w:sz w:val="26"/>
      </w:rPr>
    </w:lvl>
    <w:lvl w:ilvl="4">
      <w:start w:val="1"/>
      <w:numFmt w:val="decimal"/>
      <w:lvlText w:val="%1.%2.%3.%4.%5."/>
      <w:lvlJc w:val="left"/>
      <w:pPr>
        <w:ind w:left="3960" w:hanging="1080"/>
      </w:pPr>
      <w:rPr>
        <w:rFonts w:asciiTheme="majorHAnsi" w:eastAsiaTheme="majorEastAsia" w:hAnsiTheme="majorHAnsi" w:cstheme="majorBidi" w:hint="default"/>
        <w:b w:val="0"/>
        <w:color w:val="2F5496" w:themeColor="accent1" w:themeShade="BF"/>
        <w:sz w:val="26"/>
      </w:rPr>
    </w:lvl>
    <w:lvl w:ilvl="5">
      <w:start w:val="1"/>
      <w:numFmt w:val="decimal"/>
      <w:lvlText w:val="%1.%2.%3.%4.%5.%6."/>
      <w:lvlJc w:val="left"/>
      <w:pPr>
        <w:ind w:left="5040" w:hanging="1440"/>
      </w:pPr>
      <w:rPr>
        <w:rFonts w:asciiTheme="majorHAnsi" w:eastAsiaTheme="majorEastAsia" w:hAnsiTheme="majorHAnsi" w:cstheme="majorBidi" w:hint="default"/>
        <w:b w:val="0"/>
        <w:color w:val="2F5496" w:themeColor="accent1" w:themeShade="BF"/>
        <w:sz w:val="26"/>
      </w:rPr>
    </w:lvl>
    <w:lvl w:ilvl="6">
      <w:start w:val="1"/>
      <w:numFmt w:val="decimal"/>
      <w:lvlText w:val="%1.%2.%3.%4.%5.%6.%7."/>
      <w:lvlJc w:val="left"/>
      <w:pPr>
        <w:ind w:left="5760" w:hanging="1440"/>
      </w:pPr>
      <w:rPr>
        <w:rFonts w:asciiTheme="majorHAnsi" w:eastAsiaTheme="majorEastAsia" w:hAnsiTheme="majorHAnsi" w:cstheme="majorBidi" w:hint="default"/>
        <w:b w:val="0"/>
        <w:color w:val="2F5496" w:themeColor="accent1" w:themeShade="BF"/>
        <w:sz w:val="26"/>
      </w:rPr>
    </w:lvl>
    <w:lvl w:ilvl="7">
      <w:start w:val="1"/>
      <w:numFmt w:val="decimal"/>
      <w:lvlText w:val="%1.%2.%3.%4.%5.%6.%7.%8."/>
      <w:lvlJc w:val="left"/>
      <w:pPr>
        <w:ind w:left="6840" w:hanging="1800"/>
      </w:pPr>
      <w:rPr>
        <w:rFonts w:asciiTheme="majorHAnsi" w:eastAsiaTheme="majorEastAsia" w:hAnsiTheme="majorHAnsi" w:cstheme="majorBidi" w:hint="default"/>
        <w:b w:val="0"/>
        <w:color w:val="2F5496" w:themeColor="accent1" w:themeShade="BF"/>
        <w:sz w:val="26"/>
      </w:rPr>
    </w:lvl>
    <w:lvl w:ilvl="8">
      <w:start w:val="1"/>
      <w:numFmt w:val="decimal"/>
      <w:lvlText w:val="%1.%2.%3.%4.%5.%6.%7.%8.%9."/>
      <w:lvlJc w:val="left"/>
      <w:pPr>
        <w:ind w:left="7560" w:hanging="1800"/>
      </w:pPr>
      <w:rPr>
        <w:rFonts w:asciiTheme="majorHAnsi" w:eastAsiaTheme="majorEastAsia" w:hAnsiTheme="majorHAnsi" w:cstheme="majorBidi" w:hint="default"/>
        <w:b w:val="0"/>
        <w:color w:val="2F5496" w:themeColor="accent1" w:themeShade="BF"/>
        <w:sz w:val="26"/>
      </w:rPr>
    </w:lvl>
  </w:abstractNum>
  <w:abstractNum w:abstractNumId="6" w15:restartNumberingAfterBreak="0">
    <w:nsid w:val="2D746D5E"/>
    <w:multiLevelType w:val="hybridMultilevel"/>
    <w:tmpl w:val="F0E2B398"/>
    <w:lvl w:ilvl="0" w:tplc="978667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B2CD3"/>
    <w:multiLevelType w:val="hybridMultilevel"/>
    <w:tmpl w:val="F9BA083C"/>
    <w:lvl w:ilvl="0" w:tplc="978667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F2BCB"/>
    <w:multiLevelType w:val="hybridMultilevel"/>
    <w:tmpl w:val="FA402536"/>
    <w:lvl w:ilvl="0" w:tplc="E1BEDB48">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E655B"/>
    <w:multiLevelType w:val="hybridMultilevel"/>
    <w:tmpl w:val="52EC8B24"/>
    <w:lvl w:ilvl="0" w:tplc="8FCAE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752A"/>
    <w:multiLevelType w:val="hybridMultilevel"/>
    <w:tmpl w:val="91FAB878"/>
    <w:lvl w:ilvl="0" w:tplc="B3E4D4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37293"/>
    <w:multiLevelType w:val="hybridMultilevel"/>
    <w:tmpl w:val="803E2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5B34A9"/>
    <w:multiLevelType w:val="hybridMultilevel"/>
    <w:tmpl w:val="BE405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CD1DE5"/>
    <w:multiLevelType w:val="hybridMultilevel"/>
    <w:tmpl w:val="85DE1ADE"/>
    <w:lvl w:ilvl="0" w:tplc="D63C78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25D39"/>
    <w:multiLevelType w:val="hybridMultilevel"/>
    <w:tmpl w:val="3EB89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8A64D6"/>
    <w:multiLevelType w:val="hybridMultilevel"/>
    <w:tmpl w:val="4C6C4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1C78CC"/>
    <w:multiLevelType w:val="hybridMultilevel"/>
    <w:tmpl w:val="7F9C019E"/>
    <w:lvl w:ilvl="0" w:tplc="4F98F0C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41061"/>
    <w:multiLevelType w:val="hybridMultilevel"/>
    <w:tmpl w:val="20F6CD4E"/>
    <w:lvl w:ilvl="0" w:tplc="27E4CFCC">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041305"/>
    <w:multiLevelType w:val="hybridMultilevel"/>
    <w:tmpl w:val="D6B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37E0B"/>
    <w:multiLevelType w:val="hybridMultilevel"/>
    <w:tmpl w:val="6012106E"/>
    <w:lvl w:ilvl="0" w:tplc="16C2768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43FF2"/>
    <w:multiLevelType w:val="hybridMultilevel"/>
    <w:tmpl w:val="AC9C7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3955EB"/>
    <w:multiLevelType w:val="hybridMultilevel"/>
    <w:tmpl w:val="DD521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947970"/>
    <w:multiLevelType w:val="hybridMultilevel"/>
    <w:tmpl w:val="5AFAC46C"/>
    <w:lvl w:ilvl="0" w:tplc="0409000F">
      <w:start w:val="1"/>
      <w:numFmt w:val="decimal"/>
      <w:lvlText w:val="%1."/>
      <w:lvlJc w:val="left"/>
      <w:pPr>
        <w:ind w:left="720" w:hanging="360"/>
      </w:pPr>
    </w:lvl>
    <w:lvl w:ilvl="1" w:tplc="1F6CCC08">
      <w:numFmt w:val="bullet"/>
      <w:lvlText w:val="–"/>
      <w:lvlJc w:val="left"/>
      <w:pPr>
        <w:ind w:left="1850" w:hanging="770"/>
      </w:pPr>
      <w:rPr>
        <w:rFonts w:ascii="Calibri" w:eastAsiaTheme="minorHAnsi" w:hAnsi="Calibri" w:cs="Calibri"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F5F31D2"/>
    <w:multiLevelType w:val="hybridMultilevel"/>
    <w:tmpl w:val="1E980F1A"/>
    <w:lvl w:ilvl="0" w:tplc="978667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5"/>
  </w:num>
  <w:num w:numId="5">
    <w:abstractNumId w:val="14"/>
  </w:num>
  <w:num w:numId="6">
    <w:abstractNumId w:val="20"/>
  </w:num>
  <w:num w:numId="7">
    <w:abstractNumId w:val="8"/>
  </w:num>
  <w:num w:numId="8">
    <w:abstractNumId w:val="10"/>
  </w:num>
  <w:num w:numId="9">
    <w:abstractNumId w:val="1"/>
  </w:num>
  <w:num w:numId="10">
    <w:abstractNumId w:val="18"/>
  </w:num>
  <w:num w:numId="11">
    <w:abstractNumId w:val="3"/>
  </w:num>
  <w:num w:numId="12">
    <w:abstractNumId w:val="0"/>
  </w:num>
  <w:num w:numId="13">
    <w:abstractNumId w:val="13"/>
  </w:num>
  <w:num w:numId="14">
    <w:abstractNumId w:val="16"/>
  </w:num>
  <w:num w:numId="15">
    <w:abstractNumId w:val="19"/>
  </w:num>
  <w:num w:numId="16">
    <w:abstractNumId w:val="6"/>
  </w:num>
  <w:num w:numId="17">
    <w:abstractNumId w:val="23"/>
  </w:num>
  <w:num w:numId="18">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218"/>
    <w:rsid w:val="000021FE"/>
    <w:rsid w:val="0001203D"/>
    <w:rsid w:val="00012E7F"/>
    <w:rsid w:val="00024F43"/>
    <w:rsid w:val="0003054F"/>
    <w:rsid w:val="00040166"/>
    <w:rsid w:val="0004600B"/>
    <w:rsid w:val="00046D5D"/>
    <w:rsid w:val="00062473"/>
    <w:rsid w:val="0006433A"/>
    <w:rsid w:val="000714C5"/>
    <w:rsid w:val="00071E4E"/>
    <w:rsid w:val="000735FA"/>
    <w:rsid w:val="00083419"/>
    <w:rsid w:val="000964EC"/>
    <w:rsid w:val="000C14DD"/>
    <w:rsid w:val="000C4B15"/>
    <w:rsid w:val="000D051C"/>
    <w:rsid w:val="000D0763"/>
    <w:rsid w:val="000D6735"/>
    <w:rsid w:val="000E5276"/>
    <w:rsid w:val="000E75E4"/>
    <w:rsid w:val="000F0493"/>
    <w:rsid w:val="000F1BC2"/>
    <w:rsid w:val="000F56BF"/>
    <w:rsid w:val="000F65CE"/>
    <w:rsid w:val="00104A15"/>
    <w:rsid w:val="0012065A"/>
    <w:rsid w:val="00122C86"/>
    <w:rsid w:val="00126480"/>
    <w:rsid w:val="00130CAD"/>
    <w:rsid w:val="00141F7F"/>
    <w:rsid w:val="00174142"/>
    <w:rsid w:val="00175E5D"/>
    <w:rsid w:val="0017666E"/>
    <w:rsid w:val="001772A2"/>
    <w:rsid w:val="00181585"/>
    <w:rsid w:val="00185A49"/>
    <w:rsid w:val="00190FC9"/>
    <w:rsid w:val="00192927"/>
    <w:rsid w:val="00195F82"/>
    <w:rsid w:val="001A1A5D"/>
    <w:rsid w:val="001A7B58"/>
    <w:rsid w:val="001B3819"/>
    <w:rsid w:val="001B5634"/>
    <w:rsid w:val="001B702F"/>
    <w:rsid w:val="001C77DD"/>
    <w:rsid w:val="001D6B7F"/>
    <w:rsid w:val="001E31F9"/>
    <w:rsid w:val="001E397D"/>
    <w:rsid w:val="001E7EEC"/>
    <w:rsid w:val="001F15B2"/>
    <w:rsid w:val="001F3DB6"/>
    <w:rsid w:val="00201AB3"/>
    <w:rsid w:val="00201CEF"/>
    <w:rsid w:val="00205E22"/>
    <w:rsid w:val="00225909"/>
    <w:rsid w:val="00242353"/>
    <w:rsid w:val="00250B4B"/>
    <w:rsid w:val="002560D5"/>
    <w:rsid w:val="00257DCB"/>
    <w:rsid w:val="00260B7B"/>
    <w:rsid w:val="002611C0"/>
    <w:rsid w:val="00262A40"/>
    <w:rsid w:val="00265A5C"/>
    <w:rsid w:val="002737C6"/>
    <w:rsid w:val="00277537"/>
    <w:rsid w:val="00286E25"/>
    <w:rsid w:val="002907F9"/>
    <w:rsid w:val="002952FC"/>
    <w:rsid w:val="002A0183"/>
    <w:rsid w:val="002A3495"/>
    <w:rsid w:val="002A5F4B"/>
    <w:rsid w:val="002B23CC"/>
    <w:rsid w:val="002B2999"/>
    <w:rsid w:val="002B6E1A"/>
    <w:rsid w:val="002C5C7A"/>
    <w:rsid w:val="002D0F75"/>
    <w:rsid w:val="002D7EB4"/>
    <w:rsid w:val="002E4175"/>
    <w:rsid w:val="002E608C"/>
    <w:rsid w:val="002F0065"/>
    <w:rsid w:val="003030C0"/>
    <w:rsid w:val="00327360"/>
    <w:rsid w:val="00333287"/>
    <w:rsid w:val="00334D2B"/>
    <w:rsid w:val="0036318D"/>
    <w:rsid w:val="003702B3"/>
    <w:rsid w:val="003712CB"/>
    <w:rsid w:val="00371312"/>
    <w:rsid w:val="003758C4"/>
    <w:rsid w:val="00376F85"/>
    <w:rsid w:val="00381B3A"/>
    <w:rsid w:val="0038558F"/>
    <w:rsid w:val="00391700"/>
    <w:rsid w:val="00392AE4"/>
    <w:rsid w:val="00396A14"/>
    <w:rsid w:val="003A4DC4"/>
    <w:rsid w:val="003A7CAF"/>
    <w:rsid w:val="003B5785"/>
    <w:rsid w:val="003B6ADE"/>
    <w:rsid w:val="003E02ED"/>
    <w:rsid w:val="003E2584"/>
    <w:rsid w:val="003E6627"/>
    <w:rsid w:val="003E67B5"/>
    <w:rsid w:val="00421CD5"/>
    <w:rsid w:val="00426291"/>
    <w:rsid w:val="00426942"/>
    <w:rsid w:val="00431AA2"/>
    <w:rsid w:val="00434DE6"/>
    <w:rsid w:val="00451E18"/>
    <w:rsid w:val="00457BAC"/>
    <w:rsid w:val="00463416"/>
    <w:rsid w:val="00477BCD"/>
    <w:rsid w:val="004801EC"/>
    <w:rsid w:val="00490561"/>
    <w:rsid w:val="00493496"/>
    <w:rsid w:val="004A370F"/>
    <w:rsid w:val="004B7A3B"/>
    <w:rsid w:val="004C2F18"/>
    <w:rsid w:val="004D1A63"/>
    <w:rsid w:val="004E3519"/>
    <w:rsid w:val="004E7250"/>
    <w:rsid w:val="004F74E4"/>
    <w:rsid w:val="0050323C"/>
    <w:rsid w:val="00516DA8"/>
    <w:rsid w:val="00517EC9"/>
    <w:rsid w:val="00532417"/>
    <w:rsid w:val="00541D68"/>
    <w:rsid w:val="00544334"/>
    <w:rsid w:val="0054524C"/>
    <w:rsid w:val="00551C3F"/>
    <w:rsid w:val="005527F9"/>
    <w:rsid w:val="00561C87"/>
    <w:rsid w:val="00561D9F"/>
    <w:rsid w:val="00562CC6"/>
    <w:rsid w:val="00567418"/>
    <w:rsid w:val="00576D53"/>
    <w:rsid w:val="00581F84"/>
    <w:rsid w:val="00587256"/>
    <w:rsid w:val="00596FB5"/>
    <w:rsid w:val="005A4CFD"/>
    <w:rsid w:val="005A6743"/>
    <w:rsid w:val="005A68C8"/>
    <w:rsid w:val="005C299B"/>
    <w:rsid w:val="005C6101"/>
    <w:rsid w:val="005C6F95"/>
    <w:rsid w:val="005E4BD4"/>
    <w:rsid w:val="005E6F34"/>
    <w:rsid w:val="005F1F35"/>
    <w:rsid w:val="005F411D"/>
    <w:rsid w:val="006062E2"/>
    <w:rsid w:val="0060674B"/>
    <w:rsid w:val="00615A0B"/>
    <w:rsid w:val="00621D25"/>
    <w:rsid w:val="00662B6A"/>
    <w:rsid w:val="00663C63"/>
    <w:rsid w:val="006643A6"/>
    <w:rsid w:val="006657F2"/>
    <w:rsid w:val="00671529"/>
    <w:rsid w:val="00680A19"/>
    <w:rsid w:val="00683D99"/>
    <w:rsid w:val="00696477"/>
    <w:rsid w:val="006A1FAF"/>
    <w:rsid w:val="006A6C7E"/>
    <w:rsid w:val="006B312A"/>
    <w:rsid w:val="006D087D"/>
    <w:rsid w:val="006D68F7"/>
    <w:rsid w:val="006D7021"/>
    <w:rsid w:val="006E424C"/>
    <w:rsid w:val="006E42FA"/>
    <w:rsid w:val="006F2281"/>
    <w:rsid w:val="006F38B8"/>
    <w:rsid w:val="006F7418"/>
    <w:rsid w:val="00701171"/>
    <w:rsid w:val="0070252F"/>
    <w:rsid w:val="00705527"/>
    <w:rsid w:val="00706669"/>
    <w:rsid w:val="00724C82"/>
    <w:rsid w:val="00730BA0"/>
    <w:rsid w:val="007326BE"/>
    <w:rsid w:val="00741EE2"/>
    <w:rsid w:val="00742D83"/>
    <w:rsid w:val="0074692F"/>
    <w:rsid w:val="00756EC9"/>
    <w:rsid w:val="0076500F"/>
    <w:rsid w:val="0077078A"/>
    <w:rsid w:val="00773C30"/>
    <w:rsid w:val="007960CD"/>
    <w:rsid w:val="007A19D8"/>
    <w:rsid w:val="007A1DC6"/>
    <w:rsid w:val="007A317A"/>
    <w:rsid w:val="007A6586"/>
    <w:rsid w:val="007B6AD0"/>
    <w:rsid w:val="007C6551"/>
    <w:rsid w:val="007C7EAE"/>
    <w:rsid w:val="007F4211"/>
    <w:rsid w:val="00806B73"/>
    <w:rsid w:val="00807ECB"/>
    <w:rsid w:val="00815D89"/>
    <w:rsid w:val="008177B5"/>
    <w:rsid w:val="00823FF0"/>
    <w:rsid w:val="00826288"/>
    <w:rsid w:val="008339C3"/>
    <w:rsid w:val="00836382"/>
    <w:rsid w:val="00840503"/>
    <w:rsid w:val="00840C65"/>
    <w:rsid w:val="00840D6F"/>
    <w:rsid w:val="00843385"/>
    <w:rsid w:val="008515DB"/>
    <w:rsid w:val="008708D0"/>
    <w:rsid w:val="008746B3"/>
    <w:rsid w:val="00877481"/>
    <w:rsid w:val="00880DED"/>
    <w:rsid w:val="0089365A"/>
    <w:rsid w:val="008A1102"/>
    <w:rsid w:val="008A37DA"/>
    <w:rsid w:val="008B5326"/>
    <w:rsid w:val="008C0590"/>
    <w:rsid w:val="008C2782"/>
    <w:rsid w:val="008D40B8"/>
    <w:rsid w:val="008E35E8"/>
    <w:rsid w:val="008E409C"/>
    <w:rsid w:val="00900A2D"/>
    <w:rsid w:val="00913070"/>
    <w:rsid w:val="009411CA"/>
    <w:rsid w:val="009425E2"/>
    <w:rsid w:val="009458F0"/>
    <w:rsid w:val="00946A93"/>
    <w:rsid w:val="00951622"/>
    <w:rsid w:val="00962193"/>
    <w:rsid w:val="00962D16"/>
    <w:rsid w:val="009638DC"/>
    <w:rsid w:val="00964E69"/>
    <w:rsid w:val="00974AC7"/>
    <w:rsid w:val="00977D91"/>
    <w:rsid w:val="00993F6F"/>
    <w:rsid w:val="009A0AD0"/>
    <w:rsid w:val="009B066C"/>
    <w:rsid w:val="009B6524"/>
    <w:rsid w:val="009B6935"/>
    <w:rsid w:val="009C3DD5"/>
    <w:rsid w:val="009C3E69"/>
    <w:rsid w:val="009C71E5"/>
    <w:rsid w:val="009D3E54"/>
    <w:rsid w:val="009E20DF"/>
    <w:rsid w:val="009F1291"/>
    <w:rsid w:val="009F21D5"/>
    <w:rsid w:val="009F3FE7"/>
    <w:rsid w:val="009F6158"/>
    <w:rsid w:val="00A01EE6"/>
    <w:rsid w:val="00A037FB"/>
    <w:rsid w:val="00A12B26"/>
    <w:rsid w:val="00A1474C"/>
    <w:rsid w:val="00A1625D"/>
    <w:rsid w:val="00A3419F"/>
    <w:rsid w:val="00A40B21"/>
    <w:rsid w:val="00A479A3"/>
    <w:rsid w:val="00A52485"/>
    <w:rsid w:val="00A55F09"/>
    <w:rsid w:val="00A6260E"/>
    <w:rsid w:val="00A66BAC"/>
    <w:rsid w:val="00A71951"/>
    <w:rsid w:val="00A73AF0"/>
    <w:rsid w:val="00A87B0E"/>
    <w:rsid w:val="00A95FDC"/>
    <w:rsid w:val="00AA3E85"/>
    <w:rsid w:val="00AA7CAB"/>
    <w:rsid w:val="00AB1E34"/>
    <w:rsid w:val="00AB2E5F"/>
    <w:rsid w:val="00AB3167"/>
    <w:rsid w:val="00AB71F7"/>
    <w:rsid w:val="00AC3797"/>
    <w:rsid w:val="00AC4FF1"/>
    <w:rsid w:val="00AC5D81"/>
    <w:rsid w:val="00AD4094"/>
    <w:rsid w:val="00AE2B1B"/>
    <w:rsid w:val="00AE4024"/>
    <w:rsid w:val="00AE7BC1"/>
    <w:rsid w:val="00AE7C7D"/>
    <w:rsid w:val="00B021D2"/>
    <w:rsid w:val="00B065D4"/>
    <w:rsid w:val="00B10182"/>
    <w:rsid w:val="00B1790C"/>
    <w:rsid w:val="00B22FD4"/>
    <w:rsid w:val="00B23696"/>
    <w:rsid w:val="00B236F7"/>
    <w:rsid w:val="00B25859"/>
    <w:rsid w:val="00B277FA"/>
    <w:rsid w:val="00B3243E"/>
    <w:rsid w:val="00B376CB"/>
    <w:rsid w:val="00B433BA"/>
    <w:rsid w:val="00B43D0B"/>
    <w:rsid w:val="00B55B95"/>
    <w:rsid w:val="00B55C4C"/>
    <w:rsid w:val="00B67DF5"/>
    <w:rsid w:val="00B73017"/>
    <w:rsid w:val="00B772F7"/>
    <w:rsid w:val="00B835A3"/>
    <w:rsid w:val="00B84D27"/>
    <w:rsid w:val="00BA073D"/>
    <w:rsid w:val="00BA1344"/>
    <w:rsid w:val="00BB1E64"/>
    <w:rsid w:val="00BB756C"/>
    <w:rsid w:val="00BB7816"/>
    <w:rsid w:val="00BC0752"/>
    <w:rsid w:val="00BD207D"/>
    <w:rsid w:val="00BD4380"/>
    <w:rsid w:val="00BD6A10"/>
    <w:rsid w:val="00BF1C2E"/>
    <w:rsid w:val="00BF30E1"/>
    <w:rsid w:val="00BF3864"/>
    <w:rsid w:val="00C03BD2"/>
    <w:rsid w:val="00C16DEC"/>
    <w:rsid w:val="00C356A6"/>
    <w:rsid w:val="00C4103C"/>
    <w:rsid w:val="00C439CD"/>
    <w:rsid w:val="00C45EE7"/>
    <w:rsid w:val="00C517E1"/>
    <w:rsid w:val="00C626A6"/>
    <w:rsid w:val="00C63614"/>
    <w:rsid w:val="00C642AB"/>
    <w:rsid w:val="00C76879"/>
    <w:rsid w:val="00C8411F"/>
    <w:rsid w:val="00CB2EDA"/>
    <w:rsid w:val="00CB32FB"/>
    <w:rsid w:val="00CB7685"/>
    <w:rsid w:val="00CB7980"/>
    <w:rsid w:val="00CC28BC"/>
    <w:rsid w:val="00CC7797"/>
    <w:rsid w:val="00CD5BA1"/>
    <w:rsid w:val="00CE6F74"/>
    <w:rsid w:val="00CF40D7"/>
    <w:rsid w:val="00CF798A"/>
    <w:rsid w:val="00D02C88"/>
    <w:rsid w:val="00D22DE5"/>
    <w:rsid w:val="00D27514"/>
    <w:rsid w:val="00D27CF6"/>
    <w:rsid w:val="00D36DD2"/>
    <w:rsid w:val="00D46461"/>
    <w:rsid w:val="00D477C3"/>
    <w:rsid w:val="00D5414D"/>
    <w:rsid w:val="00D545FA"/>
    <w:rsid w:val="00D54B17"/>
    <w:rsid w:val="00D55D76"/>
    <w:rsid w:val="00D61D0F"/>
    <w:rsid w:val="00D66B7F"/>
    <w:rsid w:val="00D71313"/>
    <w:rsid w:val="00D74036"/>
    <w:rsid w:val="00D8651F"/>
    <w:rsid w:val="00D926A5"/>
    <w:rsid w:val="00D93A7B"/>
    <w:rsid w:val="00D95391"/>
    <w:rsid w:val="00D95785"/>
    <w:rsid w:val="00D95B22"/>
    <w:rsid w:val="00DA1627"/>
    <w:rsid w:val="00DA1E66"/>
    <w:rsid w:val="00DA3B11"/>
    <w:rsid w:val="00DA5696"/>
    <w:rsid w:val="00DA69B5"/>
    <w:rsid w:val="00DB23FA"/>
    <w:rsid w:val="00DC0289"/>
    <w:rsid w:val="00DD5662"/>
    <w:rsid w:val="00DE6FDE"/>
    <w:rsid w:val="00DF5143"/>
    <w:rsid w:val="00E16B1B"/>
    <w:rsid w:val="00E20020"/>
    <w:rsid w:val="00E21105"/>
    <w:rsid w:val="00E21AEE"/>
    <w:rsid w:val="00E40EC0"/>
    <w:rsid w:val="00E42989"/>
    <w:rsid w:val="00E45D28"/>
    <w:rsid w:val="00E45F02"/>
    <w:rsid w:val="00E479B4"/>
    <w:rsid w:val="00E512E9"/>
    <w:rsid w:val="00E52FE9"/>
    <w:rsid w:val="00E62218"/>
    <w:rsid w:val="00E655E3"/>
    <w:rsid w:val="00E716FA"/>
    <w:rsid w:val="00E764A3"/>
    <w:rsid w:val="00E7685D"/>
    <w:rsid w:val="00E77530"/>
    <w:rsid w:val="00E80C65"/>
    <w:rsid w:val="00E86C92"/>
    <w:rsid w:val="00E9272F"/>
    <w:rsid w:val="00EB1FAD"/>
    <w:rsid w:val="00EB7860"/>
    <w:rsid w:val="00EC20FA"/>
    <w:rsid w:val="00EC2C7A"/>
    <w:rsid w:val="00EC437D"/>
    <w:rsid w:val="00ED24B1"/>
    <w:rsid w:val="00ED38F5"/>
    <w:rsid w:val="00EE1B8C"/>
    <w:rsid w:val="00EE2FE5"/>
    <w:rsid w:val="00EE5946"/>
    <w:rsid w:val="00F12633"/>
    <w:rsid w:val="00F1299C"/>
    <w:rsid w:val="00F24B88"/>
    <w:rsid w:val="00F26DEE"/>
    <w:rsid w:val="00F43870"/>
    <w:rsid w:val="00F52A7F"/>
    <w:rsid w:val="00F755AA"/>
    <w:rsid w:val="00F75D92"/>
    <w:rsid w:val="00F8305B"/>
    <w:rsid w:val="00F865F1"/>
    <w:rsid w:val="00F95602"/>
    <w:rsid w:val="00F96378"/>
    <w:rsid w:val="00FB0CDF"/>
    <w:rsid w:val="00FB32E6"/>
    <w:rsid w:val="00FB4885"/>
    <w:rsid w:val="00FB4FF4"/>
    <w:rsid w:val="00FC01E1"/>
    <w:rsid w:val="00FC1FC5"/>
    <w:rsid w:val="00FC28DD"/>
    <w:rsid w:val="00FC551E"/>
    <w:rsid w:val="00FD0B99"/>
    <w:rsid w:val="00FD2696"/>
    <w:rsid w:val="00FD36B9"/>
    <w:rsid w:val="00FD4909"/>
    <w:rsid w:val="00FE0007"/>
    <w:rsid w:val="00FE7483"/>
    <w:rsid w:val="00FF2651"/>
    <w:rsid w:val="3B4FE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E297"/>
  <w15:chartTrackingRefBased/>
  <w15:docId w15:val="{F148A3A5-D095-4F7C-BC1E-9CE76DA4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rsid w:val="00D61D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D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D5D"/>
    <w:pPr>
      <w:ind w:left="720"/>
      <w:contextualSpacing/>
    </w:pPr>
  </w:style>
  <w:style w:type="character" w:customStyle="1" w:styleId="Heading1Char">
    <w:name w:val="Heading 1 Char"/>
    <w:basedOn w:val="DefaultParagraphFont"/>
    <w:link w:val="Heading1"/>
    <w:uiPriority w:val="9"/>
    <w:rsid w:val="00D61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D0F"/>
    <w:rPr>
      <w:rFonts w:asciiTheme="majorHAnsi" w:eastAsiaTheme="majorEastAsia" w:hAnsiTheme="majorHAnsi" w:cstheme="majorBidi"/>
      <w:color w:val="2F5496" w:themeColor="accent1" w:themeShade="BF"/>
      <w:sz w:val="26"/>
      <w:szCs w:val="26"/>
    </w:rPr>
  </w:style>
  <w:style w:type="paragraph" w:styleId="FootnoteText">
    <w:name w:val="footnote text"/>
    <w:aliases w:val="single space,Footnote Text Char Char,Footnote Text Char Char Char,FOOTNOTES,fn,Footnote Text Char Char1,Footnote Text Char1 Char Char,Footnote Text Char Char1 Char Char,Footnote Text Char Char Char Char Char Char,Fußnote,[txt] Footnote"/>
    <w:basedOn w:val="Normal"/>
    <w:link w:val="FootnoteTextChar"/>
    <w:uiPriority w:val="99"/>
    <w:unhideWhenUsed/>
    <w:qFormat/>
    <w:rsid w:val="00A12B26"/>
    <w:pPr>
      <w:spacing w:after="0" w:line="240" w:lineRule="auto"/>
    </w:pPr>
    <w:rPr>
      <w:sz w:val="20"/>
      <w:szCs w:val="20"/>
    </w:rPr>
  </w:style>
  <w:style w:type="character" w:customStyle="1" w:styleId="FootnoteTextChar">
    <w:name w:val="Footnote Text Char"/>
    <w:aliases w:val="single space Char,Footnote Text Char Char Char1,Footnote Text Char Char Char Char,FOOTNOTES Char,fn Char,Footnote Text Char Char1 Char,Footnote Text Char1 Char Char Char,Footnote Text Char Char1 Char Char Char,Fußnote Char"/>
    <w:basedOn w:val="DefaultParagraphFont"/>
    <w:link w:val="FootnoteText"/>
    <w:uiPriority w:val="99"/>
    <w:rsid w:val="00A12B26"/>
    <w:rPr>
      <w:sz w:val="20"/>
      <w:szCs w:val="20"/>
    </w:rPr>
  </w:style>
  <w:style w:type="character" w:styleId="FootnoteReference">
    <w:name w:val="footnote reference"/>
    <w:aliases w:val="Footnote symbol,BVI fnr,Ref,de nota al pie,-E Fußnotenzeichen,Footnote Reference Number"/>
    <w:basedOn w:val="DefaultParagraphFont"/>
    <w:uiPriority w:val="99"/>
    <w:semiHidden/>
    <w:unhideWhenUsed/>
    <w:rsid w:val="00A12B26"/>
    <w:rPr>
      <w:vertAlign w:val="superscript"/>
    </w:rPr>
  </w:style>
  <w:style w:type="character" w:styleId="Hyperlink">
    <w:name w:val="Hyperlink"/>
    <w:basedOn w:val="DefaultParagraphFont"/>
    <w:uiPriority w:val="99"/>
    <w:unhideWhenUsed/>
    <w:rsid w:val="00A12B26"/>
    <w:rPr>
      <w:color w:val="0563C1" w:themeColor="hyperlink"/>
      <w:u w:val="single"/>
    </w:rPr>
  </w:style>
  <w:style w:type="character" w:customStyle="1" w:styleId="UnresolvedMention1">
    <w:name w:val="Unresolved Mention1"/>
    <w:basedOn w:val="DefaultParagraphFont"/>
    <w:uiPriority w:val="99"/>
    <w:semiHidden/>
    <w:unhideWhenUsed/>
    <w:rsid w:val="00A12B26"/>
    <w:rPr>
      <w:color w:val="605E5C"/>
      <w:shd w:val="clear" w:color="auto" w:fill="E1DFDD"/>
    </w:rPr>
  </w:style>
  <w:style w:type="table" w:styleId="TableGrid">
    <w:name w:val="Table Grid"/>
    <w:basedOn w:val="TableNormal"/>
    <w:uiPriority w:val="59"/>
    <w:rsid w:val="0026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18D"/>
    <w:rPr>
      <w:lang w:val="sr-Latn-ME"/>
    </w:rPr>
  </w:style>
  <w:style w:type="paragraph" w:styleId="Footer">
    <w:name w:val="footer"/>
    <w:basedOn w:val="Normal"/>
    <w:link w:val="FooterChar"/>
    <w:uiPriority w:val="99"/>
    <w:unhideWhenUsed/>
    <w:rsid w:val="00363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18D"/>
    <w:rPr>
      <w:lang w:val="sr-Latn-ME"/>
    </w:rPr>
  </w:style>
  <w:style w:type="paragraph" w:styleId="TOCHeading">
    <w:name w:val="TOC Heading"/>
    <w:basedOn w:val="Heading1"/>
    <w:next w:val="Normal"/>
    <w:uiPriority w:val="39"/>
    <w:unhideWhenUsed/>
    <w:qFormat/>
    <w:rsid w:val="0036318D"/>
    <w:pPr>
      <w:outlineLvl w:val="9"/>
    </w:pPr>
    <w:rPr>
      <w:lang w:val="en-US"/>
    </w:rPr>
  </w:style>
  <w:style w:type="paragraph" w:styleId="TOC1">
    <w:name w:val="toc 1"/>
    <w:basedOn w:val="Normal"/>
    <w:next w:val="Normal"/>
    <w:autoRedefine/>
    <w:uiPriority w:val="39"/>
    <w:unhideWhenUsed/>
    <w:rsid w:val="0036318D"/>
    <w:pPr>
      <w:spacing w:after="100"/>
    </w:pPr>
  </w:style>
  <w:style w:type="paragraph" w:styleId="TOC2">
    <w:name w:val="toc 2"/>
    <w:basedOn w:val="Normal"/>
    <w:next w:val="Normal"/>
    <w:autoRedefine/>
    <w:uiPriority w:val="39"/>
    <w:unhideWhenUsed/>
    <w:rsid w:val="0036318D"/>
    <w:pPr>
      <w:spacing w:after="100"/>
      <w:ind w:left="220"/>
    </w:pPr>
  </w:style>
  <w:style w:type="paragraph" w:styleId="NoSpacing">
    <w:name w:val="No Spacing"/>
    <w:link w:val="NoSpacingChar"/>
    <w:uiPriority w:val="1"/>
    <w:qFormat/>
    <w:rsid w:val="0036318D"/>
    <w:pPr>
      <w:spacing w:after="0" w:line="240" w:lineRule="auto"/>
    </w:pPr>
    <w:rPr>
      <w:rFonts w:eastAsiaTheme="minorEastAsia"/>
    </w:rPr>
  </w:style>
  <w:style w:type="character" w:customStyle="1" w:styleId="NoSpacingChar">
    <w:name w:val="No Spacing Char"/>
    <w:basedOn w:val="DefaultParagraphFont"/>
    <w:link w:val="NoSpacing"/>
    <w:uiPriority w:val="1"/>
    <w:rsid w:val="0036318D"/>
    <w:rPr>
      <w:rFonts w:eastAsiaTheme="minorEastAsia"/>
    </w:rPr>
  </w:style>
  <w:style w:type="paragraph" w:customStyle="1" w:styleId="Tekstkomentara1">
    <w:name w:val="Tekst komentara1"/>
    <w:basedOn w:val="Normal"/>
    <w:next w:val="CommentText"/>
    <w:link w:val="TekstkomentaraChar"/>
    <w:uiPriority w:val="99"/>
    <w:semiHidden/>
    <w:unhideWhenUsed/>
    <w:rsid w:val="008D40B8"/>
    <w:pPr>
      <w:spacing w:line="240" w:lineRule="auto"/>
    </w:pPr>
    <w:rPr>
      <w:lang w:val="en-US"/>
    </w:rPr>
  </w:style>
  <w:style w:type="character" w:customStyle="1" w:styleId="TekstkomentaraChar">
    <w:name w:val="Tekst komentara Char"/>
    <w:basedOn w:val="DefaultParagraphFont"/>
    <w:link w:val="Tekstkomentara1"/>
    <w:uiPriority w:val="99"/>
    <w:rsid w:val="008D40B8"/>
  </w:style>
  <w:style w:type="character" w:styleId="CommentReference">
    <w:name w:val="annotation reference"/>
    <w:basedOn w:val="DefaultParagraphFont"/>
    <w:uiPriority w:val="99"/>
    <w:semiHidden/>
    <w:unhideWhenUsed/>
    <w:rsid w:val="008D40B8"/>
    <w:rPr>
      <w:sz w:val="16"/>
      <w:szCs w:val="16"/>
    </w:rPr>
  </w:style>
  <w:style w:type="paragraph" w:styleId="CommentText">
    <w:name w:val="annotation text"/>
    <w:basedOn w:val="Normal"/>
    <w:link w:val="CommentTextChar"/>
    <w:uiPriority w:val="99"/>
    <w:unhideWhenUsed/>
    <w:rsid w:val="008D40B8"/>
    <w:pPr>
      <w:spacing w:line="240" w:lineRule="auto"/>
    </w:pPr>
    <w:rPr>
      <w:sz w:val="20"/>
      <w:szCs w:val="20"/>
    </w:rPr>
  </w:style>
  <w:style w:type="character" w:customStyle="1" w:styleId="CommentTextChar">
    <w:name w:val="Comment Text Char"/>
    <w:basedOn w:val="DefaultParagraphFont"/>
    <w:link w:val="CommentText"/>
    <w:uiPriority w:val="99"/>
    <w:rsid w:val="008D40B8"/>
    <w:rPr>
      <w:sz w:val="20"/>
      <w:szCs w:val="20"/>
      <w:lang w:val="sr-Latn-ME"/>
    </w:rPr>
  </w:style>
  <w:style w:type="paragraph" w:styleId="CommentSubject">
    <w:name w:val="annotation subject"/>
    <w:basedOn w:val="CommentText"/>
    <w:next w:val="CommentText"/>
    <w:link w:val="CommentSubjectChar"/>
    <w:uiPriority w:val="99"/>
    <w:semiHidden/>
    <w:unhideWhenUsed/>
    <w:rsid w:val="0070252F"/>
    <w:rPr>
      <w:b/>
      <w:bCs/>
    </w:rPr>
  </w:style>
  <w:style w:type="character" w:customStyle="1" w:styleId="CommentSubjectChar">
    <w:name w:val="Comment Subject Char"/>
    <w:basedOn w:val="CommentTextChar"/>
    <w:link w:val="CommentSubject"/>
    <w:uiPriority w:val="99"/>
    <w:semiHidden/>
    <w:rsid w:val="0070252F"/>
    <w:rPr>
      <w:b/>
      <w:bCs/>
      <w:sz w:val="20"/>
      <w:szCs w:val="20"/>
      <w:lang w:val="sr-Latn-ME"/>
    </w:rPr>
  </w:style>
  <w:style w:type="table" w:customStyle="1" w:styleId="TableGridLight1">
    <w:name w:val="Table Grid Light1"/>
    <w:basedOn w:val="TableNormal"/>
    <w:uiPriority w:val="40"/>
    <w:rsid w:val="001B56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1">
    <w:name w:val="Table Grid Light21"/>
    <w:basedOn w:val="TableNormal"/>
    <w:next w:val="TableGridLight1"/>
    <w:uiPriority w:val="40"/>
    <w:rsid w:val="001B56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B56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5">
    <w:name w:val="Grid Table 3 Accent 5"/>
    <w:basedOn w:val="TableNormal"/>
    <w:uiPriority w:val="48"/>
    <w:rsid w:val="00C45EE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5">
    <w:name w:val="Grid Table 4 Accent 5"/>
    <w:basedOn w:val="TableNormal"/>
    <w:uiPriority w:val="49"/>
    <w:rsid w:val="00C45EE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2D7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EB4"/>
    <w:rPr>
      <w:rFonts w:ascii="Segoe UI" w:hAnsi="Segoe UI" w:cs="Segoe UI"/>
      <w:sz w:val="18"/>
      <w:szCs w:val="18"/>
      <w:lang w:val="bs-Latn-BA"/>
    </w:rPr>
  </w:style>
  <w:style w:type="paragraph" w:styleId="Revision">
    <w:name w:val="Revision"/>
    <w:hidden/>
    <w:uiPriority w:val="99"/>
    <w:semiHidden/>
    <w:rsid w:val="009B6935"/>
    <w:pPr>
      <w:spacing w:after="0" w:line="240" w:lineRule="auto"/>
    </w:pPr>
    <w:rPr>
      <w:lang w:val="bs-Latn-BA"/>
    </w:rPr>
  </w:style>
  <w:style w:type="table" w:styleId="TableGridLight">
    <w:name w:val="Grid Table Light"/>
    <w:basedOn w:val="TableNormal"/>
    <w:uiPriority w:val="40"/>
    <w:rsid w:val="005A67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2.png"/><Relationship Id="rId39" Type="http://schemas.openxmlformats.org/officeDocument/2006/relationships/diagramData" Target="diagrams/data5.xml"/><Relationship Id="rId21" Type="http://schemas.openxmlformats.org/officeDocument/2006/relationships/diagramQuickStyle" Target="diagrams/quickStyle3.xml"/><Relationship Id="rId34" Type="http://schemas.openxmlformats.org/officeDocument/2006/relationships/diagramData" Target="diagrams/data4.xml"/><Relationship Id="rId42" Type="http://schemas.openxmlformats.org/officeDocument/2006/relationships/diagramColors" Target="diagrams/colors5.xml"/><Relationship Id="rId47"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QuickStyle" Target="diagrams/quickStyle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png"/><Relationship Id="rId32" Type="http://schemas.openxmlformats.org/officeDocument/2006/relationships/image" Target="media/image8.png"/><Relationship Id="rId37" Type="http://schemas.openxmlformats.org/officeDocument/2006/relationships/diagramColors" Target="diagrams/colors4.xml"/><Relationship Id="rId40" Type="http://schemas.openxmlformats.org/officeDocument/2006/relationships/diagramLayout" Target="diagrams/layout5.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image" Target="media/image4.png"/><Relationship Id="rId36" Type="http://schemas.openxmlformats.org/officeDocument/2006/relationships/diagramQuickStyle" Target="diagrams/quickStyle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image" Target="media/image7.png"/><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diagramLayout" Target="diagrams/layout4.xml"/><Relationship Id="rId43" Type="http://schemas.microsoft.com/office/2007/relationships/diagramDrawing" Target="diagrams/drawing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chart" Target="charts/chart1.xml"/><Relationship Id="rId33" Type="http://schemas.openxmlformats.org/officeDocument/2006/relationships/image" Target="media/image9.png"/><Relationship Id="rId38" Type="http://schemas.microsoft.com/office/2007/relationships/diagramDrawing" Target="diagrams/drawing4.xml"/><Relationship Id="rId46" Type="http://schemas.openxmlformats.org/officeDocument/2006/relationships/theme" Target="theme/theme1.xml"/><Relationship Id="rId20" Type="http://schemas.openxmlformats.org/officeDocument/2006/relationships/diagramLayout" Target="diagrams/layout3.xml"/><Relationship Id="rId41" Type="http://schemas.openxmlformats.org/officeDocument/2006/relationships/diagramQuickStyle" Target="diagrams/quickStyle5.xml"/></Relationships>
</file>

<file path=word/_rels/footnotes.xml.rels><?xml version="1.0" encoding="UTF-8" standalone="yes"?>
<Relationships xmlns="http://schemas.openxmlformats.org/package/2006/relationships"><Relationship Id="rId8" Type="http://schemas.openxmlformats.org/officeDocument/2006/relationships/hyperlink" Target="https://www.gov.me/dokumenta/abf74c06-91a3-446d-a88f-6c97667ba2da" TargetMode="External"/><Relationship Id="rId13" Type="http://schemas.openxmlformats.org/officeDocument/2006/relationships/hyperlink" Target="https://www.gov.me/dokumenta/67dc487e-097d-41d2-8fd5-7827a19a1f5a" TargetMode="External"/><Relationship Id="rId18" Type="http://schemas.openxmlformats.org/officeDocument/2006/relationships/hyperlink" Target="https://euroguidance.eu/" TargetMode="External"/><Relationship Id="rId3" Type="http://schemas.openxmlformats.org/officeDocument/2006/relationships/hyperlink" Target="https://www.gov.me/dokumenta/6a05cf00-25ca-4f77-89c4-468ceb994eb6" TargetMode="External"/><Relationship Id="rId21" Type="http://schemas.openxmlformats.org/officeDocument/2006/relationships/hyperlink" Target="https://www.monstat.org/cg/page.php?id=2088&amp;pageid=22" TargetMode="External"/><Relationship Id="rId7" Type="http://schemas.openxmlformats.org/officeDocument/2006/relationships/hyperlink" Target="https://www.eu.me/download/1696/crna-gora-i-eu/31923/reformska-agenda-crne-gore-2024-2027.pdf" TargetMode="External"/><Relationship Id="rId12" Type="http://schemas.openxmlformats.org/officeDocument/2006/relationships/hyperlink" Target="https://www.skolskiportal.edu.me/Docs/Opti%20dokumenti/Strategija%20za%20digitalizaciju%20obrazovnog%20sistema%202022-2027%20sa%20Akcionim%20planom%202022-2023.pdf" TargetMode="External"/><Relationship Id="rId17" Type="http://schemas.openxmlformats.org/officeDocument/2006/relationships/hyperlink" Target="https://www.strategijazamlade.me/2023-2027/" TargetMode="External"/><Relationship Id="rId2" Type="http://schemas.openxmlformats.org/officeDocument/2006/relationships/hyperlink" Target="https://www.gov.me/dokumenta/2b95ffd7-5e65-484e-bcd4-0b3bd7ef2fac" TargetMode="External"/><Relationship Id="rId16" Type="http://schemas.openxmlformats.org/officeDocument/2006/relationships/hyperlink" Target="https://www.gov.me/clanak/garancija-za-mlade" TargetMode="External"/><Relationship Id="rId20" Type="http://schemas.openxmlformats.org/officeDocument/2006/relationships/hyperlink" Target="https://www.ucg.ac.me/objava/blog/19379/objava/6480-ceepus" TargetMode="External"/><Relationship Id="rId1" Type="http://schemas.openxmlformats.org/officeDocument/2006/relationships/hyperlink" Target="https://www.gov.me/dokumenta/baff7630-6981-451a-ac1f-011f8a64b4f3" TargetMode="External"/><Relationship Id="rId6" Type="http://schemas.openxmlformats.org/officeDocument/2006/relationships/hyperlink" Target="https://www.gov.me/dokumenta/ee885398-748f-48fd-912a-29bbac334bfb" TargetMode="External"/><Relationship Id="rId11" Type="http://schemas.openxmlformats.org/officeDocument/2006/relationships/hyperlink" Target="https://wapi.gov.me/download-preview/46dc2fa2-6885-482c-8c59-8179a69c68b6?version=1.0" TargetMode="External"/><Relationship Id="rId24" Type="http://schemas.openxmlformats.org/officeDocument/2006/relationships/hyperlink" Target="https://monstat.org/uploads/files/ARS/2024/4/ARS%20saopstenje_2024_Q4.pdf" TargetMode="External"/><Relationship Id="rId5" Type="http://schemas.openxmlformats.org/officeDocument/2006/relationships/hyperlink" Target="https://www.gov.me/dokumenta/e4974ce7-2e58-4cce-b8ff-577ab3350f8e" TargetMode="External"/><Relationship Id="rId15" Type="http://schemas.openxmlformats.org/officeDocument/2006/relationships/hyperlink" Target="https://www.gov.me/dokumenta/41e3ee6a-757a-4684-9763-9fee5e933afd" TargetMode="External"/><Relationship Id="rId23" Type="http://schemas.openxmlformats.org/officeDocument/2006/relationships/hyperlink" Target="https://www.rcc.int/download/docs/Study-on-Youth-Employment-in-the%20Western-Balkans-08072021.pdf/7464a4c82ee558440dfbea2e23028483.pdf" TargetMode="External"/><Relationship Id="rId10" Type="http://schemas.openxmlformats.org/officeDocument/2006/relationships/hyperlink" Target="https://www.gov.me/dokumenta/73f999b6-b879-4868-a72d-e670ce78f77f" TargetMode="External"/><Relationship Id="rId19" Type="http://schemas.openxmlformats.org/officeDocument/2006/relationships/hyperlink" Target="https://eur-lex.europa.eu/legal-content/HR/TXT/?uri=CELEX:32018D0646" TargetMode="External"/><Relationship Id="rId4" Type="http://schemas.openxmlformats.org/officeDocument/2006/relationships/hyperlink" Target="https://www.gov.me/dokumenta/c7fbc41d-a5e6-4056-b8fa-c5982ea8d611" TargetMode="External"/><Relationship Id="rId9" Type="http://schemas.openxmlformats.org/officeDocument/2006/relationships/hyperlink" Target="https://www.zzzcg.me/wp-content/uploads/2022/02/predlog-nacionalne-strategije-zaposljavanja-2021-2025-s-predlogom-akcionog-plana-zaposljavanja-za-2021-godinu.pdf" TargetMode="External"/><Relationship Id="rId14" Type="http://schemas.openxmlformats.org/officeDocument/2006/relationships/hyperlink" Target="https://www.gov.me/dokumenta/3e145aba-089d-40bf-8bbb-6e7a91b3e873" TargetMode="External"/><Relationship Id="rId22" Type="http://schemas.openxmlformats.org/officeDocument/2006/relationships/hyperlink" Target="https://www.eurofound.europa.eu/en/topic/neet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Članovi tima za KVS</c:v>
                </c:pt>
              </c:strCache>
            </c:strRef>
          </c:tx>
          <c:spPr>
            <a:solidFill>
              <a:schemeClr val="accent1"/>
            </a:solidFill>
            <a:ln>
              <a:noFill/>
            </a:ln>
            <a:effectLst/>
          </c:spPr>
          <c:invertIfNegative val="0"/>
          <c:cat>
            <c:strRef>
              <c:f>Sheet1!$A$2:$A$10</c:f>
              <c:strCache>
                <c:ptCount val="9"/>
                <c:pt idx="0">
                  <c:v>Primjena adekvatnih instrumenata (upitnika za procjenu osobina i sposobnosti učenika)</c:v>
                </c:pt>
                <c:pt idx="1">
                  <c:v>Saradnja svih aktera (poslodavci, ZZZ, NVO, škole...)</c:v>
                </c:pt>
                <c:pt idx="2">
                  <c:v>Strateško planiranje potreba za kadrovima</c:v>
                </c:pt>
                <c:pt idx="3">
                  <c:v>Kampanje o važnosti KVS</c:v>
                </c:pt>
                <c:pt idx="4">
                  <c:v>Zapošljavanje saradnika za KVS u školi</c:v>
                </c:pt>
                <c:pt idx="5">
                  <c:v>Informisanje i uključivanje roditelja (npr. u procjeni učenika)</c:v>
                </c:pt>
                <c:pt idx="6">
                  <c:v>Usavršavanje svih nastavnika o KVS</c:v>
                </c:pt>
                <c:pt idx="7">
                  <c:v>Upoznavanje učenika sa poslovima kroz praksu</c:v>
                </c:pt>
                <c:pt idx="8">
                  <c:v>Što raniji početak KVS svih učenika (npr. u II ciklusu OŠ)</c:v>
                </c:pt>
              </c:strCache>
            </c:strRef>
          </c:cat>
          <c:val>
            <c:numRef>
              <c:f>Sheet1!$B$2:$B$10</c:f>
              <c:numCache>
                <c:formatCode>General</c:formatCode>
                <c:ptCount val="9"/>
                <c:pt idx="0">
                  <c:v>3.94</c:v>
                </c:pt>
                <c:pt idx="1">
                  <c:v>4.26</c:v>
                </c:pt>
                <c:pt idx="2">
                  <c:v>4.07</c:v>
                </c:pt>
                <c:pt idx="3">
                  <c:v>3.83</c:v>
                </c:pt>
                <c:pt idx="4">
                  <c:v>4.0599999999999996</c:v>
                </c:pt>
                <c:pt idx="5">
                  <c:v>4.2</c:v>
                </c:pt>
                <c:pt idx="6">
                  <c:v>4.3899999999999997</c:v>
                </c:pt>
                <c:pt idx="7">
                  <c:v>4.55</c:v>
                </c:pt>
                <c:pt idx="8">
                  <c:v>4.1100000000000003</c:v>
                </c:pt>
              </c:numCache>
            </c:numRef>
          </c:val>
          <c:extLst>
            <c:ext xmlns:c16="http://schemas.microsoft.com/office/drawing/2014/chart" uri="{C3380CC4-5D6E-409C-BE32-E72D297353CC}">
              <c16:uniqueId val="{00000000-6312-4D53-A1FD-B6D481DA7F07}"/>
            </c:ext>
          </c:extLst>
        </c:ser>
        <c:ser>
          <c:idx val="1"/>
          <c:order val="1"/>
          <c:tx>
            <c:strRef>
              <c:f>Sheet1!$C$1</c:f>
              <c:strCache>
                <c:ptCount val="1"/>
                <c:pt idx="0">
                  <c:v>Razredne starješine</c:v>
                </c:pt>
              </c:strCache>
            </c:strRef>
          </c:tx>
          <c:spPr>
            <a:solidFill>
              <a:schemeClr val="accent2"/>
            </a:solidFill>
            <a:ln>
              <a:noFill/>
            </a:ln>
            <a:effectLst/>
          </c:spPr>
          <c:invertIfNegative val="0"/>
          <c:cat>
            <c:strRef>
              <c:f>Sheet1!$A$2:$A$10</c:f>
              <c:strCache>
                <c:ptCount val="9"/>
                <c:pt idx="0">
                  <c:v>Primjena adekvatnih instrumenata (upitnika za procjenu osobina i sposobnosti učenika)</c:v>
                </c:pt>
                <c:pt idx="1">
                  <c:v>Saradnja svih aktera (poslodavci, ZZZ, NVO, škole...)</c:v>
                </c:pt>
                <c:pt idx="2">
                  <c:v>Strateško planiranje potreba za kadrovima</c:v>
                </c:pt>
                <c:pt idx="3">
                  <c:v>Kampanje o važnosti KVS</c:v>
                </c:pt>
                <c:pt idx="4">
                  <c:v>Zapošljavanje saradnika za KVS u školi</c:v>
                </c:pt>
                <c:pt idx="5">
                  <c:v>Informisanje i uključivanje roditelja (npr. u procjeni učenika)</c:v>
                </c:pt>
                <c:pt idx="6">
                  <c:v>Usavršavanje svih nastavnika o KVS</c:v>
                </c:pt>
                <c:pt idx="7">
                  <c:v>Upoznavanje učenika sa poslovima kroz praksu</c:v>
                </c:pt>
                <c:pt idx="8">
                  <c:v>Što raniji početak KVS svih učenika (npr. u II ciklusu OŠ)</c:v>
                </c:pt>
              </c:strCache>
            </c:strRef>
          </c:cat>
          <c:val>
            <c:numRef>
              <c:f>Sheet1!$C$2:$C$10</c:f>
              <c:numCache>
                <c:formatCode>General</c:formatCode>
                <c:ptCount val="9"/>
                <c:pt idx="0">
                  <c:v>4.1900000000000004</c:v>
                </c:pt>
                <c:pt idx="1">
                  <c:v>4.45</c:v>
                </c:pt>
                <c:pt idx="2">
                  <c:v>4.26</c:v>
                </c:pt>
                <c:pt idx="3">
                  <c:v>4.08</c:v>
                </c:pt>
                <c:pt idx="4">
                  <c:v>3.85</c:v>
                </c:pt>
                <c:pt idx="5">
                  <c:v>4.32</c:v>
                </c:pt>
                <c:pt idx="6">
                  <c:v>4.4000000000000004</c:v>
                </c:pt>
                <c:pt idx="7">
                  <c:v>4.7</c:v>
                </c:pt>
                <c:pt idx="8">
                  <c:v>3.76</c:v>
                </c:pt>
              </c:numCache>
            </c:numRef>
          </c:val>
          <c:extLst>
            <c:ext xmlns:c16="http://schemas.microsoft.com/office/drawing/2014/chart" uri="{C3380CC4-5D6E-409C-BE32-E72D297353CC}">
              <c16:uniqueId val="{00000001-6312-4D53-A1FD-B6D481DA7F07}"/>
            </c:ext>
          </c:extLst>
        </c:ser>
        <c:dLbls>
          <c:showLegendKey val="0"/>
          <c:showVal val="0"/>
          <c:showCatName val="0"/>
          <c:showSerName val="0"/>
          <c:showPercent val="0"/>
          <c:showBubbleSize val="0"/>
        </c:dLbls>
        <c:gapWidth val="182"/>
        <c:axId val="1466502272"/>
        <c:axId val="1"/>
      </c:barChart>
      <c:catAx>
        <c:axId val="1466502272"/>
        <c:scaling>
          <c:orientation val="minMax"/>
        </c:scaling>
        <c:delete val="0"/>
        <c:axPos val="l"/>
        <c:numFmt formatCode="General" sourceLinked="1"/>
        <c:majorTickMark val="none"/>
        <c:minorTickMark val="none"/>
        <c:tickLblPos val="nextTo"/>
        <c:spPr>
          <a:noFill/>
          <a:ln w="9500"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b"/>
        <c:majorGridlines>
          <c:spPr>
            <a:ln w="950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466502272"/>
        <c:crosses val="autoZero"/>
        <c:crossBetween val="between"/>
      </c:valAx>
      <c:spPr>
        <a:noFill/>
        <a:ln w="25335">
          <a:noFill/>
        </a:ln>
      </c:spPr>
    </c:plotArea>
    <c:legend>
      <c:legendPos val="b"/>
      <c:overlay val="0"/>
      <c:spPr>
        <a:noFill/>
        <a:ln>
          <a:noFill/>
        </a:ln>
        <a:effectLst/>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273769-7CD7-446E-AA9F-3FE70899A695}"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n-US"/>
        </a:p>
      </dgm:t>
    </dgm:pt>
    <dgm:pt modelId="{28BEA963-81C3-476D-A79D-4E41DF5FD3C6}">
      <dgm:prSet phldrT="[Tekst]"/>
      <dgm:spPr>
        <a:xfrm>
          <a:off x="0" y="39542"/>
          <a:ext cx="6010910" cy="517140"/>
        </a:xfrm>
        <a:prstGeom prst="round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Pojedinac je odgovoran za svoju karijeru i razvoj, ali nije sam u tom procesu. Društvo i okolina imaju značajan uticaj. </a:t>
          </a:r>
          <a:endParaRPr lang="en-US">
            <a:solidFill>
              <a:sysClr val="window" lastClr="FFFFFF"/>
            </a:solidFill>
            <a:latin typeface="Calibri" panose="020F0502020204030204"/>
            <a:ea typeface="+mn-ea"/>
            <a:cs typeface="+mn-cs"/>
          </a:endParaRPr>
        </a:p>
      </dgm:t>
    </dgm:pt>
    <dgm:pt modelId="{3575D0FD-31C5-49AB-8B0B-8BDB2FEA2549}" type="parTrans" cxnId="{146A9A1E-60E3-4461-98E9-EB19F3E1C64F}">
      <dgm:prSet/>
      <dgm:spPr/>
      <dgm:t>
        <a:bodyPr/>
        <a:lstStyle/>
        <a:p>
          <a:endParaRPr lang="en-US"/>
        </a:p>
      </dgm:t>
    </dgm:pt>
    <dgm:pt modelId="{2A1E9BD7-6B81-408F-94C7-D4CFD74666BF}" type="sibTrans" cxnId="{146A9A1E-60E3-4461-98E9-EB19F3E1C64F}">
      <dgm:prSet/>
      <dgm:spPr/>
      <dgm:t>
        <a:bodyPr/>
        <a:lstStyle/>
        <a:p>
          <a:endParaRPr lang="en-US"/>
        </a:p>
      </dgm:t>
    </dgm:pt>
    <dgm:pt modelId="{D4EA3ACA-BD4E-4ED1-96D5-35368DC2DFA6}">
      <dgm:prSet phldrT="[Tekst]"/>
      <dgm:spPr>
        <a:xfrm>
          <a:off x="0" y="594122"/>
          <a:ext cx="6010910" cy="517140"/>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KVS podrazumijeva prepoznavanje interesa, uvjerenja, vrijednosti, vještina i kompetencija pojedinca. Kao i njihovo povezivanje sa potrebama tržišta rada.</a:t>
          </a:r>
          <a:endParaRPr lang="en-US">
            <a:solidFill>
              <a:sysClr val="window" lastClr="FFFFFF"/>
            </a:solidFill>
            <a:latin typeface="Calibri" panose="020F0502020204030204"/>
            <a:ea typeface="+mn-ea"/>
            <a:cs typeface="+mn-cs"/>
          </a:endParaRPr>
        </a:p>
      </dgm:t>
    </dgm:pt>
    <dgm:pt modelId="{B8113784-1057-45A1-8185-1A80623E3640}" type="parTrans" cxnId="{7E951032-76E0-41C4-830E-1B4A37E0FC14}">
      <dgm:prSet/>
      <dgm:spPr/>
      <dgm:t>
        <a:bodyPr/>
        <a:lstStyle/>
        <a:p>
          <a:endParaRPr lang="en-US"/>
        </a:p>
      </dgm:t>
    </dgm:pt>
    <dgm:pt modelId="{DB0956E7-E325-4F5E-B1D6-EB3D2FE3068D}" type="sibTrans" cxnId="{7E951032-76E0-41C4-830E-1B4A37E0FC14}">
      <dgm:prSet/>
      <dgm:spPr/>
      <dgm:t>
        <a:bodyPr/>
        <a:lstStyle/>
        <a:p>
          <a:endParaRPr lang="en-US"/>
        </a:p>
      </dgm:t>
    </dgm:pt>
    <dgm:pt modelId="{75BABD1A-7942-4E1C-A8AB-0788FD5F86BC}">
      <dgm:prSet phldrT="[Tekst]"/>
      <dgm:spPr>
        <a:xfrm>
          <a:off x="0" y="1148702"/>
          <a:ext cx="6010910" cy="517140"/>
        </a:xfrm>
        <a:prstGeom prst="round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Razumijevanje dostupnih opcija i donošenje informisanih izbora o svojoj karijeri i budućnosti</a:t>
          </a:r>
          <a:endParaRPr lang="en-US">
            <a:solidFill>
              <a:sysClr val="window" lastClr="FFFFFF"/>
            </a:solidFill>
            <a:latin typeface="Calibri" panose="020F0502020204030204"/>
            <a:ea typeface="+mn-ea"/>
            <a:cs typeface="+mn-cs"/>
          </a:endParaRPr>
        </a:p>
      </dgm:t>
    </dgm:pt>
    <dgm:pt modelId="{868ACCDF-269E-41E0-998C-6BD7DDBEE735}" type="parTrans" cxnId="{F7020E18-D6A1-4CC5-9181-F7821F40D0DA}">
      <dgm:prSet/>
      <dgm:spPr/>
      <dgm:t>
        <a:bodyPr/>
        <a:lstStyle/>
        <a:p>
          <a:endParaRPr lang="en-US"/>
        </a:p>
      </dgm:t>
    </dgm:pt>
    <dgm:pt modelId="{2865B83F-10F5-4040-9B9C-5FC9CD86A47F}" type="sibTrans" cxnId="{F7020E18-D6A1-4CC5-9181-F7821F40D0DA}">
      <dgm:prSet/>
      <dgm:spPr/>
      <dgm:t>
        <a:bodyPr/>
        <a:lstStyle/>
        <a:p>
          <a:endParaRPr lang="en-US"/>
        </a:p>
      </dgm:t>
    </dgm:pt>
    <dgm:pt modelId="{71ACCC56-5C31-44FA-BE2A-A3146C8A32C4}">
      <dgm:prSet/>
      <dgm:spPr>
        <a:xfrm>
          <a:off x="0" y="1703282"/>
          <a:ext cx="6010910" cy="51714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Kontinuirano prilagođavanje i spremnost za višestruke karijerne tranzicije</a:t>
          </a:r>
          <a:endParaRPr lang="en-US">
            <a:solidFill>
              <a:sysClr val="window" lastClr="FFFFFF"/>
            </a:solidFill>
            <a:latin typeface="Calibri" panose="020F0502020204030204"/>
            <a:ea typeface="+mn-ea"/>
            <a:cs typeface="+mn-cs"/>
          </a:endParaRPr>
        </a:p>
      </dgm:t>
    </dgm:pt>
    <dgm:pt modelId="{073183E9-9F4A-4143-B796-9D8CC1B40DB7}" type="parTrans" cxnId="{1FCEC294-4992-4313-B0E9-496B7B486EAC}">
      <dgm:prSet/>
      <dgm:spPr/>
      <dgm:t>
        <a:bodyPr/>
        <a:lstStyle/>
        <a:p>
          <a:endParaRPr lang="en-US"/>
        </a:p>
      </dgm:t>
    </dgm:pt>
    <dgm:pt modelId="{2862D441-14EF-450D-AF52-71C5DB2DCFF1}" type="sibTrans" cxnId="{1FCEC294-4992-4313-B0E9-496B7B486EAC}">
      <dgm:prSet/>
      <dgm:spPr/>
      <dgm:t>
        <a:bodyPr/>
        <a:lstStyle/>
        <a:p>
          <a:endParaRPr lang="en-US"/>
        </a:p>
      </dgm:t>
    </dgm:pt>
    <dgm:pt modelId="{46571FE8-84BC-49A9-870D-67381397D10E}" type="pres">
      <dgm:prSet presAssocID="{52273769-7CD7-446E-AA9F-3FE70899A695}" presName="linear" presStyleCnt="0">
        <dgm:presLayoutVars>
          <dgm:animLvl val="lvl"/>
          <dgm:resizeHandles val="exact"/>
        </dgm:presLayoutVars>
      </dgm:prSet>
      <dgm:spPr/>
    </dgm:pt>
    <dgm:pt modelId="{73CE23EA-8B0C-4288-9391-8CB2CAF43857}" type="pres">
      <dgm:prSet presAssocID="{28BEA963-81C3-476D-A79D-4E41DF5FD3C6}" presName="parentText" presStyleLbl="node1" presStyleIdx="0" presStyleCnt="4">
        <dgm:presLayoutVars>
          <dgm:chMax val="0"/>
          <dgm:bulletEnabled val="1"/>
        </dgm:presLayoutVars>
      </dgm:prSet>
      <dgm:spPr/>
    </dgm:pt>
    <dgm:pt modelId="{9094ADA2-B81A-4649-9B60-AACD94316454}" type="pres">
      <dgm:prSet presAssocID="{2A1E9BD7-6B81-408F-94C7-D4CFD74666BF}" presName="spacer" presStyleCnt="0"/>
      <dgm:spPr/>
    </dgm:pt>
    <dgm:pt modelId="{86C1EACD-A5B8-43D5-90CA-167040CAEC6E}" type="pres">
      <dgm:prSet presAssocID="{D4EA3ACA-BD4E-4ED1-96D5-35368DC2DFA6}" presName="parentText" presStyleLbl="node1" presStyleIdx="1" presStyleCnt="4">
        <dgm:presLayoutVars>
          <dgm:chMax val="0"/>
          <dgm:bulletEnabled val="1"/>
        </dgm:presLayoutVars>
      </dgm:prSet>
      <dgm:spPr/>
    </dgm:pt>
    <dgm:pt modelId="{9C64C8C7-1311-445D-B6D4-BC59D40486E1}" type="pres">
      <dgm:prSet presAssocID="{DB0956E7-E325-4F5E-B1D6-EB3D2FE3068D}" presName="spacer" presStyleCnt="0"/>
      <dgm:spPr/>
    </dgm:pt>
    <dgm:pt modelId="{128713B0-08D4-4316-B126-11AED953E7CB}" type="pres">
      <dgm:prSet presAssocID="{75BABD1A-7942-4E1C-A8AB-0788FD5F86BC}" presName="parentText" presStyleLbl="node1" presStyleIdx="2" presStyleCnt="4">
        <dgm:presLayoutVars>
          <dgm:chMax val="0"/>
          <dgm:bulletEnabled val="1"/>
        </dgm:presLayoutVars>
      </dgm:prSet>
      <dgm:spPr/>
    </dgm:pt>
    <dgm:pt modelId="{9028429B-6E6B-484C-857E-ADE283007034}" type="pres">
      <dgm:prSet presAssocID="{2865B83F-10F5-4040-9B9C-5FC9CD86A47F}" presName="spacer" presStyleCnt="0"/>
      <dgm:spPr/>
    </dgm:pt>
    <dgm:pt modelId="{01967716-977C-4707-AAC4-312547477E4C}" type="pres">
      <dgm:prSet presAssocID="{71ACCC56-5C31-44FA-BE2A-A3146C8A32C4}" presName="parentText" presStyleLbl="node1" presStyleIdx="3" presStyleCnt="4">
        <dgm:presLayoutVars>
          <dgm:chMax val="0"/>
          <dgm:bulletEnabled val="1"/>
        </dgm:presLayoutVars>
      </dgm:prSet>
      <dgm:spPr/>
    </dgm:pt>
  </dgm:ptLst>
  <dgm:cxnLst>
    <dgm:cxn modelId="{52D8F402-5324-4C8C-98B8-A40A918B4804}" type="presOf" srcId="{75BABD1A-7942-4E1C-A8AB-0788FD5F86BC}" destId="{128713B0-08D4-4316-B126-11AED953E7CB}" srcOrd="0" destOrd="0" presId="urn:microsoft.com/office/officeart/2005/8/layout/vList2"/>
    <dgm:cxn modelId="{F7020E18-D6A1-4CC5-9181-F7821F40D0DA}" srcId="{52273769-7CD7-446E-AA9F-3FE70899A695}" destId="{75BABD1A-7942-4E1C-A8AB-0788FD5F86BC}" srcOrd="2" destOrd="0" parTransId="{868ACCDF-269E-41E0-998C-6BD7DDBEE735}" sibTransId="{2865B83F-10F5-4040-9B9C-5FC9CD86A47F}"/>
    <dgm:cxn modelId="{146A9A1E-60E3-4461-98E9-EB19F3E1C64F}" srcId="{52273769-7CD7-446E-AA9F-3FE70899A695}" destId="{28BEA963-81C3-476D-A79D-4E41DF5FD3C6}" srcOrd="0" destOrd="0" parTransId="{3575D0FD-31C5-49AB-8B0B-8BDB2FEA2549}" sibTransId="{2A1E9BD7-6B81-408F-94C7-D4CFD74666BF}"/>
    <dgm:cxn modelId="{7E951032-76E0-41C4-830E-1B4A37E0FC14}" srcId="{52273769-7CD7-446E-AA9F-3FE70899A695}" destId="{D4EA3ACA-BD4E-4ED1-96D5-35368DC2DFA6}" srcOrd="1" destOrd="0" parTransId="{B8113784-1057-45A1-8185-1A80623E3640}" sibTransId="{DB0956E7-E325-4F5E-B1D6-EB3D2FE3068D}"/>
    <dgm:cxn modelId="{6D7D006E-B08F-4FFB-98FE-888792935945}" type="presOf" srcId="{52273769-7CD7-446E-AA9F-3FE70899A695}" destId="{46571FE8-84BC-49A9-870D-67381397D10E}" srcOrd="0" destOrd="0" presId="urn:microsoft.com/office/officeart/2005/8/layout/vList2"/>
    <dgm:cxn modelId="{50433D53-680C-4461-A903-D3B1BEFC8D12}" type="presOf" srcId="{28BEA963-81C3-476D-A79D-4E41DF5FD3C6}" destId="{73CE23EA-8B0C-4288-9391-8CB2CAF43857}" srcOrd="0" destOrd="0" presId="urn:microsoft.com/office/officeart/2005/8/layout/vList2"/>
    <dgm:cxn modelId="{1FCEC294-4992-4313-B0E9-496B7B486EAC}" srcId="{52273769-7CD7-446E-AA9F-3FE70899A695}" destId="{71ACCC56-5C31-44FA-BE2A-A3146C8A32C4}" srcOrd="3" destOrd="0" parTransId="{073183E9-9F4A-4143-B796-9D8CC1B40DB7}" sibTransId="{2862D441-14EF-450D-AF52-71C5DB2DCFF1}"/>
    <dgm:cxn modelId="{ED7497EF-BC23-4C92-9643-E2C775297458}" type="presOf" srcId="{71ACCC56-5C31-44FA-BE2A-A3146C8A32C4}" destId="{01967716-977C-4707-AAC4-312547477E4C}" srcOrd="0" destOrd="0" presId="urn:microsoft.com/office/officeart/2005/8/layout/vList2"/>
    <dgm:cxn modelId="{DC1C25F4-B730-4CB6-86F7-C9AF456C33C9}" type="presOf" srcId="{D4EA3ACA-BD4E-4ED1-96D5-35368DC2DFA6}" destId="{86C1EACD-A5B8-43D5-90CA-167040CAEC6E}" srcOrd="0" destOrd="0" presId="urn:microsoft.com/office/officeart/2005/8/layout/vList2"/>
    <dgm:cxn modelId="{33638E6C-0FAC-48FA-A502-13433019DCA5}" type="presParOf" srcId="{46571FE8-84BC-49A9-870D-67381397D10E}" destId="{73CE23EA-8B0C-4288-9391-8CB2CAF43857}" srcOrd="0" destOrd="0" presId="urn:microsoft.com/office/officeart/2005/8/layout/vList2"/>
    <dgm:cxn modelId="{DE2DDC8C-76B6-4297-9542-10A4482DF6B1}" type="presParOf" srcId="{46571FE8-84BC-49A9-870D-67381397D10E}" destId="{9094ADA2-B81A-4649-9B60-AACD94316454}" srcOrd="1" destOrd="0" presId="urn:microsoft.com/office/officeart/2005/8/layout/vList2"/>
    <dgm:cxn modelId="{F591281C-ACFE-4CE4-9D5F-1D84D6E7AE23}" type="presParOf" srcId="{46571FE8-84BC-49A9-870D-67381397D10E}" destId="{86C1EACD-A5B8-43D5-90CA-167040CAEC6E}" srcOrd="2" destOrd="0" presId="urn:microsoft.com/office/officeart/2005/8/layout/vList2"/>
    <dgm:cxn modelId="{2721F057-EF75-4EE2-B69A-82CFC488B711}" type="presParOf" srcId="{46571FE8-84BC-49A9-870D-67381397D10E}" destId="{9C64C8C7-1311-445D-B6D4-BC59D40486E1}" srcOrd="3" destOrd="0" presId="urn:microsoft.com/office/officeart/2005/8/layout/vList2"/>
    <dgm:cxn modelId="{2A8F4D20-6D81-4040-B4CC-A7063195AB7C}" type="presParOf" srcId="{46571FE8-84BC-49A9-870D-67381397D10E}" destId="{128713B0-08D4-4316-B126-11AED953E7CB}" srcOrd="4" destOrd="0" presId="urn:microsoft.com/office/officeart/2005/8/layout/vList2"/>
    <dgm:cxn modelId="{416CFA6B-A774-457E-8B88-D1C04C687FE0}" type="presParOf" srcId="{46571FE8-84BC-49A9-870D-67381397D10E}" destId="{9028429B-6E6B-484C-857E-ADE283007034}" srcOrd="5" destOrd="0" presId="urn:microsoft.com/office/officeart/2005/8/layout/vList2"/>
    <dgm:cxn modelId="{04FF3884-9231-4717-B017-5EBDEA634881}" type="presParOf" srcId="{46571FE8-84BC-49A9-870D-67381397D10E}" destId="{01967716-977C-4707-AAC4-312547477E4C}" srcOrd="6"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2917966-FBC1-4C56-8D10-FA39CF042E39}"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US"/>
        </a:p>
      </dgm:t>
    </dgm:pt>
    <dgm:pt modelId="{DA415D4C-77FB-455C-BE16-77B79026AB01}">
      <dgm:prSet phldrT="[Tekst]"/>
      <dgm:spPr>
        <a:xfrm>
          <a:off x="218357" y="1157"/>
          <a:ext cx="1330437" cy="798262"/>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Ministarstvo prosvjete, nauke i inovacija</a:t>
          </a:r>
          <a:endParaRPr lang="en-US">
            <a:solidFill>
              <a:sysClr val="window" lastClr="FFFFFF"/>
            </a:solidFill>
            <a:latin typeface="Calibri" panose="020F0502020204030204"/>
            <a:ea typeface="+mn-ea"/>
            <a:cs typeface="+mn-cs"/>
          </a:endParaRPr>
        </a:p>
      </dgm:t>
    </dgm:pt>
    <dgm:pt modelId="{741D9732-F7AB-44E8-86CC-BFE434F6AA13}" type="parTrans" cxnId="{951824C8-B48A-4F9C-AC26-2308320E4E37}">
      <dgm:prSet/>
      <dgm:spPr/>
      <dgm:t>
        <a:bodyPr/>
        <a:lstStyle/>
        <a:p>
          <a:pPr algn="ctr"/>
          <a:endParaRPr lang="en-US"/>
        </a:p>
      </dgm:t>
    </dgm:pt>
    <dgm:pt modelId="{CC90658D-75F6-43A5-83C1-9B9CD7836D40}" type="sibTrans" cxnId="{951824C8-B48A-4F9C-AC26-2308320E4E37}">
      <dgm:prSet/>
      <dgm:spPr/>
      <dgm:t>
        <a:bodyPr/>
        <a:lstStyle/>
        <a:p>
          <a:pPr algn="ctr"/>
          <a:endParaRPr lang="en-US"/>
        </a:p>
      </dgm:t>
    </dgm:pt>
    <dgm:pt modelId="{EE9CE025-17AA-4948-8BD0-3EEF8808CB56}">
      <dgm:prSet phldrT="[Tekst]"/>
      <dgm:spPr>
        <a:xfrm>
          <a:off x="1681838" y="1157"/>
          <a:ext cx="1330437" cy="798262"/>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Ministarstvo rada, zapošljavanja i socijalnog dijaloga</a:t>
          </a:r>
          <a:endParaRPr lang="en-US">
            <a:solidFill>
              <a:sysClr val="window" lastClr="FFFFFF"/>
            </a:solidFill>
            <a:latin typeface="Calibri" panose="020F0502020204030204"/>
            <a:ea typeface="+mn-ea"/>
            <a:cs typeface="+mn-cs"/>
          </a:endParaRPr>
        </a:p>
      </dgm:t>
    </dgm:pt>
    <dgm:pt modelId="{7020059E-AA0D-4F24-AA66-425637FC54BB}" type="parTrans" cxnId="{02607E31-80A0-40E1-831F-8103E6EC8578}">
      <dgm:prSet/>
      <dgm:spPr/>
      <dgm:t>
        <a:bodyPr/>
        <a:lstStyle/>
        <a:p>
          <a:pPr algn="ctr"/>
          <a:endParaRPr lang="en-US"/>
        </a:p>
      </dgm:t>
    </dgm:pt>
    <dgm:pt modelId="{757F237C-00D7-4343-B6BD-4371B8BCABC8}" type="sibTrans" cxnId="{02607E31-80A0-40E1-831F-8103E6EC8578}">
      <dgm:prSet/>
      <dgm:spPr/>
      <dgm:t>
        <a:bodyPr/>
        <a:lstStyle/>
        <a:p>
          <a:pPr algn="ctr"/>
          <a:endParaRPr lang="en-US"/>
        </a:p>
      </dgm:t>
    </dgm:pt>
    <dgm:pt modelId="{EAC97FC9-1558-4E52-8A36-CAF2C8705D54}">
      <dgm:prSet phldrT="[Tekst]"/>
      <dgm:spPr>
        <a:xfrm>
          <a:off x="3145319" y="1157"/>
          <a:ext cx="1330437" cy="798262"/>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Zavod za školstvo</a:t>
          </a:r>
          <a:endParaRPr lang="en-US">
            <a:solidFill>
              <a:sysClr val="window" lastClr="FFFFFF"/>
            </a:solidFill>
            <a:latin typeface="Calibri" panose="020F0502020204030204"/>
            <a:ea typeface="+mn-ea"/>
            <a:cs typeface="+mn-cs"/>
          </a:endParaRPr>
        </a:p>
      </dgm:t>
    </dgm:pt>
    <dgm:pt modelId="{BDD83F14-A834-49D9-BD9F-D6FEBB86951B}" type="parTrans" cxnId="{07732099-7AE8-4B40-8F73-6462D1EBD146}">
      <dgm:prSet/>
      <dgm:spPr/>
      <dgm:t>
        <a:bodyPr/>
        <a:lstStyle/>
        <a:p>
          <a:pPr algn="ctr"/>
          <a:endParaRPr lang="en-US"/>
        </a:p>
      </dgm:t>
    </dgm:pt>
    <dgm:pt modelId="{C8D917A5-EAC2-478D-9899-66E84774B463}" type="sibTrans" cxnId="{07732099-7AE8-4B40-8F73-6462D1EBD146}">
      <dgm:prSet/>
      <dgm:spPr/>
      <dgm:t>
        <a:bodyPr/>
        <a:lstStyle/>
        <a:p>
          <a:pPr algn="ctr"/>
          <a:endParaRPr lang="en-US"/>
        </a:p>
      </dgm:t>
    </dgm:pt>
    <dgm:pt modelId="{A5DEF59C-8A81-4477-8600-5D78257A423C}">
      <dgm:prSet phldrT="[Tekst]"/>
      <dgm:spPr>
        <a:xfrm>
          <a:off x="4608800" y="1157"/>
          <a:ext cx="1330437" cy="79826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Centar za stručno obrazovanje</a:t>
          </a:r>
          <a:endParaRPr lang="en-US">
            <a:solidFill>
              <a:sysClr val="window" lastClr="FFFFFF"/>
            </a:solidFill>
            <a:latin typeface="Calibri" panose="020F0502020204030204"/>
            <a:ea typeface="+mn-ea"/>
            <a:cs typeface="+mn-cs"/>
          </a:endParaRPr>
        </a:p>
      </dgm:t>
    </dgm:pt>
    <dgm:pt modelId="{374194CA-077D-4A2D-B900-311B53D441F1}" type="parTrans" cxnId="{452D63BD-F405-44BF-9DA7-3671730EA80B}">
      <dgm:prSet/>
      <dgm:spPr/>
      <dgm:t>
        <a:bodyPr/>
        <a:lstStyle/>
        <a:p>
          <a:pPr algn="ctr"/>
          <a:endParaRPr lang="en-US"/>
        </a:p>
      </dgm:t>
    </dgm:pt>
    <dgm:pt modelId="{CE39A9A3-8A30-40F9-842E-9599175CC8D8}" type="sibTrans" cxnId="{452D63BD-F405-44BF-9DA7-3671730EA80B}">
      <dgm:prSet/>
      <dgm:spPr/>
      <dgm:t>
        <a:bodyPr/>
        <a:lstStyle/>
        <a:p>
          <a:pPr algn="ctr"/>
          <a:endParaRPr lang="en-US"/>
        </a:p>
      </dgm:t>
    </dgm:pt>
    <dgm:pt modelId="{AAE73BF6-B850-4E15-B1B2-37CC6EE82FD1}">
      <dgm:prSet phldrT="[Tekst]"/>
      <dgm:spPr>
        <a:xfrm>
          <a:off x="218357" y="932463"/>
          <a:ext cx="1330437" cy="798262"/>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Zavod za zapošljavanje</a:t>
          </a:r>
          <a:endParaRPr lang="en-US">
            <a:solidFill>
              <a:sysClr val="window" lastClr="FFFFFF"/>
            </a:solidFill>
            <a:latin typeface="Calibri" panose="020F0502020204030204"/>
            <a:ea typeface="+mn-ea"/>
            <a:cs typeface="+mn-cs"/>
          </a:endParaRPr>
        </a:p>
      </dgm:t>
    </dgm:pt>
    <dgm:pt modelId="{B44ADAD9-667F-4565-9165-67C1E7229A14}" type="parTrans" cxnId="{3992077B-6342-4F42-A2EB-1C1AEFA1F3D5}">
      <dgm:prSet/>
      <dgm:spPr/>
      <dgm:t>
        <a:bodyPr/>
        <a:lstStyle/>
        <a:p>
          <a:pPr algn="ctr"/>
          <a:endParaRPr lang="en-US"/>
        </a:p>
      </dgm:t>
    </dgm:pt>
    <dgm:pt modelId="{8063A6F9-9D95-424A-AD50-6AF32ED8FE53}" type="sibTrans" cxnId="{3992077B-6342-4F42-A2EB-1C1AEFA1F3D5}">
      <dgm:prSet/>
      <dgm:spPr/>
      <dgm:t>
        <a:bodyPr/>
        <a:lstStyle/>
        <a:p>
          <a:pPr algn="ctr"/>
          <a:endParaRPr lang="en-US"/>
        </a:p>
      </dgm:t>
    </dgm:pt>
    <dgm:pt modelId="{55DAA592-35DD-435C-8C47-AAADA329814A}">
      <dgm:prSet/>
      <dgm:spPr>
        <a:xfrm>
          <a:off x="1681838" y="932463"/>
          <a:ext cx="1330437" cy="798262"/>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Univerziteti</a:t>
          </a:r>
          <a:endParaRPr lang="en-US">
            <a:solidFill>
              <a:sysClr val="window" lastClr="FFFFFF"/>
            </a:solidFill>
            <a:latin typeface="Calibri" panose="020F0502020204030204"/>
            <a:ea typeface="+mn-ea"/>
            <a:cs typeface="+mn-cs"/>
          </a:endParaRPr>
        </a:p>
      </dgm:t>
    </dgm:pt>
    <dgm:pt modelId="{CBE68EAB-2215-4058-BC77-724E27642D1C}" type="parTrans" cxnId="{21E80DB6-A28E-4191-8608-7FB4C3EAE49F}">
      <dgm:prSet/>
      <dgm:spPr/>
      <dgm:t>
        <a:bodyPr/>
        <a:lstStyle/>
        <a:p>
          <a:pPr algn="ctr"/>
          <a:endParaRPr lang="en-US"/>
        </a:p>
      </dgm:t>
    </dgm:pt>
    <dgm:pt modelId="{6FD94FE9-EA83-4B5F-AB59-FEE9362A87C7}" type="sibTrans" cxnId="{21E80DB6-A28E-4191-8608-7FB4C3EAE49F}">
      <dgm:prSet/>
      <dgm:spPr/>
      <dgm:t>
        <a:bodyPr/>
        <a:lstStyle/>
        <a:p>
          <a:pPr algn="ctr"/>
          <a:endParaRPr lang="en-US"/>
        </a:p>
      </dgm:t>
    </dgm:pt>
    <dgm:pt modelId="{52E987B1-76E4-4097-9B78-3D893FE1CD06}">
      <dgm:prSet/>
      <dgm:spPr>
        <a:xfrm>
          <a:off x="3145319" y="932463"/>
          <a:ext cx="1330437" cy="798262"/>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Škole</a:t>
          </a:r>
          <a:endParaRPr lang="en-US">
            <a:solidFill>
              <a:sysClr val="window" lastClr="FFFFFF"/>
            </a:solidFill>
            <a:latin typeface="Calibri" panose="020F0502020204030204"/>
            <a:ea typeface="+mn-ea"/>
            <a:cs typeface="+mn-cs"/>
          </a:endParaRPr>
        </a:p>
      </dgm:t>
    </dgm:pt>
    <dgm:pt modelId="{4ED383E9-5D42-420C-BE6C-9AA9327B5063}" type="parTrans" cxnId="{51D5CD67-8E1A-4F8B-A822-5D99CF6ABF0E}">
      <dgm:prSet/>
      <dgm:spPr/>
      <dgm:t>
        <a:bodyPr/>
        <a:lstStyle/>
        <a:p>
          <a:pPr algn="ctr"/>
          <a:endParaRPr lang="en-US"/>
        </a:p>
      </dgm:t>
    </dgm:pt>
    <dgm:pt modelId="{B9330E8E-7B29-4746-9E58-CF60887A4BF5}" type="sibTrans" cxnId="{51D5CD67-8E1A-4F8B-A822-5D99CF6ABF0E}">
      <dgm:prSet/>
      <dgm:spPr/>
      <dgm:t>
        <a:bodyPr/>
        <a:lstStyle/>
        <a:p>
          <a:pPr algn="ctr"/>
          <a:endParaRPr lang="en-US"/>
        </a:p>
      </dgm:t>
    </dgm:pt>
    <dgm:pt modelId="{F90836E3-0083-4AF7-8903-DFEA371C5EED}">
      <dgm:prSet/>
      <dgm:spPr>
        <a:xfrm>
          <a:off x="4608800" y="932463"/>
          <a:ext cx="1330437" cy="798262"/>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Privredna komora</a:t>
          </a:r>
          <a:endParaRPr lang="en-US">
            <a:solidFill>
              <a:sysClr val="window" lastClr="FFFFFF"/>
            </a:solidFill>
            <a:latin typeface="Calibri" panose="020F0502020204030204"/>
            <a:ea typeface="+mn-ea"/>
            <a:cs typeface="+mn-cs"/>
          </a:endParaRPr>
        </a:p>
      </dgm:t>
    </dgm:pt>
    <dgm:pt modelId="{2B1DFC5F-E5D3-41DB-A3A5-EDCECB80FC22}" type="parTrans" cxnId="{9C82B034-3EEA-4E71-A47E-A49E38F5684E}">
      <dgm:prSet/>
      <dgm:spPr/>
      <dgm:t>
        <a:bodyPr/>
        <a:lstStyle/>
        <a:p>
          <a:pPr algn="ctr"/>
          <a:endParaRPr lang="en-US"/>
        </a:p>
      </dgm:t>
    </dgm:pt>
    <dgm:pt modelId="{970E8C1D-7A2C-44B7-9A85-094541420B64}" type="sibTrans" cxnId="{9C82B034-3EEA-4E71-A47E-A49E38F5684E}">
      <dgm:prSet/>
      <dgm:spPr/>
      <dgm:t>
        <a:bodyPr/>
        <a:lstStyle/>
        <a:p>
          <a:pPr algn="ctr"/>
          <a:endParaRPr lang="en-US"/>
        </a:p>
      </dgm:t>
    </dgm:pt>
    <dgm:pt modelId="{D3A938E2-8EEA-486C-839C-5DA08790D82D}">
      <dgm:prSet/>
      <dgm:spPr>
        <a:xfrm>
          <a:off x="218357" y="1863769"/>
          <a:ext cx="1330437" cy="79826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Udruženje poslodavaca</a:t>
          </a:r>
          <a:endParaRPr lang="en-US">
            <a:solidFill>
              <a:sysClr val="window" lastClr="FFFFFF"/>
            </a:solidFill>
            <a:latin typeface="Calibri" panose="020F0502020204030204"/>
            <a:ea typeface="+mn-ea"/>
            <a:cs typeface="+mn-cs"/>
          </a:endParaRPr>
        </a:p>
      </dgm:t>
    </dgm:pt>
    <dgm:pt modelId="{5A7EFE63-E295-4F11-A676-6341D39704A9}" type="parTrans" cxnId="{E464AE92-34F2-4088-A1AE-EAF81A3C4CAB}">
      <dgm:prSet/>
      <dgm:spPr/>
      <dgm:t>
        <a:bodyPr/>
        <a:lstStyle/>
        <a:p>
          <a:pPr algn="ctr"/>
          <a:endParaRPr lang="en-US"/>
        </a:p>
      </dgm:t>
    </dgm:pt>
    <dgm:pt modelId="{8846F1B7-EFB5-4CD9-9202-B0CCE8D8E4E7}" type="sibTrans" cxnId="{E464AE92-34F2-4088-A1AE-EAF81A3C4CAB}">
      <dgm:prSet/>
      <dgm:spPr/>
      <dgm:t>
        <a:bodyPr/>
        <a:lstStyle/>
        <a:p>
          <a:pPr algn="ctr"/>
          <a:endParaRPr lang="en-US"/>
        </a:p>
      </dgm:t>
    </dgm:pt>
    <dgm:pt modelId="{DBF18E44-069C-4957-8857-227F36FFBEDB}">
      <dgm:prSet/>
      <dgm:spPr>
        <a:xfrm>
          <a:off x="1681838" y="1863769"/>
          <a:ext cx="1330437" cy="798262"/>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Javna preduzeća</a:t>
          </a:r>
          <a:endParaRPr lang="en-US">
            <a:solidFill>
              <a:sysClr val="window" lastClr="FFFFFF"/>
            </a:solidFill>
            <a:latin typeface="Calibri" panose="020F0502020204030204"/>
            <a:ea typeface="+mn-ea"/>
            <a:cs typeface="+mn-cs"/>
          </a:endParaRPr>
        </a:p>
      </dgm:t>
    </dgm:pt>
    <dgm:pt modelId="{9374733E-7A6E-45D8-A98E-36A725DBD13E}" type="parTrans" cxnId="{891225CA-9157-4FF7-B878-6820A43C384A}">
      <dgm:prSet/>
      <dgm:spPr/>
      <dgm:t>
        <a:bodyPr/>
        <a:lstStyle/>
        <a:p>
          <a:pPr algn="ctr"/>
          <a:endParaRPr lang="en-US"/>
        </a:p>
      </dgm:t>
    </dgm:pt>
    <dgm:pt modelId="{CC00E78F-6D2E-4EF5-85BF-3A9121BB7132}" type="sibTrans" cxnId="{891225CA-9157-4FF7-B878-6820A43C384A}">
      <dgm:prSet/>
      <dgm:spPr/>
      <dgm:t>
        <a:bodyPr/>
        <a:lstStyle/>
        <a:p>
          <a:pPr algn="ctr"/>
          <a:endParaRPr lang="en-US"/>
        </a:p>
      </dgm:t>
    </dgm:pt>
    <dgm:pt modelId="{7F497DD5-EA5C-4F4C-9E01-AF23369D2B4F}">
      <dgm:prSet/>
      <dgm:spPr>
        <a:xfrm>
          <a:off x="3145319" y="1863769"/>
          <a:ext cx="1330437" cy="798262"/>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NVO sektor</a:t>
          </a:r>
          <a:endParaRPr lang="en-US">
            <a:solidFill>
              <a:sysClr val="window" lastClr="FFFFFF"/>
            </a:solidFill>
            <a:latin typeface="Calibri" panose="020F0502020204030204"/>
            <a:ea typeface="+mn-ea"/>
            <a:cs typeface="+mn-cs"/>
          </a:endParaRPr>
        </a:p>
      </dgm:t>
    </dgm:pt>
    <dgm:pt modelId="{1170619D-5575-40A8-87B3-A10CD3C8EC85}" type="parTrans" cxnId="{35AEE515-6AB9-4D3E-B2C1-9CCEF6998E2A}">
      <dgm:prSet/>
      <dgm:spPr/>
      <dgm:t>
        <a:bodyPr/>
        <a:lstStyle/>
        <a:p>
          <a:pPr algn="ctr"/>
          <a:endParaRPr lang="en-US"/>
        </a:p>
      </dgm:t>
    </dgm:pt>
    <dgm:pt modelId="{69C4822E-D8A4-438D-A8E3-91E3AF8650A1}" type="sibTrans" cxnId="{35AEE515-6AB9-4D3E-B2C1-9CCEF6998E2A}">
      <dgm:prSet/>
      <dgm:spPr/>
      <dgm:t>
        <a:bodyPr/>
        <a:lstStyle/>
        <a:p>
          <a:pPr algn="ctr"/>
          <a:endParaRPr lang="en-US"/>
        </a:p>
      </dgm:t>
    </dgm:pt>
    <dgm:pt modelId="{2DE633B5-5414-4D64-ADC3-BAAD93B3B581}">
      <dgm:prSet/>
      <dgm:spPr>
        <a:xfrm>
          <a:off x="4608800" y="1863769"/>
          <a:ext cx="1330437" cy="798262"/>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Udruženje roditelja</a:t>
          </a:r>
          <a:endParaRPr lang="en-US">
            <a:solidFill>
              <a:sysClr val="window" lastClr="FFFFFF"/>
            </a:solidFill>
            <a:latin typeface="Calibri" panose="020F0502020204030204"/>
            <a:ea typeface="+mn-ea"/>
            <a:cs typeface="+mn-cs"/>
          </a:endParaRPr>
        </a:p>
      </dgm:t>
    </dgm:pt>
    <dgm:pt modelId="{C79EF0ED-17E9-45BF-AC16-151B6D7D34EE}" type="parTrans" cxnId="{83F1F0F3-89E0-437F-A08C-89D37CFC1316}">
      <dgm:prSet/>
      <dgm:spPr/>
      <dgm:t>
        <a:bodyPr/>
        <a:lstStyle/>
        <a:p>
          <a:pPr algn="ctr"/>
          <a:endParaRPr lang="en-US"/>
        </a:p>
      </dgm:t>
    </dgm:pt>
    <dgm:pt modelId="{650A3E9D-A8E7-4FCE-B6F0-37B02069B05C}" type="sibTrans" cxnId="{83F1F0F3-89E0-437F-A08C-89D37CFC1316}">
      <dgm:prSet/>
      <dgm:spPr/>
      <dgm:t>
        <a:bodyPr/>
        <a:lstStyle/>
        <a:p>
          <a:pPr algn="ctr"/>
          <a:endParaRPr lang="en-US"/>
        </a:p>
      </dgm:t>
    </dgm:pt>
    <dgm:pt modelId="{8AE46BEB-AA78-4DCD-8B45-E43A4BFB8BFE}">
      <dgm:prSet/>
      <dgm:spPr/>
      <dgm:t>
        <a:bodyPr/>
        <a:lstStyle/>
        <a:p>
          <a:r>
            <a:rPr lang="sr-Latn-RS"/>
            <a:t>Ministarstvo socijalnog staranja, brige o porodici i demografije</a:t>
          </a:r>
          <a:endParaRPr lang="en-US"/>
        </a:p>
      </dgm:t>
    </dgm:pt>
    <dgm:pt modelId="{5C146D5B-5EEF-49A3-8F7B-315A61E7B30D}" type="parTrans" cxnId="{E61E445F-46B7-40F5-938A-865585ECF188}">
      <dgm:prSet/>
      <dgm:spPr/>
      <dgm:t>
        <a:bodyPr/>
        <a:lstStyle/>
        <a:p>
          <a:endParaRPr lang="en-US"/>
        </a:p>
      </dgm:t>
    </dgm:pt>
    <dgm:pt modelId="{B2442EC1-7C2F-4477-B538-3F4256D6039B}" type="sibTrans" cxnId="{E61E445F-46B7-40F5-938A-865585ECF188}">
      <dgm:prSet/>
      <dgm:spPr/>
      <dgm:t>
        <a:bodyPr/>
        <a:lstStyle/>
        <a:p>
          <a:endParaRPr lang="en-US"/>
        </a:p>
      </dgm:t>
    </dgm:pt>
    <dgm:pt modelId="{3C2D0851-D96B-41F9-A03E-91FDD37E1A75}" type="pres">
      <dgm:prSet presAssocID="{A2917966-FBC1-4C56-8D10-FA39CF042E39}" presName="diagram" presStyleCnt="0">
        <dgm:presLayoutVars>
          <dgm:dir/>
          <dgm:resizeHandles val="exact"/>
        </dgm:presLayoutVars>
      </dgm:prSet>
      <dgm:spPr/>
    </dgm:pt>
    <dgm:pt modelId="{D35636B3-865A-476F-BCF4-47D2154B3C3F}" type="pres">
      <dgm:prSet presAssocID="{DA415D4C-77FB-455C-BE16-77B79026AB01}" presName="node" presStyleLbl="node1" presStyleIdx="0" presStyleCnt="13">
        <dgm:presLayoutVars>
          <dgm:bulletEnabled val="1"/>
        </dgm:presLayoutVars>
      </dgm:prSet>
      <dgm:spPr/>
    </dgm:pt>
    <dgm:pt modelId="{21C1E926-E5AC-44B3-B57E-FB4D470771DA}" type="pres">
      <dgm:prSet presAssocID="{CC90658D-75F6-43A5-83C1-9B9CD7836D40}" presName="sibTrans" presStyleCnt="0"/>
      <dgm:spPr/>
    </dgm:pt>
    <dgm:pt modelId="{3364067F-1C1C-4AE8-8F9B-FD96A43E137C}" type="pres">
      <dgm:prSet presAssocID="{EE9CE025-17AA-4948-8BD0-3EEF8808CB56}" presName="node" presStyleLbl="node1" presStyleIdx="1" presStyleCnt="13">
        <dgm:presLayoutVars>
          <dgm:bulletEnabled val="1"/>
        </dgm:presLayoutVars>
      </dgm:prSet>
      <dgm:spPr/>
    </dgm:pt>
    <dgm:pt modelId="{947AD303-A10B-4D83-A7B8-D9D1576F61B2}" type="pres">
      <dgm:prSet presAssocID="{757F237C-00D7-4343-B6BD-4371B8BCABC8}" presName="sibTrans" presStyleCnt="0"/>
      <dgm:spPr/>
    </dgm:pt>
    <dgm:pt modelId="{AA47A2A3-E8CE-42B0-B9C1-8B604417B708}" type="pres">
      <dgm:prSet presAssocID="{8AE46BEB-AA78-4DCD-8B45-E43A4BFB8BFE}" presName="node" presStyleLbl="node1" presStyleIdx="2" presStyleCnt="13">
        <dgm:presLayoutVars>
          <dgm:bulletEnabled val="1"/>
        </dgm:presLayoutVars>
      </dgm:prSet>
      <dgm:spPr/>
    </dgm:pt>
    <dgm:pt modelId="{31E651A9-518E-46C0-8B95-92DCB96F29E0}" type="pres">
      <dgm:prSet presAssocID="{B2442EC1-7C2F-4477-B538-3F4256D6039B}" presName="sibTrans" presStyleCnt="0"/>
      <dgm:spPr/>
    </dgm:pt>
    <dgm:pt modelId="{6F961722-469E-4CE0-8A67-8894F5E46E6D}" type="pres">
      <dgm:prSet presAssocID="{EAC97FC9-1558-4E52-8A36-CAF2C8705D54}" presName="node" presStyleLbl="node1" presStyleIdx="3" presStyleCnt="13">
        <dgm:presLayoutVars>
          <dgm:bulletEnabled val="1"/>
        </dgm:presLayoutVars>
      </dgm:prSet>
      <dgm:spPr/>
    </dgm:pt>
    <dgm:pt modelId="{6A9376C5-B08E-4B98-934F-0E3A6727CB12}" type="pres">
      <dgm:prSet presAssocID="{C8D917A5-EAC2-478D-9899-66E84774B463}" presName="sibTrans" presStyleCnt="0"/>
      <dgm:spPr/>
    </dgm:pt>
    <dgm:pt modelId="{FEE0EDD5-A86C-4663-A136-A108D8C69C02}" type="pres">
      <dgm:prSet presAssocID="{A5DEF59C-8A81-4477-8600-5D78257A423C}" presName="node" presStyleLbl="node1" presStyleIdx="4" presStyleCnt="13">
        <dgm:presLayoutVars>
          <dgm:bulletEnabled val="1"/>
        </dgm:presLayoutVars>
      </dgm:prSet>
      <dgm:spPr/>
    </dgm:pt>
    <dgm:pt modelId="{6270138B-E1EE-4B3E-831B-BE50C3C23351}" type="pres">
      <dgm:prSet presAssocID="{CE39A9A3-8A30-40F9-842E-9599175CC8D8}" presName="sibTrans" presStyleCnt="0"/>
      <dgm:spPr/>
    </dgm:pt>
    <dgm:pt modelId="{062FBD6D-C9BE-4C27-ADBF-86A95CC03A72}" type="pres">
      <dgm:prSet presAssocID="{AAE73BF6-B850-4E15-B1B2-37CC6EE82FD1}" presName="node" presStyleLbl="node1" presStyleIdx="5" presStyleCnt="13">
        <dgm:presLayoutVars>
          <dgm:bulletEnabled val="1"/>
        </dgm:presLayoutVars>
      </dgm:prSet>
      <dgm:spPr/>
    </dgm:pt>
    <dgm:pt modelId="{77FAE5E3-B852-472C-96CC-523E417EEB3D}" type="pres">
      <dgm:prSet presAssocID="{8063A6F9-9D95-424A-AD50-6AF32ED8FE53}" presName="sibTrans" presStyleCnt="0"/>
      <dgm:spPr/>
    </dgm:pt>
    <dgm:pt modelId="{05312F56-9975-452E-83BC-A2440D79FD3A}" type="pres">
      <dgm:prSet presAssocID="{55DAA592-35DD-435C-8C47-AAADA329814A}" presName="node" presStyleLbl="node1" presStyleIdx="6" presStyleCnt="13">
        <dgm:presLayoutVars>
          <dgm:bulletEnabled val="1"/>
        </dgm:presLayoutVars>
      </dgm:prSet>
      <dgm:spPr/>
    </dgm:pt>
    <dgm:pt modelId="{9E008E58-ED6C-4468-B8B4-133A44ABAE5B}" type="pres">
      <dgm:prSet presAssocID="{6FD94FE9-EA83-4B5F-AB59-FEE9362A87C7}" presName="sibTrans" presStyleCnt="0"/>
      <dgm:spPr/>
    </dgm:pt>
    <dgm:pt modelId="{04C7DDF2-134D-46E5-A2FC-C358AB50AB61}" type="pres">
      <dgm:prSet presAssocID="{52E987B1-76E4-4097-9B78-3D893FE1CD06}" presName="node" presStyleLbl="node1" presStyleIdx="7" presStyleCnt="13">
        <dgm:presLayoutVars>
          <dgm:bulletEnabled val="1"/>
        </dgm:presLayoutVars>
      </dgm:prSet>
      <dgm:spPr/>
    </dgm:pt>
    <dgm:pt modelId="{3EB9E4B4-F0B7-454A-AEB3-EB68B3F3F98C}" type="pres">
      <dgm:prSet presAssocID="{B9330E8E-7B29-4746-9E58-CF60887A4BF5}" presName="sibTrans" presStyleCnt="0"/>
      <dgm:spPr/>
    </dgm:pt>
    <dgm:pt modelId="{596C8919-06D2-4770-BAD9-E8ED4045A87E}" type="pres">
      <dgm:prSet presAssocID="{F90836E3-0083-4AF7-8903-DFEA371C5EED}" presName="node" presStyleLbl="node1" presStyleIdx="8" presStyleCnt="13">
        <dgm:presLayoutVars>
          <dgm:bulletEnabled val="1"/>
        </dgm:presLayoutVars>
      </dgm:prSet>
      <dgm:spPr/>
    </dgm:pt>
    <dgm:pt modelId="{FA528B0F-A496-4A85-9696-E33835AD3E9E}" type="pres">
      <dgm:prSet presAssocID="{970E8C1D-7A2C-44B7-9A85-094541420B64}" presName="sibTrans" presStyleCnt="0"/>
      <dgm:spPr/>
    </dgm:pt>
    <dgm:pt modelId="{99F1F1B9-0E90-4391-BB85-2E6A6019CA11}" type="pres">
      <dgm:prSet presAssocID="{D3A938E2-8EEA-486C-839C-5DA08790D82D}" presName="node" presStyleLbl="node1" presStyleIdx="9" presStyleCnt="13">
        <dgm:presLayoutVars>
          <dgm:bulletEnabled val="1"/>
        </dgm:presLayoutVars>
      </dgm:prSet>
      <dgm:spPr/>
    </dgm:pt>
    <dgm:pt modelId="{BE6C0023-6E78-4831-869B-97E772069197}" type="pres">
      <dgm:prSet presAssocID="{8846F1B7-EFB5-4CD9-9202-B0CCE8D8E4E7}" presName="sibTrans" presStyleCnt="0"/>
      <dgm:spPr/>
    </dgm:pt>
    <dgm:pt modelId="{FB1A479B-6201-4FAF-A8DF-912D87C033E6}" type="pres">
      <dgm:prSet presAssocID="{DBF18E44-069C-4957-8857-227F36FFBEDB}" presName="node" presStyleLbl="node1" presStyleIdx="10" presStyleCnt="13">
        <dgm:presLayoutVars>
          <dgm:bulletEnabled val="1"/>
        </dgm:presLayoutVars>
      </dgm:prSet>
      <dgm:spPr/>
    </dgm:pt>
    <dgm:pt modelId="{6A785920-73A6-4CAF-B949-2E80A439E09F}" type="pres">
      <dgm:prSet presAssocID="{CC00E78F-6D2E-4EF5-85BF-3A9121BB7132}" presName="sibTrans" presStyleCnt="0"/>
      <dgm:spPr/>
    </dgm:pt>
    <dgm:pt modelId="{11DCA315-295B-41A0-894C-85F001F15AC8}" type="pres">
      <dgm:prSet presAssocID="{7F497DD5-EA5C-4F4C-9E01-AF23369D2B4F}" presName="node" presStyleLbl="node1" presStyleIdx="11" presStyleCnt="13">
        <dgm:presLayoutVars>
          <dgm:bulletEnabled val="1"/>
        </dgm:presLayoutVars>
      </dgm:prSet>
      <dgm:spPr/>
    </dgm:pt>
    <dgm:pt modelId="{7F04D497-24C4-4455-BC00-6034CA22E4E1}" type="pres">
      <dgm:prSet presAssocID="{69C4822E-D8A4-438D-A8E3-91E3AF8650A1}" presName="sibTrans" presStyleCnt="0"/>
      <dgm:spPr/>
    </dgm:pt>
    <dgm:pt modelId="{66A42758-3893-4823-8A0A-C99F6BA99570}" type="pres">
      <dgm:prSet presAssocID="{2DE633B5-5414-4D64-ADC3-BAAD93B3B581}" presName="node" presStyleLbl="node1" presStyleIdx="12" presStyleCnt="13">
        <dgm:presLayoutVars>
          <dgm:bulletEnabled val="1"/>
        </dgm:presLayoutVars>
      </dgm:prSet>
      <dgm:spPr/>
    </dgm:pt>
  </dgm:ptLst>
  <dgm:cxnLst>
    <dgm:cxn modelId="{F93CE306-7A2E-4EE9-9DE2-5732078DDDA1}" type="presOf" srcId="{8AE46BEB-AA78-4DCD-8B45-E43A4BFB8BFE}" destId="{AA47A2A3-E8CE-42B0-B9C1-8B604417B708}" srcOrd="0" destOrd="0" presId="urn:microsoft.com/office/officeart/2005/8/layout/default"/>
    <dgm:cxn modelId="{35AEE515-6AB9-4D3E-B2C1-9CCEF6998E2A}" srcId="{A2917966-FBC1-4C56-8D10-FA39CF042E39}" destId="{7F497DD5-EA5C-4F4C-9E01-AF23369D2B4F}" srcOrd="11" destOrd="0" parTransId="{1170619D-5575-40A8-87B3-A10CD3C8EC85}" sibTransId="{69C4822E-D8A4-438D-A8E3-91E3AF8650A1}"/>
    <dgm:cxn modelId="{02607E31-80A0-40E1-831F-8103E6EC8578}" srcId="{A2917966-FBC1-4C56-8D10-FA39CF042E39}" destId="{EE9CE025-17AA-4948-8BD0-3EEF8808CB56}" srcOrd="1" destOrd="0" parTransId="{7020059E-AA0D-4F24-AA66-425637FC54BB}" sibTransId="{757F237C-00D7-4343-B6BD-4371B8BCABC8}"/>
    <dgm:cxn modelId="{9C82B034-3EEA-4E71-A47E-A49E38F5684E}" srcId="{A2917966-FBC1-4C56-8D10-FA39CF042E39}" destId="{F90836E3-0083-4AF7-8903-DFEA371C5EED}" srcOrd="8" destOrd="0" parTransId="{2B1DFC5F-E5D3-41DB-A3A5-EDCECB80FC22}" sibTransId="{970E8C1D-7A2C-44B7-9A85-094541420B64}"/>
    <dgm:cxn modelId="{E61E445F-46B7-40F5-938A-865585ECF188}" srcId="{A2917966-FBC1-4C56-8D10-FA39CF042E39}" destId="{8AE46BEB-AA78-4DCD-8B45-E43A4BFB8BFE}" srcOrd="2" destOrd="0" parTransId="{5C146D5B-5EEF-49A3-8F7B-315A61E7B30D}" sibTransId="{B2442EC1-7C2F-4477-B538-3F4256D6039B}"/>
    <dgm:cxn modelId="{0FF6AB64-018C-451B-A13E-D288584D0D39}" type="presOf" srcId="{AAE73BF6-B850-4E15-B1B2-37CC6EE82FD1}" destId="{062FBD6D-C9BE-4C27-ADBF-86A95CC03A72}" srcOrd="0" destOrd="0" presId="urn:microsoft.com/office/officeart/2005/8/layout/default"/>
    <dgm:cxn modelId="{98203145-99E0-489D-9AAF-71C5F14DDC12}" type="presOf" srcId="{55DAA592-35DD-435C-8C47-AAADA329814A}" destId="{05312F56-9975-452E-83BC-A2440D79FD3A}" srcOrd="0" destOrd="0" presId="urn:microsoft.com/office/officeart/2005/8/layout/default"/>
    <dgm:cxn modelId="{51D5CD67-8E1A-4F8B-A822-5D99CF6ABF0E}" srcId="{A2917966-FBC1-4C56-8D10-FA39CF042E39}" destId="{52E987B1-76E4-4097-9B78-3D893FE1CD06}" srcOrd="7" destOrd="0" parTransId="{4ED383E9-5D42-420C-BE6C-9AA9327B5063}" sibTransId="{B9330E8E-7B29-4746-9E58-CF60887A4BF5}"/>
    <dgm:cxn modelId="{30EE2B75-BF20-4E54-8C7E-A8A310019773}" type="presOf" srcId="{F90836E3-0083-4AF7-8903-DFEA371C5EED}" destId="{596C8919-06D2-4770-BAD9-E8ED4045A87E}" srcOrd="0" destOrd="0" presId="urn:microsoft.com/office/officeart/2005/8/layout/default"/>
    <dgm:cxn modelId="{3992077B-6342-4F42-A2EB-1C1AEFA1F3D5}" srcId="{A2917966-FBC1-4C56-8D10-FA39CF042E39}" destId="{AAE73BF6-B850-4E15-B1B2-37CC6EE82FD1}" srcOrd="5" destOrd="0" parTransId="{B44ADAD9-667F-4565-9165-67C1E7229A14}" sibTransId="{8063A6F9-9D95-424A-AD50-6AF32ED8FE53}"/>
    <dgm:cxn modelId="{0FCFCC7C-6A03-4173-B7F5-87E0C7576F21}" type="presOf" srcId="{D3A938E2-8EEA-486C-839C-5DA08790D82D}" destId="{99F1F1B9-0E90-4391-BB85-2E6A6019CA11}" srcOrd="0" destOrd="0" presId="urn:microsoft.com/office/officeart/2005/8/layout/default"/>
    <dgm:cxn modelId="{48E3357E-3D18-4E72-89D5-F30FFC228585}" type="presOf" srcId="{7F497DD5-EA5C-4F4C-9E01-AF23369D2B4F}" destId="{11DCA315-295B-41A0-894C-85F001F15AC8}" srcOrd="0" destOrd="0" presId="urn:microsoft.com/office/officeart/2005/8/layout/default"/>
    <dgm:cxn modelId="{E464AE92-34F2-4088-A1AE-EAF81A3C4CAB}" srcId="{A2917966-FBC1-4C56-8D10-FA39CF042E39}" destId="{D3A938E2-8EEA-486C-839C-5DA08790D82D}" srcOrd="9" destOrd="0" parTransId="{5A7EFE63-E295-4F11-A676-6341D39704A9}" sibTransId="{8846F1B7-EFB5-4CD9-9202-B0CCE8D8E4E7}"/>
    <dgm:cxn modelId="{07732099-7AE8-4B40-8F73-6462D1EBD146}" srcId="{A2917966-FBC1-4C56-8D10-FA39CF042E39}" destId="{EAC97FC9-1558-4E52-8A36-CAF2C8705D54}" srcOrd="3" destOrd="0" parTransId="{BDD83F14-A834-49D9-BD9F-D6FEBB86951B}" sibTransId="{C8D917A5-EAC2-478D-9899-66E84774B463}"/>
    <dgm:cxn modelId="{8527909C-B422-4920-9913-B58FCC4B8242}" type="presOf" srcId="{DBF18E44-069C-4957-8857-227F36FFBEDB}" destId="{FB1A479B-6201-4FAF-A8DF-912D87C033E6}" srcOrd="0" destOrd="0" presId="urn:microsoft.com/office/officeart/2005/8/layout/default"/>
    <dgm:cxn modelId="{21E80DB6-A28E-4191-8608-7FB4C3EAE49F}" srcId="{A2917966-FBC1-4C56-8D10-FA39CF042E39}" destId="{55DAA592-35DD-435C-8C47-AAADA329814A}" srcOrd="6" destOrd="0" parTransId="{CBE68EAB-2215-4058-BC77-724E27642D1C}" sibTransId="{6FD94FE9-EA83-4B5F-AB59-FEE9362A87C7}"/>
    <dgm:cxn modelId="{452D63BD-F405-44BF-9DA7-3671730EA80B}" srcId="{A2917966-FBC1-4C56-8D10-FA39CF042E39}" destId="{A5DEF59C-8A81-4477-8600-5D78257A423C}" srcOrd="4" destOrd="0" parTransId="{374194CA-077D-4A2D-B900-311B53D441F1}" sibTransId="{CE39A9A3-8A30-40F9-842E-9599175CC8D8}"/>
    <dgm:cxn modelId="{951824C8-B48A-4F9C-AC26-2308320E4E37}" srcId="{A2917966-FBC1-4C56-8D10-FA39CF042E39}" destId="{DA415D4C-77FB-455C-BE16-77B79026AB01}" srcOrd="0" destOrd="0" parTransId="{741D9732-F7AB-44E8-86CC-BFE434F6AA13}" sibTransId="{CC90658D-75F6-43A5-83C1-9B9CD7836D40}"/>
    <dgm:cxn modelId="{896114C9-AC8B-41E0-86E2-4AC2B205C1DB}" type="presOf" srcId="{A5DEF59C-8A81-4477-8600-5D78257A423C}" destId="{FEE0EDD5-A86C-4663-A136-A108D8C69C02}" srcOrd="0" destOrd="0" presId="urn:microsoft.com/office/officeart/2005/8/layout/default"/>
    <dgm:cxn modelId="{891225CA-9157-4FF7-B878-6820A43C384A}" srcId="{A2917966-FBC1-4C56-8D10-FA39CF042E39}" destId="{DBF18E44-069C-4957-8857-227F36FFBEDB}" srcOrd="10" destOrd="0" parTransId="{9374733E-7A6E-45D8-A98E-36A725DBD13E}" sibTransId="{CC00E78F-6D2E-4EF5-85BF-3A9121BB7132}"/>
    <dgm:cxn modelId="{A45782CC-3126-4B01-8FD8-4433303C8A69}" type="presOf" srcId="{EE9CE025-17AA-4948-8BD0-3EEF8808CB56}" destId="{3364067F-1C1C-4AE8-8F9B-FD96A43E137C}" srcOrd="0" destOrd="0" presId="urn:microsoft.com/office/officeart/2005/8/layout/default"/>
    <dgm:cxn modelId="{F27467CF-40C4-4C40-BD44-492DA63D3737}" type="presOf" srcId="{52E987B1-76E4-4097-9B78-3D893FE1CD06}" destId="{04C7DDF2-134D-46E5-A2FC-C358AB50AB61}" srcOrd="0" destOrd="0" presId="urn:microsoft.com/office/officeart/2005/8/layout/default"/>
    <dgm:cxn modelId="{626546D0-F07E-40C3-B7A7-ABC9E45E75DB}" type="presOf" srcId="{DA415D4C-77FB-455C-BE16-77B79026AB01}" destId="{D35636B3-865A-476F-BCF4-47D2154B3C3F}" srcOrd="0" destOrd="0" presId="urn:microsoft.com/office/officeart/2005/8/layout/default"/>
    <dgm:cxn modelId="{B5CB12D5-C7C2-4640-9590-993874167660}" type="presOf" srcId="{2DE633B5-5414-4D64-ADC3-BAAD93B3B581}" destId="{66A42758-3893-4823-8A0A-C99F6BA99570}" srcOrd="0" destOrd="0" presId="urn:microsoft.com/office/officeart/2005/8/layout/default"/>
    <dgm:cxn modelId="{6149F9EA-9AF8-45E7-A56C-AD2A41B0F74B}" type="presOf" srcId="{EAC97FC9-1558-4E52-8A36-CAF2C8705D54}" destId="{6F961722-469E-4CE0-8A67-8894F5E46E6D}" srcOrd="0" destOrd="0" presId="urn:microsoft.com/office/officeart/2005/8/layout/default"/>
    <dgm:cxn modelId="{83F1F0F3-89E0-437F-A08C-89D37CFC1316}" srcId="{A2917966-FBC1-4C56-8D10-FA39CF042E39}" destId="{2DE633B5-5414-4D64-ADC3-BAAD93B3B581}" srcOrd="12" destOrd="0" parTransId="{C79EF0ED-17E9-45BF-AC16-151B6D7D34EE}" sibTransId="{650A3E9D-A8E7-4FCE-B6F0-37B02069B05C}"/>
    <dgm:cxn modelId="{02F42AFA-B167-4CA2-8CA2-CD0FFFAC98F9}" type="presOf" srcId="{A2917966-FBC1-4C56-8D10-FA39CF042E39}" destId="{3C2D0851-D96B-41F9-A03E-91FDD37E1A75}" srcOrd="0" destOrd="0" presId="urn:microsoft.com/office/officeart/2005/8/layout/default"/>
    <dgm:cxn modelId="{7ED8A390-9634-4A25-B903-978BB0B07649}" type="presParOf" srcId="{3C2D0851-D96B-41F9-A03E-91FDD37E1A75}" destId="{D35636B3-865A-476F-BCF4-47D2154B3C3F}" srcOrd="0" destOrd="0" presId="urn:microsoft.com/office/officeart/2005/8/layout/default"/>
    <dgm:cxn modelId="{C7A8268F-9E1A-49C8-AEFF-1DB5E4CAE431}" type="presParOf" srcId="{3C2D0851-D96B-41F9-A03E-91FDD37E1A75}" destId="{21C1E926-E5AC-44B3-B57E-FB4D470771DA}" srcOrd="1" destOrd="0" presId="urn:microsoft.com/office/officeart/2005/8/layout/default"/>
    <dgm:cxn modelId="{F4E0767E-15EB-416D-9331-53EED946F1DD}" type="presParOf" srcId="{3C2D0851-D96B-41F9-A03E-91FDD37E1A75}" destId="{3364067F-1C1C-4AE8-8F9B-FD96A43E137C}" srcOrd="2" destOrd="0" presId="urn:microsoft.com/office/officeart/2005/8/layout/default"/>
    <dgm:cxn modelId="{3E582157-2B90-42FC-A9F1-7BF6D8E49B25}" type="presParOf" srcId="{3C2D0851-D96B-41F9-A03E-91FDD37E1A75}" destId="{947AD303-A10B-4D83-A7B8-D9D1576F61B2}" srcOrd="3" destOrd="0" presId="urn:microsoft.com/office/officeart/2005/8/layout/default"/>
    <dgm:cxn modelId="{27B4EDAA-444E-41A2-A864-D1366111EE41}" type="presParOf" srcId="{3C2D0851-D96B-41F9-A03E-91FDD37E1A75}" destId="{AA47A2A3-E8CE-42B0-B9C1-8B604417B708}" srcOrd="4" destOrd="0" presId="urn:microsoft.com/office/officeart/2005/8/layout/default"/>
    <dgm:cxn modelId="{2E250C48-4ABD-4189-902C-519F8F457ABC}" type="presParOf" srcId="{3C2D0851-D96B-41F9-A03E-91FDD37E1A75}" destId="{31E651A9-518E-46C0-8B95-92DCB96F29E0}" srcOrd="5" destOrd="0" presId="urn:microsoft.com/office/officeart/2005/8/layout/default"/>
    <dgm:cxn modelId="{5DD6C4D5-4E93-4037-B8D3-9036A337EC31}" type="presParOf" srcId="{3C2D0851-D96B-41F9-A03E-91FDD37E1A75}" destId="{6F961722-469E-4CE0-8A67-8894F5E46E6D}" srcOrd="6" destOrd="0" presId="urn:microsoft.com/office/officeart/2005/8/layout/default"/>
    <dgm:cxn modelId="{E1D9085D-0E7F-4B2C-BD9F-4637FE069065}" type="presParOf" srcId="{3C2D0851-D96B-41F9-A03E-91FDD37E1A75}" destId="{6A9376C5-B08E-4B98-934F-0E3A6727CB12}" srcOrd="7" destOrd="0" presId="urn:microsoft.com/office/officeart/2005/8/layout/default"/>
    <dgm:cxn modelId="{E634B71D-381A-4B43-91AB-A806B62F78C4}" type="presParOf" srcId="{3C2D0851-D96B-41F9-A03E-91FDD37E1A75}" destId="{FEE0EDD5-A86C-4663-A136-A108D8C69C02}" srcOrd="8" destOrd="0" presId="urn:microsoft.com/office/officeart/2005/8/layout/default"/>
    <dgm:cxn modelId="{9697F3E5-B48A-4207-9B20-E5E31D621D18}" type="presParOf" srcId="{3C2D0851-D96B-41F9-A03E-91FDD37E1A75}" destId="{6270138B-E1EE-4B3E-831B-BE50C3C23351}" srcOrd="9" destOrd="0" presId="urn:microsoft.com/office/officeart/2005/8/layout/default"/>
    <dgm:cxn modelId="{00991BDA-BC88-41CD-BF75-1C2ED11FECB9}" type="presParOf" srcId="{3C2D0851-D96B-41F9-A03E-91FDD37E1A75}" destId="{062FBD6D-C9BE-4C27-ADBF-86A95CC03A72}" srcOrd="10" destOrd="0" presId="urn:microsoft.com/office/officeart/2005/8/layout/default"/>
    <dgm:cxn modelId="{70CFAB58-FAB5-4850-999A-6B390E04D346}" type="presParOf" srcId="{3C2D0851-D96B-41F9-A03E-91FDD37E1A75}" destId="{77FAE5E3-B852-472C-96CC-523E417EEB3D}" srcOrd="11" destOrd="0" presId="urn:microsoft.com/office/officeart/2005/8/layout/default"/>
    <dgm:cxn modelId="{A6311ABD-4328-47ED-951B-377867743894}" type="presParOf" srcId="{3C2D0851-D96B-41F9-A03E-91FDD37E1A75}" destId="{05312F56-9975-452E-83BC-A2440D79FD3A}" srcOrd="12" destOrd="0" presId="urn:microsoft.com/office/officeart/2005/8/layout/default"/>
    <dgm:cxn modelId="{E512A912-BB7C-4C88-8E58-C2EE8B009E46}" type="presParOf" srcId="{3C2D0851-D96B-41F9-A03E-91FDD37E1A75}" destId="{9E008E58-ED6C-4468-B8B4-133A44ABAE5B}" srcOrd="13" destOrd="0" presId="urn:microsoft.com/office/officeart/2005/8/layout/default"/>
    <dgm:cxn modelId="{F4F5D556-04EE-4432-9156-3396562BB854}" type="presParOf" srcId="{3C2D0851-D96B-41F9-A03E-91FDD37E1A75}" destId="{04C7DDF2-134D-46E5-A2FC-C358AB50AB61}" srcOrd="14" destOrd="0" presId="urn:microsoft.com/office/officeart/2005/8/layout/default"/>
    <dgm:cxn modelId="{5F632048-CA1C-4929-A890-4FEF5FAF4C7F}" type="presParOf" srcId="{3C2D0851-D96B-41F9-A03E-91FDD37E1A75}" destId="{3EB9E4B4-F0B7-454A-AEB3-EB68B3F3F98C}" srcOrd="15" destOrd="0" presId="urn:microsoft.com/office/officeart/2005/8/layout/default"/>
    <dgm:cxn modelId="{F9CAE651-BDB4-4707-B024-D61EEF53099D}" type="presParOf" srcId="{3C2D0851-D96B-41F9-A03E-91FDD37E1A75}" destId="{596C8919-06D2-4770-BAD9-E8ED4045A87E}" srcOrd="16" destOrd="0" presId="urn:microsoft.com/office/officeart/2005/8/layout/default"/>
    <dgm:cxn modelId="{E22314C8-43A5-42AF-A414-737C682FCF61}" type="presParOf" srcId="{3C2D0851-D96B-41F9-A03E-91FDD37E1A75}" destId="{FA528B0F-A496-4A85-9696-E33835AD3E9E}" srcOrd="17" destOrd="0" presId="urn:microsoft.com/office/officeart/2005/8/layout/default"/>
    <dgm:cxn modelId="{67BAB434-4499-40A0-B0E9-9707196B9DC8}" type="presParOf" srcId="{3C2D0851-D96B-41F9-A03E-91FDD37E1A75}" destId="{99F1F1B9-0E90-4391-BB85-2E6A6019CA11}" srcOrd="18" destOrd="0" presId="urn:microsoft.com/office/officeart/2005/8/layout/default"/>
    <dgm:cxn modelId="{E7836098-0CEE-4F4A-882A-DA4A78A6A097}" type="presParOf" srcId="{3C2D0851-D96B-41F9-A03E-91FDD37E1A75}" destId="{BE6C0023-6E78-4831-869B-97E772069197}" srcOrd="19" destOrd="0" presId="urn:microsoft.com/office/officeart/2005/8/layout/default"/>
    <dgm:cxn modelId="{F289FCC3-5543-44FB-9338-981850E26BDD}" type="presParOf" srcId="{3C2D0851-D96B-41F9-A03E-91FDD37E1A75}" destId="{FB1A479B-6201-4FAF-A8DF-912D87C033E6}" srcOrd="20" destOrd="0" presId="urn:microsoft.com/office/officeart/2005/8/layout/default"/>
    <dgm:cxn modelId="{555E5388-3EEF-45A8-9C3E-C31A74350A78}" type="presParOf" srcId="{3C2D0851-D96B-41F9-A03E-91FDD37E1A75}" destId="{6A785920-73A6-4CAF-B949-2E80A439E09F}" srcOrd="21" destOrd="0" presId="urn:microsoft.com/office/officeart/2005/8/layout/default"/>
    <dgm:cxn modelId="{457F8C92-6BA3-48AF-8641-9A60837CA5D2}" type="presParOf" srcId="{3C2D0851-D96B-41F9-A03E-91FDD37E1A75}" destId="{11DCA315-295B-41A0-894C-85F001F15AC8}" srcOrd="22" destOrd="0" presId="urn:microsoft.com/office/officeart/2005/8/layout/default"/>
    <dgm:cxn modelId="{E30FF990-B0C9-48F8-9E60-B6D08F485D19}" type="presParOf" srcId="{3C2D0851-D96B-41F9-A03E-91FDD37E1A75}" destId="{7F04D497-24C4-4455-BC00-6034CA22E4E1}" srcOrd="23" destOrd="0" presId="urn:microsoft.com/office/officeart/2005/8/layout/default"/>
    <dgm:cxn modelId="{E332B1FA-9E46-4BBE-B747-F560F7106C09}" type="presParOf" srcId="{3C2D0851-D96B-41F9-A03E-91FDD37E1A75}" destId="{66A42758-3893-4823-8A0A-C99F6BA99570}" srcOrd="24"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798E7B-ED83-4F04-A30F-37805BA59E13}"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US"/>
        </a:p>
      </dgm:t>
    </dgm:pt>
    <dgm:pt modelId="{F16F9659-770A-4972-A05E-1A6FA9997F1A}">
      <dgm:prSet phldrT="[Tekst]" custT="1"/>
      <dgm:spPr/>
      <dgm:t>
        <a:bodyPr/>
        <a:lstStyle/>
        <a:p>
          <a:r>
            <a:rPr lang="sr-Latn-RS" sz="1400"/>
            <a:t>KARIJERNO VOĐENJE I SAVJETOVANJE</a:t>
          </a:r>
          <a:endParaRPr lang="en-US" sz="1400"/>
        </a:p>
      </dgm:t>
    </dgm:pt>
    <dgm:pt modelId="{6C23A748-D35A-4C1B-B4CC-553467DE128A}" type="parTrans" cxnId="{7628BB4A-C709-4A42-8E12-2FA687F335C3}">
      <dgm:prSet/>
      <dgm:spPr/>
      <dgm:t>
        <a:bodyPr/>
        <a:lstStyle/>
        <a:p>
          <a:endParaRPr lang="en-US"/>
        </a:p>
      </dgm:t>
    </dgm:pt>
    <dgm:pt modelId="{816BF5E8-065A-4564-81CF-88DB1CA3EED5}" type="sibTrans" cxnId="{7628BB4A-C709-4A42-8E12-2FA687F335C3}">
      <dgm:prSet/>
      <dgm:spPr/>
      <dgm:t>
        <a:bodyPr/>
        <a:lstStyle/>
        <a:p>
          <a:endParaRPr lang="en-US"/>
        </a:p>
      </dgm:t>
    </dgm:pt>
    <dgm:pt modelId="{22C564D5-BCA9-4355-9C63-F871C36599E1}">
      <dgm:prSet custT="1"/>
      <dgm:spPr/>
      <dgm:t>
        <a:bodyPr/>
        <a:lstStyle/>
        <a:p>
          <a:pPr algn="ctr"/>
          <a:r>
            <a:rPr lang="en-US" sz="1100"/>
            <a:t>Jačanje karijerne orijentacije u obrazovnom sistemu Crne Gore</a:t>
          </a:r>
        </a:p>
      </dgm:t>
    </dgm:pt>
    <dgm:pt modelId="{BF4D7716-560A-478A-A382-6BA71502C152}" type="parTrans" cxnId="{923CA84F-540F-40EA-9605-3080FBCD8F54}">
      <dgm:prSet/>
      <dgm:spPr/>
      <dgm:t>
        <a:bodyPr/>
        <a:lstStyle/>
        <a:p>
          <a:endParaRPr lang="en-US"/>
        </a:p>
      </dgm:t>
    </dgm:pt>
    <dgm:pt modelId="{794D219E-4241-4ADD-946A-0002F5ECCACE}" type="sibTrans" cxnId="{923CA84F-540F-40EA-9605-3080FBCD8F54}">
      <dgm:prSet/>
      <dgm:spPr/>
      <dgm:t>
        <a:bodyPr/>
        <a:lstStyle/>
        <a:p>
          <a:endParaRPr lang="en-US"/>
        </a:p>
      </dgm:t>
    </dgm:pt>
    <dgm:pt modelId="{4FEEAD0A-3B73-4FBD-B231-379EC69D0470}">
      <dgm:prSet custT="1"/>
      <dgm:spPr/>
      <dgm:t>
        <a:bodyPr/>
        <a:lstStyle/>
        <a:p>
          <a:r>
            <a:rPr lang="en-US" sz="1100"/>
            <a:t>Jačanje usluga karijerne orijentacije za nezaposlene i zaposlene</a:t>
          </a:r>
        </a:p>
      </dgm:t>
    </dgm:pt>
    <dgm:pt modelId="{CD9D574A-8DD5-4D7D-B960-BE983AE3233C}" type="parTrans" cxnId="{21CF456E-42EC-48AB-A638-426C053E5336}">
      <dgm:prSet/>
      <dgm:spPr/>
      <dgm:t>
        <a:bodyPr/>
        <a:lstStyle/>
        <a:p>
          <a:endParaRPr lang="en-US"/>
        </a:p>
      </dgm:t>
    </dgm:pt>
    <dgm:pt modelId="{10DED363-C984-4AD7-B9FE-F4B4F7B198E2}" type="sibTrans" cxnId="{21CF456E-42EC-48AB-A638-426C053E5336}">
      <dgm:prSet/>
      <dgm:spPr/>
      <dgm:t>
        <a:bodyPr/>
        <a:lstStyle/>
        <a:p>
          <a:endParaRPr lang="en-US"/>
        </a:p>
      </dgm:t>
    </dgm:pt>
    <dgm:pt modelId="{6F2AFDC6-C065-4EB4-AD97-461F53309B4D}">
      <dgm:prSet custT="1"/>
      <dgm:spPr/>
      <dgm:t>
        <a:bodyPr/>
        <a:lstStyle/>
        <a:p>
          <a:r>
            <a:rPr lang="en-US" sz="1100"/>
            <a:t>Obezbjeđenje kvaliteta</a:t>
          </a:r>
          <a:r>
            <a:rPr lang="sr-Latn-RS" sz="1100"/>
            <a:t> i informisanosti</a:t>
          </a:r>
          <a:r>
            <a:rPr lang="en-US" sz="1100"/>
            <a:t> </a:t>
          </a:r>
          <a:r>
            <a:rPr lang="sr-Latn-RS" sz="1100"/>
            <a:t>o </a:t>
          </a:r>
          <a:r>
            <a:rPr lang="en-US" sz="1100"/>
            <a:t>karijernom vođenju i savjetovanju</a:t>
          </a:r>
        </a:p>
      </dgm:t>
    </dgm:pt>
    <dgm:pt modelId="{E1C513E3-95BF-4613-9747-EAECA4FFF421}" type="parTrans" cxnId="{5DFA4531-FDE5-4894-82A1-4BBA0F5F394F}">
      <dgm:prSet/>
      <dgm:spPr/>
      <dgm:t>
        <a:bodyPr/>
        <a:lstStyle/>
        <a:p>
          <a:endParaRPr lang="en-US"/>
        </a:p>
      </dgm:t>
    </dgm:pt>
    <dgm:pt modelId="{BD124A4E-B732-4B05-91D7-2AA799A18856}" type="sibTrans" cxnId="{5DFA4531-FDE5-4894-82A1-4BBA0F5F394F}">
      <dgm:prSet/>
      <dgm:spPr/>
      <dgm:t>
        <a:bodyPr/>
        <a:lstStyle/>
        <a:p>
          <a:endParaRPr lang="en-US"/>
        </a:p>
      </dgm:t>
    </dgm:pt>
    <dgm:pt modelId="{F8DC0CD2-D171-4564-9D54-14D55CA76626}" type="pres">
      <dgm:prSet presAssocID="{D7798E7B-ED83-4F04-A30F-37805BA59E13}" presName="Name0" presStyleCnt="0">
        <dgm:presLayoutVars>
          <dgm:chMax val="1"/>
          <dgm:dir/>
          <dgm:animLvl val="ctr"/>
          <dgm:resizeHandles val="exact"/>
        </dgm:presLayoutVars>
      </dgm:prSet>
      <dgm:spPr/>
    </dgm:pt>
    <dgm:pt modelId="{D6475D78-5194-4818-93B7-5DBDA836AAD5}" type="pres">
      <dgm:prSet presAssocID="{F16F9659-770A-4972-A05E-1A6FA9997F1A}" presName="centerShape" presStyleLbl="node0" presStyleIdx="0" presStyleCnt="1" custScaleX="133100" custScaleY="133100"/>
      <dgm:spPr/>
    </dgm:pt>
    <dgm:pt modelId="{3E995FDF-F81F-4959-BAE2-AEB5775BEDA5}" type="pres">
      <dgm:prSet presAssocID="{22C564D5-BCA9-4355-9C63-F871C36599E1}" presName="node" presStyleLbl="node1" presStyleIdx="0" presStyleCnt="3" custScaleX="133100" custScaleY="133100">
        <dgm:presLayoutVars>
          <dgm:bulletEnabled val="1"/>
        </dgm:presLayoutVars>
      </dgm:prSet>
      <dgm:spPr/>
    </dgm:pt>
    <dgm:pt modelId="{931791E6-A4E8-4A14-913E-E8B19AF6E799}" type="pres">
      <dgm:prSet presAssocID="{22C564D5-BCA9-4355-9C63-F871C36599E1}" presName="dummy" presStyleCnt="0"/>
      <dgm:spPr/>
    </dgm:pt>
    <dgm:pt modelId="{1A3F353C-B3B1-43B1-A098-21E76C34693B}" type="pres">
      <dgm:prSet presAssocID="{794D219E-4241-4ADD-946A-0002F5ECCACE}" presName="sibTrans" presStyleLbl="sibTrans2D1" presStyleIdx="0" presStyleCnt="3"/>
      <dgm:spPr/>
    </dgm:pt>
    <dgm:pt modelId="{4C517EC5-7BF0-44F2-9E7C-0DE20D3838D4}" type="pres">
      <dgm:prSet presAssocID="{4FEEAD0A-3B73-4FBD-B231-379EC69D0470}" presName="node" presStyleLbl="node1" presStyleIdx="1" presStyleCnt="3" custScaleX="146410" custScaleY="146410">
        <dgm:presLayoutVars>
          <dgm:bulletEnabled val="1"/>
        </dgm:presLayoutVars>
      </dgm:prSet>
      <dgm:spPr/>
    </dgm:pt>
    <dgm:pt modelId="{646F2AA3-D535-4797-991C-456A4EF397B1}" type="pres">
      <dgm:prSet presAssocID="{4FEEAD0A-3B73-4FBD-B231-379EC69D0470}" presName="dummy" presStyleCnt="0"/>
      <dgm:spPr/>
    </dgm:pt>
    <dgm:pt modelId="{8053CEFF-77A6-489A-A8D4-192E3D454DCC}" type="pres">
      <dgm:prSet presAssocID="{10DED363-C984-4AD7-B9FE-F4B4F7B198E2}" presName="sibTrans" presStyleLbl="sibTrans2D1" presStyleIdx="1" presStyleCnt="3"/>
      <dgm:spPr/>
    </dgm:pt>
    <dgm:pt modelId="{50F6797C-4354-40C8-8238-968534642B9C}" type="pres">
      <dgm:prSet presAssocID="{6F2AFDC6-C065-4EB4-AD97-461F53309B4D}" presName="node" presStyleLbl="node1" presStyleIdx="2" presStyleCnt="3" custScaleX="146410" custScaleY="146410">
        <dgm:presLayoutVars>
          <dgm:bulletEnabled val="1"/>
        </dgm:presLayoutVars>
      </dgm:prSet>
      <dgm:spPr/>
    </dgm:pt>
    <dgm:pt modelId="{BDF3D38F-6C43-4159-863E-4990D9E01A92}" type="pres">
      <dgm:prSet presAssocID="{6F2AFDC6-C065-4EB4-AD97-461F53309B4D}" presName="dummy" presStyleCnt="0"/>
      <dgm:spPr/>
    </dgm:pt>
    <dgm:pt modelId="{D4683383-ECE5-434A-AA2F-E81ADE915EA5}" type="pres">
      <dgm:prSet presAssocID="{BD124A4E-B732-4B05-91D7-2AA799A18856}" presName="sibTrans" presStyleLbl="sibTrans2D1" presStyleIdx="2" presStyleCnt="3"/>
      <dgm:spPr/>
    </dgm:pt>
  </dgm:ptLst>
  <dgm:cxnLst>
    <dgm:cxn modelId="{5DFA4531-FDE5-4894-82A1-4BBA0F5F394F}" srcId="{F16F9659-770A-4972-A05E-1A6FA9997F1A}" destId="{6F2AFDC6-C065-4EB4-AD97-461F53309B4D}" srcOrd="2" destOrd="0" parTransId="{E1C513E3-95BF-4613-9747-EAECA4FFF421}" sibTransId="{BD124A4E-B732-4B05-91D7-2AA799A18856}"/>
    <dgm:cxn modelId="{36BCB345-87DE-40D8-A936-B63473D8C390}" type="presOf" srcId="{4FEEAD0A-3B73-4FBD-B231-379EC69D0470}" destId="{4C517EC5-7BF0-44F2-9E7C-0DE20D3838D4}" srcOrd="0" destOrd="0" presId="urn:microsoft.com/office/officeart/2005/8/layout/radial6"/>
    <dgm:cxn modelId="{7628BB4A-C709-4A42-8E12-2FA687F335C3}" srcId="{D7798E7B-ED83-4F04-A30F-37805BA59E13}" destId="{F16F9659-770A-4972-A05E-1A6FA9997F1A}" srcOrd="0" destOrd="0" parTransId="{6C23A748-D35A-4C1B-B4CC-553467DE128A}" sibTransId="{816BF5E8-065A-4564-81CF-88DB1CA3EED5}"/>
    <dgm:cxn modelId="{3EC0EB4A-D367-406A-8FFC-26A0F3955A0A}" type="presOf" srcId="{D7798E7B-ED83-4F04-A30F-37805BA59E13}" destId="{F8DC0CD2-D171-4564-9D54-14D55CA76626}" srcOrd="0" destOrd="0" presId="urn:microsoft.com/office/officeart/2005/8/layout/radial6"/>
    <dgm:cxn modelId="{21CF456E-42EC-48AB-A638-426C053E5336}" srcId="{F16F9659-770A-4972-A05E-1A6FA9997F1A}" destId="{4FEEAD0A-3B73-4FBD-B231-379EC69D0470}" srcOrd="1" destOrd="0" parTransId="{CD9D574A-8DD5-4D7D-B960-BE983AE3233C}" sibTransId="{10DED363-C984-4AD7-B9FE-F4B4F7B198E2}"/>
    <dgm:cxn modelId="{923CA84F-540F-40EA-9605-3080FBCD8F54}" srcId="{F16F9659-770A-4972-A05E-1A6FA9997F1A}" destId="{22C564D5-BCA9-4355-9C63-F871C36599E1}" srcOrd="0" destOrd="0" parTransId="{BF4D7716-560A-478A-A382-6BA71502C152}" sibTransId="{794D219E-4241-4ADD-946A-0002F5ECCACE}"/>
    <dgm:cxn modelId="{95ACE17E-231A-4F53-A7A7-C4D289A8793F}" type="presOf" srcId="{22C564D5-BCA9-4355-9C63-F871C36599E1}" destId="{3E995FDF-F81F-4959-BAE2-AEB5775BEDA5}" srcOrd="0" destOrd="0" presId="urn:microsoft.com/office/officeart/2005/8/layout/radial6"/>
    <dgm:cxn modelId="{70806592-27EE-4308-8D29-12C8683DEAAC}" type="presOf" srcId="{F16F9659-770A-4972-A05E-1A6FA9997F1A}" destId="{D6475D78-5194-4818-93B7-5DBDA836AAD5}" srcOrd="0" destOrd="0" presId="urn:microsoft.com/office/officeart/2005/8/layout/radial6"/>
    <dgm:cxn modelId="{9FD962A4-B2AF-4F79-9453-0ED32CABB09D}" type="presOf" srcId="{BD124A4E-B732-4B05-91D7-2AA799A18856}" destId="{D4683383-ECE5-434A-AA2F-E81ADE915EA5}" srcOrd="0" destOrd="0" presId="urn:microsoft.com/office/officeart/2005/8/layout/radial6"/>
    <dgm:cxn modelId="{D4FC93C8-F05B-4E24-A54B-DF8E61C335CD}" type="presOf" srcId="{6F2AFDC6-C065-4EB4-AD97-461F53309B4D}" destId="{50F6797C-4354-40C8-8238-968534642B9C}" srcOrd="0" destOrd="0" presId="urn:microsoft.com/office/officeart/2005/8/layout/radial6"/>
    <dgm:cxn modelId="{5FFFBED8-0B53-4986-BE6E-15688A774038}" type="presOf" srcId="{10DED363-C984-4AD7-B9FE-F4B4F7B198E2}" destId="{8053CEFF-77A6-489A-A8D4-192E3D454DCC}" srcOrd="0" destOrd="0" presId="urn:microsoft.com/office/officeart/2005/8/layout/radial6"/>
    <dgm:cxn modelId="{119BA0FC-5F3A-4E55-BFAF-BFD37F020DD6}" type="presOf" srcId="{794D219E-4241-4ADD-946A-0002F5ECCACE}" destId="{1A3F353C-B3B1-43B1-A098-21E76C34693B}" srcOrd="0" destOrd="0" presId="urn:microsoft.com/office/officeart/2005/8/layout/radial6"/>
    <dgm:cxn modelId="{6E16A985-6B13-4AA4-9848-C0AC991A2E5C}" type="presParOf" srcId="{F8DC0CD2-D171-4564-9D54-14D55CA76626}" destId="{D6475D78-5194-4818-93B7-5DBDA836AAD5}" srcOrd="0" destOrd="0" presId="urn:microsoft.com/office/officeart/2005/8/layout/radial6"/>
    <dgm:cxn modelId="{CC2478C6-C011-46DA-B75C-44C18C263212}" type="presParOf" srcId="{F8DC0CD2-D171-4564-9D54-14D55CA76626}" destId="{3E995FDF-F81F-4959-BAE2-AEB5775BEDA5}" srcOrd="1" destOrd="0" presId="urn:microsoft.com/office/officeart/2005/8/layout/radial6"/>
    <dgm:cxn modelId="{C9180A84-8F82-4BCF-8372-1B0E13257753}" type="presParOf" srcId="{F8DC0CD2-D171-4564-9D54-14D55CA76626}" destId="{931791E6-A4E8-4A14-913E-E8B19AF6E799}" srcOrd="2" destOrd="0" presId="urn:microsoft.com/office/officeart/2005/8/layout/radial6"/>
    <dgm:cxn modelId="{CA1F5481-D4E2-40D7-808E-3D6010D026C3}" type="presParOf" srcId="{F8DC0CD2-D171-4564-9D54-14D55CA76626}" destId="{1A3F353C-B3B1-43B1-A098-21E76C34693B}" srcOrd="3" destOrd="0" presId="urn:microsoft.com/office/officeart/2005/8/layout/radial6"/>
    <dgm:cxn modelId="{8D05A6CA-12CE-4FBA-A19E-893872B28991}" type="presParOf" srcId="{F8DC0CD2-D171-4564-9D54-14D55CA76626}" destId="{4C517EC5-7BF0-44F2-9E7C-0DE20D3838D4}" srcOrd="4" destOrd="0" presId="urn:microsoft.com/office/officeart/2005/8/layout/radial6"/>
    <dgm:cxn modelId="{7AF6AD62-6602-4C11-87CC-42445D7601A2}" type="presParOf" srcId="{F8DC0CD2-D171-4564-9D54-14D55CA76626}" destId="{646F2AA3-D535-4797-991C-456A4EF397B1}" srcOrd="5" destOrd="0" presId="urn:microsoft.com/office/officeart/2005/8/layout/radial6"/>
    <dgm:cxn modelId="{7CC0CA7B-135A-4BC4-AD9E-655D24BABCB2}" type="presParOf" srcId="{F8DC0CD2-D171-4564-9D54-14D55CA76626}" destId="{8053CEFF-77A6-489A-A8D4-192E3D454DCC}" srcOrd="6" destOrd="0" presId="urn:microsoft.com/office/officeart/2005/8/layout/radial6"/>
    <dgm:cxn modelId="{471244D8-9D2E-4988-8138-3F8343478116}" type="presParOf" srcId="{F8DC0CD2-D171-4564-9D54-14D55CA76626}" destId="{50F6797C-4354-40C8-8238-968534642B9C}" srcOrd="7" destOrd="0" presId="urn:microsoft.com/office/officeart/2005/8/layout/radial6"/>
    <dgm:cxn modelId="{A7009170-5E47-477D-9AD2-56F94DFF66C6}" type="presParOf" srcId="{F8DC0CD2-D171-4564-9D54-14D55CA76626}" destId="{BDF3D38F-6C43-4159-863E-4990D9E01A92}" srcOrd="8" destOrd="0" presId="urn:microsoft.com/office/officeart/2005/8/layout/radial6"/>
    <dgm:cxn modelId="{2B6E715E-E29D-4B39-AF66-0D1B8E81DC5D}" type="presParOf" srcId="{F8DC0CD2-D171-4564-9D54-14D55CA76626}" destId="{D4683383-ECE5-434A-AA2F-E81ADE915EA5}" srcOrd="9" destOrd="0" presId="urn:microsoft.com/office/officeart/2005/8/layout/radial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2917966-FBC1-4C56-8D10-FA39CF042E39}" type="doc">
      <dgm:prSet loTypeId="urn:microsoft.com/office/officeart/2005/8/layout/hierarchy4" loCatId="list" qsTypeId="urn:microsoft.com/office/officeart/2005/8/quickstyle/simple1" qsCatId="simple" csTypeId="urn:microsoft.com/office/officeart/2005/8/colors/colorful1" csCatId="colorful" phldr="1"/>
      <dgm:spPr/>
      <dgm:t>
        <a:bodyPr/>
        <a:lstStyle/>
        <a:p>
          <a:endParaRPr lang="en-US"/>
        </a:p>
      </dgm:t>
    </dgm:pt>
    <dgm:pt modelId="{DA415D4C-77FB-455C-BE16-77B79026AB01}">
      <dgm:prSet phldrT="[Tekst]"/>
      <dgm:spPr>
        <a:xfrm>
          <a:off x="675486" y="942"/>
          <a:ext cx="1273819" cy="764291"/>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Ministarstvo prosvjete, nauke i inovacija</a:t>
          </a:r>
          <a:endParaRPr lang="en-US">
            <a:solidFill>
              <a:sysClr val="window" lastClr="FFFFFF"/>
            </a:solidFill>
            <a:latin typeface="Calibri" panose="020F0502020204030204"/>
            <a:ea typeface="+mn-ea"/>
            <a:cs typeface="+mn-cs"/>
          </a:endParaRPr>
        </a:p>
      </dgm:t>
    </dgm:pt>
    <dgm:pt modelId="{741D9732-F7AB-44E8-86CC-BFE434F6AA13}" type="parTrans" cxnId="{951824C8-B48A-4F9C-AC26-2308320E4E37}">
      <dgm:prSet/>
      <dgm:spPr/>
      <dgm:t>
        <a:bodyPr/>
        <a:lstStyle/>
        <a:p>
          <a:pPr algn="ctr"/>
          <a:endParaRPr lang="en-US"/>
        </a:p>
      </dgm:t>
    </dgm:pt>
    <dgm:pt modelId="{CC90658D-75F6-43A5-83C1-9B9CD7836D40}" type="sibTrans" cxnId="{951824C8-B48A-4F9C-AC26-2308320E4E37}">
      <dgm:prSet/>
      <dgm:spPr/>
      <dgm:t>
        <a:bodyPr/>
        <a:lstStyle/>
        <a:p>
          <a:pPr algn="ctr"/>
          <a:endParaRPr lang="en-US"/>
        </a:p>
      </dgm:t>
    </dgm:pt>
    <dgm:pt modelId="{EE9CE025-17AA-4948-8BD0-3EEF8808CB56}">
      <dgm:prSet phldrT="[Tekst]"/>
      <dgm:spPr>
        <a:xfrm>
          <a:off x="2076688" y="942"/>
          <a:ext cx="1273819" cy="764291"/>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Ministarstvo rada, zapošljavanja i socijalnog dijaloga</a:t>
          </a:r>
          <a:endParaRPr lang="en-US">
            <a:solidFill>
              <a:sysClr val="window" lastClr="FFFFFF"/>
            </a:solidFill>
            <a:latin typeface="Calibri" panose="020F0502020204030204"/>
            <a:ea typeface="+mn-ea"/>
            <a:cs typeface="+mn-cs"/>
          </a:endParaRPr>
        </a:p>
      </dgm:t>
    </dgm:pt>
    <dgm:pt modelId="{7020059E-AA0D-4F24-AA66-425637FC54BB}" type="parTrans" cxnId="{02607E31-80A0-40E1-831F-8103E6EC8578}">
      <dgm:prSet/>
      <dgm:spPr/>
      <dgm:t>
        <a:bodyPr/>
        <a:lstStyle/>
        <a:p>
          <a:pPr algn="ctr"/>
          <a:endParaRPr lang="en-US"/>
        </a:p>
      </dgm:t>
    </dgm:pt>
    <dgm:pt modelId="{757F237C-00D7-4343-B6BD-4371B8BCABC8}" type="sibTrans" cxnId="{02607E31-80A0-40E1-831F-8103E6EC8578}">
      <dgm:prSet/>
      <dgm:spPr/>
      <dgm:t>
        <a:bodyPr/>
        <a:lstStyle/>
        <a:p>
          <a:pPr algn="ctr"/>
          <a:endParaRPr lang="en-US"/>
        </a:p>
      </dgm:t>
    </dgm:pt>
    <dgm:pt modelId="{EAC97FC9-1558-4E52-8A36-CAF2C8705D54}">
      <dgm:prSet phldrT="[Tekst]"/>
      <dgm:spPr>
        <a:xfrm>
          <a:off x="4879091" y="942"/>
          <a:ext cx="1273819" cy="764291"/>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Zavod za školstvo</a:t>
          </a:r>
          <a:endParaRPr lang="en-US">
            <a:solidFill>
              <a:sysClr val="window" lastClr="FFFFFF"/>
            </a:solidFill>
            <a:latin typeface="Calibri" panose="020F0502020204030204"/>
            <a:ea typeface="+mn-ea"/>
            <a:cs typeface="+mn-cs"/>
          </a:endParaRPr>
        </a:p>
      </dgm:t>
    </dgm:pt>
    <dgm:pt modelId="{BDD83F14-A834-49D9-BD9F-D6FEBB86951B}" type="parTrans" cxnId="{07732099-7AE8-4B40-8F73-6462D1EBD146}">
      <dgm:prSet/>
      <dgm:spPr/>
      <dgm:t>
        <a:bodyPr/>
        <a:lstStyle/>
        <a:p>
          <a:pPr algn="ctr"/>
          <a:endParaRPr lang="en-US"/>
        </a:p>
      </dgm:t>
    </dgm:pt>
    <dgm:pt modelId="{C8D917A5-EAC2-478D-9899-66E84774B463}" type="sibTrans" cxnId="{07732099-7AE8-4B40-8F73-6462D1EBD146}">
      <dgm:prSet/>
      <dgm:spPr/>
      <dgm:t>
        <a:bodyPr/>
        <a:lstStyle/>
        <a:p>
          <a:pPr algn="ctr"/>
          <a:endParaRPr lang="en-US"/>
        </a:p>
      </dgm:t>
    </dgm:pt>
    <dgm:pt modelId="{A5DEF59C-8A81-4477-8600-5D78257A423C}">
      <dgm:prSet phldrT="[Tekst]"/>
      <dgm:spPr>
        <a:xfrm>
          <a:off x="6280293" y="942"/>
          <a:ext cx="1273819" cy="76429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Centar za stručno obrazovanje</a:t>
          </a:r>
          <a:endParaRPr lang="en-US">
            <a:solidFill>
              <a:sysClr val="window" lastClr="FFFFFF"/>
            </a:solidFill>
            <a:latin typeface="Calibri" panose="020F0502020204030204"/>
            <a:ea typeface="+mn-ea"/>
            <a:cs typeface="+mn-cs"/>
          </a:endParaRPr>
        </a:p>
      </dgm:t>
    </dgm:pt>
    <dgm:pt modelId="{374194CA-077D-4A2D-B900-311B53D441F1}" type="parTrans" cxnId="{452D63BD-F405-44BF-9DA7-3671730EA80B}">
      <dgm:prSet/>
      <dgm:spPr/>
      <dgm:t>
        <a:bodyPr/>
        <a:lstStyle/>
        <a:p>
          <a:pPr algn="ctr"/>
          <a:endParaRPr lang="en-US"/>
        </a:p>
      </dgm:t>
    </dgm:pt>
    <dgm:pt modelId="{CE39A9A3-8A30-40F9-842E-9599175CC8D8}" type="sibTrans" cxnId="{452D63BD-F405-44BF-9DA7-3671730EA80B}">
      <dgm:prSet/>
      <dgm:spPr/>
      <dgm:t>
        <a:bodyPr/>
        <a:lstStyle/>
        <a:p>
          <a:pPr algn="ctr"/>
          <a:endParaRPr lang="en-US"/>
        </a:p>
      </dgm:t>
    </dgm:pt>
    <dgm:pt modelId="{AAE73BF6-B850-4E15-B1B2-37CC6EE82FD1}">
      <dgm:prSet phldrT="[Tekst]"/>
      <dgm:spPr>
        <a:xfrm>
          <a:off x="675486" y="892616"/>
          <a:ext cx="1273819" cy="764291"/>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Zavod za zapošljavanje</a:t>
          </a:r>
          <a:endParaRPr lang="en-US">
            <a:solidFill>
              <a:sysClr val="window" lastClr="FFFFFF"/>
            </a:solidFill>
            <a:latin typeface="Calibri" panose="020F0502020204030204"/>
            <a:ea typeface="+mn-ea"/>
            <a:cs typeface="+mn-cs"/>
          </a:endParaRPr>
        </a:p>
      </dgm:t>
    </dgm:pt>
    <dgm:pt modelId="{B44ADAD9-667F-4565-9165-67C1E7229A14}" type="parTrans" cxnId="{3992077B-6342-4F42-A2EB-1C1AEFA1F3D5}">
      <dgm:prSet/>
      <dgm:spPr/>
      <dgm:t>
        <a:bodyPr/>
        <a:lstStyle/>
        <a:p>
          <a:pPr algn="ctr"/>
          <a:endParaRPr lang="en-US"/>
        </a:p>
      </dgm:t>
    </dgm:pt>
    <dgm:pt modelId="{8063A6F9-9D95-424A-AD50-6AF32ED8FE53}" type="sibTrans" cxnId="{3992077B-6342-4F42-A2EB-1C1AEFA1F3D5}">
      <dgm:prSet/>
      <dgm:spPr/>
      <dgm:t>
        <a:bodyPr/>
        <a:lstStyle/>
        <a:p>
          <a:pPr algn="ctr"/>
          <a:endParaRPr lang="en-US"/>
        </a:p>
      </dgm:t>
    </dgm:pt>
    <dgm:pt modelId="{55DAA592-35DD-435C-8C47-AAADA329814A}">
      <dgm:prSet/>
      <dgm:spPr>
        <a:xfrm>
          <a:off x="2076688" y="892616"/>
          <a:ext cx="1273819" cy="764291"/>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Univerziteti</a:t>
          </a:r>
          <a:endParaRPr lang="en-US">
            <a:solidFill>
              <a:sysClr val="window" lastClr="FFFFFF"/>
            </a:solidFill>
            <a:latin typeface="Calibri" panose="020F0502020204030204"/>
            <a:ea typeface="+mn-ea"/>
            <a:cs typeface="+mn-cs"/>
          </a:endParaRPr>
        </a:p>
      </dgm:t>
    </dgm:pt>
    <dgm:pt modelId="{CBE68EAB-2215-4058-BC77-724E27642D1C}" type="parTrans" cxnId="{21E80DB6-A28E-4191-8608-7FB4C3EAE49F}">
      <dgm:prSet/>
      <dgm:spPr/>
      <dgm:t>
        <a:bodyPr/>
        <a:lstStyle/>
        <a:p>
          <a:pPr algn="ctr"/>
          <a:endParaRPr lang="en-US"/>
        </a:p>
      </dgm:t>
    </dgm:pt>
    <dgm:pt modelId="{6FD94FE9-EA83-4B5F-AB59-FEE9362A87C7}" type="sibTrans" cxnId="{21E80DB6-A28E-4191-8608-7FB4C3EAE49F}">
      <dgm:prSet/>
      <dgm:spPr/>
      <dgm:t>
        <a:bodyPr/>
        <a:lstStyle/>
        <a:p>
          <a:pPr algn="ctr"/>
          <a:endParaRPr lang="en-US"/>
        </a:p>
      </dgm:t>
    </dgm:pt>
    <dgm:pt modelId="{52E987B1-76E4-4097-9B78-3D893FE1CD06}">
      <dgm:prSet/>
      <dgm:spPr>
        <a:xfrm>
          <a:off x="3477890" y="892616"/>
          <a:ext cx="1273819" cy="764291"/>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Škole</a:t>
          </a:r>
          <a:endParaRPr lang="en-US">
            <a:solidFill>
              <a:sysClr val="window" lastClr="FFFFFF"/>
            </a:solidFill>
            <a:latin typeface="Calibri" panose="020F0502020204030204"/>
            <a:ea typeface="+mn-ea"/>
            <a:cs typeface="+mn-cs"/>
          </a:endParaRPr>
        </a:p>
      </dgm:t>
    </dgm:pt>
    <dgm:pt modelId="{4ED383E9-5D42-420C-BE6C-9AA9327B5063}" type="parTrans" cxnId="{51D5CD67-8E1A-4F8B-A822-5D99CF6ABF0E}">
      <dgm:prSet/>
      <dgm:spPr/>
      <dgm:t>
        <a:bodyPr/>
        <a:lstStyle/>
        <a:p>
          <a:pPr algn="ctr"/>
          <a:endParaRPr lang="en-US"/>
        </a:p>
      </dgm:t>
    </dgm:pt>
    <dgm:pt modelId="{B9330E8E-7B29-4746-9E58-CF60887A4BF5}" type="sibTrans" cxnId="{51D5CD67-8E1A-4F8B-A822-5D99CF6ABF0E}">
      <dgm:prSet/>
      <dgm:spPr/>
      <dgm:t>
        <a:bodyPr/>
        <a:lstStyle/>
        <a:p>
          <a:pPr algn="ctr"/>
          <a:endParaRPr lang="en-US"/>
        </a:p>
      </dgm:t>
    </dgm:pt>
    <dgm:pt modelId="{F90836E3-0083-4AF7-8903-DFEA371C5EED}">
      <dgm:prSet/>
      <dgm:spPr>
        <a:xfrm>
          <a:off x="4879091" y="892616"/>
          <a:ext cx="1273819" cy="764291"/>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Privredna komora</a:t>
          </a:r>
          <a:endParaRPr lang="en-US">
            <a:solidFill>
              <a:sysClr val="window" lastClr="FFFFFF"/>
            </a:solidFill>
            <a:latin typeface="Calibri" panose="020F0502020204030204"/>
            <a:ea typeface="+mn-ea"/>
            <a:cs typeface="+mn-cs"/>
          </a:endParaRPr>
        </a:p>
      </dgm:t>
    </dgm:pt>
    <dgm:pt modelId="{2B1DFC5F-E5D3-41DB-A3A5-EDCECB80FC22}" type="parTrans" cxnId="{9C82B034-3EEA-4E71-A47E-A49E38F5684E}">
      <dgm:prSet/>
      <dgm:spPr/>
      <dgm:t>
        <a:bodyPr/>
        <a:lstStyle/>
        <a:p>
          <a:pPr algn="ctr"/>
          <a:endParaRPr lang="en-US"/>
        </a:p>
      </dgm:t>
    </dgm:pt>
    <dgm:pt modelId="{970E8C1D-7A2C-44B7-9A85-094541420B64}" type="sibTrans" cxnId="{9C82B034-3EEA-4E71-A47E-A49E38F5684E}">
      <dgm:prSet/>
      <dgm:spPr/>
      <dgm:t>
        <a:bodyPr/>
        <a:lstStyle/>
        <a:p>
          <a:pPr algn="ctr"/>
          <a:endParaRPr lang="en-US"/>
        </a:p>
      </dgm:t>
    </dgm:pt>
    <dgm:pt modelId="{D3A938E2-8EEA-486C-839C-5DA08790D82D}">
      <dgm:prSet/>
      <dgm:spPr>
        <a:xfrm>
          <a:off x="6280293" y="892616"/>
          <a:ext cx="1273819" cy="76429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Udruženje poslodavaca</a:t>
          </a:r>
          <a:endParaRPr lang="en-US">
            <a:solidFill>
              <a:sysClr val="window" lastClr="FFFFFF"/>
            </a:solidFill>
            <a:latin typeface="Calibri" panose="020F0502020204030204"/>
            <a:ea typeface="+mn-ea"/>
            <a:cs typeface="+mn-cs"/>
          </a:endParaRPr>
        </a:p>
      </dgm:t>
    </dgm:pt>
    <dgm:pt modelId="{5A7EFE63-E295-4F11-A676-6341D39704A9}" type="parTrans" cxnId="{E464AE92-34F2-4088-A1AE-EAF81A3C4CAB}">
      <dgm:prSet/>
      <dgm:spPr/>
      <dgm:t>
        <a:bodyPr/>
        <a:lstStyle/>
        <a:p>
          <a:pPr algn="ctr"/>
          <a:endParaRPr lang="en-US"/>
        </a:p>
      </dgm:t>
    </dgm:pt>
    <dgm:pt modelId="{8846F1B7-EFB5-4CD9-9202-B0CCE8D8E4E7}" type="sibTrans" cxnId="{E464AE92-34F2-4088-A1AE-EAF81A3C4CAB}">
      <dgm:prSet/>
      <dgm:spPr/>
      <dgm:t>
        <a:bodyPr/>
        <a:lstStyle/>
        <a:p>
          <a:pPr algn="ctr"/>
          <a:endParaRPr lang="en-US"/>
        </a:p>
      </dgm:t>
    </dgm:pt>
    <dgm:pt modelId="{DBF18E44-069C-4957-8857-227F36FFBEDB}">
      <dgm:prSet/>
      <dgm:spPr>
        <a:xfrm>
          <a:off x="2076688" y="1784290"/>
          <a:ext cx="1273819" cy="764291"/>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Javna preduzeća</a:t>
          </a:r>
          <a:endParaRPr lang="en-US">
            <a:solidFill>
              <a:sysClr val="window" lastClr="FFFFFF"/>
            </a:solidFill>
            <a:latin typeface="Calibri" panose="020F0502020204030204"/>
            <a:ea typeface="+mn-ea"/>
            <a:cs typeface="+mn-cs"/>
          </a:endParaRPr>
        </a:p>
      </dgm:t>
    </dgm:pt>
    <dgm:pt modelId="{9374733E-7A6E-45D8-A98E-36A725DBD13E}" type="parTrans" cxnId="{891225CA-9157-4FF7-B878-6820A43C384A}">
      <dgm:prSet/>
      <dgm:spPr/>
      <dgm:t>
        <a:bodyPr/>
        <a:lstStyle/>
        <a:p>
          <a:pPr algn="ctr"/>
          <a:endParaRPr lang="en-US"/>
        </a:p>
      </dgm:t>
    </dgm:pt>
    <dgm:pt modelId="{CC00E78F-6D2E-4EF5-85BF-3A9121BB7132}" type="sibTrans" cxnId="{891225CA-9157-4FF7-B878-6820A43C384A}">
      <dgm:prSet/>
      <dgm:spPr/>
      <dgm:t>
        <a:bodyPr/>
        <a:lstStyle/>
        <a:p>
          <a:pPr algn="ctr"/>
          <a:endParaRPr lang="en-US"/>
        </a:p>
      </dgm:t>
    </dgm:pt>
    <dgm:pt modelId="{7F497DD5-EA5C-4F4C-9E01-AF23369D2B4F}">
      <dgm:prSet/>
      <dgm:spPr>
        <a:xfrm>
          <a:off x="3477890" y="1784290"/>
          <a:ext cx="1273819" cy="764291"/>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NVO sektor</a:t>
          </a:r>
          <a:endParaRPr lang="en-US">
            <a:solidFill>
              <a:sysClr val="window" lastClr="FFFFFF"/>
            </a:solidFill>
            <a:latin typeface="Calibri" panose="020F0502020204030204"/>
            <a:ea typeface="+mn-ea"/>
            <a:cs typeface="+mn-cs"/>
          </a:endParaRPr>
        </a:p>
      </dgm:t>
    </dgm:pt>
    <dgm:pt modelId="{1170619D-5575-40A8-87B3-A10CD3C8EC85}" type="parTrans" cxnId="{35AEE515-6AB9-4D3E-B2C1-9CCEF6998E2A}">
      <dgm:prSet/>
      <dgm:spPr/>
      <dgm:t>
        <a:bodyPr/>
        <a:lstStyle/>
        <a:p>
          <a:pPr algn="ctr"/>
          <a:endParaRPr lang="en-US"/>
        </a:p>
      </dgm:t>
    </dgm:pt>
    <dgm:pt modelId="{69C4822E-D8A4-438D-A8E3-91E3AF8650A1}" type="sibTrans" cxnId="{35AEE515-6AB9-4D3E-B2C1-9CCEF6998E2A}">
      <dgm:prSet/>
      <dgm:spPr/>
      <dgm:t>
        <a:bodyPr/>
        <a:lstStyle/>
        <a:p>
          <a:pPr algn="ctr"/>
          <a:endParaRPr lang="en-US"/>
        </a:p>
      </dgm:t>
    </dgm:pt>
    <dgm:pt modelId="{2DE633B5-5414-4D64-ADC3-BAAD93B3B581}">
      <dgm:prSet/>
      <dgm:spPr>
        <a:xfrm>
          <a:off x="4879091" y="1784290"/>
          <a:ext cx="1273819" cy="764291"/>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Udruženje roditelja</a:t>
          </a:r>
          <a:endParaRPr lang="en-US">
            <a:solidFill>
              <a:sysClr val="window" lastClr="FFFFFF"/>
            </a:solidFill>
            <a:latin typeface="Calibri" panose="020F0502020204030204"/>
            <a:ea typeface="+mn-ea"/>
            <a:cs typeface="+mn-cs"/>
          </a:endParaRPr>
        </a:p>
      </dgm:t>
    </dgm:pt>
    <dgm:pt modelId="{C79EF0ED-17E9-45BF-AC16-151B6D7D34EE}" type="parTrans" cxnId="{83F1F0F3-89E0-437F-A08C-89D37CFC1316}">
      <dgm:prSet/>
      <dgm:spPr/>
      <dgm:t>
        <a:bodyPr/>
        <a:lstStyle/>
        <a:p>
          <a:pPr algn="ctr"/>
          <a:endParaRPr lang="en-US"/>
        </a:p>
      </dgm:t>
    </dgm:pt>
    <dgm:pt modelId="{650A3E9D-A8E7-4FCE-B6F0-37B02069B05C}" type="sibTrans" cxnId="{83F1F0F3-89E0-437F-A08C-89D37CFC1316}">
      <dgm:prSet/>
      <dgm:spPr/>
      <dgm:t>
        <a:bodyPr/>
        <a:lstStyle/>
        <a:p>
          <a:pPr algn="ctr"/>
          <a:endParaRPr lang="en-US"/>
        </a:p>
      </dgm:t>
    </dgm:pt>
    <dgm:pt modelId="{8AE46BEB-AA78-4DCD-8B45-E43A4BFB8BFE}">
      <dgm:prSet/>
      <dgm:spPr>
        <a:xfrm>
          <a:off x="3477890" y="942"/>
          <a:ext cx="1273819" cy="764291"/>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Ministarstvo socijalnog staranja, brige o porodici i demografije</a:t>
          </a:r>
          <a:endParaRPr lang="en-US">
            <a:solidFill>
              <a:sysClr val="window" lastClr="FFFFFF"/>
            </a:solidFill>
            <a:latin typeface="Calibri" panose="020F0502020204030204"/>
            <a:ea typeface="+mn-ea"/>
            <a:cs typeface="+mn-cs"/>
          </a:endParaRPr>
        </a:p>
      </dgm:t>
    </dgm:pt>
    <dgm:pt modelId="{5C146D5B-5EEF-49A3-8F7B-315A61E7B30D}" type="parTrans" cxnId="{E61E445F-46B7-40F5-938A-865585ECF188}">
      <dgm:prSet/>
      <dgm:spPr/>
      <dgm:t>
        <a:bodyPr/>
        <a:lstStyle/>
        <a:p>
          <a:endParaRPr lang="en-US"/>
        </a:p>
      </dgm:t>
    </dgm:pt>
    <dgm:pt modelId="{B2442EC1-7C2F-4477-B538-3F4256D6039B}" type="sibTrans" cxnId="{E61E445F-46B7-40F5-938A-865585ECF188}">
      <dgm:prSet/>
      <dgm:spPr/>
      <dgm:t>
        <a:bodyPr/>
        <a:lstStyle/>
        <a:p>
          <a:endParaRPr lang="en-US"/>
        </a:p>
      </dgm:t>
    </dgm:pt>
    <dgm:pt modelId="{3CA8A301-B4ED-415F-BA07-00BC7F89C3D9}" type="pres">
      <dgm:prSet presAssocID="{A2917966-FBC1-4C56-8D10-FA39CF042E39}" presName="Name0" presStyleCnt="0">
        <dgm:presLayoutVars>
          <dgm:chPref val="1"/>
          <dgm:dir/>
          <dgm:animOne val="branch"/>
          <dgm:animLvl val="lvl"/>
          <dgm:resizeHandles/>
        </dgm:presLayoutVars>
      </dgm:prSet>
      <dgm:spPr/>
    </dgm:pt>
    <dgm:pt modelId="{21635BCB-61F1-4E89-B901-CEEBA2D8E8F7}" type="pres">
      <dgm:prSet presAssocID="{DA415D4C-77FB-455C-BE16-77B79026AB01}" presName="vertOne" presStyleCnt="0"/>
      <dgm:spPr/>
    </dgm:pt>
    <dgm:pt modelId="{8377933B-B113-4B84-A160-5E9F77E7559B}" type="pres">
      <dgm:prSet presAssocID="{DA415D4C-77FB-455C-BE16-77B79026AB01}" presName="txOne" presStyleLbl="node0" presStyleIdx="0" presStyleCnt="13">
        <dgm:presLayoutVars>
          <dgm:chPref val="3"/>
        </dgm:presLayoutVars>
      </dgm:prSet>
      <dgm:spPr>
        <a:prstGeom prst="rect">
          <a:avLst/>
        </a:prstGeom>
      </dgm:spPr>
    </dgm:pt>
    <dgm:pt modelId="{BA8E5525-0A1F-4564-B403-CCB06BC5516C}" type="pres">
      <dgm:prSet presAssocID="{DA415D4C-77FB-455C-BE16-77B79026AB01}" presName="horzOne" presStyleCnt="0"/>
      <dgm:spPr/>
    </dgm:pt>
    <dgm:pt modelId="{0C26FB2B-7EFB-478F-81BA-1F90322CA052}" type="pres">
      <dgm:prSet presAssocID="{CC90658D-75F6-43A5-83C1-9B9CD7836D40}" presName="sibSpaceOne" presStyleCnt="0"/>
      <dgm:spPr/>
    </dgm:pt>
    <dgm:pt modelId="{656D4F49-0570-4FE2-8E7E-3B64A54591CF}" type="pres">
      <dgm:prSet presAssocID="{EE9CE025-17AA-4948-8BD0-3EEF8808CB56}" presName="vertOne" presStyleCnt="0"/>
      <dgm:spPr/>
    </dgm:pt>
    <dgm:pt modelId="{C76F1909-7EBF-438A-9BFB-60DCE44F42CD}" type="pres">
      <dgm:prSet presAssocID="{EE9CE025-17AA-4948-8BD0-3EEF8808CB56}" presName="txOne" presStyleLbl="node0" presStyleIdx="1" presStyleCnt="13">
        <dgm:presLayoutVars>
          <dgm:chPref val="3"/>
        </dgm:presLayoutVars>
      </dgm:prSet>
      <dgm:spPr>
        <a:prstGeom prst="rect">
          <a:avLst/>
        </a:prstGeom>
      </dgm:spPr>
    </dgm:pt>
    <dgm:pt modelId="{A48EB18C-36A3-4E4B-86B5-01127609335A}" type="pres">
      <dgm:prSet presAssocID="{EE9CE025-17AA-4948-8BD0-3EEF8808CB56}" presName="horzOne" presStyleCnt="0"/>
      <dgm:spPr/>
    </dgm:pt>
    <dgm:pt modelId="{BC81263A-847F-4585-9DCC-AE5D8BE860AC}" type="pres">
      <dgm:prSet presAssocID="{757F237C-00D7-4343-B6BD-4371B8BCABC8}" presName="sibSpaceOne" presStyleCnt="0"/>
      <dgm:spPr/>
    </dgm:pt>
    <dgm:pt modelId="{BFD2C0A7-7A1C-4F6B-9A94-BC8E6246E161}" type="pres">
      <dgm:prSet presAssocID="{8AE46BEB-AA78-4DCD-8B45-E43A4BFB8BFE}" presName="vertOne" presStyleCnt="0"/>
      <dgm:spPr/>
    </dgm:pt>
    <dgm:pt modelId="{4ABEDF25-7559-46F4-AD67-D20820646401}" type="pres">
      <dgm:prSet presAssocID="{8AE46BEB-AA78-4DCD-8B45-E43A4BFB8BFE}" presName="txOne" presStyleLbl="node0" presStyleIdx="2" presStyleCnt="13">
        <dgm:presLayoutVars>
          <dgm:chPref val="3"/>
        </dgm:presLayoutVars>
      </dgm:prSet>
      <dgm:spPr>
        <a:prstGeom prst="rect">
          <a:avLst/>
        </a:prstGeom>
      </dgm:spPr>
    </dgm:pt>
    <dgm:pt modelId="{E868888B-0ED1-41D3-8D1F-14606971D88B}" type="pres">
      <dgm:prSet presAssocID="{8AE46BEB-AA78-4DCD-8B45-E43A4BFB8BFE}" presName="horzOne" presStyleCnt="0"/>
      <dgm:spPr/>
    </dgm:pt>
    <dgm:pt modelId="{FEA941C0-861F-4922-93A1-15745832F61E}" type="pres">
      <dgm:prSet presAssocID="{B2442EC1-7C2F-4477-B538-3F4256D6039B}" presName="sibSpaceOne" presStyleCnt="0"/>
      <dgm:spPr/>
    </dgm:pt>
    <dgm:pt modelId="{AC018BA0-ADCB-471F-A75F-8FED5290624B}" type="pres">
      <dgm:prSet presAssocID="{EAC97FC9-1558-4E52-8A36-CAF2C8705D54}" presName="vertOne" presStyleCnt="0"/>
      <dgm:spPr/>
    </dgm:pt>
    <dgm:pt modelId="{4C54D438-6C05-4CDF-B90B-F14E06811B78}" type="pres">
      <dgm:prSet presAssocID="{EAC97FC9-1558-4E52-8A36-CAF2C8705D54}" presName="txOne" presStyleLbl="node0" presStyleIdx="3" presStyleCnt="13">
        <dgm:presLayoutVars>
          <dgm:chPref val="3"/>
        </dgm:presLayoutVars>
      </dgm:prSet>
      <dgm:spPr>
        <a:prstGeom prst="rect">
          <a:avLst/>
        </a:prstGeom>
      </dgm:spPr>
    </dgm:pt>
    <dgm:pt modelId="{92843C75-C574-4F67-827E-2D3B9302EDEB}" type="pres">
      <dgm:prSet presAssocID="{EAC97FC9-1558-4E52-8A36-CAF2C8705D54}" presName="horzOne" presStyleCnt="0"/>
      <dgm:spPr/>
    </dgm:pt>
    <dgm:pt modelId="{198C96B8-9556-4C9D-A6D1-ADCF8D3938B6}" type="pres">
      <dgm:prSet presAssocID="{C8D917A5-EAC2-478D-9899-66E84774B463}" presName="sibSpaceOne" presStyleCnt="0"/>
      <dgm:spPr/>
    </dgm:pt>
    <dgm:pt modelId="{3BB7A6FC-4E50-4EB0-B54B-EA16ADAE0CA9}" type="pres">
      <dgm:prSet presAssocID="{A5DEF59C-8A81-4477-8600-5D78257A423C}" presName="vertOne" presStyleCnt="0"/>
      <dgm:spPr/>
    </dgm:pt>
    <dgm:pt modelId="{C1B23770-7488-4058-B9DB-82815D121B6C}" type="pres">
      <dgm:prSet presAssocID="{A5DEF59C-8A81-4477-8600-5D78257A423C}" presName="txOne" presStyleLbl="node0" presStyleIdx="4" presStyleCnt="13">
        <dgm:presLayoutVars>
          <dgm:chPref val="3"/>
        </dgm:presLayoutVars>
      </dgm:prSet>
      <dgm:spPr>
        <a:prstGeom prst="rect">
          <a:avLst/>
        </a:prstGeom>
      </dgm:spPr>
    </dgm:pt>
    <dgm:pt modelId="{A4D50BFF-546A-45F6-97CB-8DF752508FD0}" type="pres">
      <dgm:prSet presAssocID="{A5DEF59C-8A81-4477-8600-5D78257A423C}" presName="horzOne" presStyleCnt="0"/>
      <dgm:spPr/>
    </dgm:pt>
    <dgm:pt modelId="{B0F43B8E-9660-4A6F-93F0-4132EC601F76}" type="pres">
      <dgm:prSet presAssocID="{CE39A9A3-8A30-40F9-842E-9599175CC8D8}" presName="sibSpaceOne" presStyleCnt="0"/>
      <dgm:spPr/>
    </dgm:pt>
    <dgm:pt modelId="{C9E11A63-C0B5-4583-8D73-8BAE76252162}" type="pres">
      <dgm:prSet presAssocID="{AAE73BF6-B850-4E15-B1B2-37CC6EE82FD1}" presName="vertOne" presStyleCnt="0"/>
      <dgm:spPr/>
    </dgm:pt>
    <dgm:pt modelId="{D8E84600-B79F-4C77-ADAD-A20AA4E4FEF6}" type="pres">
      <dgm:prSet presAssocID="{AAE73BF6-B850-4E15-B1B2-37CC6EE82FD1}" presName="txOne" presStyleLbl="node0" presStyleIdx="5" presStyleCnt="13">
        <dgm:presLayoutVars>
          <dgm:chPref val="3"/>
        </dgm:presLayoutVars>
      </dgm:prSet>
      <dgm:spPr>
        <a:prstGeom prst="rect">
          <a:avLst/>
        </a:prstGeom>
      </dgm:spPr>
    </dgm:pt>
    <dgm:pt modelId="{8120C329-E00E-4DBD-B2E8-87187715E936}" type="pres">
      <dgm:prSet presAssocID="{AAE73BF6-B850-4E15-B1B2-37CC6EE82FD1}" presName="horzOne" presStyleCnt="0"/>
      <dgm:spPr/>
    </dgm:pt>
    <dgm:pt modelId="{F798E488-6118-4EB0-8139-E10C1AEC9BEF}" type="pres">
      <dgm:prSet presAssocID="{8063A6F9-9D95-424A-AD50-6AF32ED8FE53}" presName="sibSpaceOne" presStyleCnt="0"/>
      <dgm:spPr/>
    </dgm:pt>
    <dgm:pt modelId="{79390513-DC1D-44EA-A987-8BB257CBB04D}" type="pres">
      <dgm:prSet presAssocID="{55DAA592-35DD-435C-8C47-AAADA329814A}" presName="vertOne" presStyleCnt="0"/>
      <dgm:spPr/>
    </dgm:pt>
    <dgm:pt modelId="{3CBCA28C-931B-49B1-A65C-D7E382C48E7E}" type="pres">
      <dgm:prSet presAssocID="{55DAA592-35DD-435C-8C47-AAADA329814A}" presName="txOne" presStyleLbl="node0" presStyleIdx="6" presStyleCnt="13">
        <dgm:presLayoutVars>
          <dgm:chPref val="3"/>
        </dgm:presLayoutVars>
      </dgm:prSet>
      <dgm:spPr>
        <a:prstGeom prst="rect">
          <a:avLst/>
        </a:prstGeom>
      </dgm:spPr>
    </dgm:pt>
    <dgm:pt modelId="{28491746-A4DE-4EBE-9C7C-FA1547A41AFC}" type="pres">
      <dgm:prSet presAssocID="{55DAA592-35DD-435C-8C47-AAADA329814A}" presName="horzOne" presStyleCnt="0"/>
      <dgm:spPr/>
    </dgm:pt>
    <dgm:pt modelId="{F3BB1AFB-CBB3-4ED5-9C50-B3FDE887B6F3}" type="pres">
      <dgm:prSet presAssocID="{6FD94FE9-EA83-4B5F-AB59-FEE9362A87C7}" presName="sibSpaceOne" presStyleCnt="0"/>
      <dgm:spPr/>
    </dgm:pt>
    <dgm:pt modelId="{2176B92B-F2AE-45CC-928A-D4D82330916B}" type="pres">
      <dgm:prSet presAssocID="{52E987B1-76E4-4097-9B78-3D893FE1CD06}" presName="vertOne" presStyleCnt="0"/>
      <dgm:spPr/>
    </dgm:pt>
    <dgm:pt modelId="{FF98882D-0A3B-44F8-AE40-14600ABD5793}" type="pres">
      <dgm:prSet presAssocID="{52E987B1-76E4-4097-9B78-3D893FE1CD06}" presName="txOne" presStyleLbl="node0" presStyleIdx="7" presStyleCnt="13">
        <dgm:presLayoutVars>
          <dgm:chPref val="3"/>
        </dgm:presLayoutVars>
      </dgm:prSet>
      <dgm:spPr>
        <a:prstGeom prst="rect">
          <a:avLst/>
        </a:prstGeom>
      </dgm:spPr>
    </dgm:pt>
    <dgm:pt modelId="{F3CE7B50-4624-41F5-8239-8F1C8C81941A}" type="pres">
      <dgm:prSet presAssocID="{52E987B1-76E4-4097-9B78-3D893FE1CD06}" presName="horzOne" presStyleCnt="0"/>
      <dgm:spPr/>
    </dgm:pt>
    <dgm:pt modelId="{0BC0CF73-948D-4527-A953-DC804CEEABB0}" type="pres">
      <dgm:prSet presAssocID="{B9330E8E-7B29-4746-9E58-CF60887A4BF5}" presName="sibSpaceOne" presStyleCnt="0"/>
      <dgm:spPr/>
    </dgm:pt>
    <dgm:pt modelId="{F45E36D6-9BD7-4D8C-AAB2-53FD97B74A44}" type="pres">
      <dgm:prSet presAssocID="{F90836E3-0083-4AF7-8903-DFEA371C5EED}" presName="vertOne" presStyleCnt="0"/>
      <dgm:spPr/>
    </dgm:pt>
    <dgm:pt modelId="{73ADFAFA-409C-4CB3-912B-4FD8F9306553}" type="pres">
      <dgm:prSet presAssocID="{F90836E3-0083-4AF7-8903-DFEA371C5EED}" presName="txOne" presStyleLbl="node0" presStyleIdx="8" presStyleCnt="13">
        <dgm:presLayoutVars>
          <dgm:chPref val="3"/>
        </dgm:presLayoutVars>
      </dgm:prSet>
      <dgm:spPr>
        <a:prstGeom prst="rect">
          <a:avLst/>
        </a:prstGeom>
      </dgm:spPr>
    </dgm:pt>
    <dgm:pt modelId="{A1410861-06A2-4E79-843A-5D51262A5BC0}" type="pres">
      <dgm:prSet presAssocID="{F90836E3-0083-4AF7-8903-DFEA371C5EED}" presName="horzOne" presStyleCnt="0"/>
      <dgm:spPr/>
    </dgm:pt>
    <dgm:pt modelId="{A53AF8D9-779B-49D2-92AF-0535E84C71E4}" type="pres">
      <dgm:prSet presAssocID="{970E8C1D-7A2C-44B7-9A85-094541420B64}" presName="sibSpaceOne" presStyleCnt="0"/>
      <dgm:spPr/>
    </dgm:pt>
    <dgm:pt modelId="{9A927609-5C8A-4235-B552-9FA5C1D5C911}" type="pres">
      <dgm:prSet presAssocID="{D3A938E2-8EEA-486C-839C-5DA08790D82D}" presName="vertOne" presStyleCnt="0"/>
      <dgm:spPr/>
    </dgm:pt>
    <dgm:pt modelId="{42463C98-04A1-4EB9-8FB9-793360A427DA}" type="pres">
      <dgm:prSet presAssocID="{D3A938E2-8EEA-486C-839C-5DA08790D82D}" presName="txOne" presStyleLbl="node0" presStyleIdx="9" presStyleCnt="13">
        <dgm:presLayoutVars>
          <dgm:chPref val="3"/>
        </dgm:presLayoutVars>
      </dgm:prSet>
      <dgm:spPr>
        <a:prstGeom prst="rect">
          <a:avLst/>
        </a:prstGeom>
      </dgm:spPr>
    </dgm:pt>
    <dgm:pt modelId="{AACAF220-DFCD-4A47-92C6-14950F811501}" type="pres">
      <dgm:prSet presAssocID="{D3A938E2-8EEA-486C-839C-5DA08790D82D}" presName="horzOne" presStyleCnt="0"/>
      <dgm:spPr/>
    </dgm:pt>
    <dgm:pt modelId="{7078029C-2DFA-45FE-BCA3-F57D4ED648A9}" type="pres">
      <dgm:prSet presAssocID="{8846F1B7-EFB5-4CD9-9202-B0CCE8D8E4E7}" presName="sibSpaceOne" presStyleCnt="0"/>
      <dgm:spPr/>
    </dgm:pt>
    <dgm:pt modelId="{C5B3154B-70BE-464B-B39D-63AE4E4BA522}" type="pres">
      <dgm:prSet presAssocID="{DBF18E44-069C-4957-8857-227F36FFBEDB}" presName="vertOne" presStyleCnt="0"/>
      <dgm:spPr/>
    </dgm:pt>
    <dgm:pt modelId="{76F2F891-6916-4354-A5B6-66FFB06AC422}" type="pres">
      <dgm:prSet presAssocID="{DBF18E44-069C-4957-8857-227F36FFBEDB}" presName="txOne" presStyleLbl="node0" presStyleIdx="10" presStyleCnt="13">
        <dgm:presLayoutVars>
          <dgm:chPref val="3"/>
        </dgm:presLayoutVars>
      </dgm:prSet>
      <dgm:spPr>
        <a:prstGeom prst="rect">
          <a:avLst/>
        </a:prstGeom>
      </dgm:spPr>
    </dgm:pt>
    <dgm:pt modelId="{E363B5DE-D147-4F43-9B49-FBDE92335E21}" type="pres">
      <dgm:prSet presAssocID="{DBF18E44-069C-4957-8857-227F36FFBEDB}" presName="horzOne" presStyleCnt="0"/>
      <dgm:spPr/>
    </dgm:pt>
    <dgm:pt modelId="{16EDB391-A595-4384-B6CF-7A0FF15C986A}" type="pres">
      <dgm:prSet presAssocID="{CC00E78F-6D2E-4EF5-85BF-3A9121BB7132}" presName="sibSpaceOne" presStyleCnt="0"/>
      <dgm:spPr/>
    </dgm:pt>
    <dgm:pt modelId="{D583A722-F5C9-4EF9-8422-7649E4EC5EF0}" type="pres">
      <dgm:prSet presAssocID="{7F497DD5-EA5C-4F4C-9E01-AF23369D2B4F}" presName="vertOne" presStyleCnt="0"/>
      <dgm:spPr/>
    </dgm:pt>
    <dgm:pt modelId="{CC20F47C-904C-466C-8F03-BF0552533E3F}" type="pres">
      <dgm:prSet presAssocID="{7F497DD5-EA5C-4F4C-9E01-AF23369D2B4F}" presName="txOne" presStyleLbl="node0" presStyleIdx="11" presStyleCnt="13">
        <dgm:presLayoutVars>
          <dgm:chPref val="3"/>
        </dgm:presLayoutVars>
      </dgm:prSet>
      <dgm:spPr>
        <a:prstGeom prst="rect">
          <a:avLst/>
        </a:prstGeom>
      </dgm:spPr>
    </dgm:pt>
    <dgm:pt modelId="{9D59CB30-0639-4AF3-8CDA-DB7FF5933449}" type="pres">
      <dgm:prSet presAssocID="{7F497DD5-EA5C-4F4C-9E01-AF23369D2B4F}" presName="horzOne" presStyleCnt="0"/>
      <dgm:spPr/>
    </dgm:pt>
    <dgm:pt modelId="{D6C6E283-B2E6-43A5-B208-0B51BB6F0B62}" type="pres">
      <dgm:prSet presAssocID="{69C4822E-D8A4-438D-A8E3-91E3AF8650A1}" presName="sibSpaceOne" presStyleCnt="0"/>
      <dgm:spPr/>
    </dgm:pt>
    <dgm:pt modelId="{E5857286-9D85-4C1C-906A-EAFC603BD80E}" type="pres">
      <dgm:prSet presAssocID="{2DE633B5-5414-4D64-ADC3-BAAD93B3B581}" presName="vertOne" presStyleCnt="0"/>
      <dgm:spPr/>
    </dgm:pt>
    <dgm:pt modelId="{DCBFB8B0-5F36-451D-BCF2-B385BD824A93}" type="pres">
      <dgm:prSet presAssocID="{2DE633B5-5414-4D64-ADC3-BAAD93B3B581}" presName="txOne" presStyleLbl="node0" presStyleIdx="12" presStyleCnt="13">
        <dgm:presLayoutVars>
          <dgm:chPref val="3"/>
        </dgm:presLayoutVars>
      </dgm:prSet>
      <dgm:spPr>
        <a:prstGeom prst="rect">
          <a:avLst/>
        </a:prstGeom>
      </dgm:spPr>
    </dgm:pt>
    <dgm:pt modelId="{DF6DEBFA-2A3C-47A1-9EAF-B5EF1AC36A1F}" type="pres">
      <dgm:prSet presAssocID="{2DE633B5-5414-4D64-ADC3-BAAD93B3B581}" presName="horzOne" presStyleCnt="0"/>
      <dgm:spPr/>
    </dgm:pt>
  </dgm:ptLst>
  <dgm:cxnLst>
    <dgm:cxn modelId="{BA376E02-B74B-4B3E-A74C-BC9FD7A88AD5}" type="presOf" srcId="{55DAA592-35DD-435C-8C47-AAADA329814A}" destId="{3CBCA28C-931B-49B1-A65C-D7E382C48E7E}" srcOrd="0" destOrd="0" presId="urn:microsoft.com/office/officeart/2005/8/layout/hierarchy4"/>
    <dgm:cxn modelId="{60B82404-8A30-4025-82D2-2777F56C75BE}" type="presOf" srcId="{7F497DD5-EA5C-4F4C-9E01-AF23369D2B4F}" destId="{CC20F47C-904C-466C-8F03-BF0552533E3F}" srcOrd="0" destOrd="0" presId="urn:microsoft.com/office/officeart/2005/8/layout/hierarchy4"/>
    <dgm:cxn modelId="{8850C90B-41AF-484A-8CD0-1D6DB6C92C17}" type="presOf" srcId="{AAE73BF6-B850-4E15-B1B2-37CC6EE82FD1}" destId="{D8E84600-B79F-4C77-ADAD-A20AA4E4FEF6}" srcOrd="0" destOrd="0" presId="urn:microsoft.com/office/officeart/2005/8/layout/hierarchy4"/>
    <dgm:cxn modelId="{84C88F10-0C31-4597-8CBA-2F90D956A82E}" type="presOf" srcId="{A2917966-FBC1-4C56-8D10-FA39CF042E39}" destId="{3CA8A301-B4ED-415F-BA07-00BC7F89C3D9}" srcOrd="0" destOrd="0" presId="urn:microsoft.com/office/officeart/2005/8/layout/hierarchy4"/>
    <dgm:cxn modelId="{35AEE515-6AB9-4D3E-B2C1-9CCEF6998E2A}" srcId="{A2917966-FBC1-4C56-8D10-FA39CF042E39}" destId="{7F497DD5-EA5C-4F4C-9E01-AF23369D2B4F}" srcOrd="11" destOrd="0" parTransId="{1170619D-5575-40A8-87B3-A10CD3C8EC85}" sibTransId="{69C4822E-D8A4-438D-A8E3-91E3AF8650A1}"/>
    <dgm:cxn modelId="{14A7482F-E512-4B1B-8079-2B64130C47D5}" type="presOf" srcId="{F90836E3-0083-4AF7-8903-DFEA371C5EED}" destId="{73ADFAFA-409C-4CB3-912B-4FD8F9306553}" srcOrd="0" destOrd="0" presId="urn:microsoft.com/office/officeart/2005/8/layout/hierarchy4"/>
    <dgm:cxn modelId="{02607E31-80A0-40E1-831F-8103E6EC8578}" srcId="{A2917966-FBC1-4C56-8D10-FA39CF042E39}" destId="{EE9CE025-17AA-4948-8BD0-3EEF8808CB56}" srcOrd="1" destOrd="0" parTransId="{7020059E-AA0D-4F24-AA66-425637FC54BB}" sibTransId="{757F237C-00D7-4343-B6BD-4371B8BCABC8}"/>
    <dgm:cxn modelId="{9C82B034-3EEA-4E71-A47E-A49E38F5684E}" srcId="{A2917966-FBC1-4C56-8D10-FA39CF042E39}" destId="{F90836E3-0083-4AF7-8903-DFEA371C5EED}" srcOrd="8" destOrd="0" parTransId="{2B1DFC5F-E5D3-41DB-A3A5-EDCECB80FC22}" sibTransId="{970E8C1D-7A2C-44B7-9A85-094541420B64}"/>
    <dgm:cxn modelId="{C8E96A3D-812F-4E61-976C-1F5E7C10A9D3}" type="presOf" srcId="{D3A938E2-8EEA-486C-839C-5DA08790D82D}" destId="{42463C98-04A1-4EB9-8FB9-793360A427DA}" srcOrd="0" destOrd="0" presId="urn:microsoft.com/office/officeart/2005/8/layout/hierarchy4"/>
    <dgm:cxn modelId="{E61E445F-46B7-40F5-938A-865585ECF188}" srcId="{A2917966-FBC1-4C56-8D10-FA39CF042E39}" destId="{8AE46BEB-AA78-4DCD-8B45-E43A4BFB8BFE}" srcOrd="2" destOrd="0" parTransId="{5C146D5B-5EEF-49A3-8F7B-315A61E7B30D}" sibTransId="{B2442EC1-7C2F-4477-B538-3F4256D6039B}"/>
    <dgm:cxn modelId="{51D5CD67-8E1A-4F8B-A822-5D99CF6ABF0E}" srcId="{A2917966-FBC1-4C56-8D10-FA39CF042E39}" destId="{52E987B1-76E4-4097-9B78-3D893FE1CD06}" srcOrd="7" destOrd="0" parTransId="{4ED383E9-5D42-420C-BE6C-9AA9327B5063}" sibTransId="{B9330E8E-7B29-4746-9E58-CF60887A4BF5}"/>
    <dgm:cxn modelId="{46128572-798A-4E90-95A7-F4D4A009B1C7}" type="presOf" srcId="{EE9CE025-17AA-4948-8BD0-3EEF8808CB56}" destId="{C76F1909-7EBF-438A-9BFB-60DCE44F42CD}" srcOrd="0" destOrd="0" presId="urn:microsoft.com/office/officeart/2005/8/layout/hierarchy4"/>
    <dgm:cxn modelId="{3B438876-48FF-4A8D-B507-948037599CA5}" type="presOf" srcId="{EAC97FC9-1558-4E52-8A36-CAF2C8705D54}" destId="{4C54D438-6C05-4CDF-B90B-F14E06811B78}" srcOrd="0" destOrd="0" presId="urn:microsoft.com/office/officeart/2005/8/layout/hierarchy4"/>
    <dgm:cxn modelId="{3992077B-6342-4F42-A2EB-1C1AEFA1F3D5}" srcId="{A2917966-FBC1-4C56-8D10-FA39CF042E39}" destId="{AAE73BF6-B850-4E15-B1B2-37CC6EE82FD1}" srcOrd="5" destOrd="0" parTransId="{B44ADAD9-667F-4565-9165-67C1E7229A14}" sibTransId="{8063A6F9-9D95-424A-AD50-6AF32ED8FE53}"/>
    <dgm:cxn modelId="{E72A5A7D-5BB4-49C7-9789-4025AA1BFD18}" type="presOf" srcId="{DA415D4C-77FB-455C-BE16-77B79026AB01}" destId="{8377933B-B113-4B84-A160-5E9F77E7559B}" srcOrd="0" destOrd="0" presId="urn:microsoft.com/office/officeart/2005/8/layout/hierarchy4"/>
    <dgm:cxn modelId="{9D77C27E-AD42-4833-B489-EF3F4C385058}" type="presOf" srcId="{2DE633B5-5414-4D64-ADC3-BAAD93B3B581}" destId="{DCBFB8B0-5F36-451D-BCF2-B385BD824A93}" srcOrd="0" destOrd="0" presId="urn:microsoft.com/office/officeart/2005/8/layout/hierarchy4"/>
    <dgm:cxn modelId="{F7AA4F92-4D35-4076-8D75-79A581602185}" type="presOf" srcId="{8AE46BEB-AA78-4DCD-8B45-E43A4BFB8BFE}" destId="{4ABEDF25-7559-46F4-AD67-D20820646401}" srcOrd="0" destOrd="0" presId="urn:microsoft.com/office/officeart/2005/8/layout/hierarchy4"/>
    <dgm:cxn modelId="{E464AE92-34F2-4088-A1AE-EAF81A3C4CAB}" srcId="{A2917966-FBC1-4C56-8D10-FA39CF042E39}" destId="{D3A938E2-8EEA-486C-839C-5DA08790D82D}" srcOrd="9" destOrd="0" parTransId="{5A7EFE63-E295-4F11-A676-6341D39704A9}" sibTransId="{8846F1B7-EFB5-4CD9-9202-B0CCE8D8E4E7}"/>
    <dgm:cxn modelId="{07732099-7AE8-4B40-8F73-6462D1EBD146}" srcId="{A2917966-FBC1-4C56-8D10-FA39CF042E39}" destId="{EAC97FC9-1558-4E52-8A36-CAF2C8705D54}" srcOrd="3" destOrd="0" parTransId="{BDD83F14-A834-49D9-BD9F-D6FEBB86951B}" sibTransId="{C8D917A5-EAC2-478D-9899-66E84774B463}"/>
    <dgm:cxn modelId="{FB02D1AC-F98F-4197-84FB-C2A0C6E86A74}" type="presOf" srcId="{52E987B1-76E4-4097-9B78-3D893FE1CD06}" destId="{FF98882D-0A3B-44F8-AE40-14600ABD5793}" srcOrd="0" destOrd="0" presId="urn:microsoft.com/office/officeart/2005/8/layout/hierarchy4"/>
    <dgm:cxn modelId="{21E80DB6-A28E-4191-8608-7FB4C3EAE49F}" srcId="{A2917966-FBC1-4C56-8D10-FA39CF042E39}" destId="{55DAA592-35DD-435C-8C47-AAADA329814A}" srcOrd="6" destOrd="0" parTransId="{CBE68EAB-2215-4058-BC77-724E27642D1C}" sibTransId="{6FD94FE9-EA83-4B5F-AB59-FEE9362A87C7}"/>
    <dgm:cxn modelId="{452D63BD-F405-44BF-9DA7-3671730EA80B}" srcId="{A2917966-FBC1-4C56-8D10-FA39CF042E39}" destId="{A5DEF59C-8A81-4477-8600-5D78257A423C}" srcOrd="4" destOrd="0" parTransId="{374194CA-077D-4A2D-B900-311B53D441F1}" sibTransId="{CE39A9A3-8A30-40F9-842E-9599175CC8D8}"/>
    <dgm:cxn modelId="{951824C8-B48A-4F9C-AC26-2308320E4E37}" srcId="{A2917966-FBC1-4C56-8D10-FA39CF042E39}" destId="{DA415D4C-77FB-455C-BE16-77B79026AB01}" srcOrd="0" destOrd="0" parTransId="{741D9732-F7AB-44E8-86CC-BFE434F6AA13}" sibTransId="{CC90658D-75F6-43A5-83C1-9B9CD7836D40}"/>
    <dgm:cxn modelId="{891225CA-9157-4FF7-B878-6820A43C384A}" srcId="{A2917966-FBC1-4C56-8D10-FA39CF042E39}" destId="{DBF18E44-069C-4957-8857-227F36FFBEDB}" srcOrd="10" destOrd="0" parTransId="{9374733E-7A6E-45D8-A98E-36A725DBD13E}" sibTransId="{CC00E78F-6D2E-4EF5-85BF-3A9121BB7132}"/>
    <dgm:cxn modelId="{E67FC9DA-A0C6-4803-AB85-6BE9298367B5}" type="presOf" srcId="{A5DEF59C-8A81-4477-8600-5D78257A423C}" destId="{C1B23770-7488-4058-B9DB-82815D121B6C}" srcOrd="0" destOrd="0" presId="urn:microsoft.com/office/officeart/2005/8/layout/hierarchy4"/>
    <dgm:cxn modelId="{B71794E5-0D3C-4E32-B4FA-ECA17829BA14}" type="presOf" srcId="{DBF18E44-069C-4957-8857-227F36FFBEDB}" destId="{76F2F891-6916-4354-A5B6-66FFB06AC422}" srcOrd="0" destOrd="0" presId="urn:microsoft.com/office/officeart/2005/8/layout/hierarchy4"/>
    <dgm:cxn modelId="{83F1F0F3-89E0-437F-A08C-89D37CFC1316}" srcId="{A2917966-FBC1-4C56-8D10-FA39CF042E39}" destId="{2DE633B5-5414-4D64-ADC3-BAAD93B3B581}" srcOrd="12" destOrd="0" parTransId="{C79EF0ED-17E9-45BF-AC16-151B6D7D34EE}" sibTransId="{650A3E9D-A8E7-4FCE-B6F0-37B02069B05C}"/>
    <dgm:cxn modelId="{F6DEA91A-B3BC-4BB0-81CB-6E3381557190}" type="presParOf" srcId="{3CA8A301-B4ED-415F-BA07-00BC7F89C3D9}" destId="{21635BCB-61F1-4E89-B901-CEEBA2D8E8F7}" srcOrd="0" destOrd="0" presId="urn:microsoft.com/office/officeart/2005/8/layout/hierarchy4"/>
    <dgm:cxn modelId="{FA1D4434-207C-41EB-86CE-06D1E90D0065}" type="presParOf" srcId="{21635BCB-61F1-4E89-B901-CEEBA2D8E8F7}" destId="{8377933B-B113-4B84-A160-5E9F77E7559B}" srcOrd="0" destOrd="0" presId="urn:microsoft.com/office/officeart/2005/8/layout/hierarchy4"/>
    <dgm:cxn modelId="{F8E4A6C8-343C-4C2A-8A9A-A8330D532F68}" type="presParOf" srcId="{21635BCB-61F1-4E89-B901-CEEBA2D8E8F7}" destId="{BA8E5525-0A1F-4564-B403-CCB06BC5516C}" srcOrd="1" destOrd="0" presId="urn:microsoft.com/office/officeart/2005/8/layout/hierarchy4"/>
    <dgm:cxn modelId="{ADE9CECF-2A61-44D7-8A2B-99422584B944}" type="presParOf" srcId="{3CA8A301-B4ED-415F-BA07-00BC7F89C3D9}" destId="{0C26FB2B-7EFB-478F-81BA-1F90322CA052}" srcOrd="1" destOrd="0" presId="urn:microsoft.com/office/officeart/2005/8/layout/hierarchy4"/>
    <dgm:cxn modelId="{F6E3BE4F-6AD6-4C64-9908-20DF5158937B}" type="presParOf" srcId="{3CA8A301-B4ED-415F-BA07-00BC7F89C3D9}" destId="{656D4F49-0570-4FE2-8E7E-3B64A54591CF}" srcOrd="2" destOrd="0" presId="urn:microsoft.com/office/officeart/2005/8/layout/hierarchy4"/>
    <dgm:cxn modelId="{D2D8C81D-8046-46AC-8E60-1342A8867BAC}" type="presParOf" srcId="{656D4F49-0570-4FE2-8E7E-3B64A54591CF}" destId="{C76F1909-7EBF-438A-9BFB-60DCE44F42CD}" srcOrd="0" destOrd="0" presId="urn:microsoft.com/office/officeart/2005/8/layout/hierarchy4"/>
    <dgm:cxn modelId="{33368861-1EB9-4AB3-A6E6-4097F76DD7F2}" type="presParOf" srcId="{656D4F49-0570-4FE2-8E7E-3B64A54591CF}" destId="{A48EB18C-36A3-4E4B-86B5-01127609335A}" srcOrd="1" destOrd="0" presId="urn:microsoft.com/office/officeart/2005/8/layout/hierarchy4"/>
    <dgm:cxn modelId="{3F24FEBB-F6B8-4633-BAC7-8BC3FECB2268}" type="presParOf" srcId="{3CA8A301-B4ED-415F-BA07-00BC7F89C3D9}" destId="{BC81263A-847F-4585-9DCC-AE5D8BE860AC}" srcOrd="3" destOrd="0" presId="urn:microsoft.com/office/officeart/2005/8/layout/hierarchy4"/>
    <dgm:cxn modelId="{4953761C-FB58-4CE7-A903-62CCA421E1D8}" type="presParOf" srcId="{3CA8A301-B4ED-415F-BA07-00BC7F89C3D9}" destId="{BFD2C0A7-7A1C-4F6B-9A94-BC8E6246E161}" srcOrd="4" destOrd="0" presId="urn:microsoft.com/office/officeart/2005/8/layout/hierarchy4"/>
    <dgm:cxn modelId="{4879FAAB-4902-43CC-B7F9-1C10810B9941}" type="presParOf" srcId="{BFD2C0A7-7A1C-4F6B-9A94-BC8E6246E161}" destId="{4ABEDF25-7559-46F4-AD67-D20820646401}" srcOrd="0" destOrd="0" presId="urn:microsoft.com/office/officeart/2005/8/layout/hierarchy4"/>
    <dgm:cxn modelId="{12843C72-3633-4AE9-BE05-97EE80563AF7}" type="presParOf" srcId="{BFD2C0A7-7A1C-4F6B-9A94-BC8E6246E161}" destId="{E868888B-0ED1-41D3-8D1F-14606971D88B}" srcOrd="1" destOrd="0" presId="urn:microsoft.com/office/officeart/2005/8/layout/hierarchy4"/>
    <dgm:cxn modelId="{6CE09A85-73DA-4745-A7E8-6CE8187D8A6F}" type="presParOf" srcId="{3CA8A301-B4ED-415F-BA07-00BC7F89C3D9}" destId="{FEA941C0-861F-4922-93A1-15745832F61E}" srcOrd="5" destOrd="0" presId="urn:microsoft.com/office/officeart/2005/8/layout/hierarchy4"/>
    <dgm:cxn modelId="{6D310889-8A8A-4C8D-87F5-9B4C188EEF8A}" type="presParOf" srcId="{3CA8A301-B4ED-415F-BA07-00BC7F89C3D9}" destId="{AC018BA0-ADCB-471F-A75F-8FED5290624B}" srcOrd="6" destOrd="0" presId="urn:microsoft.com/office/officeart/2005/8/layout/hierarchy4"/>
    <dgm:cxn modelId="{C5EF5E0F-EA1E-4264-81D8-D17D32531564}" type="presParOf" srcId="{AC018BA0-ADCB-471F-A75F-8FED5290624B}" destId="{4C54D438-6C05-4CDF-B90B-F14E06811B78}" srcOrd="0" destOrd="0" presId="urn:microsoft.com/office/officeart/2005/8/layout/hierarchy4"/>
    <dgm:cxn modelId="{2F2973E9-1BA0-4CC8-8042-377A8ED7FE52}" type="presParOf" srcId="{AC018BA0-ADCB-471F-A75F-8FED5290624B}" destId="{92843C75-C574-4F67-827E-2D3B9302EDEB}" srcOrd="1" destOrd="0" presId="urn:microsoft.com/office/officeart/2005/8/layout/hierarchy4"/>
    <dgm:cxn modelId="{828EDBDB-BD75-4CAC-AD71-EE73F332F98A}" type="presParOf" srcId="{3CA8A301-B4ED-415F-BA07-00BC7F89C3D9}" destId="{198C96B8-9556-4C9D-A6D1-ADCF8D3938B6}" srcOrd="7" destOrd="0" presId="urn:microsoft.com/office/officeart/2005/8/layout/hierarchy4"/>
    <dgm:cxn modelId="{71A79B6F-7B39-47B3-8463-8E8AF3E92394}" type="presParOf" srcId="{3CA8A301-B4ED-415F-BA07-00BC7F89C3D9}" destId="{3BB7A6FC-4E50-4EB0-B54B-EA16ADAE0CA9}" srcOrd="8" destOrd="0" presId="urn:microsoft.com/office/officeart/2005/8/layout/hierarchy4"/>
    <dgm:cxn modelId="{CBC0E407-2A98-4D18-B7AD-702477CDD998}" type="presParOf" srcId="{3BB7A6FC-4E50-4EB0-B54B-EA16ADAE0CA9}" destId="{C1B23770-7488-4058-B9DB-82815D121B6C}" srcOrd="0" destOrd="0" presId="urn:microsoft.com/office/officeart/2005/8/layout/hierarchy4"/>
    <dgm:cxn modelId="{20127458-D9E5-4CBE-AB51-D06A0ADC33F6}" type="presParOf" srcId="{3BB7A6FC-4E50-4EB0-B54B-EA16ADAE0CA9}" destId="{A4D50BFF-546A-45F6-97CB-8DF752508FD0}" srcOrd="1" destOrd="0" presId="urn:microsoft.com/office/officeart/2005/8/layout/hierarchy4"/>
    <dgm:cxn modelId="{7A19FF43-7E13-41D5-AE7E-A1B46853CEE7}" type="presParOf" srcId="{3CA8A301-B4ED-415F-BA07-00BC7F89C3D9}" destId="{B0F43B8E-9660-4A6F-93F0-4132EC601F76}" srcOrd="9" destOrd="0" presId="urn:microsoft.com/office/officeart/2005/8/layout/hierarchy4"/>
    <dgm:cxn modelId="{8E293B51-02D6-4C88-A00C-5108ED1A257D}" type="presParOf" srcId="{3CA8A301-B4ED-415F-BA07-00BC7F89C3D9}" destId="{C9E11A63-C0B5-4583-8D73-8BAE76252162}" srcOrd="10" destOrd="0" presId="urn:microsoft.com/office/officeart/2005/8/layout/hierarchy4"/>
    <dgm:cxn modelId="{1C684E8E-3BEE-4F74-A6AA-CAA0EED398E0}" type="presParOf" srcId="{C9E11A63-C0B5-4583-8D73-8BAE76252162}" destId="{D8E84600-B79F-4C77-ADAD-A20AA4E4FEF6}" srcOrd="0" destOrd="0" presId="urn:microsoft.com/office/officeart/2005/8/layout/hierarchy4"/>
    <dgm:cxn modelId="{F61E4180-F8FA-40F5-8B47-46C9BBA359D7}" type="presParOf" srcId="{C9E11A63-C0B5-4583-8D73-8BAE76252162}" destId="{8120C329-E00E-4DBD-B2E8-87187715E936}" srcOrd="1" destOrd="0" presId="urn:microsoft.com/office/officeart/2005/8/layout/hierarchy4"/>
    <dgm:cxn modelId="{6A327A73-7F9B-48AB-983D-89D1BCA260FA}" type="presParOf" srcId="{3CA8A301-B4ED-415F-BA07-00BC7F89C3D9}" destId="{F798E488-6118-4EB0-8139-E10C1AEC9BEF}" srcOrd="11" destOrd="0" presId="urn:microsoft.com/office/officeart/2005/8/layout/hierarchy4"/>
    <dgm:cxn modelId="{16FC9BBC-2447-4EDF-AB2A-F782140A5B17}" type="presParOf" srcId="{3CA8A301-B4ED-415F-BA07-00BC7F89C3D9}" destId="{79390513-DC1D-44EA-A987-8BB257CBB04D}" srcOrd="12" destOrd="0" presId="urn:microsoft.com/office/officeart/2005/8/layout/hierarchy4"/>
    <dgm:cxn modelId="{80EF0D96-D6BD-4522-AD29-D32A5CABFC81}" type="presParOf" srcId="{79390513-DC1D-44EA-A987-8BB257CBB04D}" destId="{3CBCA28C-931B-49B1-A65C-D7E382C48E7E}" srcOrd="0" destOrd="0" presId="urn:microsoft.com/office/officeart/2005/8/layout/hierarchy4"/>
    <dgm:cxn modelId="{3C3087DF-9926-4F75-BB0E-9655F83D4F1A}" type="presParOf" srcId="{79390513-DC1D-44EA-A987-8BB257CBB04D}" destId="{28491746-A4DE-4EBE-9C7C-FA1547A41AFC}" srcOrd="1" destOrd="0" presId="urn:microsoft.com/office/officeart/2005/8/layout/hierarchy4"/>
    <dgm:cxn modelId="{F5749E7A-0241-4162-9F02-3B7F35E4ABAD}" type="presParOf" srcId="{3CA8A301-B4ED-415F-BA07-00BC7F89C3D9}" destId="{F3BB1AFB-CBB3-4ED5-9C50-B3FDE887B6F3}" srcOrd="13" destOrd="0" presId="urn:microsoft.com/office/officeart/2005/8/layout/hierarchy4"/>
    <dgm:cxn modelId="{94CA0716-9AD8-458B-908B-4DFF924DC4BF}" type="presParOf" srcId="{3CA8A301-B4ED-415F-BA07-00BC7F89C3D9}" destId="{2176B92B-F2AE-45CC-928A-D4D82330916B}" srcOrd="14" destOrd="0" presId="urn:microsoft.com/office/officeart/2005/8/layout/hierarchy4"/>
    <dgm:cxn modelId="{D4440C55-6C0C-4111-A506-156BE8B9A3E0}" type="presParOf" srcId="{2176B92B-F2AE-45CC-928A-D4D82330916B}" destId="{FF98882D-0A3B-44F8-AE40-14600ABD5793}" srcOrd="0" destOrd="0" presId="urn:microsoft.com/office/officeart/2005/8/layout/hierarchy4"/>
    <dgm:cxn modelId="{5AD5ED53-CDF2-45EB-86F6-1668CEF4ABF4}" type="presParOf" srcId="{2176B92B-F2AE-45CC-928A-D4D82330916B}" destId="{F3CE7B50-4624-41F5-8239-8F1C8C81941A}" srcOrd="1" destOrd="0" presId="urn:microsoft.com/office/officeart/2005/8/layout/hierarchy4"/>
    <dgm:cxn modelId="{D8CA61C1-140C-4090-A558-115F82D5C6FE}" type="presParOf" srcId="{3CA8A301-B4ED-415F-BA07-00BC7F89C3D9}" destId="{0BC0CF73-948D-4527-A953-DC804CEEABB0}" srcOrd="15" destOrd="0" presId="urn:microsoft.com/office/officeart/2005/8/layout/hierarchy4"/>
    <dgm:cxn modelId="{EE5AFB19-8DFA-496C-B05C-57D109D7CE96}" type="presParOf" srcId="{3CA8A301-B4ED-415F-BA07-00BC7F89C3D9}" destId="{F45E36D6-9BD7-4D8C-AAB2-53FD97B74A44}" srcOrd="16" destOrd="0" presId="urn:microsoft.com/office/officeart/2005/8/layout/hierarchy4"/>
    <dgm:cxn modelId="{3F847571-E366-4192-856E-B084FD638C0D}" type="presParOf" srcId="{F45E36D6-9BD7-4D8C-AAB2-53FD97B74A44}" destId="{73ADFAFA-409C-4CB3-912B-4FD8F9306553}" srcOrd="0" destOrd="0" presId="urn:microsoft.com/office/officeart/2005/8/layout/hierarchy4"/>
    <dgm:cxn modelId="{08EC7FDE-C4B1-43B0-8FC0-34FC8766522E}" type="presParOf" srcId="{F45E36D6-9BD7-4D8C-AAB2-53FD97B74A44}" destId="{A1410861-06A2-4E79-843A-5D51262A5BC0}" srcOrd="1" destOrd="0" presId="urn:microsoft.com/office/officeart/2005/8/layout/hierarchy4"/>
    <dgm:cxn modelId="{059BCBF4-F150-4BD8-B886-E269294E104D}" type="presParOf" srcId="{3CA8A301-B4ED-415F-BA07-00BC7F89C3D9}" destId="{A53AF8D9-779B-49D2-92AF-0535E84C71E4}" srcOrd="17" destOrd="0" presId="urn:microsoft.com/office/officeart/2005/8/layout/hierarchy4"/>
    <dgm:cxn modelId="{212BE6BA-F60A-4D27-8CC7-1DB9880C8EED}" type="presParOf" srcId="{3CA8A301-B4ED-415F-BA07-00BC7F89C3D9}" destId="{9A927609-5C8A-4235-B552-9FA5C1D5C911}" srcOrd="18" destOrd="0" presId="urn:microsoft.com/office/officeart/2005/8/layout/hierarchy4"/>
    <dgm:cxn modelId="{CB508B2E-F3C5-4913-B16B-E851A8783C22}" type="presParOf" srcId="{9A927609-5C8A-4235-B552-9FA5C1D5C911}" destId="{42463C98-04A1-4EB9-8FB9-793360A427DA}" srcOrd="0" destOrd="0" presId="urn:microsoft.com/office/officeart/2005/8/layout/hierarchy4"/>
    <dgm:cxn modelId="{B6A22DE6-B66B-40AE-B436-37022693C9E8}" type="presParOf" srcId="{9A927609-5C8A-4235-B552-9FA5C1D5C911}" destId="{AACAF220-DFCD-4A47-92C6-14950F811501}" srcOrd="1" destOrd="0" presId="urn:microsoft.com/office/officeart/2005/8/layout/hierarchy4"/>
    <dgm:cxn modelId="{E65B8A65-6614-4087-AB80-F75D207D7040}" type="presParOf" srcId="{3CA8A301-B4ED-415F-BA07-00BC7F89C3D9}" destId="{7078029C-2DFA-45FE-BCA3-F57D4ED648A9}" srcOrd="19" destOrd="0" presId="urn:microsoft.com/office/officeart/2005/8/layout/hierarchy4"/>
    <dgm:cxn modelId="{74D0FF0F-A866-44C2-AFBA-4286E1735001}" type="presParOf" srcId="{3CA8A301-B4ED-415F-BA07-00BC7F89C3D9}" destId="{C5B3154B-70BE-464B-B39D-63AE4E4BA522}" srcOrd="20" destOrd="0" presId="urn:microsoft.com/office/officeart/2005/8/layout/hierarchy4"/>
    <dgm:cxn modelId="{FC703877-CD43-4324-874E-7292FE9EA719}" type="presParOf" srcId="{C5B3154B-70BE-464B-B39D-63AE4E4BA522}" destId="{76F2F891-6916-4354-A5B6-66FFB06AC422}" srcOrd="0" destOrd="0" presId="urn:microsoft.com/office/officeart/2005/8/layout/hierarchy4"/>
    <dgm:cxn modelId="{29EC8B4B-2C01-4571-BBAC-99A622741416}" type="presParOf" srcId="{C5B3154B-70BE-464B-B39D-63AE4E4BA522}" destId="{E363B5DE-D147-4F43-9B49-FBDE92335E21}" srcOrd="1" destOrd="0" presId="urn:microsoft.com/office/officeart/2005/8/layout/hierarchy4"/>
    <dgm:cxn modelId="{983A169B-68E5-4289-92D6-DD2EB0D0073B}" type="presParOf" srcId="{3CA8A301-B4ED-415F-BA07-00BC7F89C3D9}" destId="{16EDB391-A595-4384-B6CF-7A0FF15C986A}" srcOrd="21" destOrd="0" presId="urn:microsoft.com/office/officeart/2005/8/layout/hierarchy4"/>
    <dgm:cxn modelId="{1B3E9772-40D5-4E17-97D9-1568377AF893}" type="presParOf" srcId="{3CA8A301-B4ED-415F-BA07-00BC7F89C3D9}" destId="{D583A722-F5C9-4EF9-8422-7649E4EC5EF0}" srcOrd="22" destOrd="0" presId="urn:microsoft.com/office/officeart/2005/8/layout/hierarchy4"/>
    <dgm:cxn modelId="{E00C9B5A-7021-428A-A78D-492BF3894F2F}" type="presParOf" srcId="{D583A722-F5C9-4EF9-8422-7649E4EC5EF0}" destId="{CC20F47C-904C-466C-8F03-BF0552533E3F}" srcOrd="0" destOrd="0" presId="urn:microsoft.com/office/officeart/2005/8/layout/hierarchy4"/>
    <dgm:cxn modelId="{39B6FE51-AAAC-4C2C-98B2-0CA33F8C1EBB}" type="presParOf" srcId="{D583A722-F5C9-4EF9-8422-7649E4EC5EF0}" destId="{9D59CB30-0639-4AF3-8CDA-DB7FF5933449}" srcOrd="1" destOrd="0" presId="urn:microsoft.com/office/officeart/2005/8/layout/hierarchy4"/>
    <dgm:cxn modelId="{AAE0EE69-4AA5-40E5-A558-C27BD134C60B}" type="presParOf" srcId="{3CA8A301-B4ED-415F-BA07-00BC7F89C3D9}" destId="{D6C6E283-B2E6-43A5-B208-0B51BB6F0B62}" srcOrd="23" destOrd="0" presId="urn:microsoft.com/office/officeart/2005/8/layout/hierarchy4"/>
    <dgm:cxn modelId="{D2A40A8E-F151-4E41-A3EF-6AE40C638A8B}" type="presParOf" srcId="{3CA8A301-B4ED-415F-BA07-00BC7F89C3D9}" destId="{E5857286-9D85-4C1C-906A-EAFC603BD80E}" srcOrd="24" destOrd="0" presId="urn:microsoft.com/office/officeart/2005/8/layout/hierarchy4"/>
    <dgm:cxn modelId="{41AE3D07-49BA-4B41-9EA3-42F38FCAB1AB}" type="presParOf" srcId="{E5857286-9D85-4C1C-906A-EAFC603BD80E}" destId="{DCBFB8B0-5F36-451D-BCF2-B385BD824A93}" srcOrd="0" destOrd="0" presId="urn:microsoft.com/office/officeart/2005/8/layout/hierarchy4"/>
    <dgm:cxn modelId="{B66F6F2F-8E40-4A69-AC96-D896A8AF1A9A}" type="presParOf" srcId="{E5857286-9D85-4C1C-906A-EAFC603BD80E}" destId="{DF6DEBFA-2A3C-47A1-9EAF-B5EF1AC36A1F}" srcOrd="1" destOrd="0" presId="urn:microsoft.com/office/officeart/2005/8/layout/hierarchy4"/>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B8E91CB-9DF4-45AA-B74D-02A3C8F5FA58}" type="doc">
      <dgm:prSet loTypeId="urn:microsoft.com/office/officeart/2005/8/layout/vProcess5" loCatId="process" qsTypeId="urn:microsoft.com/office/officeart/2005/8/quickstyle/simple1" qsCatId="simple" csTypeId="urn:microsoft.com/office/officeart/2005/8/colors/colorful5" csCatId="colorful" phldr="1"/>
      <dgm:spPr/>
      <dgm:t>
        <a:bodyPr/>
        <a:lstStyle/>
        <a:p>
          <a:endParaRPr lang="en-GB"/>
        </a:p>
      </dgm:t>
    </dgm:pt>
    <dgm:pt modelId="{15159850-E49A-4BDD-88B2-CBCDB30413D3}">
      <dgm:prSet custT="1"/>
      <dgm:spPr>
        <a:xfrm>
          <a:off x="1256933" y="1466"/>
          <a:ext cx="1307825" cy="1189597"/>
        </a:xfr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panose="020F0502020204030204"/>
              <a:ea typeface="+mn-ea"/>
              <a:cs typeface="+mn-cs"/>
            </a:rPr>
            <a:t>Godišnji izvještaj o sprovođenju Akcionog plana </a:t>
          </a:r>
        </a:p>
      </dgm:t>
    </dgm:pt>
    <dgm:pt modelId="{D8CFC7BD-4695-43A2-930E-4129A01D98DC}" type="parTrans" cxnId="{655A757B-3B53-4A63-94B7-5733F8E64A91}">
      <dgm:prSet/>
      <dgm:spPr/>
      <dgm:t>
        <a:bodyPr/>
        <a:lstStyle/>
        <a:p>
          <a:endParaRPr lang="en-GB"/>
        </a:p>
      </dgm:t>
    </dgm:pt>
    <dgm:pt modelId="{8DE8B06D-1E1E-493C-BF61-5FBA12DB0320}" type="sibTrans" cxnId="{655A757B-3B53-4A63-94B7-5733F8E64A91}">
      <dgm:prSet/>
      <dgm:spPr>
        <a:xfrm>
          <a:off x="2661299" y="251474"/>
          <a:ext cx="689580" cy="689580"/>
        </a:xfrm>
        <a:solidFill>
          <a:srgbClr val="4472C4">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AFFC8C5-6581-49EA-8932-16E025018903}">
      <dgm:prSet custT="1"/>
      <dgm:spPr>
        <a:xfrm>
          <a:off x="3447421" y="734"/>
          <a:ext cx="1307825" cy="1191060"/>
        </a:xfrm>
        <a:solidFill>
          <a:srgbClr val="4472C4">
            <a:hueOff val="-7353344"/>
            <a:satOff val="-10228"/>
            <a:lumOff val="-3922"/>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panose="020F0502020204030204"/>
              <a:ea typeface="+mn-ea"/>
              <a:cs typeface="+mn-cs"/>
            </a:rPr>
            <a:t>Završni izvještaj o sprovođenju strateškog dokumenta</a:t>
          </a:r>
        </a:p>
      </dgm:t>
    </dgm:pt>
    <dgm:pt modelId="{94D97920-408F-4B83-905A-AD482D8F8577}" type="parTrans" cxnId="{9F48ED1D-9E30-4E6E-9887-F893D37ED350}">
      <dgm:prSet/>
      <dgm:spPr/>
      <dgm:t>
        <a:bodyPr/>
        <a:lstStyle/>
        <a:p>
          <a:endParaRPr lang="en-GB"/>
        </a:p>
      </dgm:t>
    </dgm:pt>
    <dgm:pt modelId="{4E044B31-0509-4FDF-A1AB-F95172BB0CB0}" type="sibTrans" cxnId="{9F48ED1D-9E30-4E6E-9887-F893D37ED350}">
      <dgm:prSet/>
      <dgm:spPr>
        <a:xfrm rot="10800000">
          <a:off x="1838021" y="986520"/>
          <a:ext cx="2476305" cy="402255"/>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3B8A3E6B-E87F-4C28-A5DB-6D1AD1848B5D}" type="pres">
      <dgm:prSet presAssocID="{4B8E91CB-9DF4-45AA-B74D-02A3C8F5FA58}" presName="outerComposite" presStyleCnt="0">
        <dgm:presLayoutVars>
          <dgm:chMax val="5"/>
          <dgm:dir/>
          <dgm:resizeHandles val="exact"/>
        </dgm:presLayoutVars>
      </dgm:prSet>
      <dgm:spPr/>
    </dgm:pt>
    <dgm:pt modelId="{E569F3AA-47B5-42A0-943E-8809B1359CB9}" type="pres">
      <dgm:prSet presAssocID="{4B8E91CB-9DF4-45AA-B74D-02A3C8F5FA58}" presName="dummyMaxCanvas" presStyleCnt="0">
        <dgm:presLayoutVars/>
      </dgm:prSet>
      <dgm:spPr/>
    </dgm:pt>
    <dgm:pt modelId="{B31C79B2-5DC3-4A51-9E41-E13512EACF98}" type="pres">
      <dgm:prSet presAssocID="{4B8E91CB-9DF4-45AA-B74D-02A3C8F5FA58}" presName="TwoNodes_1" presStyleLbl="node1" presStyleIdx="0" presStyleCnt="2">
        <dgm:presLayoutVars>
          <dgm:bulletEnabled val="1"/>
        </dgm:presLayoutVars>
      </dgm:prSet>
      <dgm:spPr>
        <a:prstGeom prst="rect">
          <a:avLst/>
        </a:prstGeom>
      </dgm:spPr>
    </dgm:pt>
    <dgm:pt modelId="{1F42AF7B-90C4-4B39-B4B2-6B575B3F2070}" type="pres">
      <dgm:prSet presAssocID="{4B8E91CB-9DF4-45AA-B74D-02A3C8F5FA58}" presName="TwoNodes_2" presStyleLbl="node1" presStyleIdx="1" presStyleCnt="2">
        <dgm:presLayoutVars>
          <dgm:bulletEnabled val="1"/>
        </dgm:presLayoutVars>
      </dgm:prSet>
      <dgm:spPr>
        <a:prstGeom prst="rect">
          <a:avLst/>
        </a:prstGeom>
      </dgm:spPr>
    </dgm:pt>
    <dgm:pt modelId="{65521729-9745-40B5-A0F3-A5277B186138}" type="pres">
      <dgm:prSet presAssocID="{4B8E91CB-9DF4-45AA-B74D-02A3C8F5FA58}" presName="TwoConn_1-2" presStyleLbl="fgAccFollowNode1" presStyleIdx="0" presStyleCnt="1">
        <dgm:presLayoutVars>
          <dgm:bulletEnabled val="1"/>
        </dgm:presLayoutVars>
      </dgm:prSet>
      <dgm:spPr>
        <a:prstGeom prst="rightArrow">
          <a:avLst>
            <a:gd name="adj1" fmla="val 60000"/>
            <a:gd name="adj2" fmla="val 50000"/>
          </a:avLst>
        </a:prstGeom>
      </dgm:spPr>
    </dgm:pt>
    <dgm:pt modelId="{BA6099F6-3249-4403-A4E0-2A5278B3E5B3}" type="pres">
      <dgm:prSet presAssocID="{4B8E91CB-9DF4-45AA-B74D-02A3C8F5FA58}" presName="TwoNodes_1_text" presStyleLbl="node1" presStyleIdx="1" presStyleCnt="2">
        <dgm:presLayoutVars>
          <dgm:bulletEnabled val="1"/>
        </dgm:presLayoutVars>
      </dgm:prSet>
      <dgm:spPr/>
    </dgm:pt>
    <dgm:pt modelId="{D5BBE0C9-9E2E-4320-98D2-E98E88D7A282}" type="pres">
      <dgm:prSet presAssocID="{4B8E91CB-9DF4-45AA-B74D-02A3C8F5FA58}" presName="TwoNodes_2_text" presStyleLbl="node1" presStyleIdx="1" presStyleCnt="2">
        <dgm:presLayoutVars>
          <dgm:bulletEnabled val="1"/>
        </dgm:presLayoutVars>
      </dgm:prSet>
      <dgm:spPr/>
    </dgm:pt>
  </dgm:ptLst>
  <dgm:cxnLst>
    <dgm:cxn modelId="{9F48ED1D-9E30-4E6E-9887-F893D37ED350}" srcId="{4B8E91CB-9DF4-45AA-B74D-02A3C8F5FA58}" destId="{EAFFC8C5-6581-49EA-8932-16E025018903}" srcOrd="1" destOrd="0" parTransId="{94D97920-408F-4B83-905A-AD482D8F8577}" sibTransId="{4E044B31-0509-4FDF-A1AB-F95172BB0CB0}"/>
    <dgm:cxn modelId="{4FF07C1E-6859-4B66-90C4-BD536D715E77}" type="presOf" srcId="{EAFFC8C5-6581-49EA-8932-16E025018903}" destId="{D5BBE0C9-9E2E-4320-98D2-E98E88D7A282}" srcOrd="1" destOrd="0" presId="urn:microsoft.com/office/officeart/2005/8/layout/vProcess5"/>
    <dgm:cxn modelId="{7A619376-6C05-4223-B63C-ABA9DB1E6DC8}" type="presOf" srcId="{15159850-E49A-4BDD-88B2-CBCDB30413D3}" destId="{BA6099F6-3249-4403-A4E0-2A5278B3E5B3}" srcOrd="1" destOrd="0" presId="urn:microsoft.com/office/officeart/2005/8/layout/vProcess5"/>
    <dgm:cxn modelId="{655A757B-3B53-4A63-94B7-5733F8E64A91}" srcId="{4B8E91CB-9DF4-45AA-B74D-02A3C8F5FA58}" destId="{15159850-E49A-4BDD-88B2-CBCDB30413D3}" srcOrd="0" destOrd="0" parTransId="{D8CFC7BD-4695-43A2-930E-4129A01D98DC}" sibTransId="{8DE8B06D-1E1E-493C-BF61-5FBA12DB0320}"/>
    <dgm:cxn modelId="{EEF8F07C-266C-4754-8CB3-4B61229A2D77}" type="presOf" srcId="{15159850-E49A-4BDD-88B2-CBCDB30413D3}" destId="{B31C79B2-5DC3-4A51-9E41-E13512EACF98}" srcOrd="0" destOrd="0" presId="urn:microsoft.com/office/officeart/2005/8/layout/vProcess5"/>
    <dgm:cxn modelId="{52E5F498-35F4-46CA-826D-D6557FEE1409}" type="presOf" srcId="{8DE8B06D-1E1E-493C-BF61-5FBA12DB0320}" destId="{65521729-9745-40B5-A0F3-A5277B186138}" srcOrd="0" destOrd="0" presId="urn:microsoft.com/office/officeart/2005/8/layout/vProcess5"/>
    <dgm:cxn modelId="{7C42F8C7-FD3C-4A3F-9CB6-DA499F3C9DFA}" type="presOf" srcId="{EAFFC8C5-6581-49EA-8932-16E025018903}" destId="{1F42AF7B-90C4-4B39-B4B2-6B575B3F2070}" srcOrd="0" destOrd="0" presId="urn:microsoft.com/office/officeart/2005/8/layout/vProcess5"/>
    <dgm:cxn modelId="{D7A42ADA-2485-44F6-B55E-DC858BD12E00}" type="presOf" srcId="{4B8E91CB-9DF4-45AA-B74D-02A3C8F5FA58}" destId="{3B8A3E6B-E87F-4C28-A5DB-6D1AD1848B5D}" srcOrd="0" destOrd="0" presId="urn:microsoft.com/office/officeart/2005/8/layout/vProcess5"/>
    <dgm:cxn modelId="{334E1E91-AE3B-42DF-92E9-2A56ABC24E75}" type="presParOf" srcId="{3B8A3E6B-E87F-4C28-A5DB-6D1AD1848B5D}" destId="{E569F3AA-47B5-42A0-943E-8809B1359CB9}" srcOrd="0" destOrd="0" presId="urn:microsoft.com/office/officeart/2005/8/layout/vProcess5"/>
    <dgm:cxn modelId="{69100563-BABA-4A2F-9FC9-884A16D40595}" type="presParOf" srcId="{3B8A3E6B-E87F-4C28-A5DB-6D1AD1848B5D}" destId="{B31C79B2-5DC3-4A51-9E41-E13512EACF98}" srcOrd="1" destOrd="0" presId="urn:microsoft.com/office/officeart/2005/8/layout/vProcess5"/>
    <dgm:cxn modelId="{3BA181E6-1BCB-40C6-9DC1-3714DBE97906}" type="presParOf" srcId="{3B8A3E6B-E87F-4C28-A5DB-6D1AD1848B5D}" destId="{1F42AF7B-90C4-4B39-B4B2-6B575B3F2070}" srcOrd="2" destOrd="0" presId="urn:microsoft.com/office/officeart/2005/8/layout/vProcess5"/>
    <dgm:cxn modelId="{9DB85EF4-5C59-4440-9B90-EA55FA935B4A}" type="presParOf" srcId="{3B8A3E6B-E87F-4C28-A5DB-6D1AD1848B5D}" destId="{65521729-9745-40B5-A0F3-A5277B186138}" srcOrd="3" destOrd="0" presId="urn:microsoft.com/office/officeart/2005/8/layout/vProcess5"/>
    <dgm:cxn modelId="{15D229C5-2A59-4705-932D-14D716C1CA98}" type="presParOf" srcId="{3B8A3E6B-E87F-4C28-A5DB-6D1AD1848B5D}" destId="{BA6099F6-3249-4403-A4E0-2A5278B3E5B3}" srcOrd="4" destOrd="0" presId="urn:microsoft.com/office/officeart/2005/8/layout/vProcess5"/>
    <dgm:cxn modelId="{E28826D4-0166-499A-828A-7A17351777E9}" type="presParOf" srcId="{3B8A3E6B-E87F-4C28-A5DB-6D1AD1848B5D}" destId="{D5BBE0C9-9E2E-4320-98D2-E98E88D7A282}" srcOrd="5" destOrd="0" presId="urn:microsoft.com/office/officeart/2005/8/layout/vProcess5"/>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CE23EA-8B0C-4288-9391-8CB2CAF43857}">
      <dsp:nvSpPr>
        <dsp:cNvPr id="0" name=""/>
        <dsp:cNvSpPr/>
      </dsp:nvSpPr>
      <dsp:spPr>
        <a:xfrm>
          <a:off x="0" y="28268"/>
          <a:ext cx="8537864" cy="516427"/>
        </a:xfrm>
        <a:prstGeom prst="round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sr-Latn-RS" sz="1300" kern="1200">
              <a:solidFill>
                <a:sysClr val="window" lastClr="FFFFFF"/>
              </a:solidFill>
              <a:latin typeface="Calibri" panose="020F0502020204030204"/>
              <a:ea typeface="+mn-ea"/>
              <a:cs typeface="+mn-cs"/>
            </a:rPr>
            <a:t>Pojedinac je odgovoran za svoju karijeru i razvoj, ali nije sam u tom procesu. Društvo i okolina imaju značajan uticaj. </a:t>
          </a:r>
          <a:endParaRPr lang="en-US" sz="1300" kern="1200">
            <a:solidFill>
              <a:sysClr val="window" lastClr="FFFFFF"/>
            </a:solidFill>
            <a:latin typeface="Calibri" panose="020F0502020204030204"/>
            <a:ea typeface="+mn-ea"/>
            <a:cs typeface="+mn-cs"/>
          </a:endParaRPr>
        </a:p>
      </dsp:txBody>
      <dsp:txXfrm>
        <a:off x="25210" y="53478"/>
        <a:ext cx="8487444" cy="466007"/>
      </dsp:txXfrm>
    </dsp:sp>
    <dsp:sp modelId="{86C1EACD-A5B8-43D5-90CA-167040CAEC6E}">
      <dsp:nvSpPr>
        <dsp:cNvPr id="0" name=""/>
        <dsp:cNvSpPr/>
      </dsp:nvSpPr>
      <dsp:spPr>
        <a:xfrm>
          <a:off x="0" y="582135"/>
          <a:ext cx="8537864" cy="516427"/>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sr-Latn-RS" sz="1300" kern="1200">
              <a:solidFill>
                <a:sysClr val="window" lastClr="FFFFFF"/>
              </a:solidFill>
              <a:latin typeface="Calibri" panose="020F0502020204030204"/>
              <a:ea typeface="+mn-ea"/>
              <a:cs typeface="+mn-cs"/>
            </a:rPr>
            <a:t>KVS podrazumijeva prepoznavanje interesa, uvjerenja, vrijednosti, vještina i kompetencija pojedinca. Kao i njihovo povezivanje sa potrebama tržišta rada.</a:t>
          </a:r>
          <a:endParaRPr lang="en-US" sz="1300" kern="1200">
            <a:solidFill>
              <a:sysClr val="window" lastClr="FFFFFF"/>
            </a:solidFill>
            <a:latin typeface="Calibri" panose="020F0502020204030204"/>
            <a:ea typeface="+mn-ea"/>
            <a:cs typeface="+mn-cs"/>
          </a:endParaRPr>
        </a:p>
      </dsp:txBody>
      <dsp:txXfrm>
        <a:off x="25210" y="607345"/>
        <a:ext cx="8487444" cy="466007"/>
      </dsp:txXfrm>
    </dsp:sp>
    <dsp:sp modelId="{128713B0-08D4-4316-B126-11AED953E7CB}">
      <dsp:nvSpPr>
        <dsp:cNvPr id="0" name=""/>
        <dsp:cNvSpPr/>
      </dsp:nvSpPr>
      <dsp:spPr>
        <a:xfrm>
          <a:off x="0" y="1136002"/>
          <a:ext cx="8537864" cy="516427"/>
        </a:xfrm>
        <a:prstGeom prst="round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sr-Latn-RS" sz="1300" kern="1200">
              <a:solidFill>
                <a:sysClr val="window" lastClr="FFFFFF"/>
              </a:solidFill>
              <a:latin typeface="Calibri" panose="020F0502020204030204"/>
              <a:ea typeface="+mn-ea"/>
              <a:cs typeface="+mn-cs"/>
            </a:rPr>
            <a:t>Razumijevanje dostupnih opcija i donošenje informisanih izbora o svojoj karijeri i budućnosti</a:t>
          </a:r>
          <a:endParaRPr lang="en-US" sz="1300" kern="1200">
            <a:solidFill>
              <a:sysClr val="window" lastClr="FFFFFF"/>
            </a:solidFill>
            <a:latin typeface="Calibri" panose="020F0502020204030204"/>
            <a:ea typeface="+mn-ea"/>
            <a:cs typeface="+mn-cs"/>
          </a:endParaRPr>
        </a:p>
      </dsp:txBody>
      <dsp:txXfrm>
        <a:off x="25210" y="1161212"/>
        <a:ext cx="8487444" cy="466007"/>
      </dsp:txXfrm>
    </dsp:sp>
    <dsp:sp modelId="{01967716-977C-4707-AAC4-312547477E4C}">
      <dsp:nvSpPr>
        <dsp:cNvPr id="0" name=""/>
        <dsp:cNvSpPr/>
      </dsp:nvSpPr>
      <dsp:spPr>
        <a:xfrm>
          <a:off x="0" y="1689869"/>
          <a:ext cx="8537864" cy="51642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sr-Latn-RS" sz="1300" kern="1200">
              <a:solidFill>
                <a:sysClr val="window" lastClr="FFFFFF"/>
              </a:solidFill>
              <a:latin typeface="Calibri" panose="020F0502020204030204"/>
              <a:ea typeface="+mn-ea"/>
              <a:cs typeface="+mn-cs"/>
            </a:rPr>
            <a:t>Kontinuirano prilagođavanje i spremnost za višestruke karijerne tranzicije</a:t>
          </a:r>
          <a:endParaRPr lang="en-US" sz="1300" kern="1200">
            <a:solidFill>
              <a:sysClr val="window" lastClr="FFFFFF"/>
            </a:solidFill>
            <a:latin typeface="Calibri" panose="020F0502020204030204"/>
            <a:ea typeface="+mn-ea"/>
            <a:cs typeface="+mn-cs"/>
          </a:endParaRPr>
        </a:p>
      </dsp:txBody>
      <dsp:txXfrm>
        <a:off x="25210" y="1715079"/>
        <a:ext cx="8487444" cy="4660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5636B3-865A-476F-BCF4-47D2154B3C3F}">
      <dsp:nvSpPr>
        <dsp:cNvPr id="0" name=""/>
        <dsp:cNvSpPr/>
      </dsp:nvSpPr>
      <dsp:spPr>
        <a:xfrm>
          <a:off x="675486" y="942"/>
          <a:ext cx="1273819" cy="76429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Ministarstvo prosvjete, nauke i inovacija</a:t>
          </a:r>
          <a:endParaRPr lang="en-US" sz="1200" kern="1200">
            <a:solidFill>
              <a:sysClr val="window" lastClr="FFFFFF"/>
            </a:solidFill>
            <a:latin typeface="Calibri" panose="020F0502020204030204"/>
            <a:ea typeface="+mn-ea"/>
            <a:cs typeface="+mn-cs"/>
          </a:endParaRPr>
        </a:p>
      </dsp:txBody>
      <dsp:txXfrm>
        <a:off x="675486" y="942"/>
        <a:ext cx="1273819" cy="764291"/>
      </dsp:txXfrm>
    </dsp:sp>
    <dsp:sp modelId="{3364067F-1C1C-4AE8-8F9B-FD96A43E137C}">
      <dsp:nvSpPr>
        <dsp:cNvPr id="0" name=""/>
        <dsp:cNvSpPr/>
      </dsp:nvSpPr>
      <dsp:spPr>
        <a:xfrm>
          <a:off x="2076688" y="942"/>
          <a:ext cx="1273819" cy="764291"/>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Ministarstvo rada, zapošljavanja i socijalnog dijaloga</a:t>
          </a:r>
          <a:endParaRPr lang="en-US" sz="1200" kern="1200">
            <a:solidFill>
              <a:sysClr val="window" lastClr="FFFFFF"/>
            </a:solidFill>
            <a:latin typeface="Calibri" panose="020F0502020204030204"/>
            <a:ea typeface="+mn-ea"/>
            <a:cs typeface="+mn-cs"/>
          </a:endParaRPr>
        </a:p>
      </dsp:txBody>
      <dsp:txXfrm>
        <a:off x="2076688" y="942"/>
        <a:ext cx="1273819" cy="764291"/>
      </dsp:txXfrm>
    </dsp:sp>
    <dsp:sp modelId="{AA47A2A3-E8CE-42B0-B9C1-8B604417B708}">
      <dsp:nvSpPr>
        <dsp:cNvPr id="0" name=""/>
        <dsp:cNvSpPr/>
      </dsp:nvSpPr>
      <dsp:spPr>
        <a:xfrm>
          <a:off x="3477890" y="942"/>
          <a:ext cx="1273819" cy="76429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t>Ministarstvo socijalnog staranja, brige o porodici i demografije</a:t>
          </a:r>
          <a:endParaRPr lang="en-US" sz="1200" kern="1200"/>
        </a:p>
      </dsp:txBody>
      <dsp:txXfrm>
        <a:off x="3477890" y="942"/>
        <a:ext cx="1273819" cy="764291"/>
      </dsp:txXfrm>
    </dsp:sp>
    <dsp:sp modelId="{6F961722-469E-4CE0-8A67-8894F5E46E6D}">
      <dsp:nvSpPr>
        <dsp:cNvPr id="0" name=""/>
        <dsp:cNvSpPr/>
      </dsp:nvSpPr>
      <dsp:spPr>
        <a:xfrm>
          <a:off x="4879091" y="942"/>
          <a:ext cx="1273819" cy="764291"/>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Zavod za školstvo</a:t>
          </a:r>
          <a:endParaRPr lang="en-US" sz="1200" kern="1200">
            <a:solidFill>
              <a:sysClr val="window" lastClr="FFFFFF"/>
            </a:solidFill>
            <a:latin typeface="Calibri" panose="020F0502020204030204"/>
            <a:ea typeface="+mn-ea"/>
            <a:cs typeface="+mn-cs"/>
          </a:endParaRPr>
        </a:p>
      </dsp:txBody>
      <dsp:txXfrm>
        <a:off x="4879091" y="942"/>
        <a:ext cx="1273819" cy="764291"/>
      </dsp:txXfrm>
    </dsp:sp>
    <dsp:sp modelId="{FEE0EDD5-A86C-4663-A136-A108D8C69C02}">
      <dsp:nvSpPr>
        <dsp:cNvPr id="0" name=""/>
        <dsp:cNvSpPr/>
      </dsp:nvSpPr>
      <dsp:spPr>
        <a:xfrm>
          <a:off x="6280293" y="942"/>
          <a:ext cx="1273819" cy="76429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Centar za stručno obrazovanje</a:t>
          </a:r>
          <a:endParaRPr lang="en-US" sz="1200" kern="1200">
            <a:solidFill>
              <a:sysClr val="window" lastClr="FFFFFF"/>
            </a:solidFill>
            <a:latin typeface="Calibri" panose="020F0502020204030204"/>
            <a:ea typeface="+mn-ea"/>
            <a:cs typeface="+mn-cs"/>
          </a:endParaRPr>
        </a:p>
      </dsp:txBody>
      <dsp:txXfrm>
        <a:off x="6280293" y="942"/>
        <a:ext cx="1273819" cy="764291"/>
      </dsp:txXfrm>
    </dsp:sp>
    <dsp:sp modelId="{062FBD6D-C9BE-4C27-ADBF-86A95CC03A72}">
      <dsp:nvSpPr>
        <dsp:cNvPr id="0" name=""/>
        <dsp:cNvSpPr/>
      </dsp:nvSpPr>
      <dsp:spPr>
        <a:xfrm>
          <a:off x="675486" y="892616"/>
          <a:ext cx="1273819" cy="764291"/>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Zavod za zapošljavanje</a:t>
          </a:r>
          <a:endParaRPr lang="en-US" sz="1200" kern="1200">
            <a:solidFill>
              <a:sysClr val="window" lastClr="FFFFFF"/>
            </a:solidFill>
            <a:latin typeface="Calibri" panose="020F0502020204030204"/>
            <a:ea typeface="+mn-ea"/>
            <a:cs typeface="+mn-cs"/>
          </a:endParaRPr>
        </a:p>
      </dsp:txBody>
      <dsp:txXfrm>
        <a:off x="675486" y="892616"/>
        <a:ext cx="1273819" cy="764291"/>
      </dsp:txXfrm>
    </dsp:sp>
    <dsp:sp modelId="{05312F56-9975-452E-83BC-A2440D79FD3A}">
      <dsp:nvSpPr>
        <dsp:cNvPr id="0" name=""/>
        <dsp:cNvSpPr/>
      </dsp:nvSpPr>
      <dsp:spPr>
        <a:xfrm>
          <a:off x="2076688" y="892616"/>
          <a:ext cx="1273819" cy="76429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Univerziteti</a:t>
          </a:r>
          <a:endParaRPr lang="en-US" sz="1200" kern="1200">
            <a:solidFill>
              <a:sysClr val="window" lastClr="FFFFFF"/>
            </a:solidFill>
            <a:latin typeface="Calibri" panose="020F0502020204030204"/>
            <a:ea typeface="+mn-ea"/>
            <a:cs typeface="+mn-cs"/>
          </a:endParaRPr>
        </a:p>
      </dsp:txBody>
      <dsp:txXfrm>
        <a:off x="2076688" y="892616"/>
        <a:ext cx="1273819" cy="764291"/>
      </dsp:txXfrm>
    </dsp:sp>
    <dsp:sp modelId="{04C7DDF2-134D-46E5-A2FC-C358AB50AB61}">
      <dsp:nvSpPr>
        <dsp:cNvPr id="0" name=""/>
        <dsp:cNvSpPr/>
      </dsp:nvSpPr>
      <dsp:spPr>
        <a:xfrm>
          <a:off x="3477890" y="892616"/>
          <a:ext cx="1273819" cy="764291"/>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Škole</a:t>
          </a:r>
          <a:endParaRPr lang="en-US" sz="1200" kern="1200">
            <a:solidFill>
              <a:sysClr val="window" lastClr="FFFFFF"/>
            </a:solidFill>
            <a:latin typeface="Calibri" panose="020F0502020204030204"/>
            <a:ea typeface="+mn-ea"/>
            <a:cs typeface="+mn-cs"/>
          </a:endParaRPr>
        </a:p>
      </dsp:txBody>
      <dsp:txXfrm>
        <a:off x="3477890" y="892616"/>
        <a:ext cx="1273819" cy="764291"/>
      </dsp:txXfrm>
    </dsp:sp>
    <dsp:sp modelId="{596C8919-06D2-4770-BAD9-E8ED4045A87E}">
      <dsp:nvSpPr>
        <dsp:cNvPr id="0" name=""/>
        <dsp:cNvSpPr/>
      </dsp:nvSpPr>
      <dsp:spPr>
        <a:xfrm>
          <a:off x="4879091" y="892616"/>
          <a:ext cx="1273819" cy="764291"/>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Privredna komora</a:t>
          </a:r>
          <a:endParaRPr lang="en-US" sz="1200" kern="1200">
            <a:solidFill>
              <a:sysClr val="window" lastClr="FFFFFF"/>
            </a:solidFill>
            <a:latin typeface="Calibri" panose="020F0502020204030204"/>
            <a:ea typeface="+mn-ea"/>
            <a:cs typeface="+mn-cs"/>
          </a:endParaRPr>
        </a:p>
      </dsp:txBody>
      <dsp:txXfrm>
        <a:off x="4879091" y="892616"/>
        <a:ext cx="1273819" cy="764291"/>
      </dsp:txXfrm>
    </dsp:sp>
    <dsp:sp modelId="{99F1F1B9-0E90-4391-BB85-2E6A6019CA11}">
      <dsp:nvSpPr>
        <dsp:cNvPr id="0" name=""/>
        <dsp:cNvSpPr/>
      </dsp:nvSpPr>
      <dsp:spPr>
        <a:xfrm>
          <a:off x="6280293" y="892616"/>
          <a:ext cx="1273819" cy="76429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Udruženje poslodavaca</a:t>
          </a:r>
          <a:endParaRPr lang="en-US" sz="1200" kern="1200">
            <a:solidFill>
              <a:sysClr val="window" lastClr="FFFFFF"/>
            </a:solidFill>
            <a:latin typeface="Calibri" panose="020F0502020204030204"/>
            <a:ea typeface="+mn-ea"/>
            <a:cs typeface="+mn-cs"/>
          </a:endParaRPr>
        </a:p>
      </dsp:txBody>
      <dsp:txXfrm>
        <a:off x="6280293" y="892616"/>
        <a:ext cx="1273819" cy="764291"/>
      </dsp:txXfrm>
    </dsp:sp>
    <dsp:sp modelId="{FB1A479B-6201-4FAF-A8DF-912D87C033E6}">
      <dsp:nvSpPr>
        <dsp:cNvPr id="0" name=""/>
        <dsp:cNvSpPr/>
      </dsp:nvSpPr>
      <dsp:spPr>
        <a:xfrm>
          <a:off x="2076688" y="1784290"/>
          <a:ext cx="1273819" cy="764291"/>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Javna preduzeća</a:t>
          </a:r>
          <a:endParaRPr lang="en-US" sz="1200" kern="1200">
            <a:solidFill>
              <a:sysClr val="window" lastClr="FFFFFF"/>
            </a:solidFill>
            <a:latin typeface="Calibri" panose="020F0502020204030204"/>
            <a:ea typeface="+mn-ea"/>
            <a:cs typeface="+mn-cs"/>
          </a:endParaRPr>
        </a:p>
      </dsp:txBody>
      <dsp:txXfrm>
        <a:off x="2076688" y="1784290"/>
        <a:ext cx="1273819" cy="764291"/>
      </dsp:txXfrm>
    </dsp:sp>
    <dsp:sp modelId="{11DCA315-295B-41A0-894C-85F001F15AC8}">
      <dsp:nvSpPr>
        <dsp:cNvPr id="0" name=""/>
        <dsp:cNvSpPr/>
      </dsp:nvSpPr>
      <dsp:spPr>
        <a:xfrm>
          <a:off x="3477890" y="1784290"/>
          <a:ext cx="1273819" cy="76429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NVO sektor</a:t>
          </a:r>
          <a:endParaRPr lang="en-US" sz="1200" kern="1200">
            <a:solidFill>
              <a:sysClr val="window" lastClr="FFFFFF"/>
            </a:solidFill>
            <a:latin typeface="Calibri" panose="020F0502020204030204"/>
            <a:ea typeface="+mn-ea"/>
            <a:cs typeface="+mn-cs"/>
          </a:endParaRPr>
        </a:p>
      </dsp:txBody>
      <dsp:txXfrm>
        <a:off x="3477890" y="1784290"/>
        <a:ext cx="1273819" cy="764291"/>
      </dsp:txXfrm>
    </dsp:sp>
    <dsp:sp modelId="{66A42758-3893-4823-8A0A-C99F6BA99570}">
      <dsp:nvSpPr>
        <dsp:cNvPr id="0" name=""/>
        <dsp:cNvSpPr/>
      </dsp:nvSpPr>
      <dsp:spPr>
        <a:xfrm>
          <a:off x="4879091" y="1784290"/>
          <a:ext cx="1273819" cy="764291"/>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Udruženje roditelja</a:t>
          </a:r>
          <a:endParaRPr lang="en-US" sz="1200" kern="1200">
            <a:solidFill>
              <a:sysClr val="window" lastClr="FFFFFF"/>
            </a:solidFill>
            <a:latin typeface="Calibri" panose="020F0502020204030204"/>
            <a:ea typeface="+mn-ea"/>
            <a:cs typeface="+mn-cs"/>
          </a:endParaRPr>
        </a:p>
      </dsp:txBody>
      <dsp:txXfrm>
        <a:off x="4879091" y="1784290"/>
        <a:ext cx="1273819" cy="7642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683383-ECE5-434A-AA2F-E81ADE915EA5}">
      <dsp:nvSpPr>
        <dsp:cNvPr id="0" name=""/>
        <dsp:cNvSpPr/>
      </dsp:nvSpPr>
      <dsp:spPr>
        <a:xfrm>
          <a:off x="2794027" y="464792"/>
          <a:ext cx="2634618" cy="2634618"/>
        </a:xfrm>
        <a:prstGeom prst="blockArc">
          <a:avLst>
            <a:gd name="adj1" fmla="val 9000000"/>
            <a:gd name="adj2" fmla="val 1620000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53CEFF-77A6-489A-A8D4-192E3D454DCC}">
      <dsp:nvSpPr>
        <dsp:cNvPr id="0" name=""/>
        <dsp:cNvSpPr/>
      </dsp:nvSpPr>
      <dsp:spPr>
        <a:xfrm>
          <a:off x="2794027" y="464792"/>
          <a:ext cx="2634618" cy="2634618"/>
        </a:xfrm>
        <a:prstGeom prst="blockArc">
          <a:avLst>
            <a:gd name="adj1" fmla="val 1800000"/>
            <a:gd name="adj2" fmla="val 9000000"/>
            <a:gd name="adj3" fmla="val 463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A3F353C-B3B1-43B1-A098-21E76C34693B}">
      <dsp:nvSpPr>
        <dsp:cNvPr id="0" name=""/>
        <dsp:cNvSpPr/>
      </dsp:nvSpPr>
      <dsp:spPr>
        <a:xfrm>
          <a:off x="2794027" y="464792"/>
          <a:ext cx="2634618" cy="2634618"/>
        </a:xfrm>
        <a:prstGeom prst="blockArc">
          <a:avLst>
            <a:gd name="adj1" fmla="val 16200000"/>
            <a:gd name="adj2" fmla="val 1800000"/>
            <a:gd name="adj3" fmla="val 463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6475D78-5194-4818-93B7-5DBDA836AAD5}">
      <dsp:nvSpPr>
        <dsp:cNvPr id="0" name=""/>
        <dsp:cNvSpPr/>
      </dsp:nvSpPr>
      <dsp:spPr>
        <a:xfrm>
          <a:off x="3304402" y="975168"/>
          <a:ext cx="1613868" cy="161386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sr-Latn-RS" sz="1400" kern="1200"/>
            <a:t>KARIJERNO VOĐENJE I SAVJETOVANJE</a:t>
          </a:r>
          <a:endParaRPr lang="en-US" sz="1400" kern="1200"/>
        </a:p>
      </dsp:txBody>
      <dsp:txXfrm>
        <a:off x="3540747" y="1211513"/>
        <a:ext cx="1141178" cy="1141178"/>
      </dsp:txXfrm>
    </dsp:sp>
    <dsp:sp modelId="{3E995FDF-F81F-4959-BAE2-AEB5775BEDA5}">
      <dsp:nvSpPr>
        <dsp:cNvPr id="0" name=""/>
        <dsp:cNvSpPr/>
      </dsp:nvSpPr>
      <dsp:spPr>
        <a:xfrm>
          <a:off x="3546482" y="-69505"/>
          <a:ext cx="1129707" cy="112970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Jačanje karijerne orijentacije u obrazovnom sistemu Crne Gore</a:t>
          </a:r>
        </a:p>
      </dsp:txBody>
      <dsp:txXfrm>
        <a:off x="3711924" y="95937"/>
        <a:ext cx="798823" cy="798823"/>
      </dsp:txXfrm>
    </dsp:sp>
    <dsp:sp modelId="{4C517EC5-7BF0-44F2-9E7C-0DE20D3838D4}">
      <dsp:nvSpPr>
        <dsp:cNvPr id="0" name=""/>
        <dsp:cNvSpPr/>
      </dsp:nvSpPr>
      <dsp:spPr>
        <a:xfrm>
          <a:off x="4604358" y="1804139"/>
          <a:ext cx="1242678" cy="1242678"/>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Jačanje usluga karijerne orijentacije za nezaposlene i zaposlene</a:t>
          </a:r>
        </a:p>
      </dsp:txBody>
      <dsp:txXfrm>
        <a:off x="4786344" y="1986125"/>
        <a:ext cx="878706" cy="878706"/>
      </dsp:txXfrm>
    </dsp:sp>
    <dsp:sp modelId="{50F6797C-4354-40C8-8238-968534642B9C}">
      <dsp:nvSpPr>
        <dsp:cNvPr id="0" name=""/>
        <dsp:cNvSpPr/>
      </dsp:nvSpPr>
      <dsp:spPr>
        <a:xfrm>
          <a:off x="2375635" y="1804139"/>
          <a:ext cx="1242678" cy="1242678"/>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Obezbjeđenje kvaliteta</a:t>
          </a:r>
          <a:r>
            <a:rPr lang="sr-Latn-RS" sz="1100" kern="1200"/>
            <a:t> i informisanosti</a:t>
          </a:r>
          <a:r>
            <a:rPr lang="en-US" sz="1100" kern="1200"/>
            <a:t> </a:t>
          </a:r>
          <a:r>
            <a:rPr lang="sr-Latn-RS" sz="1100" kern="1200"/>
            <a:t>o </a:t>
          </a:r>
          <a:r>
            <a:rPr lang="en-US" sz="1100" kern="1200"/>
            <a:t>karijernom vođenju i savjetovanju</a:t>
          </a:r>
        </a:p>
      </dsp:txBody>
      <dsp:txXfrm>
        <a:off x="2557621" y="1986125"/>
        <a:ext cx="878706" cy="87870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7933B-B113-4B84-A160-5E9F77E7559B}">
      <dsp:nvSpPr>
        <dsp:cNvPr id="0" name=""/>
        <dsp:cNvSpPr/>
      </dsp:nvSpPr>
      <dsp:spPr>
        <a:xfrm>
          <a:off x="4159" y="0"/>
          <a:ext cx="547501" cy="3535680"/>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Ministarstvo prosvjete, nauke i inovacija</a:t>
          </a:r>
          <a:endParaRPr lang="en-US" sz="700" kern="1200">
            <a:solidFill>
              <a:sysClr val="window" lastClr="FFFFFF"/>
            </a:solidFill>
            <a:latin typeface="Calibri" panose="020F0502020204030204"/>
            <a:ea typeface="+mn-ea"/>
            <a:cs typeface="+mn-cs"/>
          </a:endParaRPr>
        </a:p>
      </dsp:txBody>
      <dsp:txXfrm>
        <a:off x="4159" y="0"/>
        <a:ext cx="547501" cy="3535680"/>
      </dsp:txXfrm>
    </dsp:sp>
    <dsp:sp modelId="{C76F1909-7EBF-438A-9BFB-60DCE44F42CD}">
      <dsp:nvSpPr>
        <dsp:cNvPr id="0" name=""/>
        <dsp:cNvSpPr/>
      </dsp:nvSpPr>
      <dsp:spPr>
        <a:xfrm>
          <a:off x="643640" y="0"/>
          <a:ext cx="547501" cy="3535680"/>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Ministarstvo rada, zapošljavanja i socijalnog dijaloga</a:t>
          </a:r>
          <a:endParaRPr lang="en-US" sz="700" kern="1200">
            <a:solidFill>
              <a:sysClr val="window" lastClr="FFFFFF"/>
            </a:solidFill>
            <a:latin typeface="Calibri" panose="020F0502020204030204"/>
            <a:ea typeface="+mn-ea"/>
            <a:cs typeface="+mn-cs"/>
          </a:endParaRPr>
        </a:p>
      </dsp:txBody>
      <dsp:txXfrm>
        <a:off x="643640" y="0"/>
        <a:ext cx="547501" cy="3535680"/>
      </dsp:txXfrm>
    </dsp:sp>
    <dsp:sp modelId="{4ABEDF25-7559-46F4-AD67-D20820646401}">
      <dsp:nvSpPr>
        <dsp:cNvPr id="0" name=""/>
        <dsp:cNvSpPr/>
      </dsp:nvSpPr>
      <dsp:spPr>
        <a:xfrm>
          <a:off x="1283122" y="0"/>
          <a:ext cx="547501" cy="3535680"/>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Ministarstvo socijalnog staranja, brige o porodici i demografije</a:t>
          </a:r>
          <a:endParaRPr lang="en-US" sz="700" kern="1200">
            <a:solidFill>
              <a:sysClr val="window" lastClr="FFFFFF"/>
            </a:solidFill>
            <a:latin typeface="Calibri" panose="020F0502020204030204"/>
            <a:ea typeface="+mn-ea"/>
            <a:cs typeface="+mn-cs"/>
          </a:endParaRPr>
        </a:p>
      </dsp:txBody>
      <dsp:txXfrm>
        <a:off x="1283122" y="0"/>
        <a:ext cx="547501" cy="3535680"/>
      </dsp:txXfrm>
    </dsp:sp>
    <dsp:sp modelId="{4C54D438-6C05-4CDF-B90B-F14E06811B78}">
      <dsp:nvSpPr>
        <dsp:cNvPr id="0" name=""/>
        <dsp:cNvSpPr/>
      </dsp:nvSpPr>
      <dsp:spPr>
        <a:xfrm>
          <a:off x="1922604" y="0"/>
          <a:ext cx="547501" cy="3535680"/>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Zavod za školstvo</a:t>
          </a:r>
          <a:endParaRPr lang="en-US" sz="700" kern="1200">
            <a:solidFill>
              <a:sysClr val="window" lastClr="FFFFFF"/>
            </a:solidFill>
            <a:latin typeface="Calibri" panose="020F0502020204030204"/>
            <a:ea typeface="+mn-ea"/>
            <a:cs typeface="+mn-cs"/>
          </a:endParaRPr>
        </a:p>
      </dsp:txBody>
      <dsp:txXfrm>
        <a:off x="1922604" y="0"/>
        <a:ext cx="547501" cy="3535680"/>
      </dsp:txXfrm>
    </dsp:sp>
    <dsp:sp modelId="{C1B23770-7488-4058-B9DB-82815D121B6C}">
      <dsp:nvSpPr>
        <dsp:cNvPr id="0" name=""/>
        <dsp:cNvSpPr/>
      </dsp:nvSpPr>
      <dsp:spPr>
        <a:xfrm>
          <a:off x="2562085" y="0"/>
          <a:ext cx="547501" cy="3535680"/>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Centar za stručno obrazovanje</a:t>
          </a:r>
          <a:endParaRPr lang="en-US" sz="700" kern="1200">
            <a:solidFill>
              <a:sysClr val="window" lastClr="FFFFFF"/>
            </a:solidFill>
            <a:latin typeface="Calibri" panose="020F0502020204030204"/>
            <a:ea typeface="+mn-ea"/>
            <a:cs typeface="+mn-cs"/>
          </a:endParaRPr>
        </a:p>
      </dsp:txBody>
      <dsp:txXfrm>
        <a:off x="2562085" y="0"/>
        <a:ext cx="547501" cy="3535680"/>
      </dsp:txXfrm>
    </dsp:sp>
    <dsp:sp modelId="{D8E84600-B79F-4C77-ADAD-A20AA4E4FEF6}">
      <dsp:nvSpPr>
        <dsp:cNvPr id="0" name=""/>
        <dsp:cNvSpPr/>
      </dsp:nvSpPr>
      <dsp:spPr>
        <a:xfrm>
          <a:off x="3201567" y="0"/>
          <a:ext cx="547501" cy="3535680"/>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Zavod za zapošljavanje</a:t>
          </a:r>
          <a:endParaRPr lang="en-US" sz="700" kern="1200">
            <a:solidFill>
              <a:sysClr val="window" lastClr="FFFFFF"/>
            </a:solidFill>
            <a:latin typeface="Calibri" panose="020F0502020204030204"/>
            <a:ea typeface="+mn-ea"/>
            <a:cs typeface="+mn-cs"/>
          </a:endParaRPr>
        </a:p>
      </dsp:txBody>
      <dsp:txXfrm>
        <a:off x="3201567" y="0"/>
        <a:ext cx="547501" cy="3535680"/>
      </dsp:txXfrm>
    </dsp:sp>
    <dsp:sp modelId="{3CBCA28C-931B-49B1-A65C-D7E382C48E7E}">
      <dsp:nvSpPr>
        <dsp:cNvPr id="0" name=""/>
        <dsp:cNvSpPr/>
      </dsp:nvSpPr>
      <dsp:spPr>
        <a:xfrm>
          <a:off x="3841049" y="0"/>
          <a:ext cx="547501" cy="3535680"/>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Univerziteti</a:t>
          </a:r>
          <a:endParaRPr lang="en-US" sz="700" kern="1200">
            <a:solidFill>
              <a:sysClr val="window" lastClr="FFFFFF"/>
            </a:solidFill>
            <a:latin typeface="Calibri" panose="020F0502020204030204"/>
            <a:ea typeface="+mn-ea"/>
            <a:cs typeface="+mn-cs"/>
          </a:endParaRPr>
        </a:p>
      </dsp:txBody>
      <dsp:txXfrm>
        <a:off x="3841049" y="0"/>
        <a:ext cx="547501" cy="3535680"/>
      </dsp:txXfrm>
    </dsp:sp>
    <dsp:sp modelId="{FF98882D-0A3B-44F8-AE40-14600ABD5793}">
      <dsp:nvSpPr>
        <dsp:cNvPr id="0" name=""/>
        <dsp:cNvSpPr/>
      </dsp:nvSpPr>
      <dsp:spPr>
        <a:xfrm>
          <a:off x="4480530" y="0"/>
          <a:ext cx="547501" cy="3535680"/>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Škole</a:t>
          </a:r>
          <a:endParaRPr lang="en-US" sz="700" kern="1200">
            <a:solidFill>
              <a:sysClr val="window" lastClr="FFFFFF"/>
            </a:solidFill>
            <a:latin typeface="Calibri" panose="020F0502020204030204"/>
            <a:ea typeface="+mn-ea"/>
            <a:cs typeface="+mn-cs"/>
          </a:endParaRPr>
        </a:p>
      </dsp:txBody>
      <dsp:txXfrm>
        <a:off x="4480530" y="0"/>
        <a:ext cx="547501" cy="3535680"/>
      </dsp:txXfrm>
    </dsp:sp>
    <dsp:sp modelId="{73ADFAFA-409C-4CB3-912B-4FD8F9306553}">
      <dsp:nvSpPr>
        <dsp:cNvPr id="0" name=""/>
        <dsp:cNvSpPr/>
      </dsp:nvSpPr>
      <dsp:spPr>
        <a:xfrm>
          <a:off x="5120012" y="0"/>
          <a:ext cx="547501" cy="3535680"/>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Privredna komora</a:t>
          </a:r>
          <a:endParaRPr lang="en-US" sz="700" kern="1200">
            <a:solidFill>
              <a:sysClr val="window" lastClr="FFFFFF"/>
            </a:solidFill>
            <a:latin typeface="Calibri" panose="020F0502020204030204"/>
            <a:ea typeface="+mn-ea"/>
            <a:cs typeface="+mn-cs"/>
          </a:endParaRPr>
        </a:p>
      </dsp:txBody>
      <dsp:txXfrm>
        <a:off x="5120012" y="0"/>
        <a:ext cx="547501" cy="3535680"/>
      </dsp:txXfrm>
    </dsp:sp>
    <dsp:sp modelId="{42463C98-04A1-4EB9-8FB9-793360A427DA}">
      <dsp:nvSpPr>
        <dsp:cNvPr id="0" name=""/>
        <dsp:cNvSpPr/>
      </dsp:nvSpPr>
      <dsp:spPr>
        <a:xfrm>
          <a:off x="5759494" y="0"/>
          <a:ext cx="547501" cy="3535680"/>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Udruženje poslodavaca</a:t>
          </a:r>
          <a:endParaRPr lang="en-US" sz="700" kern="1200">
            <a:solidFill>
              <a:sysClr val="window" lastClr="FFFFFF"/>
            </a:solidFill>
            <a:latin typeface="Calibri" panose="020F0502020204030204"/>
            <a:ea typeface="+mn-ea"/>
            <a:cs typeface="+mn-cs"/>
          </a:endParaRPr>
        </a:p>
      </dsp:txBody>
      <dsp:txXfrm>
        <a:off x="5759494" y="0"/>
        <a:ext cx="547501" cy="3535680"/>
      </dsp:txXfrm>
    </dsp:sp>
    <dsp:sp modelId="{76F2F891-6916-4354-A5B6-66FFB06AC422}">
      <dsp:nvSpPr>
        <dsp:cNvPr id="0" name=""/>
        <dsp:cNvSpPr/>
      </dsp:nvSpPr>
      <dsp:spPr>
        <a:xfrm>
          <a:off x="6398976" y="0"/>
          <a:ext cx="547501" cy="3535680"/>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Javna preduzeća</a:t>
          </a:r>
          <a:endParaRPr lang="en-US" sz="700" kern="1200">
            <a:solidFill>
              <a:sysClr val="window" lastClr="FFFFFF"/>
            </a:solidFill>
            <a:latin typeface="Calibri" panose="020F0502020204030204"/>
            <a:ea typeface="+mn-ea"/>
            <a:cs typeface="+mn-cs"/>
          </a:endParaRPr>
        </a:p>
      </dsp:txBody>
      <dsp:txXfrm>
        <a:off x="6398976" y="0"/>
        <a:ext cx="547501" cy="3535680"/>
      </dsp:txXfrm>
    </dsp:sp>
    <dsp:sp modelId="{CC20F47C-904C-466C-8F03-BF0552533E3F}">
      <dsp:nvSpPr>
        <dsp:cNvPr id="0" name=""/>
        <dsp:cNvSpPr/>
      </dsp:nvSpPr>
      <dsp:spPr>
        <a:xfrm>
          <a:off x="7038457" y="0"/>
          <a:ext cx="547501" cy="3535680"/>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NVO sektor</a:t>
          </a:r>
          <a:endParaRPr lang="en-US" sz="700" kern="1200">
            <a:solidFill>
              <a:sysClr val="window" lastClr="FFFFFF"/>
            </a:solidFill>
            <a:latin typeface="Calibri" panose="020F0502020204030204"/>
            <a:ea typeface="+mn-ea"/>
            <a:cs typeface="+mn-cs"/>
          </a:endParaRPr>
        </a:p>
      </dsp:txBody>
      <dsp:txXfrm>
        <a:off x="7038457" y="0"/>
        <a:ext cx="547501" cy="3535680"/>
      </dsp:txXfrm>
    </dsp:sp>
    <dsp:sp modelId="{DCBFB8B0-5F36-451D-BCF2-B385BD824A93}">
      <dsp:nvSpPr>
        <dsp:cNvPr id="0" name=""/>
        <dsp:cNvSpPr/>
      </dsp:nvSpPr>
      <dsp:spPr>
        <a:xfrm>
          <a:off x="7677939" y="0"/>
          <a:ext cx="547501" cy="3535680"/>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sr-Latn-RS" sz="700" kern="1200">
              <a:solidFill>
                <a:sysClr val="window" lastClr="FFFFFF"/>
              </a:solidFill>
              <a:latin typeface="Calibri" panose="020F0502020204030204"/>
              <a:ea typeface="+mn-ea"/>
              <a:cs typeface="+mn-cs"/>
            </a:rPr>
            <a:t>Udruženje roditelja</a:t>
          </a:r>
          <a:endParaRPr lang="en-US" sz="700" kern="1200">
            <a:solidFill>
              <a:sysClr val="window" lastClr="FFFFFF"/>
            </a:solidFill>
            <a:latin typeface="Calibri" panose="020F0502020204030204"/>
            <a:ea typeface="+mn-ea"/>
            <a:cs typeface="+mn-cs"/>
          </a:endParaRPr>
        </a:p>
      </dsp:txBody>
      <dsp:txXfrm>
        <a:off x="7677939" y="0"/>
        <a:ext cx="547501" cy="35356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1C79B2-5DC3-4A51-9E41-E13512EACF98}">
      <dsp:nvSpPr>
        <dsp:cNvPr id="0" name=""/>
        <dsp:cNvSpPr/>
      </dsp:nvSpPr>
      <dsp:spPr>
        <a:xfrm>
          <a:off x="0" y="0"/>
          <a:ext cx="6923913" cy="536638"/>
        </a:xfrm>
        <a:prstGeom prst="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Godišnji izvještaj o sprovođenju Akcionog plana </a:t>
          </a:r>
        </a:p>
      </dsp:txBody>
      <dsp:txXfrm>
        <a:off x="15718" y="15718"/>
        <a:ext cx="6369254" cy="505202"/>
      </dsp:txXfrm>
    </dsp:sp>
    <dsp:sp modelId="{1F42AF7B-90C4-4B39-B4B2-6B575B3F2070}">
      <dsp:nvSpPr>
        <dsp:cNvPr id="0" name=""/>
        <dsp:cNvSpPr/>
      </dsp:nvSpPr>
      <dsp:spPr>
        <a:xfrm>
          <a:off x="1221866" y="655891"/>
          <a:ext cx="6923913" cy="536638"/>
        </a:xfrm>
        <a:prstGeom prst="rect">
          <a:avLst/>
        </a:prstGeom>
        <a:solidFill>
          <a:srgbClr val="4472C4">
            <a:hueOff val="-7353344"/>
            <a:satOff val="-10228"/>
            <a:lumOff val="-3922"/>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Završni izvještaj o sprovođenju strateškog dokumenta</a:t>
          </a:r>
        </a:p>
      </dsp:txBody>
      <dsp:txXfrm>
        <a:off x="1237584" y="671609"/>
        <a:ext cx="5321794" cy="505202"/>
      </dsp:txXfrm>
    </dsp:sp>
    <dsp:sp modelId="{65521729-9745-40B5-A0F3-A5277B186138}">
      <dsp:nvSpPr>
        <dsp:cNvPr id="0" name=""/>
        <dsp:cNvSpPr/>
      </dsp:nvSpPr>
      <dsp:spPr>
        <a:xfrm>
          <a:off x="6575097" y="421857"/>
          <a:ext cx="348815" cy="348815"/>
        </a:xfrm>
        <a:prstGeom prst="rightArrow">
          <a:avLst>
            <a:gd name="adj1" fmla="val 60000"/>
            <a:gd name="adj2" fmla="val 50000"/>
          </a:avLst>
        </a:prstGeom>
        <a:solidFill>
          <a:srgbClr val="4472C4">
            <a:hueOff val="0"/>
            <a:satOff val="0"/>
            <a:lumOff val="0"/>
            <a:alphaOff val="0"/>
          </a:srgb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a:off x="6575097" y="491620"/>
        <a:ext cx="244171" cy="20928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361B06-5896-4994-8A03-99E9BFF7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15960</Words>
  <Characters>90977</Characters>
  <Application>Microsoft Office Word</Application>
  <DocSecurity>0</DocSecurity>
  <Lines>758</Lines>
  <Paragraphs>213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STRATEGIJA KARIJERNOG VOĐENJA I SAVJETOVANJA 2025-2030</vt:lpstr>
      <vt:lpstr>STRATEGIJA KARIJERNOG VOĐENJA I SAVJETOVANJA 2025-2030</vt:lpstr>
    </vt:vector>
  </TitlesOfParts>
  <Company/>
  <LinksUpToDate>false</LinksUpToDate>
  <CharactersWithSpaces>106724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KARIJERNOG VOĐENJA I SAVJETOVANJA 2025-2030</dc:title>
  <dc:subject>RADNA VERZIJA</dc:subject>
  <dc:creator>Zeljko Vukcevic</dc:creator>
  <cp:keywords/>
  <dc:description/>
  <cp:lastModifiedBy>PR MPNI</cp:lastModifiedBy>
  <cp:revision>2</cp:revision>
  <dcterms:created xsi:type="dcterms:W3CDTF">2025-06-27T06:19:00Z</dcterms:created>
  <dcterms:modified xsi:type="dcterms:W3CDTF">2025-06-27T06:19:00Z</dcterms:modified>
</cp:coreProperties>
</file>