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219" w:rsidRPr="002D4334" w:rsidRDefault="006F0219" w:rsidP="006F0219">
      <w:pPr>
        <w:pStyle w:val="N01X"/>
        <w:rPr>
          <w:rFonts w:asciiTheme="majorHAnsi" w:hAnsiTheme="majorHAnsi"/>
        </w:rPr>
      </w:pPr>
      <w:r w:rsidRPr="002D4334">
        <w:rPr>
          <w:rFonts w:asciiTheme="majorHAnsi" w:hAnsiTheme="majorHAnsi"/>
        </w:rPr>
        <w:t>PROGRAM DRUGOG STRUČNOG ISPITA U OBLASTI OBEZBJEĐENJA PRITVORENIH I OSUĐENIH LICA</w:t>
      </w:r>
    </w:p>
    <w:p w:rsidR="006F0219" w:rsidRPr="002D4334" w:rsidRDefault="006F0219" w:rsidP="006F0219">
      <w:pPr>
        <w:pStyle w:val="N01X"/>
        <w:rPr>
          <w:rFonts w:asciiTheme="majorHAnsi" w:hAnsiTheme="majorHAnsi"/>
        </w:rPr>
      </w:pPr>
      <w:r w:rsidRPr="002D4334">
        <w:rPr>
          <w:rFonts w:asciiTheme="majorHAnsi" w:hAnsiTheme="majorHAnsi"/>
        </w:rPr>
        <w:t>1. Izvršenje kazni zatvora, novčane kazne i mjera bezbjednosti</w:t>
      </w:r>
    </w:p>
    <w:p w:rsidR="006F0219" w:rsidRPr="002D4334" w:rsidRDefault="006F0219" w:rsidP="006F0219">
      <w:pPr>
        <w:pStyle w:val="T30X"/>
        <w:rPr>
          <w:rFonts w:asciiTheme="majorHAnsi" w:hAnsiTheme="majorHAnsi"/>
          <w:sz w:val="24"/>
          <w:szCs w:val="24"/>
        </w:rPr>
      </w:pPr>
      <w:r w:rsidRPr="002D4334">
        <w:rPr>
          <w:rFonts w:asciiTheme="majorHAnsi" w:hAnsiTheme="majorHAnsi"/>
          <w:sz w:val="24"/>
          <w:szCs w:val="24"/>
        </w:rPr>
        <w:t>Načela izvršenja kazni zatvora, novčane kazne i mjera bezbjednosti (načelo humanosti i zabrana diskriminacije); Prava i ograničenje prava pritvorenih i osuđenih lica (zatvorenika); Pravo zatvorenika na pritužbu; Nadležnost za izvršenje i pristupanje izvršenju; Upućivanje na izvršenje, uputni akt, naredba i potjernica; Izvršenje kazni zatvora nakon izvršenja mjere bezbjednosti; Odlaganje izvršenja kazni zatvora, zahtjev za odlaganje izvršenja kazni zatvora i žalba na rješenje o odlaganju kazni zatvora; Prijem u zatvor; Smještaj u zatvoru; Ispitivanje ličnosti zatvorenika i program tretmana i reintegracije zatvorenika; Pogodnosti tokom izdržavanja kazne zatvora; Prekid izvršenja kazni zatvora; Prostorije i uslovi za boravak zatvorenika; Odjeća i ishrana zatvorenika; Zdravstvena zaštita za</w:t>
      </w:r>
      <w:bookmarkStart w:id="0" w:name="_GoBack"/>
      <w:bookmarkEnd w:id="0"/>
      <w:r w:rsidRPr="002D4334">
        <w:rPr>
          <w:rFonts w:asciiTheme="majorHAnsi" w:hAnsiTheme="majorHAnsi"/>
          <w:sz w:val="24"/>
          <w:szCs w:val="24"/>
        </w:rPr>
        <w:t>tvorenika i zatvorenica; Rad zatvorenika i naknada za rad; Stručna obuka i obrazovanje zatvorenika; Pravo na vjerski život u zatvoru; Sportske, rekreativne, kulturne i druge aktivnosti; Pravo zatvorenika na posjete, dopisivanje i prijem i slanje pošiljki; Posebne mjere predostrožnosti; Priprema za otpuštanje, otpuštanje i pomoć nakon otpuštanja zatvorenika; Disciplinska i materijalna odgovornost zatvorenika (osnov disciplinske odgovornosti, disciplniski prekršaji, disciplinske mjere, disciplinski postupak, pravo na žalbu, izvršenje, odlaganje i prekid izvršenja disciplinskih mjera); Izvršenje kazne zatvora u prostorijama u kojima zatvorenik stanuje (nadležnost za izvršenje, napuštanje prostorija u kojima osuđeni stanuje, obavještavanje suda, ukidanje rješenja kojim je odobreno napuštanje prostorije); Nadležnost za izvršenje novčane kazne; Izvršenje mjera bezbjednosti (obavezno psihijatrijsko liječenje i čuvanje u zdravstvenoj ustanovi, obavezno psihijatrijsko liječenje na slobodi, obavezno liječenje alkoholičara i obavezno liječenje narkomana; zabrana vršenja poziva, djelatnosti ili dužnosti, zabrana upravljanja motornim vozilom, oduzimanje predmeta, protjerivanje stranca iz zemlje, zabrana približavanja, udaljenje iz stana ili drugog prostora za stanovanje); Kontrola izvršenja (nadležnost i obaveze ovlašćenog službenog lica, mjere za otklanjanje utvrđenih nepravilnosti, nadležnost Jedinice za uslovnu slobodu).</w:t>
      </w:r>
    </w:p>
    <w:p w:rsidR="006F0219" w:rsidRPr="002D4334" w:rsidRDefault="006F0219" w:rsidP="006F0219">
      <w:pPr>
        <w:pStyle w:val="N01X"/>
        <w:rPr>
          <w:rFonts w:asciiTheme="majorHAnsi" w:hAnsiTheme="majorHAnsi"/>
        </w:rPr>
      </w:pPr>
      <w:r w:rsidRPr="002D4334">
        <w:rPr>
          <w:rFonts w:asciiTheme="majorHAnsi" w:hAnsiTheme="majorHAnsi"/>
        </w:rPr>
        <w:t>2. Vršenje obezbjeđenja</w:t>
      </w:r>
    </w:p>
    <w:p w:rsidR="006F0219" w:rsidRPr="002D4334" w:rsidRDefault="006F0219" w:rsidP="006F0219">
      <w:pPr>
        <w:pStyle w:val="T30X"/>
        <w:rPr>
          <w:rFonts w:asciiTheme="majorHAnsi" w:hAnsiTheme="majorHAnsi"/>
          <w:sz w:val="24"/>
          <w:szCs w:val="24"/>
        </w:rPr>
      </w:pPr>
      <w:r w:rsidRPr="002D4334">
        <w:rPr>
          <w:rFonts w:asciiTheme="majorHAnsi" w:hAnsiTheme="majorHAnsi"/>
          <w:sz w:val="24"/>
          <w:szCs w:val="24"/>
        </w:rPr>
        <w:t>Vrste ovlašćenja (izdavanje upozorenja, usmene naredbe, sredstva prinude, fizička snaga, ručni sprej sa nadražujućim dejstvom, službena palica, električni paralizator, sredstva za vezivanje, uređaj za izbacivanje mlazeva vode, hemijska sredstva, službeni psi, vatreno oružje, evidencija i izvještaj o upotrebi sredstava prinude); Uniforma, zvanja i oznake zvanja (vrste uniformi, izgled i djelovi uniformi, vrste zvanja službenika obezbjeđenja, uslovi za sticanje zvanja službenika obezbjeđenja, vrste oznaka službenika obezbjeđenja); Organizacija vršenja poslova obezbjeđenja (nadležnosti starješine Zavoda za izvršenje krivičnih sankcija u okviru poslova obezbjeđenja, nadležnosti pomoćnika starješine Zavoda za izvršenje krivičnih sankcija u okviru poslova obezbjeđenja, nadležnosti rukovodilaca organizacionih jedinica Zavoda za izvršenje krivičnih sankcija u okviru poslova obezbjeđenja, nadležnosti zapovjednika zatvorske policije, nadležnosti nadzornika zatvorske policije); Obaveze službenika obezbjeđenja (opšte dužnosti, opšte zabrane); Spoljašnje obezbjeđenje (vrste spoljašnjeg obezbjeđenja, posebne dužnosti, posebne zabrane); Unutrašnje obezbjeđenje (vrste unutrašnjeg obezbjeđenja, posebne dužnosti); Pretres lica i prostorija (pretres zatvorenika, pretres prostorija u kojima borave zatvorenici, pretres lica koja dolaze u posjete, pretres stvari); Sprovođenje (vrste sprovođenja, dužnosti šefa sprovodničke grupe, dužnosti vođe sprovodničke grupe, dužnosti sprovodnika, izdavanje naloga za sprovođenje i izvještaj o sprovođenju); Naoružanje i oprema (vrste naoružanja, sredstva veze, motorna vozila, sredstva posebne opreme); Postupanje službenika obezbjeđenja u incidentnim situacijama (postupanje u slučaju izvršenja krivičnog djela od strane zatvorenika, postupanje u slučaju smrti zatvorenika, postupanje u slučaju bjekstva zatvorenika); Evidencije i pismena (evidencije o službenim radnjama i postupanjima, službene zabilješke, izvještaji i prijave).</w:t>
      </w:r>
    </w:p>
    <w:p w:rsidR="006F0219" w:rsidRPr="002D4334" w:rsidRDefault="006F0219" w:rsidP="006F0219">
      <w:pPr>
        <w:pStyle w:val="N01X"/>
        <w:rPr>
          <w:rFonts w:asciiTheme="majorHAnsi" w:hAnsiTheme="majorHAnsi"/>
        </w:rPr>
      </w:pPr>
      <w:proofErr w:type="gramStart"/>
      <w:r w:rsidRPr="002D4334">
        <w:rPr>
          <w:rFonts w:asciiTheme="majorHAnsi" w:hAnsiTheme="majorHAnsi"/>
        </w:rPr>
        <w:t>3. Postupanje sa</w:t>
      </w:r>
      <w:proofErr w:type="gramEnd"/>
      <w:r w:rsidRPr="002D4334">
        <w:rPr>
          <w:rFonts w:asciiTheme="majorHAnsi" w:hAnsiTheme="majorHAnsi"/>
        </w:rPr>
        <w:t xml:space="preserve"> pritvorenim licima</w:t>
      </w:r>
    </w:p>
    <w:p w:rsidR="006F0219" w:rsidRPr="002D4334" w:rsidRDefault="006F0219" w:rsidP="006F0219">
      <w:pPr>
        <w:pStyle w:val="T30X"/>
        <w:rPr>
          <w:rFonts w:asciiTheme="majorHAnsi" w:hAnsiTheme="majorHAnsi"/>
          <w:sz w:val="24"/>
          <w:szCs w:val="24"/>
        </w:rPr>
      </w:pPr>
      <w:r w:rsidRPr="002D4334">
        <w:rPr>
          <w:rFonts w:asciiTheme="majorHAnsi" w:hAnsiTheme="majorHAnsi"/>
          <w:sz w:val="24"/>
          <w:szCs w:val="24"/>
        </w:rPr>
        <w:lastRenderedPageBreak/>
        <w:t>Normativni okvir za postupanje sa pritvorenim licima (zakoni, podzakonski propisi, izvori međunarodnog prava za postupanje sa pritvorenim licima); Prijem u zatvor i raspoređivanje (rješenje o određivanju pritvora, nalog za prijem, utvrđivanje identiteta, pretres i oduzimanje predmeta, raspoređivanje i upis u matičnu knjigu pritvorenih lica); Smještaj (vrste smještaja, uslovi smještaja); Ishrana (kalorična vrijednost dnevnog obroka i način provjere kvaliteta hrane, pravo na ishranu u skladu sa zdravstvenim i vjerskim potrebama, postupanje u slučaju odbijanja hrane, pravo na sopstvenu ishranu); Zdravstvena zaštita (redovni zdravstveni pregled, dijeljenje terapije, posebni oblici zdravstvene zaštite); Higijensko - tehnička zaštita (lična higijena pritvorenih lica, higijena prostorija u kojima borave pritvorenici, kontrola i nadzor održavanje higijene); Šetnja na otvorenom prostoru (prostor određen za šetnju, vrijeme trajanja šetnje i način na koji se vrši šetnja, nadzor od strane službenika obezbjeđenja); Dnevni raspored (raspored i satnica dnevnih aktivnosti pritvorenih lica); Rad i organizacija slobodnog vremena (uslovi i način organizacije rada pritvorenih lica, uslovi i način organizacije aktivnosti u slobodno vrijeme); Komunikacija sa spoljnim svijetom (vrste posjeta, pravo na posjete, odobrenje posjeta, nadzor posjeta, dopisivanje i kontrola, telefoniranje, kontakt sa braniocem); Prijem pošiljki (način i procedura prijema pošiljki, prijem novca); Disciplinska i materijalna odgovornost (osnov disciplinske odgovornosti, disciplinski prekršaji, disciplinske mjere, disciplinski postupak, izvršenje disciplinske mjere); Zaštita prava pritvorenih lica (pravo na pritužbu, žalbeni raport, molbeni raport, pravo na žalbu, nadzor nad izvršenjem pritvora); Otpuštanje i smrt pritvorenog lica (osnov i postupak otpuštanja, smrt pritvorenog lica).</w:t>
      </w:r>
    </w:p>
    <w:p w:rsidR="006F0219" w:rsidRPr="002D4334" w:rsidRDefault="006F0219" w:rsidP="006F0219">
      <w:pPr>
        <w:pStyle w:val="N01X"/>
        <w:rPr>
          <w:rFonts w:asciiTheme="majorHAnsi" w:hAnsiTheme="majorHAnsi"/>
        </w:rPr>
      </w:pPr>
      <w:r w:rsidRPr="002D4334">
        <w:rPr>
          <w:rFonts w:asciiTheme="majorHAnsi" w:hAnsiTheme="majorHAnsi"/>
        </w:rPr>
        <w:t>4. Upotreba sredstava prinude i poznavanje borilačkih vještina</w:t>
      </w:r>
    </w:p>
    <w:p w:rsidR="006F0219" w:rsidRPr="002D4334" w:rsidRDefault="006F0219" w:rsidP="006F0219">
      <w:pPr>
        <w:pStyle w:val="T30X"/>
        <w:rPr>
          <w:rFonts w:asciiTheme="majorHAnsi" w:hAnsiTheme="majorHAnsi"/>
          <w:sz w:val="24"/>
          <w:szCs w:val="24"/>
        </w:rPr>
      </w:pPr>
      <w:r w:rsidRPr="002D4334">
        <w:rPr>
          <w:rFonts w:asciiTheme="majorHAnsi" w:hAnsiTheme="majorHAnsi"/>
          <w:sz w:val="24"/>
          <w:szCs w:val="24"/>
        </w:rPr>
        <w:t>Praktična provjera</w:t>
      </w:r>
    </w:p>
    <w:p w:rsidR="006F0219" w:rsidRPr="002D4334" w:rsidRDefault="006F0219" w:rsidP="006F0219">
      <w:pPr>
        <w:pStyle w:val="N01X"/>
        <w:rPr>
          <w:rFonts w:asciiTheme="majorHAnsi" w:hAnsiTheme="majorHAnsi"/>
        </w:rPr>
      </w:pPr>
      <w:r w:rsidRPr="002D4334">
        <w:rPr>
          <w:rFonts w:asciiTheme="majorHAnsi" w:hAnsiTheme="majorHAnsi"/>
        </w:rPr>
        <w:t>5. Penologija i penološka andragogija</w:t>
      </w:r>
    </w:p>
    <w:p w:rsidR="006F0219" w:rsidRPr="002D4334" w:rsidRDefault="006F0219" w:rsidP="006F0219">
      <w:pPr>
        <w:pStyle w:val="T30X"/>
        <w:rPr>
          <w:rFonts w:asciiTheme="majorHAnsi" w:hAnsiTheme="majorHAnsi"/>
          <w:sz w:val="24"/>
          <w:szCs w:val="24"/>
        </w:rPr>
      </w:pPr>
      <w:r w:rsidRPr="002D4334">
        <w:rPr>
          <w:rFonts w:asciiTheme="majorHAnsi" w:hAnsiTheme="majorHAnsi"/>
          <w:sz w:val="24"/>
          <w:szCs w:val="24"/>
        </w:rPr>
        <w:t>Pojam penologije (predmet penologije i pojam sistema izvršenja krivičnih sankcija); Sistem izvršenja kazni zatvora (istorijski presjek izvršenja kazni zatvora, sistem zajedničkog zatvora, ćelijski sistem, sistem progresivnog zatvora, klasifikacioni sistem); Prevaspitanje i resocijalizacija (pojam prevaspitanja i resocijalizacije, izučavanje ličnosti osuđenog, klasifikacija osuđenih lica); Kategorizacija zatvora (zatvori prema dužini kazne, zatvori zatvorenog, poluotvorenog i otvorenog tipa; organizacija Zavoda za izvršenje krivičnih sankcija, služba za tretman, služba obezbjeđenja, služba za zdravstvenu zaštitu, služba za obuku kadrova); Tretman osuđenih lica (princip tretmana, individualni oblik tretmana, grupni oblik tretmana, obrazovanje osuđenih lica, rad kao oblik tretmana, okupaciona i rekreativna terapija, tretman maloljetnika, postpenalni tretman); Osuđenička zajednica (pojam zatvorske zajednice, osuđenička subkultura i osuđenički neformalni sistem, frustracije i deprivacija osuđenih lica, tipovi osuđeničkih uloga, osuđenički konflikti); Položaj i prava osuđenih lica (opšte pretpostavke položaja osuđenika, pravo na čovječno postupanje, pravo na odgovarajući smještaj ishranu i odjeću, pravo na rad, pravo na zdravstvenu zaštitu, pravo na ispovijedanje vjere, pravo na komunikaciju sa spoljnim svijetom, pravo na žalbe i pritužbe, posebna prava osuđenica, disciplinska i materijalna odgovornost osuđenih lica); Pojam i predmet penološke andragogije (odnos penološke andragogije sa drugim naukama, društvene i teorijske osnove penološke andragogije, društvena reakcija na kriminalitet, shvatanje ličnosti u kriminalitetu).</w:t>
      </w:r>
    </w:p>
    <w:p w:rsidR="006F0219" w:rsidRPr="002D4334" w:rsidRDefault="006F0219" w:rsidP="006F0219">
      <w:pPr>
        <w:pStyle w:val="N01X"/>
        <w:rPr>
          <w:rFonts w:asciiTheme="majorHAnsi" w:hAnsiTheme="majorHAnsi"/>
        </w:rPr>
      </w:pPr>
      <w:r w:rsidRPr="002D4334">
        <w:rPr>
          <w:rFonts w:asciiTheme="majorHAnsi" w:hAnsiTheme="majorHAnsi"/>
        </w:rPr>
        <w:t>6. Opšta i penološka psihologija</w:t>
      </w:r>
    </w:p>
    <w:p w:rsidR="006F0219" w:rsidRPr="002D4334" w:rsidRDefault="006F0219" w:rsidP="006F0219">
      <w:pPr>
        <w:pStyle w:val="T30X"/>
        <w:rPr>
          <w:rFonts w:asciiTheme="majorHAnsi" w:hAnsiTheme="majorHAnsi"/>
          <w:sz w:val="24"/>
          <w:szCs w:val="24"/>
        </w:rPr>
      </w:pPr>
      <w:r w:rsidRPr="002D4334">
        <w:rPr>
          <w:rFonts w:asciiTheme="majorHAnsi" w:hAnsiTheme="majorHAnsi"/>
          <w:sz w:val="24"/>
          <w:szCs w:val="24"/>
        </w:rPr>
        <w:t xml:space="preserve">Pojam psihologije (razvoj psihologije, predmet psihologije); Psihički procesi (opažanje, učenje i pamćenje, mišljenje, osjećanja); Ličnost (teorije ličnosti, dinamika ličnosti, razvoj ličnosti, dijagnoza ličnosti, osobine ličnosti); Poremećaji ličnosti (funkcionalne psihoze, organske psihoze, neuorze, mentalna retardacija, stepen društvene opasnosti pojedinih poremećaja ličnosti); Psihologija u penološkom tretmanu (pojam penološke psihologije, penološka psihologija u praksi); Stres i adaptacija na zatvor (pojam stresa, dugoročne posljedice boravka u zatvoru, suicid i samopovrjeđivanje); Poremećaji ličnosti zatvorenika (psihopatija, agresivnost, impulsivnost, </w:t>
      </w:r>
      <w:r w:rsidRPr="002D4334">
        <w:rPr>
          <w:rFonts w:asciiTheme="majorHAnsi" w:hAnsiTheme="majorHAnsi"/>
          <w:sz w:val="24"/>
          <w:szCs w:val="24"/>
        </w:rPr>
        <w:lastRenderedPageBreak/>
        <w:t>kognitivne sposobnosti); Udruživanje u grupe (Uopšteno o grupi, izbor vođe grupe, vođe i udruživanje zatvorenika u grupe i gangovi); Stavovi i promjena ponašanja (uopšteno o stavovima, strukturalni i funkcionalni pristup proučavanju stavova, kognitivna disonancija, promjene stavova, komunikacijski proces u formiranju i promjeni stavova).</w:t>
      </w:r>
    </w:p>
    <w:p w:rsidR="006F0219" w:rsidRPr="002D4334" w:rsidRDefault="006F0219" w:rsidP="006F0219">
      <w:pPr>
        <w:pStyle w:val="N01X"/>
        <w:rPr>
          <w:rFonts w:asciiTheme="majorHAnsi" w:hAnsiTheme="majorHAnsi"/>
        </w:rPr>
      </w:pPr>
      <w:proofErr w:type="gramStart"/>
      <w:r w:rsidRPr="002D4334">
        <w:rPr>
          <w:rFonts w:asciiTheme="majorHAnsi" w:hAnsiTheme="majorHAnsi"/>
        </w:rPr>
        <w:t>7. Kriminalistika sa</w:t>
      </w:r>
      <w:proofErr w:type="gramEnd"/>
      <w:r w:rsidRPr="002D4334">
        <w:rPr>
          <w:rFonts w:asciiTheme="majorHAnsi" w:hAnsiTheme="majorHAnsi"/>
        </w:rPr>
        <w:t xml:space="preserve"> kriminologijom</w:t>
      </w:r>
    </w:p>
    <w:p w:rsidR="006F0219" w:rsidRPr="002D4334" w:rsidRDefault="006F0219" w:rsidP="006F0219">
      <w:pPr>
        <w:pStyle w:val="T30X"/>
        <w:rPr>
          <w:rFonts w:asciiTheme="majorHAnsi" w:hAnsiTheme="majorHAnsi"/>
          <w:sz w:val="24"/>
          <w:szCs w:val="24"/>
        </w:rPr>
      </w:pPr>
      <w:r w:rsidRPr="002D4334">
        <w:rPr>
          <w:rFonts w:asciiTheme="majorHAnsi" w:hAnsiTheme="majorHAnsi"/>
          <w:sz w:val="24"/>
          <w:szCs w:val="24"/>
        </w:rPr>
        <w:t>Pojam kriminalistike (pojam, predmet i sistem kriminalistike, osnovna načela); Suzbijanje kriminaliteta (osnovni pojmovi o represivnoj i preventivnoj djelatnosti, društvena samozaštita, Međunarodna kriminalistička policijska organizacija (INTERPOL)); Krivično djelo (izvori saznanja za pripremanje i postojanje krivičnog djela, kriminalističko - taktičke radnje, kriminalističko - taktičke mjere i sredstva, kriminalistička tehnika, kriminalistička metodika, kriminalističke evidencije, obezbjeđenje lica mjesta i uviđaj); Pojam kriminologije (predmet i metodi kriminologije, kriminološke činjenice i kriminološki podaci); Pojam prestupnika (prestupnici i druga lica kao u učesnici u prestupničkom konfliktu, instrumenti kriminoloških ispitivanja prestupništva); Moral i prestupništvo (društvena zajednica i prestupništvo).</w:t>
      </w:r>
    </w:p>
    <w:p w:rsidR="006F0219" w:rsidRPr="002D4334" w:rsidRDefault="006F0219" w:rsidP="006F0219">
      <w:pPr>
        <w:pStyle w:val="N01X"/>
        <w:rPr>
          <w:rFonts w:asciiTheme="majorHAnsi" w:hAnsiTheme="majorHAnsi"/>
        </w:rPr>
      </w:pPr>
      <w:r w:rsidRPr="002D4334">
        <w:rPr>
          <w:rFonts w:asciiTheme="majorHAnsi" w:hAnsiTheme="majorHAnsi"/>
        </w:rPr>
        <w:t>8. Krivično pravo i krivični postupak</w:t>
      </w:r>
    </w:p>
    <w:p w:rsidR="006F0219" w:rsidRPr="002D4334" w:rsidRDefault="006F0219" w:rsidP="006F0219">
      <w:pPr>
        <w:pStyle w:val="T30X"/>
        <w:rPr>
          <w:rFonts w:asciiTheme="majorHAnsi" w:hAnsiTheme="majorHAnsi"/>
          <w:sz w:val="24"/>
          <w:szCs w:val="24"/>
        </w:rPr>
      </w:pPr>
      <w:r w:rsidRPr="002D4334">
        <w:rPr>
          <w:rFonts w:asciiTheme="majorHAnsi" w:hAnsiTheme="majorHAnsi"/>
          <w:sz w:val="24"/>
          <w:szCs w:val="24"/>
        </w:rPr>
        <w:t>Krivično djelo (pojam krivičnog djela, vrijeme i mjesto izvršenja, nužna odbrana i krajnja nužda, krivica, uračunljivost, umišljaj i nehat, stvarna i pravna zabluda, saučesništvo); Kazne (vrste kazni, odmjeravanje kazni); Mjere upozorenja (uslovna osuda, sudska opomena); Uslovni otpust (pojam i uslovi, zahtjev za uslovni otpust, odluka o uslovnom otpustu); Mjere bezbjednosti (vrste mjera bezbjednosti, izvršenje mjera bezbjednosti); Postupanje prema maloljetnicima (alternativne mjere i krivične sankcije, izvršenje krivičnih sankcija prema maloljetnicima); Zastarjelost, amnestija i pomilovanje (zastarjelost krivičnog gonjenja, zastarjelost izvršenja kazne, pojam amnestije, pojam pomilovanja); Posebne grupe krivičnih djela (krivična djela protiv života i tijela, krivična djela protiv sloboda i prava čovjeka i građana, krivična djela protiv polne slobode, krivična djela protiv braka i porodice, krivična djela protiv imovine, krivična djela protiv platnog prometa i privrednog poslovanja, krivična djela protiv opšte sigurnosti ljudi i imovine, krivična djela protiv bezbjednosti javnog saobraćaja, krivična djela protiv ustavnog uređenja i bezbjednosti Crne Gore, krivična djela protiv državnih organa, krivična djela protiv javnog reda i mira); Osnove krivično - procesnog prava (načela krivično - procesnog prava, procesni subjekti); Nadležnost sudova (stvarna i mjesna nadležnost); Državno tužilaštvo (radnje i nadležnost državnog tužilaštva); Izviđaj (krivična prijava, prijavljivanje krivičnih djela od strane građana, ovlašćenja i radnje policije); Prethodni postupak - istraga; Optužnica, sadržaj optužnice i preispitivanje optužnice; Glavni pretres i presuda (javnost glavnog pretresa, rukovođenje glavnim pretresom); Dokazni postupak (izvođenje dokaza, saslušanje svjedoka i vještaka); Presuda (izricanje presude, vrste presuda); Postupak po pravnim ljekovima (redovni pravni lijek, vanredni pravni ljekovi).</w:t>
      </w:r>
    </w:p>
    <w:p w:rsidR="0041059E" w:rsidRPr="002D4334" w:rsidRDefault="0041059E">
      <w:pPr>
        <w:rPr>
          <w:rFonts w:asciiTheme="majorHAnsi" w:hAnsiTheme="majorHAnsi"/>
          <w:sz w:val="24"/>
          <w:szCs w:val="24"/>
        </w:rPr>
      </w:pPr>
    </w:p>
    <w:sectPr w:rsidR="0041059E" w:rsidRPr="002D4334">
      <w:headerReference w:type="even" r:id="rId5"/>
      <w:headerReference w:type="default" r:id="rId6"/>
      <w:footerReference w:type="even" r:id="rId7"/>
      <w:pgSz w:w="11906" w:h="16838"/>
      <w:pgMar w:top="850" w:right="850" w:bottom="850" w:left="850" w:header="567"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top w:w="40" w:type="dxa"/>
        <w:left w:w="0" w:type="dxa"/>
        <w:bottom w:w="40" w:type="dxa"/>
        <w:right w:w="0" w:type="dxa"/>
      </w:tblCellMar>
      <w:tblLook w:val="0000" w:firstRow="0" w:lastRow="0" w:firstColumn="0" w:lastColumn="0" w:noHBand="0" w:noVBand="0"/>
    </w:tblPr>
    <w:tblGrid>
      <w:gridCol w:w="5102"/>
      <w:gridCol w:w="5103"/>
    </w:tblGrid>
    <w:tr w:rsidR="00000000">
      <w:tblPrEx>
        <w:tblCellMar>
          <w:left w:w="0" w:type="dxa"/>
          <w:right w:w="0" w:type="dxa"/>
        </w:tblCellMar>
      </w:tblPrEx>
      <w:trPr>
        <w:cantSplit/>
        <w:trHeight w:val="240"/>
      </w:trPr>
      <w:tc>
        <w:tcPr>
          <w:tcW w:w="5102" w:type="dxa"/>
          <w:tcBorders>
            <w:top w:val="dotted" w:sz="4" w:space="0" w:color="000000"/>
            <w:left w:val="nil"/>
            <w:bottom w:val="nil"/>
            <w:right w:val="nil"/>
          </w:tcBorders>
          <w:shd w:val="clear" w:color="auto" w:fill="FFFFFF"/>
          <w:tcMar>
            <w:left w:w="68" w:type="dxa"/>
            <w:right w:w="68" w:type="dxa"/>
          </w:tcMar>
        </w:tcPr>
        <w:p w:rsidR="00000000" w:rsidRDefault="002D4334">
          <w:pPr>
            <w:pStyle w:val="Fotter"/>
          </w:pPr>
          <w:hyperlink w:anchor="http___www_katalogpropisa_me" w:history="1">
            <w:r>
              <w:rPr>
                <w:rStyle w:val="Hyperlink"/>
              </w:rPr>
              <w:t>Nespa computers doo, Podgorica</w:t>
            </w:r>
          </w:hyperlink>
        </w:p>
      </w:tc>
      <w:tc>
        <w:tcPr>
          <w:tcW w:w="5103" w:type="dxa"/>
          <w:tcBorders>
            <w:top w:val="dotted" w:sz="4" w:space="0" w:color="000000"/>
            <w:left w:val="nil"/>
            <w:bottom w:val="nil"/>
            <w:right w:val="nil"/>
          </w:tcBorders>
          <w:shd w:val="clear" w:color="auto" w:fill="FFFFFF"/>
          <w:tcMar>
            <w:left w:w="68" w:type="dxa"/>
            <w:right w:w="68" w:type="dxa"/>
          </w:tcMar>
        </w:tcPr>
        <w:p w:rsidR="00000000" w:rsidRDefault="002D4334">
          <w:pPr>
            <w:pStyle w:val="Fotter"/>
            <w:jc w:val="right"/>
          </w:pPr>
          <w:r>
            <w:fldChar w:fldCharType="begin"/>
          </w:r>
          <w:r>
            <w:instrText>PAGE</w:instrText>
          </w:r>
          <w:r>
            <w:fldChar w:fldCharType="separate"/>
          </w:r>
          <w:r>
            <w:rPr>
              <w:noProof/>
            </w:rPr>
            <w:t>2</w:t>
          </w:r>
          <w: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4334">
    <w:pPr>
      <w:pStyle w:val="Header"/>
    </w:pPr>
    <w:r>
      <w:t>Katalog propisa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Pr="00C41055" w:rsidRDefault="002D4334" w:rsidP="00C41055">
    <w:pPr>
      <w:pStyle w:val="Heade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219"/>
    <w:rsid w:val="002D4334"/>
    <w:rsid w:val="0041059E"/>
    <w:rsid w:val="006F0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6F0219"/>
    <w:pPr>
      <w:autoSpaceDE w:val="0"/>
      <w:autoSpaceDN w:val="0"/>
      <w:adjustRightInd w:val="0"/>
      <w:spacing w:after="0" w:line="240" w:lineRule="auto"/>
    </w:pPr>
    <w:rPr>
      <w:rFonts w:ascii="Times New Roman" w:eastAsiaTheme="minorEastAsia" w:hAnsi="Times New Roman" w:cs="Times New Roman"/>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021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rsid w:val="006F0219"/>
    <w:rPr>
      <w:rFonts w:ascii="Verdana" w:eastAsiaTheme="minorEastAsia" w:hAnsi="Verdana" w:cs="Verdana"/>
      <w:b/>
      <w:bCs/>
      <w:color w:val="4682B4"/>
      <w:sz w:val="18"/>
      <w:szCs w:val="18"/>
      <w:lang w:eastAsia="en-GB"/>
    </w:rPr>
  </w:style>
  <w:style w:type="character" w:styleId="Hyperlink">
    <w:name w:val="Hyperlink"/>
    <w:basedOn w:val="DefaultParagraphFont"/>
    <w:uiPriority w:val="99"/>
    <w:rsid w:val="006F0219"/>
  </w:style>
  <w:style w:type="paragraph" w:customStyle="1" w:styleId="N01X">
    <w:name w:val="N01X"/>
    <w:basedOn w:val="Normal"/>
    <w:uiPriority w:val="99"/>
    <w:rsid w:val="006F0219"/>
    <w:pPr>
      <w:spacing w:before="200" w:after="200"/>
      <w:jc w:val="center"/>
    </w:pPr>
    <w:rPr>
      <w:b/>
      <w:bCs/>
      <w:sz w:val="24"/>
      <w:szCs w:val="24"/>
    </w:rPr>
  </w:style>
  <w:style w:type="paragraph" w:customStyle="1" w:styleId="Fotter">
    <w:name w:val="Fotter"/>
    <w:basedOn w:val="Normal"/>
    <w:uiPriority w:val="99"/>
    <w:rsid w:val="006F0219"/>
    <w:rPr>
      <w:rFonts w:ascii="Verdana" w:hAnsi="Verdana" w:cs="Verdana"/>
      <w:b/>
      <w:bCs/>
      <w:color w:val="4682B4"/>
      <w:sz w:val="18"/>
      <w:szCs w:val="18"/>
    </w:rPr>
  </w:style>
  <w:style w:type="paragraph" w:customStyle="1" w:styleId="T30X">
    <w:name w:val="T30X"/>
    <w:basedOn w:val="Normal"/>
    <w:uiPriority w:val="99"/>
    <w:rsid w:val="006F0219"/>
    <w:pPr>
      <w:spacing w:before="60" w:after="60"/>
      <w:ind w:firstLine="283"/>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6F0219"/>
    <w:pPr>
      <w:autoSpaceDE w:val="0"/>
      <w:autoSpaceDN w:val="0"/>
      <w:adjustRightInd w:val="0"/>
      <w:spacing w:after="0" w:line="240" w:lineRule="auto"/>
    </w:pPr>
    <w:rPr>
      <w:rFonts w:ascii="Times New Roman" w:eastAsiaTheme="minorEastAsia" w:hAnsi="Times New Roman" w:cs="Times New Roman"/>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0219"/>
    <w:pPr>
      <w:pBdr>
        <w:bottom w:val="dotted" w:sz="4" w:space="0" w:color="4682B4"/>
      </w:pBdr>
      <w:tabs>
        <w:tab w:val="right" w:pos="9071"/>
      </w:tabs>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rsid w:val="006F0219"/>
    <w:rPr>
      <w:rFonts w:ascii="Verdana" w:eastAsiaTheme="minorEastAsia" w:hAnsi="Verdana" w:cs="Verdana"/>
      <w:b/>
      <w:bCs/>
      <w:color w:val="4682B4"/>
      <w:sz w:val="18"/>
      <w:szCs w:val="18"/>
      <w:lang w:eastAsia="en-GB"/>
    </w:rPr>
  </w:style>
  <w:style w:type="character" w:styleId="Hyperlink">
    <w:name w:val="Hyperlink"/>
    <w:basedOn w:val="DefaultParagraphFont"/>
    <w:uiPriority w:val="99"/>
    <w:rsid w:val="006F0219"/>
  </w:style>
  <w:style w:type="paragraph" w:customStyle="1" w:styleId="N01X">
    <w:name w:val="N01X"/>
    <w:basedOn w:val="Normal"/>
    <w:uiPriority w:val="99"/>
    <w:rsid w:val="006F0219"/>
    <w:pPr>
      <w:spacing w:before="200" w:after="200"/>
      <w:jc w:val="center"/>
    </w:pPr>
    <w:rPr>
      <w:b/>
      <w:bCs/>
      <w:sz w:val="24"/>
      <w:szCs w:val="24"/>
    </w:rPr>
  </w:style>
  <w:style w:type="paragraph" w:customStyle="1" w:styleId="Fotter">
    <w:name w:val="Fotter"/>
    <w:basedOn w:val="Normal"/>
    <w:uiPriority w:val="99"/>
    <w:rsid w:val="006F0219"/>
    <w:rPr>
      <w:rFonts w:ascii="Verdana" w:hAnsi="Verdana" w:cs="Verdana"/>
      <w:b/>
      <w:bCs/>
      <w:color w:val="4682B4"/>
      <w:sz w:val="18"/>
      <w:szCs w:val="18"/>
    </w:rPr>
  </w:style>
  <w:style w:type="paragraph" w:customStyle="1" w:styleId="T30X">
    <w:name w:val="T30X"/>
    <w:basedOn w:val="Normal"/>
    <w:uiPriority w:val="99"/>
    <w:rsid w:val="006F0219"/>
    <w:pPr>
      <w:spacing w:before="60" w:after="60"/>
      <w:ind w:firstLine="283"/>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aida.bojadzic</dc:creator>
  <cp:lastModifiedBy>aida.bojadzic</cp:lastModifiedBy>
  <cp:revision>2</cp:revision>
  <dcterms:created xsi:type="dcterms:W3CDTF">2017-10-30T12:39:00Z</dcterms:created>
  <dcterms:modified xsi:type="dcterms:W3CDTF">2017-10-30T12:41:00Z</dcterms:modified>
</cp:coreProperties>
</file>