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F3F5A" w14:textId="50607DD2" w:rsidR="00A92797" w:rsidRPr="00A728CE" w:rsidRDefault="00A92797" w:rsidP="008B47B8">
      <w:pPr>
        <w:tabs>
          <w:tab w:val="left" w:pos="1134"/>
          <w:tab w:val="left" w:pos="7797"/>
        </w:tabs>
        <w:spacing w:before="0" w:after="0" w:line="240" w:lineRule="auto"/>
        <w:rPr>
          <w:rFonts w:ascii="Arial" w:hAnsi="Arial" w:cs="Arial"/>
          <w:bCs/>
          <w:color w:val="000000" w:themeColor="text1"/>
          <w:sz w:val="22"/>
        </w:rPr>
      </w:pPr>
      <w:r w:rsidRPr="00A728CE">
        <w:rPr>
          <w:rFonts w:ascii="Arial" w:hAnsi="Arial" w:cs="Arial"/>
          <w:bCs/>
          <w:color w:val="000000" w:themeColor="text1"/>
          <w:sz w:val="22"/>
        </w:rPr>
        <w:t xml:space="preserve">     </w:t>
      </w:r>
      <w:r w:rsidR="002E64CF" w:rsidRPr="00A728CE">
        <w:rPr>
          <w:rFonts w:ascii="Arial" w:hAnsi="Arial" w:cs="Arial"/>
          <w:bCs/>
          <w:color w:val="000000" w:themeColor="text1"/>
          <w:sz w:val="22"/>
        </w:rPr>
        <w:t xml:space="preserve">                                        </w:t>
      </w:r>
      <w:r w:rsidRPr="00A728CE">
        <w:rPr>
          <w:rFonts w:ascii="Arial" w:hAnsi="Arial" w:cs="Arial"/>
          <w:bCs/>
          <w:color w:val="000000" w:themeColor="text1"/>
          <w:sz w:val="22"/>
        </w:rPr>
        <w:t xml:space="preserve">  </w:t>
      </w:r>
      <w:r w:rsidR="00F76801" w:rsidRPr="00A728CE">
        <w:rPr>
          <w:rFonts w:ascii="Arial" w:hAnsi="Arial" w:cs="Arial"/>
          <w:bCs/>
          <w:color w:val="000000" w:themeColor="text1"/>
          <w:sz w:val="22"/>
        </w:rPr>
        <w:t xml:space="preserve">              </w:t>
      </w:r>
    </w:p>
    <w:p w14:paraId="0BE5DB3D" w14:textId="77777777" w:rsidR="009B14D9" w:rsidRPr="00A728CE" w:rsidRDefault="009B14D9" w:rsidP="008B47B8">
      <w:pPr>
        <w:spacing w:before="0" w:after="0" w:line="240" w:lineRule="auto"/>
        <w:rPr>
          <w:rFonts w:ascii="Arial" w:hAnsi="Arial" w:cs="Arial"/>
          <w:b/>
          <w:color w:val="000000" w:themeColor="text1"/>
          <w:sz w:val="22"/>
        </w:rPr>
      </w:pPr>
    </w:p>
    <w:p w14:paraId="57A51128" w14:textId="3CB967E6" w:rsidR="0064124F" w:rsidRPr="00A728CE" w:rsidRDefault="0064124F" w:rsidP="00ED748F">
      <w:pPr>
        <w:spacing w:before="0" w:after="240" w:line="240" w:lineRule="auto"/>
        <w:jc w:val="center"/>
        <w:rPr>
          <w:rFonts w:ascii="Arial" w:hAnsi="Arial" w:cs="Arial"/>
          <w:b/>
          <w:color w:val="000000" w:themeColor="text1"/>
          <w:sz w:val="22"/>
        </w:rPr>
      </w:pPr>
      <w:r w:rsidRPr="00A728CE">
        <w:rPr>
          <w:rFonts w:ascii="Arial" w:hAnsi="Arial" w:cs="Arial"/>
          <w:b/>
          <w:color w:val="000000" w:themeColor="text1"/>
          <w:sz w:val="22"/>
        </w:rPr>
        <w:t>IZVJEŠTAJ O SPROVEDENOJ JAVNOJ RASPRAVI O NACRTU ZAKONA O IZMJENAMA  I DOPUNAMA ZAKONA O DRŽAVNOM TUŽILAŠTVU</w:t>
      </w:r>
    </w:p>
    <w:p w14:paraId="7290219E" w14:textId="77777777" w:rsidR="0064124F" w:rsidRPr="00A728CE" w:rsidRDefault="0064124F" w:rsidP="008B47B8">
      <w:pPr>
        <w:spacing w:before="0" w:after="240" w:line="240" w:lineRule="auto"/>
        <w:rPr>
          <w:rFonts w:ascii="Arial" w:hAnsi="Arial" w:cs="Arial"/>
          <w:b/>
          <w:color w:val="000000" w:themeColor="text1"/>
          <w:sz w:val="22"/>
        </w:rPr>
      </w:pPr>
      <w:r w:rsidRPr="00A728CE">
        <w:rPr>
          <w:rFonts w:ascii="Arial" w:hAnsi="Arial" w:cs="Arial"/>
          <w:b/>
          <w:color w:val="000000" w:themeColor="text1"/>
          <w:sz w:val="22"/>
        </w:rPr>
        <w:t xml:space="preserve"> </w:t>
      </w:r>
    </w:p>
    <w:p w14:paraId="1E668E6E" w14:textId="77777777" w:rsidR="0064124F" w:rsidRPr="00A728CE" w:rsidRDefault="0064124F" w:rsidP="008B47B8">
      <w:pPr>
        <w:spacing w:before="0" w:after="240" w:line="240" w:lineRule="auto"/>
        <w:rPr>
          <w:rFonts w:ascii="Arial" w:hAnsi="Arial" w:cs="Arial"/>
          <w:color w:val="000000" w:themeColor="text1"/>
          <w:sz w:val="22"/>
        </w:rPr>
      </w:pPr>
      <w:r w:rsidRPr="00A728CE">
        <w:rPr>
          <w:rFonts w:ascii="Arial" w:hAnsi="Arial" w:cs="Arial"/>
          <w:color w:val="000000" w:themeColor="text1"/>
          <w:sz w:val="22"/>
        </w:rPr>
        <w:t xml:space="preserve">Vrijeme trajanja javne rasprave: </w:t>
      </w:r>
    </w:p>
    <w:p w14:paraId="5F72D851" w14:textId="1A0117C7" w:rsidR="0064124F" w:rsidRPr="00A728CE" w:rsidRDefault="0064124F" w:rsidP="008B47B8">
      <w:pPr>
        <w:spacing w:before="0" w:after="240" w:line="240" w:lineRule="auto"/>
        <w:rPr>
          <w:rFonts w:ascii="Arial" w:hAnsi="Arial" w:cs="Arial"/>
          <w:color w:val="000000" w:themeColor="text1"/>
          <w:sz w:val="22"/>
        </w:rPr>
      </w:pPr>
      <w:r w:rsidRPr="00A728CE">
        <w:rPr>
          <w:rFonts w:ascii="Arial" w:hAnsi="Arial" w:cs="Arial"/>
          <w:color w:val="000000" w:themeColor="text1"/>
          <w:sz w:val="22"/>
        </w:rPr>
        <w:t xml:space="preserve">20 dana - Ministarstvo pravde je </w:t>
      </w:r>
      <w:r w:rsidR="001F1066" w:rsidRPr="00A728CE">
        <w:rPr>
          <w:rFonts w:ascii="Arial" w:hAnsi="Arial" w:cs="Arial"/>
          <w:color w:val="000000" w:themeColor="text1"/>
          <w:sz w:val="22"/>
        </w:rPr>
        <w:t>24</w:t>
      </w:r>
      <w:r w:rsidRPr="00A728CE">
        <w:rPr>
          <w:rFonts w:ascii="Arial" w:hAnsi="Arial" w:cs="Arial"/>
          <w:color w:val="000000" w:themeColor="text1"/>
          <w:sz w:val="22"/>
        </w:rPr>
        <w:t xml:space="preserve">. februara 2026. godine stavilo na javnu raspravu Nacrt zakona o izmjenama i dopunama Zakona o  </w:t>
      </w:r>
      <w:r w:rsidR="001F1066" w:rsidRPr="00A728CE">
        <w:rPr>
          <w:rFonts w:ascii="Arial" w:hAnsi="Arial" w:cs="Arial"/>
          <w:color w:val="000000" w:themeColor="text1"/>
          <w:sz w:val="22"/>
        </w:rPr>
        <w:t>D</w:t>
      </w:r>
      <w:r w:rsidRPr="00A728CE">
        <w:rPr>
          <w:rFonts w:ascii="Arial" w:hAnsi="Arial" w:cs="Arial"/>
          <w:color w:val="000000" w:themeColor="text1"/>
          <w:sz w:val="22"/>
        </w:rPr>
        <w:t xml:space="preserve">ržavnom tužilaštvu. </w:t>
      </w:r>
    </w:p>
    <w:p w14:paraId="0E957E43" w14:textId="77777777" w:rsidR="0064124F" w:rsidRPr="00A728CE" w:rsidRDefault="0064124F" w:rsidP="008B47B8">
      <w:pPr>
        <w:spacing w:before="0" w:after="240" w:line="240" w:lineRule="auto"/>
        <w:rPr>
          <w:rFonts w:ascii="Arial" w:hAnsi="Arial" w:cs="Arial"/>
          <w:color w:val="000000" w:themeColor="text1"/>
          <w:sz w:val="22"/>
        </w:rPr>
      </w:pPr>
      <w:r w:rsidRPr="00A728CE">
        <w:rPr>
          <w:rFonts w:ascii="Arial" w:hAnsi="Arial" w:cs="Arial"/>
          <w:color w:val="000000" w:themeColor="text1"/>
          <w:sz w:val="22"/>
        </w:rPr>
        <w:t xml:space="preserve">Način sprovođenja javne rasprave: </w:t>
      </w:r>
    </w:p>
    <w:p w14:paraId="181989E3" w14:textId="3E928AE0" w:rsidR="0064124F" w:rsidRPr="00A728CE" w:rsidRDefault="0064124F" w:rsidP="008B47B8">
      <w:pPr>
        <w:spacing w:before="0" w:after="240" w:line="240" w:lineRule="auto"/>
        <w:rPr>
          <w:rFonts w:ascii="Arial" w:hAnsi="Arial" w:cs="Arial"/>
          <w:color w:val="000000" w:themeColor="text1"/>
          <w:sz w:val="22"/>
        </w:rPr>
      </w:pPr>
      <w:r w:rsidRPr="00A728CE">
        <w:rPr>
          <w:rFonts w:ascii="Arial" w:hAnsi="Arial" w:cs="Arial"/>
          <w:color w:val="000000" w:themeColor="text1"/>
          <w:sz w:val="22"/>
        </w:rPr>
        <w:t xml:space="preserve">Ministarstvo pravde uputilo je javni poziv građanima, naučnoj i stručnoj javnosti, državnim organima, političkim subjektima, nevladinim organizacijama, međunarodnim organizacijama, medijima i svim zainteresovanim organizacijama i zajednicama da se uključe u javnu raspravu i daju svoj doprinos u razmatranju Nacrta zakona o izmjenama i dopunama Zakona o </w:t>
      </w:r>
      <w:r w:rsidR="00050E32">
        <w:rPr>
          <w:rFonts w:ascii="Arial" w:hAnsi="Arial" w:cs="Arial"/>
          <w:color w:val="000000" w:themeColor="text1"/>
          <w:sz w:val="22"/>
        </w:rPr>
        <w:t>D</w:t>
      </w:r>
      <w:r w:rsidRPr="00A728CE">
        <w:rPr>
          <w:rFonts w:ascii="Arial" w:hAnsi="Arial" w:cs="Arial"/>
          <w:color w:val="000000" w:themeColor="text1"/>
          <w:sz w:val="22"/>
        </w:rPr>
        <w:t>ržavnom tužilaštvu dostavljanjem primjedbi, predloga i sugestija u pisanom obliku putem pošte na adresu Ministarstva pravde, ul.Vuka Karadžića br.3, 81000 Podgorica ili u elektronskom obliku na e-mail: miljan.kosovic@mpa.gov.me.</w:t>
      </w:r>
    </w:p>
    <w:p w14:paraId="6A64DA1D" w14:textId="77777777" w:rsidR="0064124F" w:rsidRPr="00A728CE" w:rsidRDefault="0064124F" w:rsidP="008B47B8">
      <w:pPr>
        <w:spacing w:before="0" w:after="240" w:line="240" w:lineRule="auto"/>
        <w:rPr>
          <w:rFonts w:ascii="Arial" w:hAnsi="Arial" w:cs="Arial"/>
          <w:color w:val="000000" w:themeColor="text1"/>
          <w:sz w:val="22"/>
        </w:rPr>
      </w:pPr>
      <w:r w:rsidRPr="00A728CE">
        <w:rPr>
          <w:rFonts w:ascii="Arial" w:hAnsi="Arial" w:cs="Arial"/>
          <w:color w:val="000000" w:themeColor="text1"/>
          <w:sz w:val="22"/>
        </w:rPr>
        <w:t xml:space="preserve">Podaci o broju i strukturi učesnika u javnoj raspravi: </w:t>
      </w:r>
    </w:p>
    <w:p w14:paraId="3A10771B" w14:textId="3E6FD25A" w:rsidR="0064124F" w:rsidRPr="00A728CE" w:rsidRDefault="0064124F" w:rsidP="008B47B8">
      <w:pPr>
        <w:spacing w:before="0" w:after="240" w:line="240" w:lineRule="auto"/>
        <w:rPr>
          <w:rFonts w:ascii="Arial" w:hAnsi="Arial" w:cs="Arial"/>
          <w:color w:val="000000" w:themeColor="text1"/>
          <w:sz w:val="22"/>
        </w:rPr>
      </w:pPr>
      <w:r w:rsidRPr="00A728CE">
        <w:rPr>
          <w:rFonts w:ascii="Arial" w:hAnsi="Arial" w:cs="Arial"/>
          <w:color w:val="000000" w:themeColor="text1"/>
          <w:sz w:val="22"/>
        </w:rPr>
        <w:t xml:space="preserve">U javnoj raspravi, učestovala su četiri učesnika koji su, u predviđenom roku, dostavili primjedbe, predloge i sugestije i to:  Vrhovno državno tužilaštvo, </w:t>
      </w:r>
      <w:r w:rsidR="001F1066" w:rsidRPr="00A728CE">
        <w:rPr>
          <w:rFonts w:ascii="Arial" w:hAnsi="Arial" w:cs="Arial"/>
          <w:color w:val="000000" w:themeColor="text1"/>
          <w:sz w:val="22"/>
        </w:rPr>
        <w:t xml:space="preserve">Ljiljana Lakić – predsjednica Upravnog odbora Centra za obuku u sudstvu i državnom tužilaštvu, </w:t>
      </w:r>
      <w:r w:rsidRPr="00A728CE">
        <w:rPr>
          <w:rFonts w:ascii="Arial" w:hAnsi="Arial" w:cs="Arial"/>
          <w:color w:val="000000" w:themeColor="text1"/>
          <w:sz w:val="22"/>
        </w:rPr>
        <w:t>NVO „Institut Alternativa“ i NVO „</w:t>
      </w:r>
      <w:r w:rsidR="001F1066" w:rsidRPr="00A728CE">
        <w:rPr>
          <w:rFonts w:ascii="Arial" w:hAnsi="Arial" w:cs="Arial"/>
          <w:color w:val="000000" w:themeColor="text1"/>
          <w:sz w:val="22"/>
        </w:rPr>
        <w:t>Centar za demokratsku tranziciju</w:t>
      </w:r>
      <w:r w:rsidRPr="00A728CE">
        <w:rPr>
          <w:rFonts w:ascii="Arial" w:hAnsi="Arial" w:cs="Arial"/>
          <w:color w:val="000000" w:themeColor="text1"/>
          <w:sz w:val="22"/>
        </w:rPr>
        <w:t>“</w:t>
      </w:r>
      <w:r w:rsidR="009A6198" w:rsidRPr="00A728CE">
        <w:rPr>
          <w:rFonts w:ascii="Arial" w:hAnsi="Arial" w:cs="Arial"/>
          <w:color w:val="000000" w:themeColor="text1"/>
          <w:sz w:val="22"/>
        </w:rPr>
        <w:t>.</w:t>
      </w:r>
    </w:p>
    <w:p w14:paraId="6A2D1E3F" w14:textId="7B31A4E9" w:rsidR="003E03CA" w:rsidRPr="00A728CE" w:rsidRDefault="0064124F" w:rsidP="008B47B8">
      <w:pPr>
        <w:spacing w:before="0" w:after="240" w:line="240" w:lineRule="auto"/>
        <w:rPr>
          <w:rFonts w:ascii="Arial" w:hAnsi="Arial" w:cs="Arial"/>
          <w:color w:val="000000" w:themeColor="text1"/>
          <w:sz w:val="22"/>
        </w:rPr>
      </w:pPr>
      <w:r w:rsidRPr="00A728CE">
        <w:rPr>
          <w:rFonts w:ascii="Arial" w:hAnsi="Arial" w:cs="Arial"/>
          <w:color w:val="000000" w:themeColor="text1"/>
          <w:sz w:val="22"/>
        </w:rPr>
        <w:t xml:space="preserve">Rezime dostavljanih primjedbi, predloga i sugestija, sa navedenim razlozima njihovog prihvatanja, odnosno neprihvatanja:  </w:t>
      </w:r>
    </w:p>
    <w:tbl>
      <w:tblPr>
        <w:tblStyle w:val="TableGrid"/>
        <w:tblW w:w="10350" w:type="dxa"/>
        <w:tblInd w:w="-95" w:type="dxa"/>
        <w:tblLayout w:type="fixed"/>
        <w:tblLook w:val="04A0" w:firstRow="1" w:lastRow="0" w:firstColumn="1" w:lastColumn="0" w:noHBand="0" w:noVBand="1"/>
      </w:tblPr>
      <w:tblGrid>
        <w:gridCol w:w="900"/>
        <w:gridCol w:w="2610"/>
        <w:gridCol w:w="6840"/>
      </w:tblGrid>
      <w:tr w:rsidR="00AA186F" w:rsidRPr="00E111BE" w14:paraId="581EC129" w14:textId="77777777" w:rsidTr="00112022">
        <w:tc>
          <w:tcPr>
            <w:tcW w:w="900" w:type="dxa"/>
          </w:tcPr>
          <w:p w14:paraId="5FEE49D3" w14:textId="0034CAF8" w:rsidR="00AA186F" w:rsidRPr="00E111BE" w:rsidRDefault="00AA186F" w:rsidP="008B47B8">
            <w:pPr>
              <w:spacing w:before="0" w:after="0" w:line="240" w:lineRule="auto"/>
              <w:rPr>
                <w:rFonts w:ascii="Arial" w:hAnsi="Arial" w:cs="Arial"/>
                <w:b/>
                <w:color w:val="000000" w:themeColor="text1"/>
                <w:sz w:val="20"/>
                <w:szCs w:val="20"/>
              </w:rPr>
            </w:pPr>
            <w:bookmarkStart w:id="0" w:name="_Hlk190172931"/>
            <w:bookmarkStart w:id="1" w:name="_Hlk190253981"/>
            <w:r w:rsidRPr="00E111BE">
              <w:rPr>
                <w:rFonts w:ascii="Arial" w:hAnsi="Arial" w:cs="Arial"/>
                <w:b/>
                <w:color w:val="000000" w:themeColor="text1"/>
                <w:sz w:val="20"/>
                <w:szCs w:val="20"/>
              </w:rPr>
              <w:t>Broj</w:t>
            </w:r>
          </w:p>
        </w:tc>
        <w:tc>
          <w:tcPr>
            <w:tcW w:w="2610" w:type="dxa"/>
          </w:tcPr>
          <w:p w14:paraId="539315EB" w14:textId="73F4D9F5"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Podnosilac primjedbi, predloga i sugestija</w:t>
            </w:r>
          </w:p>
        </w:tc>
        <w:tc>
          <w:tcPr>
            <w:tcW w:w="6840" w:type="dxa"/>
          </w:tcPr>
          <w:p w14:paraId="4CBCB249" w14:textId="38A0AA1C"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Rezime primjedbe, predloga i sugestije</w:t>
            </w:r>
          </w:p>
        </w:tc>
      </w:tr>
      <w:tr w:rsidR="00AA186F" w:rsidRPr="00E111BE" w14:paraId="79A7DCED" w14:textId="77777777" w:rsidTr="00112022">
        <w:trPr>
          <w:trHeight w:val="930"/>
        </w:trPr>
        <w:tc>
          <w:tcPr>
            <w:tcW w:w="900" w:type="dxa"/>
          </w:tcPr>
          <w:p w14:paraId="2EE53702" w14:textId="2B900C53"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1.</w:t>
            </w:r>
          </w:p>
        </w:tc>
        <w:tc>
          <w:tcPr>
            <w:tcW w:w="2610" w:type="dxa"/>
          </w:tcPr>
          <w:p w14:paraId="2A7C1DE5" w14:textId="61EBDC72"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VDT</w:t>
            </w:r>
          </w:p>
        </w:tc>
        <w:tc>
          <w:tcPr>
            <w:tcW w:w="6840" w:type="dxa"/>
          </w:tcPr>
          <w:p w14:paraId="0F03D400" w14:textId="37865C3D" w:rsidR="00AA186F" w:rsidRPr="00E111BE" w:rsidRDefault="00AA186F" w:rsidP="008B47B8">
            <w:pPr>
              <w:spacing w:before="0" w:after="0"/>
              <w:rPr>
                <w:rFonts w:ascii="Arial" w:hAnsi="Arial" w:cs="Arial"/>
                <w:sz w:val="20"/>
                <w:szCs w:val="20"/>
              </w:rPr>
            </w:pPr>
            <w:r w:rsidRPr="00E111BE">
              <w:rPr>
                <w:rFonts w:ascii="Arial" w:hAnsi="Arial" w:cs="Arial"/>
                <w:sz w:val="20"/>
                <w:szCs w:val="20"/>
              </w:rPr>
              <w:t>U primjedbi se navodi da član 35 važećeg  Zakona treba izmijeniti u stavu 2 na način što riječi „državnih tužilaca i uglednih pravnika“ treba zamijeniti riječima  „državnih tužilaca ili uglednih pravnika“ jer zamjenik može biti samo iz jedne od ovih kategorija.</w:t>
            </w:r>
          </w:p>
        </w:tc>
      </w:tr>
      <w:tr w:rsidR="00AA186F" w:rsidRPr="00E111BE" w14:paraId="16CBF305" w14:textId="77777777" w:rsidTr="00112022">
        <w:trPr>
          <w:trHeight w:val="927"/>
        </w:trPr>
        <w:tc>
          <w:tcPr>
            <w:tcW w:w="900" w:type="dxa"/>
          </w:tcPr>
          <w:p w14:paraId="37D35BEC" w14:textId="77777777" w:rsidR="00AA186F" w:rsidRPr="00E111BE" w:rsidRDefault="00AA186F" w:rsidP="008B47B8">
            <w:pPr>
              <w:spacing w:before="0" w:after="0" w:line="240" w:lineRule="auto"/>
              <w:rPr>
                <w:rFonts w:ascii="Arial" w:hAnsi="Arial" w:cs="Arial"/>
                <w:b/>
                <w:color w:val="000000" w:themeColor="text1"/>
                <w:sz w:val="20"/>
                <w:szCs w:val="20"/>
              </w:rPr>
            </w:pPr>
            <w:bookmarkStart w:id="2" w:name="_Hlk190162502"/>
            <w:r w:rsidRPr="00E111BE">
              <w:rPr>
                <w:rFonts w:ascii="Arial" w:hAnsi="Arial" w:cs="Arial"/>
                <w:b/>
                <w:color w:val="000000" w:themeColor="text1"/>
                <w:sz w:val="20"/>
                <w:szCs w:val="20"/>
              </w:rPr>
              <w:t>2.</w:t>
            </w:r>
          </w:p>
        </w:tc>
        <w:tc>
          <w:tcPr>
            <w:tcW w:w="2610" w:type="dxa"/>
          </w:tcPr>
          <w:p w14:paraId="427A2EE5" w14:textId="273D5E7B"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VDT</w:t>
            </w:r>
          </w:p>
        </w:tc>
        <w:tc>
          <w:tcPr>
            <w:tcW w:w="6840" w:type="dxa"/>
          </w:tcPr>
          <w:p w14:paraId="58363343" w14:textId="777777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U primjedbi se navodi da član 6 Nacrta  Zakona u stavu 2 treba izmijeniti na način što bi isti glasio :</w:t>
            </w:r>
          </w:p>
          <w:p w14:paraId="2F9C0567" w14:textId="777777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6F64D919" w14:textId="777777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Ako je državno tužilaštvo u kojem državni tužilac vrši funkciju udaljeno 50km i više u oba pravca od mjesta njegovog prebivališta, odnosno boravišta, državni tužilac ima pravo na troškove prevoza ili  naknadu stanarine, kao i pravo na naknadu troškova za odvojeni život od porodice, ako državni tužilac, kao ni član njegovog porodičnog domaćinstva, nema stan odnosno stambeni objekat, u svojini, susvojini ili zajedničkoj svojini u sjedištu državnog tužilaštva u kojem vrši funkciju koje je nadležno državno tužilaštvo u koje je državni tužilac izabran.</w:t>
            </w:r>
          </w:p>
          <w:p w14:paraId="3A4FCFDB" w14:textId="777777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4AADE830" w14:textId="7E33FF93"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lastRenderedPageBreak/>
              <w:t>Primjedbom se dalje navodi da ova izmjena doprinosi jasnijem tumačenju i efikasnijoj primjeni odredbe u praksi, bez izmjene njenog suštinskog sadržaja.</w:t>
            </w:r>
          </w:p>
        </w:tc>
      </w:tr>
      <w:bookmarkEnd w:id="2"/>
      <w:tr w:rsidR="00AA186F" w:rsidRPr="00E111BE" w14:paraId="059F3AAA" w14:textId="77777777" w:rsidTr="00112022">
        <w:trPr>
          <w:trHeight w:val="58"/>
        </w:trPr>
        <w:tc>
          <w:tcPr>
            <w:tcW w:w="900" w:type="dxa"/>
          </w:tcPr>
          <w:p w14:paraId="2936C4A2" w14:textId="77777777" w:rsidR="00AA186F" w:rsidRPr="00E111BE" w:rsidRDefault="00AA186F" w:rsidP="008B47B8">
            <w:pPr>
              <w:spacing w:before="0" w:after="0" w:line="240" w:lineRule="auto"/>
              <w:rPr>
                <w:rFonts w:ascii="Arial" w:hAnsi="Arial" w:cs="Arial"/>
                <w:b/>
                <w:color w:val="000000" w:themeColor="text1"/>
                <w:sz w:val="20"/>
                <w:szCs w:val="20"/>
                <w:highlight w:val="green"/>
              </w:rPr>
            </w:pPr>
            <w:r w:rsidRPr="00E111BE">
              <w:rPr>
                <w:rFonts w:ascii="Arial" w:hAnsi="Arial" w:cs="Arial"/>
                <w:b/>
                <w:color w:val="000000" w:themeColor="text1"/>
                <w:sz w:val="20"/>
                <w:szCs w:val="20"/>
              </w:rPr>
              <w:lastRenderedPageBreak/>
              <w:t>3.</w:t>
            </w:r>
          </w:p>
        </w:tc>
        <w:tc>
          <w:tcPr>
            <w:tcW w:w="2610" w:type="dxa"/>
          </w:tcPr>
          <w:p w14:paraId="35224F12" w14:textId="1B2BFEFC"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VDT</w:t>
            </w:r>
          </w:p>
        </w:tc>
        <w:tc>
          <w:tcPr>
            <w:tcW w:w="6840" w:type="dxa"/>
          </w:tcPr>
          <w:p w14:paraId="29A0FA0E" w14:textId="77777777" w:rsidR="00AA186F" w:rsidRPr="00E111BE" w:rsidRDefault="00AA186F" w:rsidP="008B47B8">
            <w:pPr>
              <w:autoSpaceDE w:val="0"/>
              <w:autoSpaceDN w:val="0"/>
              <w:adjustRightInd w:val="0"/>
              <w:spacing w:before="0" w:after="0" w:line="240" w:lineRule="auto"/>
              <w:rPr>
                <w:rFonts w:ascii="Arial" w:eastAsia="Calibri" w:hAnsi="Arial" w:cs="Arial"/>
                <w:noProof/>
                <w:sz w:val="20"/>
                <w:szCs w:val="20"/>
              </w:rPr>
            </w:pPr>
            <w:r w:rsidRPr="00E111BE">
              <w:rPr>
                <w:rFonts w:ascii="Arial" w:eastAsia="Calibri" w:hAnsi="Arial" w:cs="Arial"/>
                <w:noProof/>
                <w:sz w:val="20"/>
                <w:szCs w:val="20"/>
              </w:rPr>
              <w:t>U primjedbi se ukazuje se ističe da je VDT stava da se državni tužioci u VDT ne ocjenjuju, izuzev u slučaju kada se prijavljuju za obavljanje funkcije u sudstvu, jer je državno tužilaštvo uređeno na principima hijerarhije i subordinacije.</w:t>
            </w:r>
          </w:p>
          <w:p w14:paraId="31C634B5" w14:textId="777777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6CE52E1D" w14:textId="451B8291"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Primjedba dalje ukazuje da državni tužioci u Vrhovnom državnom tužilastvu ne postupaju u predmetima u fazi izvidaja i istrage, ne podnose optužne predloge, ne podižu optuznice niti izjavljuju žalbe na odluke sudova a koje aktivnosti su dominantan izvor ocjenjivanja kvantiteta i kvaliteta rada državnih tužilaca u nižim tužilaštvima, dok sudije Vrhovnog suda donose meritorne odluke (rjesenja i presude) u trecem stepenu.</w:t>
            </w:r>
          </w:p>
          <w:p w14:paraId="4B6CDB07" w14:textId="777777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3D7FCEFE" w14:textId="35BC095E"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Nadalje se ističe da se uvođenjem sistema redovnog ocjenjivanja drzavnih tuzilaca u Vrhovnom drzavnom tuzilastvu ne bi ostvario osnovni cilj ocjenjivanja, koji je napredovanje u državno tužilaštvo višeg stepena, budući da je Vrhovno tužilaštvo najviši institucionalni nivo u hijerarhiji tužilacke organizacije, te da je jedini opravdani razlog za ocjenjivanje državnog tužioca u Vrhovnom državnom tužilaštvu prijava za obavljanje funkcije u sudstvu, uz napomenu da je u Nacrtu zakona o izmjenama i dopunama Zakona o specijalnom državnom tužilaštvu predloženo da se glavni specijalni tužilac ocjenjuje iskljucivo u slucaju prijave za funkciju u sudstvu.</w:t>
            </w:r>
          </w:p>
          <w:p w14:paraId="09C02A0D" w14:textId="2C19F2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04A4938F" w14:textId="777777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Na kraju se primjedbom ističe da ocjenu rada državnog tužioca u Vrhovnom državnom tužilaštvu treba da utvrduje Komisija za ocjenjivanje, a ne Tužilacki savjet, kako je predloženo, te da Nacrtom zakona nisu propisani potkriterijumi za ocjenjivanje rada državnih tužilaca u Vrhovnom državnom tužilaštvu.</w:t>
            </w:r>
          </w:p>
          <w:p w14:paraId="5A278F45" w14:textId="777777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440C90A4" w14:textId="2F1220C8"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Dat je i predlog teksta za deset članova koji se odnose na ocjenjivanje državnih tužilaca u VDT koji bi trebalo da glase:</w:t>
            </w:r>
          </w:p>
          <w:p w14:paraId="65806754" w14:textId="0A08F715"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5F547A30" w14:textId="77777777" w:rsidR="00AA186F" w:rsidRPr="00E111BE" w:rsidRDefault="00AA186F" w:rsidP="008B47B8">
            <w:pPr>
              <w:rPr>
                <w:rFonts w:ascii="Arial" w:hAnsi="Arial" w:cs="Arial"/>
                <w:b/>
                <w:sz w:val="20"/>
                <w:szCs w:val="20"/>
              </w:rPr>
            </w:pPr>
            <w:r w:rsidRPr="00E111BE">
              <w:rPr>
                <w:rFonts w:ascii="Arial" w:hAnsi="Arial" w:cs="Arial"/>
                <w:sz w:val="20"/>
                <w:szCs w:val="20"/>
              </w:rPr>
              <w:t>"</w:t>
            </w:r>
            <w:r w:rsidRPr="00E111BE">
              <w:rPr>
                <w:rFonts w:ascii="Arial" w:hAnsi="Arial" w:cs="Arial"/>
                <w:b/>
                <w:sz w:val="20"/>
                <w:szCs w:val="20"/>
              </w:rPr>
              <w:t>Via. OCJENjIVANjJE RADA DRŽAVNIH TUŽILACA U VRHOVNOM DRŽAVNOM TUŽILASTVU</w:t>
            </w:r>
          </w:p>
          <w:p w14:paraId="46E071CF" w14:textId="77777777" w:rsidR="00AA186F" w:rsidRPr="00E111BE" w:rsidRDefault="00AA186F" w:rsidP="008B47B8">
            <w:pPr>
              <w:rPr>
                <w:rFonts w:ascii="Arial" w:hAnsi="Arial" w:cs="Arial"/>
                <w:sz w:val="20"/>
                <w:szCs w:val="20"/>
              </w:rPr>
            </w:pPr>
            <w:r w:rsidRPr="00E111BE">
              <w:rPr>
                <w:rFonts w:ascii="Arial" w:hAnsi="Arial" w:cs="Arial"/>
                <w:sz w:val="20"/>
                <w:szCs w:val="20"/>
              </w:rPr>
              <w:t>Cilj ocjenjivanja rada državnih tužilaca u Vrhovnom državnom tužilaštvu</w:t>
            </w:r>
          </w:p>
          <w:p w14:paraId="2B7ADB08"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100a</w:t>
            </w:r>
          </w:p>
          <w:p w14:paraId="23318AAA" w14:textId="77777777" w:rsidR="00AA186F" w:rsidRPr="00E111BE" w:rsidRDefault="00AA186F" w:rsidP="008B47B8">
            <w:pPr>
              <w:rPr>
                <w:rFonts w:ascii="Arial" w:hAnsi="Arial" w:cs="Arial"/>
                <w:sz w:val="20"/>
                <w:szCs w:val="20"/>
              </w:rPr>
            </w:pPr>
            <w:r w:rsidRPr="00E111BE">
              <w:rPr>
                <w:rFonts w:ascii="Arial" w:hAnsi="Arial" w:cs="Arial"/>
                <w:sz w:val="20"/>
                <w:szCs w:val="20"/>
              </w:rPr>
              <w:t>Rad državnih tužilaca u Vrhovnom državnom tužilaštvu ocjenjuje se, radi procjene njihove efikasnosti i integriteta u slutaju prijave za obavljanje funkcije u sudstvu.</w:t>
            </w:r>
          </w:p>
          <w:p w14:paraId="3EA15D8C" w14:textId="77777777" w:rsidR="00AA186F" w:rsidRPr="00E111BE" w:rsidRDefault="00AA186F" w:rsidP="008B47B8">
            <w:pPr>
              <w:rPr>
                <w:rFonts w:ascii="Arial" w:hAnsi="Arial" w:cs="Arial"/>
                <w:sz w:val="20"/>
                <w:szCs w:val="20"/>
              </w:rPr>
            </w:pPr>
            <w:r w:rsidRPr="00E111BE">
              <w:rPr>
                <w:rFonts w:ascii="Arial" w:hAnsi="Arial" w:cs="Arial"/>
                <w:sz w:val="20"/>
                <w:szCs w:val="20"/>
              </w:rPr>
              <w:t>Ocjene rada državnog tuzioca u Vrhovnom državnom tužilaštvu su odličan, dobar, zadovoljava i ne zadovoljava.</w:t>
            </w:r>
          </w:p>
          <w:p w14:paraId="4F8E89C4" w14:textId="77777777" w:rsidR="00AA186F" w:rsidRPr="00E111BE" w:rsidRDefault="00AA186F" w:rsidP="008B47B8">
            <w:pPr>
              <w:rPr>
                <w:rFonts w:ascii="Arial" w:hAnsi="Arial" w:cs="Arial"/>
                <w:sz w:val="20"/>
                <w:szCs w:val="20"/>
              </w:rPr>
            </w:pPr>
          </w:p>
          <w:p w14:paraId="2A48101A" w14:textId="77777777" w:rsidR="00AA186F" w:rsidRPr="00E111BE" w:rsidRDefault="00AA186F" w:rsidP="008B47B8">
            <w:pPr>
              <w:rPr>
                <w:rFonts w:ascii="Arial" w:hAnsi="Arial" w:cs="Arial"/>
                <w:sz w:val="20"/>
                <w:szCs w:val="20"/>
              </w:rPr>
            </w:pPr>
            <w:r w:rsidRPr="00E111BE">
              <w:rPr>
                <w:rFonts w:ascii="Arial" w:hAnsi="Arial" w:cs="Arial"/>
                <w:sz w:val="20"/>
                <w:szCs w:val="20"/>
              </w:rPr>
              <w:t>Odluka o ocjeni rada državnih tužilaca u Vrhovnom državnom tužilaštvu</w:t>
            </w:r>
          </w:p>
          <w:p w14:paraId="299E7E81"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100b</w:t>
            </w:r>
          </w:p>
          <w:p w14:paraId="4067D229" w14:textId="321C77FC" w:rsidR="00AA186F" w:rsidRPr="00E111BE" w:rsidRDefault="00AA186F" w:rsidP="008B47B8">
            <w:pPr>
              <w:rPr>
                <w:rFonts w:ascii="Arial" w:hAnsi="Arial" w:cs="Arial"/>
                <w:sz w:val="20"/>
                <w:szCs w:val="20"/>
              </w:rPr>
            </w:pPr>
            <w:r w:rsidRPr="00E111BE">
              <w:rPr>
                <w:rFonts w:ascii="Arial" w:hAnsi="Arial" w:cs="Arial"/>
                <w:sz w:val="20"/>
                <w:szCs w:val="20"/>
              </w:rPr>
              <w:t>Ocjenjivanje rada drzavnih tuzilaca u Vrhovno drzavnom tuzilaštvu vrši Komisija za</w:t>
            </w:r>
          </w:p>
          <w:p w14:paraId="69F64AAE" w14:textId="77777777" w:rsidR="00AA186F" w:rsidRPr="00E111BE" w:rsidRDefault="00AA186F" w:rsidP="008B47B8">
            <w:pPr>
              <w:rPr>
                <w:rFonts w:ascii="Arial" w:hAnsi="Arial" w:cs="Arial"/>
                <w:sz w:val="20"/>
                <w:szCs w:val="20"/>
              </w:rPr>
            </w:pPr>
            <w:r w:rsidRPr="00E111BE">
              <w:rPr>
                <w:rFonts w:ascii="Arial" w:hAnsi="Arial" w:cs="Arial"/>
                <w:sz w:val="20"/>
                <w:szCs w:val="20"/>
              </w:rPr>
              <w:lastRenderedPageBreak/>
              <w:t>ocjenjivanje.</w:t>
            </w:r>
          </w:p>
          <w:p w14:paraId="289BE29C" w14:textId="66D04C5C" w:rsidR="00AA186F" w:rsidRPr="00E111BE" w:rsidRDefault="00AA186F" w:rsidP="008B47B8">
            <w:pPr>
              <w:rPr>
                <w:rFonts w:ascii="Arial" w:hAnsi="Arial" w:cs="Arial"/>
                <w:sz w:val="20"/>
                <w:szCs w:val="20"/>
              </w:rPr>
            </w:pPr>
            <w:r w:rsidRPr="00E111BE">
              <w:rPr>
                <w:rFonts w:ascii="Arial" w:hAnsi="Arial" w:cs="Arial"/>
                <w:sz w:val="20"/>
                <w:szCs w:val="20"/>
              </w:rPr>
              <w:t>Odluku o ocjeni rada Komisija za ocjenjivanje donosi na predlog vrhovnog državnog</w:t>
            </w:r>
          </w:p>
          <w:p w14:paraId="7F5135A3" w14:textId="2351FD51" w:rsidR="00AA186F" w:rsidRPr="00E111BE" w:rsidRDefault="00AA186F" w:rsidP="008B47B8">
            <w:pPr>
              <w:rPr>
                <w:rFonts w:ascii="Arial" w:hAnsi="Arial" w:cs="Arial"/>
                <w:sz w:val="20"/>
                <w:szCs w:val="20"/>
              </w:rPr>
            </w:pPr>
            <w:r w:rsidRPr="00E111BE">
              <w:rPr>
                <w:rFonts w:ascii="Arial" w:hAnsi="Arial" w:cs="Arial"/>
                <w:sz w:val="20"/>
                <w:szCs w:val="20"/>
              </w:rPr>
              <w:t>tužioca.</w:t>
            </w:r>
          </w:p>
          <w:p w14:paraId="6983AC8B" w14:textId="77777777" w:rsidR="00AA186F" w:rsidRPr="00E111BE" w:rsidRDefault="00AA186F" w:rsidP="008B47B8">
            <w:pPr>
              <w:rPr>
                <w:rFonts w:ascii="Arial" w:hAnsi="Arial" w:cs="Arial"/>
                <w:sz w:val="20"/>
                <w:szCs w:val="20"/>
              </w:rPr>
            </w:pPr>
          </w:p>
          <w:p w14:paraId="7B7F33EC" w14:textId="092AF594" w:rsidR="00AA186F" w:rsidRPr="00E111BE" w:rsidRDefault="00AA186F" w:rsidP="008B47B8">
            <w:pPr>
              <w:rPr>
                <w:rFonts w:ascii="Arial" w:hAnsi="Arial" w:cs="Arial"/>
                <w:sz w:val="20"/>
                <w:szCs w:val="20"/>
              </w:rPr>
            </w:pPr>
            <w:r w:rsidRPr="00E111BE">
              <w:rPr>
                <w:rFonts w:ascii="Arial" w:hAnsi="Arial" w:cs="Arial"/>
                <w:sz w:val="20"/>
                <w:szCs w:val="20"/>
              </w:rPr>
              <w:t>Kriterijumi za ocjenjivanje rada državnih tužilaca u Vrhovnom državnom tužilaštvu</w:t>
            </w:r>
          </w:p>
          <w:p w14:paraId="59F7E65C"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100c</w:t>
            </w:r>
          </w:p>
          <w:p w14:paraId="164D3A8E" w14:textId="12ECFEBE" w:rsidR="00AA186F" w:rsidRPr="00E111BE" w:rsidRDefault="00AA186F" w:rsidP="008B47B8">
            <w:pPr>
              <w:rPr>
                <w:rFonts w:ascii="Arial" w:hAnsi="Arial" w:cs="Arial"/>
                <w:sz w:val="20"/>
                <w:szCs w:val="20"/>
              </w:rPr>
            </w:pPr>
            <w:r w:rsidRPr="00E111BE">
              <w:rPr>
                <w:rFonts w:ascii="Arial" w:hAnsi="Arial" w:cs="Arial"/>
                <w:sz w:val="20"/>
                <w:szCs w:val="20"/>
              </w:rPr>
              <w:t>Kriterijumi za ocjenjivanje rada državnih tužilaca u Vrhovnom državnom tužilaštvu su:</w:t>
            </w:r>
          </w:p>
          <w:p w14:paraId="2BCC18FA" w14:textId="77777777" w:rsidR="00AA186F" w:rsidRPr="00E111BE" w:rsidRDefault="00AA186F" w:rsidP="008B47B8">
            <w:pPr>
              <w:rPr>
                <w:rFonts w:ascii="Arial" w:hAnsi="Arial" w:cs="Arial"/>
                <w:sz w:val="20"/>
                <w:szCs w:val="20"/>
              </w:rPr>
            </w:pPr>
            <w:r w:rsidRPr="00E111BE">
              <w:rPr>
                <w:rFonts w:ascii="Arial" w:hAnsi="Arial" w:cs="Arial"/>
                <w:sz w:val="20"/>
                <w:szCs w:val="20"/>
              </w:rPr>
              <w:t>1) efikasnost rada;</w:t>
            </w:r>
          </w:p>
          <w:p w14:paraId="4FE6FBEC" w14:textId="521B9A14" w:rsidR="00AA186F" w:rsidRPr="00E111BE" w:rsidRDefault="00AA186F" w:rsidP="008B47B8">
            <w:pPr>
              <w:rPr>
                <w:rFonts w:ascii="Arial" w:hAnsi="Arial" w:cs="Arial"/>
                <w:sz w:val="20"/>
                <w:szCs w:val="20"/>
              </w:rPr>
            </w:pPr>
            <w:r w:rsidRPr="00E111BE">
              <w:rPr>
                <w:rFonts w:ascii="Arial" w:hAnsi="Arial" w:cs="Arial"/>
                <w:sz w:val="20"/>
                <w:szCs w:val="20"/>
              </w:rPr>
              <w:t>2) integritet.</w:t>
            </w:r>
          </w:p>
          <w:p w14:paraId="35E77FDE" w14:textId="127F99C7" w:rsidR="00AA186F" w:rsidRPr="00E111BE" w:rsidRDefault="00AA186F" w:rsidP="008B47B8">
            <w:pPr>
              <w:rPr>
                <w:rFonts w:ascii="Arial" w:hAnsi="Arial" w:cs="Arial"/>
                <w:sz w:val="20"/>
                <w:szCs w:val="20"/>
              </w:rPr>
            </w:pPr>
            <w:r w:rsidRPr="00E111BE">
              <w:rPr>
                <w:rFonts w:ascii="Arial" w:hAnsi="Arial" w:cs="Arial"/>
                <w:sz w:val="20"/>
                <w:szCs w:val="20"/>
              </w:rPr>
              <w:t>Efikasnost rada državnog tužioca u Vrhovnom državnom tužilastvu ocjenjuje se na osnovu broja riješenih predmeta i broja primljenih predmeta u periodu ocjenjivanja, u odnosu na prosječan broj riješenih predmeta po određenoj vrsti.</w:t>
            </w:r>
          </w:p>
          <w:p w14:paraId="2B56AC23" w14:textId="2B9F78BC" w:rsidR="00AA186F" w:rsidRPr="00E111BE" w:rsidRDefault="00AA186F" w:rsidP="008B47B8">
            <w:pPr>
              <w:rPr>
                <w:rFonts w:ascii="Arial" w:hAnsi="Arial" w:cs="Arial"/>
                <w:sz w:val="20"/>
                <w:szCs w:val="20"/>
              </w:rPr>
            </w:pPr>
            <w:r w:rsidRPr="00E111BE">
              <w:rPr>
                <w:rFonts w:ascii="Arial" w:hAnsi="Arial" w:cs="Arial"/>
                <w:sz w:val="20"/>
                <w:szCs w:val="20"/>
              </w:rPr>
              <w:t>Integritet državnih tužilaca u Vrhovnom državnom tužilaštvu ocjenjuje se na osnovu podataka o disciplinskoj odgovornosti državnog tužioca i povredi Etitkog kodeksa državnih tužilaca.</w:t>
            </w:r>
          </w:p>
          <w:p w14:paraId="1FE7815E" w14:textId="77777777" w:rsidR="00AA186F" w:rsidRPr="00E111BE" w:rsidRDefault="00AA186F" w:rsidP="008B47B8">
            <w:pPr>
              <w:rPr>
                <w:rFonts w:ascii="Arial" w:hAnsi="Arial" w:cs="Arial"/>
                <w:sz w:val="20"/>
                <w:szCs w:val="20"/>
              </w:rPr>
            </w:pPr>
          </w:p>
          <w:p w14:paraId="371678C2" w14:textId="1F5D3A6A" w:rsidR="00AA186F" w:rsidRPr="00E111BE" w:rsidRDefault="00AA186F" w:rsidP="008B47B8">
            <w:pPr>
              <w:rPr>
                <w:rFonts w:ascii="Arial" w:hAnsi="Arial" w:cs="Arial"/>
                <w:sz w:val="20"/>
                <w:szCs w:val="20"/>
              </w:rPr>
            </w:pPr>
            <w:r w:rsidRPr="00E111BE">
              <w:rPr>
                <w:rFonts w:ascii="Arial" w:hAnsi="Arial" w:cs="Arial"/>
                <w:sz w:val="20"/>
                <w:szCs w:val="20"/>
              </w:rPr>
              <w:t>Izvori ocjenjivanja rada državnih tužilaca u Vrhovnom državnom tužilaštvu</w:t>
            </w:r>
          </w:p>
          <w:p w14:paraId="74236D3C"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100d</w:t>
            </w:r>
          </w:p>
          <w:p w14:paraId="5F1ED74C" w14:textId="54351513" w:rsidR="00AA186F" w:rsidRPr="00E111BE" w:rsidRDefault="00AA186F" w:rsidP="008B47B8">
            <w:pPr>
              <w:rPr>
                <w:rFonts w:ascii="Arial" w:hAnsi="Arial" w:cs="Arial"/>
                <w:sz w:val="20"/>
                <w:szCs w:val="20"/>
              </w:rPr>
            </w:pPr>
            <w:r w:rsidRPr="00E111BE">
              <w:rPr>
                <w:rFonts w:ascii="Arial" w:hAnsi="Arial" w:cs="Arial"/>
                <w:sz w:val="20"/>
                <w:szCs w:val="20"/>
              </w:rPr>
              <w:t>Ocjenjivanje rada državnog tužioca u Vrhovnom državnom tužilaštvu po kriterijumima iz člana 100c ovog zakona vrši se uvidom u:</w:t>
            </w:r>
          </w:p>
          <w:p w14:paraId="3D365A79" w14:textId="402392EB" w:rsidR="00AA186F" w:rsidRPr="00E111BE" w:rsidRDefault="00AA186F" w:rsidP="008B47B8">
            <w:pPr>
              <w:rPr>
                <w:rFonts w:ascii="Arial" w:hAnsi="Arial" w:cs="Arial"/>
                <w:sz w:val="20"/>
                <w:szCs w:val="20"/>
              </w:rPr>
            </w:pPr>
            <w:r w:rsidRPr="00E111BE">
              <w:rPr>
                <w:rFonts w:ascii="Arial" w:hAnsi="Arial" w:cs="Arial"/>
                <w:sz w:val="20"/>
                <w:szCs w:val="20"/>
              </w:rPr>
              <w:t>1) izvještaj o ukupnom broju predmeta u radu, broju primljenih predmeta u periodu ocjenjivanja;</w:t>
            </w:r>
          </w:p>
          <w:p w14:paraId="212C4353" w14:textId="0AE72F27" w:rsidR="00AA186F" w:rsidRPr="00E111BE" w:rsidRDefault="00AA186F" w:rsidP="008B47B8">
            <w:pPr>
              <w:rPr>
                <w:rFonts w:ascii="Arial" w:hAnsi="Arial" w:cs="Arial"/>
                <w:sz w:val="20"/>
                <w:szCs w:val="20"/>
              </w:rPr>
            </w:pPr>
            <w:r w:rsidRPr="00E111BE">
              <w:rPr>
                <w:rFonts w:ascii="Arial" w:hAnsi="Arial" w:cs="Arial"/>
                <w:sz w:val="20"/>
                <w:szCs w:val="20"/>
              </w:rPr>
              <w:t>2) statistički izvještaj o radu državnog tužioca, koji sadrzi podatke o radu, podatke iz evidencije o</w:t>
            </w:r>
            <w:r w:rsidR="00E45FAD" w:rsidRPr="00E111BE">
              <w:rPr>
                <w:rFonts w:ascii="Arial" w:hAnsi="Arial" w:cs="Arial"/>
                <w:sz w:val="20"/>
                <w:szCs w:val="20"/>
              </w:rPr>
              <w:t xml:space="preserve"> </w:t>
            </w:r>
            <w:r w:rsidRPr="00E111BE">
              <w:rPr>
                <w:rFonts w:ascii="Arial" w:hAnsi="Arial" w:cs="Arial"/>
                <w:sz w:val="20"/>
                <w:szCs w:val="20"/>
              </w:rPr>
              <w:t>državnim tužiocima, kao i podatke o disciplinskoj odgovornosti i povredi Etičkog kodeksa državnih tužilaca.</w:t>
            </w:r>
          </w:p>
          <w:p w14:paraId="23EDB757" w14:textId="77777777" w:rsidR="00AA186F" w:rsidRPr="00E111BE" w:rsidRDefault="00AA186F" w:rsidP="008B47B8">
            <w:pPr>
              <w:rPr>
                <w:rFonts w:ascii="Arial" w:hAnsi="Arial" w:cs="Arial"/>
                <w:sz w:val="20"/>
                <w:szCs w:val="20"/>
              </w:rPr>
            </w:pPr>
          </w:p>
          <w:p w14:paraId="3A1F808C" w14:textId="7A211CC5" w:rsidR="00AA186F" w:rsidRPr="00E111BE" w:rsidRDefault="00AA186F" w:rsidP="008B47B8">
            <w:pPr>
              <w:rPr>
                <w:rFonts w:ascii="Arial" w:hAnsi="Arial" w:cs="Arial"/>
                <w:sz w:val="20"/>
                <w:szCs w:val="20"/>
              </w:rPr>
            </w:pPr>
            <w:r w:rsidRPr="00E111BE">
              <w:rPr>
                <w:rFonts w:ascii="Arial" w:hAnsi="Arial" w:cs="Arial"/>
                <w:sz w:val="20"/>
                <w:szCs w:val="20"/>
              </w:rPr>
              <w:t>Predlog za ocjenjivanje rada državnih tužilaca u Vrhovnom državnom tužilaštvu</w:t>
            </w:r>
          </w:p>
          <w:p w14:paraId="659359F1"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100e</w:t>
            </w:r>
          </w:p>
          <w:p w14:paraId="06A0A94B" w14:textId="38E48191" w:rsidR="00AA186F" w:rsidRPr="00E111BE" w:rsidRDefault="00AA186F" w:rsidP="008B47B8">
            <w:pPr>
              <w:rPr>
                <w:rFonts w:ascii="Arial" w:hAnsi="Arial" w:cs="Arial"/>
                <w:sz w:val="20"/>
                <w:szCs w:val="20"/>
              </w:rPr>
            </w:pPr>
            <w:r w:rsidRPr="00E111BE">
              <w:rPr>
                <w:rFonts w:ascii="Arial" w:hAnsi="Arial" w:cs="Arial"/>
                <w:sz w:val="20"/>
                <w:szCs w:val="20"/>
              </w:rPr>
              <w:t>Vrhovni državni tužilac sačinjava izvještaj o ocjenjivanju rada državnog tužioca u Vrhovnom državnom tužilaštvu po kriterijumima iz člana 100c ovog zakona, u roku od 30 dana od dostavljanja dokumentacije iz člana 100d ovog zakona.</w:t>
            </w:r>
          </w:p>
          <w:p w14:paraId="69951E2B" w14:textId="719F5C6B" w:rsidR="00AA186F" w:rsidRPr="00E111BE" w:rsidRDefault="00AA186F" w:rsidP="008B47B8">
            <w:pPr>
              <w:rPr>
                <w:rFonts w:ascii="Arial" w:hAnsi="Arial" w:cs="Arial"/>
                <w:sz w:val="20"/>
                <w:szCs w:val="20"/>
              </w:rPr>
            </w:pPr>
            <w:r w:rsidRPr="00E111BE">
              <w:rPr>
                <w:rFonts w:ascii="Arial" w:hAnsi="Arial" w:cs="Arial"/>
                <w:sz w:val="20"/>
                <w:szCs w:val="20"/>
              </w:rPr>
              <w:t>Na osnovu izvještaja iz stava 1 ovog člana Vrhovni državni tužilac sačinjava predlog ocjene državnog tužioca koji se ocjenjuje i upućuje ga Komisiji za ocjenjivanje.</w:t>
            </w:r>
          </w:p>
          <w:p w14:paraId="09A97095" w14:textId="77777777" w:rsidR="00AA186F" w:rsidRPr="00E111BE" w:rsidRDefault="00AA186F" w:rsidP="008B47B8">
            <w:pPr>
              <w:rPr>
                <w:rFonts w:ascii="Arial" w:hAnsi="Arial" w:cs="Arial"/>
                <w:sz w:val="20"/>
                <w:szCs w:val="20"/>
              </w:rPr>
            </w:pPr>
          </w:p>
          <w:p w14:paraId="18B3488A" w14:textId="24DA970D" w:rsidR="00AA186F" w:rsidRPr="00E111BE" w:rsidRDefault="00AA186F" w:rsidP="008B47B8">
            <w:pPr>
              <w:rPr>
                <w:rFonts w:ascii="Arial" w:hAnsi="Arial" w:cs="Arial"/>
                <w:sz w:val="20"/>
                <w:szCs w:val="20"/>
              </w:rPr>
            </w:pPr>
            <w:r w:rsidRPr="00E111BE">
              <w:rPr>
                <w:rFonts w:ascii="Arial" w:hAnsi="Arial" w:cs="Arial"/>
                <w:sz w:val="20"/>
                <w:szCs w:val="20"/>
              </w:rPr>
              <w:t>Izjašnjenje državnog tužioca u Vrhovnom državnom tužilaštvu na predlog ocjene</w:t>
            </w:r>
          </w:p>
          <w:p w14:paraId="30F2A5B5"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100f</w:t>
            </w:r>
          </w:p>
          <w:p w14:paraId="56C947AF" w14:textId="4F704686" w:rsidR="00AA186F" w:rsidRPr="00E111BE" w:rsidRDefault="00AA186F" w:rsidP="008B47B8">
            <w:pPr>
              <w:rPr>
                <w:rFonts w:ascii="Arial" w:hAnsi="Arial" w:cs="Arial"/>
                <w:sz w:val="20"/>
                <w:szCs w:val="20"/>
              </w:rPr>
            </w:pPr>
            <w:r w:rsidRPr="00E111BE">
              <w:rPr>
                <w:rFonts w:ascii="Arial" w:hAnsi="Arial" w:cs="Arial"/>
                <w:sz w:val="20"/>
                <w:szCs w:val="20"/>
              </w:rPr>
              <w:t>Komisija za ocjenjivanje dostavlja predlog ocjene iz 100e stav 2 ovog zakona državnom tužiocu u Vrhovnom državnom tužilaštvu čiji se rad ocjenjuje, koji ima pravo da se o tom predlogu izjasni, u roku od pet dana od dana dostavljanja predloga ocjene.</w:t>
            </w:r>
          </w:p>
          <w:p w14:paraId="7CC7EC57" w14:textId="736FCBD7" w:rsidR="00AA186F" w:rsidRPr="00E111BE" w:rsidRDefault="00AA186F" w:rsidP="008B47B8">
            <w:pPr>
              <w:rPr>
                <w:rFonts w:ascii="Arial" w:hAnsi="Arial" w:cs="Arial"/>
                <w:sz w:val="20"/>
                <w:szCs w:val="20"/>
              </w:rPr>
            </w:pPr>
            <w:r w:rsidRPr="00E111BE">
              <w:rPr>
                <w:rFonts w:ascii="Arial" w:hAnsi="Arial" w:cs="Arial"/>
                <w:sz w:val="20"/>
                <w:szCs w:val="20"/>
              </w:rPr>
              <w:t>Komisija za ocjenjivanje moze tražiti dodatne podatke i objašnjenja od Vrhovnog državnog  tužioca.</w:t>
            </w:r>
          </w:p>
          <w:p w14:paraId="74430071" w14:textId="1660D57D" w:rsidR="00AA186F" w:rsidRPr="00E111BE" w:rsidRDefault="00AA186F" w:rsidP="008B47B8">
            <w:pPr>
              <w:rPr>
                <w:rFonts w:ascii="Arial" w:hAnsi="Arial" w:cs="Arial"/>
                <w:sz w:val="20"/>
                <w:szCs w:val="20"/>
              </w:rPr>
            </w:pPr>
            <w:r w:rsidRPr="00E111BE">
              <w:rPr>
                <w:rFonts w:ascii="Arial" w:hAnsi="Arial" w:cs="Arial"/>
                <w:sz w:val="20"/>
                <w:szCs w:val="20"/>
              </w:rPr>
              <w:t>Komisija za ocjenjivanje može pozvati na razgovor državnog tužioca u Vrhovnom državnom tužilaštvu prije utvrđivanja konačne ocjene radi razjašnjenja određenih pitanja.</w:t>
            </w:r>
          </w:p>
          <w:p w14:paraId="4974E5E3" w14:textId="1E1B7C43" w:rsidR="00AA186F" w:rsidRPr="00E111BE" w:rsidRDefault="00AA186F" w:rsidP="008B47B8">
            <w:pPr>
              <w:rPr>
                <w:rFonts w:ascii="Arial" w:hAnsi="Arial" w:cs="Arial"/>
                <w:sz w:val="20"/>
                <w:szCs w:val="20"/>
              </w:rPr>
            </w:pPr>
            <w:r w:rsidRPr="00E111BE">
              <w:rPr>
                <w:rFonts w:ascii="Arial" w:hAnsi="Arial" w:cs="Arial"/>
                <w:sz w:val="20"/>
                <w:szCs w:val="20"/>
              </w:rPr>
              <w:t>Utvrđivanje ocjene</w:t>
            </w:r>
          </w:p>
          <w:p w14:paraId="24A4129A"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100g</w:t>
            </w:r>
          </w:p>
          <w:p w14:paraId="1F3D5A4F" w14:textId="61AE0C1F" w:rsidR="00AA186F" w:rsidRPr="00E111BE" w:rsidRDefault="00AA186F" w:rsidP="008B47B8">
            <w:pPr>
              <w:rPr>
                <w:rFonts w:ascii="Arial" w:hAnsi="Arial" w:cs="Arial"/>
                <w:sz w:val="20"/>
                <w:szCs w:val="20"/>
              </w:rPr>
            </w:pPr>
            <w:r w:rsidRPr="00E111BE">
              <w:rPr>
                <w:rFonts w:ascii="Arial" w:hAnsi="Arial" w:cs="Arial"/>
                <w:sz w:val="20"/>
                <w:szCs w:val="20"/>
              </w:rPr>
              <w:t>Državni tužilac u Vrhovnom državnom tužilaštvu se ocjenjuje ocjenom rada odličan ako je njegov rad po svim kriterijumima ocijenjen ocjenom odličan.</w:t>
            </w:r>
          </w:p>
          <w:p w14:paraId="53598A4C" w14:textId="6A5318D4" w:rsidR="00AA186F" w:rsidRPr="00E111BE" w:rsidRDefault="00AA186F" w:rsidP="008B47B8">
            <w:pPr>
              <w:rPr>
                <w:rFonts w:ascii="Arial" w:hAnsi="Arial" w:cs="Arial"/>
                <w:sz w:val="20"/>
                <w:szCs w:val="20"/>
              </w:rPr>
            </w:pPr>
            <w:r w:rsidRPr="00E111BE">
              <w:rPr>
                <w:rFonts w:ascii="Arial" w:hAnsi="Arial" w:cs="Arial"/>
                <w:sz w:val="20"/>
                <w:szCs w:val="20"/>
              </w:rPr>
              <w:t>Državni tužilac u Vrhovnom državnom tužilaštvu se ocjenjuje ocjenom rada dobar ako je njegov rad po svim kriterijumima ocijenjen ocjenom dobar odnosno ako je po jednom kriterijumu ocijenjen ocjenom odličan, a po drugom dobar ili zadovoljava.</w:t>
            </w:r>
          </w:p>
          <w:p w14:paraId="3E255034" w14:textId="40FB9466" w:rsidR="00AA186F" w:rsidRPr="00E111BE" w:rsidRDefault="00AA186F" w:rsidP="008B47B8">
            <w:pPr>
              <w:rPr>
                <w:rFonts w:ascii="Arial" w:hAnsi="Arial" w:cs="Arial"/>
                <w:sz w:val="20"/>
                <w:szCs w:val="20"/>
              </w:rPr>
            </w:pPr>
            <w:r w:rsidRPr="00E111BE">
              <w:rPr>
                <w:rFonts w:ascii="Arial" w:hAnsi="Arial" w:cs="Arial"/>
                <w:sz w:val="20"/>
                <w:szCs w:val="20"/>
              </w:rPr>
              <w:t>Državni tužilac u Vrhovnom državnom tužilaštvu se ocjenjuje ocjenom rada zadovoljava ako je njegov rad po svim kriterijumima ocijenjen ocjenom zadovoljava, odnosno ako je po jednom kriterijumu ocijenjen ocjenom zadovoljava, a po drugom ne zadovoljava.</w:t>
            </w:r>
          </w:p>
          <w:p w14:paraId="06797CD9" w14:textId="4450B369" w:rsidR="00AA186F" w:rsidRPr="00E111BE" w:rsidRDefault="00AA186F" w:rsidP="008B47B8">
            <w:pPr>
              <w:rPr>
                <w:rFonts w:ascii="Arial" w:hAnsi="Arial" w:cs="Arial"/>
                <w:sz w:val="20"/>
                <w:szCs w:val="20"/>
              </w:rPr>
            </w:pPr>
            <w:r w:rsidRPr="00E111BE">
              <w:rPr>
                <w:rFonts w:ascii="Arial" w:hAnsi="Arial" w:cs="Arial"/>
                <w:sz w:val="20"/>
                <w:szCs w:val="20"/>
              </w:rPr>
              <w:t>Državni tužilac u Vrhovnom državnom tužilaštvu se ocjenjuje ocjenom rada ne zadovoljava ako je njegov rad po svim kriterijumima ocijenjen ocjenom ne zadovoljava.</w:t>
            </w:r>
          </w:p>
          <w:p w14:paraId="66FF8E38" w14:textId="77777777" w:rsidR="00AA186F" w:rsidRPr="00E111BE" w:rsidRDefault="00AA186F" w:rsidP="008B47B8">
            <w:pPr>
              <w:rPr>
                <w:rFonts w:ascii="Arial" w:hAnsi="Arial" w:cs="Arial"/>
                <w:sz w:val="20"/>
                <w:szCs w:val="20"/>
              </w:rPr>
            </w:pPr>
          </w:p>
          <w:p w14:paraId="7DB734CB" w14:textId="77777777" w:rsidR="00AA186F" w:rsidRPr="00E111BE" w:rsidRDefault="00AA186F" w:rsidP="008B47B8">
            <w:pPr>
              <w:rPr>
                <w:rFonts w:ascii="Arial" w:hAnsi="Arial" w:cs="Arial"/>
                <w:sz w:val="20"/>
                <w:szCs w:val="20"/>
              </w:rPr>
            </w:pPr>
            <w:r w:rsidRPr="00E111BE">
              <w:rPr>
                <w:rFonts w:ascii="Arial" w:hAnsi="Arial" w:cs="Arial"/>
                <w:sz w:val="20"/>
                <w:szCs w:val="20"/>
              </w:rPr>
              <w:t>Ocjena</w:t>
            </w:r>
          </w:p>
          <w:p w14:paraId="78715723"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100h</w:t>
            </w:r>
          </w:p>
          <w:p w14:paraId="4E8A4F1E" w14:textId="38CD1C5C" w:rsidR="00AA186F" w:rsidRPr="00E111BE" w:rsidRDefault="00AA186F" w:rsidP="008B47B8">
            <w:pPr>
              <w:rPr>
                <w:rFonts w:ascii="Arial" w:hAnsi="Arial" w:cs="Arial"/>
                <w:sz w:val="20"/>
                <w:szCs w:val="20"/>
              </w:rPr>
            </w:pPr>
            <w:r w:rsidRPr="00E111BE">
              <w:rPr>
                <w:rFonts w:ascii="Arial" w:hAnsi="Arial" w:cs="Arial"/>
                <w:sz w:val="20"/>
                <w:szCs w:val="20"/>
              </w:rPr>
              <w:t>Odluka Komisije za ocjenjivanje o ocjeni rada državnog tužioca u Vrhovnom državnom tužilaštvu je konačna i protiv nje se moze pokrenuti upravni spor.</w:t>
            </w:r>
          </w:p>
          <w:p w14:paraId="39C4D69A" w14:textId="74FFFAB1" w:rsidR="00AA186F" w:rsidRPr="00E111BE" w:rsidRDefault="00AA186F" w:rsidP="008B47B8">
            <w:pPr>
              <w:rPr>
                <w:rFonts w:ascii="Arial" w:hAnsi="Arial" w:cs="Arial"/>
                <w:sz w:val="20"/>
                <w:szCs w:val="20"/>
              </w:rPr>
            </w:pPr>
            <w:r w:rsidRPr="00E111BE">
              <w:rPr>
                <w:rFonts w:ascii="Arial" w:hAnsi="Arial" w:cs="Arial"/>
                <w:sz w:val="20"/>
                <w:szCs w:val="20"/>
              </w:rPr>
              <w:t>Pravosnažna odluka o ocjeni državnog tužioca u Vrhovnom državnom tužilaštvu upisuje se u evidenciju državnih tužilaca.</w:t>
            </w:r>
          </w:p>
          <w:p w14:paraId="1B415E46" w14:textId="77777777" w:rsidR="00AA186F" w:rsidRPr="00E111BE" w:rsidRDefault="00AA186F" w:rsidP="008B47B8">
            <w:pPr>
              <w:rPr>
                <w:rFonts w:ascii="Arial" w:hAnsi="Arial" w:cs="Arial"/>
                <w:sz w:val="20"/>
                <w:szCs w:val="20"/>
              </w:rPr>
            </w:pPr>
          </w:p>
          <w:p w14:paraId="4F69AB8F" w14:textId="77777777" w:rsidR="00AA186F" w:rsidRPr="00E111BE" w:rsidRDefault="00AA186F" w:rsidP="008B47B8">
            <w:pPr>
              <w:rPr>
                <w:rFonts w:ascii="Arial" w:hAnsi="Arial" w:cs="Arial"/>
                <w:sz w:val="20"/>
                <w:szCs w:val="20"/>
              </w:rPr>
            </w:pPr>
            <w:r w:rsidRPr="00E111BE">
              <w:rPr>
                <w:rFonts w:ascii="Arial" w:hAnsi="Arial" w:cs="Arial"/>
                <w:sz w:val="20"/>
                <w:szCs w:val="20"/>
              </w:rPr>
              <w:t>Posljedice ocjene</w:t>
            </w:r>
          </w:p>
          <w:p w14:paraId="23E77015"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100i</w:t>
            </w:r>
          </w:p>
          <w:p w14:paraId="1B74E6B1" w14:textId="13F12675" w:rsidR="00AA186F" w:rsidRPr="00E111BE" w:rsidRDefault="00AA186F" w:rsidP="008B47B8">
            <w:pPr>
              <w:rPr>
                <w:rFonts w:ascii="Arial" w:hAnsi="Arial" w:cs="Arial"/>
                <w:sz w:val="20"/>
                <w:szCs w:val="20"/>
              </w:rPr>
            </w:pPr>
            <w:r w:rsidRPr="00E111BE">
              <w:rPr>
                <w:rFonts w:ascii="Arial" w:hAnsi="Arial" w:cs="Arial"/>
                <w:sz w:val="20"/>
                <w:szCs w:val="20"/>
              </w:rPr>
              <w:t xml:space="preserve">Državni tužilac u Vrhovnom državnom tužilaštvu koji je ocijenjen ocjenom zadovoljava, odnosno ocjenom ne zadovoljava upućuje se na program </w:t>
            </w:r>
            <w:r w:rsidRPr="00E111BE">
              <w:rPr>
                <w:rFonts w:ascii="Arial" w:hAnsi="Arial" w:cs="Arial"/>
                <w:sz w:val="20"/>
                <w:szCs w:val="20"/>
              </w:rPr>
              <w:lastRenderedPageBreak/>
              <w:t>obavezne kontinuirane obuke, u skladu sa zakonom kojim se uređuje obuka državnih tužilaca.</w:t>
            </w:r>
          </w:p>
          <w:p w14:paraId="16048E79" w14:textId="7F95820F" w:rsidR="00AA186F" w:rsidRPr="00E111BE" w:rsidRDefault="00AA186F" w:rsidP="008B47B8">
            <w:pPr>
              <w:rPr>
                <w:rFonts w:ascii="Arial" w:hAnsi="Arial" w:cs="Arial"/>
                <w:sz w:val="20"/>
                <w:szCs w:val="20"/>
              </w:rPr>
            </w:pPr>
            <w:r w:rsidRPr="00E111BE">
              <w:rPr>
                <w:rFonts w:ascii="Arial" w:hAnsi="Arial" w:cs="Arial"/>
                <w:sz w:val="20"/>
                <w:szCs w:val="20"/>
              </w:rPr>
              <w:t>Na zaštitu podataka o postupku i rezultatima ocjenjivanja rada državnog tužioca u Vrhovnom državnom tužilaštvu primjenjuju se odredbe zakona kojim se ureduje zaštita podataka o ličnosti.</w:t>
            </w:r>
          </w:p>
          <w:p w14:paraId="6F52BB28" w14:textId="53484ABC" w:rsidR="00AA186F" w:rsidRPr="00E111BE" w:rsidRDefault="00AA186F" w:rsidP="008B47B8">
            <w:pPr>
              <w:rPr>
                <w:rFonts w:ascii="Arial" w:hAnsi="Arial" w:cs="Arial"/>
                <w:sz w:val="20"/>
                <w:szCs w:val="20"/>
              </w:rPr>
            </w:pPr>
            <w:r w:rsidRPr="00E111BE">
              <w:rPr>
                <w:rFonts w:ascii="Arial" w:hAnsi="Arial" w:cs="Arial"/>
                <w:sz w:val="20"/>
                <w:szCs w:val="20"/>
              </w:rPr>
              <w:t>U vezi sa predloženim članom 100i, posebno se primjedbom ističe da Nacrtom zakona nijesu propisani kriterijumi za ocjenjivanje kvaliteta rada državnih tužilaca u Vrhovnom državnom tužilaštvu, te da je neophodno prethodno precizno propisati te kriterijume.</w:t>
            </w:r>
          </w:p>
          <w:p w14:paraId="2EF8F34D" w14:textId="77777777" w:rsidR="00AA186F" w:rsidRPr="00E111BE" w:rsidRDefault="00AA186F" w:rsidP="008B47B8">
            <w:pPr>
              <w:rPr>
                <w:rFonts w:ascii="Arial" w:hAnsi="Arial" w:cs="Arial"/>
                <w:b/>
                <w:sz w:val="20"/>
                <w:szCs w:val="20"/>
              </w:rPr>
            </w:pPr>
          </w:p>
          <w:p w14:paraId="647BC6D2" w14:textId="24A23E0D" w:rsidR="00AA186F" w:rsidRPr="00E111BE" w:rsidRDefault="00AA186F" w:rsidP="008B47B8">
            <w:pPr>
              <w:rPr>
                <w:rFonts w:ascii="Arial" w:hAnsi="Arial" w:cs="Arial"/>
                <w:sz w:val="20"/>
                <w:szCs w:val="20"/>
              </w:rPr>
            </w:pPr>
            <w:r w:rsidRPr="00E111BE">
              <w:rPr>
                <w:rFonts w:ascii="Arial" w:hAnsi="Arial" w:cs="Arial"/>
                <w:sz w:val="20"/>
                <w:szCs w:val="20"/>
              </w:rPr>
              <w:t>Posebna pravila za ocjenjivanje rada državnih tužilaca u Vrhovnom državnom tužilaštvu</w:t>
            </w:r>
          </w:p>
          <w:p w14:paraId="7B874C6A" w14:textId="77777777" w:rsidR="00AA186F" w:rsidRPr="00E111BE" w:rsidRDefault="00AA186F" w:rsidP="008B47B8">
            <w:pPr>
              <w:rPr>
                <w:rFonts w:ascii="Arial" w:hAnsi="Arial" w:cs="Arial"/>
                <w:sz w:val="20"/>
                <w:szCs w:val="20"/>
              </w:rPr>
            </w:pPr>
            <w:r w:rsidRPr="00E111BE">
              <w:rPr>
                <w:rFonts w:ascii="Arial" w:hAnsi="Arial" w:cs="Arial"/>
                <w:b/>
                <w:sz w:val="20"/>
                <w:szCs w:val="20"/>
              </w:rPr>
              <w:t>Član 100j</w:t>
            </w:r>
          </w:p>
          <w:p w14:paraId="14FB93E2" w14:textId="72A602C2" w:rsidR="00AA186F" w:rsidRPr="00E111BE" w:rsidRDefault="00AA186F" w:rsidP="008B47B8">
            <w:pPr>
              <w:rPr>
                <w:rFonts w:ascii="Arial" w:hAnsi="Arial" w:cs="Arial"/>
                <w:sz w:val="20"/>
                <w:szCs w:val="20"/>
              </w:rPr>
            </w:pPr>
            <w:r w:rsidRPr="00E111BE">
              <w:rPr>
                <w:rFonts w:ascii="Arial" w:hAnsi="Arial" w:cs="Arial"/>
                <w:sz w:val="20"/>
                <w:szCs w:val="20"/>
              </w:rPr>
              <w:t>Postupak ocjenjivanja, način utvrđivanja ocjene, sačinjavanje izvještaja i predloga ocjene na osnovu kriterijuma propisanih za državne tužioce u Vrhovnom državnom tužilaštvu bliže se uređuje posebnim pravilima.</w:t>
            </w:r>
          </w:p>
          <w:p w14:paraId="6977F132" w14:textId="30EDF720"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tc>
      </w:tr>
      <w:tr w:rsidR="00AA186F" w:rsidRPr="00E111BE" w14:paraId="06420BC7" w14:textId="77777777" w:rsidTr="00112022">
        <w:trPr>
          <w:trHeight w:val="795"/>
        </w:trPr>
        <w:tc>
          <w:tcPr>
            <w:tcW w:w="900" w:type="dxa"/>
          </w:tcPr>
          <w:p w14:paraId="489A2F93" w14:textId="77777777"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lastRenderedPageBreak/>
              <w:t>4.</w:t>
            </w:r>
          </w:p>
        </w:tc>
        <w:tc>
          <w:tcPr>
            <w:tcW w:w="2610" w:type="dxa"/>
          </w:tcPr>
          <w:p w14:paraId="5E1FED7F" w14:textId="60075645"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VDT</w:t>
            </w:r>
          </w:p>
        </w:tc>
        <w:tc>
          <w:tcPr>
            <w:tcW w:w="6840" w:type="dxa"/>
          </w:tcPr>
          <w:p w14:paraId="659754B0" w14:textId="1F278B51"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U primjedbi se ističe da izmjena člana 108 stav 6 tačka 5 važećeg Zakona nije prihvatljiva jer se njom narušava postojeća gradacija disciplinskih prekršaja utvrđenih zakonom (lakši, teži i najteži), jer se predloženim rješenjem određeni teži disciplinski prekršaji faktički izjednačavaju sa najtežim disciplinski prekršajima za koje se, kao najstroža disciplinska sankcija, izriče razrješenje.</w:t>
            </w:r>
          </w:p>
          <w:p w14:paraId="212F02ED" w14:textId="2390074E" w:rsidR="00AA186F" w:rsidRPr="00E111BE" w:rsidRDefault="00AA186F" w:rsidP="008B47B8">
            <w:pPr>
              <w:spacing w:before="0" w:after="0" w:line="240" w:lineRule="auto"/>
              <w:rPr>
                <w:rFonts w:ascii="Arial" w:hAnsi="Arial" w:cs="Arial"/>
                <w:color w:val="000000" w:themeColor="text1"/>
                <w:sz w:val="20"/>
                <w:szCs w:val="20"/>
              </w:rPr>
            </w:pPr>
          </w:p>
          <w:p w14:paraId="67750091" w14:textId="4B185E11"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Na kraju se primjedbom navodi da Venecijanska komisija opravdano ukazuje na potrebu jasnog razlikovanja  između disciplinskih prekršaja i principa etičkog ponašanja te da bi se u tom smislu ponašanje državnog tužioca kojim je nanijeta značajna šteta ugledu državnog tužilaštva, trebalo prvenstveno posmatrati kroz standarde utvrđene Etičkim kodeksom državnih tužilaca i rukovodilaca državnih tužilaštava.</w:t>
            </w:r>
          </w:p>
          <w:p w14:paraId="5AEB6821" w14:textId="43491F2C" w:rsidR="00AA186F" w:rsidRPr="00E111BE" w:rsidRDefault="00AA186F" w:rsidP="008B47B8">
            <w:pPr>
              <w:spacing w:before="0" w:after="0" w:line="240" w:lineRule="auto"/>
              <w:rPr>
                <w:rFonts w:ascii="Arial" w:hAnsi="Arial" w:cs="Arial"/>
                <w:color w:val="000000" w:themeColor="text1"/>
                <w:sz w:val="20"/>
                <w:szCs w:val="20"/>
              </w:rPr>
            </w:pPr>
          </w:p>
        </w:tc>
      </w:tr>
      <w:tr w:rsidR="00AA186F" w:rsidRPr="00E111BE" w14:paraId="1802B582" w14:textId="77777777" w:rsidTr="00112022">
        <w:trPr>
          <w:trHeight w:val="780"/>
        </w:trPr>
        <w:tc>
          <w:tcPr>
            <w:tcW w:w="900" w:type="dxa"/>
          </w:tcPr>
          <w:p w14:paraId="2ECA84D9" w14:textId="77777777"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5.</w:t>
            </w:r>
          </w:p>
        </w:tc>
        <w:tc>
          <w:tcPr>
            <w:tcW w:w="2610" w:type="dxa"/>
          </w:tcPr>
          <w:p w14:paraId="7ABA3F78" w14:textId="20DF4D2A"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VDT</w:t>
            </w:r>
          </w:p>
        </w:tc>
        <w:tc>
          <w:tcPr>
            <w:tcW w:w="6840" w:type="dxa"/>
          </w:tcPr>
          <w:p w14:paraId="134EDD99" w14:textId="0A9713E3" w:rsidR="00AA186F" w:rsidRPr="00E111BE" w:rsidRDefault="00AA186F" w:rsidP="008B47B8">
            <w:pPr>
              <w:spacing w:before="0" w:after="0" w:line="240" w:lineRule="auto"/>
              <w:rPr>
                <w:rFonts w:ascii="Arial" w:hAnsi="Arial" w:cs="Arial"/>
                <w:color w:val="000000"/>
                <w:sz w:val="20"/>
                <w:szCs w:val="20"/>
              </w:rPr>
            </w:pPr>
            <w:r w:rsidRPr="00E111BE">
              <w:rPr>
                <w:rFonts w:ascii="Arial" w:hAnsi="Arial" w:cs="Arial"/>
                <w:color w:val="000000"/>
                <w:sz w:val="20"/>
                <w:szCs w:val="20"/>
              </w:rPr>
              <w:t>U primjedbi se navodi da</w:t>
            </w:r>
            <w:r w:rsidRPr="00E111BE">
              <w:rPr>
                <w:rFonts w:ascii="Arial" w:hAnsi="Arial" w:cs="Arial"/>
                <w:sz w:val="20"/>
                <w:szCs w:val="20"/>
              </w:rPr>
              <w:t xml:space="preserve"> </w:t>
            </w:r>
            <w:r w:rsidRPr="00E111BE">
              <w:rPr>
                <w:rFonts w:ascii="Arial" w:hAnsi="Arial" w:cs="Arial"/>
                <w:color w:val="000000"/>
                <w:sz w:val="20"/>
                <w:szCs w:val="20"/>
              </w:rPr>
              <w:t>izmjena člana 110 stav 1 važećeg Zakona nije prihvatljiva jer predstavlja nepotrebno proširenje ovlašćenja članova Savjeta, imajući u vidu postojeću institucionalnu ulogu Tužilačkog savjeta u sistemu nadzora nad primjenom etičkih i disciplinskih standarda, te da bi se uvođenjem mogućnosti da pojedinačni član Tužilačkog savjeta samostalno pokreće inicijativu za utvrđivanje disciplinske odgovornosti dodatno preklopile funkcije iniciranja postupka i odlučivanja o njemu, s obzirom na to da članovi Savjeta učestvuju i u radu tijela koja imaju značajnu ulogu u disciplinskom sistemu.</w:t>
            </w:r>
          </w:p>
          <w:p w14:paraId="049C62E7" w14:textId="77777777" w:rsidR="00AA186F" w:rsidRPr="00E111BE" w:rsidRDefault="00AA186F" w:rsidP="008B47B8">
            <w:pPr>
              <w:spacing w:before="0" w:after="0" w:line="240" w:lineRule="auto"/>
              <w:rPr>
                <w:rFonts w:ascii="Arial" w:hAnsi="Arial" w:cs="Arial"/>
                <w:color w:val="000000"/>
                <w:sz w:val="20"/>
                <w:szCs w:val="20"/>
              </w:rPr>
            </w:pPr>
          </w:p>
          <w:p w14:paraId="52B79D8C" w14:textId="24451DA2" w:rsidR="00AA186F" w:rsidRPr="00E111BE" w:rsidRDefault="00AA186F" w:rsidP="008B47B8">
            <w:pPr>
              <w:spacing w:before="0" w:after="0" w:line="240" w:lineRule="auto"/>
              <w:rPr>
                <w:rFonts w:ascii="Arial" w:hAnsi="Arial" w:cs="Arial"/>
                <w:color w:val="000000"/>
                <w:sz w:val="20"/>
                <w:szCs w:val="20"/>
              </w:rPr>
            </w:pPr>
            <w:r w:rsidRPr="00E111BE">
              <w:rPr>
                <w:rFonts w:ascii="Arial" w:hAnsi="Arial" w:cs="Arial"/>
                <w:color w:val="000000"/>
                <w:sz w:val="20"/>
                <w:szCs w:val="20"/>
              </w:rPr>
              <w:t xml:space="preserve">Primjedba dalje ukazuje da izmjena člana 110 stav 4 važećeg Zakona takođe nije prihvatljiva jer se njime omogućuje da dio članova organa koji odlučuje istovremeno ima ulogu inicijatora postupka čime bi se funkcije pokretanja postupka i odlučivanja o njemu objedinile unutar istog instituacionalnog kruga, što može dovesti u pitanje percepciju objektivnosti i nepristrasnosti odlučivanja a istovremeno otvoriti prostor da se mehanizam razrješenja koristi u kontekstu unutrašnjih odnosa ili neslaganja unutar samog organa. Na kraju se primjedbom ističe da su mehanizmi odgovornosti već uspostavljeni i ne postoji pravna praznina koja bi </w:t>
            </w:r>
            <w:r w:rsidRPr="00E111BE">
              <w:rPr>
                <w:rFonts w:ascii="Arial" w:hAnsi="Arial" w:cs="Arial"/>
                <w:color w:val="000000"/>
                <w:sz w:val="20"/>
                <w:szCs w:val="20"/>
              </w:rPr>
              <w:lastRenderedPageBreak/>
              <w:t>opravdavala dalje proširenje ovlašćenja unutar organa koji odlučuje o inicijativi, te da predloženo rješenje otvara i procesno pitanje položaja članova Tužilačkog savjeta koji bi podnijeli inicijativu, budući da nije jasno da li bi oni mogli učestvovati u odlučivanju o postupku koji su sami pokrenuli.</w:t>
            </w:r>
          </w:p>
          <w:p w14:paraId="1B268DE8" w14:textId="1D3699D1" w:rsidR="00AA186F" w:rsidRPr="00E111BE" w:rsidRDefault="00AA186F" w:rsidP="008B47B8">
            <w:pPr>
              <w:spacing w:before="0" w:after="0" w:line="240" w:lineRule="auto"/>
              <w:rPr>
                <w:rFonts w:ascii="Arial" w:hAnsi="Arial" w:cs="Arial"/>
                <w:color w:val="000000"/>
                <w:sz w:val="20"/>
                <w:szCs w:val="20"/>
              </w:rPr>
            </w:pPr>
          </w:p>
        </w:tc>
      </w:tr>
      <w:tr w:rsidR="00AA186F" w:rsidRPr="00E111BE" w14:paraId="01AF96FE" w14:textId="77777777" w:rsidTr="00112022">
        <w:trPr>
          <w:trHeight w:val="810"/>
        </w:trPr>
        <w:tc>
          <w:tcPr>
            <w:tcW w:w="900" w:type="dxa"/>
          </w:tcPr>
          <w:p w14:paraId="3AF9F8FE" w14:textId="77777777"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lastRenderedPageBreak/>
              <w:t>6.</w:t>
            </w:r>
          </w:p>
        </w:tc>
        <w:tc>
          <w:tcPr>
            <w:tcW w:w="2610" w:type="dxa"/>
          </w:tcPr>
          <w:p w14:paraId="22D20E07" w14:textId="433C1082"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VDT</w:t>
            </w:r>
          </w:p>
        </w:tc>
        <w:tc>
          <w:tcPr>
            <w:tcW w:w="6840" w:type="dxa"/>
          </w:tcPr>
          <w:p w14:paraId="003CF4D5" w14:textId="55DBA31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U primjedbi se navodi da dopuna člana 112 važećeg Zakona nije prihvatljiva jer postupak o pritužbama i disciplinski postupak imaju različitu pravnu prirodu i svrhu te sama činjenica da je određeno pitanje bilo predmet razmatranja po pritužbi ne znači nužno postojanje osnova za pokretanje disciplinske istrage.</w:t>
            </w:r>
          </w:p>
          <w:p w14:paraId="660C97DF" w14:textId="0C2B4325"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72BBA2F4" w14:textId="5AD7E182"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Primjedba dalje ukazuje da efikasan sistem odgovornosti podrazumijeva postojanje razumnog institucionalnog filtera a ne mehanički/automatizovani prenos informacija kao i da već postoji zakonom propisan širok krug subjekata koji su ovlašćeni da podnesu predlog za utvrđivanje disciplinske odgovornosti i to samo ako postoji osnovana sumnja da je državni tužilac izvršio disciplinski prekršaj.</w:t>
            </w:r>
          </w:p>
          <w:p w14:paraId="26F326BF" w14:textId="5922442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129D730C" w14:textId="6EE08749"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Na kraju se ističe da Komisija za razmatranje pritužbi na zakonitost rada državnih tužilaca i rukovodilaca državnih tužilaštava nije normirana zakonom kao posebno tijelo, već je uspostavljena internim aktom-Poslovnikom Tužilačkog savjeta pa bi eventulna pitanja oko zapisnika, ukoliko se ocijeni potrebnim, bila predmet uređivanja na nivou podzakonskog akta.</w:t>
            </w:r>
          </w:p>
          <w:p w14:paraId="13591266" w14:textId="77777777"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p w14:paraId="4AC5F394" w14:textId="4AA8DDF9"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tc>
      </w:tr>
      <w:tr w:rsidR="00AA186F" w:rsidRPr="00E111BE" w14:paraId="0990CDB0" w14:textId="77777777" w:rsidTr="00112022">
        <w:trPr>
          <w:trHeight w:val="990"/>
        </w:trPr>
        <w:tc>
          <w:tcPr>
            <w:tcW w:w="900" w:type="dxa"/>
          </w:tcPr>
          <w:p w14:paraId="51643086" w14:textId="431C205C"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7.</w:t>
            </w:r>
          </w:p>
        </w:tc>
        <w:tc>
          <w:tcPr>
            <w:tcW w:w="2610" w:type="dxa"/>
          </w:tcPr>
          <w:p w14:paraId="0BA6615F" w14:textId="274C0612" w:rsidR="00AA186F" w:rsidRPr="00E111BE" w:rsidRDefault="00DB5BD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VDT</w:t>
            </w:r>
          </w:p>
        </w:tc>
        <w:tc>
          <w:tcPr>
            <w:tcW w:w="6840" w:type="dxa"/>
          </w:tcPr>
          <w:p w14:paraId="57AFBC64" w14:textId="22BE5CAF" w:rsidR="00AA186F" w:rsidRPr="00E111BE" w:rsidRDefault="00AA186F" w:rsidP="008B47B8">
            <w:pPr>
              <w:autoSpaceDE w:val="0"/>
              <w:autoSpaceDN w:val="0"/>
              <w:adjustRightInd w:val="0"/>
              <w:spacing w:before="0" w:after="0" w:line="240" w:lineRule="auto"/>
              <w:rPr>
                <w:rFonts w:ascii="Arial" w:eastAsia="Calibri" w:hAnsi="Arial" w:cs="Arial"/>
                <w:noProof/>
                <w:sz w:val="20"/>
                <w:szCs w:val="20"/>
              </w:rPr>
            </w:pPr>
            <w:r w:rsidRPr="00E111BE">
              <w:rPr>
                <w:rFonts w:ascii="Arial" w:eastAsia="Calibri" w:hAnsi="Arial" w:cs="Arial"/>
                <w:noProof/>
                <w:sz w:val="20"/>
                <w:szCs w:val="20"/>
              </w:rPr>
              <w:t>U primjedbi se navodi da izmena  člana 120 stav 1 važećeg Zakona ( član 13 Nacrta) potvrđuje nekonzistentnost  i neusklađenost predloženih izmjena i dopuna jer se ovom izmjenom mehanizam za sprječavanje konflikta interesa ograničava samo na postupak utvrđivanja disciplinske odgovornosti državnog tužioca, na način što se predlaže da član Tužilačkog savjeta koji je podnio predlog ne može učestvovati u donošenju odluke, dok se isti mehanizam ne propisuje i u vezi predložene izmjene člana 110 stav 4 važećeg Zakona u odnosu na članove Tužilačkog savjeta koji iniciraju razrješenje Vrhovnog državnog tužioca.</w:t>
            </w:r>
          </w:p>
          <w:p w14:paraId="72EB2412" w14:textId="77777777" w:rsidR="00AA186F" w:rsidRPr="00E111BE" w:rsidRDefault="00AA186F" w:rsidP="008B47B8">
            <w:pPr>
              <w:autoSpaceDE w:val="0"/>
              <w:autoSpaceDN w:val="0"/>
              <w:adjustRightInd w:val="0"/>
              <w:spacing w:before="0" w:after="0" w:line="240" w:lineRule="auto"/>
              <w:rPr>
                <w:rFonts w:ascii="Arial" w:eastAsia="Calibri" w:hAnsi="Arial" w:cs="Arial"/>
                <w:noProof/>
                <w:sz w:val="20"/>
                <w:szCs w:val="20"/>
              </w:rPr>
            </w:pPr>
          </w:p>
          <w:p w14:paraId="5994A465" w14:textId="6C3F2488" w:rsidR="00AA186F" w:rsidRPr="00E111BE" w:rsidRDefault="00AA186F" w:rsidP="008B47B8">
            <w:pPr>
              <w:autoSpaceDE w:val="0"/>
              <w:autoSpaceDN w:val="0"/>
              <w:adjustRightInd w:val="0"/>
              <w:spacing w:before="0" w:after="0" w:line="240" w:lineRule="auto"/>
              <w:rPr>
                <w:rFonts w:ascii="Arial" w:eastAsia="Calibri" w:hAnsi="Arial" w:cs="Arial"/>
                <w:noProof/>
                <w:sz w:val="20"/>
                <w:szCs w:val="20"/>
              </w:rPr>
            </w:pPr>
            <w:r w:rsidRPr="00E111BE">
              <w:rPr>
                <w:rFonts w:ascii="Arial" w:eastAsia="Calibri" w:hAnsi="Arial" w:cs="Arial"/>
                <w:noProof/>
                <w:sz w:val="20"/>
                <w:szCs w:val="20"/>
              </w:rPr>
              <w:t>Na kraju se primjedbom ističe da je, imajući u vidu primjedbe date na član 110 važećeg Zakona, potrebno brisati član 13 Nacrta zakona.</w:t>
            </w:r>
          </w:p>
        </w:tc>
      </w:tr>
      <w:tr w:rsidR="00AA186F" w:rsidRPr="00E111BE" w14:paraId="5D84F082" w14:textId="77777777" w:rsidTr="00112022">
        <w:trPr>
          <w:trHeight w:val="575"/>
        </w:trPr>
        <w:tc>
          <w:tcPr>
            <w:tcW w:w="900" w:type="dxa"/>
          </w:tcPr>
          <w:p w14:paraId="132F84A0" w14:textId="73877F73"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b/>
                <w:color w:val="000000" w:themeColor="text1"/>
                <w:sz w:val="20"/>
                <w:szCs w:val="20"/>
              </w:rPr>
              <w:t>8.</w:t>
            </w:r>
          </w:p>
        </w:tc>
        <w:tc>
          <w:tcPr>
            <w:tcW w:w="2610" w:type="dxa"/>
          </w:tcPr>
          <w:p w14:paraId="20FF9DA2" w14:textId="40A3D011"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VDT</w:t>
            </w:r>
          </w:p>
        </w:tc>
        <w:tc>
          <w:tcPr>
            <w:tcW w:w="6840" w:type="dxa"/>
          </w:tcPr>
          <w:p w14:paraId="7226E9CF" w14:textId="47E7A457" w:rsidR="00AA186F" w:rsidRPr="00E111BE" w:rsidRDefault="00AA186F" w:rsidP="008B47B8">
            <w:pPr>
              <w:spacing w:before="0" w:after="0" w:line="276" w:lineRule="auto"/>
              <w:rPr>
                <w:rFonts w:ascii="Arial" w:eastAsia="Times New Roman" w:hAnsi="Arial" w:cs="Arial"/>
                <w:color w:val="000000"/>
                <w:sz w:val="20"/>
                <w:szCs w:val="20"/>
              </w:rPr>
            </w:pPr>
            <w:r w:rsidRPr="00E111BE">
              <w:rPr>
                <w:rFonts w:ascii="Arial" w:eastAsia="Times New Roman" w:hAnsi="Arial" w:cs="Arial"/>
                <w:color w:val="000000"/>
                <w:sz w:val="20"/>
                <w:szCs w:val="20"/>
              </w:rPr>
              <w:t>Predlaže se brisanja člana 16 Nacrta zakona sa istih razloga datih u primjedbama koje se odnose na ocjenjivanje državnih tužilaca u VDT.</w:t>
            </w:r>
          </w:p>
          <w:p w14:paraId="1D56CD4A" w14:textId="7A4CA42E" w:rsidR="00AA186F" w:rsidRPr="00E111BE" w:rsidRDefault="00AA186F" w:rsidP="008B47B8">
            <w:pPr>
              <w:spacing w:before="0" w:after="0" w:line="276" w:lineRule="auto"/>
              <w:rPr>
                <w:rFonts w:ascii="Arial" w:eastAsia="Times New Roman" w:hAnsi="Arial" w:cs="Arial"/>
                <w:color w:val="000000"/>
                <w:sz w:val="20"/>
                <w:szCs w:val="20"/>
              </w:rPr>
            </w:pPr>
          </w:p>
        </w:tc>
      </w:tr>
      <w:tr w:rsidR="00AA186F" w:rsidRPr="00E111BE" w14:paraId="68C8831A" w14:textId="77777777" w:rsidTr="00112022">
        <w:trPr>
          <w:trHeight w:val="70"/>
        </w:trPr>
        <w:tc>
          <w:tcPr>
            <w:tcW w:w="900" w:type="dxa"/>
          </w:tcPr>
          <w:p w14:paraId="500B86A4" w14:textId="0663518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b/>
                <w:color w:val="000000" w:themeColor="text1"/>
                <w:sz w:val="20"/>
                <w:szCs w:val="20"/>
              </w:rPr>
              <w:t>9.</w:t>
            </w:r>
          </w:p>
        </w:tc>
        <w:tc>
          <w:tcPr>
            <w:tcW w:w="2610" w:type="dxa"/>
          </w:tcPr>
          <w:p w14:paraId="65391798" w14:textId="7F207EDE" w:rsidR="00AA186F" w:rsidRPr="00E111BE" w:rsidRDefault="00050E32"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Ljiljana Lakić</w:t>
            </w:r>
          </w:p>
        </w:tc>
        <w:tc>
          <w:tcPr>
            <w:tcW w:w="6840" w:type="dxa"/>
          </w:tcPr>
          <w:p w14:paraId="6D11AC00" w14:textId="77777777" w:rsidR="00AA186F" w:rsidRPr="00E111BE" w:rsidRDefault="00AA186F" w:rsidP="008B47B8">
            <w:pPr>
              <w:spacing w:before="0" w:after="0" w:line="240" w:lineRule="auto"/>
              <w:rPr>
                <w:rFonts w:ascii="Arial" w:eastAsia="Calibri" w:hAnsi="Arial" w:cs="Arial"/>
                <w:noProof/>
                <w:sz w:val="20"/>
                <w:szCs w:val="20"/>
              </w:rPr>
            </w:pPr>
            <w:r w:rsidRPr="00E111BE">
              <w:rPr>
                <w:rFonts w:ascii="Arial" w:eastAsia="Calibri" w:hAnsi="Arial" w:cs="Arial"/>
                <w:noProof/>
                <w:sz w:val="20"/>
                <w:szCs w:val="20"/>
              </w:rPr>
              <w:t xml:space="preserve">Predlaže se da se u Nacrtu zakona doda odredba koja bi glasila </w:t>
            </w:r>
          </w:p>
          <w:p w14:paraId="4F90DA70" w14:textId="489C47F4" w:rsidR="00AA186F" w:rsidRPr="00E111BE" w:rsidRDefault="00AA186F" w:rsidP="008B47B8">
            <w:pPr>
              <w:spacing w:before="0" w:after="0" w:line="240" w:lineRule="auto"/>
              <w:rPr>
                <w:rFonts w:ascii="Arial" w:eastAsia="Calibri" w:hAnsi="Arial" w:cs="Arial"/>
                <w:noProof/>
                <w:sz w:val="20"/>
                <w:szCs w:val="20"/>
              </w:rPr>
            </w:pPr>
          </w:p>
          <w:p w14:paraId="019D9C49" w14:textId="4549C03A" w:rsidR="00AA186F" w:rsidRPr="00E111BE" w:rsidRDefault="00AA186F" w:rsidP="008B47B8">
            <w:pPr>
              <w:spacing w:before="0" w:after="0" w:line="240" w:lineRule="auto"/>
              <w:rPr>
                <w:rFonts w:ascii="Arial" w:eastAsia="Calibri" w:hAnsi="Arial" w:cs="Arial"/>
                <w:noProof/>
                <w:sz w:val="20"/>
                <w:szCs w:val="20"/>
              </w:rPr>
            </w:pPr>
            <w:r w:rsidRPr="00E111BE">
              <w:rPr>
                <w:rFonts w:ascii="Arial" w:eastAsia="Calibri" w:hAnsi="Arial" w:cs="Arial"/>
                <w:noProof/>
                <w:sz w:val="20"/>
                <w:szCs w:val="20"/>
              </w:rPr>
              <w:t>„Ukoliko ovim zakonom nije drukčije propisano, na uslove za sticanje prava na starosnu penziju drzavnih tužilaca shodno će se primjenjivati odredbe zakona kojim su propisani uslovi za sticanje prava na starosnu penziju sudija.“</w:t>
            </w:r>
          </w:p>
          <w:p w14:paraId="6BF0E6D9" w14:textId="77777777" w:rsidR="00AA186F" w:rsidRPr="00E111BE" w:rsidRDefault="00AA186F" w:rsidP="008B47B8">
            <w:pPr>
              <w:spacing w:before="0" w:after="0" w:line="240" w:lineRule="auto"/>
              <w:rPr>
                <w:rFonts w:ascii="Arial" w:eastAsia="Calibri" w:hAnsi="Arial" w:cs="Arial"/>
                <w:noProof/>
                <w:sz w:val="20"/>
                <w:szCs w:val="20"/>
              </w:rPr>
            </w:pPr>
          </w:p>
          <w:p w14:paraId="7C0602DD" w14:textId="45D3DDCD" w:rsidR="00AA186F" w:rsidRPr="00E111BE" w:rsidRDefault="00AA186F" w:rsidP="008B47B8">
            <w:pPr>
              <w:spacing w:before="0" w:after="0" w:line="240" w:lineRule="auto"/>
              <w:rPr>
                <w:rFonts w:ascii="Arial" w:eastAsia="Calibri" w:hAnsi="Arial" w:cs="Arial"/>
                <w:noProof/>
                <w:sz w:val="20"/>
                <w:szCs w:val="20"/>
              </w:rPr>
            </w:pPr>
            <w:r w:rsidRPr="00E111BE">
              <w:rPr>
                <w:rFonts w:ascii="Arial" w:eastAsia="Calibri" w:hAnsi="Arial" w:cs="Arial"/>
                <w:noProof/>
                <w:sz w:val="20"/>
                <w:szCs w:val="20"/>
              </w:rPr>
              <w:t>ili</w:t>
            </w:r>
          </w:p>
          <w:p w14:paraId="21707617" w14:textId="13D509D2" w:rsidR="00AA186F" w:rsidRPr="00E111BE" w:rsidRDefault="00AA186F" w:rsidP="008B47B8">
            <w:pPr>
              <w:spacing w:before="0" w:after="0" w:line="240" w:lineRule="auto"/>
              <w:rPr>
                <w:rFonts w:ascii="Arial" w:eastAsia="Calibri" w:hAnsi="Arial" w:cs="Arial"/>
                <w:noProof/>
                <w:sz w:val="20"/>
                <w:szCs w:val="20"/>
              </w:rPr>
            </w:pPr>
          </w:p>
          <w:p w14:paraId="47F2827C" w14:textId="3C5FAECF" w:rsidR="00AA186F" w:rsidRPr="00E111BE" w:rsidRDefault="00AA186F" w:rsidP="008B47B8">
            <w:pPr>
              <w:spacing w:before="0" w:after="0" w:line="240" w:lineRule="auto"/>
              <w:rPr>
                <w:rFonts w:ascii="Arial" w:eastAsia="Calibri" w:hAnsi="Arial" w:cs="Arial"/>
                <w:noProof/>
                <w:sz w:val="20"/>
                <w:szCs w:val="20"/>
              </w:rPr>
            </w:pPr>
            <w:r w:rsidRPr="00E111BE">
              <w:rPr>
                <w:rFonts w:ascii="Arial" w:eastAsia="Calibri" w:hAnsi="Arial" w:cs="Arial"/>
                <w:noProof/>
                <w:sz w:val="20"/>
                <w:szCs w:val="20"/>
              </w:rPr>
              <w:t>Državni tuzilac ispunjava uslove za ostvarivanje prava na starosnu penziju kad navrši 66 godina života i najmanje 15 godina staža osiguranja.</w:t>
            </w:r>
          </w:p>
          <w:p w14:paraId="17C95563" w14:textId="3005C96D" w:rsidR="00AA186F" w:rsidRPr="00E111BE" w:rsidRDefault="00AA186F" w:rsidP="008B47B8">
            <w:pPr>
              <w:spacing w:before="0" w:after="0" w:line="240" w:lineRule="auto"/>
              <w:rPr>
                <w:rFonts w:ascii="Arial" w:eastAsia="Calibri" w:hAnsi="Arial" w:cs="Arial"/>
                <w:noProof/>
                <w:sz w:val="20"/>
                <w:szCs w:val="20"/>
              </w:rPr>
            </w:pPr>
            <w:r w:rsidRPr="00E111BE">
              <w:rPr>
                <w:rFonts w:ascii="Arial" w:eastAsia="Calibri" w:hAnsi="Arial" w:cs="Arial"/>
                <w:noProof/>
                <w:sz w:val="20"/>
                <w:szCs w:val="20"/>
              </w:rPr>
              <w:t>Izuzetno od stava 1 ovog čana, ako to sam zatraži državni tužilac ispunjava uslove za ostvarivanje prava na starosnu penziju kad navrši 40 godina staža i 61 godinu života osiguranja ili 65 godina života i najmanje 15 godina staža.“</w:t>
            </w:r>
          </w:p>
          <w:p w14:paraId="72225DD1" w14:textId="100A5BC2" w:rsidR="00AA186F" w:rsidRPr="00E111BE" w:rsidRDefault="00AA186F" w:rsidP="008B47B8">
            <w:pPr>
              <w:spacing w:before="0" w:after="0" w:line="240" w:lineRule="auto"/>
              <w:rPr>
                <w:rFonts w:ascii="Arial" w:eastAsia="Calibri" w:hAnsi="Arial" w:cs="Arial"/>
                <w:noProof/>
                <w:sz w:val="20"/>
                <w:szCs w:val="20"/>
              </w:rPr>
            </w:pPr>
          </w:p>
        </w:tc>
      </w:tr>
      <w:tr w:rsidR="00AA186F" w:rsidRPr="00E111BE" w14:paraId="5AFFF4C4" w14:textId="77777777" w:rsidTr="00112022">
        <w:trPr>
          <w:trHeight w:val="585"/>
        </w:trPr>
        <w:tc>
          <w:tcPr>
            <w:tcW w:w="900" w:type="dxa"/>
          </w:tcPr>
          <w:p w14:paraId="6F5A638B" w14:textId="056E7881"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b/>
                <w:color w:val="000000" w:themeColor="text1"/>
                <w:sz w:val="20"/>
                <w:szCs w:val="20"/>
              </w:rPr>
              <w:lastRenderedPageBreak/>
              <w:t>10.</w:t>
            </w:r>
          </w:p>
        </w:tc>
        <w:tc>
          <w:tcPr>
            <w:tcW w:w="2610" w:type="dxa"/>
          </w:tcPr>
          <w:p w14:paraId="79A9C94C" w14:textId="4A32B132" w:rsidR="00AA186F" w:rsidRPr="00E111BE" w:rsidRDefault="00AA186F" w:rsidP="008B47B8">
            <w:pPr>
              <w:spacing w:before="0" w:after="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Institut Alternativa</w:t>
            </w:r>
          </w:p>
        </w:tc>
        <w:tc>
          <w:tcPr>
            <w:tcW w:w="6840" w:type="dxa"/>
          </w:tcPr>
          <w:p w14:paraId="3C193839" w14:textId="7791F11B"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Pimjedbom se, u vezi člana 3 Nacrta zakona,  ističe da se na predloženi način ne stvara obaveza predsjednika Tužilačkog savjeta, da doprinese ravnoteži snaga tužilačkog i netužilačkog dijela članova Tužilačkog savjeta. Dalje se navodi da nije realno očekivati da će, ukoliko bude usvojena norma iz nacrta, u praksi predsjednik Tužilačkog savjeta predložiti za zamjenika lice iz netužilačkih redova.</w:t>
            </w:r>
          </w:p>
          <w:p w14:paraId="195E5482" w14:textId="0E3C586E" w:rsidR="00AA186F" w:rsidRPr="00E111BE" w:rsidRDefault="00AA186F" w:rsidP="008B47B8">
            <w:pPr>
              <w:autoSpaceDE w:val="0"/>
              <w:autoSpaceDN w:val="0"/>
              <w:adjustRightInd w:val="0"/>
              <w:spacing w:before="0" w:after="0" w:line="240" w:lineRule="auto"/>
              <w:rPr>
                <w:rFonts w:ascii="Arial" w:hAnsi="Arial" w:cs="Arial"/>
                <w:color w:val="000000" w:themeColor="text1"/>
                <w:sz w:val="20"/>
                <w:szCs w:val="20"/>
              </w:rPr>
            </w:pPr>
          </w:p>
        </w:tc>
      </w:tr>
      <w:tr w:rsidR="00AA186F" w:rsidRPr="00E111BE" w14:paraId="07008789" w14:textId="77777777" w:rsidTr="00112022">
        <w:trPr>
          <w:trHeight w:val="585"/>
        </w:trPr>
        <w:tc>
          <w:tcPr>
            <w:tcW w:w="900" w:type="dxa"/>
          </w:tcPr>
          <w:p w14:paraId="285DE9B5" w14:textId="4E39E375"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b/>
                <w:color w:val="000000" w:themeColor="text1"/>
                <w:sz w:val="20"/>
                <w:szCs w:val="20"/>
              </w:rPr>
              <w:t>11</w:t>
            </w:r>
            <w:r w:rsidRPr="00E111BE">
              <w:rPr>
                <w:rFonts w:ascii="Arial" w:hAnsi="Arial" w:cs="Arial"/>
                <w:color w:val="000000" w:themeColor="text1"/>
                <w:sz w:val="20"/>
                <w:szCs w:val="20"/>
              </w:rPr>
              <w:t>.</w:t>
            </w:r>
          </w:p>
        </w:tc>
        <w:tc>
          <w:tcPr>
            <w:tcW w:w="2610" w:type="dxa"/>
          </w:tcPr>
          <w:p w14:paraId="35DB8AD0" w14:textId="7683885B" w:rsidR="00AA186F" w:rsidRPr="00E111BE" w:rsidRDefault="00AA186F" w:rsidP="008B47B8">
            <w:pPr>
              <w:spacing w:before="0" w:after="0" w:line="240" w:lineRule="auto"/>
              <w:rPr>
                <w:rFonts w:ascii="Arial" w:hAnsi="Arial" w:cs="Arial"/>
                <w:b/>
                <w:color w:val="000000" w:themeColor="text1"/>
                <w:sz w:val="20"/>
                <w:szCs w:val="20"/>
              </w:rPr>
            </w:pPr>
            <w:bookmarkStart w:id="3" w:name="_Hlk226377554"/>
            <w:r w:rsidRPr="00E111BE">
              <w:rPr>
                <w:rFonts w:ascii="Arial" w:hAnsi="Arial" w:cs="Arial"/>
                <w:b/>
                <w:color w:val="000000" w:themeColor="text1"/>
                <w:sz w:val="20"/>
                <w:szCs w:val="20"/>
              </w:rPr>
              <w:t>NVO Institut Alternativa</w:t>
            </w:r>
            <w:bookmarkEnd w:id="3"/>
          </w:p>
        </w:tc>
        <w:tc>
          <w:tcPr>
            <w:tcW w:w="6840" w:type="dxa"/>
            <w:tcBorders>
              <w:bottom w:val="single" w:sz="4" w:space="0" w:color="auto"/>
            </w:tcBorders>
          </w:tcPr>
          <w:p w14:paraId="581D2EAC" w14:textId="77777777" w:rsidR="00AA186F" w:rsidRPr="00E111BE" w:rsidRDefault="00AA186F" w:rsidP="008B47B8">
            <w:pPr>
              <w:pStyle w:val="ListParagraph"/>
              <w:autoSpaceDE w:val="0"/>
              <w:autoSpaceDN w:val="0"/>
              <w:adjustRightInd w:val="0"/>
              <w:spacing w:before="0" w:after="0" w:line="240" w:lineRule="auto"/>
              <w:ind w:left="0"/>
              <w:rPr>
                <w:rFonts w:ascii="Arial" w:hAnsi="Arial" w:cs="Arial"/>
                <w:color w:val="000000" w:themeColor="text1"/>
                <w:sz w:val="20"/>
                <w:szCs w:val="20"/>
              </w:rPr>
            </w:pPr>
            <w:bookmarkStart w:id="4" w:name="_Hlk226377534"/>
            <w:r w:rsidRPr="00E111BE">
              <w:rPr>
                <w:rFonts w:ascii="Arial" w:hAnsi="Arial" w:cs="Arial"/>
                <w:color w:val="000000" w:themeColor="text1"/>
                <w:sz w:val="20"/>
                <w:szCs w:val="20"/>
              </w:rPr>
              <w:t xml:space="preserve">Primjedbom se predlaže da se u izmjenama Zakona unesu sledeće odredbe: </w:t>
            </w:r>
          </w:p>
          <w:p w14:paraId="41D727C5" w14:textId="77777777" w:rsidR="00AA186F" w:rsidRPr="00E111BE" w:rsidRDefault="00AA186F" w:rsidP="008B47B8">
            <w:pPr>
              <w:pStyle w:val="ListParagraph"/>
              <w:autoSpaceDE w:val="0"/>
              <w:autoSpaceDN w:val="0"/>
              <w:adjustRightInd w:val="0"/>
              <w:spacing w:before="0" w:after="0" w:line="240" w:lineRule="auto"/>
              <w:ind w:left="0"/>
              <w:rPr>
                <w:rFonts w:ascii="Arial" w:hAnsi="Arial" w:cs="Arial"/>
                <w:color w:val="000000" w:themeColor="text1"/>
                <w:sz w:val="20"/>
                <w:szCs w:val="20"/>
              </w:rPr>
            </w:pPr>
          </w:p>
          <w:p w14:paraId="665F08EF" w14:textId="77777777" w:rsidR="00AA186F" w:rsidRPr="00E111BE" w:rsidRDefault="00AA186F" w:rsidP="008B47B8">
            <w:pPr>
              <w:pStyle w:val="ListParagraph"/>
              <w:autoSpaceDE w:val="0"/>
              <w:autoSpaceDN w:val="0"/>
              <w:adjustRightInd w:val="0"/>
              <w:spacing w:before="0" w:after="0" w:line="240" w:lineRule="auto"/>
              <w:ind w:left="0"/>
              <w:rPr>
                <w:rFonts w:ascii="Arial" w:hAnsi="Arial" w:cs="Arial"/>
                <w:b/>
                <w:color w:val="000000" w:themeColor="text1"/>
                <w:sz w:val="20"/>
                <w:szCs w:val="20"/>
              </w:rPr>
            </w:pPr>
            <w:r w:rsidRPr="00E111BE">
              <w:rPr>
                <w:rFonts w:ascii="Arial" w:hAnsi="Arial" w:cs="Arial"/>
                <w:color w:val="000000" w:themeColor="text1"/>
                <w:sz w:val="20"/>
                <w:szCs w:val="20"/>
              </w:rPr>
              <w:t>(</w:t>
            </w:r>
            <w:r w:rsidRPr="00E111BE">
              <w:rPr>
                <w:rFonts w:ascii="Arial" w:hAnsi="Arial" w:cs="Arial"/>
                <w:b/>
                <w:color w:val="000000" w:themeColor="text1"/>
                <w:sz w:val="20"/>
                <w:szCs w:val="20"/>
              </w:rPr>
              <w:t>prethodna) Bezbjednosna provjera u postupku izbora na funkciju državnog tužioca</w:t>
            </w:r>
          </w:p>
          <w:bookmarkEnd w:id="4"/>
          <w:p w14:paraId="39D1302F" w14:textId="77777777" w:rsidR="00AA186F" w:rsidRPr="00E111BE" w:rsidRDefault="00AA186F" w:rsidP="008B47B8">
            <w:pPr>
              <w:pStyle w:val="ListParagraph"/>
              <w:autoSpaceDE w:val="0"/>
              <w:autoSpaceDN w:val="0"/>
              <w:adjustRightInd w:val="0"/>
              <w:spacing w:before="0" w:after="0" w:line="240" w:lineRule="auto"/>
              <w:ind w:left="0"/>
              <w:rPr>
                <w:rFonts w:ascii="Arial" w:hAnsi="Arial" w:cs="Arial"/>
                <w:color w:val="000000" w:themeColor="text1"/>
                <w:sz w:val="20"/>
                <w:szCs w:val="20"/>
              </w:rPr>
            </w:pPr>
          </w:p>
          <w:p w14:paraId="76751AB5" w14:textId="77777777" w:rsidR="00AA186F" w:rsidRPr="00E111BE" w:rsidRDefault="00AA186F" w:rsidP="008B47B8">
            <w:pPr>
              <w:spacing w:before="0" w:after="0" w:line="360" w:lineRule="auto"/>
              <w:rPr>
                <w:rFonts w:ascii="Arial" w:eastAsia="Times New Roman" w:hAnsi="Arial" w:cs="Arial"/>
                <w:sz w:val="20"/>
                <w:szCs w:val="20"/>
                <w:lang w:val="hr-HR" w:eastAsia="en-GB"/>
              </w:rPr>
            </w:pPr>
            <w:r w:rsidRPr="00E111BE">
              <w:rPr>
                <w:rFonts w:ascii="Arial" w:eastAsia="Times New Roman" w:hAnsi="Arial" w:cs="Arial"/>
                <w:sz w:val="20"/>
                <w:szCs w:val="20"/>
                <w:lang w:val="hr-HR" w:eastAsia="en-GB"/>
              </w:rPr>
              <w:t xml:space="preserve">Tužilački savjet će po službenoj dužnosti od nadležnog državnog organa nadležnog za poslove nacionalne bezbjednosti zatražiti bezbjednosnu provjeru lice koje je kandidat za državnog tužioca. ( alternativa: lica koja se na rang listi koja je utvrđena nalaze u okviru broja kandidata za koje je raspisan javni oglas) </w:t>
            </w:r>
          </w:p>
          <w:p w14:paraId="058E781C" w14:textId="77777777" w:rsidR="00AA186F" w:rsidRPr="00E111BE" w:rsidRDefault="00AA186F" w:rsidP="008B47B8">
            <w:pPr>
              <w:spacing w:before="0" w:after="0" w:line="360" w:lineRule="auto"/>
              <w:rPr>
                <w:rFonts w:ascii="Arial" w:eastAsia="Times New Roman" w:hAnsi="Arial" w:cs="Arial"/>
                <w:sz w:val="20"/>
                <w:szCs w:val="20"/>
                <w:lang w:val="hr-HR" w:eastAsia="en-GB"/>
              </w:rPr>
            </w:pPr>
            <w:r w:rsidRPr="00E111BE">
              <w:rPr>
                <w:rFonts w:ascii="Arial" w:eastAsia="Times New Roman" w:hAnsi="Arial" w:cs="Arial"/>
                <w:sz w:val="20"/>
                <w:szCs w:val="20"/>
                <w:lang w:val="hr-HR" w:eastAsia="en-GB"/>
              </w:rPr>
              <w:t>Smatra se da je kandidat za državnog tužioca koji ne pristupi bezbjednosnoj provjeri ili odbije da pruži tražene informacije odustao od prijave na oglas.</w:t>
            </w:r>
          </w:p>
          <w:p w14:paraId="45A28271" w14:textId="77777777" w:rsidR="00AA186F" w:rsidRPr="00E111BE" w:rsidRDefault="00AA186F" w:rsidP="008B47B8">
            <w:pPr>
              <w:spacing w:before="0" w:after="0" w:line="360" w:lineRule="auto"/>
              <w:rPr>
                <w:rFonts w:ascii="Arial" w:eastAsia="Times New Roman" w:hAnsi="Arial" w:cs="Arial"/>
                <w:sz w:val="20"/>
                <w:szCs w:val="20"/>
                <w:lang w:val="hr-HR" w:eastAsia="en-GB"/>
              </w:rPr>
            </w:pPr>
            <w:r w:rsidRPr="00E111BE">
              <w:rPr>
                <w:rFonts w:ascii="Arial" w:eastAsia="Times New Roman" w:hAnsi="Arial" w:cs="Arial"/>
                <w:sz w:val="20"/>
                <w:szCs w:val="20"/>
                <w:lang w:val="hr-HR" w:eastAsia="en-GB"/>
              </w:rPr>
              <w:t>Državni organ nadležan za sprovođenje bezbjednosne provjere, dužan je da izvještaj o sprovedenoj provjeri sa mišljenjem o postojanju prepreka, dostavi Tužilačkom savjetu u roku od 60 dana, a bez odlaganja informaciju da lice nije pristupilo bezbjednosnoj provjeri ili je odbilo da pruži informacije.</w:t>
            </w:r>
          </w:p>
          <w:p w14:paraId="067312B4" w14:textId="77777777" w:rsidR="00AA186F" w:rsidRPr="00E111BE" w:rsidRDefault="00AA186F" w:rsidP="008B47B8">
            <w:pPr>
              <w:spacing w:before="0" w:after="0" w:line="360" w:lineRule="auto"/>
              <w:rPr>
                <w:rFonts w:ascii="Arial" w:eastAsia="Times New Roman" w:hAnsi="Arial" w:cs="Arial"/>
                <w:sz w:val="20"/>
                <w:szCs w:val="20"/>
                <w:lang w:val="hr-HR" w:eastAsia="en-GB"/>
              </w:rPr>
            </w:pPr>
            <w:r w:rsidRPr="00E111BE">
              <w:rPr>
                <w:rFonts w:ascii="Arial" w:eastAsia="Times New Roman" w:hAnsi="Arial" w:cs="Arial"/>
                <w:sz w:val="20"/>
                <w:szCs w:val="20"/>
                <w:lang w:val="hr-HR" w:eastAsia="en-GB"/>
              </w:rPr>
              <w:t>Konačnu odluku o postojanju bezbjednosnih prepreka za izbor na funkciju državnog tužioca, donosi Tužilački savjet.</w:t>
            </w:r>
          </w:p>
          <w:p w14:paraId="07A13B37" w14:textId="77777777" w:rsidR="00AA186F" w:rsidRPr="00E111BE" w:rsidRDefault="00AA186F" w:rsidP="008B47B8">
            <w:pPr>
              <w:spacing w:before="0" w:after="0" w:line="360" w:lineRule="auto"/>
              <w:rPr>
                <w:rFonts w:ascii="Arial" w:eastAsia="Times New Roman" w:hAnsi="Arial" w:cs="Arial"/>
                <w:sz w:val="20"/>
                <w:szCs w:val="20"/>
                <w:lang w:val="hr-HR" w:eastAsia="en-GB"/>
              </w:rPr>
            </w:pPr>
          </w:p>
          <w:p w14:paraId="4F74E9B2" w14:textId="21FB47D7" w:rsidR="00AA186F" w:rsidRPr="00E111BE" w:rsidRDefault="00AA186F" w:rsidP="008B47B8">
            <w:pPr>
              <w:spacing w:before="0" w:after="0" w:line="360" w:lineRule="auto"/>
              <w:rPr>
                <w:rFonts w:ascii="Arial" w:eastAsia="Times New Roman" w:hAnsi="Arial" w:cs="Arial"/>
                <w:b/>
                <w:bCs/>
                <w:sz w:val="20"/>
                <w:szCs w:val="20"/>
                <w:lang w:val="hr-HR" w:eastAsia="en-GB"/>
              </w:rPr>
            </w:pPr>
            <w:r w:rsidRPr="00E111BE">
              <w:rPr>
                <w:rFonts w:ascii="Arial" w:eastAsia="Times New Roman" w:hAnsi="Arial" w:cs="Arial"/>
                <w:b/>
                <w:bCs/>
                <w:sz w:val="20"/>
                <w:szCs w:val="20"/>
                <w:lang w:val="hr-HR" w:eastAsia="en-GB"/>
              </w:rPr>
              <w:t>(</w:t>
            </w:r>
            <w:bookmarkStart w:id="5" w:name="_Hlk226377602"/>
            <w:r w:rsidRPr="00E111BE">
              <w:rPr>
                <w:rFonts w:ascii="Arial" w:eastAsia="Times New Roman" w:hAnsi="Arial" w:cs="Arial"/>
                <w:b/>
                <w:bCs/>
                <w:sz w:val="20"/>
                <w:szCs w:val="20"/>
                <w:lang w:val="hr-HR" w:eastAsia="en-GB"/>
              </w:rPr>
              <w:t>Prethodna) provjera prihoda i imovine u postupku izbora na funkciju državnog tužioca</w:t>
            </w:r>
          </w:p>
          <w:bookmarkEnd w:id="5"/>
          <w:p w14:paraId="53363757" w14:textId="77777777" w:rsidR="00AA186F" w:rsidRPr="00E111BE" w:rsidRDefault="00AA186F" w:rsidP="008B47B8">
            <w:pPr>
              <w:spacing w:before="0" w:after="0" w:line="360" w:lineRule="auto"/>
              <w:rPr>
                <w:rFonts w:ascii="Arial" w:eastAsia="Times New Roman" w:hAnsi="Arial" w:cs="Arial"/>
                <w:sz w:val="20"/>
                <w:szCs w:val="20"/>
                <w:lang w:val="hr-HR" w:eastAsia="en-GB"/>
              </w:rPr>
            </w:pPr>
          </w:p>
          <w:p w14:paraId="61F5F11A" w14:textId="77777777" w:rsidR="00AA186F" w:rsidRPr="00E111BE" w:rsidRDefault="00AA186F" w:rsidP="008B47B8">
            <w:pPr>
              <w:pStyle w:val="NoSpacing"/>
              <w:jc w:val="both"/>
              <w:rPr>
                <w:rFonts w:ascii="Arial" w:eastAsia="Times New Roman" w:hAnsi="Arial" w:cs="Arial"/>
                <w:color w:val="000000"/>
                <w:sz w:val="20"/>
                <w:szCs w:val="20"/>
              </w:rPr>
            </w:pPr>
            <w:proofErr w:type="spellStart"/>
            <w:r w:rsidRPr="00E111BE">
              <w:rPr>
                <w:rFonts w:ascii="Arial" w:eastAsia="Times New Roman" w:hAnsi="Arial" w:cs="Arial"/>
                <w:color w:val="000000"/>
                <w:sz w:val="20"/>
                <w:szCs w:val="20"/>
              </w:rPr>
              <w:t>Kandidat</w:t>
            </w:r>
            <w:proofErr w:type="spellEnd"/>
            <w:r w:rsidRPr="00E111BE">
              <w:rPr>
                <w:rFonts w:ascii="Arial" w:eastAsia="Times New Roman" w:hAnsi="Arial" w:cs="Arial"/>
                <w:color w:val="000000"/>
                <w:sz w:val="20"/>
                <w:szCs w:val="20"/>
              </w:rPr>
              <w:t xml:space="preserve"> za </w:t>
            </w:r>
            <w:proofErr w:type="spellStart"/>
            <w:r w:rsidRPr="00E111BE">
              <w:rPr>
                <w:rFonts w:ascii="Arial" w:eastAsia="Times New Roman" w:hAnsi="Arial" w:cs="Arial"/>
                <w:color w:val="000000"/>
                <w:sz w:val="20"/>
                <w:szCs w:val="20"/>
              </w:rPr>
              <w:t>državnog</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tužioca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uz</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prijavu</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na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oglas</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dostavlja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izvještaj</w:t>
            </w:r>
            <w:proofErr w:type="spellEnd"/>
            <w:r w:rsidRPr="00E111BE">
              <w:rPr>
                <w:rFonts w:ascii="Arial" w:eastAsia="Times New Roman" w:hAnsi="Arial" w:cs="Arial"/>
                <w:color w:val="000000"/>
                <w:sz w:val="20"/>
                <w:szCs w:val="20"/>
              </w:rPr>
              <w:t xml:space="preserve"> o </w:t>
            </w:r>
            <w:proofErr w:type="spellStart"/>
            <w:r w:rsidRPr="00E111BE">
              <w:rPr>
                <w:rFonts w:ascii="Arial" w:eastAsia="Times New Roman" w:hAnsi="Arial" w:cs="Arial"/>
                <w:color w:val="000000"/>
                <w:sz w:val="20"/>
                <w:szCs w:val="20"/>
              </w:rPr>
              <w:t>prihodima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imovini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na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obrascu</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izvještaja</w:t>
            </w:r>
            <w:proofErr w:type="spellEnd"/>
            <w:r w:rsidRPr="00E111BE">
              <w:rPr>
                <w:rFonts w:ascii="Arial" w:eastAsia="Times New Roman" w:hAnsi="Arial" w:cs="Arial"/>
                <w:color w:val="000000"/>
                <w:sz w:val="20"/>
                <w:szCs w:val="20"/>
              </w:rPr>
              <w:t xml:space="preserve"> o </w:t>
            </w:r>
            <w:proofErr w:type="spellStart"/>
            <w:r w:rsidRPr="00E111BE">
              <w:rPr>
                <w:rFonts w:ascii="Arial" w:eastAsia="Times New Roman" w:hAnsi="Arial" w:cs="Arial"/>
                <w:color w:val="000000"/>
                <w:sz w:val="20"/>
                <w:szCs w:val="20"/>
              </w:rPr>
              <w:t>prihodima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imovini</w:t>
            </w:r>
            <w:proofErr w:type="spellEnd"/>
            <w:r w:rsidRPr="00E111BE">
              <w:rPr>
                <w:rFonts w:ascii="Arial" w:eastAsia="Times New Roman" w:hAnsi="Arial" w:cs="Arial"/>
                <w:color w:val="000000"/>
                <w:sz w:val="20"/>
                <w:szCs w:val="20"/>
              </w:rPr>
              <w:t xml:space="preserve"> javnih </w:t>
            </w:r>
            <w:proofErr w:type="spellStart"/>
            <w:r w:rsidRPr="00E111BE">
              <w:rPr>
                <w:rFonts w:ascii="Arial" w:eastAsia="Times New Roman" w:hAnsi="Arial" w:cs="Arial"/>
                <w:color w:val="000000"/>
                <w:sz w:val="20"/>
                <w:szCs w:val="20"/>
              </w:rPr>
              <w:t>funkcionera</w:t>
            </w:r>
            <w:proofErr w:type="spellEnd"/>
            <w:r w:rsidRPr="00E111BE">
              <w:rPr>
                <w:rFonts w:ascii="Arial" w:eastAsia="Times New Roman" w:hAnsi="Arial" w:cs="Arial"/>
                <w:color w:val="000000"/>
                <w:sz w:val="20"/>
                <w:szCs w:val="20"/>
              </w:rPr>
              <w:t xml:space="preserve">, u </w:t>
            </w:r>
            <w:proofErr w:type="spellStart"/>
            <w:r w:rsidRPr="00E111BE">
              <w:rPr>
                <w:rFonts w:ascii="Arial" w:eastAsia="Times New Roman" w:hAnsi="Arial" w:cs="Arial"/>
                <w:color w:val="000000"/>
                <w:sz w:val="20"/>
                <w:szCs w:val="20"/>
              </w:rPr>
              <w:t>skladu</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sa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zakonom</w:t>
            </w:r>
            <w:proofErr w:type="spellEnd"/>
            <w:r w:rsidRPr="00E111BE">
              <w:rPr>
                <w:rFonts w:ascii="Arial" w:eastAsia="Times New Roman" w:hAnsi="Arial" w:cs="Arial"/>
                <w:color w:val="000000"/>
                <w:sz w:val="20"/>
                <w:szCs w:val="20"/>
              </w:rPr>
              <w:t xml:space="preserve"> o </w:t>
            </w:r>
            <w:proofErr w:type="spellStart"/>
            <w:r w:rsidRPr="00E111BE">
              <w:rPr>
                <w:rFonts w:ascii="Arial" w:eastAsia="Times New Roman" w:hAnsi="Arial" w:cs="Arial"/>
                <w:color w:val="000000"/>
                <w:sz w:val="20"/>
                <w:szCs w:val="20"/>
              </w:rPr>
              <w:t>sprečavanju</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korupcije</w:t>
            </w:r>
            <w:proofErr w:type="spellEnd"/>
            <w:r w:rsidRPr="00E111BE">
              <w:rPr>
                <w:rFonts w:ascii="Arial" w:eastAsia="Times New Roman" w:hAnsi="Arial" w:cs="Arial"/>
                <w:color w:val="000000"/>
                <w:sz w:val="20"/>
                <w:szCs w:val="20"/>
              </w:rPr>
              <w:t>.</w:t>
            </w:r>
          </w:p>
          <w:p w14:paraId="332F4CE3" w14:textId="77777777" w:rsidR="00AA186F" w:rsidRPr="00E111BE" w:rsidRDefault="00AA186F" w:rsidP="008B47B8">
            <w:pPr>
              <w:pStyle w:val="NoSpacing"/>
              <w:jc w:val="both"/>
              <w:rPr>
                <w:rFonts w:ascii="Arial" w:eastAsia="Times New Roman" w:hAnsi="Arial" w:cs="Arial"/>
                <w:color w:val="000000"/>
                <w:sz w:val="20"/>
                <w:szCs w:val="20"/>
              </w:rPr>
            </w:pPr>
            <w:r w:rsidRPr="00E111BE">
              <w:rPr>
                <w:rFonts w:ascii="Arial" w:eastAsia="Times New Roman" w:hAnsi="Arial" w:cs="Arial"/>
                <w:color w:val="000000"/>
                <w:sz w:val="20"/>
                <w:szCs w:val="20"/>
              </w:rPr>
              <w:t xml:space="preserve">Tužilački </w:t>
            </w:r>
            <w:proofErr w:type="spellStart"/>
            <w:r w:rsidRPr="00E111BE">
              <w:rPr>
                <w:rFonts w:ascii="Arial" w:eastAsia="Times New Roman" w:hAnsi="Arial" w:cs="Arial"/>
                <w:color w:val="000000"/>
                <w:sz w:val="20"/>
                <w:szCs w:val="20"/>
              </w:rPr>
              <w:t>savjet</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će</w:t>
            </w:r>
            <w:proofErr w:type="spellEnd"/>
            <w:r w:rsidRPr="00E111BE">
              <w:rPr>
                <w:rFonts w:ascii="Arial" w:eastAsia="Times New Roman" w:hAnsi="Arial" w:cs="Arial"/>
                <w:color w:val="000000"/>
                <w:sz w:val="20"/>
                <w:szCs w:val="20"/>
              </w:rPr>
              <w:t xml:space="preserve"> po </w:t>
            </w:r>
            <w:proofErr w:type="spellStart"/>
            <w:r w:rsidRPr="00E111BE">
              <w:rPr>
                <w:rFonts w:ascii="Arial" w:eastAsia="Times New Roman" w:hAnsi="Arial" w:cs="Arial"/>
                <w:color w:val="000000"/>
                <w:sz w:val="20"/>
                <w:szCs w:val="20"/>
              </w:rPr>
              <w:t>službenoj</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dužnosti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uputiti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zahtjev</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Agenciji</w:t>
            </w:r>
            <w:proofErr w:type="spellEnd"/>
            <w:r w:rsidRPr="00E111BE">
              <w:rPr>
                <w:rFonts w:ascii="Arial" w:eastAsia="Times New Roman" w:hAnsi="Arial" w:cs="Arial"/>
                <w:color w:val="000000"/>
                <w:sz w:val="20"/>
                <w:szCs w:val="20"/>
              </w:rPr>
              <w:t xml:space="preserve"> za </w:t>
            </w:r>
            <w:proofErr w:type="spellStart"/>
            <w:r w:rsidRPr="00E111BE">
              <w:rPr>
                <w:rFonts w:ascii="Arial" w:eastAsia="Times New Roman" w:hAnsi="Arial" w:cs="Arial"/>
                <w:color w:val="000000"/>
                <w:sz w:val="20"/>
                <w:szCs w:val="20"/>
              </w:rPr>
              <w:t>sprečavanje</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korupcije</w:t>
            </w:r>
            <w:proofErr w:type="spellEnd"/>
            <w:r w:rsidRPr="00E111BE">
              <w:rPr>
                <w:rFonts w:ascii="Arial" w:eastAsia="Times New Roman" w:hAnsi="Arial" w:cs="Arial"/>
                <w:color w:val="000000"/>
                <w:sz w:val="20"/>
                <w:szCs w:val="20"/>
              </w:rPr>
              <w:t xml:space="preserve"> da </w:t>
            </w:r>
            <w:proofErr w:type="spellStart"/>
            <w:r w:rsidRPr="00E111BE">
              <w:rPr>
                <w:rFonts w:ascii="Arial" w:eastAsia="Times New Roman" w:hAnsi="Arial" w:cs="Arial"/>
                <w:color w:val="000000"/>
                <w:sz w:val="20"/>
                <w:szCs w:val="20"/>
              </w:rPr>
              <w:t>izvrši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provjeru</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podataka</w:t>
            </w:r>
            <w:proofErr w:type="spellEnd"/>
            <w:r w:rsidRPr="00E111BE">
              <w:rPr>
                <w:rFonts w:ascii="Arial" w:eastAsia="Times New Roman" w:hAnsi="Arial" w:cs="Arial"/>
                <w:color w:val="000000"/>
                <w:sz w:val="20"/>
                <w:szCs w:val="20"/>
              </w:rPr>
              <w:t xml:space="preserve"> za ova </w:t>
            </w:r>
            <w:proofErr w:type="spellStart"/>
            <w:r w:rsidRPr="00E111BE">
              <w:rPr>
                <w:rFonts w:ascii="Arial" w:eastAsia="Times New Roman" w:hAnsi="Arial" w:cs="Arial"/>
                <w:color w:val="000000"/>
                <w:sz w:val="20"/>
                <w:szCs w:val="20"/>
              </w:rPr>
              <w:t>lica</w:t>
            </w:r>
            <w:proofErr w:type="spellEnd"/>
            <w:r w:rsidRPr="00E111BE">
              <w:rPr>
                <w:rFonts w:ascii="Arial" w:eastAsia="Times New Roman" w:hAnsi="Arial" w:cs="Arial"/>
                <w:color w:val="000000"/>
                <w:sz w:val="20"/>
                <w:szCs w:val="20"/>
              </w:rPr>
              <w:t xml:space="preserve"> u </w:t>
            </w:r>
            <w:proofErr w:type="spellStart"/>
            <w:r w:rsidRPr="00E111BE">
              <w:rPr>
                <w:rFonts w:ascii="Arial" w:eastAsia="Times New Roman" w:hAnsi="Arial" w:cs="Arial"/>
                <w:color w:val="000000"/>
                <w:sz w:val="20"/>
                <w:szCs w:val="20"/>
              </w:rPr>
              <w:t>roku</w:t>
            </w:r>
            <w:proofErr w:type="spellEnd"/>
            <w:r w:rsidRPr="00E111BE">
              <w:rPr>
                <w:rFonts w:ascii="Arial" w:eastAsia="Times New Roman" w:hAnsi="Arial" w:cs="Arial"/>
                <w:color w:val="000000"/>
                <w:sz w:val="20"/>
                <w:szCs w:val="20"/>
              </w:rPr>
              <w:t xml:space="preserve"> od 30 dana.</w:t>
            </w:r>
          </w:p>
          <w:p w14:paraId="3AF3A651" w14:textId="77777777" w:rsidR="00AA186F" w:rsidRPr="00E111BE" w:rsidRDefault="00AA186F" w:rsidP="008B47B8">
            <w:pPr>
              <w:pStyle w:val="NoSpacing"/>
              <w:jc w:val="both"/>
              <w:rPr>
                <w:rFonts w:ascii="Arial" w:eastAsia="Times New Roman" w:hAnsi="Arial" w:cs="Arial"/>
                <w:color w:val="000000"/>
                <w:sz w:val="20"/>
                <w:szCs w:val="20"/>
              </w:rPr>
            </w:pPr>
            <w:r w:rsidRPr="00E111BE">
              <w:rPr>
                <w:rFonts w:ascii="Arial" w:eastAsia="Times New Roman" w:hAnsi="Arial" w:cs="Arial"/>
                <w:color w:val="000000"/>
                <w:sz w:val="20"/>
                <w:szCs w:val="20"/>
              </w:rPr>
              <w:t xml:space="preserve">Tužilački </w:t>
            </w:r>
            <w:proofErr w:type="spellStart"/>
            <w:r w:rsidRPr="00E111BE">
              <w:rPr>
                <w:rFonts w:ascii="Arial" w:eastAsia="Times New Roman" w:hAnsi="Arial" w:cs="Arial"/>
                <w:color w:val="000000"/>
                <w:sz w:val="20"/>
                <w:szCs w:val="20"/>
              </w:rPr>
              <w:t>savjet</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će</w:t>
            </w:r>
            <w:proofErr w:type="spellEnd"/>
            <w:r w:rsidRPr="00E111BE">
              <w:rPr>
                <w:rFonts w:ascii="Arial" w:eastAsia="Times New Roman" w:hAnsi="Arial" w:cs="Arial"/>
                <w:color w:val="000000"/>
                <w:sz w:val="20"/>
                <w:szCs w:val="20"/>
              </w:rPr>
              <w:t xml:space="preserve"> po </w:t>
            </w:r>
            <w:proofErr w:type="spellStart"/>
            <w:r w:rsidRPr="00E111BE">
              <w:rPr>
                <w:rFonts w:ascii="Arial" w:eastAsia="Times New Roman" w:hAnsi="Arial" w:cs="Arial"/>
                <w:color w:val="000000"/>
                <w:sz w:val="20"/>
                <w:szCs w:val="20"/>
              </w:rPr>
              <w:t>službenoj</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dužnosti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uputiti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zahtjev</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Agenciji</w:t>
            </w:r>
            <w:proofErr w:type="spellEnd"/>
            <w:r w:rsidRPr="00E111BE">
              <w:rPr>
                <w:rFonts w:ascii="Arial" w:eastAsia="Times New Roman" w:hAnsi="Arial" w:cs="Arial"/>
                <w:color w:val="000000"/>
                <w:sz w:val="20"/>
                <w:szCs w:val="20"/>
              </w:rPr>
              <w:t xml:space="preserve"> za </w:t>
            </w:r>
            <w:proofErr w:type="spellStart"/>
            <w:r w:rsidRPr="00E111BE">
              <w:rPr>
                <w:rFonts w:ascii="Arial" w:eastAsia="Times New Roman" w:hAnsi="Arial" w:cs="Arial"/>
                <w:color w:val="000000"/>
                <w:sz w:val="20"/>
                <w:szCs w:val="20"/>
              </w:rPr>
              <w:t>sprečavanje</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korupcije</w:t>
            </w:r>
            <w:proofErr w:type="spellEnd"/>
            <w:r w:rsidRPr="00E111BE">
              <w:rPr>
                <w:rFonts w:ascii="Arial" w:eastAsia="Times New Roman" w:hAnsi="Arial" w:cs="Arial"/>
                <w:color w:val="000000"/>
                <w:sz w:val="20"/>
                <w:szCs w:val="20"/>
              </w:rPr>
              <w:t xml:space="preserve"> da </w:t>
            </w:r>
            <w:proofErr w:type="spellStart"/>
            <w:r w:rsidRPr="00E111BE">
              <w:rPr>
                <w:rFonts w:ascii="Arial" w:eastAsia="Times New Roman" w:hAnsi="Arial" w:cs="Arial"/>
                <w:color w:val="000000"/>
                <w:sz w:val="20"/>
                <w:szCs w:val="20"/>
              </w:rPr>
              <w:t>izvrši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dubinsku</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provjeru</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izvještaja</w:t>
            </w:r>
            <w:proofErr w:type="spellEnd"/>
            <w:r w:rsidRPr="00E111BE">
              <w:rPr>
                <w:rFonts w:ascii="Arial" w:eastAsia="Times New Roman" w:hAnsi="Arial" w:cs="Arial"/>
                <w:color w:val="000000"/>
                <w:sz w:val="20"/>
                <w:szCs w:val="20"/>
              </w:rPr>
              <w:t xml:space="preserve"> o </w:t>
            </w:r>
            <w:proofErr w:type="spellStart"/>
            <w:r w:rsidRPr="00E111BE">
              <w:rPr>
                <w:rFonts w:ascii="Arial" w:eastAsia="Times New Roman" w:hAnsi="Arial" w:cs="Arial"/>
                <w:color w:val="000000"/>
                <w:sz w:val="20"/>
                <w:szCs w:val="20"/>
              </w:rPr>
              <w:t>prihodima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imovini</w:t>
            </w:r>
            <w:proofErr w:type="spellEnd"/>
            <w:r w:rsidRPr="00E111BE">
              <w:rPr>
                <w:rFonts w:ascii="Arial" w:eastAsia="Times New Roman" w:hAnsi="Arial" w:cs="Arial"/>
                <w:color w:val="000000"/>
                <w:sz w:val="20"/>
                <w:szCs w:val="20"/>
              </w:rPr>
              <w:t xml:space="preserve"> za </w:t>
            </w:r>
            <w:proofErr w:type="spellStart"/>
            <w:r w:rsidRPr="00E111BE">
              <w:rPr>
                <w:rFonts w:ascii="Arial" w:eastAsia="Times New Roman" w:hAnsi="Arial" w:cs="Arial"/>
                <w:color w:val="000000"/>
                <w:sz w:val="20"/>
                <w:szCs w:val="20"/>
              </w:rPr>
              <w:t>državnog</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tužioca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koji</w:t>
            </w:r>
            <w:proofErr w:type="spellEnd"/>
            <w:r w:rsidRPr="00E111BE">
              <w:rPr>
                <w:rFonts w:ascii="Arial" w:eastAsia="Times New Roman" w:hAnsi="Arial" w:cs="Arial"/>
                <w:color w:val="000000"/>
                <w:sz w:val="20"/>
                <w:szCs w:val="20"/>
              </w:rPr>
              <w:t xml:space="preserve"> se </w:t>
            </w:r>
            <w:proofErr w:type="spellStart"/>
            <w:r w:rsidRPr="00E111BE">
              <w:rPr>
                <w:rFonts w:ascii="Arial" w:eastAsia="Times New Roman" w:hAnsi="Arial" w:cs="Arial"/>
                <w:color w:val="000000"/>
                <w:sz w:val="20"/>
                <w:szCs w:val="20"/>
              </w:rPr>
              <w:t>javio</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na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oglas</w:t>
            </w:r>
            <w:proofErr w:type="spellEnd"/>
            <w:r w:rsidRPr="00E111BE">
              <w:rPr>
                <w:rFonts w:ascii="Arial" w:eastAsia="Times New Roman" w:hAnsi="Arial" w:cs="Arial"/>
                <w:color w:val="000000"/>
                <w:sz w:val="20"/>
                <w:szCs w:val="20"/>
              </w:rPr>
              <w:t xml:space="preserve"> za </w:t>
            </w:r>
            <w:proofErr w:type="spellStart"/>
            <w:r w:rsidRPr="00E111BE">
              <w:rPr>
                <w:rFonts w:ascii="Arial" w:eastAsia="Times New Roman" w:hAnsi="Arial" w:cs="Arial"/>
                <w:color w:val="000000"/>
                <w:sz w:val="20"/>
                <w:szCs w:val="20"/>
              </w:rPr>
              <w:t>napredovanje</w:t>
            </w:r>
            <w:proofErr w:type="spellEnd"/>
            <w:r w:rsidRPr="00E111BE">
              <w:rPr>
                <w:rFonts w:ascii="Arial" w:eastAsia="Times New Roman" w:hAnsi="Arial" w:cs="Arial"/>
                <w:color w:val="000000"/>
                <w:sz w:val="20"/>
                <w:szCs w:val="20"/>
              </w:rPr>
              <w:t>.</w:t>
            </w:r>
          </w:p>
          <w:p w14:paraId="3D1345A2" w14:textId="77777777" w:rsidR="00AA186F" w:rsidRPr="00E111BE" w:rsidRDefault="00AA186F" w:rsidP="008B47B8">
            <w:pPr>
              <w:pStyle w:val="NoSpacing"/>
              <w:jc w:val="both"/>
              <w:rPr>
                <w:rFonts w:ascii="Arial" w:eastAsia="Times New Roman" w:hAnsi="Arial" w:cs="Arial"/>
                <w:color w:val="000000"/>
                <w:sz w:val="20"/>
                <w:szCs w:val="20"/>
              </w:rPr>
            </w:pPr>
            <w:proofErr w:type="spellStart"/>
            <w:r w:rsidRPr="00E111BE">
              <w:rPr>
                <w:rFonts w:ascii="Arial" w:eastAsia="Times New Roman" w:hAnsi="Arial" w:cs="Arial"/>
                <w:color w:val="000000"/>
                <w:sz w:val="20"/>
                <w:szCs w:val="20"/>
              </w:rPr>
              <w:t>Državni</w:t>
            </w:r>
            <w:proofErr w:type="spellEnd"/>
            <w:r w:rsidRPr="00E111BE">
              <w:rPr>
                <w:rFonts w:ascii="Arial" w:eastAsia="Times New Roman" w:hAnsi="Arial" w:cs="Arial"/>
                <w:color w:val="000000"/>
                <w:sz w:val="20"/>
                <w:szCs w:val="20"/>
              </w:rPr>
              <w:t xml:space="preserve"> organ </w:t>
            </w:r>
            <w:proofErr w:type="spellStart"/>
            <w:r w:rsidRPr="00E111BE">
              <w:rPr>
                <w:rFonts w:ascii="Arial" w:eastAsia="Times New Roman" w:hAnsi="Arial" w:cs="Arial"/>
                <w:color w:val="000000"/>
                <w:sz w:val="20"/>
                <w:szCs w:val="20"/>
              </w:rPr>
              <w:t>nadležan</w:t>
            </w:r>
            <w:proofErr w:type="spellEnd"/>
            <w:r w:rsidRPr="00E111BE">
              <w:rPr>
                <w:rFonts w:ascii="Arial" w:eastAsia="Times New Roman" w:hAnsi="Arial" w:cs="Arial"/>
                <w:color w:val="000000"/>
                <w:sz w:val="20"/>
                <w:szCs w:val="20"/>
              </w:rPr>
              <w:t xml:space="preserve"> za </w:t>
            </w:r>
            <w:proofErr w:type="spellStart"/>
            <w:r w:rsidRPr="00E111BE">
              <w:rPr>
                <w:rFonts w:ascii="Arial" w:eastAsia="Times New Roman" w:hAnsi="Arial" w:cs="Arial"/>
                <w:color w:val="000000"/>
                <w:sz w:val="20"/>
                <w:szCs w:val="20"/>
              </w:rPr>
              <w:t>provjeru</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tačnosti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prihoda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imovine</w:t>
            </w:r>
            <w:proofErr w:type="spellEnd"/>
            <w:r w:rsidRPr="00E111BE">
              <w:rPr>
                <w:rFonts w:ascii="Arial" w:eastAsia="Times New Roman" w:hAnsi="Arial" w:cs="Arial"/>
                <w:color w:val="000000"/>
                <w:sz w:val="20"/>
                <w:szCs w:val="20"/>
              </w:rPr>
              <w:t xml:space="preserve"> javnih </w:t>
            </w:r>
            <w:proofErr w:type="spellStart"/>
            <w:r w:rsidRPr="00E111BE">
              <w:rPr>
                <w:rFonts w:ascii="Arial" w:eastAsia="Times New Roman" w:hAnsi="Arial" w:cs="Arial"/>
                <w:color w:val="000000"/>
                <w:sz w:val="20"/>
                <w:szCs w:val="20"/>
              </w:rPr>
              <w:t>funkcionera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dužan</w:t>
            </w:r>
            <w:proofErr w:type="spellEnd"/>
            <w:r w:rsidRPr="00E111BE">
              <w:rPr>
                <w:rFonts w:ascii="Arial" w:eastAsia="Times New Roman" w:hAnsi="Arial" w:cs="Arial"/>
                <w:color w:val="000000"/>
                <w:sz w:val="20"/>
                <w:szCs w:val="20"/>
              </w:rPr>
              <w:t xml:space="preserve"> je da </w:t>
            </w:r>
            <w:proofErr w:type="spellStart"/>
            <w:r w:rsidRPr="00E111BE">
              <w:rPr>
                <w:rFonts w:ascii="Arial" w:eastAsia="Times New Roman" w:hAnsi="Arial" w:cs="Arial"/>
                <w:color w:val="000000"/>
                <w:sz w:val="20"/>
                <w:szCs w:val="20"/>
              </w:rPr>
              <w:t>izvještaj</w:t>
            </w:r>
            <w:proofErr w:type="spellEnd"/>
            <w:r w:rsidRPr="00E111BE">
              <w:rPr>
                <w:rFonts w:ascii="Arial" w:eastAsia="Times New Roman" w:hAnsi="Arial" w:cs="Arial"/>
                <w:color w:val="000000"/>
                <w:sz w:val="20"/>
                <w:szCs w:val="20"/>
              </w:rPr>
              <w:t xml:space="preserve"> o </w:t>
            </w:r>
            <w:proofErr w:type="spellStart"/>
            <w:r w:rsidRPr="00E111BE">
              <w:rPr>
                <w:rFonts w:ascii="Arial" w:eastAsia="Times New Roman" w:hAnsi="Arial" w:cs="Arial"/>
                <w:color w:val="000000"/>
                <w:sz w:val="20"/>
                <w:szCs w:val="20"/>
              </w:rPr>
              <w:t>sprovedenoj</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provjeri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prihoda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imovine</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dostavi</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Tužilačkom</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savjetu</w:t>
            </w:r>
            <w:proofErr w:type="spellEnd"/>
            <w:r w:rsidRPr="00E111BE">
              <w:rPr>
                <w:rFonts w:ascii="Arial" w:eastAsia="Times New Roman" w:hAnsi="Arial" w:cs="Arial"/>
                <w:color w:val="000000"/>
                <w:sz w:val="20"/>
                <w:szCs w:val="20"/>
              </w:rPr>
              <w:t xml:space="preserve"> u </w:t>
            </w:r>
            <w:proofErr w:type="spellStart"/>
            <w:r w:rsidRPr="00E111BE">
              <w:rPr>
                <w:rFonts w:ascii="Arial" w:eastAsia="Times New Roman" w:hAnsi="Arial" w:cs="Arial"/>
                <w:color w:val="000000"/>
                <w:sz w:val="20"/>
                <w:szCs w:val="20"/>
              </w:rPr>
              <w:t>roku</w:t>
            </w:r>
            <w:proofErr w:type="spellEnd"/>
            <w:r w:rsidRPr="00E111BE">
              <w:rPr>
                <w:rFonts w:ascii="Arial" w:eastAsia="Times New Roman" w:hAnsi="Arial" w:cs="Arial"/>
                <w:color w:val="000000"/>
                <w:sz w:val="20"/>
                <w:szCs w:val="20"/>
              </w:rPr>
              <w:t xml:space="preserve"> od 30 dana, a bez </w:t>
            </w:r>
            <w:proofErr w:type="spellStart"/>
            <w:r w:rsidRPr="00E111BE">
              <w:rPr>
                <w:rFonts w:ascii="Arial" w:eastAsia="Times New Roman" w:hAnsi="Arial" w:cs="Arial"/>
                <w:color w:val="000000"/>
                <w:sz w:val="20"/>
                <w:szCs w:val="20"/>
              </w:rPr>
              <w:t>odlaganja</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informaciju</w:t>
            </w:r>
            <w:proofErr w:type="spellEnd"/>
            <w:r w:rsidRPr="00E111BE">
              <w:rPr>
                <w:rFonts w:ascii="Arial" w:eastAsia="Times New Roman" w:hAnsi="Arial" w:cs="Arial"/>
                <w:color w:val="000000"/>
                <w:sz w:val="20"/>
                <w:szCs w:val="20"/>
              </w:rPr>
              <w:t xml:space="preserve"> da lice </w:t>
            </w:r>
            <w:proofErr w:type="spellStart"/>
            <w:r w:rsidRPr="00E111BE">
              <w:rPr>
                <w:rFonts w:ascii="Arial" w:eastAsia="Times New Roman" w:hAnsi="Arial" w:cs="Arial"/>
                <w:color w:val="000000"/>
                <w:sz w:val="20"/>
                <w:szCs w:val="20"/>
              </w:rPr>
              <w:t>nije</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dostavilo</w:t>
            </w:r>
            <w:proofErr w:type="spellEnd"/>
            <w:r w:rsidRPr="00E111BE">
              <w:rPr>
                <w:rFonts w:ascii="Arial" w:eastAsia="Times New Roman" w:hAnsi="Arial" w:cs="Arial"/>
                <w:color w:val="000000"/>
                <w:sz w:val="20"/>
                <w:szCs w:val="20"/>
              </w:rPr>
              <w:t xml:space="preserve"> </w:t>
            </w:r>
            <w:proofErr w:type="spellStart"/>
            <w:r w:rsidRPr="00E111BE">
              <w:rPr>
                <w:rFonts w:ascii="Arial" w:eastAsia="Times New Roman" w:hAnsi="Arial" w:cs="Arial"/>
                <w:color w:val="000000"/>
                <w:sz w:val="20"/>
                <w:szCs w:val="20"/>
              </w:rPr>
              <w:t>izvještaj</w:t>
            </w:r>
            <w:proofErr w:type="spellEnd"/>
            <w:r w:rsidRPr="00E111BE">
              <w:rPr>
                <w:rFonts w:ascii="Arial" w:eastAsia="Times New Roman" w:hAnsi="Arial" w:cs="Arial"/>
                <w:color w:val="000000"/>
                <w:sz w:val="20"/>
                <w:szCs w:val="20"/>
              </w:rPr>
              <w:t>.</w:t>
            </w:r>
          </w:p>
          <w:p w14:paraId="3C6CFCFD" w14:textId="08DD91DA" w:rsidR="00AA186F" w:rsidRPr="00E111BE" w:rsidRDefault="00AA186F" w:rsidP="008B47B8">
            <w:pPr>
              <w:pStyle w:val="NormalWeb"/>
              <w:jc w:val="both"/>
              <w:rPr>
                <w:rFonts w:ascii="Arial" w:hAnsi="Arial" w:cs="Arial"/>
                <w:color w:val="000000"/>
                <w:sz w:val="20"/>
                <w:szCs w:val="20"/>
              </w:rPr>
            </w:pPr>
            <w:bookmarkStart w:id="6" w:name="_Hlk226377679"/>
            <w:proofErr w:type="spellStart"/>
            <w:r w:rsidRPr="00E111BE">
              <w:rPr>
                <w:rFonts w:ascii="Arial" w:hAnsi="Arial" w:cs="Arial"/>
                <w:color w:val="000000"/>
                <w:sz w:val="20"/>
                <w:szCs w:val="20"/>
              </w:rPr>
              <w:t>Primjedbom</w:t>
            </w:r>
            <w:proofErr w:type="spellEnd"/>
            <w:r w:rsidRPr="00E111BE">
              <w:rPr>
                <w:rFonts w:ascii="Arial" w:hAnsi="Arial" w:cs="Arial"/>
                <w:color w:val="000000"/>
                <w:sz w:val="20"/>
                <w:szCs w:val="20"/>
              </w:rPr>
              <w:t xml:space="preserve"> se </w:t>
            </w:r>
            <w:proofErr w:type="spellStart"/>
            <w:r w:rsidRPr="00E111BE">
              <w:rPr>
                <w:rFonts w:ascii="Arial" w:hAnsi="Arial" w:cs="Arial"/>
                <w:color w:val="000000"/>
                <w:sz w:val="20"/>
                <w:szCs w:val="20"/>
              </w:rPr>
              <w:t>dalje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navodi</w:t>
            </w:r>
            <w:proofErr w:type="spellEnd"/>
            <w:r w:rsidRPr="00E111BE">
              <w:rPr>
                <w:rFonts w:ascii="Arial" w:hAnsi="Arial" w:cs="Arial"/>
                <w:color w:val="000000"/>
                <w:sz w:val="20"/>
                <w:szCs w:val="20"/>
              </w:rPr>
              <w:t xml:space="preserve"> da se </w:t>
            </w:r>
            <w:proofErr w:type="spellStart"/>
            <w:r w:rsidRPr="00E111BE">
              <w:rPr>
                <w:rFonts w:ascii="Arial" w:hAnsi="Arial" w:cs="Arial"/>
                <w:color w:val="000000"/>
                <w:sz w:val="20"/>
                <w:szCs w:val="20"/>
              </w:rPr>
              <w:t>ovim</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odredbama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jača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integritet</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transparentnost</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povjerenje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javnosti</w:t>
            </w:r>
            <w:proofErr w:type="spellEnd"/>
            <w:r w:rsidRPr="00E111BE">
              <w:rPr>
                <w:rFonts w:ascii="Arial" w:hAnsi="Arial" w:cs="Arial"/>
                <w:color w:val="000000"/>
                <w:sz w:val="20"/>
                <w:szCs w:val="20"/>
              </w:rPr>
              <w:t xml:space="preserve"> u </w:t>
            </w:r>
            <w:proofErr w:type="spellStart"/>
            <w:r w:rsidRPr="00E111BE">
              <w:rPr>
                <w:rFonts w:ascii="Arial" w:hAnsi="Arial" w:cs="Arial"/>
                <w:color w:val="000000"/>
                <w:sz w:val="20"/>
                <w:szCs w:val="20"/>
              </w:rPr>
              <w:t>postupak</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izbora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nosilaca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tužilačke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lastRenderedPageBreak/>
              <w:t>funkcije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obezbjeđuje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pravna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sigurnost</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kandidata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efikasnost</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postupka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sprečava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odugovlačenje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postupka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obezbjeđuje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jednak</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tretman</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svih</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kandidata</w:t>
            </w:r>
            <w:proofErr w:type="spellEnd"/>
            <w:r w:rsidRPr="00E111BE">
              <w:rPr>
                <w:rFonts w:ascii="Arial" w:hAnsi="Arial" w:cs="Arial"/>
                <w:color w:val="000000"/>
                <w:sz w:val="20"/>
                <w:szCs w:val="20"/>
              </w:rPr>
              <w:t>.</w:t>
            </w:r>
            <w:bookmarkEnd w:id="6"/>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Istovremeno</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zadržavanjem</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nadležnosti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Tužilačkog</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savjeta</w:t>
            </w:r>
            <w:proofErr w:type="spellEnd"/>
            <w:r w:rsidRPr="00E111BE">
              <w:rPr>
                <w:rFonts w:ascii="Arial" w:hAnsi="Arial" w:cs="Arial"/>
                <w:color w:val="000000"/>
                <w:sz w:val="20"/>
                <w:szCs w:val="20"/>
              </w:rPr>
              <w:t xml:space="preserve"> da </w:t>
            </w:r>
            <w:proofErr w:type="spellStart"/>
            <w:r w:rsidRPr="00E111BE">
              <w:rPr>
                <w:rFonts w:ascii="Arial" w:hAnsi="Arial" w:cs="Arial"/>
                <w:color w:val="000000"/>
                <w:sz w:val="20"/>
                <w:szCs w:val="20"/>
              </w:rPr>
              <w:t>donese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konačnu</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odluku</w:t>
            </w:r>
            <w:proofErr w:type="spellEnd"/>
            <w:r w:rsidRPr="00E111BE">
              <w:rPr>
                <w:rFonts w:ascii="Arial" w:hAnsi="Arial" w:cs="Arial"/>
                <w:color w:val="000000"/>
                <w:sz w:val="20"/>
                <w:szCs w:val="20"/>
              </w:rPr>
              <w:t xml:space="preserve"> o </w:t>
            </w:r>
            <w:proofErr w:type="spellStart"/>
            <w:r w:rsidRPr="00E111BE">
              <w:rPr>
                <w:rFonts w:ascii="Arial" w:hAnsi="Arial" w:cs="Arial"/>
                <w:color w:val="000000"/>
                <w:sz w:val="20"/>
                <w:szCs w:val="20"/>
              </w:rPr>
              <w:t>postojanju</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bezbjednosnih</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prepreka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obezbjeđuje</w:t>
            </w:r>
            <w:proofErr w:type="spellEnd"/>
            <w:r w:rsidRPr="00E111BE">
              <w:rPr>
                <w:rFonts w:ascii="Arial" w:hAnsi="Arial" w:cs="Arial"/>
                <w:color w:val="000000"/>
                <w:sz w:val="20"/>
                <w:szCs w:val="20"/>
              </w:rPr>
              <w:t xml:space="preserve"> se </w:t>
            </w:r>
            <w:proofErr w:type="spellStart"/>
            <w:r w:rsidRPr="00E111BE">
              <w:rPr>
                <w:rFonts w:ascii="Arial" w:hAnsi="Arial" w:cs="Arial"/>
                <w:color w:val="000000"/>
                <w:sz w:val="20"/>
                <w:szCs w:val="20"/>
              </w:rPr>
              <w:t>institucionalna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ravnoteža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poštovanje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ustavnog</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položaja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ovog</w:t>
            </w:r>
            <w:proofErr w:type="spellEnd"/>
            <w:r w:rsidRPr="00E111BE">
              <w:rPr>
                <w:rFonts w:ascii="Arial" w:hAnsi="Arial" w:cs="Arial"/>
                <w:color w:val="000000"/>
                <w:sz w:val="20"/>
                <w:szCs w:val="20"/>
              </w:rPr>
              <w:t xml:space="preserve"> organa. </w:t>
            </w:r>
          </w:p>
          <w:p w14:paraId="4504BABD" w14:textId="77777777" w:rsidR="00AA186F" w:rsidRPr="00E111BE" w:rsidRDefault="00AA186F" w:rsidP="008B47B8">
            <w:pPr>
              <w:pStyle w:val="NormalWeb"/>
              <w:jc w:val="both"/>
              <w:rPr>
                <w:rFonts w:ascii="Arial" w:hAnsi="Arial" w:cs="Arial"/>
                <w:color w:val="000000"/>
                <w:sz w:val="20"/>
                <w:szCs w:val="20"/>
              </w:rPr>
            </w:pPr>
            <w:proofErr w:type="spellStart"/>
            <w:r w:rsidRPr="00E111BE">
              <w:rPr>
                <w:rFonts w:ascii="Arial" w:hAnsi="Arial" w:cs="Arial"/>
                <w:color w:val="000000"/>
                <w:sz w:val="20"/>
                <w:szCs w:val="20"/>
              </w:rPr>
              <w:t>Prethodna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provjera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prihoda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imovine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kandidata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uvodi</w:t>
            </w:r>
            <w:proofErr w:type="spellEnd"/>
            <w:r w:rsidRPr="00E111BE">
              <w:rPr>
                <w:rFonts w:ascii="Arial" w:hAnsi="Arial" w:cs="Arial"/>
                <w:color w:val="000000"/>
                <w:sz w:val="20"/>
                <w:szCs w:val="20"/>
              </w:rPr>
              <w:t xml:space="preserve"> se </w:t>
            </w:r>
            <w:proofErr w:type="spellStart"/>
            <w:r w:rsidRPr="00E111BE">
              <w:rPr>
                <w:rFonts w:ascii="Arial" w:hAnsi="Arial" w:cs="Arial"/>
                <w:color w:val="000000"/>
                <w:sz w:val="20"/>
                <w:szCs w:val="20"/>
              </w:rPr>
              <w:t>radi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jačanja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preventivnog</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djelovanja</w:t>
            </w:r>
            <w:proofErr w:type="spellEnd"/>
            <w:r w:rsidRPr="00E111BE">
              <w:rPr>
                <w:rFonts w:ascii="Arial" w:hAnsi="Arial" w:cs="Arial"/>
                <w:color w:val="000000"/>
                <w:sz w:val="20"/>
                <w:szCs w:val="20"/>
              </w:rPr>
              <w:t xml:space="preserve"> u </w:t>
            </w:r>
            <w:proofErr w:type="spellStart"/>
            <w:r w:rsidRPr="00E111BE">
              <w:rPr>
                <w:rFonts w:ascii="Arial" w:hAnsi="Arial" w:cs="Arial"/>
                <w:color w:val="000000"/>
                <w:sz w:val="20"/>
                <w:szCs w:val="20"/>
              </w:rPr>
              <w:t>borbi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protiv</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korupcije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sukoba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interesa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kao</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radi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usklađivanja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postupka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izbora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državnih</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tužilaca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sa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naprednim</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standardima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integriteta</w:t>
            </w:r>
            <w:proofErr w:type="spellEnd"/>
            <w:r w:rsidRPr="00E111BE">
              <w:rPr>
                <w:rFonts w:ascii="Arial" w:hAnsi="Arial" w:cs="Arial"/>
                <w:color w:val="000000"/>
                <w:sz w:val="20"/>
                <w:szCs w:val="20"/>
              </w:rPr>
              <w:t xml:space="preserve"> javnih </w:t>
            </w:r>
            <w:proofErr w:type="spellStart"/>
            <w:r w:rsidRPr="00E111BE">
              <w:rPr>
                <w:rFonts w:ascii="Arial" w:hAnsi="Arial" w:cs="Arial"/>
                <w:color w:val="000000"/>
                <w:sz w:val="20"/>
                <w:szCs w:val="20"/>
              </w:rPr>
              <w:t>funkcionera</w:t>
            </w:r>
            <w:proofErr w:type="spellEnd"/>
            <w:r w:rsidRPr="00E111BE">
              <w:rPr>
                <w:rFonts w:ascii="Arial" w:hAnsi="Arial" w:cs="Arial"/>
                <w:color w:val="000000"/>
                <w:sz w:val="20"/>
                <w:szCs w:val="20"/>
              </w:rPr>
              <w:t xml:space="preserve">. </w:t>
            </w:r>
          </w:p>
          <w:p w14:paraId="6C71B8DD" w14:textId="77777777" w:rsidR="00AA186F" w:rsidRPr="00E111BE" w:rsidRDefault="00AA186F" w:rsidP="008B47B8">
            <w:pPr>
              <w:pStyle w:val="NormalWeb"/>
              <w:jc w:val="both"/>
              <w:rPr>
                <w:rFonts w:ascii="Arial" w:hAnsi="Arial" w:cs="Arial"/>
                <w:color w:val="000000"/>
                <w:sz w:val="20"/>
                <w:szCs w:val="20"/>
              </w:rPr>
            </w:pPr>
            <w:r w:rsidRPr="00E111BE">
              <w:rPr>
                <w:rFonts w:ascii="Arial" w:hAnsi="Arial" w:cs="Arial"/>
                <w:color w:val="000000"/>
                <w:sz w:val="20"/>
                <w:szCs w:val="20"/>
              </w:rPr>
              <w:t xml:space="preserve">Na </w:t>
            </w:r>
            <w:proofErr w:type="spellStart"/>
            <w:r w:rsidRPr="00E111BE">
              <w:rPr>
                <w:rFonts w:ascii="Arial" w:hAnsi="Arial" w:cs="Arial"/>
                <w:color w:val="000000"/>
                <w:sz w:val="20"/>
                <w:szCs w:val="20"/>
              </w:rPr>
              <w:t>kraju</w:t>
            </w:r>
            <w:proofErr w:type="spellEnd"/>
            <w:r w:rsidRPr="00E111BE">
              <w:rPr>
                <w:rFonts w:ascii="Arial" w:hAnsi="Arial" w:cs="Arial"/>
                <w:color w:val="000000"/>
                <w:sz w:val="20"/>
                <w:szCs w:val="20"/>
              </w:rPr>
              <w:t xml:space="preserve"> se </w:t>
            </w:r>
            <w:proofErr w:type="spellStart"/>
            <w:r w:rsidRPr="00E111BE">
              <w:rPr>
                <w:rFonts w:ascii="Arial" w:hAnsi="Arial" w:cs="Arial"/>
                <w:color w:val="000000"/>
                <w:sz w:val="20"/>
                <w:szCs w:val="20"/>
              </w:rPr>
              <w:t>ističe</w:t>
            </w:r>
            <w:proofErr w:type="spellEnd"/>
            <w:r w:rsidRPr="00E111BE">
              <w:rPr>
                <w:rFonts w:ascii="Arial" w:hAnsi="Arial" w:cs="Arial"/>
                <w:color w:val="000000"/>
                <w:sz w:val="20"/>
                <w:szCs w:val="20"/>
              </w:rPr>
              <w:t xml:space="preserve"> da je za </w:t>
            </w:r>
            <w:proofErr w:type="spellStart"/>
            <w:r w:rsidRPr="00E111BE">
              <w:rPr>
                <w:rFonts w:ascii="Arial" w:hAnsi="Arial" w:cs="Arial"/>
                <w:color w:val="000000"/>
                <w:sz w:val="20"/>
                <w:szCs w:val="20"/>
              </w:rPr>
              <w:t>zakonitu</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primjenu</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navedene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odredbe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neophodno</w:t>
            </w:r>
            <w:proofErr w:type="spellEnd"/>
            <w:r w:rsidRPr="00E111BE">
              <w:rPr>
                <w:rFonts w:ascii="Arial" w:hAnsi="Arial" w:cs="Arial"/>
                <w:color w:val="000000"/>
                <w:sz w:val="20"/>
                <w:szCs w:val="20"/>
              </w:rPr>
              <w:t xml:space="preserve"> je </w:t>
            </w:r>
            <w:proofErr w:type="spellStart"/>
            <w:r w:rsidRPr="00E111BE">
              <w:rPr>
                <w:rFonts w:ascii="Arial" w:hAnsi="Arial" w:cs="Arial"/>
                <w:color w:val="000000"/>
                <w:sz w:val="20"/>
                <w:szCs w:val="20"/>
              </w:rPr>
              <w:t>izmijeniti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Zakon</w:t>
            </w:r>
            <w:proofErr w:type="spellEnd"/>
            <w:r w:rsidRPr="00E111BE">
              <w:rPr>
                <w:rFonts w:ascii="Arial" w:hAnsi="Arial" w:cs="Arial"/>
                <w:color w:val="000000"/>
                <w:sz w:val="20"/>
                <w:szCs w:val="20"/>
              </w:rPr>
              <w:t xml:space="preserve"> o </w:t>
            </w:r>
            <w:proofErr w:type="spellStart"/>
            <w:r w:rsidRPr="00E111BE">
              <w:rPr>
                <w:rFonts w:ascii="Arial" w:hAnsi="Arial" w:cs="Arial"/>
                <w:color w:val="000000"/>
                <w:sz w:val="20"/>
                <w:szCs w:val="20"/>
              </w:rPr>
              <w:t>sprečavanju</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korupcije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to </w:t>
            </w:r>
            <w:proofErr w:type="spellStart"/>
            <w:r w:rsidRPr="00E111BE">
              <w:rPr>
                <w:rFonts w:ascii="Arial" w:hAnsi="Arial" w:cs="Arial"/>
                <w:color w:val="000000"/>
                <w:sz w:val="20"/>
                <w:szCs w:val="20"/>
              </w:rPr>
              <w:t>član</w:t>
            </w:r>
            <w:proofErr w:type="spellEnd"/>
            <w:r w:rsidRPr="00E111BE">
              <w:rPr>
                <w:rFonts w:ascii="Arial" w:hAnsi="Arial" w:cs="Arial"/>
                <w:color w:val="000000"/>
                <w:sz w:val="20"/>
                <w:szCs w:val="20"/>
              </w:rPr>
              <w:t xml:space="preserve"> 25- </w:t>
            </w:r>
            <w:proofErr w:type="spellStart"/>
            <w:r w:rsidRPr="00E111BE">
              <w:rPr>
                <w:rFonts w:ascii="Arial" w:hAnsi="Arial" w:cs="Arial"/>
                <w:color w:val="000000"/>
                <w:sz w:val="20"/>
                <w:szCs w:val="20"/>
              </w:rPr>
              <w:t>podnošenje</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izvještaja</w:t>
            </w:r>
            <w:proofErr w:type="spellEnd"/>
            <w:r w:rsidRPr="00E111BE">
              <w:rPr>
                <w:rFonts w:ascii="Arial" w:hAnsi="Arial" w:cs="Arial"/>
                <w:color w:val="000000"/>
                <w:sz w:val="20"/>
                <w:szCs w:val="20"/>
              </w:rPr>
              <w:t xml:space="preserve"> o </w:t>
            </w:r>
            <w:proofErr w:type="spellStart"/>
            <w:r w:rsidRPr="00E111BE">
              <w:rPr>
                <w:rFonts w:ascii="Arial" w:hAnsi="Arial" w:cs="Arial"/>
                <w:color w:val="000000"/>
                <w:sz w:val="20"/>
                <w:szCs w:val="20"/>
              </w:rPr>
              <w:t>prihodima</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w:t>
            </w:r>
            <w:proofErr w:type="spellEnd"/>
            <w:r w:rsidRPr="00E111BE">
              <w:rPr>
                <w:rFonts w:ascii="Arial" w:hAnsi="Arial" w:cs="Arial"/>
                <w:color w:val="000000"/>
                <w:sz w:val="20"/>
                <w:szCs w:val="20"/>
              </w:rPr>
              <w:t xml:space="preserve"> </w:t>
            </w:r>
            <w:proofErr w:type="spellStart"/>
            <w:r w:rsidRPr="00E111BE">
              <w:rPr>
                <w:rFonts w:ascii="Arial" w:hAnsi="Arial" w:cs="Arial"/>
                <w:color w:val="000000"/>
                <w:sz w:val="20"/>
                <w:szCs w:val="20"/>
              </w:rPr>
              <w:t>imovini</w:t>
            </w:r>
            <w:proofErr w:type="spellEnd"/>
            <w:r w:rsidRPr="00E111BE">
              <w:rPr>
                <w:rFonts w:ascii="Arial" w:hAnsi="Arial" w:cs="Arial"/>
                <w:color w:val="000000"/>
                <w:sz w:val="20"/>
                <w:szCs w:val="20"/>
              </w:rPr>
              <w:t>.</w:t>
            </w:r>
          </w:p>
          <w:p w14:paraId="46C083EB" w14:textId="3A8DC956" w:rsidR="00AA186F" w:rsidRPr="00E111BE" w:rsidRDefault="00AA186F" w:rsidP="008B47B8">
            <w:pPr>
              <w:pStyle w:val="NormalWeb"/>
              <w:jc w:val="both"/>
              <w:rPr>
                <w:rFonts w:ascii="Arial" w:hAnsi="Arial" w:cs="Arial"/>
                <w:color w:val="000000"/>
                <w:sz w:val="20"/>
                <w:szCs w:val="20"/>
              </w:rPr>
            </w:pPr>
          </w:p>
        </w:tc>
      </w:tr>
      <w:bookmarkEnd w:id="0"/>
      <w:bookmarkEnd w:id="1"/>
      <w:tr w:rsidR="00AA186F" w:rsidRPr="00E111BE" w14:paraId="11212F92"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7"/>
        </w:trPr>
        <w:tc>
          <w:tcPr>
            <w:tcW w:w="900" w:type="dxa"/>
            <w:tcBorders>
              <w:left w:val="single" w:sz="4" w:space="0" w:color="auto"/>
              <w:bottom w:val="single" w:sz="4" w:space="0" w:color="auto"/>
              <w:right w:val="single" w:sz="4" w:space="0" w:color="auto"/>
            </w:tcBorders>
          </w:tcPr>
          <w:p w14:paraId="3A5C5814" w14:textId="72732027"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lastRenderedPageBreak/>
              <w:t>12.</w:t>
            </w:r>
          </w:p>
        </w:tc>
        <w:tc>
          <w:tcPr>
            <w:tcW w:w="2610" w:type="dxa"/>
            <w:tcBorders>
              <w:left w:val="single" w:sz="4" w:space="0" w:color="auto"/>
              <w:bottom w:val="single" w:sz="4" w:space="0" w:color="auto"/>
            </w:tcBorders>
          </w:tcPr>
          <w:p w14:paraId="03ABD1C8" w14:textId="66885860"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Institut Alternativa</w:t>
            </w:r>
          </w:p>
        </w:tc>
        <w:tc>
          <w:tcPr>
            <w:tcW w:w="6840" w:type="dxa"/>
            <w:tcBorders>
              <w:top w:val="single" w:sz="4" w:space="0" w:color="auto"/>
              <w:left w:val="single" w:sz="4" w:space="0" w:color="auto"/>
              <w:bottom w:val="single" w:sz="4" w:space="0" w:color="auto"/>
              <w:right w:val="single" w:sz="4" w:space="0" w:color="auto"/>
            </w:tcBorders>
          </w:tcPr>
          <w:p w14:paraId="76DB47EE"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Primjedbom se predlaže da se u izmjenama Zakona unesu sledeće odredbe:</w:t>
            </w:r>
          </w:p>
          <w:p w14:paraId="5F759CD1" w14:textId="77777777" w:rsidR="00AA186F" w:rsidRPr="00E111BE" w:rsidRDefault="00AA186F" w:rsidP="008B47B8">
            <w:pPr>
              <w:spacing w:before="0" w:after="0" w:line="240" w:lineRule="auto"/>
              <w:rPr>
                <w:rFonts w:ascii="Arial" w:hAnsi="Arial" w:cs="Arial"/>
                <w:color w:val="000000" w:themeColor="text1"/>
                <w:sz w:val="20"/>
                <w:szCs w:val="20"/>
              </w:rPr>
            </w:pPr>
          </w:p>
          <w:p w14:paraId="2706320D" w14:textId="77777777" w:rsidR="00AA186F" w:rsidRPr="00E111BE" w:rsidRDefault="00AA186F" w:rsidP="008B47B8">
            <w:pPr>
              <w:spacing w:before="0" w:after="0" w:line="360" w:lineRule="auto"/>
              <w:rPr>
                <w:rFonts w:ascii="Arial" w:eastAsia="Times New Roman" w:hAnsi="Arial" w:cs="Arial"/>
                <w:b/>
                <w:bCs/>
                <w:sz w:val="20"/>
                <w:szCs w:val="20"/>
                <w:lang w:val="hr-HR" w:eastAsia="en-GB"/>
              </w:rPr>
            </w:pPr>
            <w:r w:rsidRPr="00E111BE">
              <w:rPr>
                <w:rFonts w:ascii="Arial" w:eastAsia="Times New Roman" w:hAnsi="Arial" w:cs="Arial"/>
                <w:b/>
                <w:bCs/>
                <w:sz w:val="20"/>
                <w:szCs w:val="20"/>
                <w:lang w:val="hr-HR" w:eastAsia="en-GB"/>
              </w:rPr>
              <w:t>Obaveza prijave događaja od značaja za integritet državnog tužioca</w:t>
            </w:r>
          </w:p>
          <w:p w14:paraId="06D296F4" w14:textId="77777777" w:rsidR="00AA186F" w:rsidRPr="00E111BE" w:rsidRDefault="00AA186F" w:rsidP="008B47B8">
            <w:pPr>
              <w:spacing w:before="100" w:beforeAutospacing="1" w:after="100" w:afterAutospacing="1"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Državni tužilac je dužan da rukovodiocu državnog tužilaštva, a rukovodilac državnog tužilaštva rukovodiocu neposredno višeg tužilaštva, </w:t>
            </w:r>
            <w:r w:rsidRPr="00E111BE">
              <w:rPr>
                <w:rFonts w:ascii="Arial" w:eastAsia="Times New Roman" w:hAnsi="Arial" w:cs="Arial"/>
                <w:bCs/>
                <w:color w:val="000000"/>
                <w:sz w:val="20"/>
                <w:szCs w:val="20"/>
                <w:lang w:eastAsia="en-GB"/>
              </w:rPr>
              <w:t>bez odlaganja</w:t>
            </w:r>
            <w:r w:rsidRPr="00E111BE">
              <w:rPr>
                <w:rFonts w:ascii="Arial" w:eastAsia="Times New Roman" w:hAnsi="Arial" w:cs="Arial"/>
                <w:color w:val="000000"/>
                <w:sz w:val="20"/>
                <w:szCs w:val="20"/>
                <w:lang w:eastAsia="en-GB"/>
              </w:rPr>
              <w:t>, a najkasnije u roku od 5 radnih dana, podnese pisani izvještaj o </w:t>
            </w:r>
            <w:r w:rsidRPr="00E111BE">
              <w:rPr>
                <w:rFonts w:ascii="Arial" w:eastAsia="Times New Roman" w:hAnsi="Arial" w:cs="Arial"/>
                <w:bCs/>
                <w:color w:val="000000"/>
                <w:sz w:val="20"/>
                <w:szCs w:val="20"/>
                <w:lang w:eastAsia="en-GB"/>
              </w:rPr>
              <w:t>događaju ili okolnosti</w:t>
            </w:r>
            <w:r w:rsidRPr="00E111BE">
              <w:rPr>
                <w:rFonts w:ascii="Arial" w:eastAsia="Times New Roman" w:hAnsi="Arial" w:cs="Arial"/>
                <w:color w:val="000000"/>
                <w:sz w:val="20"/>
                <w:szCs w:val="20"/>
                <w:lang w:eastAsia="en-GB"/>
              </w:rPr>
              <w:t> koji su, prema objektivnom standardu razumnog posmatrača, </w:t>
            </w:r>
            <w:r w:rsidRPr="00E111BE">
              <w:rPr>
                <w:rFonts w:ascii="Arial" w:eastAsia="Times New Roman" w:hAnsi="Arial" w:cs="Arial"/>
                <w:bCs/>
                <w:color w:val="000000"/>
                <w:sz w:val="20"/>
                <w:szCs w:val="20"/>
                <w:lang w:eastAsia="en-GB"/>
              </w:rPr>
              <w:t>podobni da ugroze njegovu nezavisnost, nepristrasnost ili integritet, ili da naruše povjerenje javnosti u rad državnog tužilaštva</w:t>
            </w:r>
            <w:r w:rsidRPr="00E111BE">
              <w:rPr>
                <w:rFonts w:ascii="Arial" w:eastAsia="Times New Roman" w:hAnsi="Arial" w:cs="Arial"/>
                <w:color w:val="000000"/>
                <w:sz w:val="20"/>
                <w:szCs w:val="20"/>
                <w:lang w:eastAsia="en-GB"/>
              </w:rPr>
              <w:t>.</w:t>
            </w:r>
          </w:p>
          <w:p w14:paraId="57F5D539" w14:textId="77777777" w:rsidR="00AA186F" w:rsidRPr="00E111BE" w:rsidRDefault="00AA186F" w:rsidP="008B47B8">
            <w:pPr>
              <w:pStyle w:val="NoSpacing"/>
              <w:jc w:val="both"/>
              <w:rPr>
                <w:rFonts w:ascii="Arial" w:eastAsia="Times New Roman" w:hAnsi="Arial" w:cs="Arial"/>
                <w:color w:val="000000"/>
                <w:sz w:val="20"/>
                <w:szCs w:val="20"/>
                <w:lang w:val="sr-Latn-ME" w:eastAsia="en-GB"/>
              </w:rPr>
            </w:pPr>
            <w:r w:rsidRPr="00E111BE">
              <w:rPr>
                <w:lang w:eastAsia="en-GB"/>
              </w:rPr>
              <w:t xml:space="preserve">Događajem ili okolnošću iz stava 1 ovog člana naročito se smatra svaka neposredna ili </w:t>
            </w:r>
            <w:r w:rsidRPr="00E111BE">
              <w:rPr>
                <w:rFonts w:ascii="Arial" w:eastAsia="Times New Roman" w:hAnsi="Arial" w:cs="Arial"/>
                <w:color w:val="000000"/>
                <w:sz w:val="20"/>
                <w:szCs w:val="20"/>
                <w:lang w:val="sr-Latn-ME" w:eastAsia="en-GB"/>
              </w:rPr>
              <w:t>posredna komunikacija, formalna ili neformalna, sa licem za koje je državni tužilac znao ili je morao znati, da je lice;</w:t>
            </w:r>
          </w:p>
          <w:p w14:paraId="0D01C998" w14:textId="77777777" w:rsidR="00AA186F" w:rsidRPr="00E111BE" w:rsidRDefault="00AA186F" w:rsidP="008B47B8">
            <w:pPr>
              <w:pStyle w:val="NoSpacing"/>
              <w:jc w:val="both"/>
              <w:rPr>
                <w:rFonts w:ascii="Arial" w:eastAsia="Times New Roman" w:hAnsi="Arial" w:cs="Arial"/>
                <w:color w:val="000000"/>
                <w:sz w:val="20"/>
                <w:szCs w:val="20"/>
                <w:lang w:val="sr-Latn-ME" w:eastAsia="en-GB"/>
              </w:rPr>
            </w:pPr>
            <w:r w:rsidRPr="00E111BE">
              <w:rPr>
                <w:rFonts w:ascii="Arial" w:eastAsia="Times New Roman" w:hAnsi="Arial" w:cs="Arial"/>
                <w:color w:val="000000"/>
                <w:sz w:val="20"/>
                <w:szCs w:val="20"/>
                <w:lang w:val="sr-Latn-ME" w:eastAsia="en-GB"/>
              </w:rPr>
              <w:t>- protiv kojeg je podnijeta krivična prijava po kojoj postupa državni tužilac</w:t>
            </w:r>
          </w:p>
          <w:p w14:paraId="189F968D" w14:textId="77777777" w:rsidR="00AA186F" w:rsidRPr="00E111BE" w:rsidRDefault="00AA186F" w:rsidP="008B47B8">
            <w:pPr>
              <w:pStyle w:val="NoSpacing"/>
              <w:jc w:val="both"/>
              <w:rPr>
                <w:rFonts w:ascii="Arial" w:eastAsia="Times New Roman" w:hAnsi="Arial" w:cs="Arial"/>
                <w:color w:val="000000"/>
                <w:sz w:val="20"/>
                <w:szCs w:val="20"/>
                <w:lang w:val="sr-Latn-ME" w:eastAsia="en-GB"/>
              </w:rPr>
            </w:pPr>
            <w:r w:rsidRPr="00E111BE">
              <w:rPr>
                <w:rFonts w:ascii="Arial" w:eastAsia="Times New Roman" w:hAnsi="Arial" w:cs="Arial"/>
                <w:color w:val="000000"/>
                <w:sz w:val="20"/>
                <w:szCs w:val="20"/>
                <w:lang w:val="sr-Latn-ME" w:eastAsia="en-GB"/>
              </w:rPr>
              <w:t>- u odnosu na koje državni tužilac preduzima radnje u okviru samostalno formiranog predmeta</w:t>
            </w:r>
          </w:p>
          <w:p w14:paraId="3D5F59E4" w14:textId="77777777" w:rsidR="00AA186F" w:rsidRPr="00E111BE" w:rsidRDefault="00AA186F" w:rsidP="008B47B8">
            <w:pPr>
              <w:pStyle w:val="NoSpacing"/>
              <w:jc w:val="both"/>
              <w:rPr>
                <w:rFonts w:ascii="Arial" w:eastAsia="Times New Roman" w:hAnsi="Arial" w:cs="Arial"/>
                <w:color w:val="000000"/>
                <w:sz w:val="20"/>
                <w:szCs w:val="20"/>
                <w:lang w:val="sr-Latn-ME" w:eastAsia="en-GB"/>
              </w:rPr>
            </w:pPr>
            <w:r w:rsidRPr="00E111BE">
              <w:rPr>
                <w:rFonts w:ascii="Arial" w:eastAsia="Times New Roman" w:hAnsi="Arial" w:cs="Arial"/>
                <w:color w:val="000000"/>
                <w:sz w:val="20"/>
                <w:szCs w:val="20"/>
                <w:lang w:val="sr-Latn-ME" w:eastAsia="en-GB"/>
              </w:rPr>
              <w:t>- protiv kojeg se vodi postupak u državnom tužilaštvu u kojem je državni tužilac zaposlen;</w:t>
            </w:r>
            <w:r w:rsidRPr="00E111BE">
              <w:rPr>
                <w:rFonts w:ascii="Arial" w:eastAsia="Times New Roman" w:hAnsi="Arial" w:cs="Arial"/>
                <w:color w:val="000000"/>
                <w:sz w:val="20"/>
                <w:szCs w:val="20"/>
                <w:lang w:val="sr-Latn-ME" w:eastAsia="en-GB"/>
              </w:rPr>
              <w:br/>
              <w:t>– protiv kojeg se, prema javno dostupnim podacima, vodi krivični postupak za krivična djela iz nadležnosti Specijalnog državnog tužilaštva;</w:t>
            </w:r>
            <w:r w:rsidRPr="00E111BE">
              <w:rPr>
                <w:rFonts w:ascii="Arial" w:eastAsia="Times New Roman" w:hAnsi="Arial" w:cs="Arial"/>
                <w:color w:val="000000"/>
                <w:sz w:val="20"/>
                <w:szCs w:val="20"/>
                <w:lang w:val="sr-Latn-ME" w:eastAsia="en-GB"/>
              </w:rPr>
              <w:br/>
              <w:t>– koje je pravosnažno osuđeno za krivična djela iz nadležnosti Specijalnog državnog tužilaštva ili za krivična djela za koja je zaprijećena kazna zatvora od ___ godina ili teža, ako je državni tužilac znao za tu činjenicu;</w:t>
            </w:r>
            <w:r w:rsidRPr="00E111BE">
              <w:rPr>
                <w:rFonts w:ascii="Arial" w:eastAsia="Times New Roman" w:hAnsi="Arial" w:cs="Arial"/>
                <w:color w:val="000000"/>
                <w:sz w:val="20"/>
                <w:szCs w:val="20"/>
                <w:lang w:val="sr-Latn-ME" w:eastAsia="en-GB"/>
              </w:rPr>
              <w:br/>
              <w:t>– koje se u evidencijama organa državne uprave nadležnog za poslove policije vodi kao bezbjednosno interesantno lice, ako je državni tužilac za tu činjenicu saznao u vršenju službene dužnosti</w:t>
            </w:r>
          </w:p>
          <w:p w14:paraId="0E08624A" w14:textId="77777777" w:rsidR="00AA186F" w:rsidRPr="00E111BE" w:rsidRDefault="00AA186F" w:rsidP="008B47B8">
            <w:pPr>
              <w:pStyle w:val="NoSpacing"/>
              <w:jc w:val="both"/>
              <w:rPr>
                <w:rFonts w:ascii="Arial" w:eastAsia="Times New Roman" w:hAnsi="Arial" w:cs="Arial"/>
                <w:color w:val="000000"/>
                <w:sz w:val="20"/>
                <w:szCs w:val="20"/>
                <w:lang w:val="sr-Latn-ME" w:eastAsia="en-GB"/>
              </w:rPr>
            </w:pPr>
            <w:r w:rsidRPr="00E111BE">
              <w:rPr>
                <w:rFonts w:ascii="Arial" w:eastAsia="Times New Roman" w:hAnsi="Arial" w:cs="Arial"/>
                <w:color w:val="000000"/>
                <w:sz w:val="20"/>
                <w:szCs w:val="20"/>
                <w:lang w:val="sr-Latn-ME" w:eastAsia="en-GB"/>
              </w:rPr>
              <w:t>- predstavnik strane bezbjednosne službe</w:t>
            </w:r>
          </w:p>
          <w:p w14:paraId="72AF57EB" w14:textId="77777777" w:rsidR="00AA186F" w:rsidRPr="00E111BE" w:rsidRDefault="00AA186F" w:rsidP="008B47B8">
            <w:pPr>
              <w:spacing w:before="0" w:after="0" w:line="240" w:lineRule="auto"/>
              <w:rPr>
                <w:rFonts w:ascii="Arial" w:eastAsia="Times New Roman" w:hAnsi="Arial" w:cs="Arial"/>
                <w:color w:val="000000"/>
                <w:sz w:val="20"/>
                <w:szCs w:val="20"/>
                <w:lang w:eastAsia="en-GB"/>
              </w:rPr>
            </w:pPr>
          </w:p>
          <w:p w14:paraId="4BCCC490" w14:textId="77777777" w:rsidR="00AA186F" w:rsidRPr="00E111BE" w:rsidRDefault="00AA186F" w:rsidP="008B47B8">
            <w:pPr>
              <w:spacing w:before="0" w:after="0"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 xml:space="preserve">Državni tužilac je dužan da prijavi </w:t>
            </w:r>
          </w:p>
          <w:p w14:paraId="099D9B43" w14:textId="77777777" w:rsidR="00AA186F" w:rsidRPr="00E111BE" w:rsidRDefault="00AA186F" w:rsidP="008B47B8">
            <w:pPr>
              <w:spacing w:before="0" w:after="0"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 svaki pokušaj uticaja, pritiska, posredovanja ili sugestije u vezi sa postupanjem u konkretnom predmetu, bez obzira na to da li je na takav pokušaj odgovoreno</w:t>
            </w:r>
          </w:p>
          <w:p w14:paraId="7E5A0FBC" w14:textId="77777777" w:rsidR="00AA186F" w:rsidRPr="00E111BE" w:rsidRDefault="00AA186F" w:rsidP="008B47B8">
            <w:pPr>
              <w:spacing w:before="0" w:after="0"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 saznanje da treće lice pokušava da utiče na rad državnog tužioca posredstvom drugih tužilaca, rukovodilaca, političkih, poslovnih ili kriminalnih struktura;</w:t>
            </w:r>
          </w:p>
          <w:p w14:paraId="601A9A8D" w14:textId="77777777" w:rsidR="00AA186F" w:rsidRPr="00E111BE" w:rsidRDefault="00AA186F" w:rsidP="008B47B8">
            <w:pPr>
              <w:spacing w:before="0" w:after="0"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lastRenderedPageBreak/>
              <w:t>- nuđenje, davanje ili obećanje poklona, usluge, pogodnosti ili druge koristi državnom tužiocu ili njemu bliskom licu, bez obzira na vrijednost i na to da li je ponuda prihvaćena;</w:t>
            </w:r>
          </w:p>
          <w:p w14:paraId="77A80BC7" w14:textId="77777777" w:rsidR="00AA186F" w:rsidRPr="00E111BE" w:rsidRDefault="00AA186F" w:rsidP="008B47B8">
            <w:pPr>
              <w:spacing w:before="0" w:after="0"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 postojanje ili uspostavljanje finansijskog, imovinskog ili poslovnog odnosa državnog tužioca ili sa njim povezanog lica, sa licima iz stava 2</w:t>
            </w:r>
          </w:p>
          <w:p w14:paraId="04D8DB77" w14:textId="77777777" w:rsidR="00AA186F" w:rsidRPr="00E111BE" w:rsidRDefault="00AA186F" w:rsidP="008B47B8">
            <w:pPr>
              <w:spacing w:before="0" w:after="0"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 događaj koji se desio u privatnom, društvenom ili neformalnom okruženju, ako je po svojoj prirodi sposoban da dovede u pitanje doživljaj nepristrasnosti državnog tužioca odnosno drćavnog tužilaštva u postupanju u konkretnim ili budućim predmetima;</w:t>
            </w:r>
          </w:p>
          <w:p w14:paraId="0E68159D" w14:textId="77777777" w:rsidR="00AA186F" w:rsidRPr="00E111BE" w:rsidRDefault="00AA186F" w:rsidP="008B47B8">
            <w:pPr>
              <w:spacing w:before="0" w:after="0" w:line="240" w:lineRule="auto"/>
              <w:rPr>
                <w:rFonts w:ascii="Arial" w:eastAsia="Times New Roman" w:hAnsi="Arial" w:cs="Arial"/>
                <w:color w:val="000000"/>
                <w:sz w:val="20"/>
                <w:szCs w:val="20"/>
                <w:lang w:eastAsia="en-GB"/>
              </w:rPr>
            </w:pPr>
          </w:p>
          <w:p w14:paraId="4A11D00C" w14:textId="77777777" w:rsidR="00AA186F" w:rsidRPr="00E111BE" w:rsidRDefault="00AA186F" w:rsidP="008B47B8">
            <w:pPr>
              <w:spacing w:before="0" w:after="0" w:line="240" w:lineRule="auto"/>
              <w:rPr>
                <w:rFonts w:ascii="Arial" w:eastAsia="Times New Roman" w:hAnsi="Arial" w:cs="Arial"/>
                <w:color w:val="000000"/>
                <w:sz w:val="20"/>
                <w:szCs w:val="20"/>
                <w:lang w:eastAsia="en-GB"/>
              </w:rPr>
            </w:pPr>
            <w:r w:rsidRPr="00E111BE">
              <w:rPr>
                <w:rFonts w:ascii="Arial" w:hAnsi="Arial" w:cs="Arial"/>
                <w:color w:val="000000"/>
                <w:kern w:val="2"/>
                <w:sz w:val="20"/>
                <w:szCs w:val="20"/>
                <w14:ligatures w14:val="standardContextual"/>
              </w:rPr>
              <w:t>Rukovodilac državnog tužilaštva dužan je da razmotri izvještaj i preduzme mjere u skladu sa zakonom.</w:t>
            </w:r>
          </w:p>
          <w:p w14:paraId="2867360D" w14:textId="77777777" w:rsidR="00AA186F" w:rsidRPr="00E111BE" w:rsidRDefault="00AA186F" w:rsidP="008B47B8">
            <w:pPr>
              <w:spacing w:before="100" w:beforeAutospacing="1" w:after="100" w:afterAutospacing="1"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NAPOMENA:</w:t>
            </w:r>
          </w:p>
          <w:p w14:paraId="1A915476" w14:textId="77777777" w:rsidR="00AA186F" w:rsidRPr="00E111BE" w:rsidRDefault="00AA186F" w:rsidP="008B47B8">
            <w:pPr>
              <w:spacing w:before="100" w:beforeAutospacing="1" w:after="100" w:afterAutospacing="1"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u odredbama o discplinskoj odgovornosti državnih tužilaca, propisati dva prekršaja, jedan lakši i jedan teži:</w:t>
            </w:r>
          </w:p>
          <w:p w14:paraId="5461EE22" w14:textId="77777777" w:rsidR="00AA186F" w:rsidRPr="00E111BE" w:rsidRDefault="00AA186F" w:rsidP="008B47B8">
            <w:pPr>
              <w:spacing w:before="100" w:beforeAutospacing="1" w:after="100" w:afterAutospacing="1"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nedostavljanje izvještaja iz člana (član koji propisuje obavezu dostavljanja izvejstaja o događaju koji ima značaj za povjerenje javnosti u rad tužilaštva),  a događaj je mogao da proizvede štetu po ugled državnog tužilaštva</w:t>
            </w:r>
          </w:p>
          <w:p w14:paraId="4BF98231" w14:textId="200F2F64" w:rsidR="00AA186F" w:rsidRPr="00E111BE" w:rsidRDefault="00AA186F" w:rsidP="008B47B8">
            <w:pPr>
              <w:spacing w:before="100" w:beforeAutospacing="1" w:after="100" w:afterAutospacing="1"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nedostavljanje izvještaja iz člana (član koji propisuje obavezu dostavljanja izvejstaja o događaju koji ima značaj za povjerenje javnosti u rad tužilaštva),  a događaj je proizveo štetu po ugled državnog tužilaštva.</w:t>
            </w:r>
          </w:p>
          <w:p w14:paraId="07624DA0" w14:textId="28E15A56" w:rsidR="00AA186F" w:rsidRPr="00E111BE" w:rsidRDefault="00AA186F" w:rsidP="008B47B8">
            <w:pPr>
              <w:spacing w:before="100" w:beforeAutospacing="1" w:after="100" w:afterAutospacing="1"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Primjedbom se dalje navodi da je cilj ovih odredbi usmjeren na jačanje institucionalnog integriteta tužilaštva i unapređenje transparentnosti u njegovom radu, te da povjerenje javnosti u rad državnog tužilaštva predstavlja legitiman ustavni cilj, a njegova zaštita opravdava uvođenje obaveze prijavljivanja određenih rizičnih situacija koje, iako same po sebi ne moraju predstavljati nezakonito ponašanje, mogu stvoriti osnovanu sumnju u objektivnost postupanja državnog tužioca.</w:t>
            </w:r>
          </w:p>
          <w:p w14:paraId="6F05DD87" w14:textId="63969F89" w:rsidR="00AA186F" w:rsidRPr="00E111BE" w:rsidRDefault="00AA186F" w:rsidP="008B47B8">
            <w:pPr>
              <w:spacing w:before="100" w:beforeAutospacing="1" w:after="100" w:afterAutospacing="1" w:line="240" w:lineRule="auto"/>
              <w:rPr>
                <w:rFonts w:ascii="Arial" w:eastAsia="Times New Roman" w:hAnsi="Arial" w:cs="Arial"/>
                <w:color w:val="000000"/>
                <w:sz w:val="20"/>
                <w:szCs w:val="20"/>
                <w:lang w:eastAsia="en-GB"/>
              </w:rPr>
            </w:pPr>
            <w:r w:rsidRPr="00E111BE">
              <w:rPr>
                <w:rFonts w:ascii="Arial" w:eastAsia="Times New Roman" w:hAnsi="Arial" w:cs="Arial"/>
                <w:color w:val="000000"/>
                <w:sz w:val="20"/>
                <w:szCs w:val="20"/>
                <w:lang w:eastAsia="en-GB"/>
              </w:rPr>
              <w:t>Dalje se ističe da je cilj predloženih odredbi jačanje pravne sigurnosti, ujednačavanje postupanja nadležnih organa te da predložena rješenja sadrže situacije koje se naročito smatraju događajima od načaja za integritet državnog tužioca, uključujući komunikaciju sa licima protiv kojih se vode postupci, bezbjednosno interesantna lica, strane agente, pokušaje uticaja ili pritiska, nuđenje poklona ili drugih koristi, postojanje finansijskih ili poslovnih odnosa, kao i određene oblike javnih i digitalnih istupa.</w:t>
            </w:r>
          </w:p>
          <w:p w14:paraId="5ED53B1A" w14:textId="0A00B4B0" w:rsidR="00AA186F" w:rsidRPr="00E111BE" w:rsidRDefault="00AA186F" w:rsidP="008B47B8">
            <w:pPr>
              <w:spacing w:before="100" w:beforeAutospacing="1" w:after="100" w:afterAutospacing="1" w:line="240" w:lineRule="auto"/>
              <w:rPr>
                <w:rFonts w:ascii="Arial" w:hAnsi="Arial" w:cs="Arial"/>
                <w:color w:val="000000" w:themeColor="text1"/>
                <w:sz w:val="20"/>
                <w:szCs w:val="20"/>
              </w:rPr>
            </w:pPr>
            <w:r w:rsidRPr="00E111BE">
              <w:rPr>
                <w:rFonts w:ascii="Arial" w:eastAsia="Times New Roman" w:hAnsi="Arial" w:cs="Arial"/>
                <w:color w:val="000000"/>
                <w:sz w:val="20"/>
                <w:szCs w:val="20"/>
                <w:lang w:eastAsia="en-GB"/>
              </w:rPr>
              <w:t xml:space="preserve">Na kraju se primjedbom navodi da je posebna pažnja posvećena usklađenosti predloženih odredbi sa ustavnim pravom na privatnost i slobodu izražavanja te da se obaveza prijavljivanja ne odnosi se na privatni život državnog tužioca kao takav, već isključivo na one događaje koji su po svojoj prirodi sposobni da utiču na njegovo postupanje u konkretnim ili budućim predmetima ili da objektivno naruše povjerenje javnosti u nezavisnost državnog tužilaštva. </w:t>
            </w:r>
          </w:p>
        </w:tc>
      </w:tr>
      <w:tr w:rsidR="00AA186F" w:rsidRPr="00E111BE" w14:paraId="6EC6903B"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5"/>
        </w:trPr>
        <w:tc>
          <w:tcPr>
            <w:tcW w:w="900" w:type="dxa"/>
            <w:tcBorders>
              <w:top w:val="single" w:sz="4" w:space="0" w:color="auto"/>
              <w:left w:val="single" w:sz="4" w:space="0" w:color="auto"/>
              <w:bottom w:val="single" w:sz="4" w:space="0" w:color="auto"/>
              <w:right w:val="single" w:sz="4" w:space="0" w:color="auto"/>
            </w:tcBorders>
          </w:tcPr>
          <w:p w14:paraId="412ABCDF" w14:textId="4FCDE1D5"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lastRenderedPageBreak/>
              <w:t>13.</w:t>
            </w:r>
          </w:p>
        </w:tc>
        <w:tc>
          <w:tcPr>
            <w:tcW w:w="2610" w:type="dxa"/>
            <w:tcBorders>
              <w:top w:val="single" w:sz="4" w:space="0" w:color="auto"/>
              <w:left w:val="single" w:sz="4" w:space="0" w:color="auto"/>
              <w:bottom w:val="single" w:sz="4" w:space="0" w:color="auto"/>
            </w:tcBorders>
          </w:tcPr>
          <w:p w14:paraId="1F9C7FC5" w14:textId="6CA2BCD4"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Institut Alternativa</w:t>
            </w:r>
          </w:p>
        </w:tc>
        <w:tc>
          <w:tcPr>
            <w:tcW w:w="6840" w:type="dxa"/>
            <w:tcBorders>
              <w:top w:val="single" w:sz="4" w:space="0" w:color="auto"/>
              <w:left w:val="single" w:sz="4" w:space="0" w:color="auto"/>
              <w:bottom w:val="single" w:sz="4" w:space="0" w:color="auto"/>
              <w:right w:val="single" w:sz="4" w:space="0" w:color="auto"/>
            </w:tcBorders>
          </w:tcPr>
          <w:p w14:paraId="4373B9A7" w14:textId="78827D48"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Predlaže se da se u članu 26 važećeg Zakona, poslije stava 1, doda se stav 2 koji  glasi:</w:t>
            </w:r>
          </w:p>
          <w:p w14:paraId="410D2F17" w14:textId="77777777" w:rsidR="00AA186F" w:rsidRPr="00E111BE" w:rsidRDefault="00AA186F" w:rsidP="008B47B8">
            <w:pPr>
              <w:spacing w:before="0" w:after="0" w:line="240" w:lineRule="auto"/>
              <w:rPr>
                <w:rFonts w:ascii="Arial" w:hAnsi="Arial" w:cs="Arial"/>
                <w:color w:val="000000" w:themeColor="text1"/>
                <w:sz w:val="20"/>
                <w:szCs w:val="20"/>
              </w:rPr>
            </w:pPr>
          </w:p>
          <w:p w14:paraId="49A61428"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 xml:space="preserve">Izuzetno od stava 1, ukoliko na prvom javnom pozivu za člana Tužilačkog savjeta iz reda nevladinih organizacija, nije bilo predloženih kandidata, ili </w:t>
            </w:r>
            <w:r w:rsidRPr="00E111BE">
              <w:rPr>
                <w:rFonts w:ascii="Arial" w:hAnsi="Arial" w:cs="Arial"/>
                <w:color w:val="000000" w:themeColor="text1"/>
                <w:sz w:val="20"/>
                <w:szCs w:val="20"/>
              </w:rPr>
              <w:lastRenderedPageBreak/>
              <w:t xml:space="preserve">niko od predloženih kandidata nije izabran, na sljedeći javni poziv, nevladine organizacije mogu predložiti lice koje ima najmanje 30 godina života i 10 (ili:8) godina radnog staža na pravnim poslovima. </w:t>
            </w:r>
          </w:p>
          <w:p w14:paraId="0360303B"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 xml:space="preserve"> </w:t>
            </w:r>
          </w:p>
          <w:p w14:paraId="0C0EB7B9" w14:textId="7677E358"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Primjedbom se kao Alternativa 2 predlaže izmjena člana 26b , stav 1 važećeg Zakona koji bi glasio:</w:t>
            </w:r>
          </w:p>
          <w:p w14:paraId="7059908A" w14:textId="77777777" w:rsidR="00AA186F" w:rsidRPr="00E111BE" w:rsidRDefault="00AA186F" w:rsidP="008B47B8">
            <w:pPr>
              <w:spacing w:before="0" w:after="0" w:line="240" w:lineRule="auto"/>
              <w:rPr>
                <w:rFonts w:ascii="Arial" w:hAnsi="Arial" w:cs="Arial"/>
                <w:color w:val="000000" w:themeColor="text1"/>
                <w:sz w:val="20"/>
                <w:szCs w:val="20"/>
              </w:rPr>
            </w:pPr>
          </w:p>
          <w:p w14:paraId="2CE3EA8E" w14:textId="2BC792F9"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Za člana Tužilačkog savjeta iz reda uglednih pravnika može biti birano lice koje ima najmanje 30 godina života i koje je 10 godina radilo kao sudija, državni tužilac, advokat, notar, javni izvršitelj, profesor pravnih nauka ili na drugim pravnim poslovima u oblasti krivičnog, upravnog i građanskog prava, odlikuje se stručnim kompetencijama i uživa lični i profesionalni integritet, koje nije osuđivano za krivična djela koja čine državne tužioce nedostojnim za obavljanje tužilačke funkcije u skladu sa ovim zakonom.</w:t>
            </w:r>
          </w:p>
          <w:p w14:paraId="225E161A" w14:textId="0E82AD67" w:rsidR="00AA186F" w:rsidRPr="00E111BE" w:rsidRDefault="00AA186F" w:rsidP="008B47B8">
            <w:pPr>
              <w:spacing w:before="0" w:after="0" w:line="240" w:lineRule="auto"/>
              <w:rPr>
                <w:rFonts w:ascii="Arial" w:hAnsi="Arial" w:cs="Arial"/>
                <w:color w:val="000000" w:themeColor="text1"/>
                <w:sz w:val="20"/>
                <w:szCs w:val="20"/>
              </w:rPr>
            </w:pPr>
          </w:p>
          <w:p w14:paraId="3B6A3F63" w14:textId="55A947DC"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Dalje se primjedbom ističe da se predloženim rješenjem uklanja neopravdano visok prag starosne dobi i radnog staža u odnosu na člana Tužilačkog savjeta iz reda osnovnih tužilaštava, izbjegava se ponavljanje neuspješnih javnih poziva, obezbjeđuje se funkcionalnost Tužilačkog savjeta i omogućava širi i realniji krug kvalifikovanih kandidata, naročito iz reda nevladinih organizacija.</w:t>
            </w:r>
          </w:p>
          <w:p w14:paraId="711CF1A0" w14:textId="3EAA02E8"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 xml:space="preserve"> </w:t>
            </w:r>
          </w:p>
        </w:tc>
      </w:tr>
      <w:tr w:rsidR="00AA186F" w:rsidRPr="00E111BE" w14:paraId="0119028C"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0"/>
        </w:trPr>
        <w:tc>
          <w:tcPr>
            <w:tcW w:w="900" w:type="dxa"/>
            <w:tcBorders>
              <w:top w:val="single" w:sz="4" w:space="0" w:color="auto"/>
              <w:left w:val="single" w:sz="4" w:space="0" w:color="auto"/>
              <w:bottom w:val="single" w:sz="4" w:space="0" w:color="auto"/>
              <w:right w:val="single" w:sz="4" w:space="0" w:color="auto"/>
            </w:tcBorders>
          </w:tcPr>
          <w:p w14:paraId="52980A43" w14:textId="1D34C214"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lastRenderedPageBreak/>
              <w:t>14.</w:t>
            </w:r>
          </w:p>
        </w:tc>
        <w:tc>
          <w:tcPr>
            <w:tcW w:w="2610" w:type="dxa"/>
            <w:tcBorders>
              <w:top w:val="single" w:sz="4" w:space="0" w:color="auto"/>
              <w:left w:val="single" w:sz="4" w:space="0" w:color="auto"/>
              <w:bottom w:val="single" w:sz="4" w:space="0" w:color="auto"/>
            </w:tcBorders>
          </w:tcPr>
          <w:p w14:paraId="2DCE9CA9" w14:textId="2B86746D"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Institut Alternativa</w:t>
            </w:r>
          </w:p>
        </w:tc>
        <w:tc>
          <w:tcPr>
            <w:tcW w:w="6840" w:type="dxa"/>
            <w:tcBorders>
              <w:top w:val="single" w:sz="4" w:space="0" w:color="auto"/>
              <w:left w:val="single" w:sz="4" w:space="0" w:color="auto"/>
              <w:bottom w:val="single" w:sz="4" w:space="0" w:color="auto"/>
              <w:right w:val="single" w:sz="4" w:space="0" w:color="auto"/>
            </w:tcBorders>
          </w:tcPr>
          <w:p w14:paraId="3AAA7947" w14:textId="7AB96102"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Predlaže se izmjena člana 26 važećeg Zakona na način što lice iz stava 1 mora imati dokaziv pisani, naučni, stručni ili drugi značajan javno prepoznat doprinos u oblasti državnog tužilaštva, vladavine prava, borbe protiv korupcije i/ili drugih oblika kriminaliteta.</w:t>
            </w:r>
          </w:p>
          <w:p w14:paraId="29327487" w14:textId="5A36B6C2"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Dalje se primjedbom ističe da se predloženom izmjenom doprinosi objektivizaciji izbora, imajući u vidu da se kriterijumi „stručnih kompetencija“ i „ličnog i profesionalnog integriteta“ po svojoj prirodi teško mogu objektivno i provjerljivo utvrditi, i obezbjeđuje mjerljiv i javno provjerljiv standard za izbor članova Tužilačkog savjeta iz reda uglednih pravnika.</w:t>
            </w:r>
          </w:p>
        </w:tc>
      </w:tr>
      <w:tr w:rsidR="00AA186F" w:rsidRPr="00E111BE" w14:paraId="598F2203"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7"/>
        </w:trPr>
        <w:tc>
          <w:tcPr>
            <w:tcW w:w="900" w:type="dxa"/>
            <w:tcBorders>
              <w:top w:val="single" w:sz="4" w:space="0" w:color="auto"/>
              <w:left w:val="single" w:sz="4" w:space="0" w:color="auto"/>
              <w:bottom w:val="single" w:sz="4" w:space="0" w:color="auto"/>
              <w:right w:val="single" w:sz="4" w:space="0" w:color="auto"/>
            </w:tcBorders>
          </w:tcPr>
          <w:p w14:paraId="378370F4" w14:textId="233FE5EE"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15.</w:t>
            </w:r>
          </w:p>
        </w:tc>
        <w:tc>
          <w:tcPr>
            <w:tcW w:w="2610" w:type="dxa"/>
            <w:tcBorders>
              <w:top w:val="single" w:sz="4" w:space="0" w:color="auto"/>
              <w:left w:val="single" w:sz="4" w:space="0" w:color="auto"/>
              <w:bottom w:val="single" w:sz="4" w:space="0" w:color="auto"/>
            </w:tcBorders>
          </w:tcPr>
          <w:p w14:paraId="48910E0B" w14:textId="0E923A47"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Institut Alternativa</w:t>
            </w:r>
          </w:p>
        </w:tc>
        <w:tc>
          <w:tcPr>
            <w:tcW w:w="6840" w:type="dxa"/>
            <w:tcBorders>
              <w:top w:val="single" w:sz="4" w:space="0" w:color="auto"/>
              <w:left w:val="single" w:sz="4" w:space="0" w:color="auto"/>
              <w:bottom w:val="single" w:sz="4" w:space="0" w:color="auto"/>
              <w:right w:val="single" w:sz="4" w:space="0" w:color="auto"/>
            </w:tcBorders>
          </w:tcPr>
          <w:p w14:paraId="7287BFF4" w14:textId="4A2B726B"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Predlaže se sledeće:</w:t>
            </w:r>
          </w:p>
          <w:p w14:paraId="219469F2" w14:textId="55B1223C" w:rsidR="00AA186F" w:rsidRPr="00E111BE" w:rsidRDefault="00AA186F" w:rsidP="008B47B8">
            <w:pPr>
              <w:spacing w:before="0" w:after="0" w:line="240" w:lineRule="auto"/>
              <w:rPr>
                <w:rFonts w:ascii="Arial" w:hAnsi="Arial" w:cs="Arial"/>
                <w:color w:val="000000" w:themeColor="text1"/>
                <w:sz w:val="20"/>
                <w:szCs w:val="20"/>
              </w:rPr>
            </w:pPr>
          </w:p>
          <w:p w14:paraId="66203621"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U članu 26b, briše se stav 3 koji glasi " Izuzetno od stava 2 ovog člana nevladina organizacija može da predloži dva kandidata ako:</w:t>
            </w:r>
          </w:p>
          <w:p w14:paraId="7CC96CAC"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1) je kod nadležnog organa državne uprave registrovana najmanje 10 godina prije objavljivanja javnog poziva kandidata za člana Tužilačkog savjeta predstavnika nevladinih organizacija;</w:t>
            </w:r>
          </w:p>
          <w:p w14:paraId="565AF6C6"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2) u osnivačkom aktu i statutu ima kao osnovne ciljeve i djelatnosti pitanja iz oblasti koje su propisane članom 18 stav 3 tačka 4 ovog zakona i da se u prethodnih 10 godina kontinuirano bavi ovim pitanjima;</w:t>
            </w:r>
          </w:p>
          <w:p w14:paraId="077B2FEB" w14:textId="0CC23A88"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3) je u prethodnih pet godina prije objavljivanja javnog poziva za predlaganje kandidata za člana Tužilačkog savjeta realizovala projekte u oblasti iz člana 18 stav 3 tačka 4 ovog zakona.</w:t>
            </w:r>
          </w:p>
          <w:p w14:paraId="124C2D07" w14:textId="0F68332C" w:rsidR="00AA186F" w:rsidRPr="00E111BE" w:rsidRDefault="00AA186F" w:rsidP="008B47B8">
            <w:pPr>
              <w:spacing w:before="0" w:after="0" w:line="240" w:lineRule="auto"/>
              <w:rPr>
                <w:rFonts w:ascii="Arial" w:hAnsi="Arial" w:cs="Arial"/>
                <w:color w:val="000000" w:themeColor="text1"/>
                <w:sz w:val="20"/>
                <w:szCs w:val="20"/>
              </w:rPr>
            </w:pPr>
          </w:p>
          <w:p w14:paraId="79AD1F9D" w14:textId="3A60210A"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 xml:space="preserve">Dalje se primjedbom ističe da u praksi ne postoji racionalan i objektivan razlog da jedna NVO predlaže dva kandidata koji međusobno konkurišu, i da svi kandidati, bez obzira na broj predlagača, učestvuju u izboru pod jednakim uslovima. </w:t>
            </w:r>
          </w:p>
        </w:tc>
      </w:tr>
      <w:tr w:rsidR="00AA186F" w:rsidRPr="00E111BE" w14:paraId="7FAB9110"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7"/>
        </w:trPr>
        <w:tc>
          <w:tcPr>
            <w:tcW w:w="900" w:type="dxa"/>
            <w:tcBorders>
              <w:top w:val="single" w:sz="4" w:space="0" w:color="auto"/>
              <w:left w:val="single" w:sz="4" w:space="0" w:color="auto"/>
              <w:bottom w:val="single" w:sz="4" w:space="0" w:color="auto"/>
              <w:right w:val="single" w:sz="4" w:space="0" w:color="auto"/>
            </w:tcBorders>
          </w:tcPr>
          <w:p w14:paraId="48979D6C" w14:textId="55119AD2"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 xml:space="preserve">16. </w:t>
            </w:r>
          </w:p>
        </w:tc>
        <w:tc>
          <w:tcPr>
            <w:tcW w:w="2610" w:type="dxa"/>
            <w:tcBorders>
              <w:top w:val="single" w:sz="4" w:space="0" w:color="auto"/>
              <w:left w:val="single" w:sz="4" w:space="0" w:color="auto"/>
              <w:bottom w:val="single" w:sz="4" w:space="0" w:color="auto"/>
            </w:tcBorders>
          </w:tcPr>
          <w:p w14:paraId="7B7F0D5A" w14:textId="46CF3F85"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Institut Alternativa</w:t>
            </w:r>
          </w:p>
        </w:tc>
        <w:tc>
          <w:tcPr>
            <w:tcW w:w="6840" w:type="dxa"/>
            <w:tcBorders>
              <w:top w:val="single" w:sz="4" w:space="0" w:color="auto"/>
              <w:left w:val="single" w:sz="4" w:space="0" w:color="auto"/>
              <w:bottom w:val="single" w:sz="4" w:space="0" w:color="auto"/>
              <w:right w:val="single" w:sz="4" w:space="0" w:color="auto"/>
            </w:tcBorders>
          </w:tcPr>
          <w:p w14:paraId="74D29051"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Primjedbom se predlaže brisanje riječi "osnivačkom aktu" iz člana 26 važećeg zakona.</w:t>
            </w:r>
          </w:p>
          <w:p w14:paraId="4B66A14F" w14:textId="77777777" w:rsidR="00AA186F" w:rsidRPr="00E111BE" w:rsidRDefault="00AA186F" w:rsidP="008B47B8">
            <w:pPr>
              <w:spacing w:before="0" w:after="0" w:line="240" w:lineRule="auto"/>
              <w:rPr>
                <w:rFonts w:ascii="Arial" w:hAnsi="Arial" w:cs="Arial"/>
                <w:color w:val="000000" w:themeColor="text1"/>
                <w:sz w:val="20"/>
                <w:szCs w:val="20"/>
              </w:rPr>
            </w:pPr>
          </w:p>
          <w:p w14:paraId="54301CB9" w14:textId="4AE8F0CA"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 xml:space="preserve">Dalje se primjedbom ističe da odluka o osnivanju nevladine organizacije proizvodi pravne posljedice isključivo u trenutku osnivanja organizacije i njenog upisa u registar, nakon čega se ne može mijenjati i ne predstavlja relevantan pokazatelj stvarnog djelovanja organizacije te da zadržavanje </w:t>
            </w:r>
            <w:r w:rsidRPr="00E111BE">
              <w:rPr>
                <w:rFonts w:ascii="Arial" w:hAnsi="Arial" w:cs="Arial"/>
                <w:color w:val="000000" w:themeColor="text1"/>
                <w:sz w:val="20"/>
                <w:szCs w:val="20"/>
              </w:rPr>
              <w:lastRenderedPageBreak/>
              <w:t xml:space="preserve">ovog uslova dovodi do neopravdane diskriminacije starijih organizacija i onemogućava učešće onih nevladinih organizacija koje su, iako u trenutku osnivanja nijesu imale definisane navedene oblasti djelovanja, naknadno kroz izmjene statuta i praktičan rad razvile stručnost i ostvarile značajne rezultate u relevantnim oblastima. </w:t>
            </w:r>
          </w:p>
        </w:tc>
      </w:tr>
      <w:tr w:rsidR="00AA186F" w:rsidRPr="00E111BE" w14:paraId="638C3AF1"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7"/>
        </w:trPr>
        <w:tc>
          <w:tcPr>
            <w:tcW w:w="900" w:type="dxa"/>
            <w:tcBorders>
              <w:top w:val="single" w:sz="4" w:space="0" w:color="auto"/>
              <w:left w:val="single" w:sz="4" w:space="0" w:color="auto"/>
              <w:bottom w:val="single" w:sz="4" w:space="0" w:color="auto"/>
              <w:right w:val="single" w:sz="4" w:space="0" w:color="auto"/>
            </w:tcBorders>
          </w:tcPr>
          <w:p w14:paraId="539B175B" w14:textId="3F1234A3"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lastRenderedPageBreak/>
              <w:t>17.</w:t>
            </w:r>
          </w:p>
        </w:tc>
        <w:tc>
          <w:tcPr>
            <w:tcW w:w="2610" w:type="dxa"/>
            <w:tcBorders>
              <w:top w:val="single" w:sz="4" w:space="0" w:color="auto"/>
              <w:left w:val="single" w:sz="4" w:space="0" w:color="auto"/>
              <w:bottom w:val="single" w:sz="4" w:space="0" w:color="auto"/>
            </w:tcBorders>
          </w:tcPr>
          <w:p w14:paraId="7FDBF27E" w14:textId="3A4A0432"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Institut Alternativa</w:t>
            </w:r>
          </w:p>
        </w:tc>
        <w:tc>
          <w:tcPr>
            <w:tcW w:w="6840" w:type="dxa"/>
            <w:tcBorders>
              <w:top w:val="single" w:sz="4" w:space="0" w:color="auto"/>
              <w:left w:val="single" w:sz="4" w:space="0" w:color="auto"/>
              <w:bottom w:val="single" w:sz="4" w:space="0" w:color="auto"/>
              <w:right w:val="single" w:sz="4" w:space="0" w:color="auto"/>
            </w:tcBorders>
          </w:tcPr>
          <w:p w14:paraId="7870FB50" w14:textId="359EF2AE"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Predlaže se da izmjena člana 37 važećeg zakona na način š</w:t>
            </w:r>
            <w:r w:rsidR="00DE54C4" w:rsidRPr="00E111BE">
              <w:rPr>
                <w:rFonts w:ascii="Arial" w:hAnsi="Arial" w:cs="Arial"/>
                <w:color w:val="000000" w:themeColor="text1"/>
                <w:sz w:val="20"/>
                <w:szCs w:val="20"/>
              </w:rPr>
              <w:t>t</w:t>
            </w:r>
            <w:r w:rsidRPr="00E111BE">
              <w:rPr>
                <w:rFonts w:ascii="Arial" w:hAnsi="Arial" w:cs="Arial"/>
                <w:color w:val="000000" w:themeColor="text1"/>
                <w:sz w:val="20"/>
                <w:szCs w:val="20"/>
              </w:rPr>
              <w:t>o bi se u stavu 1 tog člana nakon tačke 14a dodala odredba koja bi glasila:</w:t>
            </w:r>
          </w:p>
          <w:p w14:paraId="2D258940" w14:textId="77777777" w:rsidR="00AA186F" w:rsidRPr="00E111BE" w:rsidRDefault="00AA186F" w:rsidP="008B47B8">
            <w:pPr>
              <w:spacing w:before="0" w:after="0" w:line="240" w:lineRule="auto"/>
              <w:rPr>
                <w:rFonts w:ascii="Arial" w:hAnsi="Arial" w:cs="Arial"/>
                <w:color w:val="000000" w:themeColor="text1"/>
                <w:sz w:val="20"/>
                <w:szCs w:val="20"/>
              </w:rPr>
            </w:pPr>
          </w:p>
          <w:p w14:paraId="119421D7"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Član XX</w:t>
            </w:r>
          </w:p>
          <w:p w14:paraId="7AE2EDF9"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(Izjašnjenje Tužilačkog savjeta kada nacrt propisa nije objavljen ili dostavljen)</w:t>
            </w:r>
          </w:p>
          <w:p w14:paraId="6ED0647D"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Ako u postupku pripreme zakona ili drugog propisa iz nadležnosti Državnog tužilaštva nije objavljen odnosno dostavljen nacrt propisa radi davanja mišljenja Tužilačkog savjeta, predlagač propisa dužan je da, bez odlaganja po utvrđivanju predloga propisa, isti dostavi Tužilačkom savjetu na mišljenje.</w:t>
            </w:r>
          </w:p>
          <w:p w14:paraId="4BABF324"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U slučaju kada je predlog zakona podnio ovlašćeni predlagač koji prethodno nije sproveo postupak javne rasprave niti izrade nacrta propisa, predsjednik nadležnog radnog tijela Skupštine dužan je da predlog zakona dostavi Tužilačkom savjetu radi davanja mišljenja prije razmatranja na sjednici radnog tijela.</w:t>
            </w:r>
          </w:p>
          <w:p w14:paraId="1E9B7CEE"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Tužilački savjet dostavlja mišljenje u roku od osam dana od dana prijema predloga propisa, ako zbog hitnosti postupka nije određen kraći rok.</w:t>
            </w:r>
          </w:p>
          <w:p w14:paraId="4E146990"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Nedostavljanje mišljenja u propisanom roku ne odlaže dalji postupak razmatranja i usvajanja propisa.</w:t>
            </w:r>
          </w:p>
          <w:p w14:paraId="78FC0AEA"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Mišljenje Tužilačkog savjeta dostavlja se  predsjedniku nadležnog radnog tijela Skupštine i objavljuje na internet stranici Tužilačkog savjeta.</w:t>
            </w:r>
          </w:p>
          <w:p w14:paraId="2584EE4C" w14:textId="77777777" w:rsidR="00AA186F" w:rsidRPr="00E111BE" w:rsidRDefault="00AA186F" w:rsidP="008B47B8">
            <w:pPr>
              <w:spacing w:before="0" w:after="0" w:line="240" w:lineRule="auto"/>
              <w:rPr>
                <w:rFonts w:ascii="Arial" w:hAnsi="Arial" w:cs="Arial"/>
                <w:color w:val="000000" w:themeColor="text1"/>
                <w:sz w:val="20"/>
                <w:szCs w:val="20"/>
              </w:rPr>
            </w:pPr>
          </w:p>
          <w:p w14:paraId="3E53C417" w14:textId="7C34F83E"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Dalje se primjedbom ističe da</w:t>
            </w:r>
            <w:r w:rsidRPr="00E111BE">
              <w:rPr>
                <w:rFonts w:ascii="Arial" w:hAnsi="Arial" w:cs="Arial"/>
                <w:sz w:val="20"/>
                <w:szCs w:val="20"/>
              </w:rPr>
              <w:t xml:space="preserve"> </w:t>
            </w:r>
            <w:r w:rsidRPr="00E111BE">
              <w:rPr>
                <w:rFonts w:ascii="Arial" w:hAnsi="Arial" w:cs="Arial"/>
                <w:color w:val="000000" w:themeColor="text1"/>
                <w:sz w:val="20"/>
                <w:szCs w:val="20"/>
              </w:rPr>
              <w:t xml:space="preserve">predložena izmjena, ima za cilj da popuni pravnu prazninu koja postoji jer  je u praksi moguće da izostane mogućnost da Tužilački savjet da mišljenje o propisu koji se odnosi na državno tužilaštvo, iz razloga jer u postupku pripreme propisa, nije utvrđen ili objavljen nacrt tog propisa, odnosno jer su izmjene propisa predložene od poslanika u Skupštini Crne Gore. </w:t>
            </w:r>
          </w:p>
          <w:p w14:paraId="33F2D651" w14:textId="57B91847" w:rsidR="00AA186F" w:rsidRPr="00E111BE" w:rsidRDefault="00AA186F" w:rsidP="008B47B8">
            <w:pPr>
              <w:spacing w:before="0" w:after="0" w:line="240" w:lineRule="auto"/>
              <w:rPr>
                <w:rFonts w:ascii="Arial" w:hAnsi="Arial" w:cs="Arial"/>
                <w:color w:val="000000" w:themeColor="text1"/>
                <w:sz w:val="20"/>
                <w:szCs w:val="20"/>
              </w:rPr>
            </w:pPr>
          </w:p>
        </w:tc>
      </w:tr>
      <w:tr w:rsidR="00AA186F" w:rsidRPr="00E111BE" w14:paraId="03E06393"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7"/>
        </w:trPr>
        <w:tc>
          <w:tcPr>
            <w:tcW w:w="900" w:type="dxa"/>
            <w:tcBorders>
              <w:top w:val="single" w:sz="4" w:space="0" w:color="auto"/>
              <w:left w:val="single" w:sz="4" w:space="0" w:color="auto"/>
              <w:bottom w:val="single" w:sz="4" w:space="0" w:color="auto"/>
              <w:right w:val="single" w:sz="4" w:space="0" w:color="auto"/>
            </w:tcBorders>
          </w:tcPr>
          <w:p w14:paraId="02550676" w14:textId="12866740"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18.</w:t>
            </w:r>
          </w:p>
        </w:tc>
        <w:tc>
          <w:tcPr>
            <w:tcW w:w="2610" w:type="dxa"/>
            <w:tcBorders>
              <w:top w:val="single" w:sz="4" w:space="0" w:color="auto"/>
              <w:left w:val="single" w:sz="4" w:space="0" w:color="auto"/>
              <w:bottom w:val="single" w:sz="4" w:space="0" w:color="auto"/>
            </w:tcBorders>
          </w:tcPr>
          <w:p w14:paraId="12E589AD" w14:textId="029BBC20"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Institut Alternativa</w:t>
            </w:r>
          </w:p>
        </w:tc>
        <w:tc>
          <w:tcPr>
            <w:tcW w:w="6840" w:type="dxa"/>
            <w:tcBorders>
              <w:top w:val="single" w:sz="4" w:space="0" w:color="auto"/>
              <w:left w:val="single" w:sz="4" w:space="0" w:color="auto"/>
              <w:bottom w:val="single" w:sz="4" w:space="0" w:color="auto"/>
              <w:right w:val="single" w:sz="4" w:space="0" w:color="auto"/>
            </w:tcBorders>
          </w:tcPr>
          <w:p w14:paraId="4542831B" w14:textId="5326382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Predlaže se da se član 41 važećeh zakona zamijeni  članovima 41 i 41 a i 41b koji bi glasili:</w:t>
            </w:r>
          </w:p>
          <w:p w14:paraId="7C450EA6" w14:textId="77777777" w:rsidR="00AA186F" w:rsidRPr="00E111BE" w:rsidRDefault="00AA186F" w:rsidP="008B47B8">
            <w:pPr>
              <w:spacing w:before="0" w:after="0" w:line="240" w:lineRule="auto"/>
              <w:rPr>
                <w:rFonts w:ascii="Arial" w:hAnsi="Arial" w:cs="Arial"/>
                <w:color w:val="000000" w:themeColor="text1"/>
                <w:sz w:val="20"/>
                <w:szCs w:val="20"/>
              </w:rPr>
            </w:pPr>
          </w:p>
          <w:p w14:paraId="23AC6B1E" w14:textId="004FF862"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Član 41</w:t>
            </w:r>
          </w:p>
          <w:p w14:paraId="16F887AB" w14:textId="77777777" w:rsidR="00AA186F" w:rsidRPr="00E111BE" w:rsidRDefault="00AA186F" w:rsidP="008B47B8">
            <w:pPr>
              <w:spacing w:before="0" w:after="0" w:line="240" w:lineRule="auto"/>
              <w:rPr>
                <w:rFonts w:ascii="Arial" w:hAnsi="Arial" w:cs="Arial"/>
                <w:color w:val="000000" w:themeColor="text1"/>
                <w:sz w:val="20"/>
                <w:szCs w:val="20"/>
              </w:rPr>
            </w:pPr>
          </w:p>
          <w:p w14:paraId="28961C3E"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o radu Državnog tužilaštva)</w:t>
            </w:r>
          </w:p>
          <w:p w14:paraId="21C62ECC"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o radu Državnog tužilaštva sačinjava Vrhovni državni tužilac.</w:t>
            </w:r>
          </w:p>
          <w:p w14:paraId="4AFE0B65"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iz stava 1 ovog člana sadrži naročito: opis i analizu stanja u Državnom tužilaštvu, detaljne podatke za svako državno tužilaštvo o broju primljenih i riješenih predmeta u toku godine za koju se izvještaj sačinjava, uočene probleme i nedostatke u radu, mjere za njihovo otklanjanje, kao i podatke o stanju i kretanju kriminaliteta u prethodnoj godini.</w:t>
            </w:r>
          </w:p>
          <w:p w14:paraId="0F07FFE1"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Nacrt godišnjeg izvještaja Vrhovni državni tužilac dostavlja državnim tužilaštvima radi davanja mišljenja.</w:t>
            </w:r>
          </w:p>
          <w:p w14:paraId="40F01A94"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o radu Državnog tužilaštva dostavlja se Skupštini najkasnije do 31. marta tekuće godine za prethodnu godinu, radi razmatranja.</w:t>
            </w:r>
          </w:p>
          <w:p w14:paraId="56387050"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u Skupštini obrazlaže Vrhovni državni tužilac.</w:t>
            </w:r>
          </w:p>
          <w:p w14:paraId="4E399104" w14:textId="57796A36"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objavljuje se na internet stranici Vrhovnog državnog tužilaštva.</w:t>
            </w:r>
          </w:p>
          <w:p w14:paraId="67EC7F93" w14:textId="77777777" w:rsidR="00AA186F" w:rsidRPr="00E111BE" w:rsidRDefault="00AA186F" w:rsidP="008B47B8">
            <w:pPr>
              <w:spacing w:before="0" w:after="0" w:line="240" w:lineRule="auto"/>
              <w:rPr>
                <w:rFonts w:ascii="Arial" w:hAnsi="Arial" w:cs="Arial"/>
                <w:color w:val="000000" w:themeColor="text1"/>
                <w:sz w:val="20"/>
                <w:szCs w:val="20"/>
              </w:rPr>
            </w:pPr>
          </w:p>
          <w:p w14:paraId="117D2C22" w14:textId="76E71446"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Član 41a</w:t>
            </w:r>
          </w:p>
          <w:p w14:paraId="1A01B486" w14:textId="77777777" w:rsidR="00AA186F" w:rsidRPr="00E111BE" w:rsidRDefault="00AA186F" w:rsidP="008B47B8">
            <w:pPr>
              <w:spacing w:before="0" w:after="0" w:line="240" w:lineRule="auto"/>
              <w:rPr>
                <w:rFonts w:ascii="Arial" w:hAnsi="Arial" w:cs="Arial"/>
                <w:color w:val="000000" w:themeColor="text1"/>
                <w:sz w:val="20"/>
                <w:szCs w:val="20"/>
              </w:rPr>
            </w:pPr>
          </w:p>
          <w:p w14:paraId="0A12DA7D"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o radu Tužilačkog savjeta)</w:t>
            </w:r>
          </w:p>
          <w:p w14:paraId="1054A17D"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Tužilački savjet sačinjava godišnji izvještaj o svom radu.</w:t>
            </w:r>
          </w:p>
          <w:p w14:paraId="19C3F51B"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iz stava 1 ovog člana sadrži podatke o nadležnostima i aktivnostima Tužilačkog savjeta, donijetim odlukama, postupcima izbora i disciplinske odgovornosti, upravljanju ljudskim resursima i drugim pitanjima iz nadležnosti Tužilačkog savjeta.</w:t>
            </w:r>
          </w:p>
          <w:p w14:paraId="0D9EC53C"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o radu Tužilačkog savjeta dostavlja se Skupštini najkasnije do 31. marta tekuće godine za prethodnu godinu, radi razmatranja.</w:t>
            </w:r>
          </w:p>
          <w:p w14:paraId="1F0139A8"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u Skupštini obrazlaže predsjednik Tužilačkog savjeta.</w:t>
            </w:r>
          </w:p>
          <w:p w14:paraId="0D0DB7FA" w14:textId="4E772C28"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Godišnji izvještaj objavljuje se na internet stranici Tužilačkog savjeta.</w:t>
            </w:r>
          </w:p>
          <w:p w14:paraId="4CE5CC34" w14:textId="77777777" w:rsidR="00AA186F" w:rsidRPr="00E111BE" w:rsidRDefault="00AA186F" w:rsidP="008B47B8">
            <w:pPr>
              <w:spacing w:before="0" w:after="0" w:line="240" w:lineRule="auto"/>
              <w:rPr>
                <w:rFonts w:ascii="Arial" w:hAnsi="Arial" w:cs="Arial"/>
                <w:color w:val="000000" w:themeColor="text1"/>
                <w:sz w:val="20"/>
                <w:szCs w:val="20"/>
              </w:rPr>
            </w:pPr>
          </w:p>
          <w:p w14:paraId="6257B268" w14:textId="26D7C048"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Član 41b</w:t>
            </w:r>
          </w:p>
          <w:p w14:paraId="3DF85862" w14:textId="77777777" w:rsidR="00AA186F" w:rsidRPr="00E111BE" w:rsidRDefault="00AA186F" w:rsidP="008B47B8">
            <w:pPr>
              <w:spacing w:before="0" w:after="0" w:line="240" w:lineRule="auto"/>
              <w:rPr>
                <w:rFonts w:ascii="Arial" w:hAnsi="Arial" w:cs="Arial"/>
                <w:color w:val="000000" w:themeColor="text1"/>
                <w:sz w:val="20"/>
                <w:szCs w:val="20"/>
              </w:rPr>
            </w:pPr>
          </w:p>
          <w:p w14:paraId="59642FA6"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(Metodologija izrade izvještaja)</w:t>
            </w:r>
          </w:p>
          <w:p w14:paraId="72692458"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Metodologijom za izradu izvještaja o radu Državnog tužilaštva i Tužilačkog savjeta bliže se uređuju sadržaj, struktura, način prikupljanja podataka i druga pitanja od značaja za izradu godišnjih izvještaja iz članova 41 i 41a ovog zakona.</w:t>
            </w:r>
          </w:p>
          <w:p w14:paraId="253190AB" w14:textId="77777777" w:rsidR="00AA186F" w:rsidRPr="00E111BE" w:rsidRDefault="00AA186F" w:rsidP="008B47B8">
            <w:pPr>
              <w:spacing w:before="0" w:after="0" w:line="240" w:lineRule="auto"/>
              <w:rPr>
                <w:rFonts w:ascii="Arial" w:hAnsi="Arial" w:cs="Arial"/>
                <w:color w:val="000000" w:themeColor="text1"/>
                <w:sz w:val="20"/>
                <w:szCs w:val="20"/>
              </w:rPr>
            </w:pPr>
          </w:p>
          <w:p w14:paraId="28CC3ED7" w14:textId="3F43C4BE"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 xml:space="preserve">Dalje se primjedbom ističe da je važećom zakonskom odredbom propisano da je Tužilački savjet odgovoran za pripremu jednistvenog izvještaja o radu državnog tužilaštva i Tužilačkog savjeta, da takva obaveza nadilazi stvarne mogućnosti da Tužilački savjet garantuje za tačnost podataka o radu državnog tužilaštva, i u koliziji je sa odredbama koje propisuju da je VDT odgovoran za zakonitost rada državnog tužilaštva. </w:t>
            </w:r>
          </w:p>
          <w:p w14:paraId="0ADF7D28" w14:textId="00FC32A7" w:rsidR="00AA186F" w:rsidRPr="00E111BE" w:rsidRDefault="00AA186F" w:rsidP="008B47B8">
            <w:pPr>
              <w:spacing w:before="0" w:after="0" w:line="240" w:lineRule="auto"/>
              <w:rPr>
                <w:rFonts w:ascii="Arial" w:hAnsi="Arial" w:cs="Arial"/>
                <w:color w:val="000000" w:themeColor="text1"/>
                <w:sz w:val="20"/>
                <w:szCs w:val="20"/>
              </w:rPr>
            </w:pPr>
          </w:p>
        </w:tc>
      </w:tr>
      <w:tr w:rsidR="00AA186F" w:rsidRPr="00E111BE" w14:paraId="1378B120"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7"/>
        </w:trPr>
        <w:tc>
          <w:tcPr>
            <w:tcW w:w="900" w:type="dxa"/>
            <w:tcBorders>
              <w:top w:val="single" w:sz="4" w:space="0" w:color="auto"/>
              <w:left w:val="single" w:sz="4" w:space="0" w:color="auto"/>
              <w:bottom w:val="single" w:sz="4" w:space="0" w:color="auto"/>
              <w:right w:val="single" w:sz="4" w:space="0" w:color="auto"/>
            </w:tcBorders>
          </w:tcPr>
          <w:p w14:paraId="7A63572D" w14:textId="7A56A4A3"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lastRenderedPageBreak/>
              <w:t>19.</w:t>
            </w:r>
          </w:p>
        </w:tc>
        <w:tc>
          <w:tcPr>
            <w:tcW w:w="2610" w:type="dxa"/>
            <w:tcBorders>
              <w:top w:val="single" w:sz="4" w:space="0" w:color="auto"/>
              <w:left w:val="single" w:sz="4" w:space="0" w:color="auto"/>
              <w:bottom w:val="single" w:sz="4" w:space="0" w:color="auto"/>
            </w:tcBorders>
          </w:tcPr>
          <w:p w14:paraId="501458BA" w14:textId="7823F84C"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Institut Alternativa</w:t>
            </w:r>
          </w:p>
        </w:tc>
        <w:tc>
          <w:tcPr>
            <w:tcW w:w="6840" w:type="dxa"/>
            <w:tcBorders>
              <w:top w:val="single" w:sz="4" w:space="0" w:color="auto"/>
              <w:left w:val="single" w:sz="4" w:space="0" w:color="auto"/>
              <w:bottom w:val="single" w:sz="4" w:space="0" w:color="auto"/>
              <w:right w:val="single" w:sz="4" w:space="0" w:color="auto"/>
            </w:tcBorders>
          </w:tcPr>
          <w:p w14:paraId="15CAE0D9" w14:textId="6B310FC6"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Predlaže se da se nakon člana 110 važećeg zakona, doda član 110 a koji bi glasio:</w:t>
            </w:r>
          </w:p>
          <w:p w14:paraId="54370E6C" w14:textId="77777777" w:rsidR="00AA186F" w:rsidRPr="00E111BE" w:rsidRDefault="00AA186F" w:rsidP="008B47B8">
            <w:pPr>
              <w:spacing w:before="0" w:after="0" w:line="240" w:lineRule="auto"/>
              <w:rPr>
                <w:rFonts w:ascii="Arial" w:hAnsi="Arial" w:cs="Arial"/>
                <w:color w:val="000000" w:themeColor="text1"/>
                <w:sz w:val="20"/>
                <w:szCs w:val="20"/>
              </w:rPr>
            </w:pPr>
          </w:p>
          <w:p w14:paraId="2320B17C"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Nesavjesnim i nestručnim obavljanjem funkcije Vrhovnog državnog tužioca, naročito se smatra:</w:t>
            </w:r>
          </w:p>
          <w:p w14:paraId="3845B4EB"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w:t>
            </w:r>
            <w:r w:rsidRPr="00E111BE">
              <w:rPr>
                <w:rFonts w:ascii="Arial" w:hAnsi="Arial" w:cs="Arial"/>
                <w:color w:val="000000" w:themeColor="text1"/>
                <w:sz w:val="20"/>
                <w:szCs w:val="20"/>
              </w:rPr>
              <w:tab/>
              <w:t xml:space="preserve"> ponovljeno nepostupanje po zakonom propisanim obavezama;</w:t>
            </w:r>
          </w:p>
          <w:p w14:paraId="653A7129"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w:t>
            </w:r>
            <w:r w:rsidRPr="00E111BE">
              <w:rPr>
                <w:rFonts w:ascii="Arial" w:hAnsi="Arial" w:cs="Arial"/>
                <w:color w:val="000000" w:themeColor="text1"/>
                <w:sz w:val="20"/>
                <w:szCs w:val="20"/>
              </w:rPr>
              <w:tab/>
              <w:t xml:space="preserve"> nedostavljanje ili dostavljanje netačnih informacija, izvještaja ili podataka Skupštini Crne Gore, njenim radnim tijelima, Tužilačkom savjetu ili drugim organima, </w:t>
            </w:r>
          </w:p>
          <w:p w14:paraId="0E143147"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w:t>
            </w:r>
            <w:r w:rsidRPr="00E111BE">
              <w:rPr>
                <w:rFonts w:ascii="Arial" w:hAnsi="Arial" w:cs="Arial"/>
                <w:color w:val="000000" w:themeColor="text1"/>
                <w:sz w:val="20"/>
                <w:szCs w:val="20"/>
              </w:rPr>
              <w:tab/>
              <w:t xml:space="preserve">nepostupanje po zaključcima Skupštine Crne Gore ili Tužilačkog savjeta, </w:t>
            </w:r>
          </w:p>
          <w:p w14:paraId="37B31C2D"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w:t>
            </w:r>
            <w:r w:rsidRPr="00E111BE">
              <w:rPr>
                <w:rFonts w:ascii="Arial" w:hAnsi="Arial" w:cs="Arial"/>
                <w:color w:val="000000" w:themeColor="text1"/>
                <w:sz w:val="20"/>
                <w:szCs w:val="20"/>
              </w:rPr>
              <w:tab/>
              <w:t>ponovljeno kršenje obaveze transparentnosti u radu Vrhovnog državnog tužilaštva;</w:t>
            </w:r>
          </w:p>
          <w:p w14:paraId="285DA7D8"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w:t>
            </w:r>
            <w:r w:rsidRPr="00E111BE">
              <w:rPr>
                <w:rFonts w:ascii="Arial" w:hAnsi="Arial" w:cs="Arial"/>
                <w:color w:val="000000" w:themeColor="text1"/>
                <w:sz w:val="20"/>
                <w:szCs w:val="20"/>
              </w:rPr>
              <w:tab/>
              <w:t>postupanje suprotno zakonu kojim se ozbiljno ugrožava samostalnost, zakonitost rada ili ugled državnog tužilaštva.</w:t>
            </w:r>
          </w:p>
          <w:p w14:paraId="1D4A9AA9" w14:textId="77777777" w:rsidR="00AA186F" w:rsidRPr="00E111BE" w:rsidRDefault="00AA186F" w:rsidP="008B47B8">
            <w:pPr>
              <w:spacing w:before="0" w:after="0" w:line="240" w:lineRule="auto"/>
              <w:rPr>
                <w:rFonts w:ascii="Arial" w:hAnsi="Arial" w:cs="Arial"/>
                <w:color w:val="000000" w:themeColor="text1"/>
                <w:sz w:val="20"/>
                <w:szCs w:val="20"/>
              </w:rPr>
            </w:pPr>
          </w:p>
          <w:p w14:paraId="379CA951" w14:textId="3B77C4C8"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Dalje se primjedbom ističe da je zakonom propisano da se Vrhovni državni tužilac može razriješiti zbog nestručnog i nesavjesnog obavljanja funkcije, ali nije preciziran sadržaj navedenih pojmova te da se predloženom odredbom preciziraju zakonski pojmovi, ograničava mogućnost diksrecionog tumačenja norme, doprinosi pravnoj izvjesnosti odnosno omogućava usklađivanje vršenja funkcije sa zakonskim obavezama.</w:t>
            </w:r>
          </w:p>
        </w:tc>
      </w:tr>
      <w:tr w:rsidR="00AA186F" w:rsidRPr="00E111BE" w14:paraId="3B0AEFDC"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7"/>
        </w:trPr>
        <w:tc>
          <w:tcPr>
            <w:tcW w:w="900" w:type="dxa"/>
            <w:tcBorders>
              <w:top w:val="single" w:sz="4" w:space="0" w:color="auto"/>
              <w:left w:val="single" w:sz="4" w:space="0" w:color="auto"/>
              <w:bottom w:val="single" w:sz="4" w:space="0" w:color="auto"/>
              <w:right w:val="single" w:sz="4" w:space="0" w:color="auto"/>
            </w:tcBorders>
          </w:tcPr>
          <w:p w14:paraId="2729F399" w14:textId="2BF6ABEB"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20.</w:t>
            </w:r>
          </w:p>
        </w:tc>
        <w:tc>
          <w:tcPr>
            <w:tcW w:w="2610" w:type="dxa"/>
            <w:tcBorders>
              <w:top w:val="single" w:sz="4" w:space="0" w:color="auto"/>
              <w:left w:val="single" w:sz="4" w:space="0" w:color="auto"/>
              <w:bottom w:val="single" w:sz="4" w:space="0" w:color="auto"/>
            </w:tcBorders>
          </w:tcPr>
          <w:p w14:paraId="0F730D00" w14:textId="540F4406"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Centar za demokratsku tranziciju</w:t>
            </w:r>
          </w:p>
        </w:tc>
        <w:tc>
          <w:tcPr>
            <w:tcW w:w="6840" w:type="dxa"/>
            <w:tcBorders>
              <w:top w:val="single" w:sz="4" w:space="0" w:color="auto"/>
              <w:left w:val="single" w:sz="4" w:space="0" w:color="auto"/>
              <w:bottom w:val="single" w:sz="4" w:space="0" w:color="auto"/>
              <w:right w:val="single" w:sz="4" w:space="0" w:color="auto"/>
            </w:tcBorders>
          </w:tcPr>
          <w:p w14:paraId="084CC8DC" w14:textId="5DB0C134"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Predlaže se izmjena člana 42a važećeg Zakona na način što bi se nakon stava 3 dodao novi stav koji bi glasio:</w:t>
            </w:r>
          </w:p>
          <w:p w14:paraId="04C254C0" w14:textId="77777777" w:rsidR="00AA186F" w:rsidRPr="00E111BE" w:rsidRDefault="00AA186F" w:rsidP="008B47B8">
            <w:pPr>
              <w:spacing w:before="0" w:after="0" w:line="240" w:lineRule="auto"/>
              <w:rPr>
                <w:rFonts w:ascii="Arial" w:hAnsi="Arial" w:cs="Arial"/>
                <w:color w:val="000000" w:themeColor="text1"/>
                <w:sz w:val="20"/>
                <w:szCs w:val="20"/>
              </w:rPr>
            </w:pPr>
          </w:p>
          <w:p w14:paraId="2E39FF66" w14:textId="42288C5E"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„Odluke Tužilačkog savjeta objavljuju se na internet stranici nakon anonimizacije.</w:t>
            </w:r>
          </w:p>
          <w:p w14:paraId="5997939D" w14:textId="095D2D14"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lastRenderedPageBreak/>
              <w:t>Zapisnik sa sjednice Tužilačkog savjeta koji sadrži datum, vrijeme i mjesto održavanja, imena prisutnih i odsutnih članova, ime predsjedavajućeg sjednice, imena lica koja po pozivu prisustvuju sjednici, predloženi i usvojeni dnevni red sjednice, podatke o toku</w:t>
            </w:r>
          </w:p>
          <w:p w14:paraId="32BE4452" w14:textId="4DC279D3"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sjednice sa sadržajem diskusija, podatke o glasovima „za" odnosno „protiv" sa informacijom o pojedinačnom načinu glasanja članova, te na zahtjev člana Tužilačkog savjeta i razlozima iz kojih je glasao „za" odnosno „protiv", nakon usvajanja objavljuje se na internet stranici Tužilačkog savjeta i anonimizira u skladu sa za Pravilnikom o anonimizaciji.</w:t>
            </w:r>
          </w:p>
          <w:p w14:paraId="484FD00F" w14:textId="77777777" w:rsidR="00AA186F" w:rsidRPr="00E111BE" w:rsidRDefault="00AA186F" w:rsidP="008B47B8">
            <w:pPr>
              <w:spacing w:before="0" w:after="0" w:line="240" w:lineRule="auto"/>
              <w:rPr>
                <w:rFonts w:ascii="Arial" w:hAnsi="Arial" w:cs="Arial"/>
                <w:color w:val="000000" w:themeColor="text1"/>
                <w:sz w:val="20"/>
                <w:szCs w:val="20"/>
              </w:rPr>
            </w:pPr>
          </w:p>
          <w:p w14:paraId="38EDBA39" w14:textId="23F35468"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U slučaju održavanja sjednice elektronskim putem na Internet stranici Tužilačkog savjeta</w:t>
            </w:r>
          </w:p>
          <w:p w14:paraId="66A49664" w14:textId="77777777"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objavljuje se i video zapis cjelokupnog toka sjednice.</w:t>
            </w:r>
          </w:p>
          <w:p w14:paraId="1F8346E4" w14:textId="77777777" w:rsidR="00AA186F" w:rsidRPr="00E111BE" w:rsidRDefault="00AA186F" w:rsidP="008B47B8">
            <w:pPr>
              <w:spacing w:before="0" w:after="0" w:line="240" w:lineRule="auto"/>
              <w:rPr>
                <w:rFonts w:ascii="Arial" w:hAnsi="Arial" w:cs="Arial"/>
                <w:color w:val="000000" w:themeColor="text1"/>
                <w:sz w:val="20"/>
                <w:szCs w:val="20"/>
              </w:rPr>
            </w:pPr>
          </w:p>
          <w:p w14:paraId="7EACC47F" w14:textId="3ECE52A3"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Dalje se primjedbom ističe da Nacrtom Zakona o nijesu predložene izmjene ove zakonske odredbe te da postoje valjani razlozi zbog kojih bi zakonodavac trebao da interveniše kako bi se doprinijelo većoj transparentnosti rada Tužilačkog savjeta, jer je iz zaspisnika sa sjednica Tužilačkog savjeta uočljiva oscilacija u transpranetnosti, odnosno obimu i sadržini podataka i informacija sa sjednica koje se nalaze u zapisnicimaa iz kojih javnost dobija informacije o radu Tužilačkog savjeta.</w:t>
            </w:r>
          </w:p>
          <w:p w14:paraId="0C4513AE" w14:textId="5110B33B" w:rsidR="00AA186F" w:rsidRPr="00E111BE" w:rsidRDefault="00AA186F" w:rsidP="008B47B8">
            <w:pPr>
              <w:spacing w:before="0" w:after="0" w:line="240" w:lineRule="auto"/>
              <w:rPr>
                <w:rFonts w:ascii="Arial" w:hAnsi="Arial" w:cs="Arial"/>
                <w:color w:val="000000" w:themeColor="text1"/>
                <w:sz w:val="20"/>
                <w:szCs w:val="20"/>
              </w:rPr>
            </w:pPr>
          </w:p>
          <w:p w14:paraId="62489175" w14:textId="4579F806"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Na kraju se primjedbom ističe da pomenute oscijacije u nivou transparentnosti upućuju na zaključak da obaveznu sadržinu zapisnika ne treba prepustiti na ocjenu i volju samom Tužilačkom savjetu, već da postoji</w:t>
            </w:r>
          </w:p>
          <w:p w14:paraId="08B8C10B" w14:textId="732CD6BE"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potreba da se ovo pitanje zakonski uredi.</w:t>
            </w:r>
          </w:p>
          <w:p w14:paraId="4BC6795D" w14:textId="6B91457A" w:rsidR="00AA186F" w:rsidRPr="00E111BE" w:rsidRDefault="00AA186F" w:rsidP="008B47B8">
            <w:pPr>
              <w:spacing w:before="0" w:after="0" w:line="240" w:lineRule="auto"/>
              <w:rPr>
                <w:rFonts w:ascii="Arial" w:hAnsi="Arial" w:cs="Arial"/>
                <w:color w:val="000000" w:themeColor="text1"/>
                <w:sz w:val="20"/>
                <w:szCs w:val="20"/>
              </w:rPr>
            </w:pPr>
          </w:p>
        </w:tc>
      </w:tr>
      <w:tr w:rsidR="00AA186F" w:rsidRPr="00E111BE" w14:paraId="2A745023" w14:textId="77777777" w:rsidTr="0011202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7"/>
        </w:trPr>
        <w:tc>
          <w:tcPr>
            <w:tcW w:w="900" w:type="dxa"/>
            <w:tcBorders>
              <w:top w:val="single" w:sz="4" w:space="0" w:color="auto"/>
              <w:left w:val="single" w:sz="4" w:space="0" w:color="auto"/>
              <w:bottom w:val="single" w:sz="4" w:space="0" w:color="auto"/>
              <w:right w:val="single" w:sz="4" w:space="0" w:color="auto"/>
            </w:tcBorders>
          </w:tcPr>
          <w:p w14:paraId="0238FF32" w14:textId="18148C3B"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lastRenderedPageBreak/>
              <w:t>21.</w:t>
            </w:r>
          </w:p>
        </w:tc>
        <w:tc>
          <w:tcPr>
            <w:tcW w:w="2610" w:type="dxa"/>
            <w:tcBorders>
              <w:top w:val="single" w:sz="4" w:space="0" w:color="auto"/>
              <w:left w:val="single" w:sz="4" w:space="0" w:color="auto"/>
              <w:bottom w:val="single" w:sz="4" w:space="0" w:color="auto"/>
            </w:tcBorders>
          </w:tcPr>
          <w:p w14:paraId="5FA2CAAC" w14:textId="2FECEBA9" w:rsidR="00AA186F" w:rsidRPr="00E111BE" w:rsidRDefault="00AA186F" w:rsidP="008B47B8">
            <w:pPr>
              <w:spacing w:before="0" w:after="240" w:line="240" w:lineRule="auto"/>
              <w:rPr>
                <w:rFonts w:ascii="Arial" w:hAnsi="Arial" w:cs="Arial"/>
                <w:b/>
                <w:color w:val="000000" w:themeColor="text1"/>
                <w:sz w:val="20"/>
                <w:szCs w:val="20"/>
              </w:rPr>
            </w:pPr>
            <w:r w:rsidRPr="00E111BE">
              <w:rPr>
                <w:rFonts w:ascii="Arial" w:hAnsi="Arial" w:cs="Arial"/>
                <w:b/>
                <w:color w:val="000000" w:themeColor="text1"/>
                <w:sz w:val="20"/>
                <w:szCs w:val="20"/>
              </w:rPr>
              <w:t>NVO Centar za demokratsku tranziciju</w:t>
            </w:r>
          </w:p>
        </w:tc>
        <w:tc>
          <w:tcPr>
            <w:tcW w:w="6840" w:type="dxa"/>
            <w:tcBorders>
              <w:top w:val="single" w:sz="4" w:space="0" w:color="auto"/>
              <w:left w:val="single" w:sz="4" w:space="0" w:color="auto"/>
              <w:bottom w:val="single" w:sz="4" w:space="0" w:color="auto"/>
              <w:right w:val="single" w:sz="4" w:space="0" w:color="auto"/>
            </w:tcBorders>
          </w:tcPr>
          <w:p w14:paraId="1CFA2060" w14:textId="4D6A87CB"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Predlaže se izmjena člana 34 važećeg Zakona na način što bi se nakon stava 4 dodao novi stav koji bi glasio:</w:t>
            </w:r>
          </w:p>
          <w:p w14:paraId="0AE861D2" w14:textId="77777777" w:rsidR="00AA186F" w:rsidRPr="00E111BE" w:rsidRDefault="00AA186F" w:rsidP="008B47B8">
            <w:pPr>
              <w:spacing w:before="0" w:after="0" w:line="240" w:lineRule="auto"/>
              <w:rPr>
                <w:rFonts w:ascii="Arial" w:hAnsi="Arial" w:cs="Arial"/>
                <w:color w:val="000000" w:themeColor="text1"/>
                <w:sz w:val="20"/>
                <w:szCs w:val="20"/>
              </w:rPr>
            </w:pPr>
          </w:p>
          <w:p w14:paraId="42B8B980" w14:textId="25523398"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"Izuzetno, sjednica Tužilačkog savjeta može se održati elektronskim putem, uz upotrebu</w:t>
            </w:r>
          </w:p>
          <w:p w14:paraId="6FF61CF6" w14:textId="134FCE5D"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sredstava za dvosmjernu elektronsku komunikaciju koji omogućavaju prenos slike i tona."</w:t>
            </w:r>
          </w:p>
          <w:p w14:paraId="77AC75E3" w14:textId="77777777" w:rsidR="00AA186F" w:rsidRPr="00E111BE" w:rsidRDefault="00AA186F" w:rsidP="008B47B8">
            <w:pPr>
              <w:spacing w:before="0" w:after="0" w:line="240" w:lineRule="auto"/>
              <w:rPr>
                <w:rFonts w:ascii="Arial" w:hAnsi="Arial" w:cs="Arial"/>
                <w:color w:val="000000" w:themeColor="text1"/>
                <w:sz w:val="20"/>
                <w:szCs w:val="20"/>
              </w:rPr>
            </w:pPr>
          </w:p>
          <w:p w14:paraId="7C7ADF7F" w14:textId="4FCF8604" w:rsidR="00AA186F" w:rsidRPr="00E111BE" w:rsidRDefault="00AA186F" w:rsidP="008B47B8">
            <w:pPr>
              <w:spacing w:before="0" w:after="0" w:line="240" w:lineRule="auto"/>
              <w:rPr>
                <w:rFonts w:ascii="Arial" w:hAnsi="Arial" w:cs="Arial"/>
                <w:color w:val="000000" w:themeColor="text1"/>
                <w:sz w:val="20"/>
                <w:szCs w:val="20"/>
              </w:rPr>
            </w:pPr>
            <w:r w:rsidRPr="00E111BE">
              <w:rPr>
                <w:rFonts w:ascii="Arial" w:hAnsi="Arial" w:cs="Arial"/>
                <w:color w:val="000000" w:themeColor="text1"/>
                <w:sz w:val="20"/>
                <w:szCs w:val="20"/>
              </w:rPr>
              <w:t>Dalje se primjedbom ističe da je u dosadašnjem radu primjetna praksa po kojoj se o bitnim pitanjima odlučuje na elektronskim sjednicama, iako su one i po Poslovniku moguće samo za hitne situacije i situacije u kojima nije moguće održati redovnu ili vanrednu sjednicu te da bi se predloženom izmjenom sjednice u svakom potrebnom slučaju mogle održavati i elektronskim putem, a uz predloženu izmjenu člana 42a u slučaju održavanja sjednice elektronskim putem video zapis takve sjednice bio bi objavljen na internet stranici Tužilačkog savjeta.</w:t>
            </w:r>
          </w:p>
          <w:p w14:paraId="03461A75" w14:textId="4FC20A78" w:rsidR="00AA186F" w:rsidRPr="00E111BE" w:rsidRDefault="00AA186F" w:rsidP="008B47B8">
            <w:pPr>
              <w:spacing w:before="0" w:after="0" w:line="240" w:lineRule="auto"/>
              <w:rPr>
                <w:rFonts w:ascii="Arial" w:hAnsi="Arial" w:cs="Arial"/>
                <w:color w:val="000000" w:themeColor="text1"/>
                <w:sz w:val="20"/>
                <w:szCs w:val="20"/>
              </w:rPr>
            </w:pPr>
          </w:p>
        </w:tc>
      </w:tr>
    </w:tbl>
    <w:p w14:paraId="458379F6" w14:textId="0C74E041" w:rsidR="00E76A7D" w:rsidRDefault="00E76A7D" w:rsidP="008B47B8">
      <w:pPr>
        <w:spacing w:before="0" w:after="240" w:line="240" w:lineRule="auto"/>
        <w:rPr>
          <w:rFonts w:ascii="Arial" w:hAnsi="Arial" w:cs="Arial"/>
          <w:b/>
          <w:color w:val="000000" w:themeColor="text1"/>
          <w:sz w:val="22"/>
        </w:rPr>
      </w:pPr>
    </w:p>
    <w:p w14:paraId="45BB7BA0" w14:textId="6E3046D1" w:rsidR="00AA186F" w:rsidRDefault="00AA186F" w:rsidP="008B47B8">
      <w:pPr>
        <w:spacing w:before="0" w:after="240" w:line="240" w:lineRule="auto"/>
        <w:rPr>
          <w:rFonts w:ascii="Arial" w:hAnsi="Arial" w:cs="Arial"/>
          <w:b/>
          <w:color w:val="000000" w:themeColor="text1"/>
          <w:sz w:val="22"/>
        </w:rPr>
      </w:pPr>
      <w:r>
        <w:rPr>
          <w:rFonts w:ascii="Arial" w:hAnsi="Arial" w:cs="Arial"/>
          <w:b/>
          <w:color w:val="000000" w:themeColor="text1"/>
          <w:sz w:val="22"/>
        </w:rPr>
        <w:t>Odgovor na dostavljene predloge, sugestije i komentare:</w:t>
      </w:r>
      <w:r w:rsidR="001F0BF9">
        <w:rPr>
          <w:rFonts w:ascii="Arial" w:hAnsi="Arial" w:cs="Arial"/>
          <w:b/>
          <w:color w:val="000000" w:themeColor="text1"/>
          <w:sz w:val="22"/>
        </w:rPr>
        <w:t xml:space="preserve"> </w:t>
      </w:r>
    </w:p>
    <w:p w14:paraId="44828403" w14:textId="77777777" w:rsidR="00AA186F" w:rsidRPr="00724A9C" w:rsidRDefault="00AA186F" w:rsidP="008B47B8">
      <w:pPr>
        <w:spacing w:before="0" w:after="240" w:line="240" w:lineRule="auto"/>
        <w:rPr>
          <w:rFonts w:ascii="Arial" w:hAnsi="Arial" w:cs="Arial"/>
          <w:color w:val="000000" w:themeColor="text1"/>
          <w:sz w:val="22"/>
        </w:rPr>
      </w:pPr>
      <w:r w:rsidRPr="00724A9C">
        <w:rPr>
          <w:rFonts w:ascii="Arial" w:hAnsi="Arial" w:cs="Arial"/>
          <w:color w:val="000000" w:themeColor="text1"/>
          <w:sz w:val="22"/>
        </w:rPr>
        <w:t xml:space="preserve">Ministarstvo pravde zahvaljuje svim učesnicima javne rasprave na dostavljenim komentarima, predlozima i sugestijama za unapređenje Predloga zakona. </w:t>
      </w:r>
    </w:p>
    <w:p w14:paraId="5E0F4D97" w14:textId="638B7C6E" w:rsidR="00AA186F" w:rsidRPr="00724A9C" w:rsidRDefault="00AA186F" w:rsidP="008B47B8">
      <w:pPr>
        <w:spacing w:before="0" w:after="240" w:line="240" w:lineRule="auto"/>
        <w:rPr>
          <w:rFonts w:ascii="Arial" w:hAnsi="Arial" w:cs="Arial"/>
          <w:color w:val="000000" w:themeColor="text1"/>
          <w:sz w:val="22"/>
        </w:rPr>
      </w:pPr>
      <w:r w:rsidRPr="00724A9C">
        <w:rPr>
          <w:rFonts w:ascii="Arial" w:hAnsi="Arial" w:cs="Arial"/>
          <w:color w:val="000000" w:themeColor="text1"/>
          <w:sz w:val="22"/>
        </w:rPr>
        <w:t xml:space="preserve">Imajući u vidu da je osnovni cilj izmjena i dopuna Zakona o </w:t>
      </w:r>
      <w:r>
        <w:rPr>
          <w:rFonts w:ascii="Arial" w:hAnsi="Arial" w:cs="Arial"/>
          <w:color w:val="000000" w:themeColor="text1"/>
          <w:sz w:val="22"/>
        </w:rPr>
        <w:t>Državnom tužilaštvu</w:t>
      </w:r>
      <w:r w:rsidRPr="00724A9C">
        <w:rPr>
          <w:rFonts w:ascii="Arial" w:hAnsi="Arial" w:cs="Arial"/>
          <w:color w:val="000000" w:themeColor="text1"/>
          <w:sz w:val="22"/>
        </w:rPr>
        <w:t xml:space="preserve"> usaglašavanje ovog zakona sa preporukama Venecijanske komisije iz 2024. godine u cilju ispunjavanja završnih mjerila u poglavlju 23, dostavljeni predlozi i sugestije u ovoj fazi nijesu prihvaćeni iz razloga što u najvećem dijelu prevazilaze obim predmetnih preporuka</w:t>
      </w:r>
      <w:r w:rsidR="0011492F">
        <w:rPr>
          <w:rFonts w:ascii="Arial" w:hAnsi="Arial" w:cs="Arial"/>
          <w:color w:val="000000" w:themeColor="text1"/>
          <w:sz w:val="22"/>
        </w:rPr>
        <w:t xml:space="preserve"> Venecijanske komisije</w:t>
      </w:r>
      <w:r w:rsidRPr="00724A9C">
        <w:rPr>
          <w:rFonts w:ascii="Arial" w:hAnsi="Arial" w:cs="Arial"/>
          <w:color w:val="000000" w:themeColor="text1"/>
          <w:sz w:val="22"/>
        </w:rPr>
        <w:t xml:space="preserve">, odstupaju od </w:t>
      </w:r>
      <w:r w:rsidRPr="00724A9C">
        <w:rPr>
          <w:rFonts w:ascii="Arial" w:hAnsi="Arial" w:cs="Arial"/>
          <w:color w:val="000000" w:themeColor="text1"/>
          <w:sz w:val="22"/>
        </w:rPr>
        <w:lastRenderedPageBreak/>
        <w:t>osnovnog koncepta predloženih rješenja</w:t>
      </w:r>
      <w:r w:rsidR="004E1302">
        <w:rPr>
          <w:rFonts w:ascii="Arial" w:hAnsi="Arial" w:cs="Arial"/>
          <w:color w:val="000000" w:themeColor="text1"/>
          <w:sz w:val="22"/>
        </w:rPr>
        <w:t xml:space="preserve"> ili</w:t>
      </w:r>
      <w:r w:rsidRPr="00724A9C">
        <w:rPr>
          <w:rFonts w:ascii="Arial" w:hAnsi="Arial" w:cs="Arial"/>
          <w:color w:val="000000" w:themeColor="text1"/>
          <w:sz w:val="22"/>
        </w:rPr>
        <w:t xml:space="preserve"> predstavljaju predmet uređenja</w:t>
      </w:r>
      <w:r w:rsidR="004E1302">
        <w:rPr>
          <w:rFonts w:ascii="Arial" w:hAnsi="Arial" w:cs="Arial"/>
          <w:color w:val="000000" w:themeColor="text1"/>
          <w:sz w:val="22"/>
        </w:rPr>
        <w:t xml:space="preserve"> drugih zakona (Predloga zakona o zaradama i drugim pravima u vezi sa vršenjem pravosudne i ustavnosudske funkcije, Zakona o sprečavanju korupcije, Zakona o državnoj upravi i dr.) ili </w:t>
      </w:r>
      <w:r w:rsidRPr="00724A9C">
        <w:rPr>
          <w:rFonts w:ascii="Arial" w:hAnsi="Arial" w:cs="Arial"/>
          <w:color w:val="000000" w:themeColor="text1"/>
          <w:sz w:val="22"/>
        </w:rPr>
        <w:t>podzakonskih akata</w:t>
      </w:r>
      <w:r w:rsidR="004E1302">
        <w:rPr>
          <w:rFonts w:ascii="Arial" w:hAnsi="Arial" w:cs="Arial"/>
          <w:color w:val="000000" w:themeColor="text1"/>
          <w:sz w:val="22"/>
        </w:rPr>
        <w:t xml:space="preserve"> (Pravila</w:t>
      </w:r>
      <w:r w:rsidR="00211B02">
        <w:rPr>
          <w:rFonts w:ascii="Arial" w:hAnsi="Arial" w:cs="Arial"/>
          <w:color w:val="000000" w:themeColor="text1"/>
          <w:sz w:val="22"/>
        </w:rPr>
        <w:t xml:space="preserve"> za ocjenjivanje </w:t>
      </w:r>
      <w:r w:rsidR="004E1302">
        <w:rPr>
          <w:rFonts w:ascii="Arial" w:hAnsi="Arial" w:cs="Arial"/>
          <w:color w:val="000000" w:themeColor="text1"/>
          <w:sz w:val="22"/>
        </w:rPr>
        <w:t>državnih tužilaca</w:t>
      </w:r>
      <w:r w:rsidR="00211B02">
        <w:rPr>
          <w:rFonts w:ascii="Arial" w:hAnsi="Arial" w:cs="Arial"/>
          <w:color w:val="000000" w:themeColor="text1"/>
          <w:sz w:val="22"/>
        </w:rPr>
        <w:t xml:space="preserve"> i rukovodilaca državnih </w:t>
      </w:r>
      <w:r w:rsidR="00C86C70">
        <w:rPr>
          <w:rFonts w:ascii="Arial" w:hAnsi="Arial" w:cs="Arial"/>
          <w:color w:val="000000" w:themeColor="text1"/>
          <w:sz w:val="22"/>
        </w:rPr>
        <w:t>tužilaštava</w:t>
      </w:r>
      <w:r w:rsidR="004E1302">
        <w:rPr>
          <w:rFonts w:ascii="Arial" w:hAnsi="Arial" w:cs="Arial"/>
          <w:color w:val="000000" w:themeColor="text1"/>
          <w:sz w:val="22"/>
        </w:rPr>
        <w:t>, Poslovnik Tužilačkog savjeta)</w:t>
      </w:r>
      <w:r w:rsidRPr="00724A9C">
        <w:rPr>
          <w:rFonts w:ascii="Arial" w:hAnsi="Arial" w:cs="Arial"/>
          <w:color w:val="000000" w:themeColor="text1"/>
          <w:sz w:val="22"/>
        </w:rPr>
        <w:t xml:space="preserve">. </w:t>
      </w:r>
    </w:p>
    <w:p w14:paraId="0C208648" w14:textId="2D47177C" w:rsidR="00AA186F" w:rsidRPr="00724A9C" w:rsidRDefault="00AA186F" w:rsidP="008B47B8">
      <w:pPr>
        <w:spacing w:before="0" w:after="240" w:line="240" w:lineRule="auto"/>
        <w:rPr>
          <w:rFonts w:ascii="Arial" w:hAnsi="Arial" w:cs="Arial"/>
          <w:color w:val="000000" w:themeColor="text1"/>
          <w:sz w:val="22"/>
        </w:rPr>
      </w:pPr>
      <w:r w:rsidRPr="00724A9C">
        <w:rPr>
          <w:rFonts w:ascii="Arial" w:hAnsi="Arial" w:cs="Arial"/>
          <w:color w:val="000000" w:themeColor="text1"/>
          <w:sz w:val="22"/>
        </w:rPr>
        <w:t>Ministarstvo pravde će dostavljene predloge i sugestije</w:t>
      </w:r>
      <w:r w:rsidR="00A3544B">
        <w:rPr>
          <w:rFonts w:ascii="Arial" w:hAnsi="Arial" w:cs="Arial"/>
          <w:color w:val="000000" w:themeColor="text1"/>
          <w:sz w:val="22"/>
        </w:rPr>
        <w:t xml:space="preserve"> </w:t>
      </w:r>
      <w:r w:rsidRPr="00724A9C">
        <w:rPr>
          <w:rFonts w:ascii="Arial" w:hAnsi="Arial" w:cs="Arial"/>
          <w:color w:val="000000" w:themeColor="text1"/>
          <w:sz w:val="22"/>
        </w:rPr>
        <w:t xml:space="preserve">ponovo razmatrati u širem normativnom kontekstu, prilikom narednih izmjena Zakona o </w:t>
      </w:r>
      <w:r w:rsidRPr="00AA186F">
        <w:rPr>
          <w:rFonts w:ascii="Arial" w:hAnsi="Arial" w:cs="Arial"/>
          <w:color w:val="000000" w:themeColor="text1"/>
          <w:sz w:val="22"/>
        </w:rPr>
        <w:t>Državnom tužilaštvu</w:t>
      </w:r>
      <w:r w:rsidRPr="00724A9C">
        <w:rPr>
          <w:rFonts w:ascii="Arial" w:hAnsi="Arial" w:cs="Arial"/>
          <w:color w:val="000000" w:themeColor="text1"/>
          <w:sz w:val="22"/>
        </w:rPr>
        <w:t>, koje će uslijediti nakon usvajanja Amandmana za Ustav Crne Gore.</w:t>
      </w:r>
    </w:p>
    <w:p w14:paraId="56CC2543" w14:textId="549498FA" w:rsidR="00AA186F" w:rsidRPr="009A27BE" w:rsidRDefault="00AA186F" w:rsidP="008B47B8">
      <w:pPr>
        <w:spacing w:before="0" w:after="240" w:line="240" w:lineRule="auto"/>
        <w:rPr>
          <w:rFonts w:ascii="Arial" w:hAnsi="Arial" w:cs="Arial"/>
          <w:color w:val="000000" w:themeColor="text1"/>
          <w:sz w:val="22"/>
        </w:rPr>
      </w:pPr>
      <w:r w:rsidRPr="009A27BE">
        <w:rPr>
          <w:rFonts w:ascii="Arial" w:hAnsi="Arial" w:cs="Arial"/>
          <w:b/>
          <w:color w:val="000000" w:themeColor="text1"/>
          <w:sz w:val="22"/>
        </w:rPr>
        <w:t>Mjesto i datum sačinjavanja izvještaja:</w:t>
      </w:r>
      <w:r w:rsidRPr="009A27BE">
        <w:rPr>
          <w:rFonts w:ascii="Arial" w:hAnsi="Arial" w:cs="Arial"/>
          <w:color w:val="000000" w:themeColor="text1"/>
          <w:sz w:val="22"/>
        </w:rPr>
        <w:t xml:space="preserve"> Podgorica, </w:t>
      </w:r>
      <w:r w:rsidR="00E07E6C" w:rsidRPr="00462129">
        <w:rPr>
          <w:rFonts w:ascii="Arial" w:hAnsi="Arial" w:cs="Arial"/>
          <w:color w:val="000000" w:themeColor="text1"/>
          <w:sz w:val="22"/>
        </w:rPr>
        <w:t>17</w:t>
      </w:r>
      <w:r w:rsidRPr="00462129">
        <w:rPr>
          <w:rFonts w:ascii="Arial" w:hAnsi="Arial" w:cs="Arial"/>
          <w:color w:val="000000" w:themeColor="text1"/>
          <w:sz w:val="22"/>
        </w:rPr>
        <w:t>. ju</w:t>
      </w:r>
      <w:r w:rsidR="00E07E6C" w:rsidRPr="00462129">
        <w:rPr>
          <w:rFonts w:ascii="Arial" w:hAnsi="Arial" w:cs="Arial"/>
          <w:color w:val="000000" w:themeColor="text1"/>
          <w:sz w:val="22"/>
        </w:rPr>
        <w:t>l</w:t>
      </w:r>
      <w:r w:rsidRPr="00462129">
        <w:rPr>
          <w:rFonts w:ascii="Arial" w:hAnsi="Arial" w:cs="Arial"/>
          <w:color w:val="000000" w:themeColor="text1"/>
          <w:sz w:val="22"/>
        </w:rPr>
        <w:t xml:space="preserve"> 2026. godine.</w:t>
      </w:r>
      <w:r w:rsidR="00462129">
        <w:rPr>
          <w:rFonts w:ascii="Arial" w:hAnsi="Arial" w:cs="Arial"/>
          <w:color w:val="000000" w:themeColor="text1"/>
          <w:sz w:val="22"/>
        </w:rPr>
        <w:t xml:space="preserve"> </w:t>
      </w:r>
      <w:bookmarkStart w:id="7" w:name="_GoBack"/>
      <w:bookmarkEnd w:id="7"/>
    </w:p>
    <w:p w14:paraId="70BE6283" w14:textId="77777777" w:rsidR="00AA186F" w:rsidRPr="009A27BE" w:rsidRDefault="00AA186F" w:rsidP="008B47B8">
      <w:pPr>
        <w:spacing w:before="0" w:after="0" w:line="240" w:lineRule="auto"/>
        <w:rPr>
          <w:rFonts w:ascii="Arial" w:hAnsi="Arial" w:cs="Arial"/>
          <w:color w:val="000000" w:themeColor="text1"/>
          <w:sz w:val="22"/>
        </w:rPr>
      </w:pPr>
      <w:r w:rsidRPr="009A27BE">
        <w:rPr>
          <w:rFonts w:ascii="Arial" w:hAnsi="Arial" w:cs="Arial"/>
          <w:b/>
          <w:color w:val="000000" w:themeColor="text1"/>
          <w:sz w:val="22"/>
        </w:rPr>
        <w:t>Naziv organizacione jedinice ministarstva koja je odgovorna za pripremu nacrta zakona, odnosno strategije:</w:t>
      </w:r>
      <w:r w:rsidRPr="009A27BE">
        <w:rPr>
          <w:rFonts w:ascii="Arial" w:hAnsi="Arial" w:cs="Arial"/>
          <w:color w:val="000000" w:themeColor="text1"/>
          <w:sz w:val="22"/>
        </w:rPr>
        <w:t xml:space="preserve"> Direktorat</w:t>
      </w:r>
      <w:r>
        <w:rPr>
          <w:rFonts w:ascii="Arial" w:hAnsi="Arial" w:cs="Arial"/>
          <w:color w:val="000000" w:themeColor="text1"/>
          <w:sz w:val="22"/>
        </w:rPr>
        <w:t xml:space="preserve"> za pravosuđe</w:t>
      </w:r>
      <w:r w:rsidRPr="009A27BE">
        <w:rPr>
          <w:rFonts w:ascii="Arial" w:hAnsi="Arial" w:cs="Arial"/>
          <w:color w:val="000000" w:themeColor="text1"/>
          <w:sz w:val="22"/>
        </w:rPr>
        <w:t>.</w:t>
      </w:r>
      <w:r w:rsidRPr="009A27BE">
        <w:rPr>
          <w:rFonts w:ascii="Arial" w:hAnsi="Arial" w:cs="Arial"/>
          <w:color w:val="000000" w:themeColor="text1"/>
          <w:sz w:val="22"/>
        </w:rPr>
        <w:tab/>
      </w:r>
      <w:r w:rsidRPr="009A27BE">
        <w:rPr>
          <w:rFonts w:ascii="Arial" w:hAnsi="Arial" w:cs="Arial"/>
          <w:color w:val="000000" w:themeColor="text1"/>
          <w:sz w:val="22"/>
        </w:rPr>
        <w:tab/>
      </w:r>
      <w:r w:rsidRPr="009A27BE">
        <w:rPr>
          <w:rFonts w:ascii="Arial" w:hAnsi="Arial" w:cs="Arial"/>
          <w:color w:val="000000" w:themeColor="text1"/>
          <w:sz w:val="22"/>
        </w:rPr>
        <w:tab/>
      </w:r>
      <w:r w:rsidRPr="009A27BE">
        <w:rPr>
          <w:rFonts w:ascii="Arial" w:hAnsi="Arial" w:cs="Arial"/>
          <w:color w:val="000000" w:themeColor="text1"/>
          <w:sz w:val="22"/>
        </w:rPr>
        <w:tab/>
      </w:r>
      <w:r w:rsidRPr="009A27BE">
        <w:rPr>
          <w:rFonts w:ascii="Arial" w:hAnsi="Arial" w:cs="Arial"/>
          <w:color w:val="000000" w:themeColor="text1"/>
          <w:sz w:val="22"/>
        </w:rPr>
        <w:tab/>
      </w:r>
      <w:r w:rsidRPr="009A27BE">
        <w:rPr>
          <w:rFonts w:ascii="Arial" w:hAnsi="Arial" w:cs="Arial"/>
          <w:color w:val="000000" w:themeColor="text1"/>
          <w:sz w:val="22"/>
        </w:rPr>
        <w:tab/>
      </w:r>
      <w:r w:rsidRPr="009A27BE">
        <w:rPr>
          <w:rFonts w:ascii="Arial" w:hAnsi="Arial" w:cs="Arial"/>
          <w:color w:val="000000" w:themeColor="text1"/>
          <w:sz w:val="22"/>
        </w:rPr>
        <w:tab/>
      </w:r>
    </w:p>
    <w:p w14:paraId="52D6405D" w14:textId="77777777" w:rsidR="00AA186F" w:rsidRPr="009A27BE" w:rsidRDefault="00AA186F" w:rsidP="008B47B8">
      <w:pPr>
        <w:spacing w:before="0" w:after="0" w:line="240" w:lineRule="auto"/>
        <w:rPr>
          <w:rFonts w:ascii="Arial" w:hAnsi="Arial" w:cs="Arial"/>
          <w:color w:val="000000" w:themeColor="text1"/>
          <w:sz w:val="22"/>
        </w:rPr>
      </w:pPr>
    </w:p>
    <w:p w14:paraId="00700489" w14:textId="77777777" w:rsidR="00AA186F" w:rsidRPr="009A27BE" w:rsidRDefault="00AA186F" w:rsidP="008B47B8">
      <w:pPr>
        <w:spacing w:before="0" w:after="0" w:line="240" w:lineRule="auto"/>
        <w:rPr>
          <w:rFonts w:ascii="Arial" w:hAnsi="Arial" w:cs="Arial"/>
          <w:b/>
          <w:color w:val="000000" w:themeColor="text1"/>
          <w:sz w:val="22"/>
        </w:rPr>
      </w:pPr>
      <w:r w:rsidRPr="009A27BE">
        <w:rPr>
          <w:rFonts w:ascii="Arial" w:hAnsi="Arial" w:cs="Arial"/>
          <w:color w:val="000000" w:themeColor="text1"/>
          <w:sz w:val="22"/>
        </w:rPr>
        <w:t xml:space="preserve">    </w:t>
      </w:r>
    </w:p>
    <w:p w14:paraId="646A9997" w14:textId="77777777" w:rsidR="00AA186F" w:rsidRPr="000D6326" w:rsidRDefault="00AA186F" w:rsidP="00F21B97">
      <w:pPr>
        <w:spacing w:before="0" w:after="0" w:line="240" w:lineRule="auto"/>
        <w:ind w:right="288"/>
        <w:jc w:val="right"/>
        <w:rPr>
          <w:rFonts w:ascii="Arial" w:hAnsi="Arial" w:cs="Arial"/>
          <w:b/>
          <w:color w:val="000000" w:themeColor="text1"/>
          <w:sz w:val="22"/>
        </w:rPr>
      </w:pPr>
      <w:r w:rsidRPr="000D6326">
        <w:rPr>
          <w:rFonts w:ascii="Arial" w:hAnsi="Arial" w:cs="Arial"/>
          <w:b/>
          <w:color w:val="000000" w:themeColor="text1"/>
          <w:sz w:val="22"/>
        </w:rPr>
        <w:t xml:space="preserve">MINISTAR </w:t>
      </w:r>
    </w:p>
    <w:p w14:paraId="68931AEF" w14:textId="77777777" w:rsidR="00AA186F" w:rsidRPr="009A27BE" w:rsidRDefault="00AA186F" w:rsidP="00F21B97">
      <w:pPr>
        <w:spacing w:before="0" w:after="0" w:line="240" w:lineRule="auto"/>
        <w:jc w:val="right"/>
        <w:rPr>
          <w:rFonts w:ascii="Arial" w:hAnsi="Arial" w:cs="Arial"/>
          <w:b/>
          <w:color w:val="000000" w:themeColor="text1"/>
          <w:sz w:val="22"/>
        </w:rPr>
      </w:pPr>
      <w:r w:rsidRPr="009A27BE">
        <w:rPr>
          <w:rFonts w:ascii="Arial" w:hAnsi="Arial" w:cs="Arial"/>
          <w:b/>
          <w:color w:val="000000" w:themeColor="text1"/>
          <w:sz w:val="22"/>
        </w:rPr>
        <w:t>mr Bojan Božović</w:t>
      </w:r>
    </w:p>
    <w:p w14:paraId="233FD0E9" w14:textId="5064A93C" w:rsidR="00E82967" w:rsidRPr="00A728CE" w:rsidRDefault="00E82967" w:rsidP="008B47B8">
      <w:pPr>
        <w:spacing w:before="0" w:after="0" w:line="240" w:lineRule="auto"/>
        <w:rPr>
          <w:rFonts w:ascii="Arial" w:hAnsi="Arial" w:cs="Arial"/>
          <w:b/>
          <w:color w:val="000000" w:themeColor="text1"/>
          <w:sz w:val="22"/>
        </w:rPr>
      </w:pPr>
    </w:p>
    <w:sectPr w:rsidR="00E82967" w:rsidRPr="00A728CE" w:rsidSect="000B249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32B6C" w14:textId="77777777" w:rsidR="00C351AD" w:rsidRDefault="00C351AD" w:rsidP="005A3036">
      <w:pPr>
        <w:spacing w:before="0" w:after="0" w:line="240" w:lineRule="auto"/>
      </w:pPr>
      <w:r>
        <w:separator/>
      </w:r>
    </w:p>
  </w:endnote>
  <w:endnote w:type="continuationSeparator" w:id="0">
    <w:p w14:paraId="6D4F8F48" w14:textId="77777777" w:rsidR="00C351AD" w:rsidRDefault="00C351AD" w:rsidP="005A30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70B0B" w14:textId="77777777" w:rsidR="00C351AD" w:rsidRDefault="00C351AD" w:rsidP="005A3036">
      <w:pPr>
        <w:spacing w:before="0" w:after="0" w:line="240" w:lineRule="auto"/>
      </w:pPr>
      <w:r>
        <w:separator/>
      </w:r>
    </w:p>
  </w:footnote>
  <w:footnote w:type="continuationSeparator" w:id="0">
    <w:p w14:paraId="61FBFA3A" w14:textId="77777777" w:rsidR="00C351AD" w:rsidRDefault="00C351AD" w:rsidP="005A30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6651" w14:textId="77777777" w:rsidR="009E19FD" w:rsidRDefault="009E19FD">
    <w:pPr>
      <w:pStyle w:val="Header"/>
      <w:rPr>
        <w:rFonts w:ascii="Calibri" w:eastAsia="Times New Roman" w:hAnsi="Calibri" w:cs="Times New Roman"/>
        <w:noProof/>
        <w:spacing w:val="-10"/>
        <w:kern w:val="28"/>
        <w:sz w:val="28"/>
        <w:szCs w:val="40"/>
        <w:lang w:val="en-US"/>
      </w:rPr>
    </w:pPr>
  </w:p>
  <w:p w14:paraId="4F0B36CC" w14:textId="77777777" w:rsidR="009E19FD" w:rsidRDefault="009E1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AC77" w14:textId="77777777" w:rsidR="00F630CF" w:rsidRPr="006045FC" w:rsidRDefault="00F630CF" w:rsidP="00F630CF">
    <w:pPr>
      <w:pStyle w:val="Title"/>
      <w:rPr>
        <w:rFonts w:eastAsiaTheme="majorEastAsia" w:cstheme="majorBidi"/>
        <w:lang w:val="pl-PL"/>
      </w:rPr>
    </w:pPr>
    <w:r w:rsidRPr="00451F6C">
      <mc:AlternateContent>
        <mc:Choice Requires="wps">
          <w:drawing>
            <wp:anchor distT="45720" distB="45720" distL="114300" distR="114300" simplePos="0" relativeHeight="251661312" behindDoc="0" locked="0" layoutInCell="1" allowOverlap="1" wp14:anchorId="5F06DC2B" wp14:editId="25395176">
              <wp:simplePos x="0" y="0"/>
              <wp:positionH relativeFrom="column">
                <wp:posOffset>3976369</wp:posOffset>
              </wp:positionH>
              <wp:positionV relativeFrom="paragraph">
                <wp:posOffset>-216535</wp:posOffset>
              </wp:positionV>
              <wp:extent cx="204787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noFill/>
                        <a:miter lim="800000"/>
                        <a:headEnd/>
                        <a:tailEnd/>
                      </a:ln>
                    </wps:spPr>
                    <wps:txbx>
                      <w:txbxContent>
                        <w:p w14:paraId="43121F30" w14:textId="77777777" w:rsidR="00F630CF" w:rsidRPr="00AF27FF" w:rsidRDefault="00F630CF" w:rsidP="00F630CF">
                          <w:pPr>
                            <w:spacing w:line="240" w:lineRule="auto"/>
                            <w:jc w:val="right"/>
                            <w:rPr>
                              <w:sz w:val="20"/>
                            </w:rPr>
                          </w:pPr>
                          <w:r>
                            <w:rPr>
                              <w:noProof/>
                            </w:rPr>
                            <w:drawing>
                              <wp:inline distT="0" distB="0" distL="0" distR="0" wp14:anchorId="29434C55" wp14:editId="15D40ED5">
                                <wp:extent cx="1776100" cy="888365"/>
                                <wp:effectExtent l="0" t="0" r="0" b="6985"/>
                                <wp:docPr id="3" name="Picture 3" descr="C:\Users\maja.jovic\AppData\Local\Temp\eb91bf0b-ff1b-4f54-94ad-8b9db798613a_d77744b3-4089-4d98-9e8f-e5b2018784f6.zip.13a\Logo 20g nezavisnosti CG\JPG\XX godina nezavisnosti CG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jovic\AppData\Local\Temp\eb91bf0b-ff1b-4f54-94ad-8b9db798613a_d77744b3-4089-4d98-9e8f-e5b2018784f6.zip.13a\Logo 20g nezavisnosti CG\JPG\XX godina nezavisnosti CG_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742" cy="88968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06DC2B" id="_x0000_t202" coordsize="21600,21600" o:spt="202" path="m,l,21600r21600,l21600,xe">
              <v:stroke joinstyle="miter"/>
              <v:path gradientshapeok="t" o:connecttype="rect"/>
            </v:shapetype>
            <v:shape id="Text Box 2" o:spid="_x0000_s1026" type="#_x0000_t202" style="position:absolute;left:0;text-align:left;margin-left:313.1pt;margin-top:-17.05pt;width:161.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rKIQ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" stroked="f">
              <v:textbox style="mso-fit-shape-to-text:t">
                <w:txbxContent>
                  <w:p w14:paraId="43121F30" w14:textId="77777777" w:rsidR="00F630CF" w:rsidRPr="00AF27FF" w:rsidRDefault="00F630CF" w:rsidP="00F630CF">
                    <w:pPr>
                      <w:spacing w:line="240" w:lineRule="auto"/>
                      <w:jc w:val="right"/>
                      <w:rPr>
                        <w:sz w:val="20"/>
                      </w:rPr>
                    </w:pPr>
                    <w:r>
                      <w:rPr>
                        <w:noProof/>
                      </w:rPr>
                      <w:drawing>
                        <wp:inline distT="0" distB="0" distL="0" distR="0" wp14:anchorId="29434C55" wp14:editId="15D40ED5">
                          <wp:extent cx="1776100" cy="888365"/>
                          <wp:effectExtent l="0" t="0" r="0" b="6985"/>
                          <wp:docPr id="3" name="Picture 3" descr="C:\Users\maja.jovic\AppData\Local\Temp\eb91bf0b-ff1b-4f54-94ad-8b9db798613a_d77744b3-4089-4d98-9e8f-e5b2018784f6.zip.13a\Logo 20g nezavisnosti CG\JPG\XX godina nezavisnosti CG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jovic\AppData\Local\Temp\eb91bf0b-ff1b-4f54-94ad-8b9db798613a_d77744b3-4089-4d98-9e8f-e5b2018784f6.zip.13a\Logo 20g nezavisnosti CG\JPG\XX godina nezavisnosti CG_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742" cy="889686"/>
                                  </a:xfrm>
                                  <a:prstGeom prst="rect">
                                    <a:avLst/>
                                  </a:prstGeom>
                                  <a:noFill/>
                                  <a:ln>
                                    <a:noFill/>
                                  </a:ln>
                                </pic:spPr>
                              </pic:pic>
                            </a:graphicData>
                          </a:graphic>
                        </wp:inline>
                      </w:drawing>
                    </w:r>
                  </w:p>
                </w:txbxContent>
              </v:textbox>
            </v:shape>
          </w:pict>
        </mc:Fallback>
      </mc:AlternateContent>
    </w:r>
    <w:r w:rsidRPr="00451F6C">
      <w:drawing>
        <wp:anchor distT="0" distB="0" distL="114300" distR="114300" simplePos="0" relativeHeight="251660288" behindDoc="0" locked="0" layoutInCell="1" allowOverlap="1" wp14:anchorId="22F6EEAA" wp14:editId="762EBE94">
          <wp:simplePos x="0" y="0"/>
          <wp:positionH relativeFrom="column">
            <wp:posOffset>-135890</wp:posOffset>
          </wp:positionH>
          <wp:positionV relativeFrom="paragraph">
            <wp:posOffset>-64135</wp:posOffset>
          </wp:positionV>
          <wp:extent cx="660815" cy="7620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0815" cy="762000"/>
                  </a:xfrm>
                  <a:prstGeom prst="rect">
                    <a:avLst/>
                  </a:prstGeom>
                </pic:spPr>
              </pic:pic>
            </a:graphicData>
          </a:graphic>
          <wp14:sizeRelH relativeFrom="margin">
            <wp14:pctWidth>0</wp14:pctWidth>
          </wp14:sizeRelH>
          <wp14:sizeRelV relativeFrom="margin">
            <wp14:pctHeight>0</wp14:pctHeight>
          </wp14:sizeRelV>
        </wp:anchor>
      </w:drawing>
    </w:r>
    <w:r w:rsidRPr="00451F6C">
      <mc:AlternateContent>
        <mc:Choice Requires="wps">
          <w:drawing>
            <wp:anchor distT="0" distB="0" distL="114300" distR="114300" simplePos="0" relativeHeight="251659264" behindDoc="0" locked="0" layoutInCell="1" allowOverlap="1" wp14:anchorId="7A523743" wp14:editId="3F1EFD27">
              <wp:simplePos x="0" y="0"/>
              <wp:positionH relativeFrom="column">
                <wp:posOffset>621665</wp:posOffset>
              </wp:positionH>
              <wp:positionV relativeFrom="paragraph">
                <wp:posOffset>-25771</wp:posOffset>
              </wp:positionV>
              <wp:extent cx="0" cy="6350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49A18"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2.05pt" to="48.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" strokecolor="#d5b03d" strokeweight="1.5pt">
              <v:stroke joinstyle="miter"/>
            </v:line>
          </w:pict>
        </mc:Fallback>
      </mc:AlternateContent>
    </w:r>
    <w:r w:rsidRPr="006045FC">
      <w:rPr>
        <w:lang w:val="pl-PL"/>
      </w:rPr>
      <w:t>Crna Gora</w:t>
    </w:r>
  </w:p>
  <w:p w14:paraId="3C6A15B7" w14:textId="77777777" w:rsidR="00F630CF" w:rsidRPr="006045FC" w:rsidRDefault="00F630CF" w:rsidP="00F630CF">
    <w:pPr>
      <w:pStyle w:val="Title"/>
      <w:spacing w:after="0"/>
      <w:rPr>
        <w:lang w:val="pl-PL"/>
      </w:rPr>
    </w:pPr>
    <w:r w:rsidRPr="006045FC">
      <w:rPr>
        <w:lang w:val="pl-PL"/>
      </w:rPr>
      <w:t>Ministarstvo pravde</w:t>
    </w:r>
  </w:p>
  <w:p w14:paraId="3FB5FF88" w14:textId="22E285BB" w:rsidR="009E19FD" w:rsidRDefault="009E19FD">
    <w:pPr>
      <w:pStyle w:val="Header"/>
      <w:rPr>
        <w:rFonts w:ascii="Arial" w:eastAsia="Calibri" w:hAnsi="Arial" w:cs="Arial"/>
        <w:sz w:val="22"/>
      </w:rPr>
    </w:pPr>
  </w:p>
  <w:p w14:paraId="67311220" w14:textId="77777777" w:rsidR="00F630CF" w:rsidRDefault="00F63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25pt;height:2.25pt;visibility:visible;mso-wrap-style:square" o:bullet="t" filled="t">
        <v:imagedata r:id="rId1" o:title=""/>
        <o:lock v:ext="edit" aspectratio="f"/>
      </v:shape>
    </w:pict>
  </w:numPicBullet>
  <w:abstractNum w:abstractNumId="0" w15:restartNumberingAfterBreak="0">
    <w:nsid w:val="C4A22F32"/>
    <w:multiLevelType w:val="hybridMultilevel"/>
    <w:tmpl w:val="3C7B52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1952A2"/>
    <w:multiLevelType w:val="hybridMultilevel"/>
    <w:tmpl w:val="A3E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A4963"/>
    <w:multiLevelType w:val="hybridMultilevel"/>
    <w:tmpl w:val="548AB1D8"/>
    <w:lvl w:ilvl="0" w:tplc="5DA27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9607C"/>
    <w:multiLevelType w:val="hybridMultilevel"/>
    <w:tmpl w:val="6D0CCBFE"/>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4" w15:restartNumberingAfterBreak="0">
    <w:nsid w:val="206E1B2F"/>
    <w:multiLevelType w:val="hybridMultilevel"/>
    <w:tmpl w:val="84CC55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084B16"/>
    <w:multiLevelType w:val="hybridMultilevel"/>
    <w:tmpl w:val="57ACC210"/>
    <w:lvl w:ilvl="0" w:tplc="E5DE378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A194F"/>
    <w:multiLevelType w:val="hybridMultilevel"/>
    <w:tmpl w:val="592AFC28"/>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A005BE"/>
    <w:multiLevelType w:val="hybridMultilevel"/>
    <w:tmpl w:val="D7AA4600"/>
    <w:lvl w:ilvl="0" w:tplc="80EE8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9C88C"/>
    <w:multiLevelType w:val="hybridMultilevel"/>
    <w:tmpl w:val="C8E6D1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C645495"/>
    <w:multiLevelType w:val="hybridMultilevel"/>
    <w:tmpl w:val="BC94F3A8"/>
    <w:lvl w:ilvl="0" w:tplc="7D688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C7E80"/>
    <w:multiLevelType w:val="hybridMultilevel"/>
    <w:tmpl w:val="05A6EFDE"/>
    <w:lvl w:ilvl="0" w:tplc="7C867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02A42"/>
    <w:multiLevelType w:val="hybridMultilevel"/>
    <w:tmpl w:val="BFC8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D1C04"/>
    <w:multiLevelType w:val="hybridMultilevel"/>
    <w:tmpl w:val="F1F6EDB0"/>
    <w:lvl w:ilvl="0" w:tplc="EC04D31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D1C33"/>
    <w:multiLevelType w:val="hybridMultilevel"/>
    <w:tmpl w:val="228C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715D2"/>
    <w:multiLevelType w:val="hybridMultilevel"/>
    <w:tmpl w:val="9B58127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5F396111"/>
    <w:multiLevelType w:val="hybridMultilevel"/>
    <w:tmpl w:val="09123D86"/>
    <w:lvl w:ilvl="0" w:tplc="2480C3E6">
      <w:start w:val="1"/>
      <w:numFmt w:val="bullet"/>
      <w:lvlText w:val=""/>
      <w:lvlJc w:val="left"/>
      <w:pPr>
        <w:ind w:left="1425" w:hanging="360"/>
      </w:pPr>
      <w:rPr>
        <w:rFonts w:ascii="Symbol" w:hAnsi="Symbol" w:hint="default"/>
      </w:rPr>
    </w:lvl>
    <w:lvl w:ilvl="1" w:tplc="2C1A0003" w:tentative="1">
      <w:start w:val="1"/>
      <w:numFmt w:val="bullet"/>
      <w:lvlText w:val="o"/>
      <w:lvlJc w:val="left"/>
      <w:pPr>
        <w:ind w:left="2145" w:hanging="360"/>
      </w:pPr>
      <w:rPr>
        <w:rFonts w:ascii="Courier New" w:hAnsi="Courier New" w:cs="Courier New" w:hint="default"/>
      </w:rPr>
    </w:lvl>
    <w:lvl w:ilvl="2" w:tplc="2C1A0005" w:tentative="1">
      <w:start w:val="1"/>
      <w:numFmt w:val="bullet"/>
      <w:lvlText w:val=""/>
      <w:lvlJc w:val="left"/>
      <w:pPr>
        <w:ind w:left="2865" w:hanging="360"/>
      </w:pPr>
      <w:rPr>
        <w:rFonts w:ascii="Wingdings" w:hAnsi="Wingdings" w:hint="default"/>
      </w:rPr>
    </w:lvl>
    <w:lvl w:ilvl="3" w:tplc="2C1A0001" w:tentative="1">
      <w:start w:val="1"/>
      <w:numFmt w:val="bullet"/>
      <w:lvlText w:val=""/>
      <w:lvlJc w:val="left"/>
      <w:pPr>
        <w:ind w:left="3585" w:hanging="360"/>
      </w:pPr>
      <w:rPr>
        <w:rFonts w:ascii="Symbol" w:hAnsi="Symbol" w:hint="default"/>
      </w:rPr>
    </w:lvl>
    <w:lvl w:ilvl="4" w:tplc="2C1A0003" w:tentative="1">
      <w:start w:val="1"/>
      <w:numFmt w:val="bullet"/>
      <w:lvlText w:val="o"/>
      <w:lvlJc w:val="left"/>
      <w:pPr>
        <w:ind w:left="4305" w:hanging="360"/>
      </w:pPr>
      <w:rPr>
        <w:rFonts w:ascii="Courier New" w:hAnsi="Courier New" w:cs="Courier New" w:hint="default"/>
      </w:rPr>
    </w:lvl>
    <w:lvl w:ilvl="5" w:tplc="2C1A0005" w:tentative="1">
      <w:start w:val="1"/>
      <w:numFmt w:val="bullet"/>
      <w:lvlText w:val=""/>
      <w:lvlJc w:val="left"/>
      <w:pPr>
        <w:ind w:left="5025" w:hanging="360"/>
      </w:pPr>
      <w:rPr>
        <w:rFonts w:ascii="Wingdings" w:hAnsi="Wingdings" w:hint="default"/>
      </w:rPr>
    </w:lvl>
    <w:lvl w:ilvl="6" w:tplc="2C1A0001" w:tentative="1">
      <w:start w:val="1"/>
      <w:numFmt w:val="bullet"/>
      <w:lvlText w:val=""/>
      <w:lvlJc w:val="left"/>
      <w:pPr>
        <w:ind w:left="5745" w:hanging="360"/>
      </w:pPr>
      <w:rPr>
        <w:rFonts w:ascii="Symbol" w:hAnsi="Symbol" w:hint="default"/>
      </w:rPr>
    </w:lvl>
    <w:lvl w:ilvl="7" w:tplc="2C1A0003" w:tentative="1">
      <w:start w:val="1"/>
      <w:numFmt w:val="bullet"/>
      <w:lvlText w:val="o"/>
      <w:lvlJc w:val="left"/>
      <w:pPr>
        <w:ind w:left="6465" w:hanging="360"/>
      </w:pPr>
      <w:rPr>
        <w:rFonts w:ascii="Courier New" w:hAnsi="Courier New" w:cs="Courier New" w:hint="default"/>
      </w:rPr>
    </w:lvl>
    <w:lvl w:ilvl="8" w:tplc="2C1A0005" w:tentative="1">
      <w:start w:val="1"/>
      <w:numFmt w:val="bullet"/>
      <w:lvlText w:val=""/>
      <w:lvlJc w:val="left"/>
      <w:pPr>
        <w:ind w:left="7185" w:hanging="360"/>
      </w:pPr>
      <w:rPr>
        <w:rFonts w:ascii="Wingdings" w:hAnsi="Wingdings" w:hint="default"/>
      </w:rPr>
    </w:lvl>
  </w:abstractNum>
  <w:abstractNum w:abstractNumId="16" w15:restartNumberingAfterBreak="0">
    <w:nsid w:val="5FC01792"/>
    <w:multiLevelType w:val="hybridMultilevel"/>
    <w:tmpl w:val="56D21116"/>
    <w:lvl w:ilvl="0" w:tplc="E8500BF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16656F7"/>
    <w:multiLevelType w:val="hybridMultilevel"/>
    <w:tmpl w:val="775A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41058"/>
    <w:multiLevelType w:val="hybridMultilevel"/>
    <w:tmpl w:val="86FAB26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6DF23355"/>
    <w:multiLevelType w:val="hybridMultilevel"/>
    <w:tmpl w:val="48D2FF7C"/>
    <w:lvl w:ilvl="0" w:tplc="A22CF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26278"/>
    <w:multiLevelType w:val="hybridMultilevel"/>
    <w:tmpl w:val="453A1708"/>
    <w:lvl w:ilvl="0" w:tplc="5E566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55EAC"/>
    <w:multiLevelType w:val="hybridMultilevel"/>
    <w:tmpl w:val="DAB861BC"/>
    <w:lvl w:ilvl="0" w:tplc="CA12C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24B29"/>
    <w:multiLevelType w:val="hybridMultilevel"/>
    <w:tmpl w:val="4D0AFEDC"/>
    <w:lvl w:ilvl="0" w:tplc="F0162E08">
      <w:numFmt w:val="bullet"/>
      <w:lvlText w:val="-"/>
      <w:lvlJc w:val="left"/>
      <w:pPr>
        <w:ind w:left="960" w:hanging="360"/>
      </w:pPr>
      <w:rPr>
        <w:rFonts w:ascii="Calibri" w:eastAsiaTheme="minorHAnsi"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5"/>
  </w:num>
  <w:num w:numId="2">
    <w:abstractNumId w:val="18"/>
  </w:num>
  <w:num w:numId="3">
    <w:abstractNumId w:val="5"/>
  </w:num>
  <w:num w:numId="4">
    <w:abstractNumId w:val="14"/>
  </w:num>
  <w:num w:numId="5">
    <w:abstractNumId w:val="12"/>
  </w:num>
  <w:num w:numId="6">
    <w:abstractNumId w:val="16"/>
  </w:num>
  <w:num w:numId="7">
    <w:abstractNumId w:val="3"/>
  </w:num>
  <w:num w:numId="8">
    <w:abstractNumId w:val="10"/>
  </w:num>
  <w:num w:numId="9">
    <w:abstractNumId w:val="22"/>
  </w:num>
  <w:num w:numId="10">
    <w:abstractNumId w:val="9"/>
  </w:num>
  <w:num w:numId="11">
    <w:abstractNumId w:val="19"/>
  </w:num>
  <w:num w:numId="12">
    <w:abstractNumId w:val="2"/>
  </w:num>
  <w:num w:numId="13">
    <w:abstractNumId w:val="20"/>
  </w:num>
  <w:num w:numId="14">
    <w:abstractNumId w:val="1"/>
  </w:num>
  <w:num w:numId="15">
    <w:abstractNumId w:val="7"/>
  </w:num>
  <w:num w:numId="16">
    <w:abstractNumId w:val="21"/>
  </w:num>
  <w:num w:numId="17">
    <w:abstractNumId w:val="13"/>
  </w:num>
  <w:num w:numId="18">
    <w:abstractNumId w:val="11"/>
  </w:num>
  <w:num w:numId="19">
    <w:abstractNumId w:val="0"/>
  </w:num>
  <w:num w:numId="20">
    <w:abstractNumId w:val="4"/>
  </w:num>
  <w:num w:numId="21">
    <w:abstractNumId w:val="8"/>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97"/>
    <w:rsid w:val="0000007F"/>
    <w:rsid w:val="00001614"/>
    <w:rsid w:val="00005267"/>
    <w:rsid w:val="000079D5"/>
    <w:rsid w:val="00010167"/>
    <w:rsid w:val="00011A55"/>
    <w:rsid w:val="00015196"/>
    <w:rsid w:val="000200C8"/>
    <w:rsid w:val="000205FD"/>
    <w:rsid w:val="00020E69"/>
    <w:rsid w:val="000241A2"/>
    <w:rsid w:val="000249E7"/>
    <w:rsid w:val="0002761E"/>
    <w:rsid w:val="000304E1"/>
    <w:rsid w:val="00031335"/>
    <w:rsid w:val="00034570"/>
    <w:rsid w:val="0003464A"/>
    <w:rsid w:val="00036393"/>
    <w:rsid w:val="00040629"/>
    <w:rsid w:val="00041B6B"/>
    <w:rsid w:val="0004350B"/>
    <w:rsid w:val="00046EB8"/>
    <w:rsid w:val="00046EC6"/>
    <w:rsid w:val="0005048E"/>
    <w:rsid w:val="00050E32"/>
    <w:rsid w:val="00054EF5"/>
    <w:rsid w:val="000607C0"/>
    <w:rsid w:val="00061BCE"/>
    <w:rsid w:val="00062460"/>
    <w:rsid w:val="00062AC1"/>
    <w:rsid w:val="000677AD"/>
    <w:rsid w:val="00070D54"/>
    <w:rsid w:val="000720CC"/>
    <w:rsid w:val="00073BE9"/>
    <w:rsid w:val="00074486"/>
    <w:rsid w:val="000748E8"/>
    <w:rsid w:val="00074A4E"/>
    <w:rsid w:val="00074AE7"/>
    <w:rsid w:val="00077DE0"/>
    <w:rsid w:val="00080F0B"/>
    <w:rsid w:val="00081616"/>
    <w:rsid w:val="00082057"/>
    <w:rsid w:val="000825A6"/>
    <w:rsid w:val="0009087D"/>
    <w:rsid w:val="00090E4E"/>
    <w:rsid w:val="00091756"/>
    <w:rsid w:val="000957AF"/>
    <w:rsid w:val="00096DA2"/>
    <w:rsid w:val="0009723C"/>
    <w:rsid w:val="00097FD5"/>
    <w:rsid w:val="000A2994"/>
    <w:rsid w:val="000A41AB"/>
    <w:rsid w:val="000A4654"/>
    <w:rsid w:val="000A5162"/>
    <w:rsid w:val="000A7715"/>
    <w:rsid w:val="000B1527"/>
    <w:rsid w:val="000B1792"/>
    <w:rsid w:val="000B249C"/>
    <w:rsid w:val="000B3C4F"/>
    <w:rsid w:val="000B4855"/>
    <w:rsid w:val="000B5397"/>
    <w:rsid w:val="000B7F66"/>
    <w:rsid w:val="000C4B80"/>
    <w:rsid w:val="000C6B51"/>
    <w:rsid w:val="000C77AC"/>
    <w:rsid w:val="000D2BA5"/>
    <w:rsid w:val="000D30EA"/>
    <w:rsid w:val="000D4C82"/>
    <w:rsid w:val="000D6326"/>
    <w:rsid w:val="000D6E7F"/>
    <w:rsid w:val="000E26A0"/>
    <w:rsid w:val="000E4B71"/>
    <w:rsid w:val="000E5453"/>
    <w:rsid w:val="000E65CC"/>
    <w:rsid w:val="000E721E"/>
    <w:rsid w:val="000F00C7"/>
    <w:rsid w:val="000F1987"/>
    <w:rsid w:val="000F555B"/>
    <w:rsid w:val="000F71E5"/>
    <w:rsid w:val="001009A4"/>
    <w:rsid w:val="00104C77"/>
    <w:rsid w:val="00104FD6"/>
    <w:rsid w:val="00105F19"/>
    <w:rsid w:val="0010623B"/>
    <w:rsid w:val="00110F06"/>
    <w:rsid w:val="00111384"/>
    <w:rsid w:val="00112022"/>
    <w:rsid w:val="00112B13"/>
    <w:rsid w:val="001143AF"/>
    <w:rsid w:val="0011492F"/>
    <w:rsid w:val="0011494A"/>
    <w:rsid w:val="00116866"/>
    <w:rsid w:val="00117FD2"/>
    <w:rsid w:val="00121C4F"/>
    <w:rsid w:val="00122755"/>
    <w:rsid w:val="00123EC7"/>
    <w:rsid w:val="00133657"/>
    <w:rsid w:val="001360B1"/>
    <w:rsid w:val="00136208"/>
    <w:rsid w:val="001370C6"/>
    <w:rsid w:val="00140735"/>
    <w:rsid w:val="00140E37"/>
    <w:rsid w:val="00141111"/>
    <w:rsid w:val="0014729C"/>
    <w:rsid w:val="00147C3F"/>
    <w:rsid w:val="00152F49"/>
    <w:rsid w:val="0015332F"/>
    <w:rsid w:val="00156219"/>
    <w:rsid w:val="00160530"/>
    <w:rsid w:val="00163536"/>
    <w:rsid w:val="001669E9"/>
    <w:rsid w:val="00167302"/>
    <w:rsid w:val="0017040E"/>
    <w:rsid w:val="00172D69"/>
    <w:rsid w:val="00173A2C"/>
    <w:rsid w:val="001763EE"/>
    <w:rsid w:val="00180710"/>
    <w:rsid w:val="001825ED"/>
    <w:rsid w:val="00184EA5"/>
    <w:rsid w:val="00186526"/>
    <w:rsid w:val="00186C02"/>
    <w:rsid w:val="001873F0"/>
    <w:rsid w:val="00191DF0"/>
    <w:rsid w:val="001970E8"/>
    <w:rsid w:val="001A006B"/>
    <w:rsid w:val="001A0189"/>
    <w:rsid w:val="001A09F1"/>
    <w:rsid w:val="001A0C7D"/>
    <w:rsid w:val="001A2439"/>
    <w:rsid w:val="001A2DB8"/>
    <w:rsid w:val="001A7290"/>
    <w:rsid w:val="001A7B2A"/>
    <w:rsid w:val="001A7DC6"/>
    <w:rsid w:val="001B17C5"/>
    <w:rsid w:val="001B2078"/>
    <w:rsid w:val="001B21A3"/>
    <w:rsid w:val="001B49D6"/>
    <w:rsid w:val="001C1701"/>
    <w:rsid w:val="001C1A6E"/>
    <w:rsid w:val="001C3A33"/>
    <w:rsid w:val="001D0A42"/>
    <w:rsid w:val="001D18B9"/>
    <w:rsid w:val="001D2A0F"/>
    <w:rsid w:val="001D31A2"/>
    <w:rsid w:val="001D3997"/>
    <w:rsid w:val="001D468B"/>
    <w:rsid w:val="001D553C"/>
    <w:rsid w:val="001D5FAB"/>
    <w:rsid w:val="001D6B3E"/>
    <w:rsid w:val="001D7DA7"/>
    <w:rsid w:val="001D7E2E"/>
    <w:rsid w:val="001E26BF"/>
    <w:rsid w:val="001E277F"/>
    <w:rsid w:val="001E2F3A"/>
    <w:rsid w:val="001E3039"/>
    <w:rsid w:val="001E6353"/>
    <w:rsid w:val="001E6D2A"/>
    <w:rsid w:val="001F0BF9"/>
    <w:rsid w:val="001F1066"/>
    <w:rsid w:val="001F15FD"/>
    <w:rsid w:val="001F198D"/>
    <w:rsid w:val="001F25E9"/>
    <w:rsid w:val="001F338A"/>
    <w:rsid w:val="001F4760"/>
    <w:rsid w:val="001F4855"/>
    <w:rsid w:val="001F7C65"/>
    <w:rsid w:val="002009D4"/>
    <w:rsid w:val="002110FF"/>
    <w:rsid w:val="00211B02"/>
    <w:rsid w:val="00211E7E"/>
    <w:rsid w:val="00212A43"/>
    <w:rsid w:val="00212B73"/>
    <w:rsid w:val="00212EED"/>
    <w:rsid w:val="00214607"/>
    <w:rsid w:val="00217857"/>
    <w:rsid w:val="00220A4C"/>
    <w:rsid w:val="00221B77"/>
    <w:rsid w:val="00221E40"/>
    <w:rsid w:val="00221FF2"/>
    <w:rsid w:val="002227BD"/>
    <w:rsid w:val="00222BBF"/>
    <w:rsid w:val="0022385E"/>
    <w:rsid w:val="00224CC6"/>
    <w:rsid w:val="00233FF0"/>
    <w:rsid w:val="0023465D"/>
    <w:rsid w:val="00235F24"/>
    <w:rsid w:val="00236E52"/>
    <w:rsid w:val="002436F1"/>
    <w:rsid w:val="002472B7"/>
    <w:rsid w:val="002504BE"/>
    <w:rsid w:val="0025133F"/>
    <w:rsid w:val="002516A2"/>
    <w:rsid w:val="002520B7"/>
    <w:rsid w:val="00253AFA"/>
    <w:rsid w:val="00256CCB"/>
    <w:rsid w:val="0025793A"/>
    <w:rsid w:val="00262285"/>
    <w:rsid w:val="0026306B"/>
    <w:rsid w:val="0026365E"/>
    <w:rsid w:val="00265B4E"/>
    <w:rsid w:val="0026601C"/>
    <w:rsid w:val="00267137"/>
    <w:rsid w:val="00267DA7"/>
    <w:rsid w:val="00270F8B"/>
    <w:rsid w:val="00271DE5"/>
    <w:rsid w:val="00272779"/>
    <w:rsid w:val="00275F89"/>
    <w:rsid w:val="00276FC8"/>
    <w:rsid w:val="00277B02"/>
    <w:rsid w:val="00282E2A"/>
    <w:rsid w:val="0028357E"/>
    <w:rsid w:val="00286038"/>
    <w:rsid w:val="00287379"/>
    <w:rsid w:val="002909DD"/>
    <w:rsid w:val="002935A2"/>
    <w:rsid w:val="00295599"/>
    <w:rsid w:val="00295731"/>
    <w:rsid w:val="002976E2"/>
    <w:rsid w:val="002A096F"/>
    <w:rsid w:val="002A1585"/>
    <w:rsid w:val="002A182C"/>
    <w:rsid w:val="002A2848"/>
    <w:rsid w:val="002A50E1"/>
    <w:rsid w:val="002B0FB1"/>
    <w:rsid w:val="002B188E"/>
    <w:rsid w:val="002B1FF1"/>
    <w:rsid w:val="002B229D"/>
    <w:rsid w:val="002B24E0"/>
    <w:rsid w:val="002B303E"/>
    <w:rsid w:val="002B3C93"/>
    <w:rsid w:val="002B73C2"/>
    <w:rsid w:val="002B79AB"/>
    <w:rsid w:val="002C0DAD"/>
    <w:rsid w:val="002C16E6"/>
    <w:rsid w:val="002C1E23"/>
    <w:rsid w:val="002C2265"/>
    <w:rsid w:val="002C2474"/>
    <w:rsid w:val="002C3542"/>
    <w:rsid w:val="002C489F"/>
    <w:rsid w:val="002D4DCE"/>
    <w:rsid w:val="002D7846"/>
    <w:rsid w:val="002E063A"/>
    <w:rsid w:val="002E0F08"/>
    <w:rsid w:val="002E2741"/>
    <w:rsid w:val="002E64CF"/>
    <w:rsid w:val="002F0BA5"/>
    <w:rsid w:val="002F10C3"/>
    <w:rsid w:val="002F25AA"/>
    <w:rsid w:val="002F3377"/>
    <w:rsid w:val="002F426D"/>
    <w:rsid w:val="002F772E"/>
    <w:rsid w:val="00300CD8"/>
    <w:rsid w:val="00301986"/>
    <w:rsid w:val="003027D7"/>
    <w:rsid w:val="00307A34"/>
    <w:rsid w:val="00316D57"/>
    <w:rsid w:val="00316FFA"/>
    <w:rsid w:val="00317F75"/>
    <w:rsid w:val="0032015C"/>
    <w:rsid w:val="003214E3"/>
    <w:rsid w:val="00323E2B"/>
    <w:rsid w:val="003262C1"/>
    <w:rsid w:val="00330B28"/>
    <w:rsid w:val="00330D4E"/>
    <w:rsid w:val="00330E5C"/>
    <w:rsid w:val="00332438"/>
    <w:rsid w:val="0033738D"/>
    <w:rsid w:val="0033784A"/>
    <w:rsid w:val="00337A59"/>
    <w:rsid w:val="00337CA7"/>
    <w:rsid w:val="003402BE"/>
    <w:rsid w:val="00341E10"/>
    <w:rsid w:val="00344153"/>
    <w:rsid w:val="00346114"/>
    <w:rsid w:val="00346F40"/>
    <w:rsid w:val="003528D0"/>
    <w:rsid w:val="00355A6F"/>
    <w:rsid w:val="00355B23"/>
    <w:rsid w:val="00356B5D"/>
    <w:rsid w:val="003610AF"/>
    <w:rsid w:val="00361666"/>
    <w:rsid w:val="00361B7C"/>
    <w:rsid w:val="003623E8"/>
    <w:rsid w:val="00364BF1"/>
    <w:rsid w:val="003667F9"/>
    <w:rsid w:val="003676FB"/>
    <w:rsid w:val="00367F6D"/>
    <w:rsid w:val="0037298E"/>
    <w:rsid w:val="00380D48"/>
    <w:rsid w:val="00381247"/>
    <w:rsid w:val="003818EE"/>
    <w:rsid w:val="00384BCB"/>
    <w:rsid w:val="00393A1E"/>
    <w:rsid w:val="00393D2B"/>
    <w:rsid w:val="0039446D"/>
    <w:rsid w:val="003A2FFA"/>
    <w:rsid w:val="003A4765"/>
    <w:rsid w:val="003A5214"/>
    <w:rsid w:val="003A6A60"/>
    <w:rsid w:val="003A7060"/>
    <w:rsid w:val="003B260B"/>
    <w:rsid w:val="003B26E5"/>
    <w:rsid w:val="003B493D"/>
    <w:rsid w:val="003B4E61"/>
    <w:rsid w:val="003B770A"/>
    <w:rsid w:val="003C03D9"/>
    <w:rsid w:val="003C0BEE"/>
    <w:rsid w:val="003C10AA"/>
    <w:rsid w:val="003C7149"/>
    <w:rsid w:val="003C7E42"/>
    <w:rsid w:val="003D1CBD"/>
    <w:rsid w:val="003D1E49"/>
    <w:rsid w:val="003D3661"/>
    <w:rsid w:val="003D3C1C"/>
    <w:rsid w:val="003D4B74"/>
    <w:rsid w:val="003D7967"/>
    <w:rsid w:val="003D7E43"/>
    <w:rsid w:val="003E03CA"/>
    <w:rsid w:val="003E51B6"/>
    <w:rsid w:val="003E570B"/>
    <w:rsid w:val="003E62A0"/>
    <w:rsid w:val="003F0501"/>
    <w:rsid w:val="003F33F5"/>
    <w:rsid w:val="003F5CE1"/>
    <w:rsid w:val="003F60FD"/>
    <w:rsid w:val="004014D5"/>
    <w:rsid w:val="00402867"/>
    <w:rsid w:val="004049BF"/>
    <w:rsid w:val="00404D35"/>
    <w:rsid w:val="00406E19"/>
    <w:rsid w:val="0041007A"/>
    <w:rsid w:val="0041154C"/>
    <w:rsid w:val="00412167"/>
    <w:rsid w:val="00413019"/>
    <w:rsid w:val="0041340E"/>
    <w:rsid w:val="00416933"/>
    <w:rsid w:val="00420F16"/>
    <w:rsid w:val="0042140C"/>
    <w:rsid w:val="004268AB"/>
    <w:rsid w:val="00432AC0"/>
    <w:rsid w:val="004333A0"/>
    <w:rsid w:val="00433E0C"/>
    <w:rsid w:val="00436A60"/>
    <w:rsid w:val="00436EC7"/>
    <w:rsid w:val="00441665"/>
    <w:rsid w:val="00445012"/>
    <w:rsid w:val="00445D8D"/>
    <w:rsid w:val="0044674F"/>
    <w:rsid w:val="00446A7F"/>
    <w:rsid w:val="004500D2"/>
    <w:rsid w:val="004513BF"/>
    <w:rsid w:val="00451A89"/>
    <w:rsid w:val="004536EC"/>
    <w:rsid w:val="00453832"/>
    <w:rsid w:val="00456F9A"/>
    <w:rsid w:val="004571E7"/>
    <w:rsid w:val="00462129"/>
    <w:rsid w:val="004637BC"/>
    <w:rsid w:val="00463B49"/>
    <w:rsid w:val="0046429A"/>
    <w:rsid w:val="00467769"/>
    <w:rsid w:val="00474835"/>
    <w:rsid w:val="004762E2"/>
    <w:rsid w:val="004779D2"/>
    <w:rsid w:val="00477A35"/>
    <w:rsid w:val="004803F5"/>
    <w:rsid w:val="00483D6C"/>
    <w:rsid w:val="004854E3"/>
    <w:rsid w:val="004874C2"/>
    <w:rsid w:val="00487513"/>
    <w:rsid w:val="00494C60"/>
    <w:rsid w:val="004963F4"/>
    <w:rsid w:val="00496F73"/>
    <w:rsid w:val="004A2CD9"/>
    <w:rsid w:val="004A6CC9"/>
    <w:rsid w:val="004B0F8F"/>
    <w:rsid w:val="004B1E8E"/>
    <w:rsid w:val="004B31CB"/>
    <w:rsid w:val="004B39DD"/>
    <w:rsid w:val="004B4F79"/>
    <w:rsid w:val="004B7D37"/>
    <w:rsid w:val="004C010C"/>
    <w:rsid w:val="004C099F"/>
    <w:rsid w:val="004C4893"/>
    <w:rsid w:val="004C50A9"/>
    <w:rsid w:val="004C635D"/>
    <w:rsid w:val="004D163C"/>
    <w:rsid w:val="004D23D3"/>
    <w:rsid w:val="004D3A6D"/>
    <w:rsid w:val="004D61F5"/>
    <w:rsid w:val="004D6D65"/>
    <w:rsid w:val="004D6FBB"/>
    <w:rsid w:val="004E1302"/>
    <w:rsid w:val="004E3B7E"/>
    <w:rsid w:val="004E3FEA"/>
    <w:rsid w:val="004E53AB"/>
    <w:rsid w:val="004E6DE7"/>
    <w:rsid w:val="004F0317"/>
    <w:rsid w:val="004F0BD4"/>
    <w:rsid w:val="004F127C"/>
    <w:rsid w:val="004F1944"/>
    <w:rsid w:val="004F34AA"/>
    <w:rsid w:val="004F4756"/>
    <w:rsid w:val="004F790F"/>
    <w:rsid w:val="0050128C"/>
    <w:rsid w:val="00503009"/>
    <w:rsid w:val="00504A50"/>
    <w:rsid w:val="00505E30"/>
    <w:rsid w:val="00510673"/>
    <w:rsid w:val="00511113"/>
    <w:rsid w:val="005127C7"/>
    <w:rsid w:val="00512F2F"/>
    <w:rsid w:val="00515036"/>
    <w:rsid w:val="0052203C"/>
    <w:rsid w:val="0052483A"/>
    <w:rsid w:val="00524E73"/>
    <w:rsid w:val="005302C7"/>
    <w:rsid w:val="00530681"/>
    <w:rsid w:val="005306BD"/>
    <w:rsid w:val="00532AE2"/>
    <w:rsid w:val="005334D5"/>
    <w:rsid w:val="0053580E"/>
    <w:rsid w:val="00537D3D"/>
    <w:rsid w:val="005428D6"/>
    <w:rsid w:val="00542F7D"/>
    <w:rsid w:val="0054318C"/>
    <w:rsid w:val="00543261"/>
    <w:rsid w:val="00544E62"/>
    <w:rsid w:val="005467FC"/>
    <w:rsid w:val="00547982"/>
    <w:rsid w:val="00547AA1"/>
    <w:rsid w:val="0055001E"/>
    <w:rsid w:val="00550DC2"/>
    <w:rsid w:val="005537CA"/>
    <w:rsid w:val="00554C20"/>
    <w:rsid w:val="00554D3A"/>
    <w:rsid w:val="00555042"/>
    <w:rsid w:val="00555A64"/>
    <w:rsid w:val="00560216"/>
    <w:rsid w:val="00560AE4"/>
    <w:rsid w:val="00564DA8"/>
    <w:rsid w:val="005666F5"/>
    <w:rsid w:val="00567577"/>
    <w:rsid w:val="005702CD"/>
    <w:rsid w:val="00572ABD"/>
    <w:rsid w:val="00574956"/>
    <w:rsid w:val="00576085"/>
    <w:rsid w:val="0057658C"/>
    <w:rsid w:val="0057676D"/>
    <w:rsid w:val="00577F3C"/>
    <w:rsid w:val="00580EDE"/>
    <w:rsid w:val="00584268"/>
    <w:rsid w:val="005847E7"/>
    <w:rsid w:val="00585F60"/>
    <w:rsid w:val="005874EC"/>
    <w:rsid w:val="005901FF"/>
    <w:rsid w:val="00590560"/>
    <w:rsid w:val="005923A4"/>
    <w:rsid w:val="00595C1C"/>
    <w:rsid w:val="00597CE8"/>
    <w:rsid w:val="005A2B70"/>
    <w:rsid w:val="005A3036"/>
    <w:rsid w:val="005A342F"/>
    <w:rsid w:val="005A39CA"/>
    <w:rsid w:val="005A4C76"/>
    <w:rsid w:val="005A53D7"/>
    <w:rsid w:val="005A7C69"/>
    <w:rsid w:val="005B0F54"/>
    <w:rsid w:val="005B1C27"/>
    <w:rsid w:val="005B4546"/>
    <w:rsid w:val="005B5B90"/>
    <w:rsid w:val="005B7067"/>
    <w:rsid w:val="005C2655"/>
    <w:rsid w:val="005C4A59"/>
    <w:rsid w:val="005C534C"/>
    <w:rsid w:val="005C66AE"/>
    <w:rsid w:val="005D0FAC"/>
    <w:rsid w:val="005D1B9C"/>
    <w:rsid w:val="005D2C6E"/>
    <w:rsid w:val="005D2CB7"/>
    <w:rsid w:val="005D2D62"/>
    <w:rsid w:val="005D32F0"/>
    <w:rsid w:val="005D4FEB"/>
    <w:rsid w:val="005D7748"/>
    <w:rsid w:val="005E00BD"/>
    <w:rsid w:val="005E115E"/>
    <w:rsid w:val="005E119E"/>
    <w:rsid w:val="005E246D"/>
    <w:rsid w:val="005E49BE"/>
    <w:rsid w:val="005F0F79"/>
    <w:rsid w:val="005F1879"/>
    <w:rsid w:val="005F1B75"/>
    <w:rsid w:val="005F2DB5"/>
    <w:rsid w:val="005F39B7"/>
    <w:rsid w:val="005F4876"/>
    <w:rsid w:val="005F686F"/>
    <w:rsid w:val="00600FBC"/>
    <w:rsid w:val="0060144C"/>
    <w:rsid w:val="00602060"/>
    <w:rsid w:val="00602722"/>
    <w:rsid w:val="006071BA"/>
    <w:rsid w:val="00610245"/>
    <w:rsid w:val="00611191"/>
    <w:rsid w:val="0061196F"/>
    <w:rsid w:val="00612F2D"/>
    <w:rsid w:val="00614655"/>
    <w:rsid w:val="00620572"/>
    <w:rsid w:val="00624249"/>
    <w:rsid w:val="00632460"/>
    <w:rsid w:val="00633A5F"/>
    <w:rsid w:val="006351B8"/>
    <w:rsid w:val="006371B4"/>
    <w:rsid w:val="006375F4"/>
    <w:rsid w:val="006402ED"/>
    <w:rsid w:val="0064124F"/>
    <w:rsid w:val="0064249F"/>
    <w:rsid w:val="00644975"/>
    <w:rsid w:val="006517CE"/>
    <w:rsid w:val="00652A77"/>
    <w:rsid w:val="00657A81"/>
    <w:rsid w:val="006628A7"/>
    <w:rsid w:val="00662FA2"/>
    <w:rsid w:val="006633C3"/>
    <w:rsid w:val="00671A67"/>
    <w:rsid w:val="00673603"/>
    <w:rsid w:val="00675EB9"/>
    <w:rsid w:val="00676392"/>
    <w:rsid w:val="006767CD"/>
    <w:rsid w:val="00681265"/>
    <w:rsid w:val="00683DA8"/>
    <w:rsid w:val="00686F95"/>
    <w:rsid w:val="00687F92"/>
    <w:rsid w:val="006903F3"/>
    <w:rsid w:val="00690EE5"/>
    <w:rsid w:val="00696309"/>
    <w:rsid w:val="006A01B1"/>
    <w:rsid w:val="006A34A8"/>
    <w:rsid w:val="006A3D66"/>
    <w:rsid w:val="006B05D9"/>
    <w:rsid w:val="006B1AD2"/>
    <w:rsid w:val="006B4984"/>
    <w:rsid w:val="006B4E8D"/>
    <w:rsid w:val="006C0CD4"/>
    <w:rsid w:val="006C2B17"/>
    <w:rsid w:val="006C38EB"/>
    <w:rsid w:val="006C7BB4"/>
    <w:rsid w:val="006D0E96"/>
    <w:rsid w:val="006D25AF"/>
    <w:rsid w:val="006D2E0B"/>
    <w:rsid w:val="006D5458"/>
    <w:rsid w:val="006D5D10"/>
    <w:rsid w:val="006D6478"/>
    <w:rsid w:val="006E3F47"/>
    <w:rsid w:val="006E6257"/>
    <w:rsid w:val="006F0645"/>
    <w:rsid w:val="006F1BD8"/>
    <w:rsid w:val="006F2E37"/>
    <w:rsid w:val="007009D1"/>
    <w:rsid w:val="0070196C"/>
    <w:rsid w:val="00702D05"/>
    <w:rsid w:val="007034D3"/>
    <w:rsid w:val="007044F4"/>
    <w:rsid w:val="00707D50"/>
    <w:rsid w:val="00711882"/>
    <w:rsid w:val="007136A8"/>
    <w:rsid w:val="00713ACA"/>
    <w:rsid w:val="00713CE8"/>
    <w:rsid w:val="00715C1B"/>
    <w:rsid w:val="007161B1"/>
    <w:rsid w:val="007166CD"/>
    <w:rsid w:val="0071745E"/>
    <w:rsid w:val="007177F2"/>
    <w:rsid w:val="00725E75"/>
    <w:rsid w:val="00731556"/>
    <w:rsid w:val="00732680"/>
    <w:rsid w:val="007327BE"/>
    <w:rsid w:val="007333D3"/>
    <w:rsid w:val="00734D1F"/>
    <w:rsid w:val="0074254F"/>
    <w:rsid w:val="007436B7"/>
    <w:rsid w:val="00744606"/>
    <w:rsid w:val="0074617F"/>
    <w:rsid w:val="00750A68"/>
    <w:rsid w:val="00752CA4"/>
    <w:rsid w:val="00754FF9"/>
    <w:rsid w:val="00756396"/>
    <w:rsid w:val="00761FC3"/>
    <w:rsid w:val="00764B5B"/>
    <w:rsid w:val="00773992"/>
    <w:rsid w:val="00774FC8"/>
    <w:rsid w:val="00782D9F"/>
    <w:rsid w:val="00784285"/>
    <w:rsid w:val="00784747"/>
    <w:rsid w:val="00784F4E"/>
    <w:rsid w:val="00785F94"/>
    <w:rsid w:val="0078696C"/>
    <w:rsid w:val="00786F30"/>
    <w:rsid w:val="00787FCC"/>
    <w:rsid w:val="00790A37"/>
    <w:rsid w:val="00790C54"/>
    <w:rsid w:val="0079344F"/>
    <w:rsid w:val="00795B9E"/>
    <w:rsid w:val="00796612"/>
    <w:rsid w:val="007A2562"/>
    <w:rsid w:val="007A58D4"/>
    <w:rsid w:val="007A6C9B"/>
    <w:rsid w:val="007A6CCF"/>
    <w:rsid w:val="007B025B"/>
    <w:rsid w:val="007B1185"/>
    <w:rsid w:val="007B1971"/>
    <w:rsid w:val="007B3ACD"/>
    <w:rsid w:val="007B4CC7"/>
    <w:rsid w:val="007B5EDD"/>
    <w:rsid w:val="007B7003"/>
    <w:rsid w:val="007C321C"/>
    <w:rsid w:val="007C6ADF"/>
    <w:rsid w:val="007D4BD8"/>
    <w:rsid w:val="007D4D3D"/>
    <w:rsid w:val="007D694E"/>
    <w:rsid w:val="007D6F9F"/>
    <w:rsid w:val="007E1D92"/>
    <w:rsid w:val="007E3331"/>
    <w:rsid w:val="007E48B2"/>
    <w:rsid w:val="007E7184"/>
    <w:rsid w:val="007E7B34"/>
    <w:rsid w:val="007F1559"/>
    <w:rsid w:val="007F161C"/>
    <w:rsid w:val="007F1C05"/>
    <w:rsid w:val="007F24A7"/>
    <w:rsid w:val="007F2D15"/>
    <w:rsid w:val="007F3A80"/>
    <w:rsid w:val="007F7B4D"/>
    <w:rsid w:val="00800716"/>
    <w:rsid w:val="00802F32"/>
    <w:rsid w:val="008043AB"/>
    <w:rsid w:val="008043FE"/>
    <w:rsid w:val="00804B93"/>
    <w:rsid w:val="008060D6"/>
    <w:rsid w:val="008134A8"/>
    <w:rsid w:val="008166E8"/>
    <w:rsid w:val="00817938"/>
    <w:rsid w:val="0082532D"/>
    <w:rsid w:val="008253B0"/>
    <w:rsid w:val="0082606A"/>
    <w:rsid w:val="008272E1"/>
    <w:rsid w:val="008273CE"/>
    <w:rsid w:val="008275AD"/>
    <w:rsid w:val="008309D1"/>
    <w:rsid w:val="00831650"/>
    <w:rsid w:val="00831AB6"/>
    <w:rsid w:val="00832D89"/>
    <w:rsid w:val="00836E9B"/>
    <w:rsid w:val="00843809"/>
    <w:rsid w:val="008458C3"/>
    <w:rsid w:val="008528CB"/>
    <w:rsid w:val="00853CF0"/>
    <w:rsid w:val="00855043"/>
    <w:rsid w:val="0085613A"/>
    <w:rsid w:val="00856568"/>
    <w:rsid w:val="00856A46"/>
    <w:rsid w:val="008609CE"/>
    <w:rsid w:val="00861DBA"/>
    <w:rsid w:val="008655A0"/>
    <w:rsid w:val="008658D8"/>
    <w:rsid w:val="00865C00"/>
    <w:rsid w:val="00865F07"/>
    <w:rsid w:val="0086762F"/>
    <w:rsid w:val="00870365"/>
    <w:rsid w:val="00870F09"/>
    <w:rsid w:val="00872FE4"/>
    <w:rsid w:val="008732E8"/>
    <w:rsid w:val="008736B9"/>
    <w:rsid w:val="00876FCF"/>
    <w:rsid w:val="008808C9"/>
    <w:rsid w:val="00882AD2"/>
    <w:rsid w:val="00882F08"/>
    <w:rsid w:val="00885F5D"/>
    <w:rsid w:val="008877F9"/>
    <w:rsid w:val="00887B24"/>
    <w:rsid w:val="00890F04"/>
    <w:rsid w:val="008941AF"/>
    <w:rsid w:val="00894D99"/>
    <w:rsid w:val="008A06F7"/>
    <w:rsid w:val="008A0D42"/>
    <w:rsid w:val="008A1D7B"/>
    <w:rsid w:val="008A2CAD"/>
    <w:rsid w:val="008A6223"/>
    <w:rsid w:val="008B160A"/>
    <w:rsid w:val="008B47B8"/>
    <w:rsid w:val="008B58C3"/>
    <w:rsid w:val="008C2A18"/>
    <w:rsid w:val="008C2E9C"/>
    <w:rsid w:val="008C709A"/>
    <w:rsid w:val="008C79C0"/>
    <w:rsid w:val="008C7BEB"/>
    <w:rsid w:val="008D1755"/>
    <w:rsid w:val="008D4999"/>
    <w:rsid w:val="008D503C"/>
    <w:rsid w:val="008D6587"/>
    <w:rsid w:val="008D7CFE"/>
    <w:rsid w:val="008E0883"/>
    <w:rsid w:val="008E0C54"/>
    <w:rsid w:val="008E1367"/>
    <w:rsid w:val="008E2A6A"/>
    <w:rsid w:val="008E3F7F"/>
    <w:rsid w:val="008E507F"/>
    <w:rsid w:val="008E55BA"/>
    <w:rsid w:val="008E6F12"/>
    <w:rsid w:val="008E742C"/>
    <w:rsid w:val="008E7BBD"/>
    <w:rsid w:val="008F0283"/>
    <w:rsid w:val="008F388A"/>
    <w:rsid w:val="008F5FDB"/>
    <w:rsid w:val="00901D98"/>
    <w:rsid w:val="00902720"/>
    <w:rsid w:val="00903479"/>
    <w:rsid w:val="00903CDA"/>
    <w:rsid w:val="0090481B"/>
    <w:rsid w:val="00904AA8"/>
    <w:rsid w:val="00906F53"/>
    <w:rsid w:val="00910D36"/>
    <w:rsid w:val="00914136"/>
    <w:rsid w:val="009219B1"/>
    <w:rsid w:val="00922EEC"/>
    <w:rsid w:val="00923AE6"/>
    <w:rsid w:val="00925135"/>
    <w:rsid w:val="00925B11"/>
    <w:rsid w:val="00931148"/>
    <w:rsid w:val="00933019"/>
    <w:rsid w:val="00946725"/>
    <w:rsid w:val="00947671"/>
    <w:rsid w:val="00947845"/>
    <w:rsid w:val="00952C36"/>
    <w:rsid w:val="0095646F"/>
    <w:rsid w:val="00960564"/>
    <w:rsid w:val="00961C6A"/>
    <w:rsid w:val="009646C5"/>
    <w:rsid w:val="00964C11"/>
    <w:rsid w:val="0097133B"/>
    <w:rsid w:val="00972E6D"/>
    <w:rsid w:val="009752E4"/>
    <w:rsid w:val="00975429"/>
    <w:rsid w:val="009754F3"/>
    <w:rsid w:val="00975E5A"/>
    <w:rsid w:val="0098092B"/>
    <w:rsid w:val="00983190"/>
    <w:rsid w:val="00983C43"/>
    <w:rsid w:val="00984114"/>
    <w:rsid w:val="00986A75"/>
    <w:rsid w:val="0099035A"/>
    <w:rsid w:val="009914AB"/>
    <w:rsid w:val="00991AF5"/>
    <w:rsid w:val="009A27BE"/>
    <w:rsid w:val="009A30E4"/>
    <w:rsid w:val="009A3739"/>
    <w:rsid w:val="009A6198"/>
    <w:rsid w:val="009B14D9"/>
    <w:rsid w:val="009B1EA2"/>
    <w:rsid w:val="009B3066"/>
    <w:rsid w:val="009B58D3"/>
    <w:rsid w:val="009C1506"/>
    <w:rsid w:val="009C4618"/>
    <w:rsid w:val="009C502E"/>
    <w:rsid w:val="009C556A"/>
    <w:rsid w:val="009D2567"/>
    <w:rsid w:val="009D26A6"/>
    <w:rsid w:val="009D37DD"/>
    <w:rsid w:val="009D54DC"/>
    <w:rsid w:val="009D6AF6"/>
    <w:rsid w:val="009E19FD"/>
    <w:rsid w:val="009E1FEF"/>
    <w:rsid w:val="009E6263"/>
    <w:rsid w:val="009F7CCF"/>
    <w:rsid w:val="00A00000"/>
    <w:rsid w:val="00A02A8E"/>
    <w:rsid w:val="00A02BE3"/>
    <w:rsid w:val="00A05127"/>
    <w:rsid w:val="00A06180"/>
    <w:rsid w:val="00A0718C"/>
    <w:rsid w:val="00A07332"/>
    <w:rsid w:val="00A14E24"/>
    <w:rsid w:val="00A166F0"/>
    <w:rsid w:val="00A17FC4"/>
    <w:rsid w:val="00A2081C"/>
    <w:rsid w:val="00A225CC"/>
    <w:rsid w:val="00A25F99"/>
    <w:rsid w:val="00A26FE8"/>
    <w:rsid w:val="00A2775B"/>
    <w:rsid w:val="00A31BC9"/>
    <w:rsid w:val="00A32927"/>
    <w:rsid w:val="00A338B8"/>
    <w:rsid w:val="00A3544B"/>
    <w:rsid w:val="00A36E6F"/>
    <w:rsid w:val="00A400FE"/>
    <w:rsid w:val="00A4015D"/>
    <w:rsid w:val="00A41C64"/>
    <w:rsid w:val="00A47856"/>
    <w:rsid w:val="00A5043D"/>
    <w:rsid w:val="00A52220"/>
    <w:rsid w:val="00A542D3"/>
    <w:rsid w:val="00A55174"/>
    <w:rsid w:val="00A5595F"/>
    <w:rsid w:val="00A61E0A"/>
    <w:rsid w:val="00A635DE"/>
    <w:rsid w:val="00A65D62"/>
    <w:rsid w:val="00A66C5E"/>
    <w:rsid w:val="00A67D5A"/>
    <w:rsid w:val="00A70B35"/>
    <w:rsid w:val="00A70FAA"/>
    <w:rsid w:val="00A7174C"/>
    <w:rsid w:val="00A728CE"/>
    <w:rsid w:val="00A7489C"/>
    <w:rsid w:val="00A7634A"/>
    <w:rsid w:val="00A769D9"/>
    <w:rsid w:val="00A76F90"/>
    <w:rsid w:val="00A83098"/>
    <w:rsid w:val="00A87F37"/>
    <w:rsid w:val="00A92797"/>
    <w:rsid w:val="00A94CB2"/>
    <w:rsid w:val="00AA0B19"/>
    <w:rsid w:val="00AA186F"/>
    <w:rsid w:val="00AA2305"/>
    <w:rsid w:val="00AA3002"/>
    <w:rsid w:val="00AA415C"/>
    <w:rsid w:val="00AB19E9"/>
    <w:rsid w:val="00AC08D5"/>
    <w:rsid w:val="00AC30BE"/>
    <w:rsid w:val="00AC4AA3"/>
    <w:rsid w:val="00AD0E16"/>
    <w:rsid w:val="00AE1985"/>
    <w:rsid w:val="00AE1A12"/>
    <w:rsid w:val="00AE4942"/>
    <w:rsid w:val="00AF072E"/>
    <w:rsid w:val="00AF43DA"/>
    <w:rsid w:val="00AF477B"/>
    <w:rsid w:val="00AF6147"/>
    <w:rsid w:val="00AF7595"/>
    <w:rsid w:val="00B04F34"/>
    <w:rsid w:val="00B0558E"/>
    <w:rsid w:val="00B05F13"/>
    <w:rsid w:val="00B07707"/>
    <w:rsid w:val="00B1069C"/>
    <w:rsid w:val="00B11370"/>
    <w:rsid w:val="00B13D14"/>
    <w:rsid w:val="00B159D7"/>
    <w:rsid w:val="00B20DB6"/>
    <w:rsid w:val="00B241CF"/>
    <w:rsid w:val="00B2623A"/>
    <w:rsid w:val="00B33F3F"/>
    <w:rsid w:val="00B36580"/>
    <w:rsid w:val="00B36CA3"/>
    <w:rsid w:val="00B36D85"/>
    <w:rsid w:val="00B3747E"/>
    <w:rsid w:val="00B40B5B"/>
    <w:rsid w:val="00B42FEF"/>
    <w:rsid w:val="00B4650A"/>
    <w:rsid w:val="00B46E66"/>
    <w:rsid w:val="00B46FE6"/>
    <w:rsid w:val="00B47264"/>
    <w:rsid w:val="00B50229"/>
    <w:rsid w:val="00B5246F"/>
    <w:rsid w:val="00B548C3"/>
    <w:rsid w:val="00B55358"/>
    <w:rsid w:val="00B5663C"/>
    <w:rsid w:val="00B621DF"/>
    <w:rsid w:val="00B6530A"/>
    <w:rsid w:val="00B654DA"/>
    <w:rsid w:val="00B65AF5"/>
    <w:rsid w:val="00B66EC7"/>
    <w:rsid w:val="00B702F6"/>
    <w:rsid w:val="00B73E8E"/>
    <w:rsid w:val="00B75772"/>
    <w:rsid w:val="00B80004"/>
    <w:rsid w:val="00B81C88"/>
    <w:rsid w:val="00B85766"/>
    <w:rsid w:val="00B902BA"/>
    <w:rsid w:val="00B965A5"/>
    <w:rsid w:val="00B979F5"/>
    <w:rsid w:val="00B97A84"/>
    <w:rsid w:val="00BA1531"/>
    <w:rsid w:val="00BA228F"/>
    <w:rsid w:val="00BB033D"/>
    <w:rsid w:val="00BB4E51"/>
    <w:rsid w:val="00BB6412"/>
    <w:rsid w:val="00BB74F4"/>
    <w:rsid w:val="00BB7B6B"/>
    <w:rsid w:val="00BB7D91"/>
    <w:rsid w:val="00BC1E73"/>
    <w:rsid w:val="00BC7DFD"/>
    <w:rsid w:val="00BD1021"/>
    <w:rsid w:val="00BD1A15"/>
    <w:rsid w:val="00BD3173"/>
    <w:rsid w:val="00BD664B"/>
    <w:rsid w:val="00BD6B9C"/>
    <w:rsid w:val="00BD6D34"/>
    <w:rsid w:val="00BD718B"/>
    <w:rsid w:val="00BE462A"/>
    <w:rsid w:val="00BF1710"/>
    <w:rsid w:val="00BF442D"/>
    <w:rsid w:val="00BF7AA7"/>
    <w:rsid w:val="00C0296E"/>
    <w:rsid w:val="00C03C62"/>
    <w:rsid w:val="00C1058E"/>
    <w:rsid w:val="00C10880"/>
    <w:rsid w:val="00C10C52"/>
    <w:rsid w:val="00C13055"/>
    <w:rsid w:val="00C14651"/>
    <w:rsid w:val="00C165B1"/>
    <w:rsid w:val="00C20088"/>
    <w:rsid w:val="00C210E6"/>
    <w:rsid w:val="00C240B2"/>
    <w:rsid w:val="00C26B68"/>
    <w:rsid w:val="00C31E73"/>
    <w:rsid w:val="00C3305C"/>
    <w:rsid w:val="00C347BC"/>
    <w:rsid w:val="00C351AD"/>
    <w:rsid w:val="00C36ED7"/>
    <w:rsid w:val="00C373AA"/>
    <w:rsid w:val="00C37EB2"/>
    <w:rsid w:val="00C40DB1"/>
    <w:rsid w:val="00C42AC6"/>
    <w:rsid w:val="00C44F0D"/>
    <w:rsid w:val="00C5035E"/>
    <w:rsid w:val="00C51AB7"/>
    <w:rsid w:val="00C541F6"/>
    <w:rsid w:val="00C55D78"/>
    <w:rsid w:val="00C55E99"/>
    <w:rsid w:val="00C5662E"/>
    <w:rsid w:val="00C600A2"/>
    <w:rsid w:val="00C64751"/>
    <w:rsid w:val="00C7258E"/>
    <w:rsid w:val="00C729FF"/>
    <w:rsid w:val="00C73056"/>
    <w:rsid w:val="00C737AD"/>
    <w:rsid w:val="00C740A8"/>
    <w:rsid w:val="00C76BCB"/>
    <w:rsid w:val="00C81716"/>
    <w:rsid w:val="00C86C70"/>
    <w:rsid w:val="00C86EF9"/>
    <w:rsid w:val="00C90A2C"/>
    <w:rsid w:val="00C90EBE"/>
    <w:rsid w:val="00C914DF"/>
    <w:rsid w:val="00C91F66"/>
    <w:rsid w:val="00C949E7"/>
    <w:rsid w:val="00C966F1"/>
    <w:rsid w:val="00C96DC8"/>
    <w:rsid w:val="00CA10CD"/>
    <w:rsid w:val="00CA44EC"/>
    <w:rsid w:val="00CA4B5E"/>
    <w:rsid w:val="00CA54E1"/>
    <w:rsid w:val="00CB1046"/>
    <w:rsid w:val="00CB122D"/>
    <w:rsid w:val="00CB2BA5"/>
    <w:rsid w:val="00CB4A74"/>
    <w:rsid w:val="00CB570D"/>
    <w:rsid w:val="00CB7D0C"/>
    <w:rsid w:val="00CC46DF"/>
    <w:rsid w:val="00CC773B"/>
    <w:rsid w:val="00CC7AD6"/>
    <w:rsid w:val="00CD11F1"/>
    <w:rsid w:val="00CD14A2"/>
    <w:rsid w:val="00CD1F4F"/>
    <w:rsid w:val="00CD4D83"/>
    <w:rsid w:val="00CD5872"/>
    <w:rsid w:val="00CD69E8"/>
    <w:rsid w:val="00CD6C62"/>
    <w:rsid w:val="00CD7F3F"/>
    <w:rsid w:val="00CE088C"/>
    <w:rsid w:val="00CE183E"/>
    <w:rsid w:val="00CE1AC5"/>
    <w:rsid w:val="00CE3B4E"/>
    <w:rsid w:val="00CE4F2E"/>
    <w:rsid w:val="00CE6867"/>
    <w:rsid w:val="00CF1FE2"/>
    <w:rsid w:val="00CF215D"/>
    <w:rsid w:val="00CF3D0D"/>
    <w:rsid w:val="00CF457B"/>
    <w:rsid w:val="00CF685A"/>
    <w:rsid w:val="00CF68DD"/>
    <w:rsid w:val="00CF7EE0"/>
    <w:rsid w:val="00D0013E"/>
    <w:rsid w:val="00D0194D"/>
    <w:rsid w:val="00D10564"/>
    <w:rsid w:val="00D113E1"/>
    <w:rsid w:val="00D1690B"/>
    <w:rsid w:val="00D174B2"/>
    <w:rsid w:val="00D17801"/>
    <w:rsid w:val="00D179A6"/>
    <w:rsid w:val="00D2033A"/>
    <w:rsid w:val="00D20A30"/>
    <w:rsid w:val="00D20A97"/>
    <w:rsid w:val="00D220D1"/>
    <w:rsid w:val="00D26187"/>
    <w:rsid w:val="00D34BBD"/>
    <w:rsid w:val="00D351DE"/>
    <w:rsid w:val="00D3526B"/>
    <w:rsid w:val="00D35909"/>
    <w:rsid w:val="00D35BEF"/>
    <w:rsid w:val="00D36A70"/>
    <w:rsid w:val="00D424CA"/>
    <w:rsid w:val="00D430D7"/>
    <w:rsid w:val="00D431BD"/>
    <w:rsid w:val="00D44C6F"/>
    <w:rsid w:val="00D526FE"/>
    <w:rsid w:val="00D5620A"/>
    <w:rsid w:val="00D61530"/>
    <w:rsid w:val="00D63E74"/>
    <w:rsid w:val="00D64076"/>
    <w:rsid w:val="00D67024"/>
    <w:rsid w:val="00D71A63"/>
    <w:rsid w:val="00D728A3"/>
    <w:rsid w:val="00D75CC4"/>
    <w:rsid w:val="00D820B8"/>
    <w:rsid w:val="00D85900"/>
    <w:rsid w:val="00D8797B"/>
    <w:rsid w:val="00D908C4"/>
    <w:rsid w:val="00D92539"/>
    <w:rsid w:val="00D93931"/>
    <w:rsid w:val="00D945C0"/>
    <w:rsid w:val="00D94B50"/>
    <w:rsid w:val="00D96FFA"/>
    <w:rsid w:val="00D97AFB"/>
    <w:rsid w:val="00DA04ED"/>
    <w:rsid w:val="00DA1102"/>
    <w:rsid w:val="00DA27D6"/>
    <w:rsid w:val="00DA507F"/>
    <w:rsid w:val="00DA5434"/>
    <w:rsid w:val="00DA5705"/>
    <w:rsid w:val="00DB3337"/>
    <w:rsid w:val="00DB5BDF"/>
    <w:rsid w:val="00DB7206"/>
    <w:rsid w:val="00DC470A"/>
    <w:rsid w:val="00DC6020"/>
    <w:rsid w:val="00DC69C4"/>
    <w:rsid w:val="00DC6F91"/>
    <w:rsid w:val="00DC7AB3"/>
    <w:rsid w:val="00DD1C24"/>
    <w:rsid w:val="00DD217A"/>
    <w:rsid w:val="00DD7C68"/>
    <w:rsid w:val="00DE0EF5"/>
    <w:rsid w:val="00DE3CC2"/>
    <w:rsid w:val="00DE4FE5"/>
    <w:rsid w:val="00DE54C4"/>
    <w:rsid w:val="00DE67E6"/>
    <w:rsid w:val="00DF1EDE"/>
    <w:rsid w:val="00DF3D20"/>
    <w:rsid w:val="00E01D4D"/>
    <w:rsid w:val="00E01EAF"/>
    <w:rsid w:val="00E0200D"/>
    <w:rsid w:val="00E061CB"/>
    <w:rsid w:val="00E07E6C"/>
    <w:rsid w:val="00E111BE"/>
    <w:rsid w:val="00E141F2"/>
    <w:rsid w:val="00E16049"/>
    <w:rsid w:val="00E165D0"/>
    <w:rsid w:val="00E1770C"/>
    <w:rsid w:val="00E2157F"/>
    <w:rsid w:val="00E235D1"/>
    <w:rsid w:val="00E268F4"/>
    <w:rsid w:val="00E27272"/>
    <w:rsid w:val="00E27DA0"/>
    <w:rsid w:val="00E3042E"/>
    <w:rsid w:val="00E30627"/>
    <w:rsid w:val="00E30CA5"/>
    <w:rsid w:val="00E31D66"/>
    <w:rsid w:val="00E33172"/>
    <w:rsid w:val="00E40C82"/>
    <w:rsid w:val="00E414DA"/>
    <w:rsid w:val="00E42566"/>
    <w:rsid w:val="00E42DC4"/>
    <w:rsid w:val="00E43619"/>
    <w:rsid w:val="00E45270"/>
    <w:rsid w:val="00E45FAD"/>
    <w:rsid w:val="00E468E0"/>
    <w:rsid w:val="00E525EE"/>
    <w:rsid w:val="00E553AC"/>
    <w:rsid w:val="00E56EF8"/>
    <w:rsid w:val="00E6158A"/>
    <w:rsid w:val="00E62AE2"/>
    <w:rsid w:val="00E66D45"/>
    <w:rsid w:val="00E66E76"/>
    <w:rsid w:val="00E6744D"/>
    <w:rsid w:val="00E6765F"/>
    <w:rsid w:val="00E72781"/>
    <w:rsid w:val="00E74A47"/>
    <w:rsid w:val="00E76A7D"/>
    <w:rsid w:val="00E82967"/>
    <w:rsid w:val="00E82ACD"/>
    <w:rsid w:val="00E865A4"/>
    <w:rsid w:val="00E87EAA"/>
    <w:rsid w:val="00E92A70"/>
    <w:rsid w:val="00E92B3D"/>
    <w:rsid w:val="00E9345C"/>
    <w:rsid w:val="00E9548B"/>
    <w:rsid w:val="00E967C7"/>
    <w:rsid w:val="00EA0B1D"/>
    <w:rsid w:val="00EA3B42"/>
    <w:rsid w:val="00EA47A2"/>
    <w:rsid w:val="00EB11D6"/>
    <w:rsid w:val="00EB1852"/>
    <w:rsid w:val="00EB575E"/>
    <w:rsid w:val="00EC11A1"/>
    <w:rsid w:val="00ED18BE"/>
    <w:rsid w:val="00ED1CA7"/>
    <w:rsid w:val="00ED5155"/>
    <w:rsid w:val="00ED748F"/>
    <w:rsid w:val="00ED76B4"/>
    <w:rsid w:val="00EE2682"/>
    <w:rsid w:val="00EE3142"/>
    <w:rsid w:val="00EE426A"/>
    <w:rsid w:val="00EE7EA8"/>
    <w:rsid w:val="00EF03C9"/>
    <w:rsid w:val="00EF37C1"/>
    <w:rsid w:val="00EF4840"/>
    <w:rsid w:val="00EF538B"/>
    <w:rsid w:val="00EF6FBC"/>
    <w:rsid w:val="00EF7F14"/>
    <w:rsid w:val="00F00039"/>
    <w:rsid w:val="00F03DA5"/>
    <w:rsid w:val="00F05BC9"/>
    <w:rsid w:val="00F073D3"/>
    <w:rsid w:val="00F1052B"/>
    <w:rsid w:val="00F111AE"/>
    <w:rsid w:val="00F1393F"/>
    <w:rsid w:val="00F13CDE"/>
    <w:rsid w:val="00F1474B"/>
    <w:rsid w:val="00F17763"/>
    <w:rsid w:val="00F17770"/>
    <w:rsid w:val="00F212F6"/>
    <w:rsid w:val="00F21B97"/>
    <w:rsid w:val="00F23FCA"/>
    <w:rsid w:val="00F26933"/>
    <w:rsid w:val="00F32242"/>
    <w:rsid w:val="00F41029"/>
    <w:rsid w:val="00F41602"/>
    <w:rsid w:val="00F42265"/>
    <w:rsid w:val="00F453EF"/>
    <w:rsid w:val="00F471CA"/>
    <w:rsid w:val="00F52376"/>
    <w:rsid w:val="00F5346B"/>
    <w:rsid w:val="00F630CF"/>
    <w:rsid w:val="00F711DE"/>
    <w:rsid w:val="00F7210E"/>
    <w:rsid w:val="00F75559"/>
    <w:rsid w:val="00F76801"/>
    <w:rsid w:val="00F77276"/>
    <w:rsid w:val="00F77AC4"/>
    <w:rsid w:val="00F8152B"/>
    <w:rsid w:val="00F81D1F"/>
    <w:rsid w:val="00F9002D"/>
    <w:rsid w:val="00F9010E"/>
    <w:rsid w:val="00F90146"/>
    <w:rsid w:val="00F90B6D"/>
    <w:rsid w:val="00F92585"/>
    <w:rsid w:val="00F92C9C"/>
    <w:rsid w:val="00F96293"/>
    <w:rsid w:val="00FA600B"/>
    <w:rsid w:val="00FA64CE"/>
    <w:rsid w:val="00FA7406"/>
    <w:rsid w:val="00FB42C6"/>
    <w:rsid w:val="00FB4671"/>
    <w:rsid w:val="00FB6943"/>
    <w:rsid w:val="00FB69E3"/>
    <w:rsid w:val="00FB69EA"/>
    <w:rsid w:val="00FB6E7B"/>
    <w:rsid w:val="00FC0E29"/>
    <w:rsid w:val="00FC21CE"/>
    <w:rsid w:val="00FC3F89"/>
    <w:rsid w:val="00FD1D77"/>
    <w:rsid w:val="00FD3186"/>
    <w:rsid w:val="00FD33B9"/>
    <w:rsid w:val="00FD5E98"/>
    <w:rsid w:val="00FD79E0"/>
    <w:rsid w:val="00FE3CA9"/>
    <w:rsid w:val="00FE6B28"/>
    <w:rsid w:val="00FE731D"/>
    <w:rsid w:val="00FF100D"/>
    <w:rsid w:val="00FF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D15EA"/>
  <w15:chartTrackingRefBased/>
  <w15:docId w15:val="{344792C3-731A-492A-A7C6-F9A65B0F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B11"/>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797"/>
    <w:pPr>
      <w:ind w:left="720"/>
      <w:contextualSpacing/>
    </w:pPr>
  </w:style>
  <w:style w:type="table" w:styleId="TableGrid">
    <w:name w:val="Table Grid"/>
    <w:basedOn w:val="TableNormal"/>
    <w:uiPriority w:val="59"/>
    <w:rsid w:val="00A92797"/>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B49D6"/>
  </w:style>
  <w:style w:type="paragraph" w:styleId="NoSpacing">
    <w:name w:val="No Spacing"/>
    <w:basedOn w:val="Normal"/>
    <w:link w:val="NoSpacingChar"/>
    <w:uiPriority w:val="1"/>
    <w:qFormat/>
    <w:rsid w:val="001B49D6"/>
    <w:pPr>
      <w:spacing w:before="0" w:after="0" w:line="240" w:lineRule="auto"/>
      <w:jc w:val="left"/>
    </w:pPr>
    <w:rPr>
      <w:sz w:val="22"/>
      <w:lang w:val="en-US"/>
    </w:rPr>
  </w:style>
  <w:style w:type="paragraph" w:styleId="BalloonText">
    <w:name w:val="Balloon Text"/>
    <w:basedOn w:val="Normal"/>
    <w:link w:val="BalloonTextChar"/>
    <w:uiPriority w:val="99"/>
    <w:semiHidden/>
    <w:unhideWhenUsed/>
    <w:rsid w:val="00445D8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D"/>
    <w:rPr>
      <w:rFonts w:ascii="Segoe UI" w:hAnsi="Segoe UI" w:cs="Segoe UI"/>
      <w:sz w:val="18"/>
      <w:szCs w:val="18"/>
      <w:lang w:val="sr-Latn-ME"/>
    </w:rPr>
  </w:style>
  <w:style w:type="character" w:styleId="CommentReference">
    <w:name w:val="annotation reference"/>
    <w:basedOn w:val="DefaultParagraphFont"/>
    <w:uiPriority w:val="99"/>
    <w:semiHidden/>
    <w:unhideWhenUsed/>
    <w:rsid w:val="00D94B50"/>
    <w:rPr>
      <w:sz w:val="16"/>
      <w:szCs w:val="16"/>
    </w:rPr>
  </w:style>
  <w:style w:type="paragraph" w:styleId="CommentText">
    <w:name w:val="annotation text"/>
    <w:basedOn w:val="Normal"/>
    <w:link w:val="CommentTextChar"/>
    <w:uiPriority w:val="99"/>
    <w:semiHidden/>
    <w:unhideWhenUsed/>
    <w:rsid w:val="00D94B50"/>
    <w:pPr>
      <w:spacing w:line="240" w:lineRule="auto"/>
    </w:pPr>
    <w:rPr>
      <w:sz w:val="20"/>
      <w:szCs w:val="20"/>
    </w:rPr>
  </w:style>
  <w:style w:type="character" w:customStyle="1" w:styleId="CommentTextChar">
    <w:name w:val="Comment Text Char"/>
    <w:basedOn w:val="DefaultParagraphFont"/>
    <w:link w:val="CommentText"/>
    <w:uiPriority w:val="99"/>
    <w:semiHidden/>
    <w:rsid w:val="00D94B50"/>
    <w:rPr>
      <w:sz w:val="20"/>
      <w:szCs w:val="20"/>
      <w:lang w:val="sr-Latn-ME"/>
    </w:rPr>
  </w:style>
  <w:style w:type="paragraph" w:styleId="CommentSubject">
    <w:name w:val="annotation subject"/>
    <w:basedOn w:val="CommentText"/>
    <w:next w:val="CommentText"/>
    <w:link w:val="CommentSubjectChar"/>
    <w:uiPriority w:val="99"/>
    <w:semiHidden/>
    <w:unhideWhenUsed/>
    <w:rsid w:val="00D94B50"/>
    <w:rPr>
      <w:b/>
      <w:bCs/>
    </w:rPr>
  </w:style>
  <w:style w:type="character" w:customStyle="1" w:styleId="CommentSubjectChar">
    <w:name w:val="Comment Subject Char"/>
    <w:basedOn w:val="CommentTextChar"/>
    <w:link w:val="CommentSubject"/>
    <w:uiPriority w:val="99"/>
    <w:semiHidden/>
    <w:rsid w:val="00D94B50"/>
    <w:rPr>
      <w:b/>
      <w:bCs/>
      <w:sz w:val="20"/>
      <w:szCs w:val="20"/>
      <w:lang w:val="sr-Latn-ME"/>
    </w:rPr>
  </w:style>
  <w:style w:type="paragraph" w:customStyle="1" w:styleId="clan">
    <w:name w:val="clan"/>
    <w:basedOn w:val="Normal"/>
    <w:rsid w:val="004803F5"/>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Normal1">
    <w:name w:val="Normal1"/>
    <w:basedOn w:val="Normal"/>
    <w:rsid w:val="004803F5"/>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1tekst">
    <w:name w:val="_1tekst"/>
    <w:basedOn w:val="Normal"/>
    <w:rsid w:val="00567577"/>
    <w:pPr>
      <w:spacing w:before="0" w:after="0" w:line="240" w:lineRule="auto"/>
      <w:ind w:left="150" w:right="150" w:firstLine="240"/>
    </w:pPr>
    <w:rPr>
      <w:rFonts w:ascii="Times New Roman" w:eastAsiaTheme="minorEastAsia" w:hAnsi="Times New Roman" w:cs="Times New Roman"/>
      <w:noProof/>
      <w:sz w:val="23"/>
      <w:szCs w:val="23"/>
    </w:rPr>
  </w:style>
  <w:style w:type="paragraph" w:customStyle="1" w:styleId="8podpodnas">
    <w:name w:val="_8podpodnas"/>
    <w:basedOn w:val="Normal"/>
    <w:rsid w:val="00567577"/>
    <w:pPr>
      <w:spacing w:before="240" w:after="240" w:line="240" w:lineRule="auto"/>
      <w:jc w:val="center"/>
    </w:pPr>
    <w:rPr>
      <w:rFonts w:ascii="Times New Roman" w:eastAsiaTheme="minorEastAsia" w:hAnsi="Times New Roman" w:cs="Times New Roman"/>
      <w:i/>
      <w:iCs/>
      <w:noProof/>
      <w:sz w:val="27"/>
      <w:szCs w:val="27"/>
    </w:rPr>
  </w:style>
  <w:style w:type="paragraph" w:customStyle="1" w:styleId="7podnas">
    <w:name w:val="_7podnas"/>
    <w:basedOn w:val="Normal"/>
    <w:rsid w:val="006E6257"/>
    <w:pPr>
      <w:spacing w:before="60" w:after="0" w:line="240" w:lineRule="auto"/>
      <w:jc w:val="center"/>
    </w:pPr>
    <w:rPr>
      <w:rFonts w:ascii="Times New Roman" w:eastAsiaTheme="minorEastAsia" w:hAnsi="Times New Roman" w:cs="Times New Roman"/>
      <w:b/>
      <w:bCs/>
      <w:noProof/>
      <w:sz w:val="27"/>
      <w:szCs w:val="27"/>
    </w:rPr>
  </w:style>
  <w:style w:type="paragraph" w:styleId="Header">
    <w:name w:val="header"/>
    <w:basedOn w:val="Normal"/>
    <w:link w:val="HeaderChar"/>
    <w:uiPriority w:val="99"/>
    <w:unhideWhenUsed/>
    <w:rsid w:val="005A30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A3036"/>
    <w:rPr>
      <w:sz w:val="24"/>
      <w:lang w:val="sr-Latn-ME"/>
    </w:rPr>
  </w:style>
  <w:style w:type="paragraph" w:styleId="Footer">
    <w:name w:val="footer"/>
    <w:basedOn w:val="Normal"/>
    <w:link w:val="FooterChar"/>
    <w:uiPriority w:val="99"/>
    <w:unhideWhenUsed/>
    <w:rsid w:val="005A30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A3036"/>
    <w:rPr>
      <w:sz w:val="24"/>
      <w:lang w:val="sr-Latn-ME"/>
    </w:rPr>
  </w:style>
  <w:style w:type="paragraph" w:styleId="Title">
    <w:name w:val="Title"/>
    <w:basedOn w:val="Normal"/>
    <w:next w:val="Normal"/>
    <w:link w:val="TitleChar"/>
    <w:uiPriority w:val="10"/>
    <w:qFormat/>
    <w:rsid w:val="005A3036"/>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5A3036"/>
    <w:rPr>
      <w:rFonts w:ascii="Calibri" w:eastAsia="Times New Roman" w:hAnsi="Calibri" w:cs="Times New Roman"/>
      <w:noProof/>
      <w:spacing w:val="-10"/>
      <w:kern w:val="28"/>
      <w:sz w:val="28"/>
      <w:szCs w:val="40"/>
    </w:rPr>
  </w:style>
  <w:style w:type="paragraph" w:styleId="NormalWeb">
    <w:name w:val="Normal (Web)"/>
    <w:basedOn w:val="Normal"/>
    <w:uiPriority w:val="99"/>
    <w:unhideWhenUsed/>
    <w:rsid w:val="00960564"/>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4clan">
    <w:name w:val="_4clan"/>
    <w:basedOn w:val="Normal"/>
    <w:rsid w:val="001F25E9"/>
    <w:pPr>
      <w:spacing w:before="240" w:after="240" w:line="240" w:lineRule="auto"/>
      <w:jc w:val="center"/>
    </w:pPr>
    <w:rPr>
      <w:rFonts w:ascii="Tahoma" w:eastAsiaTheme="minorEastAsia" w:hAnsi="Tahoma" w:cs="Tahoma"/>
      <w:b/>
      <w:bCs/>
      <w:szCs w:val="24"/>
      <w:lang w:val="en-US"/>
    </w:rPr>
  </w:style>
  <w:style w:type="paragraph" w:customStyle="1" w:styleId="Default">
    <w:name w:val="Default"/>
    <w:rsid w:val="0098411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B249C"/>
    <w:rPr>
      <w:color w:val="0563C1" w:themeColor="hyperlink"/>
      <w:u w:val="single"/>
    </w:rPr>
  </w:style>
  <w:style w:type="paragraph" w:styleId="FootnoteText">
    <w:name w:val="footnote text"/>
    <w:basedOn w:val="Normal"/>
    <w:link w:val="FootnoteTextChar"/>
    <w:uiPriority w:val="99"/>
    <w:semiHidden/>
    <w:unhideWhenUsed/>
    <w:rsid w:val="00EF538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F538B"/>
    <w:rPr>
      <w:sz w:val="20"/>
      <w:szCs w:val="20"/>
      <w:lang w:val="sr-Latn-ME"/>
    </w:rPr>
  </w:style>
  <w:style w:type="character" w:styleId="FootnoteReference">
    <w:name w:val="footnote reference"/>
    <w:basedOn w:val="DefaultParagraphFont"/>
    <w:uiPriority w:val="99"/>
    <w:semiHidden/>
    <w:unhideWhenUsed/>
    <w:rsid w:val="00EF53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2820">
      <w:bodyDiv w:val="1"/>
      <w:marLeft w:val="0"/>
      <w:marRight w:val="0"/>
      <w:marTop w:val="0"/>
      <w:marBottom w:val="0"/>
      <w:divBdr>
        <w:top w:val="none" w:sz="0" w:space="0" w:color="auto"/>
        <w:left w:val="none" w:sz="0" w:space="0" w:color="auto"/>
        <w:bottom w:val="none" w:sz="0" w:space="0" w:color="auto"/>
        <w:right w:val="none" w:sz="0" w:space="0" w:color="auto"/>
      </w:divBdr>
    </w:div>
    <w:div w:id="78329328">
      <w:bodyDiv w:val="1"/>
      <w:marLeft w:val="0"/>
      <w:marRight w:val="0"/>
      <w:marTop w:val="0"/>
      <w:marBottom w:val="0"/>
      <w:divBdr>
        <w:top w:val="none" w:sz="0" w:space="0" w:color="auto"/>
        <w:left w:val="none" w:sz="0" w:space="0" w:color="auto"/>
        <w:bottom w:val="none" w:sz="0" w:space="0" w:color="auto"/>
        <w:right w:val="none" w:sz="0" w:space="0" w:color="auto"/>
      </w:divBdr>
    </w:div>
    <w:div w:id="282615291">
      <w:bodyDiv w:val="1"/>
      <w:marLeft w:val="0"/>
      <w:marRight w:val="0"/>
      <w:marTop w:val="0"/>
      <w:marBottom w:val="0"/>
      <w:divBdr>
        <w:top w:val="none" w:sz="0" w:space="0" w:color="auto"/>
        <w:left w:val="none" w:sz="0" w:space="0" w:color="auto"/>
        <w:bottom w:val="none" w:sz="0" w:space="0" w:color="auto"/>
        <w:right w:val="none" w:sz="0" w:space="0" w:color="auto"/>
      </w:divBdr>
    </w:div>
    <w:div w:id="287401043">
      <w:bodyDiv w:val="1"/>
      <w:marLeft w:val="0"/>
      <w:marRight w:val="0"/>
      <w:marTop w:val="0"/>
      <w:marBottom w:val="0"/>
      <w:divBdr>
        <w:top w:val="none" w:sz="0" w:space="0" w:color="auto"/>
        <w:left w:val="none" w:sz="0" w:space="0" w:color="auto"/>
        <w:bottom w:val="none" w:sz="0" w:space="0" w:color="auto"/>
        <w:right w:val="none" w:sz="0" w:space="0" w:color="auto"/>
      </w:divBdr>
    </w:div>
    <w:div w:id="294795579">
      <w:bodyDiv w:val="1"/>
      <w:marLeft w:val="0"/>
      <w:marRight w:val="0"/>
      <w:marTop w:val="0"/>
      <w:marBottom w:val="0"/>
      <w:divBdr>
        <w:top w:val="none" w:sz="0" w:space="0" w:color="auto"/>
        <w:left w:val="none" w:sz="0" w:space="0" w:color="auto"/>
        <w:bottom w:val="none" w:sz="0" w:space="0" w:color="auto"/>
        <w:right w:val="none" w:sz="0" w:space="0" w:color="auto"/>
      </w:divBdr>
    </w:div>
    <w:div w:id="373316028">
      <w:bodyDiv w:val="1"/>
      <w:marLeft w:val="0"/>
      <w:marRight w:val="0"/>
      <w:marTop w:val="0"/>
      <w:marBottom w:val="0"/>
      <w:divBdr>
        <w:top w:val="none" w:sz="0" w:space="0" w:color="auto"/>
        <w:left w:val="none" w:sz="0" w:space="0" w:color="auto"/>
        <w:bottom w:val="none" w:sz="0" w:space="0" w:color="auto"/>
        <w:right w:val="none" w:sz="0" w:space="0" w:color="auto"/>
      </w:divBdr>
    </w:div>
    <w:div w:id="415248120">
      <w:bodyDiv w:val="1"/>
      <w:marLeft w:val="0"/>
      <w:marRight w:val="0"/>
      <w:marTop w:val="0"/>
      <w:marBottom w:val="0"/>
      <w:divBdr>
        <w:top w:val="none" w:sz="0" w:space="0" w:color="auto"/>
        <w:left w:val="none" w:sz="0" w:space="0" w:color="auto"/>
        <w:bottom w:val="none" w:sz="0" w:space="0" w:color="auto"/>
        <w:right w:val="none" w:sz="0" w:space="0" w:color="auto"/>
      </w:divBdr>
    </w:div>
    <w:div w:id="436366647">
      <w:bodyDiv w:val="1"/>
      <w:marLeft w:val="0"/>
      <w:marRight w:val="0"/>
      <w:marTop w:val="0"/>
      <w:marBottom w:val="0"/>
      <w:divBdr>
        <w:top w:val="none" w:sz="0" w:space="0" w:color="auto"/>
        <w:left w:val="none" w:sz="0" w:space="0" w:color="auto"/>
        <w:bottom w:val="none" w:sz="0" w:space="0" w:color="auto"/>
        <w:right w:val="none" w:sz="0" w:space="0" w:color="auto"/>
      </w:divBdr>
    </w:div>
    <w:div w:id="556354532">
      <w:bodyDiv w:val="1"/>
      <w:marLeft w:val="0"/>
      <w:marRight w:val="0"/>
      <w:marTop w:val="0"/>
      <w:marBottom w:val="0"/>
      <w:divBdr>
        <w:top w:val="none" w:sz="0" w:space="0" w:color="auto"/>
        <w:left w:val="none" w:sz="0" w:space="0" w:color="auto"/>
        <w:bottom w:val="none" w:sz="0" w:space="0" w:color="auto"/>
        <w:right w:val="none" w:sz="0" w:space="0" w:color="auto"/>
      </w:divBdr>
    </w:div>
    <w:div w:id="573399537">
      <w:bodyDiv w:val="1"/>
      <w:marLeft w:val="0"/>
      <w:marRight w:val="0"/>
      <w:marTop w:val="0"/>
      <w:marBottom w:val="0"/>
      <w:divBdr>
        <w:top w:val="none" w:sz="0" w:space="0" w:color="auto"/>
        <w:left w:val="none" w:sz="0" w:space="0" w:color="auto"/>
        <w:bottom w:val="none" w:sz="0" w:space="0" w:color="auto"/>
        <w:right w:val="none" w:sz="0" w:space="0" w:color="auto"/>
      </w:divBdr>
    </w:div>
    <w:div w:id="576090476">
      <w:bodyDiv w:val="1"/>
      <w:marLeft w:val="0"/>
      <w:marRight w:val="0"/>
      <w:marTop w:val="0"/>
      <w:marBottom w:val="0"/>
      <w:divBdr>
        <w:top w:val="none" w:sz="0" w:space="0" w:color="auto"/>
        <w:left w:val="none" w:sz="0" w:space="0" w:color="auto"/>
        <w:bottom w:val="none" w:sz="0" w:space="0" w:color="auto"/>
        <w:right w:val="none" w:sz="0" w:space="0" w:color="auto"/>
      </w:divBdr>
    </w:div>
    <w:div w:id="604650750">
      <w:bodyDiv w:val="1"/>
      <w:marLeft w:val="0"/>
      <w:marRight w:val="0"/>
      <w:marTop w:val="0"/>
      <w:marBottom w:val="0"/>
      <w:divBdr>
        <w:top w:val="none" w:sz="0" w:space="0" w:color="auto"/>
        <w:left w:val="none" w:sz="0" w:space="0" w:color="auto"/>
        <w:bottom w:val="none" w:sz="0" w:space="0" w:color="auto"/>
        <w:right w:val="none" w:sz="0" w:space="0" w:color="auto"/>
      </w:divBdr>
    </w:div>
    <w:div w:id="660079654">
      <w:bodyDiv w:val="1"/>
      <w:marLeft w:val="0"/>
      <w:marRight w:val="0"/>
      <w:marTop w:val="0"/>
      <w:marBottom w:val="0"/>
      <w:divBdr>
        <w:top w:val="none" w:sz="0" w:space="0" w:color="auto"/>
        <w:left w:val="none" w:sz="0" w:space="0" w:color="auto"/>
        <w:bottom w:val="none" w:sz="0" w:space="0" w:color="auto"/>
        <w:right w:val="none" w:sz="0" w:space="0" w:color="auto"/>
      </w:divBdr>
    </w:div>
    <w:div w:id="690109623">
      <w:bodyDiv w:val="1"/>
      <w:marLeft w:val="0"/>
      <w:marRight w:val="0"/>
      <w:marTop w:val="0"/>
      <w:marBottom w:val="0"/>
      <w:divBdr>
        <w:top w:val="none" w:sz="0" w:space="0" w:color="auto"/>
        <w:left w:val="none" w:sz="0" w:space="0" w:color="auto"/>
        <w:bottom w:val="none" w:sz="0" w:space="0" w:color="auto"/>
        <w:right w:val="none" w:sz="0" w:space="0" w:color="auto"/>
      </w:divBdr>
    </w:div>
    <w:div w:id="712265162">
      <w:bodyDiv w:val="1"/>
      <w:marLeft w:val="0"/>
      <w:marRight w:val="0"/>
      <w:marTop w:val="0"/>
      <w:marBottom w:val="0"/>
      <w:divBdr>
        <w:top w:val="none" w:sz="0" w:space="0" w:color="auto"/>
        <w:left w:val="none" w:sz="0" w:space="0" w:color="auto"/>
        <w:bottom w:val="none" w:sz="0" w:space="0" w:color="auto"/>
        <w:right w:val="none" w:sz="0" w:space="0" w:color="auto"/>
      </w:divBdr>
    </w:div>
    <w:div w:id="729157106">
      <w:bodyDiv w:val="1"/>
      <w:marLeft w:val="0"/>
      <w:marRight w:val="0"/>
      <w:marTop w:val="0"/>
      <w:marBottom w:val="0"/>
      <w:divBdr>
        <w:top w:val="none" w:sz="0" w:space="0" w:color="auto"/>
        <w:left w:val="none" w:sz="0" w:space="0" w:color="auto"/>
        <w:bottom w:val="none" w:sz="0" w:space="0" w:color="auto"/>
        <w:right w:val="none" w:sz="0" w:space="0" w:color="auto"/>
      </w:divBdr>
    </w:div>
    <w:div w:id="860973983">
      <w:bodyDiv w:val="1"/>
      <w:marLeft w:val="0"/>
      <w:marRight w:val="0"/>
      <w:marTop w:val="0"/>
      <w:marBottom w:val="0"/>
      <w:divBdr>
        <w:top w:val="none" w:sz="0" w:space="0" w:color="auto"/>
        <w:left w:val="none" w:sz="0" w:space="0" w:color="auto"/>
        <w:bottom w:val="none" w:sz="0" w:space="0" w:color="auto"/>
        <w:right w:val="none" w:sz="0" w:space="0" w:color="auto"/>
      </w:divBdr>
    </w:div>
    <w:div w:id="871579354">
      <w:bodyDiv w:val="1"/>
      <w:marLeft w:val="0"/>
      <w:marRight w:val="0"/>
      <w:marTop w:val="0"/>
      <w:marBottom w:val="0"/>
      <w:divBdr>
        <w:top w:val="none" w:sz="0" w:space="0" w:color="auto"/>
        <w:left w:val="none" w:sz="0" w:space="0" w:color="auto"/>
        <w:bottom w:val="none" w:sz="0" w:space="0" w:color="auto"/>
        <w:right w:val="none" w:sz="0" w:space="0" w:color="auto"/>
      </w:divBdr>
    </w:div>
    <w:div w:id="903493487">
      <w:bodyDiv w:val="1"/>
      <w:marLeft w:val="0"/>
      <w:marRight w:val="0"/>
      <w:marTop w:val="0"/>
      <w:marBottom w:val="0"/>
      <w:divBdr>
        <w:top w:val="none" w:sz="0" w:space="0" w:color="auto"/>
        <w:left w:val="none" w:sz="0" w:space="0" w:color="auto"/>
        <w:bottom w:val="none" w:sz="0" w:space="0" w:color="auto"/>
        <w:right w:val="none" w:sz="0" w:space="0" w:color="auto"/>
      </w:divBdr>
    </w:div>
    <w:div w:id="923412509">
      <w:bodyDiv w:val="1"/>
      <w:marLeft w:val="0"/>
      <w:marRight w:val="0"/>
      <w:marTop w:val="0"/>
      <w:marBottom w:val="0"/>
      <w:divBdr>
        <w:top w:val="none" w:sz="0" w:space="0" w:color="auto"/>
        <w:left w:val="none" w:sz="0" w:space="0" w:color="auto"/>
        <w:bottom w:val="none" w:sz="0" w:space="0" w:color="auto"/>
        <w:right w:val="none" w:sz="0" w:space="0" w:color="auto"/>
      </w:divBdr>
      <w:divsChild>
        <w:div w:id="1362974477">
          <w:marLeft w:val="0"/>
          <w:marRight w:val="0"/>
          <w:marTop w:val="240"/>
          <w:marBottom w:val="240"/>
          <w:divBdr>
            <w:top w:val="none" w:sz="0" w:space="0" w:color="auto"/>
            <w:left w:val="none" w:sz="0" w:space="0" w:color="auto"/>
            <w:bottom w:val="none" w:sz="0" w:space="0" w:color="auto"/>
            <w:right w:val="none" w:sz="0" w:space="0" w:color="auto"/>
          </w:divBdr>
          <w:divsChild>
            <w:div w:id="807942810">
              <w:marLeft w:val="0"/>
              <w:marRight w:val="0"/>
              <w:marTop w:val="0"/>
              <w:marBottom w:val="0"/>
              <w:divBdr>
                <w:top w:val="none" w:sz="0" w:space="0" w:color="auto"/>
                <w:left w:val="none" w:sz="0" w:space="0" w:color="auto"/>
                <w:bottom w:val="none" w:sz="0" w:space="0" w:color="auto"/>
                <w:right w:val="none" w:sz="0" w:space="0" w:color="auto"/>
              </w:divBdr>
              <w:divsChild>
                <w:div w:id="394593465">
                  <w:marLeft w:val="0"/>
                  <w:marRight w:val="0"/>
                  <w:marTop w:val="0"/>
                  <w:marBottom w:val="0"/>
                  <w:divBdr>
                    <w:top w:val="none" w:sz="0" w:space="0" w:color="auto"/>
                    <w:left w:val="none" w:sz="0" w:space="0" w:color="auto"/>
                    <w:bottom w:val="none" w:sz="0" w:space="0" w:color="auto"/>
                    <w:right w:val="none" w:sz="0" w:space="0" w:color="auto"/>
                  </w:divBdr>
                  <w:divsChild>
                    <w:div w:id="11810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93337">
      <w:bodyDiv w:val="1"/>
      <w:marLeft w:val="0"/>
      <w:marRight w:val="0"/>
      <w:marTop w:val="0"/>
      <w:marBottom w:val="0"/>
      <w:divBdr>
        <w:top w:val="none" w:sz="0" w:space="0" w:color="auto"/>
        <w:left w:val="none" w:sz="0" w:space="0" w:color="auto"/>
        <w:bottom w:val="none" w:sz="0" w:space="0" w:color="auto"/>
        <w:right w:val="none" w:sz="0" w:space="0" w:color="auto"/>
      </w:divBdr>
    </w:div>
    <w:div w:id="945581718">
      <w:bodyDiv w:val="1"/>
      <w:marLeft w:val="0"/>
      <w:marRight w:val="0"/>
      <w:marTop w:val="0"/>
      <w:marBottom w:val="0"/>
      <w:divBdr>
        <w:top w:val="none" w:sz="0" w:space="0" w:color="auto"/>
        <w:left w:val="none" w:sz="0" w:space="0" w:color="auto"/>
        <w:bottom w:val="none" w:sz="0" w:space="0" w:color="auto"/>
        <w:right w:val="none" w:sz="0" w:space="0" w:color="auto"/>
      </w:divBdr>
    </w:div>
    <w:div w:id="970940849">
      <w:bodyDiv w:val="1"/>
      <w:marLeft w:val="0"/>
      <w:marRight w:val="0"/>
      <w:marTop w:val="0"/>
      <w:marBottom w:val="0"/>
      <w:divBdr>
        <w:top w:val="none" w:sz="0" w:space="0" w:color="auto"/>
        <w:left w:val="none" w:sz="0" w:space="0" w:color="auto"/>
        <w:bottom w:val="none" w:sz="0" w:space="0" w:color="auto"/>
        <w:right w:val="none" w:sz="0" w:space="0" w:color="auto"/>
      </w:divBdr>
    </w:div>
    <w:div w:id="1008605539">
      <w:bodyDiv w:val="1"/>
      <w:marLeft w:val="0"/>
      <w:marRight w:val="0"/>
      <w:marTop w:val="0"/>
      <w:marBottom w:val="0"/>
      <w:divBdr>
        <w:top w:val="none" w:sz="0" w:space="0" w:color="auto"/>
        <w:left w:val="none" w:sz="0" w:space="0" w:color="auto"/>
        <w:bottom w:val="none" w:sz="0" w:space="0" w:color="auto"/>
        <w:right w:val="none" w:sz="0" w:space="0" w:color="auto"/>
      </w:divBdr>
    </w:div>
    <w:div w:id="1027565447">
      <w:bodyDiv w:val="1"/>
      <w:marLeft w:val="0"/>
      <w:marRight w:val="0"/>
      <w:marTop w:val="0"/>
      <w:marBottom w:val="0"/>
      <w:divBdr>
        <w:top w:val="none" w:sz="0" w:space="0" w:color="auto"/>
        <w:left w:val="none" w:sz="0" w:space="0" w:color="auto"/>
        <w:bottom w:val="none" w:sz="0" w:space="0" w:color="auto"/>
        <w:right w:val="none" w:sz="0" w:space="0" w:color="auto"/>
      </w:divBdr>
    </w:div>
    <w:div w:id="1077291709">
      <w:bodyDiv w:val="1"/>
      <w:marLeft w:val="0"/>
      <w:marRight w:val="0"/>
      <w:marTop w:val="0"/>
      <w:marBottom w:val="0"/>
      <w:divBdr>
        <w:top w:val="none" w:sz="0" w:space="0" w:color="auto"/>
        <w:left w:val="none" w:sz="0" w:space="0" w:color="auto"/>
        <w:bottom w:val="none" w:sz="0" w:space="0" w:color="auto"/>
        <w:right w:val="none" w:sz="0" w:space="0" w:color="auto"/>
      </w:divBdr>
    </w:div>
    <w:div w:id="1141073620">
      <w:bodyDiv w:val="1"/>
      <w:marLeft w:val="0"/>
      <w:marRight w:val="0"/>
      <w:marTop w:val="0"/>
      <w:marBottom w:val="0"/>
      <w:divBdr>
        <w:top w:val="none" w:sz="0" w:space="0" w:color="auto"/>
        <w:left w:val="none" w:sz="0" w:space="0" w:color="auto"/>
        <w:bottom w:val="none" w:sz="0" w:space="0" w:color="auto"/>
        <w:right w:val="none" w:sz="0" w:space="0" w:color="auto"/>
      </w:divBdr>
    </w:div>
    <w:div w:id="1178426588">
      <w:bodyDiv w:val="1"/>
      <w:marLeft w:val="0"/>
      <w:marRight w:val="0"/>
      <w:marTop w:val="0"/>
      <w:marBottom w:val="0"/>
      <w:divBdr>
        <w:top w:val="none" w:sz="0" w:space="0" w:color="auto"/>
        <w:left w:val="none" w:sz="0" w:space="0" w:color="auto"/>
        <w:bottom w:val="none" w:sz="0" w:space="0" w:color="auto"/>
        <w:right w:val="none" w:sz="0" w:space="0" w:color="auto"/>
      </w:divBdr>
    </w:div>
    <w:div w:id="1209344473">
      <w:bodyDiv w:val="1"/>
      <w:marLeft w:val="0"/>
      <w:marRight w:val="0"/>
      <w:marTop w:val="0"/>
      <w:marBottom w:val="0"/>
      <w:divBdr>
        <w:top w:val="none" w:sz="0" w:space="0" w:color="auto"/>
        <w:left w:val="none" w:sz="0" w:space="0" w:color="auto"/>
        <w:bottom w:val="none" w:sz="0" w:space="0" w:color="auto"/>
        <w:right w:val="none" w:sz="0" w:space="0" w:color="auto"/>
      </w:divBdr>
    </w:div>
    <w:div w:id="1248614879">
      <w:bodyDiv w:val="1"/>
      <w:marLeft w:val="0"/>
      <w:marRight w:val="0"/>
      <w:marTop w:val="0"/>
      <w:marBottom w:val="0"/>
      <w:divBdr>
        <w:top w:val="none" w:sz="0" w:space="0" w:color="auto"/>
        <w:left w:val="none" w:sz="0" w:space="0" w:color="auto"/>
        <w:bottom w:val="none" w:sz="0" w:space="0" w:color="auto"/>
        <w:right w:val="none" w:sz="0" w:space="0" w:color="auto"/>
      </w:divBdr>
    </w:div>
    <w:div w:id="1254583653">
      <w:bodyDiv w:val="1"/>
      <w:marLeft w:val="0"/>
      <w:marRight w:val="0"/>
      <w:marTop w:val="0"/>
      <w:marBottom w:val="0"/>
      <w:divBdr>
        <w:top w:val="none" w:sz="0" w:space="0" w:color="auto"/>
        <w:left w:val="none" w:sz="0" w:space="0" w:color="auto"/>
        <w:bottom w:val="none" w:sz="0" w:space="0" w:color="auto"/>
        <w:right w:val="none" w:sz="0" w:space="0" w:color="auto"/>
      </w:divBdr>
    </w:div>
    <w:div w:id="1327594210">
      <w:bodyDiv w:val="1"/>
      <w:marLeft w:val="0"/>
      <w:marRight w:val="0"/>
      <w:marTop w:val="0"/>
      <w:marBottom w:val="0"/>
      <w:divBdr>
        <w:top w:val="none" w:sz="0" w:space="0" w:color="auto"/>
        <w:left w:val="none" w:sz="0" w:space="0" w:color="auto"/>
        <w:bottom w:val="none" w:sz="0" w:space="0" w:color="auto"/>
        <w:right w:val="none" w:sz="0" w:space="0" w:color="auto"/>
      </w:divBdr>
    </w:div>
    <w:div w:id="1399864649">
      <w:bodyDiv w:val="1"/>
      <w:marLeft w:val="0"/>
      <w:marRight w:val="0"/>
      <w:marTop w:val="0"/>
      <w:marBottom w:val="0"/>
      <w:divBdr>
        <w:top w:val="none" w:sz="0" w:space="0" w:color="auto"/>
        <w:left w:val="none" w:sz="0" w:space="0" w:color="auto"/>
        <w:bottom w:val="none" w:sz="0" w:space="0" w:color="auto"/>
        <w:right w:val="none" w:sz="0" w:space="0" w:color="auto"/>
      </w:divBdr>
    </w:div>
    <w:div w:id="1408263507">
      <w:bodyDiv w:val="1"/>
      <w:marLeft w:val="0"/>
      <w:marRight w:val="0"/>
      <w:marTop w:val="0"/>
      <w:marBottom w:val="0"/>
      <w:divBdr>
        <w:top w:val="none" w:sz="0" w:space="0" w:color="auto"/>
        <w:left w:val="none" w:sz="0" w:space="0" w:color="auto"/>
        <w:bottom w:val="none" w:sz="0" w:space="0" w:color="auto"/>
        <w:right w:val="none" w:sz="0" w:space="0" w:color="auto"/>
      </w:divBdr>
    </w:div>
    <w:div w:id="1413119195">
      <w:bodyDiv w:val="1"/>
      <w:marLeft w:val="0"/>
      <w:marRight w:val="0"/>
      <w:marTop w:val="0"/>
      <w:marBottom w:val="0"/>
      <w:divBdr>
        <w:top w:val="none" w:sz="0" w:space="0" w:color="auto"/>
        <w:left w:val="none" w:sz="0" w:space="0" w:color="auto"/>
        <w:bottom w:val="none" w:sz="0" w:space="0" w:color="auto"/>
        <w:right w:val="none" w:sz="0" w:space="0" w:color="auto"/>
      </w:divBdr>
      <w:divsChild>
        <w:div w:id="529800161">
          <w:marLeft w:val="0"/>
          <w:marRight w:val="0"/>
          <w:marTop w:val="0"/>
          <w:marBottom w:val="0"/>
          <w:divBdr>
            <w:top w:val="none" w:sz="0" w:space="0" w:color="auto"/>
            <w:left w:val="none" w:sz="0" w:space="0" w:color="auto"/>
            <w:bottom w:val="none" w:sz="0" w:space="0" w:color="auto"/>
            <w:right w:val="none" w:sz="0" w:space="0" w:color="auto"/>
          </w:divBdr>
          <w:divsChild>
            <w:div w:id="1544945905">
              <w:marLeft w:val="0"/>
              <w:marRight w:val="0"/>
              <w:marTop w:val="0"/>
              <w:marBottom w:val="0"/>
              <w:divBdr>
                <w:top w:val="none" w:sz="0" w:space="0" w:color="auto"/>
                <w:left w:val="none" w:sz="0" w:space="0" w:color="auto"/>
                <w:bottom w:val="none" w:sz="0" w:space="0" w:color="auto"/>
                <w:right w:val="none" w:sz="0" w:space="0" w:color="auto"/>
              </w:divBdr>
            </w:div>
          </w:divsChild>
        </w:div>
        <w:div w:id="1727296536">
          <w:marLeft w:val="0"/>
          <w:marRight w:val="0"/>
          <w:marTop w:val="0"/>
          <w:marBottom w:val="0"/>
          <w:divBdr>
            <w:top w:val="none" w:sz="0" w:space="0" w:color="auto"/>
            <w:left w:val="none" w:sz="0" w:space="0" w:color="auto"/>
            <w:bottom w:val="none" w:sz="0" w:space="0" w:color="auto"/>
            <w:right w:val="none" w:sz="0" w:space="0" w:color="auto"/>
          </w:divBdr>
          <w:divsChild>
            <w:div w:id="1070930928">
              <w:marLeft w:val="0"/>
              <w:marRight w:val="0"/>
              <w:marTop w:val="0"/>
              <w:marBottom w:val="0"/>
              <w:divBdr>
                <w:top w:val="none" w:sz="0" w:space="0" w:color="auto"/>
                <w:left w:val="none" w:sz="0" w:space="0" w:color="auto"/>
                <w:bottom w:val="none" w:sz="0" w:space="0" w:color="auto"/>
                <w:right w:val="none" w:sz="0" w:space="0" w:color="auto"/>
              </w:divBdr>
              <w:divsChild>
                <w:div w:id="103185806">
                  <w:marLeft w:val="0"/>
                  <w:marRight w:val="0"/>
                  <w:marTop w:val="0"/>
                  <w:marBottom w:val="0"/>
                  <w:divBdr>
                    <w:top w:val="none" w:sz="0" w:space="0" w:color="auto"/>
                    <w:left w:val="none" w:sz="0" w:space="0" w:color="auto"/>
                    <w:bottom w:val="none" w:sz="0" w:space="0" w:color="auto"/>
                    <w:right w:val="none" w:sz="0" w:space="0" w:color="auto"/>
                  </w:divBdr>
                </w:div>
                <w:div w:id="1558928030">
                  <w:marLeft w:val="300"/>
                  <w:marRight w:val="0"/>
                  <w:marTop w:val="0"/>
                  <w:marBottom w:val="0"/>
                  <w:divBdr>
                    <w:top w:val="none" w:sz="0" w:space="0" w:color="auto"/>
                    <w:left w:val="none" w:sz="0" w:space="0" w:color="auto"/>
                    <w:bottom w:val="none" w:sz="0" w:space="0" w:color="auto"/>
                    <w:right w:val="none" w:sz="0" w:space="0" w:color="auto"/>
                  </w:divBdr>
                </w:div>
                <w:div w:id="214899466">
                  <w:marLeft w:val="300"/>
                  <w:marRight w:val="0"/>
                  <w:marTop w:val="0"/>
                  <w:marBottom w:val="0"/>
                  <w:divBdr>
                    <w:top w:val="none" w:sz="0" w:space="0" w:color="auto"/>
                    <w:left w:val="none" w:sz="0" w:space="0" w:color="auto"/>
                    <w:bottom w:val="none" w:sz="0" w:space="0" w:color="auto"/>
                    <w:right w:val="none" w:sz="0" w:space="0" w:color="auto"/>
                  </w:divBdr>
                </w:div>
                <w:div w:id="1724524026">
                  <w:marLeft w:val="300"/>
                  <w:marRight w:val="0"/>
                  <w:marTop w:val="0"/>
                  <w:marBottom w:val="0"/>
                  <w:divBdr>
                    <w:top w:val="none" w:sz="0" w:space="0" w:color="auto"/>
                    <w:left w:val="none" w:sz="0" w:space="0" w:color="auto"/>
                    <w:bottom w:val="none" w:sz="0" w:space="0" w:color="auto"/>
                    <w:right w:val="none" w:sz="0" w:space="0" w:color="auto"/>
                  </w:divBdr>
                </w:div>
                <w:div w:id="2003501924">
                  <w:marLeft w:val="0"/>
                  <w:marRight w:val="0"/>
                  <w:marTop w:val="0"/>
                  <w:marBottom w:val="0"/>
                  <w:divBdr>
                    <w:top w:val="none" w:sz="0" w:space="0" w:color="auto"/>
                    <w:left w:val="none" w:sz="0" w:space="0" w:color="auto"/>
                    <w:bottom w:val="none" w:sz="0" w:space="0" w:color="auto"/>
                    <w:right w:val="none" w:sz="0" w:space="0" w:color="auto"/>
                  </w:divBdr>
                </w:div>
                <w:div w:id="755790218">
                  <w:marLeft w:val="60"/>
                  <w:marRight w:val="0"/>
                  <w:marTop w:val="0"/>
                  <w:marBottom w:val="0"/>
                  <w:divBdr>
                    <w:top w:val="none" w:sz="0" w:space="0" w:color="auto"/>
                    <w:left w:val="none" w:sz="0" w:space="0" w:color="auto"/>
                    <w:bottom w:val="none" w:sz="0" w:space="0" w:color="auto"/>
                    <w:right w:val="none" w:sz="0" w:space="0" w:color="auto"/>
                  </w:divBdr>
                </w:div>
              </w:divsChild>
            </w:div>
            <w:div w:id="1037781517">
              <w:marLeft w:val="0"/>
              <w:marRight w:val="0"/>
              <w:marTop w:val="0"/>
              <w:marBottom w:val="0"/>
              <w:divBdr>
                <w:top w:val="none" w:sz="0" w:space="0" w:color="auto"/>
                <w:left w:val="none" w:sz="0" w:space="0" w:color="auto"/>
                <w:bottom w:val="none" w:sz="0" w:space="0" w:color="auto"/>
                <w:right w:val="none" w:sz="0" w:space="0" w:color="auto"/>
              </w:divBdr>
              <w:divsChild>
                <w:div w:id="810631638">
                  <w:marLeft w:val="0"/>
                  <w:marRight w:val="0"/>
                  <w:marTop w:val="120"/>
                  <w:marBottom w:val="0"/>
                  <w:divBdr>
                    <w:top w:val="none" w:sz="0" w:space="0" w:color="auto"/>
                    <w:left w:val="none" w:sz="0" w:space="0" w:color="auto"/>
                    <w:bottom w:val="none" w:sz="0" w:space="0" w:color="auto"/>
                    <w:right w:val="none" w:sz="0" w:space="0" w:color="auto"/>
                  </w:divBdr>
                  <w:divsChild>
                    <w:div w:id="271674590">
                      <w:marLeft w:val="0"/>
                      <w:marRight w:val="0"/>
                      <w:marTop w:val="0"/>
                      <w:marBottom w:val="0"/>
                      <w:divBdr>
                        <w:top w:val="none" w:sz="0" w:space="0" w:color="auto"/>
                        <w:left w:val="none" w:sz="0" w:space="0" w:color="auto"/>
                        <w:bottom w:val="none" w:sz="0" w:space="0" w:color="auto"/>
                        <w:right w:val="none" w:sz="0" w:space="0" w:color="auto"/>
                      </w:divBdr>
                      <w:divsChild>
                        <w:div w:id="1805585519">
                          <w:marLeft w:val="0"/>
                          <w:marRight w:val="0"/>
                          <w:marTop w:val="0"/>
                          <w:marBottom w:val="0"/>
                          <w:divBdr>
                            <w:top w:val="none" w:sz="0" w:space="0" w:color="auto"/>
                            <w:left w:val="none" w:sz="0" w:space="0" w:color="auto"/>
                            <w:bottom w:val="none" w:sz="0" w:space="0" w:color="auto"/>
                            <w:right w:val="none" w:sz="0" w:space="0" w:color="auto"/>
                          </w:divBdr>
                          <w:divsChild>
                            <w:div w:id="1334839861">
                              <w:marLeft w:val="0"/>
                              <w:marRight w:val="0"/>
                              <w:marTop w:val="0"/>
                              <w:marBottom w:val="0"/>
                              <w:divBdr>
                                <w:top w:val="none" w:sz="0" w:space="0" w:color="auto"/>
                                <w:left w:val="none" w:sz="0" w:space="0" w:color="auto"/>
                                <w:bottom w:val="none" w:sz="0" w:space="0" w:color="auto"/>
                                <w:right w:val="none" w:sz="0" w:space="0" w:color="auto"/>
                              </w:divBdr>
                            </w:div>
                            <w:div w:id="341863722">
                              <w:marLeft w:val="0"/>
                              <w:marRight w:val="0"/>
                              <w:marTop w:val="0"/>
                              <w:marBottom w:val="0"/>
                              <w:divBdr>
                                <w:top w:val="none" w:sz="0" w:space="0" w:color="auto"/>
                                <w:left w:val="none" w:sz="0" w:space="0" w:color="auto"/>
                                <w:bottom w:val="none" w:sz="0" w:space="0" w:color="auto"/>
                                <w:right w:val="none" w:sz="0" w:space="0" w:color="auto"/>
                              </w:divBdr>
                            </w:div>
                            <w:div w:id="2103262472">
                              <w:marLeft w:val="0"/>
                              <w:marRight w:val="0"/>
                              <w:marTop w:val="0"/>
                              <w:marBottom w:val="0"/>
                              <w:divBdr>
                                <w:top w:val="none" w:sz="0" w:space="0" w:color="auto"/>
                                <w:left w:val="none" w:sz="0" w:space="0" w:color="auto"/>
                                <w:bottom w:val="none" w:sz="0" w:space="0" w:color="auto"/>
                                <w:right w:val="none" w:sz="0" w:space="0" w:color="auto"/>
                              </w:divBdr>
                            </w:div>
                            <w:div w:id="1828667877">
                              <w:marLeft w:val="0"/>
                              <w:marRight w:val="0"/>
                              <w:marTop w:val="0"/>
                              <w:marBottom w:val="0"/>
                              <w:divBdr>
                                <w:top w:val="none" w:sz="0" w:space="0" w:color="auto"/>
                                <w:left w:val="none" w:sz="0" w:space="0" w:color="auto"/>
                                <w:bottom w:val="none" w:sz="0" w:space="0" w:color="auto"/>
                                <w:right w:val="none" w:sz="0" w:space="0" w:color="auto"/>
                              </w:divBdr>
                            </w:div>
                            <w:div w:id="188570080">
                              <w:marLeft w:val="0"/>
                              <w:marRight w:val="0"/>
                              <w:marTop w:val="0"/>
                              <w:marBottom w:val="0"/>
                              <w:divBdr>
                                <w:top w:val="none" w:sz="0" w:space="0" w:color="auto"/>
                                <w:left w:val="none" w:sz="0" w:space="0" w:color="auto"/>
                                <w:bottom w:val="none" w:sz="0" w:space="0" w:color="auto"/>
                                <w:right w:val="none" w:sz="0" w:space="0" w:color="auto"/>
                              </w:divBdr>
                            </w:div>
                            <w:div w:id="271405734">
                              <w:marLeft w:val="0"/>
                              <w:marRight w:val="0"/>
                              <w:marTop w:val="0"/>
                              <w:marBottom w:val="0"/>
                              <w:divBdr>
                                <w:top w:val="none" w:sz="0" w:space="0" w:color="auto"/>
                                <w:left w:val="none" w:sz="0" w:space="0" w:color="auto"/>
                                <w:bottom w:val="none" w:sz="0" w:space="0" w:color="auto"/>
                                <w:right w:val="none" w:sz="0" w:space="0" w:color="auto"/>
                              </w:divBdr>
                            </w:div>
                            <w:div w:id="1259217400">
                              <w:marLeft w:val="0"/>
                              <w:marRight w:val="0"/>
                              <w:marTop w:val="0"/>
                              <w:marBottom w:val="0"/>
                              <w:divBdr>
                                <w:top w:val="none" w:sz="0" w:space="0" w:color="auto"/>
                                <w:left w:val="none" w:sz="0" w:space="0" w:color="auto"/>
                                <w:bottom w:val="none" w:sz="0" w:space="0" w:color="auto"/>
                                <w:right w:val="none" w:sz="0" w:space="0" w:color="auto"/>
                              </w:divBdr>
                            </w:div>
                            <w:div w:id="967246668">
                              <w:marLeft w:val="0"/>
                              <w:marRight w:val="0"/>
                              <w:marTop w:val="0"/>
                              <w:marBottom w:val="0"/>
                              <w:divBdr>
                                <w:top w:val="none" w:sz="0" w:space="0" w:color="auto"/>
                                <w:left w:val="none" w:sz="0" w:space="0" w:color="auto"/>
                                <w:bottom w:val="none" w:sz="0" w:space="0" w:color="auto"/>
                                <w:right w:val="none" w:sz="0" w:space="0" w:color="auto"/>
                              </w:divBdr>
                            </w:div>
                            <w:div w:id="1977375570">
                              <w:marLeft w:val="0"/>
                              <w:marRight w:val="0"/>
                              <w:marTop w:val="0"/>
                              <w:marBottom w:val="0"/>
                              <w:divBdr>
                                <w:top w:val="none" w:sz="0" w:space="0" w:color="auto"/>
                                <w:left w:val="none" w:sz="0" w:space="0" w:color="auto"/>
                                <w:bottom w:val="none" w:sz="0" w:space="0" w:color="auto"/>
                                <w:right w:val="none" w:sz="0" w:space="0" w:color="auto"/>
                              </w:divBdr>
                            </w:div>
                            <w:div w:id="1770157150">
                              <w:marLeft w:val="0"/>
                              <w:marRight w:val="0"/>
                              <w:marTop w:val="0"/>
                              <w:marBottom w:val="0"/>
                              <w:divBdr>
                                <w:top w:val="none" w:sz="0" w:space="0" w:color="auto"/>
                                <w:left w:val="none" w:sz="0" w:space="0" w:color="auto"/>
                                <w:bottom w:val="none" w:sz="0" w:space="0" w:color="auto"/>
                                <w:right w:val="none" w:sz="0" w:space="0" w:color="auto"/>
                              </w:divBdr>
                            </w:div>
                            <w:div w:id="1784569325">
                              <w:marLeft w:val="0"/>
                              <w:marRight w:val="0"/>
                              <w:marTop w:val="0"/>
                              <w:marBottom w:val="0"/>
                              <w:divBdr>
                                <w:top w:val="none" w:sz="0" w:space="0" w:color="auto"/>
                                <w:left w:val="none" w:sz="0" w:space="0" w:color="auto"/>
                                <w:bottom w:val="none" w:sz="0" w:space="0" w:color="auto"/>
                                <w:right w:val="none" w:sz="0" w:space="0" w:color="auto"/>
                              </w:divBdr>
                            </w:div>
                            <w:div w:id="2083329615">
                              <w:marLeft w:val="0"/>
                              <w:marRight w:val="0"/>
                              <w:marTop w:val="0"/>
                              <w:marBottom w:val="0"/>
                              <w:divBdr>
                                <w:top w:val="none" w:sz="0" w:space="0" w:color="auto"/>
                                <w:left w:val="none" w:sz="0" w:space="0" w:color="auto"/>
                                <w:bottom w:val="none" w:sz="0" w:space="0" w:color="auto"/>
                                <w:right w:val="none" w:sz="0" w:space="0" w:color="auto"/>
                              </w:divBdr>
                            </w:div>
                            <w:div w:id="1462571616">
                              <w:marLeft w:val="0"/>
                              <w:marRight w:val="0"/>
                              <w:marTop w:val="0"/>
                              <w:marBottom w:val="0"/>
                              <w:divBdr>
                                <w:top w:val="none" w:sz="0" w:space="0" w:color="auto"/>
                                <w:left w:val="none" w:sz="0" w:space="0" w:color="auto"/>
                                <w:bottom w:val="none" w:sz="0" w:space="0" w:color="auto"/>
                                <w:right w:val="none" w:sz="0" w:space="0" w:color="auto"/>
                              </w:divBdr>
                            </w:div>
                            <w:div w:id="1798253366">
                              <w:marLeft w:val="0"/>
                              <w:marRight w:val="0"/>
                              <w:marTop w:val="0"/>
                              <w:marBottom w:val="0"/>
                              <w:divBdr>
                                <w:top w:val="none" w:sz="0" w:space="0" w:color="auto"/>
                                <w:left w:val="none" w:sz="0" w:space="0" w:color="auto"/>
                                <w:bottom w:val="none" w:sz="0" w:space="0" w:color="auto"/>
                                <w:right w:val="none" w:sz="0" w:space="0" w:color="auto"/>
                              </w:divBdr>
                            </w:div>
                            <w:div w:id="1545748121">
                              <w:marLeft w:val="0"/>
                              <w:marRight w:val="0"/>
                              <w:marTop w:val="0"/>
                              <w:marBottom w:val="0"/>
                              <w:divBdr>
                                <w:top w:val="none" w:sz="0" w:space="0" w:color="auto"/>
                                <w:left w:val="none" w:sz="0" w:space="0" w:color="auto"/>
                                <w:bottom w:val="none" w:sz="0" w:space="0" w:color="auto"/>
                                <w:right w:val="none" w:sz="0" w:space="0" w:color="auto"/>
                              </w:divBdr>
                            </w:div>
                            <w:div w:id="417873103">
                              <w:marLeft w:val="0"/>
                              <w:marRight w:val="0"/>
                              <w:marTop w:val="0"/>
                              <w:marBottom w:val="0"/>
                              <w:divBdr>
                                <w:top w:val="none" w:sz="0" w:space="0" w:color="auto"/>
                                <w:left w:val="none" w:sz="0" w:space="0" w:color="auto"/>
                                <w:bottom w:val="none" w:sz="0" w:space="0" w:color="auto"/>
                                <w:right w:val="none" w:sz="0" w:space="0" w:color="auto"/>
                              </w:divBdr>
                            </w:div>
                            <w:div w:id="2014988456">
                              <w:marLeft w:val="0"/>
                              <w:marRight w:val="0"/>
                              <w:marTop w:val="0"/>
                              <w:marBottom w:val="0"/>
                              <w:divBdr>
                                <w:top w:val="none" w:sz="0" w:space="0" w:color="auto"/>
                                <w:left w:val="none" w:sz="0" w:space="0" w:color="auto"/>
                                <w:bottom w:val="none" w:sz="0" w:space="0" w:color="auto"/>
                                <w:right w:val="none" w:sz="0" w:space="0" w:color="auto"/>
                              </w:divBdr>
                            </w:div>
                            <w:div w:id="2058162718">
                              <w:marLeft w:val="0"/>
                              <w:marRight w:val="0"/>
                              <w:marTop w:val="0"/>
                              <w:marBottom w:val="0"/>
                              <w:divBdr>
                                <w:top w:val="none" w:sz="0" w:space="0" w:color="auto"/>
                                <w:left w:val="none" w:sz="0" w:space="0" w:color="auto"/>
                                <w:bottom w:val="none" w:sz="0" w:space="0" w:color="auto"/>
                                <w:right w:val="none" w:sz="0" w:space="0" w:color="auto"/>
                              </w:divBdr>
                            </w:div>
                            <w:div w:id="78210844">
                              <w:marLeft w:val="0"/>
                              <w:marRight w:val="0"/>
                              <w:marTop w:val="0"/>
                              <w:marBottom w:val="0"/>
                              <w:divBdr>
                                <w:top w:val="none" w:sz="0" w:space="0" w:color="auto"/>
                                <w:left w:val="none" w:sz="0" w:space="0" w:color="auto"/>
                                <w:bottom w:val="none" w:sz="0" w:space="0" w:color="auto"/>
                                <w:right w:val="none" w:sz="0" w:space="0" w:color="auto"/>
                              </w:divBdr>
                            </w:div>
                            <w:div w:id="1024014212">
                              <w:marLeft w:val="0"/>
                              <w:marRight w:val="0"/>
                              <w:marTop w:val="0"/>
                              <w:marBottom w:val="0"/>
                              <w:divBdr>
                                <w:top w:val="none" w:sz="0" w:space="0" w:color="auto"/>
                                <w:left w:val="none" w:sz="0" w:space="0" w:color="auto"/>
                                <w:bottom w:val="none" w:sz="0" w:space="0" w:color="auto"/>
                                <w:right w:val="none" w:sz="0" w:space="0" w:color="auto"/>
                              </w:divBdr>
                            </w:div>
                            <w:div w:id="1743140822">
                              <w:marLeft w:val="0"/>
                              <w:marRight w:val="0"/>
                              <w:marTop w:val="0"/>
                              <w:marBottom w:val="0"/>
                              <w:divBdr>
                                <w:top w:val="none" w:sz="0" w:space="0" w:color="auto"/>
                                <w:left w:val="none" w:sz="0" w:space="0" w:color="auto"/>
                                <w:bottom w:val="none" w:sz="0" w:space="0" w:color="auto"/>
                                <w:right w:val="none" w:sz="0" w:space="0" w:color="auto"/>
                              </w:divBdr>
                            </w:div>
                            <w:div w:id="697777530">
                              <w:marLeft w:val="0"/>
                              <w:marRight w:val="0"/>
                              <w:marTop w:val="0"/>
                              <w:marBottom w:val="0"/>
                              <w:divBdr>
                                <w:top w:val="none" w:sz="0" w:space="0" w:color="auto"/>
                                <w:left w:val="none" w:sz="0" w:space="0" w:color="auto"/>
                                <w:bottom w:val="none" w:sz="0" w:space="0" w:color="auto"/>
                                <w:right w:val="none" w:sz="0" w:space="0" w:color="auto"/>
                              </w:divBdr>
                            </w:div>
                            <w:div w:id="284508858">
                              <w:marLeft w:val="0"/>
                              <w:marRight w:val="0"/>
                              <w:marTop w:val="0"/>
                              <w:marBottom w:val="0"/>
                              <w:divBdr>
                                <w:top w:val="none" w:sz="0" w:space="0" w:color="auto"/>
                                <w:left w:val="none" w:sz="0" w:space="0" w:color="auto"/>
                                <w:bottom w:val="none" w:sz="0" w:space="0" w:color="auto"/>
                                <w:right w:val="none" w:sz="0" w:space="0" w:color="auto"/>
                              </w:divBdr>
                            </w:div>
                            <w:div w:id="17826414">
                              <w:marLeft w:val="0"/>
                              <w:marRight w:val="0"/>
                              <w:marTop w:val="0"/>
                              <w:marBottom w:val="0"/>
                              <w:divBdr>
                                <w:top w:val="none" w:sz="0" w:space="0" w:color="auto"/>
                                <w:left w:val="none" w:sz="0" w:space="0" w:color="auto"/>
                                <w:bottom w:val="none" w:sz="0" w:space="0" w:color="auto"/>
                                <w:right w:val="none" w:sz="0" w:space="0" w:color="auto"/>
                              </w:divBdr>
                            </w:div>
                            <w:div w:id="1309289797">
                              <w:marLeft w:val="0"/>
                              <w:marRight w:val="0"/>
                              <w:marTop w:val="0"/>
                              <w:marBottom w:val="0"/>
                              <w:divBdr>
                                <w:top w:val="none" w:sz="0" w:space="0" w:color="auto"/>
                                <w:left w:val="none" w:sz="0" w:space="0" w:color="auto"/>
                                <w:bottom w:val="none" w:sz="0" w:space="0" w:color="auto"/>
                                <w:right w:val="none" w:sz="0" w:space="0" w:color="auto"/>
                              </w:divBdr>
                            </w:div>
                            <w:div w:id="8833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688713">
      <w:bodyDiv w:val="1"/>
      <w:marLeft w:val="0"/>
      <w:marRight w:val="0"/>
      <w:marTop w:val="0"/>
      <w:marBottom w:val="0"/>
      <w:divBdr>
        <w:top w:val="none" w:sz="0" w:space="0" w:color="auto"/>
        <w:left w:val="none" w:sz="0" w:space="0" w:color="auto"/>
        <w:bottom w:val="none" w:sz="0" w:space="0" w:color="auto"/>
        <w:right w:val="none" w:sz="0" w:space="0" w:color="auto"/>
      </w:divBdr>
    </w:div>
    <w:div w:id="1459882321">
      <w:bodyDiv w:val="1"/>
      <w:marLeft w:val="0"/>
      <w:marRight w:val="0"/>
      <w:marTop w:val="0"/>
      <w:marBottom w:val="0"/>
      <w:divBdr>
        <w:top w:val="none" w:sz="0" w:space="0" w:color="auto"/>
        <w:left w:val="none" w:sz="0" w:space="0" w:color="auto"/>
        <w:bottom w:val="none" w:sz="0" w:space="0" w:color="auto"/>
        <w:right w:val="none" w:sz="0" w:space="0" w:color="auto"/>
      </w:divBdr>
    </w:div>
    <w:div w:id="1463572126">
      <w:bodyDiv w:val="1"/>
      <w:marLeft w:val="0"/>
      <w:marRight w:val="0"/>
      <w:marTop w:val="0"/>
      <w:marBottom w:val="0"/>
      <w:divBdr>
        <w:top w:val="none" w:sz="0" w:space="0" w:color="auto"/>
        <w:left w:val="none" w:sz="0" w:space="0" w:color="auto"/>
        <w:bottom w:val="none" w:sz="0" w:space="0" w:color="auto"/>
        <w:right w:val="none" w:sz="0" w:space="0" w:color="auto"/>
      </w:divBdr>
    </w:div>
    <w:div w:id="1505977474">
      <w:bodyDiv w:val="1"/>
      <w:marLeft w:val="0"/>
      <w:marRight w:val="0"/>
      <w:marTop w:val="0"/>
      <w:marBottom w:val="0"/>
      <w:divBdr>
        <w:top w:val="none" w:sz="0" w:space="0" w:color="auto"/>
        <w:left w:val="none" w:sz="0" w:space="0" w:color="auto"/>
        <w:bottom w:val="none" w:sz="0" w:space="0" w:color="auto"/>
        <w:right w:val="none" w:sz="0" w:space="0" w:color="auto"/>
      </w:divBdr>
    </w:div>
    <w:div w:id="1531647832">
      <w:bodyDiv w:val="1"/>
      <w:marLeft w:val="0"/>
      <w:marRight w:val="0"/>
      <w:marTop w:val="0"/>
      <w:marBottom w:val="0"/>
      <w:divBdr>
        <w:top w:val="none" w:sz="0" w:space="0" w:color="auto"/>
        <w:left w:val="none" w:sz="0" w:space="0" w:color="auto"/>
        <w:bottom w:val="none" w:sz="0" w:space="0" w:color="auto"/>
        <w:right w:val="none" w:sz="0" w:space="0" w:color="auto"/>
      </w:divBdr>
    </w:div>
    <w:div w:id="1588224768">
      <w:bodyDiv w:val="1"/>
      <w:marLeft w:val="0"/>
      <w:marRight w:val="0"/>
      <w:marTop w:val="0"/>
      <w:marBottom w:val="0"/>
      <w:divBdr>
        <w:top w:val="none" w:sz="0" w:space="0" w:color="auto"/>
        <w:left w:val="none" w:sz="0" w:space="0" w:color="auto"/>
        <w:bottom w:val="none" w:sz="0" w:space="0" w:color="auto"/>
        <w:right w:val="none" w:sz="0" w:space="0" w:color="auto"/>
      </w:divBdr>
    </w:div>
    <w:div w:id="1689872911">
      <w:bodyDiv w:val="1"/>
      <w:marLeft w:val="0"/>
      <w:marRight w:val="0"/>
      <w:marTop w:val="0"/>
      <w:marBottom w:val="0"/>
      <w:divBdr>
        <w:top w:val="none" w:sz="0" w:space="0" w:color="auto"/>
        <w:left w:val="none" w:sz="0" w:space="0" w:color="auto"/>
        <w:bottom w:val="none" w:sz="0" w:space="0" w:color="auto"/>
        <w:right w:val="none" w:sz="0" w:space="0" w:color="auto"/>
      </w:divBdr>
    </w:div>
    <w:div w:id="1698122165">
      <w:bodyDiv w:val="1"/>
      <w:marLeft w:val="0"/>
      <w:marRight w:val="0"/>
      <w:marTop w:val="0"/>
      <w:marBottom w:val="0"/>
      <w:divBdr>
        <w:top w:val="none" w:sz="0" w:space="0" w:color="auto"/>
        <w:left w:val="none" w:sz="0" w:space="0" w:color="auto"/>
        <w:bottom w:val="none" w:sz="0" w:space="0" w:color="auto"/>
        <w:right w:val="none" w:sz="0" w:space="0" w:color="auto"/>
      </w:divBdr>
    </w:div>
    <w:div w:id="1756516299">
      <w:bodyDiv w:val="1"/>
      <w:marLeft w:val="0"/>
      <w:marRight w:val="0"/>
      <w:marTop w:val="0"/>
      <w:marBottom w:val="0"/>
      <w:divBdr>
        <w:top w:val="none" w:sz="0" w:space="0" w:color="auto"/>
        <w:left w:val="none" w:sz="0" w:space="0" w:color="auto"/>
        <w:bottom w:val="none" w:sz="0" w:space="0" w:color="auto"/>
        <w:right w:val="none" w:sz="0" w:space="0" w:color="auto"/>
      </w:divBdr>
    </w:div>
    <w:div w:id="1793474437">
      <w:bodyDiv w:val="1"/>
      <w:marLeft w:val="0"/>
      <w:marRight w:val="0"/>
      <w:marTop w:val="0"/>
      <w:marBottom w:val="0"/>
      <w:divBdr>
        <w:top w:val="none" w:sz="0" w:space="0" w:color="auto"/>
        <w:left w:val="none" w:sz="0" w:space="0" w:color="auto"/>
        <w:bottom w:val="none" w:sz="0" w:space="0" w:color="auto"/>
        <w:right w:val="none" w:sz="0" w:space="0" w:color="auto"/>
      </w:divBdr>
    </w:div>
    <w:div w:id="1812475880">
      <w:bodyDiv w:val="1"/>
      <w:marLeft w:val="0"/>
      <w:marRight w:val="0"/>
      <w:marTop w:val="0"/>
      <w:marBottom w:val="0"/>
      <w:divBdr>
        <w:top w:val="none" w:sz="0" w:space="0" w:color="auto"/>
        <w:left w:val="none" w:sz="0" w:space="0" w:color="auto"/>
        <w:bottom w:val="none" w:sz="0" w:space="0" w:color="auto"/>
        <w:right w:val="none" w:sz="0" w:space="0" w:color="auto"/>
      </w:divBdr>
    </w:div>
    <w:div w:id="1830249394">
      <w:bodyDiv w:val="1"/>
      <w:marLeft w:val="0"/>
      <w:marRight w:val="0"/>
      <w:marTop w:val="0"/>
      <w:marBottom w:val="0"/>
      <w:divBdr>
        <w:top w:val="none" w:sz="0" w:space="0" w:color="auto"/>
        <w:left w:val="none" w:sz="0" w:space="0" w:color="auto"/>
        <w:bottom w:val="none" w:sz="0" w:space="0" w:color="auto"/>
        <w:right w:val="none" w:sz="0" w:space="0" w:color="auto"/>
      </w:divBdr>
    </w:div>
    <w:div w:id="1847137219">
      <w:bodyDiv w:val="1"/>
      <w:marLeft w:val="0"/>
      <w:marRight w:val="0"/>
      <w:marTop w:val="0"/>
      <w:marBottom w:val="0"/>
      <w:divBdr>
        <w:top w:val="none" w:sz="0" w:space="0" w:color="auto"/>
        <w:left w:val="none" w:sz="0" w:space="0" w:color="auto"/>
        <w:bottom w:val="none" w:sz="0" w:space="0" w:color="auto"/>
        <w:right w:val="none" w:sz="0" w:space="0" w:color="auto"/>
      </w:divBdr>
    </w:div>
    <w:div w:id="1861817818">
      <w:bodyDiv w:val="1"/>
      <w:marLeft w:val="0"/>
      <w:marRight w:val="0"/>
      <w:marTop w:val="0"/>
      <w:marBottom w:val="0"/>
      <w:divBdr>
        <w:top w:val="none" w:sz="0" w:space="0" w:color="auto"/>
        <w:left w:val="none" w:sz="0" w:space="0" w:color="auto"/>
        <w:bottom w:val="none" w:sz="0" w:space="0" w:color="auto"/>
        <w:right w:val="none" w:sz="0" w:space="0" w:color="auto"/>
      </w:divBdr>
    </w:div>
    <w:div w:id="1869483815">
      <w:bodyDiv w:val="1"/>
      <w:marLeft w:val="0"/>
      <w:marRight w:val="0"/>
      <w:marTop w:val="0"/>
      <w:marBottom w:val="0"/>
      <w:divBdr>
        <w:top w:val="none" w:sz="0" w:space="0" w:color="auto"/>
        <w:left w:val="none" w:sz="0" w:space="0" w:color="auto"/>
        <w:bottom w:val="none" w:sz="0" w:space="0" w:color="auto"/>
        <w:right w:val="none" w:sz="0" w:space="0" w:color="auto"/>
      </w:divBdr>
    </w:div>
    <w:div w:id="1885407049">
      <w:bodyDiv w:val="1"/>
      <w:marLeft w:val="0"/>
      <w:marRight w:val="0"/>
      <w:marTop w:val="0"/>
      <w:marBottom w:val="0"/>
      <w:divBdr>
        <w:top w:val="none" w:sz="0" w:space="0" w:color="auto"/>
        <w:left w:val="none" w:sz="0" w:space="0" w:color="auto"/>
        <w:bottom w:val="none" w:sz="0" w:space="0" w:color="auto"/>
        <w:right w:val="none" w:sz="0" w:space="0" w:color="auto"/>
      </w:divBdr>
    </w:div>
    <w:div w:id="1928614088">
      <w:bodyDiv w:val="1"/>
      <w:marLeft w:val="0"/>
      <w:marRight w:val="0"/>
      <w:marTop w:val="0"/>
      <w:marBottom w:val="0"/>
      <w:divBdr>
        <w:top w:val="none" w:sz="0" w:space="0" w:color="auto"/>
        <w:left w:val="none" w:sz="0" w:space="0" w:color="auto"/>
        <w:bottom w:val="none" w:sz="0" w:space="0" w:color="auto"/>
        <w:right w:val="none" w:sz="0" w:space="0" w:color="auto"/>
      </w:divBdr>
    </w:div>
    <w:div w:id="1954167429">
      <w:bodyDiv w:val="1"/>
      <w:marLeft w:val="0"/>
      <w:marRight w:val="0"/>
      <w:marTop w:val="0"/>
      <w:marBottom w:val="0"/>
      <w:divBdr>
        <w:top w:val="none" w:sz="0" w:space="0" w:color="auto"/>
        <w:left w:val="none" w:sz="0" w:space="0" w:color="auto"/>
        <w:bottom w:val="none" w:sz="0" w:space="0" w:color="auto"/>
        <w:right w:val="none" w:sz="0" w:space="0" w:color="auto"/>
      </w:divBdr>
    </w:div>
    <w:div w:id="1959986307">
      <w:bodyDiv w:val="1"/>
      <w:marLeft w:val="0"/>
      <w:marRight w:val="0"/>
      <w:marTop w:val="0"/>
      <w:marBottom w:val="0"/>
      <w:divBdr>
        <w:top w:val="none" w:sz="0" w:space="0" w:color="auto"/>
        <w:left w:val="none" w:sz="0" w:space="0" w:color="auto"/>
        <w:bottom w:val="none" w:sz="0" w:space="0" w:color="auto"/>
        <w:right w:val="none" w:sz="0" w:space="0" w:color="auto"/>
      </w:divBdr>
    </w:div>
    <w:div w:id="2013293931">
      <w:bodyDiv w:val="1"/>
      <w:marLeft w:val="0"/>
      <w:marRight w:val="0"/>
      <w:marTop w:val="0"/>
      <w:marBottom w:val="0"/>
      <w:divBdr>
        <w:top w:val="none" w:sz="0" w:space="0" w:color="auto"/>
        <w:left w:val="none" w:sz="0" w:space="0" w:color="auto"/>
        <w:bottom w:val="none" w:sz="0" w:space="0" w:color="auto"/>
        <w:right w:val="none" w:sz="0" w:space="0" w:color="auto"/>
      </w:divBdr>
    </w:div>
    <w:div w:id="2030183929">
      <w:bodyDiv w:val="1"/>
      <w:marLeft w:val="0"/>
      <w:marRight w:val="0"/>
      <w:marTop w:val="0"/>
      <w:marBottom w:val="0"/>
      <w:divBdr>
        <w:top w:val="none" w:sz="0" w:space="0" w:color="auto"/>
        <w:left w:val="none" w:sz="0" w:space="0" w:color="auto"/>
        <w:bottom w:val="none" w:sz="0" w:space="0" w:color="auto"/>
        <w:right w:val="none" w:sz="0" w:space="0" w:color="auto"/>
      </w:divBdr>
    </w:div>
    <w:div w:id="2054117848">
      <w:bodyDiv w:val="1"/>
      <w:marLeft w:val="0"/>
      <w:marRight w:val="0"/>
      <w:marTop w:val="0"/>
      <w:marBottom w:val="0"/>
      <w:divBdr>
        <w:top w:val="none" w:sz="0" w:space="0" w:color="auto"/>
        <w:left w:val="none" w:sz="0" w:space="0" w:color="auto"/>
        <w:bottom w:val="none" w:sz="0" w:space="0" w:color="auto"/>
        <w:right w:val="none" w:sz="0" w:space="0" w:color="auto"/>
      </w:divBdr>
    </w:div>
    <w:div w:id="2097822238">
      <w:bodyDiv w:val="1"/>
      <w:marLeft w:val="0"/>
      <w:marRight w:val="0"/>
      <w:marTop w:val="0"/>
      <w:marBottom w:val="0"/>
      <w:divBdr>
        <w:top w:val="none" w:sz="0" w:space="0" w:color="auto"/>
        <w:left w:val="none" w:sz="0" w:space="0" w:color="auto"/>
        <w:bottom w:val="none" w:sz="0" w:space="0" w:color="auto"/>
        <w:right w:val="none" w:sz="0" w:space="0" w:color="auto"/>
      </w:divBdr>
    </w:div>
    <w:div w:id="209932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FB18D-8F65-4935-A246-24A21C4B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14</Pages>
  <Words>5322</Words>
  <Characters>30340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Miljan Kosovic</cp:lastModifiedBy>
  <cp:revision>93</cp:revision>
  <cp:lastPrinted>2026-03-16T07:54:00Z</cp:lastPrinted>
  <dcterms:created xsi:type="dcterms:W3CDTF">2026-03-25T07:32:00Z</dcterms:created>
  <dcterms:modified xsi:type="dcterms:W3CDTF">2026-07-16T11:14:00Z</dcterms:modified>
</cp:coreProperties>
</file>