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483C" w14:textId="77777777" w:rsidR="009632B2" w:rsidRDefault="009632B2" w:rsidP="009632B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191B41">
        <w:rPr>
          <w:rFonts w:ascii="Arial" w:hAnsi="Arial" w:cs="Arial"/>
          <w:b/>
          <w:noProof/>
          <w:color w:val="2F5496" w:themeColor="accent1" w:themeShade="BF"/>
          <w:szCs w:val="24"/>
        </w:rPr>
        <w:t>OBRAZAC</w:t>
      </w:r>
    </w:p>
    <w:tbl>
      <w:tblPr>
        <w:tblStyle w:val="LightGrid-Accent5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9632B2" w:rsidRPr="00EC385B" w14:paraId="50C6B15E" w14:textId="77777777" w:rsidTr="0078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C353888" w14:textId="77777777" w:rsidR="009632B2" w:rsidRPr="00320A5D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8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Cs w:val="24"/>
                <w:lang w:val="pl-PL"/>
              </w:rPr>
              <w:t>IZVJEŠTAJ O SPROVEDENOJ ANALIZI PROCJENE UTICAJA PROPISA</w:t>
            </w:r>
          </w:p>
        </w:tc>
      </w:tr>
      <w:tr w:rsidR="009632B2" w:rsidRPr="000511F0" w14:paraId="7A20AF3B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18F35A4" w14:textId="77777777" w:rsidR="009632B2" w:rsidRPr="006A1B2C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PREDLAGA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Č PROPISA</w:t>
            </w:r>
          </w:p>
        </w:tc>
        <w:tc>
          <w:tcPr>
            <w:tcW w:w="5670" w:type="dxa"/>
          </w:tcPr>
          <w:p w14:paraId="1E09D442" w14:textId="77777777" w:rsidR="009632B2" w:rsidRPr="000511F0" w:rsidRDefault="009632B2" w:rsidP="00786383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Ministarstvo kulture i medija</w:t>
            </w:r>
          </w:p>
        </w:tc>
      </w:tr>
      <w:tr w:rsidR="009632B2" w:rsidRPr="00EC385B" w14:paraId="29975A24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52EF60AB" w14:textId="77777777" w:rsidR="009632B2" w:rsidRPr="000511F0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ZIV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670" w:type="dxa"/>
          </w:tcPr>
          <w:p w14:paraId="445C723D" w14:textId="50FBC57E" w:rsidR="009632B2" w:rsidRPr="00155612" w:rsidRDefault="000755A7" w:rsidP="00786383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pl-PL"/>
              </w:rPr>
              <w:t>Nacrt Z</w:t>
            </w:r>
            <w:r w:rsidR="009632B2" w:rsidRPr="00320A5D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pl-PL"/>
              </w:rPr>
              <w:t xml:space="preserve">akona o </w:t>
            </w:r>
            <w:r w:rsidR="00E3351E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pl-PL"/>
              </w:rPr>
              <w:t>javnom medijskom servisu Crne Gore</w:t>
            </w:r>
          </w:p>
        </w:tc>
      </w:tr>
      <w:tr w:rsidR="009632B2" w:rsidRPr="00EC385B" w14:paraId="3E1FBEA2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2E69D199" w14:textId="77777777" w:rsidR="009632B2" w:rsidRPr="000511F0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Definisanje problema</w:t>
            </w:r>
          </w:p>
          <w:p w14:paraId="2C9AAF1A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Koje probleme  treba da riješi predloženi akt?</w:t>
            </w:r>
          </w:p>
          <w:p w14:paraId="453C4E17" w14:textId="77777777" w:rsidR="009632B2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su uzroci problema?</w:t>
            </w:r>
          </w:p>
          <w:p w14:paraId="358C936F" w14:textId="77777777" w:rsidR="009632B2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</w:t>
            </w:r>
            <w:r w:rsidRPr="00067FC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oje su posljedice problema?</w:t>
            </w:r>
          </w:p>
          <w:p w14:paraId="6D00E350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Koji su subjekti oštećeni, na koji način i u kojoj mjeri?</w:t>
            </w:r>
          </w:p>
          <w:p w14:paraId="561D53AC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Kako bi problem evoluirao bez promjene propisa (“status quo” opcija)?</w:t>
            </w:r>
          </w:p>
        </w:tc>
      </w:tr>
      <w:tr w:rsidR="009632B2" w:rsidRPr="00F44B68" w14:paraId="00B8F018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710C2E2" w14:textId="4F67275B" w:rsidR="00220E9F" w:rsidRPr="004F5003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  <w:r w:rsidRPr="004F5003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Crna Gora je prvi moderan Zakon o </w:t>
            </w:r>
            <w:r w:rsidR="00A200F4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j</w:t>
            </w:r>
            <w:r w:rsidRPr="004F5003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avnom medijskom servisu donijela 2002. godine. Tim Zakonom je utvrđena osnova za konstituisanje institucionalno, politički i finansijski nezavisnog javn</w:t>
            </w:r>
            <w:r w:rsidR="00DD2EF4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og</w:t>
            </w:r>
            <w:r w:rsidRPr="004F5003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servisa, po uzoru na međunarodne standarde, sadržane kroz član 10 Evropske Konvencije za zaštitu ljudskih prava i osnovnih sloboda, Preporuku Savjeta Evrope 96(10) o nezavisnosti javnih servisa radio-difuzije i Saopštenju Komisije o primjeni pravila o državnoj pomoći za javne radio-difuzne usluge (2009/C 257/01). Na temeljima konstruktivne javne rasprave Crna Gora usvaja novi Zakon o nacionalnom javnom emiteru Radio i Televizja Crne Gore 2020. godine, koji je uveo niz novina u postojećim odredbama, ali i nove institute koje dotadašnje zakonodavstvo nije poznavalo, poput instituta Ombudsmana, postupka uvođenja novih usluga, uvođenje novih uslova u pogledu imenovanja članova Savjeta i sl. </w:t>
            </w:r>
          </w:p>
          <w:p w14:paraId="091155D6" w14:textId="77777777" w:rsidR="00220E9F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noProof/>
                <w:szCs w:val="24"/>
                <w:lang w:val="sr-Latn-ME" w:eastAsia="en-US"/>
              </w:rPr>
            </w:pPr>
          </w:p>
          <w:p w14:paraId="79169E46" w14:textId="77777777" w:rsidR="00220E9F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noProof/>
                <w:szCs w:val="24"/>
                <w:lang w:val="sr-Latn-ME" w:eastAsia="en-US"/>
              </w:rPr>
            </w:pPr>
            <w:r w:rsidRPr="004F5003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Međutim, postojećim zakonskim rješenjem i dalje su ostala neriješena određena pitanja. Kao jedne od glavnih zamjerki sa, prvenstveno adrese Evropske komisije, ističu se dalja potreba za jačanjem nezavisnosti RTCG u pogledu rada Savjeta, te oslobađanje bilo kakvog političkog uticaja i puno poštovanje profesionalnih standarda u radu. Osim toga, neophodno je dodatno razraditi kriterijume za imenovanje članova Savjeta RTCG, revidirati broj članova Savjeta i postojeće kriterijume za predlagače. </w:t>
            </w:r>
          </w:p>
          <w:p w14:paraId="73C2D1B9" w14:textId="77777777" w:rsidR="00220E9F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</w:p>
          <w:p w14:paraId="13F48E6F" w14:textId="65F434CE" w:rsidR="00220E9F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noProof/>
                <w:szCs w:val="24"/>
                <w:lang w:val="sr-Latn-ME" w:eastAsia="en-US"/>
              </w:rPr>
            </w:pP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Pitanje nezavisnosti i kompetetivnosti je vezano i za članove rukovodstva RTCG. Samo poptuno nezavisan tim, sa uređivačkom sasmostalnošću može da dovede do ispunjenja koncepta javnog medijskog servisa, te je realna potreba da i </w:t>
            </w:r>
            <w:r w:rsidR="00DD2EF4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generalni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direktor i</w:t>
            </w:r>
            <w:r w:rsidR="00DD2EF4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direktori Radija i Televezije javnog medijskog servisa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, </w:t>
            </w:r>
            <w:r w:rsidR="00DD2EF4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dobiju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jači nivo zaštite ali i veću odgovornosti. </w:t>
            </w:r>
          </w:p>
          <w:p w14:paraId="09971F5E" w14:textId="059B07C2" w:rsidR="00220E9F" w:rsidRDefault="00220E9F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</w:p>
          <w:p w14:paraId="7B87BACD" w14:textId="2BA45714" w:rsidR="009632B2" w:rsidRDefault="009D232D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Veća nezavisnost takođe znači i veću odgovornost. Iako RTCG nesporno treba da uživa programsku nezavisnost, </w:t>
            </w:r>
            <w:r w:rsidR="00E44E39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neophodno je predvidjeti jasno granice programske osnove, jer bez toga se RTCG dovodi u povlašćeni položaj u odnosu na sve ostale audivozuelne medije na tržištu. </w:t>
            </w:r>
          </w:p>
          <w:p w14:paraId="451BD668" w14:textId="57FD3650" w:rsidR="00E44E39" w:rsidRDefault="00E44E39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</w:p>
          <w:p w14:paraId="28196F6F" w14:textId="7F623B93" w:rsidR="00E44E39" w:rsidRDefault="00E44E39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noProof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Kako je Nacrtom Zakona o audiovizuelnim medijskim uslugama predviđeno niz novih rješenja, kao rezultat usklađivanja sa </w:t>
            </w:r>
            <w:r w:rsidRPr="00220E9F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</w:t>
            </w:r>
            <w:r w:rsidRPr="00320A5D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izmjen</w:t>
            </w:r>
            <w:r w:rsidR="00B23559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ama</w:t>
            </w:r>
            <w:r w:rsidRPr="00220E9F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</w:t>
            </w:r>
            <w:r w:rsidRPr="00320A5D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i</w:t>
            </w:r>
            <w:r w:rsidRPr="00220E9F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</w:t>
            </w:r>
            <w:r w:rsidRPr="00320A5D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dopun</w:t>
            </w:r>
            <w:r w:rsidR="00B23559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ama</w:t>
            </w:r>
            <w:r w:rsidRPr="00220E9F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Direktive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(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EU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) 2018/1808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Evropskog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parlamenta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Savjeta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o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izmjenama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dopunama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Direktive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2010/13/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EU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o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koordinaciji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odre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đ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enih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zakonskih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odredbi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,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regulaciji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ili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upravnim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radnjama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dr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ž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avama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č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lanicama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koje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se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ti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č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pru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ž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anja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audio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-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vizuelnih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medijskih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usluga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(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Direktiva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o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audio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-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vizuelnim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medijskim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uslugama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)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sa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aspekta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promijenjenih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realnosti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na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tr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ž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i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š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tu</w:t>
            </w:r>
            <w:r w:rsidRPr="00220E9F">
              <w:rPr>
                <w:rFonts w:ascii="Times New Roman" w:eastAsiaTheme="minorHAnsi" w:hAnsi="Times New Roman"/>
                <w:b w:val="0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(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daljem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tekstu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: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AVMS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 xml:space="preserve"> </w:t>
            </w:r>
            <w:r w:rsidRPr="00320A5D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val="pl-PL" w:eastAsia="en-US"/>
              </w:rPr>
              <w:t>Direktiva</w:t>
            </w:r>
            <w:r w:rsidRPr="00220E9F">
              <w:rPr>
                <w:rFonts w:ascii="Times New Roman" w:eastAsia="Calibri" w:hAnsi="Times New Roman"/>
                <w:b w:val="0"/>
                <w:szCs w:val="24"/>
                <w:shd w:val="clear" w:color="auto" w:fill="FFFFFF"/>
                <w:lang w:eastAsia="en-US"/>
              </w:rPr>
              <w:t>)</w:t>
            </w:r>
            <w:r w:rsidRPr="00220E9F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,</w:t>
            </w:r>
            <w:r w:rsidR="00B2355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kao posljedicu imamo realnu </w:t>
            </w:r>
            <w:r w:rsidR="00B2355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lastRenderedPageBreak/>
              <w:t>potrebu da se odgovarajuće odredbe Zakona o RTCG upodobe sa Nacrtom Zakona o AVM uslugama</w:t>
            </w:r>
            <w:r w:rsidR="00C35341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i/ili predvid</w:t>
            </w:r>
            <w:r w:rsidR="00E3351E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i</w:t>
            </w:r>
            <w:r w:rsidR="00C35341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shodn</w:t>
            </w:r>
            <w:r w:rsidR="00E3351E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a</w:t>
            </w:r>
            <w:r w:rsidR="00C35341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primjen</w:t>
            </w:r>
            <w:r w:rsidR="00E3351E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a</w:t>
            </w:r>
            <w:r w:rsidR="00C35341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Zakona o AVM uslugama</w:t>
            </w:r>
            <w:r w:rsidR="00B2355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. </w:t>
            </w:r>
          </w:p>
          <w:p w14:paraId="4C4A12E9" w14:textId="7E7BA4FF" w:rsidR="00B23559" w:rsidRDefault="00B23559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</w:pPr>
          </w:p>
          <w:p w14:paraId="6875C7EA" w14:textId="27766ED8" w:rsidR="00B23559" w:rsidRPr="00B23559" w:rsidRDefault="00B23559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val="sr-Latn-ME" w:eastAsia="en-US"/>
              </w:rPr>
            </w:pPr>
            <w:r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Iako je Zakonom o RTCG uvedena institucija Ombudsmana, djelotvornost njegovog rada je upitna u praksi, ukoliko se ima u vidu da je </w:t>
            </w:r>
            <w:r w:rsidR="009C7B8E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njegovo ovlašćenje u pogledu prigovora i predstavki gledalaca, slušalaca i čitalaca RTCG svedeno samo na razmatranje. Takođe, </w:t>
            </w:r>
            <w:r w:rsidR="008D726B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ograničavanjem kriterijuma za imenovanje Ombudsmana - da se radi o afirmisanom medijskom stručnjaku iz oblasti audiovizuelnih medija, ograničava sve druge vrste medija da kandiduju svoje predstavnike, posebno štampane publikacije. </w:t>
            </w:r>
            <w:r w:rsidR="00C35341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Takođe, shodno postojećem rješenju, Ombudsman svoju funkciju obavlja bez prava na naknadu. Imajući u vidu auoritet koji ova institucija treba da uživa, postoji i više nego opravdan osnov da mu se za tu funkciju odredi naknada. </w:t>
            </w:r>
          </w:p>
          <w:p w14:paraId="2D9D0FA1" w14:textId="77777777" w:rsidR="009D232D" w:rsidRPr="00220E9F" w:rsidRDefault="009D232D" w:rsidP="00220E9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</w:p>
          <w:p w14:paraId="7132D7F7" w14:textId="1634BFD4" w:rsidR="009632B2" w:rsidRPr="002E0F6F" w:rsidRDefault="002E0F6F" w:rsidP="002E0F6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noProof/>
                <w:szCs w:val="24"/>
                <w:lang w:val="it-IT" w:eastAsia="en-US"/>
              </w:rPr>
            </w:pP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Shodno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 e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kspertsk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om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pregled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u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,,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nacrta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Zakona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audiovizuelnim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medijskim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uslugama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(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AVMU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)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i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ocjene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uskla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đ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enosti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nacrta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Zakona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AVMU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i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ocjena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uskla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đ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enosti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nacrta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Zakona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AVMU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,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Zakona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medijima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i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Zakona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o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Nacionalnom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javnom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emiteru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 (</w:t>
            </w:r>
            <w:r w:rsidRPr="00573BDE">
              <w:rPr>
                <w:rFonts w:ascii="Times New Roman" w:eastAsiaTheme="minorHAnsi" w:hAnsi="Times New Roman"/>
                <w:b w:val="0"/>
                <w:noProof/>
                <w:szCs w:val="24"/>
                <w:lang w:val="pl-PL" w:eastAsia="en-US"/>
              </w:rPr>
              <w:t>RTCG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)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,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 koji je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 u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aprilu 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20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21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.godlne,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usvojio Savjet Evrope,</w:t>
            </w:r>
            <w:r>
              <w:rPr>
                <w:rFonts w:ascii="Times New Roman" w:eastAsiaTheme="minorHAnsi" w:hAnsi="Times New Roman"/>
                <w:noProof/>
                <w:szCs w:val="24"/>
                <w:lang w:val="it-IT" w:eastAsia="en-US"/>
              </w:rPr>
              <w:t xml:space="preserve"> 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u okviru zajedničkog programa Savjeta Evrope (SE) i Evropske unije (EU) „Sloboda izražavanja i sloboda medija u Jugoistočnoj Evropi (JUFREX 2  - Crna Gora)’’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, </w:t>
            </w:r>
            <w:r w:rsidR="00EB4D42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potrebno je u ovom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Nacrt</w:t>
            </w:r>
            <w:r w:rsidR="00EB4D42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u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 implementirati</w:t>
            </w:r>
            <w:r>
              <w:rPr>
                <w:rFonts w:ascii="Times New Roman" w:eastAsiaTheme="minorHAnsi" w:hAnsi="Times New Roman"/>
                <w:noProof/>
                <w:szCs w:val="24"/>
                <w:lang w:val="it-IT" w:eastAsia="en-US"/>
              </w:rPr>
              <w:t xml:space="preserve"> </w:t>
            </w:r>
            <w:r w:rsidR="00EB4D42" w:rsidRPr="00EB4D42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val="it-IT" w:eastAsia="en-US"/>
              </w:rPr>
              <w:t>preporuke</w:t>
            </w:r>
            <w:r w:rsidR="00EB4D42">
              <w:rPr>
                <w:rFonts w:ascii="Times New Roman" w:eastAsiaTheme="minorHAnsi" w:hAnsi="Times New Roman"/>
                <w:noProof/>
                <w:szCs w:val="24"/>
                <w:lang w:val="it-IT" w:eastAsia="en-US"/>
              </w:rPr>
              <w:t xml:space="preserve"> </w:t>
            </w:r>
            <w:r w:rsidRPr="002E0F6F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 xml:space="preserve">u dijelu koji se odnosi na </w:t>
            </w:r>
            <w:r w:rsidR="00EB4D42">
              <w:rPr>
                <w:rFonts w:ascii="Times New Roman" w:eastAsiaTheme="minorHAnsi" w:hAnsi="Times New Roman"/>
                <w:b w:val="0"/>
                <w:noProof/>
                <w:szCs w:val="24"/>
                <w:lang w:val="it-IT" w:eastAsia="en-US"/>
              </w:rPr>
              <w:t>Zakon o RTCG.</w:t>
            </w:r>
          </w:p>
          <w:p w14:paraId="5C24896D" w14:textId="7BE16601" w:rsidR="009632B2" w:rsidRPr="00EB4D42" w:rsidRDefault="009632B2" w:rsidP="008F53E5">
            <w:pPr>
              <w:spacing w:before="120" w:after="120"/>
              <w:rPr>
                <w:rFonts w:ascii="Times New Roman" w:hAnsi="Times New Roman"/>
                <w:b w:val="0"/>
                <w:sz w:val="20"/>
                <w:szCs w:val="20"/>
                <w:lang w:val="it-IT"/>
              </w:rPr>
            </w:pPr>
          </w:p>
        </w:tc>
      </w:tr>
      <w:tr w:rsidR="009632B2" w:rsidRPr="00EC385B" w14:paraId="68F3EEF2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51DF85DC" w14:textId="77777777" w:rsidR="009632B2" w:rsidRPr="000511F0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A043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Ciljevi</w:t>
            </w:r>
          </w:p>
          <w:p w14:paraId="071F2B28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Koji ciljevi se postižu predloženim propisom?</w:t>
            </w:r>
          </w:p>
          <w:p w14:paraId="51C7617E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Navesti usklađenost ovih ciljeva sa postojećim strategijama ili programima Vlade, ako je primjenljivo.</w:t>
            </w:r>
          </w:p>
        </w:tc>
      </w:tr>
      <w:tr w:rsidR="009632B2" w:rsidRPr="00EC385B" w14:paraId="262E3EFD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58964D3F" w14:textId="4D834574" w:rsidR="009632B2" w:rsidRPr="001E2780" w:rsidRDefault="00EB4D42" w:rsidP="001E2780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</w:pPr>
            <w:r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Glavni </w:t>
            </w:r>
            <w:r w:rsidR="009632B2" w:rsidRPr="00E16C5E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ciljevi koji se postižu Nacrtom zakona 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uključuju dalje jačanje nezavisnosti RTCG, eliminicaju bilo kakvog političkog uticaja, te krajnju depolitizaciju javnog medijskog servisa, koji kao takav treba da služi isključivo javnom interesu i interesu građana.  To se postiže jačanjem kriterijuma</w:t>
            </w:r>
            <w:r w:rsidR="00FD5A7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, većim ovlašćenjima i odgovornostima, ali i mogućnostima sudske zaštite</w:t>
            </w:r>
            <w:r w:rsidR="004B679B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, kako </w:t>
            </w:r>
            <w:r w:rsidR="00FD5A7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u slučaju </w:t>
            </w:r>
            <w:r w:rsidR="004B679B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imenovanja, tako i u slučaju </w:t>
            </w:r>
            <w:r w:rsidR="00FD5A7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razriješenja</w:t>
            </w:r>
            <w:r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članova Savjeta</w:t>
            </w:r>
            <w:r w:rsidR="00FD5A7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, </w:t>
            </w:r>
            <w:r w:rsidR="0045059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generalnog </w:t>
            </w:r>
            <w:r w:rsidR="00FD5A79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direktora</w:t>
            </w:r>
            <w:r w:rsidR="0045059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, direktora Radija javnog medijskog servisa, direktora Televizije javnog medijskog servisa i Ombudsmana</w:t>
            </w:r>
            <w:r w:rsidR="00421DD2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, prekompozocijom većine potrebne za odlučivanje u Savjetu i </w:t>
            </w:r>
            <w:r w:rsidR="0045059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uvođenje novine po kojoj univerziteti Crne Gore predlažu po dva člana, a Advokatska komora jednog člana Savjeta. Time bi se dala prednost institucijama obrazovanja s jedne, i većoj političkoj neutralnost s druge strane</w:t>
            </w:r>
            <w:r w:rsidR="00B706A6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, sa što većim dijapazonom predstavljanja svih društvenih aktera</w:t>
            </w:r>
            <w:r w:rsidR="0045059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. </w:t>
            </w:r>
            <w:r w:rsidR="007C257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U duhu pooštravanja kriterijuma za članove Savjeta, a sa ciljem jačanja profesionalnosti i potrebnog znanja i iskustva, uvećan je kriterijum u pogledu radnog iskustva za člana Savjeta, direktora RTCG i direktora Radija i Televizije javnog servisa na deset godina u VII1 nivou kvalifikacija</w:t>
            </w:r>
            <w:r w:rsidR="003E4A5C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obrazovanja</w:t>
            </w:r>
            <w:r w:rsidR="007C257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.</w:t>
            </w:r>
            <w:r w:rsidR="00E37F63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 xml:space="preserve"> </w:t>
            </w:r>
            <w:r w:rsidR="001E2780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U pogledu programske nezavisnosti, predviđeno je da, iako je RTCG nezavisna u uređivanju programa, ona mora biti u </w:t>
            </w:r>
            <w:r w:rsidR="001E2780" w:rsidRPr="007C257D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>skladu sa programskom osnovom koja je sastavni dio odobrenja koje izdaje regulator</w:t>
            </w:r>
            <w:r w:rsidR="001E2780">
              <w:rPr>
                <w:rFonts w:ascii="Times New Roman" w:eastAsiaTheme="minorHAnsi" w:hAnsi="Times New Roman"/>
                <w:b w:val="0"/>
                <w:noProof/>
                <w:szCs w:val="24"/>
                <w:lang w:val="sr-Latn-ME" w:eastAsia="en-US"/>
              </w:rPr>
              <w:t xml:space="preserve">. </w:t>
            </w:r>
            <w:r w:rsidR="00B706A6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Iako još uvijek u formi Nacrta, Medijska strategija Crne Gore, kao krovni strateški dokument u oblasti medija, jasno predviđa gore navedene ciljeve, a, između ostalog, i usvajanje ovog Zakona. Takođe, usvajanje novog Zakona o RTCG, sa akcentom na jačanje nezavi</w:t>
            </w:r>
            <w:r w:rsidR="00C7674D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s</w:t>
            </w:r>
            <w:r w:rsidR="00B706A6">
              <w:rPr>
                <w:rFonts w:ascii="Times New Roman" w:eastAsiaTheme="minorHAnsi" w:hAnsi="Times New Roman"/>
                <w:b w:val="0"/>
                <w:noProof/>
                <w:szCs w:val="24"/>
                <w:lang w:eastAsia="en-US"/>
              </w:rPr>
              <w:t>nosti Savjeta, predviđeno je i Programom rada Vlade za 2022. godinu.</w:t>
            </w:r>
          </w:p>
          <w:p w14:paraId="6ED0D888" w14:textId="77777777" w:rsidR="009632B2" w:rsidRDefault="009632B2" w:rsidP="00786383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15097084" w14:textId="3F6DB54B" w:rsidR="001E2780" w:rsidRPr="00320A5D" w:rsidRDefault="001E2780" w:rsidP="00786383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9632B2" w:rsidRPr="000511F0" w14:paraId="163A98D0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57332AE1" w14:textId="77777777" w:rsidR="009632B2" w:rsidRPr="005805F3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5805F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  <w:r w:rsidRPr="005805F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Opcije</w:t>
            </w:r>
          </w:p>
          <w:p w14:paraId="6100D1B4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7779C9AB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brazložiti preferiranu opciju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</w:tc>
      </w:tr>
      <w:tr w:rsidR="009632B2" w:rsidRPr="00EC385B" w14:paraId="430A8C0E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105286B" w14:textId="77777777" w:rsidR="009632B2" w:rsidRPr="00320A5D" w:rsidRDefault="009632B2" w:rsidP="0078638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</w:pP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Moguće su dvije opcije:</w:t>
            </w:r>
          </w:p>
          <w:p w14:paraId="1DEC8E4E" w14:textId="7D8E750A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</w:pP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Status quo ( Zakon o</w:t>
            </w:r>
            <w:r w:rsidR="00B706A6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 nacionalnom javnom emiteru Radio i Televizija Crne Gore</w:t>
            </w: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)</w:t>
            </w:r>
          </w:p>
          <w:p w14:paraId="171BFC5D" w14:textId="7642587F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</w:pP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Predlog </w:t>
            </w:r>
            <w:r w:rsidR="00B706A6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Z</w:t>
            </w: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akona o </w:t>
            </w:r>
            <w:r w:rsidR="00B706A6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javnom medijskom servisu Crne Gore</w:t>
            </w:r>
          </w:p>
          <w:p w14:paraId="3B76438F" w14:textId="5EFE853F" w:rsidR="009632B2" w:rsidRPr="001E2780" w:rsidRDefault="009632B2" w:rsidP="00786383">
            <w:pPr>
              <w:spacing w:line="276" w:lineRule="auto"/>
              <w:rPr>
                <w:rFonts w:ascii="Times New Roman" w:eastAsiaTheme="minorHAnsi" w:hAnsi="Times New Roman"/>
                <w:noProof/>
                <w:szCs w:val="24"/>
                <w:lang w:eastAsia="en-US"/>
              </w:rPr>
            </w:pP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Status quo ne može biti preferirana opcija iz razloga što </w:t>
            </w:r>
            <w:r w:rsidR="00B706A6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u trenutnom društvenom ambijentu, sa širenjem i modernizovanjem usluga koje javni servis nudi u svojoj ponudi, primjena </w:t>
            </w:r>
            <w:r w:rsidR="0025769F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važećeg rješenja ne bi bila komplementarna sa zahtjevima tržišta, gledalaca, slušalaca i čitalaca. U tom pogledu, a kako je već pomenuto, neophodno je uskladiti zakonska rješenja sa  Nacrtom Zakona o audiovizuelnim medijskim uslugama, čija je većina rješenja kompletarna. To je ujedno i skup preporuka međunarodnih eksperata Savjeta Evrope i Evropske Komisije, izložen kroz JUFREX </w:t>
            </w:r>
            <w:r w:rsidRPr="00320A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projek</w:t>
            </w:r>
            <w:r w:rsidR="0025769F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at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 o kom je prethodno bila riječ. Nacrtom se takođe konkretizuje i odnos koji RTCG ima sa </w:t>
            </w:r>
            <w:r w:rsidR="00E86B5D" w:rsidRP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pravn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im</w:t>
            </w:r>
            <w:r w:rsidR="00E86B5D" w:rsidRP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 lice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m</w:t>
            </w:r>
            <w:r w:rsidR="00E86B5D" w:rsidRP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 za prenos i emitovanje radio-difuznih signala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, na način da </w:t>
            </w:r>
            <w:r w:rsidR="00E86B5D" w:rsidRP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RTCG snosi troškove prenosa i emitovanja programa RTCG putem zemaljske mreže radio-difuznih predajnika i putem mreža sa slobodnim pristupom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>, te putem satelitskih sistema. U konačnom, omogućavanjem generalnom direktoru RTCG, direktoru Radija i Televizije RTCG i članovima Savjeta da nastave rad do isteka mandata na koji su izabrani</w:t>
            </w:r>
            <w:r w:rsidR="00723E0C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 u skladu sa postojećim rješenjem</w:t>
            </w:r>
            <w:r w:rsidR="00E86B5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, </w:t>
            </w:r>
            <w:r w:rsidR="00723E0C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obezbjeđuje </w:t>
            </w:r>
            <w:r w:rsidR="00C7674D">
              <w:rPr>
                <w:rFonts w:ascii="Times New Roman" w:eastAsiaTheme="minorHAnsi" w:hAnsi="Times New Roman"/>
                <w:b w:val="0"/>
                <w:bCs/>
                <w:noProof/>
                <w:szCs w:val="24"/>
                <w:lang w:eastAsia="en-US"/>
              </w:rPr>
              <w:t xml:space="preserve">se stabilnost javnog servisa. </w:t>
            </w:r>
          </w:p>
        </w:tc>
      </w:tr>
      <w:tr w:rsidR="009632B2" w:rsidRPr="00EC385B" w14:paraId="6D34A801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06ABDD64" w14:textId="77777777" w:rsidR="009632B2" w:rsidRPr="000511F0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8D4A5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 Analiza uticaja</w:t>
            </w:r>
          </w:p>
          <w:p w14:paraId="0A58F2D0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a koga će i kako će </w:t>
            </w:r>
            <w:proofErr w:type="spellStart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najvjerovatnije</w:t>
            </w:r>
            <w:proofErr w:type="spellEnd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uticati </w:t>
            </w:r>
            <w:proofErr w:type="spellStart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rješenja</w:t>
            </w:r>
            <w:proofErr w:type="spellEnd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 propisu 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abrojati pozitivne i negativne uticaje, direktne i indirektne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14:paraId="1167D2DB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troškove će </w:t>
            </w:r>
            <w:proofErr w:type="spellStart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primjena</w:t>
            </w:r>
            <w:proofErr w:type="spellEnd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propisa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izazvati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14:paraId="5710E55D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 li pozitivne posljedice donošenja propisa opravdava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ju troškove koje će on stvoriti.</w:t>
            </w:r>
          </w:p>
          <w:p w14:paraId="3E3BF767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se propisom podržava stvaranje novih privrednih subjekata na tržištu i tržišna konkurencija.</w:t>
            </w:r>
          </w:p>
          <w:p w14:paraId="1D8F035C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Uključiti procjenu administrativnih opterećenja i biznis barijera.</w:t>
            </w:r>
          </w:p>
          <w:p w14:paraId="1280AB34" w14:textId="77777777" w:rsidR="009632B2" w:rsidRPr="00320A5D" w:rsidRDefault="009632B2" w:rsidP="00786383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</w:p>
        </w:tc>
      </w:tr>
      <w:tr w:rsidR="009632B2" w:rsidRPr="00EC385B" w14:paraId="78E64F22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181E1E75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</w:p>
          <w:p w14:paraId="56833E27" w14:textId="07B798C2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 xml:space="preserve">Rješenja sadržana u propisu imaće pozitivan uticaj na </w:t>
            </w:r>
            <w:r w:rsidR="00723E0C">
              <w:rPr>
                <w:rFonts w:ascii="Times New Roman" w:hAnsi="Times New Roman"/>
                <w:b w:val="0"/>
                <w:szCs w:val="24"/>
                <w:lang w:val="pl-PL"/>
              </w:rPr>
              <w:t>jačanje nezavisnosti i odgovornosti RTCG, što kroz rukovodstvo i Savjet, što kroz ulogu koju RTCG treba da pokaže kao iskonski javni servis.</w:t>
            </w:r>
          </w:p>
          <w:p w14:paraId="03F43B3C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highlight w:val="yellow"/>
                <w:lang w:val="pl-PL"/>
              </w:rPr>
            </w:pPr>
          </w:p>
          <w:p w14:paraId="4B9110D6" w14:textId="4A5910E3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Primjena ovog Zakona neće izazvati dodatne troškove građanima i privredi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, mimo onih koji se odnose na </w:t>
            </w:r>
            <w:r w:rsidR="00723E0C">
              <w:rPr>
                <w:rFonts w:ascii="Times New Roman" w:hAnsi="Times New Roman"/>
                <w:b w:val="0"/>
                <w:szCs w:val="24"/>
                <w:lang w:val="pl-PL"/>
              </w:rPr>
              <w:t xml:space="preserve">povećan broj članova Savjeta 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i</w:t>
            </w:r>
            <w:r w:rsidR="00723E0C">
              <w:rPr>
                <w:rFonts w:ascii="Times New Roman" w:hAnsi="Times New Roman"/>
                <w:b w:val="0"/>
                <w:szCs w:val="24"/>
                <w:lang w:val="pl-PL"/>
              </w:rPr>
              <w:t xml:space="preserve"> uvođenje mjesečne naknade za rad Ombudsmana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 xml:space="preserve">,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u bruto iznosu u visini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 xml:space="preserve"> od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prosječne bruto zarade zaposlenih u RTCG u mjesecu koji prethodi isplati naknade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.</w:t>
            </w:r>
          </w:p>
          <w:p w14:paraId="173FC9BF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highlight w:val="yellow"/>
                <w:lang w:val="pl-PL"/>
              </w:rPr>
            </w:pPr>
          </w:p>
          <w:p w14:paraId="052B5C5D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 xml:space="preserve">Ovim aktom ne predviđa se osnivanje novih privrednih subjekata na tržištu. </w:t>
            </w:r>
          </w:p>
          <w:p w14:paraId="6B830332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highlight w:val="yellow"/>
                <w:lang w:val="pl-PL"/>
              </w:rPr>
            </w:pPr>
          </w:p>
          <w:p w14:paraId="1C1E83D6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Donošenjem predloženog akta ne stvaraju se administrativna opterećenja i biznis barijere.</w:t>
            </w:r>
          </w:p>
          <w:p w14:paraId="59B46728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</w:p>
        </w:tc>
      </w:tr>
      <w:tr w:rsidR="009632B2" w:rsidRPr="000511F0" w14:paraId="61BB4C7A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676B0E1" w14:textId="77777777" w:rsidR="009632B2" w:rsidRPr="001D0BF0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1D0B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1D0B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Procjena</w:t>
            </w:r>
            <w:proofErr w:type="spellEnd"/>
            <w:r w:rsidRPr="001D0B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fiskalnog uticaja</w:t>
            </w:r>
          </w:p>
          <w:p w14:paraId="026C8660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je potrebno obezbjeđenje finansijskih sredstava iz budžeta Crne Gore za implementaciju propisa i u kom iznosu?</w:t>
            </w:r>
          </w:p>
          <w:p w14:paraId="186BD42A" w14:textId="77777777" w:rsidR="009632B2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Da li je obezbjeđenje finansijskih sredstava jednokratno, ili tokom određenog vremenskog perioda?  </w:t>
            </w:r>
            <w:r w:rsidRPr="001D0B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14:paraId="7BB70714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Da li implementacijom propisa proizilaze međunarodne finansijske obaveze?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Obrazložiti.</w:t>
            </w:r>
          </w:p>
          <w:p w14:paraId="37978779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su neophodna finansijska sredstva obezbijeđena u budžetu za tekuću fiskalnu godinu, odnosno da li su planirana u budžetu za narednu fiskanu godinu?</w:t>
            </w:r>
          </w:p>
          <w:p w14:paraId="4B34F483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je usvajanjem propisa predviđeno donošenje podzakonskih akata iz kojih će proisteći finansijske obaveze?</w:t>
            </w:r>
          </w:p>
          <w:p w14:paraId="49953156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će se implementacijom propisa ostvariti prihod za budžet Crne Gore?</w:t>
            </w:r>
          </w:p>
          <w:p w14:paraId="7B9291B8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Dbrazložiti metodologiju koja je korišćenja prilikom obračuna finansijskih izdataka/prihoda.</w:t>
            </w:r>
          </w:p>
          <w:p w14:paraId="40ED4C1C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Da li su postojali problemi u preciznom obračunu finansijskih izdataka/prihoda? </w:t>
            </w:r>
            <w:proofErr w:type="spellStart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žiti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.</w:t>
            </w:r>
          </w:p>
          <w:p w14:paraId="6A8DA935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Da li su postojale sugestije Ministarstva finansija na nacrt/predlog propisa?</w:t>
            </w:r>
          </w:p>
          <w:p w14:paraId="57A14AB1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Da li su dobijene primjedbe uključene u tekst propisa? </w:t>
            </w:r>
            <w:proofErr w:type="spellStart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Obra</w:t>
            </w:r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zložiti</w:t>
            </w:r>
            <w:proofErr w:type="spellEnd"/>
            <w:r w:rsidRPr="00A0777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9632B2" w:rsidRPr="00EC385B" w14:paraId="61387D09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971DEE7" w14:textId="77777777" w:rsidR="009632B2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306385F" w14:textId="77777777" w:rsidR="00FE52AA" w:rsidRPr="00FE52AA" w:rsidRDefault="009632B2" w:rsidP="00FE52AA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</w:rPr>
            </w:pP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Nacrtom</w:t>
            </w:r>
            <w:r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zakona</w:t>
            </w:r>
            <w:r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se</w:t>
            </w:r>
            <w:r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predvi</w:t>
            </w:r>
            <w:r w:rsidRPr="006A2BBE">
              <w:rPr>
                <w:rFonts w:ascii="Times New Roman" w:hAnsi="Times New Roman"/>
                <w:b w:val="0"/>
                <w:szCs w:val="24"/>
              </w:rPr>
              <w:t>đ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a</w:t>
            </w:r>
            <w:r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pove</w:t>
            </w:r>
            <w:r w:rsidRPr="006A2BBE">
              <w:rPr>
                <w:rFonts w:ascii="Times New Roman" w:hAnsi="Times New Roman"/>
                <w:b w:val="0"/>
                <w:szCs w:val="24"/>
              </w:rPr>
              <w:t>ć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anje</w:t>
            </w:r>
            <w:r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</w:rPr>
              <w:t xml:space="preserve">izdvajanje za </w:t>
            </w:r>
            <w:proofErr w:type="spellStart"/>
            <w:r w:rsidR="00FE52AA">
              <w:rPr>
                <w:rFonts w:ascii="Times New Roman" w:hAnsi="Times New Roman"/>
                <w:b w:val="0"/>
                <w:szCs w:val="24"/>
              </w:rPr>
              <w:t>Savjet</w:t>
            </w:r>
            <w:proofErr w:type="spellEnd"/>
            <w:r w:rsidR="00FE52AA">
              <w:rPr>
                <w:rFonts w:ascii="Times New Roman" w:hAnsi="Times New Roman"/>
                <w:b w:val="0"/>
                <w:szCs w:val="24"/>
              </w:rPr>
              <w:t xml:space="preserve"> RTCG, budući na povećan broj njegovih članova, uz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uvo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>đ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enje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mjese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>č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ne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naknade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za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rad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Ombudsmana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,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bruto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iznosu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visini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od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prosje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>č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ne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bruto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zarade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zaposlenih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RTCG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mjesecu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koji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prethodi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isplati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 w:rsidRPr="00FE52AA">
              <w:rPr>
                <w:rFonts w:ascii="Times New Roman" w:hAnsi="Times New Roman"/>
                <w:b w:val="0"/>
                <w:szCs w:val="24"/>
                <w:lang w:val="pl-PL"/>
              </w:rPr>
              <w:t>naknade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>.</w:t>
            </w:r>
          </w:p>
          <w:p w14:paraId="70AD4955" w14:textId="77777777" w:rsidR="00FE52AA" w:rsidRPr="00FE52AA" w:rsidRDefault="00FE52AA" w:rsidP="00FE52AA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highlight w:val="yellow"/>
              </w:rPr>
            </w:pPr>
          </w:p>
          <w:p w14:paraId="5081240D" w14:textId="55A46B6B" w:rsidR="009632B2" w:rsidRPr="00FE52AA" w:rsidRDefault="00FE52AA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Navedena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sredstva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nijesu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obezbje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>đ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ena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bud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>ž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etu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za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teku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>ć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fiskalnu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godinu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,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niti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su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ovom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trenutku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planirana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za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narednu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fiskalnu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9632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godinu</w:t>
            </w:r>
            <w:r w:rsidR="009632B2" w:rsidRPr="006A2BBE">
              <w:rPr>
                <w:rFonts w:ascii="Times New Roman" w:hAnsi="Times New Roman"/>
                <w:b w:val="0"/>
                <w:szCs w:val="24"/>
              </w:rPr>
              <w:t>.</w:t>
            </w:r>
            <w:r w:rsidR="009632B2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  <w:p w14:paraId="7BE2B16B" w14:textId="77777777" w:rsidR="009632B2" w:rsidRPr="006A2BBE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</w:rPr>
            </w:pPr>
          </w:p>
          <w:p w14:paraId="42BD5314" w14:textId="77777777" w:rsidR="009632B2" w:rsidRPr="00EF07E3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Implementacija propisa ne podrazumijeva ni međunarodne finansijske obaveze. </w:t>
            </w:r>
          </w:p>
          <w:p w14:paraId="7428EDD2" w14:textId="77777777" w:rsidR="009632B2" w:rsidRPr="00320A5D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</w:p>
        </w:tc>
      </w:tr>
      <w:tr w:rsidR="009632B2" w:rsidRPr="000511F0" w14:paraId="236B83EF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4F21A3E7" w14:textId="77777777" w:rsidR="009632B2" w:rsidRPr="000511F0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6. </w:t>
            </w:r>
            <w:r w:rsidRPr="000511F0"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  <w:t>K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onsultacije zainteresovanih strana</w:t>
            </w:r>
          </w:p>
          <w:p w14:paraId="5899A265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Naznačiti da li je korišćena eksterna ekspertska podrška i ako da, kako.</w:t>
            </w:r>
          </w:p>
          <w:p w14:paraId="18F7CF7D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Naznačiti koje su grupe zainteresovanih strana konsultovane, u kojoj fazi RIA procesa i kako (javne ili ciljane konsultacije).</w:t>
            </w:r>
          </w:p>
          <w:p w14:paraId="75DFBD3B" w14:textId="77777777" w:rsidR="009632B2" w:rsidRPr="00A07773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Naznačiti glavne rezultate konsultacija, i koji su predlozi i sugestije zainteresovanih strana prihvaćeni odnosno nijesu prihvaćeni.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Obrazložiti.</w:t>
            </w:r>
          </w:p>
        </w:tc>
      </w:tr>
      <w:tr w:rsidR="009632B2" w:rsidRPr="00EC385B" w14:paraId="20B0FCF4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EB13945" w14:textId="77777777" w:rsidR="009632B2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  <w:p w14:paraId="2D8349BF" w14:textId="7ABDBACF" w:rsidR="009632B2" w:rsidRPr="001E2780" w:rsidRDefault="009632B2" w:rsidP="00786383">
            <w:pPr>
              <w:spacing w:after="120" w:line="276" w:lineRule="auto"/>
              <w:rPr>
                <w:rFonts w:ascii="Times New Roman" w:eastAsia="Palatino Linotype" w:hAnsi="Times New Roman"/>
                <w:bCs/>
                <w:noProof/>
                <w:szCs w:val="24"/>
                <w:lang w:val="sr-Latn-ME"/>
              </w:rPr>
            </w:pP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Izrada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Nacrta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zakona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o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javnom</w:t>
            </w:r>
            <w:r w:rsidR="00FE52AA" w:rsidRPr="00FE52A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E52AA">
              <w:rPr>
                <w:rFonts w:ascii="Times New Roman" w:hAnsi="Times New Roman"/>
                <w:b w:val="0"/>
                <w:szCs w:val="24"/>
              </w:rPr>
              <w:t xml:space="preserve">medijskog servisu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rezultat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je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rada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pluralne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radne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320A5D">
              <w:rPr>
                <w:rFonts w:ascii="Times New Roman" w:hAnsi="Times New Roman"/>
                <w:b w:val="0"/>
                <w:szCs w:val="24"/>
                <w:lang w:val="pl-PL"/>
              </w:rPr>
              <w:t>grupe</w:t>
            </w:r>
            <w:r w:rsidRPr="007066F7">
              <w:rPr>
                <w:rFonts w:ascii="Times New Roman" w:hAnsi="Times New Roman"/>
                <w:b w:val="0"/>
                <w:szCs w:val="24"/>
              </w:rPr>
              <w:t xml:space="preserve">,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sastavljene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od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medija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medijskih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udru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enja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civilnog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dru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š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tva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akademske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zajednice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nezavisnih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regulatora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predstavnike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tu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ila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š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tva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samoregulatornih</w:t>
            </w:r>
            <w:r w:rsidR="00C7674D" w:rsidRPr="00A200F4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C7674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tijela</w:t>
            </w:r>
            <w:r w:rsidR="00C7674D"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dr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avnih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320A5D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organa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, š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to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je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sljedovalo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nakon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ekspertskog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pregleda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od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strane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Savjeta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Evrope</w:t>
            </w:r>
            <w:r w:rsidRPr="007066F7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. 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Nakon dobijenih ekspertskih mi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š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ljenja SE (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april 2021. godine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)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radna grupa 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je usaglasila ekspertske komentare sa prvobitnim tekstom 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akona o</w:t>
            </w:r>
            <w:r w:rsidR="00FE52AA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RTCG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, te ga u i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u t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akvoj verziji pripremil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za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</w:t>
            </w:r>
            <w:r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javnu raspravu.</w:t>
            </w:r>
          </w:p>
        </w:tc>
      </w:tr>
      <w:tr w:rsidR="009632B2" w:rsidRPr="00EC385B" w14:paraId="4B6C3949" w14:textId="77777777" w:rsidTr="0078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40E4EAF1" w14:textId="77777777" w:rsidR="009632B2" w:rsidRPr="000511F0" w:rsidRDefault="009632B2" w:rsidP="0078638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0511F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: Monitoring i evaluacija</w:t>
            </w:r>
          </w:p>
          <w:p w14:paraId="2915F246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 xml:space="preserve">Koje su potencijalne prepreke za implementaciju propisa? </w:t>
            </w:r>
          </w:p>
          <w:p w14:paraId="49FC2F49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Koje će mjere biti preduzete tokom primjene propisa da bi se ispunili ciljevi?</w:t>
            </w:r>
          </w:p>
          <w:p w14:paraId="6AAEE4C6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Koji su glavni indikatori prema kojima će se mjeriti ispunjenje ciljeva?</w:t>
            </w:r>
          </w:p>
          <w:p w14:paraId="528B774A" w14:textId="77777777" w:rsidR="009632B2" w:rsidRPr="00320A5D" w:rsidRDefault="009632B2" w:rsidP="007863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  <w:r w:rsidRPr="00320A5D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pl-PL"/>
              </w:rPr>
              <w:t>Ko će biti zadužen za sprovođenje monitoringa i evaluacije primjene propisa?</w:t>
            </w:r>
          </w:p>
        </w:tc>
      </w:tr>
      <w:tr w:rsidR="009632B2" w:rsidRPr="00EC385B" w14:paraId="7AE31DA9" w14:textId="77777777" w:rsidTr="0078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11DE7279" w14:textId="77777777" w:rsidR="009632B2" w:rsidRPr="00EF07E3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>Za implementaciju propisa ne postoje prepreke.</w:t>
            </w:r>
          </w:p>
          <w:p w14:paraId="1DDA5457" w14:textId="77777777" w:rsidR="009632B2" w:rsidRPr="00EF07E3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5BE252EA" w14:textId="1A49A85F" w:rsidR="009632B2" w:rsidRPr="00EF07E3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Glavni indikatori ispunjanja ciljeva ogledaće se u snaženju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 xml:space="preserve">Savjeta uz svođenje </w:t>
            </w:r>
            <w:r w:rsidR="00B8071F">
              <w:rPr>
                <w:rFonts w:ascii="Times New Roman" w:hAnsi="Times New Roman"/>
                <w:b w:val="0"/>
                <w:szCs w:val="24"/>
                <w:lang w:val="pl-PL"/>
              </w:rPr>
              <w:t xml:space="preserve">mogućnosti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političkog uticaja na</w:t>
            </w:r>
            <w:r w:rsidR="00B8071F">
              <w:rPr>
                <w:rFonts w:ascii="Times New Roman" w:hAnsi="Times New Roman"/>
                <w:b w:val="0"/>
                <w:szCs w:val="24"/>
                <w:lang w:val="pl-PL"/>
              </w:rPr>
              <w:t xml:space="preserve"> minimum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, </w:t>
            </w:r>
            <w:r w:rsidR="00FE52AA">
              <w:rPr>
                <w:rFonts w:ascii="Times New Roman" w:hAnsi="Times New Roman"/>
                <w:b w:val="0"/>
                <w:szCs w:val="24"/>
                <w:lang w:val="pl-PL"/>
              </w:rPr>
              <w:t>jačanju transparetnosti</w:t>
            </w:r>
            <w:r w:rsidR="00B8071F">
              <w:rPr>
                <w:rFonts w:ascii="Times New Roman" w:hAnsi="Times New Roman"/>
                <w:b w:val="0"/>
                <w:szCs w:val="24"/>
                <w:lang w:val="pl-PL"/>
              </w:rPr>
              <w:t xml:space="preserve"> u radu RTCG i jačanje odgovornosti rukovodstva RTCG za rad, te 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>ispunjenju preporuka iz JUFREX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 </w:t>
            </w:r>
            <w:r>
              <w:rPr>
                <w:b w:val="0"/>
              </w:rPr>
              <w:t>i JUFREX 2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 Analize medijskog sektora Crne Gore i</w:t>
            </w:r>
            <w:r w:rsidR="00B8071F">
              <w:rPr>
                <w:rFonts w:ascii="Times New Roman" w:hAnsi="Times New Roman"/>
                <w:b w:val="0"/>
                <w:szCs w:val="24"/>
                <w:lang w:val="pl-PL"/>
              </w:rPr>
              <w:t xml:space="preserve"> uskađenost u dijelu koji se tiče RTCG, sa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 Direktiv</w:t>
            </w:r>
            <w:r w:rsidR="00B8071F">
              <w:rPr>
                <w:rFonts w:ascii="Times New Roman" w:hAnsi="Times New Roman"/>
                <w:b w:val="0"/>
                <w:szCs w:val="24"/>
                <w:lang w:val="pl-PL"/>
              </w:rPr>
              <w:t>om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t xml:space="preserve"> (EU) 2018/1808. o </w:t>
            </w:r>
            <w:r w:rsidRPr="00EF07E3">
              <w:rPr>
                <w:rFonts w:ascii="Times New Roman" w:hAnsi="Times New Roman"/>
                <w:b w:val="0"/>
                <w:szCs w:val="24"/>
                <w:lang w:val="pl-PL"/>
              </w:rPr>
              <w:lastRenderedPageBreak/>
              <w:t>izmjeni Direktive 2010/13/EU o koordinaciji određenih odredaba utvrđenih zakonima i drugim propisima u državama članicama o pružanju audiovizualnih medijskih usluga (Direktiva o audiovizuelnim medijskim uslugama).</w:t>
            </w:r>
          </w:p>
          <w:p w14:paraId="1493B586" w14:textId="77777777" w:rsidR="009632B2" w:rsidRPr="00EF07E3" w:rsidRDefault="009632B2" w:rsidP="00786383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15B27946" w14:textId="77777777" w:rsidR="009632B2" w:rsidRPr="00320A5D" w:rsidRDefault="009632B2" w:rsidP="00B807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  <w:lang w:val="pl-PL"/>
              </w:rPr>
            </w:pPr>
          </w:p>
        </w:tc>
      </w:tr>
    </w:tbl>
    <w:p w14:paraId="6F0B107F" w14:textId="1E7C8C9D" w:rsidR="00FF2192" w:rsidRDefault="00FF2192" w:rsidP="009632B2"/>
    <w:p w14:paraId="2B2B20B4" w14:textId="30925FAD" w:rsidR="009632B2" w:rsidRDefault="009632B2" w:rsidP="009632B2"/>
    <w:p w14:paraId="7A6D31DB" w14:textId="4A1E9FBC" w:rsidR="009632B2" w:rsidRDefault="009632B2" w:rsidP="009632B2"/>
    <w:p w14:paraId="13E2CED5" w14:textId="7F258B8E" w:rsidR="009632B2" w:rsidRDefault="009632B2" w:rsidP="009632B2"/>
    <w:p w14:paraId="5E67C00B" w14:textId="4D3F50C5" w:rsidR="009632B2" w:rsidRDefault="009632B2" w:rsidP="009632B2"/>
    <w:p w14:paraId="110A6931" w14:textId="77777777" w:rsidR="009632B2" w:rsidRDefault="009632B2" w:rsidP="009632B2"/>
    <w:p w14:paraId="4DDC2702" w14:textId="34E2701F" w:rsidR="009632B2" w:rsidRPr="006A635A" w:rsidRDefault="009632B2" w:rsidP="009632B2">
      <w:pPr>
        <w:rPr>
          <w:rFonts w:ascii="Arial" w:hAnsi="Arial" w:cs="Arial"/>
          <w:b/>
          <w:color w:val="2F5496" w:themeColor="accent1" w:themeShade="BF"/>
          <w:lang w:val="pl-PL"/>
        </w:rPr>
      </w:pPr>
      <w:r w:rsidRPr="006A635A">
        <w:rPr>
          <w:rFonts w:ascii="Arial" w:hAnsi="Arial" w:cs="Arial"/>
          <w:b/>
          <w:color w:val="2F5496" w:themeColor="accent1" w:themeShade="BF"/>
          <w:lang w:val="pl-PL"/>
        </w:rPr>
        <w:t>Datum i mjesto</w:t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ab/>
      </w:r>
      <w:r w:rsidR="005E32AD">
        <w:rPr>
          <w:rFonts w:ascii="Arial" w:hAnsi="Arial" w:cs="Arial"/>
          <w:b/>
          <w:color w:val="2F5496" w:themeColor="accent1" w:themeShade="BF"/>
          <w:lang w:val="pl-PL"/>
        </w:rPr>
        <w:t xml:space="preserve">                       </w:t>
      </w:r>
      <w:r w:rsidRPr="006A635A">
        <w:rPr>
          <w:rFonts w:ascii="Arial" w:hAnsi="Arial" w:cs="Arial"/>
          <w:b/>
          <w:color w:val="2F5496" w:themeColor="accent1" w:themeShade="BF"/>
          <w:lang w:val="pl-PL"/>
        </w:rPr>
        <w:t xml:space="preserve">Starješina </w:t>
      </w:r>
    </w:p>
    <w:p w14:paraId="11D16966" w14:textId="77777777" w:rsidR="009632B2" w:rsidRPr="006A635A" w:rsidRDefault="009632B2" w:rsidP="009632B2">
      <w:pPr>
        <w:rPr>
          <w:rFonts w:ascii="Arial" w:hAnsi="Arial" w:cs="Arial"/>
          <w:color w:val="2F5496" w:themeColor="accent1" w:themeShade="BF"/>
          <w:lang w:val="pl-PL"/>
        </w:rPr>
      </w:pPr>
    </w:p>
    <w:p w14:paraId="29C51BB0" w14:textId="6320EEFA" w:rsidR="009632B2" w:rsidRPr="006A635A" w:rsidRDefault="00A200F4" w:rsidP="009632B2">
      <w:pPr>
        <w:rPr>
          <w:rFonts w:ascii="Arial" w:hAnsi="Arial" w:cs="Arial"/>
          <w:color w:val="2F5496" w:themeColor="accent1" w:themeShade="BF"/>
          <w:lang w:val="pl-PL"/>
        </w:rPr>
      </w:pPr>
      <w:r>
        <w:rPr>
          <w:rFonts w:ascii="Arial" w:hAnsi="Arial" w:cs="Arial"/>
          <w:color w:val="2F5496" w:themeColor="accent1" w:themeShade="BF"/>
          <w:lang w:val="pl-PL"/>
        </w:rPr>
        <w:t>7</w:t>
      </w:r>
      <w:r w:rsidR="009632B2" w:rsidRPr="006A635A">
        <w:rPr>
          <w:rFonts w:ascii="Arial" w:hAnsi="Arial" w:cs="Arial"/>
          <w:color w:val="2F5496" w:themeColor="accent1" w:themeShade="BF"/>
          <w:lang w:val="pl-PL"/>
        </w:rPr>
        <w:t xml:space="preserve">. </w:t>
      </w:r>
      <w:r>
        <w:rPr>
          <w:rFonts w:ascii="Arial" w:hAnsi="Arial" w:cs="Arial"/>
          <w:color w:val="2F5496" w:themeColor="accent1" w:themeShade="BF"/>
          <w:lang w:val="pl-PL"/>
        </w:rPr>
        <w:t xml:space="preserve">novembar </w:t>
      </w:r>
      <w:r w:rsidR="009632B2" w:rsidRPr="006A635A">
        <w:rPr>
          <w:rFonts w:ascii="Arial" w:hAnsi="Arial" w:cs="Arial"/>
          <w:color w:val="2F5496" w:themeColor="accent1" w:themeShade="BF"/>
          <w:lang w:val="pl-PL"/>
        </w:rPr>
        <w:t>20</w:t>
      </w:r>
      <w:r w:rsidR="009632B2">
        <w:rPr>
          <w:rFonts w:ascii="Arial" w:hAnsi="Arial" w:cs="Arial"/>
          <w:color w:val="2F5496" w:themeColor="accent1" w:themeShade="BF"/>
          <w:lang w:val="pl-PL"/>
        </w:rPr>
        <w:t>22</w:t>
      </w:r>
      <w:r w:rsidR="009632B2" w:rsidRPr="006A635A">
        <w:rPr>
          <w:rFonts w:ascii="Arial" w:hAnsi="Arial" w:cs="Arial"/>
          <w:color w:val="2F5496" w:themeColor="accent1" w:themeShade="BF"/>
          <w:lang w:val="pl-PL"/>
        </w:rPr>
        <w:t>.godine</w:t>
      </w:r>
      <w:r w:rsidR="005E32AD">
        <w:rPr>
          <w:rFonts w:ascii="Arial" w:hAnsi="Arial" w:cs="Arial"/>
          <w:color w:val="2F5496" w:themeColor="accent1" w:themeShade="BF"/>
          <w:lang w:val="pl-PL"/>
        </w:rPr>
        <w:t>, Podgorica</w:t>
      </w:r>
      <w:r w:rsidR="009632B2" w:rsidRPr="006A635A">
        <w:rPr>
          <w:rFonts w:ascii="Arial" w:hAnsi="Arial" w:cs="Arial"/>
          <w:color w:val="44546A" w:themeColor="text2"/>
          <w:lang w:val="pl-PL"/>
        </w:rPr>
        <w:tab/>
      </w:r>
      <w:r w:rsidR="009632B2" w:rsidRPr="006A635A">
        <w:rPr>
          <w:rFonts w:ascii="Arial" w:hAnsi="Arial" w:cs="Arial"/>
          <w:color w:val="44546A" w:themeColor="text2"/>
          <w:lang w:val="pl-PL"/>
        </w:rPr>
        <w:tab/>
        <w:t xml:space="preserve">                         </w:t>
      </w:r>
      <w:r w:rsidR="009632B2" w:rsidRPr="006A635A">
        <w:rPr>
          <w:rFonts w:ascii="Arial" w:hAnsi="Arial" w:cs="Arial"/>
          <w:color w:val="2F5496" w:themeColor="accent1" w:themeShade="BF"/>
          <w:lang w:val="pl-PL"/>
        </w:rPr>
        <w:t>_________________</w:t>
      </w:r>
    </w:p>
    <w:p w14:paraId="00C2D7C4" w14:textId="77777777" w:rsidR="009632B2" w:rsidRPr="009632B2" w:rsidRDefault="009632B2" w:rsidP="009632B2">
      <w:pPr>
        <w:rPr>
          <w:lang w:val="pl-PL"/>
        </w:rPr>
      </w:pPr>
    </w:p>
    <w:sectPr w:rsidR="009632B2" w:rsidRPr="0096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F61"/>
    <w:multiLevelType w:val="hybridMultilevel"/>
    <w:tmpl w:val="8458898E"/>
    <w:lvl w:ilvl="0" w:tplc="ACF4933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0081568">
    <w:abstractNumId w:val="1"/>
  </w:num>
  <w:num w:numId="2" w16cid:durableId="158475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F6"/>
    <w:rsid w:val="000755A7"/>
    <w:rsid w:val="001E2780"/>
    <w:rsid w:val="00220E9F"/>
    <w:rsid w:val="0025769F"/>
    <w:rsid w:val="002E0F6F"/>
    <w:rsid w:val="003E4A5C"/>
    <w:rsid w:val="00421DD2"/>
    <w:rsid w:val="0045059D"/>
    <w:rsid w:val="004B679B"/>
    <w:rsid w:val="0052068A"/>
    <w:rsid w:val="00544CEC"/>
    <w:rsid w:val="00571F43"/>
    <w:rsid w:val="005E32AD"/>
    <w:rsid w:val="00723E0C"/>
    <w:rsid w:val="007C257D"/>
    <w:rsid w:val="00847CF6"/>
    <w:rsid w:val="008D726B"/>
    <w:rsid w:val="008F53E5"/>
    <w:rsid w:val="009632B2"/>
    <w:rsid w:val="009C7B8E"/>
    <w:rsid w:val="009D232D"/>
    <w:rsid w:val="00A200F4"/>
    <w:rsid w:val="00B23559"/>
    <w:rsid w:val="00B706A6"/>
    <w:rsid w:val="00B8071F"/>
    <w:rsid w:val="00C35341"/>
    <w:rsid w:val="00C7674D"/>
    <w:rsid w:val="00DB3C3E"/>
    <w:rsid w:val="00DD2EF4"/>
    <w:rsid w:val="00E3351E"/>
    <w:rsid w:val="00E37F63"/>
    <w:rsid w:val="00E44E39"/>
    <w:rsid w:val="00E86B5D"/>
    <w:rsid w:val="00EB4D42"/>
    <w:rsid w:val="00FD5A79"/>
    <w:rsid w:val="00FE52AA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21C6"/>
  <w15:chartTrackingRefBased/>
  <w15:docId w15:val="{2CA2BAAC-4D67-47F3-A69C-76A6CBC9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9632B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sr-Latn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2B2"/>
    <w:pPr>
      <w:ind w:left="720"/>
    </w:pPr>
  </w:style>
  <w:style w:type="table" w:styleId="LightGrid-Accent5">
    <w:name w:val="Light Grid Accent 5"/>
    <w:basedOn w:val="TableNormal"/>
    <w:uiPriority w:val="62"/>
    <w:rsid w:val="009632B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normalchar">
    <w:name w:val="normal__char"/>
    <w:basedOn w:val="DefaultParagraphFont"/>
    <w:rsid w:val="009632B2"/>
  </w:style>
  <w:style w:type="paragraph" w:styleId="BodyText">
    <w:name w:val="Body Text"/>
    <w:basedOn w:val="Normal"/>
    <w:link w:val="BodyTextChar"/>
    <w:uiPriority w:val="1"/>
    <w:qFormat/>
    <w:rsid w:val="009632B2"/>
    <w:pPr>
      <w:widowControl w:val="0"/>
      <w:autoSpaceDE w:val="0"/>
      <w:autoSpaceDN w:val="0"/>
      <w:jc w:val="left"/>
    </w:pPr>
    <w:rPr>
      <w:rFonts w:ascii="Times New Roman" w:hAnsi="Times New Roman"/>
      <w:bCs w:val="0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32B2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Ђорђије Дринчић</dc:creator>
  <cp:keywords/>
  <dc:description/>
  <cp:lastModifiedBy>Ђорђије Дринчић</cp:lastModifiedBy>
  <cp:revision>6</cp:revision>
  <dcterms:created xsi:type="dcterms:W3CDTF">2022-10-04T13:18:00Z</dcterms:created>
  <dcterms:modified xsi:type="dcterms:W3CDTF">2022-11-03T09:14:00Z</dcterms:modified>
</cp:coreProperties>
</file>