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21FA" w:rsidRDefault="008E21FA">
      <w:pPr>
        <w:spacing w:before="0" w:after="0" w:line="240" w:lineRule="auto"/>
        <w:ind w:left="1134"/>
        <w:rPr>
          <w:bCs/>
          <w:lang w:val="sr-Latn-RS"/>
        </w:rPr>
      </w:pPr>
    </w:p>
    <w:p w:rsidR="00471E41" w:rsidRDefault="007D4294">
      <w:pPr>
        <w:tabs>
          <w:tab w:val="left" w:pos="1134"/>
          <w:tab w:val="left" w:pos="7797"/>
        </w:tabs>
        <w:spacing w:before="0" w:after="0" w:line="240" w:lineRule="auto"/>
        <w:rPr>
          <w:sz w:val="20"/>
        </w:rPr>
      </w:pPr>
      <w:r>
        <w:rPr>
          <w:color w:val="000000"/>
          <w:sz w:val="20"/>
        </w:rPr>
        <w:t>Br:</w:t>
      </w:r>
      <w:r w:rsidR="007C4FF7">
        <w:rPr>
          <w:color w:val="000000"/>
          <w:sz w:val="20"/>
        </w:rPr>
        <w:t>01-056/26-1561</w:t>
      </w:r>
      <w:r w:rsidR="00E907BB">
        <w:rPr>
          <w:bCs/>
          <w:sz w:val="20"/>
          <w:lang w:val="sr-Latn-RS"/>
        </w:rPr>
        <w:t xml:space="preserve">                                                                                                                                                                           </w:t>
      </w:r>
      <w:bookmarkStart w:id="0" w:name="_GoBack"/>
      <w:bookmarkEnd w:id="0"/>
      <w:r w:rsidR="00E907BB">
        <w:rPr>
          <w:bCs/>
          <w:sz w:val="20"/>
          <w:lang w:val="sr-Latn-RS"/>
        </w:rPr>
        <w:t xml:space="preserve">                          </w:t>
      </w:r>
      <w:r w:rsidR="007C4FF7">
        <w:rPr>
          <w:sz w:val="20"/>
        </w:rPr>
        <w:t>10</w:t>
      </w:r>
      <w:r>
        <w:rPr>
          <w:sz w:val="20"/>
        </w:rPr>
        <w:t xml:space="preserve">. </w:t>
      </w:r>
      <w:r w:rsidR="00AF1FD9">
        <w:rPr>
          <w:sz w:val="20"/>
        </w:rPr>
        <w:t>septembar</w:t>
      </w:r>
      <w:r>
        <w:rPr>
          <w:sz w:val="20"/>
        </w:rPr>
        <w:t xml:space="preserve"> 2026. godine</w:t>
      </w:r>
    </w:p>
    <w:p w:rsidR="00E907BB" w:rsidRDefault="00E907BB">
      <w:pPr>
        <w:tabs>
          <w:tab w:val="left" w:pos="1134"/>
          <w:tab w:val="left" w:pos="7797"/>
        </w:tabs>
        <w:spacing w:before="0" w:after="0" w:line="240" w:lineRule="auto"/>
        <w:rPr>
          <w:bCs/>
          <w:sz w:val="20"/>
          <w:lang w:val="sr-Latn-RS"/>
        </w:rPr>
      </w:pPr>
    </w:p>
    <w:p w:rsidR="00471E41" w:rsidRDefault="007D4294">
      <w:pPr>
        <w:jc w:val="center"/>
        <w:rPr>
          <w:b/>
          <w:lang w:val="sr-Latn-RS"/>
        </w:rPr>
      </w:pPr>
      <w:r>
        <w:rPr>
          <w:b/>
          <w:sz w:val="36"/>
        </w:rPr>
        <w:t>S E K T O R S K A   A N A L I Z A</w:t>
      </w:r>
      <w:r>
        <w:rPr>
          <w:b/>
        </w:rPr>
        <w:br/>
        <w:t>za utvrđivanje predloga prioritetnih oblasti od javnog interesa i potrebnih sredstava</w:t>
      </w:r>
      <w:r>
        <w:rPr>
          <w:b/>
        </w:rPr>
        <w:br/>
        <w:t>za finansiranje projekata i programa nevladinih organizacija</w:t>
      </w:r>
      <w:r>
        <w:rPr>
          <w:b/>
        </w:rPr>
        <w:br/>
        <w:t>iz Budžeta Crne Gore u 2027. godini</w:t>
      </w:r>
    </w:p>
    <w:p w:rsidR="007A3DD1" w:rsidRDefault="007A3DD1" w:rsidP="00370754">
      <w:pPr>
        <w:jc w:val="center"/>
        <w:rPr>
          <w:b/>
          <w:lang w:val="sr-Latn-RS"/>
        </w:rPr>
      </w:pPr>
    </w:p>
    <w:p w:rsidR="007A3DD1" w:rsidRDefault="007A3DD1" w:rsidP="00370754">
      <w:pPr>
        <w:jc w:val="center"/>
        <w:rPr>
          <w:b/>
          <w:lang w:val="sr-Latn-RS"/>
        </w:rPr>
      </w:pPr>
    </w:p>
    <w:p w:rsidR="007A3DD1" w:rsidRDefault="007A3DD1" w:rsidP="00370754">
      <w:pPr>
        <w:jc w:val="center"/>
        <w:rPr>
          <w:b/>
          <w:lang w:val="sr-Latn-RS"/>
        </w:rPr>
      </w:pPr>
    </w:p>
    <w:p w:rsidR="007A3DD1" w:rsidRPr="006F4DB3" w:rsidRDefault="007A3DD1" w:rsidP="00370754">
      <w:pPr>
        <w:jc w:val="center"/>
        <w:rPr>
          <w:b/>
          <w:lang w:val="sr-Latn-RS"/>
        </w:rPr>
      </w:pPr>
    </w:p>
    <w:tbl>
      <w:tblPr>
        <w:tblStyle w:val="TableGrid"/>
        <w:tblW w:w="14385" w:type="dxa"/>
        <w:tblInd w:w="600" w:type="dxa"/>
        <w:tblLayout w:type="fixed"/>
        <w:tblLook w:val="04A0" w:firstRow="1" w:lastRow="0" w:firstColumn="1" w:lastColumn="0" w:noHBand="0" w:noVBand="1"/>
      </w:tblPr>
      <w:tblGrid>
        <w:gridCol w:w="14385"/>
      </w:tblGrid>
      <w:tr w:rsidR="00471E41" w:rsidRPr="00BA2E15">
        <w:tc>
          <w:tcPr>
            <w:tcW w:w="14385" w:type="dxa"/>
            <w:tcBorders>
              <w:top w:val="single" w:sz="7" w:space="0" w:color="000000"/>
              <w:left w:val="single" w:sz="7" w:space="0" w:color="000000"/>
              <w:bottom w:val="single" w:sz="16" w:space="0" w:color="000000"/>
              <w:right w:val="single" w:sz="7" w:space="0" w:color="000000"/>
            </w:tcBorders>
            <w:shd w:val="clear" w:color="auto" w:fill="auto"/>
            <w:tcMar>
              <w:top w:w="45" w:type="dxa"/>
              <w:left w:w="90" w:type="dxa"/>
              <w:bottom w:w="45" w:type="dxa"/>
              <w:right w:w="90" w:type="dxa"/>
            </w:tcMar>
            <w:vAlign w:val="center"/>
          </w:tcPr>
          <w:p w:rsidR="00471E41" w:rsidRPr="00BA2E15" w:rsidRDefault="007D4294">
            <w:pPr>
              <w:rPr>
                <w:i/>
                <w:szCs w:val="24"/>
              </w:rPr>
            </w:pPr>
            <w:r w:rsidRPr="00BA2E15">
              <w:rPr>
                <w:i/>
                <w:color w:val="000000"/>
                <w:szCs w:val="24"/>
              </w:rPr>
              <w:t>Sektorska analiza se sačinjava na osnovu strateških i planskih dokumenata odnosno propisa u odgovarajućoj oblasti od javnog interesa, uz konsultacije sa zainteresovanim nevladinim organizacijama, i predstavlja osnov za utvrđivanje prioritetnih oblasti i potrebnih sredstava za finansiranje projekata i programa nevladinih organizacija iz državnog budžeta u narednoj godini, u skladu sa Zakonom o nevladinim organizacijama. Analiza se priprema u tekućoj za narednu kalendarsku godinu radi blagovremenog planiranja sredstava i pripreme javnih konkursa u oblastima koje Vlada utvrdi kao prioritetne.</w:t>
            </w:r>
          </w:p>
          <w:p w:rsidR="00FE69A9" w:rsidRDefault="00FE69A9">
            <w:pPr>
              <w:rPr>
                <w:b/>
                <w:i/>
                <w:color w:val="000000"/>
                <w:szCs w:val="24"/>
                <w:lang w:val="sr-Latn-ME"/>
              </w:rPr>
            </w:pPr>
            <w:r w:rsidRPr="00FE69A9">
              <w:rPr>
                <w:b/>
                <w:i/>
                <w:color w:val="000000"/>
                <w:szCs w:val="24"/>
                <w:lang w:val="sr-Latn-ME"/>
              </w:rPr>
              <w:t>Predmet analize: unapređenje zapošljivosti nezaposlenih lica starosti od 30 do 50 godina kao instrument ravnomjernijeg regionalnog i lokalnog ekonomskog razvoja Crne Gore.</w:t>
            </w:r>
          </w:p>
          <w:p w:rsidR="00BD1D34" w:rsidRDefault="00BD1D34">
            <w:pPr>
              <w:rPr>
                <w:i/>
                <w:color w:val="000000"/>
                <w:szCs w:val="24"/>
                <w:lang w:val="sr-Latn-ME"/>
              </w:rPr>
            </w:pPr>
            <w:r w:rsidRPr="00BD1D34">
              <w:rPr>
                <w:i/>
                <w:color w:val="000000"/>
                <w:szCs w:val="24"/>
                <w:lang w:val="sr-Latn-ME"/>
              </w:rPr>
              <w:t xml:space="preserve">Ministarstvo regionalno-investicionog razvoja i saradnje sa nevladinim organizacijama ovom sektorskom analizom utvrđuje okvir za podršku projektima i programima nevladinih organizacija koji, kroz jačanje ljudskih potencijala, povećanje ekonomske aktivnosti i unapređenje dostupnosti podrške u manje razvijenim lokalnim zajednicama, doprinose ostvarivanju ciljeva politike regionalnog razvoja. </w:t>
            </w:r>
            <w:r w:rsidRPr="00BD1D34">
              <w:rPr>
                <w:i/>
                <w:color w:val="000000"/>
                <w:szCs w:val="24"/>
                <w:lang w:val="sr-Latn-ME"/>
              </w:rPr>
              <w:lastRenderedPageBreak/>
              <w:t>Aktivnosti su namijenjene nezaposlenim licima starosti od 30 do 50 godina sa cijele teritorije Crne Gore, nezavisno od pola, i predstavljaju dopunu, a ne zamjenu, zakonom utvrđenih nadležnosti organa nadležnih za politiku zapošljavanja, Zavoda za zapošljavanje Crne Gore i institucija sistema obrazovanja odraslih.</w:t>
            </w:r>
          </w:p>
          <w:p w:rsidR="00471E41" w:rsidRPr="00BA2E15" w:rsidRDefault="007D4294">
            <w:pPr>
              <w:rPr>
                <w:i/>
                <w:szCs w:val="24"/>
              </w:rPr>
            </w:pPr>
            <w:r w:rsidRPr="00BA2E15">
              <w:rPr>
                <w:i/>
                <w:color w:val="000000"/>
                <w:szCs w:val="24"/>
              </w:rPr>
              <w:t>Lica ove starosne dobi čine jezgro radno sposobnog stanovništva. U velikom broju posjeduju radno iskustvo, stečene kvalifikacije i porodične obaveze, ali se istovremeno suočavaju sa promjenama tražnje za zanimanjima, tehnološkim promjenama, potrebom za dodatnim učenjem, regionalno nejednakom ponudom poslova i rizikom dugotrajne nezaposlenosti. Produženo odsustvo sa tržišta rada može voditi gubitku znanja i radnih navika, smanjenju prihoda, povećanju socijalne isključenosti i odustajanju od aktivnog traženja posla.</w:t>
            </w:r>
          </w:p>
          <w:p w:rsidR="00471E41" w:rsidRPr="00BA2E15" w:rsidRDefault="007D4294">
            <w:pPr>
              <w:rPr>
                <w:i/>
                <w:szCs w:val="24"/>
              </w:rPr>
            </w:pPr>
            <w:r>
              <w:rPr>
                <w:i/>
                <w:color w:val="000000"/>
                <w:szCs w:val="24"/>
              </w:rPr>
              <w:t>Prema posebno obrađenim podacima iz Evidencije nezaposlenih lica Zavoda, na dan 31. decembra 2025. u ciljnoj grupi 30–50 bilo je 12.548 lica, od čega 7.812 žena, a prosječan broj tokom 2025. bio je 13.339. Na dan 31. jula 2026. evidentirano je 10.966 lica, od čega 6.851 žena. Podatke je Zavod dostavio Ministarstvu 3. avgusta 2026. godine. Dodatne tabele o ukupnoj evidenciji, prema nivou kvalifikacije, trajanju traženja zaposlenja i starosti, dostavljene su 5. avgusta 2026. i koriste se za sagledavanje strukturnih i regionalnih obilježja nezaposlenosti.</w:t>
            </w:r>
          </w:p>
          <w:p w:rsidR="00471E41" w:rsidRPr="00BA2E15" w:rsidRDefault="007D4294">
            <w:pPr>
              <w:rPr>
                <w:i/>
                <w:szCs w:val="24"/>
              </w:rPr>
            </w:pPr>
            <w:r>
              <w:rPr>
                <w:i/>
                <w:color w:val="000000"/>
                <w:szCs w:val="24"/>
              </w:rPr>
              <w:t>Za potrebe ove analize primjenjuje se definicija iz člana 5 Zakona o posredovanju pri zapošljavanju i pravima za vrijeme nezaposlenosti („Službeni list Crne Gore“, br. 24/19, 29/25 i 3/26): nezaposleno lice je lice od 15 do 67 godina koje je crnogorski državljanin, nalazi se na evidenciji Zavoda, sposobno je ili djelimično sposobno za rad, nije zasnovalo radni odnos, aktivno traži zaposlenje i raspoloživo je za rad; član obuhvata i strance sa propisanim statusima. Referentni period je 2025, uz presjek od 31. jula 2026. za tačno obrađenu ciljnu grupu i dopunski presjek od 5. avgusta 2026. za ukupnu strukturnu i regionalnu analizu. Dopunski presjek nije korišćen za izračunavanje broja lica starosti 30–50, jer tabela prema godinama starosti sadrži standardnu grupu 50–54 i ne omogućava izdvajanje lica sa navršenih tačno 50 godina. Administrativni i anketni podaci tumače se odvojeno.</w:t>
            </w:r>
          </w:p>
          <w:p w:rsidR="00471E41" w:rsidRPr="00BA2E15" w:rsidRDefault="007D4294">
            <w:pPr>
              <w:rPr>
                <w:szCs w:val="24"/>
              </w:rPr>
            </w:pPr>
            <w:r>
              <w:rPr>
                <w:i/>
                <w:color w:val="000000"/>
                <w:szCs w:val="24"/>
              </w:rPr>
              <w:t>Finansiranjem projekata nevladinih organizacija podržaće se lokalno dostupno aktiviranje, karijerno usmjeravanje, razvoj praktičnih i digitalnih vještina, mentorstvo, podrška samozapošljavanju i povezivanje sa poslodavcima. Aktivnosti dopunjuju, ali ne zamjenjuju niti dupliraju, zakonske nadležnosti Ministarstva rada, Zavoda za zapošljavanje i sistema obrazovanja odraslih.</w:t>
            </w:r>
          </w:p>
        </w:tc>
      </w:tr>
    </w:tbl>
    <w:p w:rsidR="00471E41" w:rsidRPr="00BA2E15" w:rsidRDefault="007D4294">
      <w:pPr>
        <w:pStyle w:val="ListParagraph"/>
        <w:keepNext/>
        <w:numPr>
          <w:ilvl w:val="0"/>
          <w:numId w:val="5"/>
        </w:numPr>
        <w:rPr>
          <w:b/>
          <w:u w:val="single"/>
          <w:lang w:val="sr-Latn-RS"/>
        </w:rPr>
      </w:pPr>
      <w:r>
        <w:rPr>
          <w:b/>
          <w:u w:val="single"/>
        </w:rPr>
        <w:lastRenderedPageBreak/>
        <w:t>OBLASTI OD JAVNOG INTERESA U KOJIMA SE PLANIRA FINANSIJSKA PODRŠKA ZA PROJEKTE I PROGRAME NVO</w:t>
      </w:r>
    </w:p>
    <w:p w:rsidR="00471E41" w:rsidRPr="00BA2E15" w:rsidRDefault="007D4294">
      <w:pPr>
        <w:pStyle w:val="Heading2"/>
        <w:keepNext/>
        <w:rPr>
          <w:szCs w:val="24"/>
        </w:rPr>
      </w:pPr>
      <w:r w:rsidRPr="00BA2E15">
        <w:rPr>
          <w:color w:val="000000"/>
        </w:rPr>
        <w:t>1.1. Navesti u kojim oblastima od javnog interesa (iz člana 32 Zakona o NVO) iz nadležnosti ministarstva planirate finansijsku podršku iz budžeta za projekte i programe NVO:</w:t>
      </w:r>
    </w:p>
    <w:tbl>
      <w:tblPr>
        <w:tblStyle w:val="TableGrid"/>
        <w:tblW w:w="14476" w:type="dxa"/>
        <w:tblInd w:w="626" w:type="dxa"/>
        <w:tblLayout w:type="fixed"/>
        <w:tblLook w:val="04A0" w:firstRow="1" w:lastRow="0" w:firstColumn="1" w:lastColumn="0" w:noHBand="0" w:noVBand="1"/>
      </w:tblPr>
      <w:tblGrid>
        <w:gridCol w:w="4825"/>
        <w:gridCol w:w="4826"/>
        <w:gridCol w:w="4825"/>
      </w:tblGrid>
      <w:tr w:rsidR="00471E41" w:rsidRPr="00BA2E15">
        <w:trPr>
          <w:cantSplit/>
        </w:trPr>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socijalna i zdravstvena zaštita</w:t>
            </w:r>
          </w:p>
        </w:tc>
        <w:tc>
          <w:tcPr>
            <w:tcW w:w="4826"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razvoj civilnog društva i volonterizma</w:t>
            </w:r>
          </w:p>
        </w:tc>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zaštita životne sredine</w:t>
            </w:r>
          </w:p>
        </w:tc>
      </w:tr>
      <w:tr w:rsidR="00471E41" w:rsidRPr="00BA2E15" w:rsidTr="00416361">
        <w:trPr>
          <w:cantSplit/>
        </w:trPr>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416361">
            <w:pPr>
              <w:jc w:val="left"/>
              <w:rPr>
                <w:sz w:val="20"/>
              </w:rPr>
            </w:pPr>
            <w:r w:rsidRPr="00416361">
              <w:rPr>
                <w:color w:val="000000"/>
                <w:sz w:val="20"/>
                <w:lang w:val="sr-Latn-ME"/>
              </w:rPr>
              <w:t xml:space="preserve">☐ </w:t>
            </w:r>
            <w:r w:rsidR="007D4294" w:rsidRPr="00BA2E15">
              <w:rPr>
                <w:color w:val="000000"/>
                <w:sz w:val="20"/>
              </w:rPr>
              <w:t xml:space="preserve">   </w:t>
            </w:r>
            <w:r w:rsidR="007D4294" w:rsidRPr="00416361">
              <w:rPr>
                <w:color w:val="000000"/>
                <w:sz w:val="20"/>
              </w:rPr>
              <w:t>smanjenje siromaštva</w:t>
            </w:r>
          </w:p>
        </w:tc>
        <w:tc>
          <w:tcPr>
            <w:tcW w:w="4826"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evroatlantske i evropske integracije Crne Gore</w:t>
            </w:r>
          </w:p>
        </w:tc>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b/>
                <w:color w:val="000000"/>
                <w:sz w:val="20"/>
              </w:rPr>
              <w:t>X    Regionalni i investicioni razvoj</w:t>
            </w:r>
          </w:p>
        </w:tc>
      </w:tr>
      <w:tr w:rsidR="00471E41" w:rsidRPr="00BA2E15" w:rsidTr="00416361">
        <w:trPr>
          <w:cantSplit/>
        </w:trPr>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Podrška ženskom preduzetništvu</w:t>
            </w:r>
          </w:p>
        </w:tc>
        <w:tc>
          <w:tcPr>
            <w:tcW w:w="4826"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416361" w:rsidRDefault="00416361">
            <w:pPr>
              <w:jc w:val="left"/>
              <w:rPr>
                <w:sz w:val="20"/>
              </w:rPr>
            </w:pPr>
            <w:r w:rsidRPr="00416361">
              <w:rPr>
                <w:color w:val="000000"/>
                <w:sz w:val="20"/>
                <w:lang w:val="sr-Latn-ME"/>
              </w:rPr>
              <w:t xml:space="preserve">☐ </w:t>
            </w:r>
            <w:r w:rsidR="007D4294" w:rsidRPr="00416361">
              <w:rPr>
                <w:color w:val="000000"/>
                <w:sz w:val="20"/>
              </w:rPr>
              <w:t xml:space="preserve"> institucionalno i vaninstitucionalno obrazovanje</w:t>
            </w:r>
          </w:p>
        </w:tc>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416361">
            <w:pPr>
              <w:jc w:val="left"/>
              <w:rPr>
                <w:sz w:val="20"/>
              </w:rPr>
            </w:pPr>
            <w:r w:rsidRPr="00416361">
              <w:rPr>
                <w:color w:val="000000"/>
                <w:sz w:val="20"/>
                <w:lang w:val="sr-Latn-ME"/>
              </w:rPr>
              <w:t xml:space="preserve">☐ </w:t>
            </w:r>
            <w:r w:rsidR="007D4294" w:rsidRPr="00BA2E15">
              <w:rPr>
                <w:color w:val="000000"/>
                <w:sz w:val="20"/>
              </w:rPr>
              <w:t xml:space="preserve">   održivi razvoj</w:t>
            </w:r>
          </w:p>
        </w:tc>
      </w:tr>
      <w:tr w:rsidR="00471E41" w:rsidRPr="00BA2E15">
        <w:trPr>
          <w:cantSplit/>
        </w:trPr>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društvena briga o djeci i mladima</w:t>
            </w:r>
          </w:p>
        </w:tc>
        <w:tc>
          <w:tcPr>
            <w:tcW w:w="4826"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Razvoj zanatstva i kreativnih industrija</w:t>
            </w:r>
          </w:p>
        </w:tc>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zaštita potrošača</w:t>
            </w:r>
          </w:p>
        </w:tc>
      </w:tr>
      <w:tr w:rsidR="00471E41" w:rsidRPr="00BA2E15">
        <w:trPr>
          <w:cantSplit/>
        </w:trPr>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pomoć starijim licima</w:t>
            </w:r>
          </w:p>
        </w:tc>
        <w:tc>
          <w:tcPr>
            <w:tcW w:w="4826"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umjetnost</w:t>
            </w:r>
          </w:p>
        </w:tc>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rodna ravnopravnost</w:t>
            </w:r>
          </w:p>
        </w:tc>
      </w:tr>
      <w:tr w:rsidR="00471E41" w:rsidRPr="00BA2E15">
        <w:trPr>
          <w:cantSplit/>
        </w:trPr>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zaštita i promovisanje ljudskih i manjinskih prava</w:t>
            </w:r>
          </w:p>
        </w:tc>
        <w:tc>
          <w:tcPr>
            <w:tcW w:w="4826"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kultura</w:t>
            </w:r>
          </w:p>
        </w:tc>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borba protiv korupcije i organizovanog kriminala</w:t>
            </w:r>
          </w:p>
        </w:tc>
      </w:tr>
      <w:tr w:rsidR="00471E41" w:rsidRPr="00BA2E15" w:rsidTr="00416361">
        <w:trPr>
          <w:cantSplit/>
        </w:trPr>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BA2E15" w:rsidRDefault="007D4294">
            <w:pPr>
              <w:jc w:val="left"/>
              <w:rPr>
                <w:sz w:val="20"/>
              </w:rPr>
            </w:pPr>
            <w:r w:rsidRPr="00BA2E15">
              <w:rPr>
                <w:color w:val="000000"/>
                <w:sz w:val="20"/>
              </w:rPr>
              <w:t>☐    vladavina prava</w:t>
            </w:r>
          </w:p>
        </w:tc>
        <w:tc>
          <w:tcPr>
            <w:tcW w:w="4826"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416361" w:rsidRDefault="007D4294">
            <w:pPr>
              <w:jc w:val="left"/>
              <w:rPr>
                <w:sz w:val="20"/>
              </w:rPr>
            </w:pPr>
            <w:r w:rsidRPr="00416361">
              <w:rPr>
                <w:color w:val="000000"/>
                <w:sz w:val="20"/>
              </w:rPr>
              <w:t>☐    tehnička kultura</w:t>
            </w:r>
          </w:p>
        </w:tc>
        <w:tc>
          <w:tcPr>
            <w:tcW w:w="4825" w:type="dxa"/>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471E41" w:rsidRPr="00416361" w:rsidRDefault="00416361">
            <w:pPr>
              <w:jc w:val="left"/>
              <w:rPr>
                <w:sz w:val="20"/>
              </w:rPr>
            </w:pPr>
            <w:r w:rsidRPr="00416361">
              <w:rPr>
                <w:color w:val="000000"/>
                <w:sz w:val="20"/>
                <w:lang w:val="sr-Latn-ME"/>
              </w:rPr>
              <w:t xml:space="preserve">☐ </w:t>
            </w:r>
            <w:r w:rsidR="007D4294" w:rsidRPr="00416361">
              <w:rPr>
                <w:color w:val="000000"/>
                <w:sz w:val="20"/>
              </w:rPr>
              <w:t xml:space="preserve">   Socijalna inkluzija</w:t>
            </w:r>
          </w:p>
        </w:tc>
      </w:tr>
      <w:tr w:rsidR="00CD1331" w:rsidRPr="00BA2E15" w:rsidTr="008636A4">
        <w:trPr>
          <w:cantSplit/>
        </w:trPr>
        <w:tc>
          <w:tcPr>
            <w:tcW w:w="14476" w:type="dxa"/>
            <w:gridSpan w:val="3"/>
            <w:tcBorders>
              <w:top w:val="single" w:sz="6" w:space="0" w:color="8C8C8C"/>
              <w:left w:val="single" w:sz="6" w:space="0" w:color="8C8C8C"/>
              <w:bottom w:val="single" w:sz="6" w:space="0" w:color="8C8C8C"/>
              <w:right w:val="single" w:sz="6" w:space="0" w:color="8C8C8C"/>
            </w:tcBorders>
            <w:shd w:val="clear" w:color="auto" w:fill="auto"/>
            <w:tcMar>
              <w:top w:w="45" w:type="dxa"/>
              <w:left w:w="90" w:type="dxa"/>
              <w:bottom w:w="45" w:type="dxa"/>
              <w:right w:w="90" w:type="dxa"/>
            </w:tcMar>
            <w:vAlign w:val="center"/>
          </w:tcPr>
          <w:p w:rsidR="00CD1331" w:rsidRPr="00CD1331" w:rsidRDefault="00CD1331">
            <w:pPr>
              <w:jc w:val="left"/>
              <w:rPr>
                <w:b/>
                <w:color w:val="000000"/>
                <w:sz w:val="20"/>
              </w:rPr>
            </w:pPr>
            <w:r w:rsidRPr="00CD1331">
              <w:rPr>
                <w:b/>
                <w:color w:val="000000"/>
                <w:sz w:val="20"/>
              </w:rPr>
              <w:t>Druge oblasti od javnog interesa utvrđene posebnim zakonom:</w:t>
            </w:r>
          </w:p>
        </w:tc>
      </w:tr>
    </w:tbl>
    <w:p w:rsidR="00471E41" w:rsidRPr="00BA2E15" w:rsidRDefault="00471E41">
      <w:pPr>
        <w:rPr>
          <w:szCs w:val="24"/>
        </w:rPr>
      </w:pPr>
    </w:p>
    <w:p w:rsidR="00471E41" w:rsidRDefault="007D4294">
      <w:pPr>
        <w:pStyle w:val="ListParagraph"/>
        <w:keepNext/>
        <w:numPr>
          <w:ilvl w:val="0"/>
          <w:numId w:val="5"/>
        </w:numPr>
        <w:rPr>
          <w:b/>
          <w:u w:val="single"/>
          <w:lang w:val="sr-Latn-RS"/>
        </w:rPr>
      </w:pPr>
      <w:r>
        <w:rPr>
          <w:b/>
          <w:u w:val="single"/>
        </w:rPr>
        <w:t>PRIORITETNI PROBLEMI I POTREBE KOJE TREBA RIJEŠITI U 2027. GODINI FINANSIRANJEM PROJEKATA I PROGRAMA NVO</w:t>
      </w:r>
    </w:p>
    <w:p w:rsidR="00471E41" w:rsidRDefault="007D4294" w:rsidP="00CD1331">
      <w:pPr>
        <w:pStyle w:val="Heading2"/>
        <w:keepNext/>
        <w:numPr>
          <w:ilvl w:val="1"/>
          <w:numId w:val="5"/>
        </w:numPr>
        <w:rPr>
          <w:color w:val="000000"/>
        </w:rPr>
      </w:pPr>
      <w:r w:rsidRPr="00BA2E15">
        <w:rPr>
          <w:color w:val="000000"/>
        </w:rPr>
        <w:t>Navesti prioritetne probleme u oblasti(ma) iz nadležnosti ministarstva koji se planiraju rješavati finansiranjem projekata i programa nevladinih organizacija. Opis problema obrazložiti koristeći konkretne mjerljive pokazatelje trenutnog stanja i željenog stanja odnosno rješenja, navodeći izvor u kojem su takvi podaci dostupni.</w:t>
      </w:r>
    </w:p>
    <w:p w:rsidR="00CD1331" w:rsidRPr="00CD1331" w:rsidRDefault="00CD1331" w:rsidP="00CD1331">
      <w:pPr>
        <w:ind w:left="720"/>
      </w:pPr>
    </w:p>
    <w:tbl>
      <w:tblPr>
        <w:tblStyle w:val="TableGrid"/>
        <w:tblW w:w="14229" w:type="dxa"/>
        <w:tblInd w:w="792" w:type="dxa"/>
        <w:tblLayout w:type="fixed"/>
        <w:tblLook w:val="04A0" w:firstRow="1" w:lastRow="0" w:firstColumn="1" w:lastColumn="0" w:noHBand="0" w:noVBand="1"/>
      </w:tblPr>
      <w:tblGrid>
        <w:gridCol w:w="14229"/>
      </w:tblGrid>
      <w:tr w:rsidR="00471E41">
        <w:trPr>
          <w:tblHeader/>
        </w:trPr>
        <w:tc>
          <w:tcPr>
            <w:tcW w:w="14229"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left"/>
              <w:rPr>
                <w:szCs w:val="24"/>
              </w:rPr>
            </w:pPr>
            <w:r w:rsidRPr="001A5DCE">
              <w:rPr>
                <w:b/>
                <w:color w:val="000000"/>
                <w:szCs w:val="24"/>
              </w:rPr>
              <w:lastRenderedPageBreak/>
              <w:t>Opis problema:</w:t>
            </w:r>
          </w:p>
        </w:tc>
      </w:tr>
      <w:tr w:rsidR="00471E41">
        <w:tc>
          <w:tcPr>
            <w:tcW w:w="14229"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6C70B1" w:rsidRDefault="006C70B1" w:rsidP="001A5DCE">
            <w:pPr>
              <w:rPr>
                <w:szCs w:val="24"/>
                <w:lang w:val="sr-Latn-ME"/>
              </w:rPr>
            </w:pPr>
            <w:r w:rsidRPr="006C70B1">
              <w:rPr>
                <w:szCs w:val="24"/>
                <w:lang w:val="sr-Latn-ME"/>
              </w:rPr>
              <w:t>Nezaposlenost lica starosti od 30 do 50 godina predstavlja razvojni, ekonomski i socijalni problem sa izraženom regionalnom dimenzijom, jer se odnosi na dio stanovništva koji se nalazi u periodu najveće profesionalne aktivnosti i radnog potencijala. Ograničena ponuda radnih mjesta, neusklađenost postojećih znanja sa potrebama poslodavaca, tehnološke promjene i nejednaka dostupnost obuka, savjetovanja i podrške samozapošljavanju naročito pogađaju stanovništvo manje razvijenih jedinica lokalne samouprave. Produžena nezaposlenost povećava rizik od gubitka stručnih kompetencija i radnih navika, smanjenja prihoda, rada u neformalnoj ekonomiji, socijalne isključenosti i trajnog udaljavanja sa tržišta rada.</w:t>
            </w:r>
          </w:p>
          <w:p w:rsidR="006C70B1" w:rsidRDefault="006C70B1" w:rsidP="001A5DCE">
            <w:pPr>
              <w:rPr>
                <w:szCs w:val="24"/>
                <w:lang w:val="sr-Latn-ME"/>
              </w:rPr>
            </w:pPr>
            <w:r w:rsidRPr="006C70B1">
              <w:rPr>
                <w:szCs w:val="24"/>
                <w:lang w:val="sr-Latn-ME"/>
              </w:rPr>
              <w:t>Ciljnu grupu ne treba posmatrati kao jedinstvenu kategoriju. Potrebe korisnika razlikuju se u zavisnosti od trajanja nezaposlenosti, nivoa i vrste kvalifikacija, prethodnog radnog iskustva, digitalnih i stručnih kompetencija, mjesta prebivališta, porodičnih obaveza i konkretnih potreba lokalnog tržišta rada. Zbog toga vrsta i intenzitet podrške moraju biti utvrđeni na osnovu individualne procjene svakog korisnika, bez unaprijed formulisanih pretpostavki o sposobnostima i potrebama pojedinih starosnih podgrupa.</w:t>
            </w:r>
          </w:p>
          <w:p w:rsidR="001A5DCE" w:rsidRPr="001A5DCE" w:rsidRDefault="001A5DCE" w:rsidP="001A5DCE">
            <w:pPr>
              <w:rPr>
                <w:szCs w:val="24"/>
              </w:rPr>
            </w:pPr>
            <w:r>
              <w:rPr>
                <w:szCs w:val="24"/>
              </w:rPr>
              <w:t>Prema posebno obrađenim podacima iz Evidencije nezaposlenih lica Zavoda za zapošljavanje Crne Gore, na dan 31. decembra 2025. godine na evidenciji je bilo 12.548 nezaposlenih lica sa navršenih 30 do 50 godina, od čega 7.812 žena (62,3%). Ova ciljna grupa činila je 44,3% ukupne evidencije od 28.298 nezaposlenih lica. Prosječan broj nezaposlenih lica starosti od 30 do 50 godina tokom 2025. godine iznosio je 13.339, odnosno 46,4% ukupnog prosječnog broja od 28.750 nezaposlenih. Na dan 31. jula 2026. na evidenciji je bilo 10.966 lica ove starosne dobi, od čega 6.851 žena (62,5%). U odnosu na 31. decembar 2025. evidentirano je 1.582 lica manje, odnosno smanjenje od 12,6%, dok su žene i dalje činile gotovo dvije trećine ciljne grupe.</w:t>
            </w:r>
          </w:p>
          <w:p w:rsidR="001A5DCE" w:rsidRPr="001A5DCE" w:rsidRDefault="001A5DCE" w:rsidP="001A5DCE">
            <w:pPr>
              <w:rPr>
                <w:szCs w:val="24"/>
              </w:rPr>
            </w:pPr>
            <w:r>
              <w:rPr>
                <w:szCs w:val="24"/>
              </w:rPr>
              <w:t>Za javno uporediv starosni obuhvat od 30 do 49 godina, zbir standardnih petogodišnjih grupa na kraju 2025. iznosio je 11.948 lica, naspram 14.359 lica na kraju 2024. godine, što predstavlja smanjenje od 2.411 lica ili 16,8%. Ovaj javno objavljeni obuhvat ne uključuje lica sa navršenih 50 godina i zato se mora razlikovati od zvaničnog, posebno obrađenog podatka za grupu 30–50. Posebna obrada otklonila je ranije metodološko ograničenje i obezbijedila tačnu osnovnu vrijednost za planiranje konkursa. Istovremeno, smanjenje broja lica na evidenciji između dva presječna datuma ne može se automatski tumačiti kao broj zaposlenih, jer vođenje na evidenciji može prestati po više zakonskih osnova.</w:t>
            </w:r>
          </w:p>
          <w:p w:rsidR="001A5DCE" w:rsidRPr="001A5DCE" w:rsidRDefault="001A5DCE" w:rsidP="001A5DCE">
            <w:pPr>
              <w:rPr>
                <w:szCs w:val="24"/>
              </w:rPr>
            </w:pPr>
            <w:r>
              <w:rPr>
                <w:szCs w:val="24"/>
              </w:rPr>
              <w:t xml:space="preserve">Jedan od najozbiljnijih problema predstavlja dugotrajna nezaposlenost. Prema tabeli Zavoda o dužini traženja zaposlenja, sa stanjem na dan 5. avgusta 2026. godine, od ukupno 23.628 lica zaposlenje je duže od jedne godine tražilo 18.359 lica (77,7%), duže od pet godina 12.835 lica (54,3%), a duže od osam godina 7.249 lica (30,7%). Ovi pokazatelji odnose se na ukupnu evidenciju, a ne isključivo </w:t>
            </w:r>
            <w:r>
              <w:rPr>
                <w:szCs w:val="24"/>
              </w:rPr>
              <w:lastRenderedPageBreak/>
              <w:t>na starosnu grupu 30–50, ali jasno potvrđuju strukturnu prirodu nezaposlenosti i potrebu za dugotrajnijom, individualizovanom podrškom. Što nezaposlenost duže traje, smanjuju se izgledi za povratak na tržište rada, slabe profesionalne veze, zastarijevaju prethodno stečene kompetencije i raste nepovjerenje u institucije i dostupne programe podrške.</w:t>
            </w:r>
          </w:p>
          <w:p w:rsidR="001A5DCE" w:rsidRPr="001A5DCE" w:rsidRDefault="001A5DCE" w:rsidP="001A5DCE">
            <w:pPr>
              <w:rPr>
                <w:szCs w:val="24"/>
              </w:rPr>
            </w:pPr>
            <w:r w:rsidRPr="001A5DCE">
              <w:rPr>
                <w:szCs w:val="24"/>
              </w:rPr>
              <w:t>Zbog toga intervencije namijenjene ovoj ciljnoj grupi ne smiju biti svedene na jednokratne radionice i kratkotrajne informativne aktivnosti. Potrebno je obezbijediti individualnu procjenu znanja, radnog iskustva, profesionalnih interesovanja i prepreka za zapošljavanje, izradu individualnog plana profesionalnog razvoja, kontinuirano karijerno savjetovanje, mentorstvo, razvoj praktičnih vještina i praćenje statusa korisnika nakon završetka aktivnosti. Posebnu pažnju potrebno je usmjeriti na lica koja su duže od jedne godine na evidenciji nezaposlenih, kao i na lica koja su više godina bila van tržišta rada.</w:t>
            </w:r>
          </w:p>
          <w:p w:rsidR="001A5DCE" w:rsidRPr="001A5DCE" w:rsidRDefault="001A5DCE" w:rsidP="001A5DCE">
            <w:pPr>
              <w:rPr>
                <w:szCs w:val="24"/>
              </w:rPr>
            </w:pPr>
            <w:r>
              <w:rPr>
                <w:szCs w:val="24"/>
              </w:rPr>
              <w:t>Struktura nezaposlenih dodatno potvrđuje da jedinstven model podrške ne bi mogao odgovoriti na potrebe svih korisnika. Prema podacima Zavoda za 2025. godinu, 13.161 nezaposleno lice ili 46,5% nije imalo evidentiran radni staž, dok je 15.137 lica ili 53,5% imalo određeno radno iskustvo. Prema dopunskoj tabeli sa stanjem na dan 5. avgusta 2026. godine, od ukupno 23.628 nezaposlenih, 10.462 lica (44,3%) imalo je I ili II nivo kvalifikacije, 10.847 lica (45,9%) III, IV ili V nivo, a 2.319 lica (9,8%) VI, VII ili VIII nivo kvalifikacije. Ovi podaci ukazuju na potrebu za različitim programskim pristupima: od razvoja osnovnih radnih i digitalnih kompetencija, preko dokvalifikacije i prekvalifikacije, do specijalizovanih praktičnih obuka za visokoobrazovana lica kojima nedostaju konkretna znanja tražena na tržištu rada.</w:t>
            </w:r>
          </w:p>
          <w:p w:rsidR="001A5DCE" w:rsidRPr="001A5DCE" w:rsidRDefault="001A5DCE" w:rsidP="001A5DCE">
            <w:pPr>
              <w:rPr>
                <w:szCs w:val="24"/>
              </w:rPr>
            </w:pPr>
            <w:r w:rsidRPr="001A5DCE">
              <w:rPr>
                <w:szCs w:val="24"/>
              </w:rPr>
              <w:t>Postojanje formalne kvalifikacije samo po sebi ne garantuje zapošljivost. Dio nezaposlenih posjeduje obrazovanje za zanimanja za kojima postoji smanjena potražnja, dok poslodavci istovremeno traže praktično iskustvo, digitalne kompetencije, komunikacione vještine, fleksibilnost, sposobnost timskog rada i spremnost na kontinuirano učenje. Zbog toga programi moraju biti zasnovani na prethodno utvrđenim potrebama poslodavaca i povezani sa realnim mogućnostima zapošljavanja u konkretnim opštinama i regionima.</w:t>
            </w:r>
          </w:p>
          <w:p w:rsidR="001A5DCE" w:rsidRPr="001A5DCE" w:rsidRDefault="001A5DCE" w:rsidP="001A5DCE">
            <w:pPr>
              <w:rPr>
                <w:szCs w:val="24"/>
              </w:rPr>
            </w:pPr>
            <w:r w:rsidRPr="001A5DCE">
              <w:rPr>
                <w:szCs w:val="24"/>
              </w:rPr>
              <w:t>Tokom 2025. godine poslodavci su Zavodu prijavili 23.391 slobodno radno mjesto, što je 7,4% manje nego prethodne godine. Od ukupnog broja prijavljenih radnih mjesta, 84,9% odnosilo se na rad na određeno vrijeme. Najviše slobodnih radnih mjesta prijavljeno je u oblastima obrazovanja, trgovine i usluga smještaja i ishrane. Ovakva struktura ukazuje na sezonalnost i nestabilnost značajnog dijela ponude poslova, kao i na potrebu da korisnici razviju vještine koje se mogu primjenjivati u različitim poslovima i sektorima. Podrška ne treba da bude usmjerena samo na pronalaženje bilo kakvog kratkotrajnog zaposlenja, već i na povećanje dugoročne zapošljivosti, prilagodljivosti i otpornosti korisnika na promjene tržišta rada.</w:t>
            </w:r>
          </w:p>
          <w:p w:rsidR="001A5DCE" w:rsidRPr="001A5DCE" w:rsidRDefault="001A5DCE" w:rsidP="001A5DCE">
            <w:pPr>
              <w:rPr>
                <w:szCs w:val="24"/>
              </w:rPr>
            </w:pPr>
            <w:r>
              <w:rPr>
                <w:szCs w:val="24"/>
              </w:rPr>
              <w:lastRenderedPageBreak/>
              <w:t>Regionalne razlike dodatno utiču na mogućnost zapošljavanja. U devet manje razvijenih opština sa indeksom razvijenosti nižim od 75% – Petnjici, Gusinju, Andrijevici, Rožajama, Beranama, Bijelom Polju, Šavniku, Plužinama i Plavu – na dan 5. avgusta 2026. evidentirana su 11.893 nezaposlena lica, odnosno 50,3% ukupne evidencije od 23.628 lica. Među njima je bilo 6.886 žena (57,9%), 9.754 lica (82,0%) tražilo je zaposlenje duže od jedne godine, 7.362 lica (61,9%) duže od pet godina, a 4.419 lica (37,2%) duže od osam godina. Podaci se odnose na ukupnu evidenciju u ovim opštinama, a ne isključivo na ciljnu grupu 30–50. Izrazita teritorijalna koncentracija i trajanje nezaposlenosti predstavljaju čvrst osnov da se najmanje 140 korisnika javnog konkursa obuhvati upravo u manje razvijenim jedinicama lokalne samouprave. Aktivnosti zato ne smiju biti koncentrisane samo u Podgorici i većim gradskim centrima, već moraju biti teritorijalno raspoređene i lokalno dostupne.</w:t>
            </w:r>
          </w:p>
          <w:p w:rsidR="001A5DCE" w:rsidRPr="001A5DCE" w:rsidRDefault="001A5DCE" w:rsidP="001A5DCE">
            <w:pPr>
              <w:rPr>
                <w:szCs w:val="24"/>
              </w:rPr>
            </w:pPr>
            <w:r w:rsidRPr="001A5DCE">
              <w:rPr>
                <w:szCs w:val="24"/>
              </w:rPr>
              <w:t>Analiza potreba nezaposlenih lica na tržištu rada Crne Gore za 2025. godinu, koju je Zavod sproveo na uzorku od 821 nezaposlenog lica, pokazuje da je najbrojnija grupa ispitanika bila starosti od 26 do 45 godina, dok je 65,5% ispitanika bilo na evidenciji duže od dvije godine. Ispitanici su kao važne potrebe navodili konkretnu pomoć pri traženju posla, besplatne stručne obuke, podršku samozapošljavanju i bolje povezivanje sa poslodavcima. Kao prepreke prepoznati su nedostatak informacija o dostupnim mjerama, nepovjerenje u institucije, obaveze u domaćinstvu i neusklađenost ponuđenih obuka sa interesovanjima korisnika i potrebama tržišta rada. Nalaze ovog istraživanja treba koristiti kao indikativne, jer starosne grupe i struktura uzorka nijesu u potpunosti identične ciljnoj grupi ove analize.</w:t>
            </w:r>
          </w:p>
          <w:p w:rsidR="001A5DCE" w:rsidRPr="001A5DCE" w:rsidRDefault="001A5DCE" w:rsidP="001A5DCE">
            <w:pPr>
              <w:rPr>
                <w:szCs w:val="24"/>
              </w:rPr>
            </w:pPr>
            <w:r>
              <w:rPr>
                <w:szCs w:val="24"/>
              </w:rPr>
              <w:t>Prema godišnjim rezultatima Ankete o radnoj snazi MONSTAT-a, koji predstavljaju prosjek četiri kvartalna istraživanja, u Crnoj Gori je tokom 2025. godine bilo 310,4 hiljade aktivnih lica, od kojih 277,3 hiljade zaposlenih i 33,1 hiljada nezaposlenih, uz stopu nezaposlenosti od 10,7%. U starosnoj grupi od 25 do 49 godina, koja je najbliža, ali nije istovjetna ciljnoj grupi ove analize, bilo je 193,8 hiljada aktivnih, 174,2 hiljade zaposlenih i 19,6 hiljada nezaposlenih lica. Podaci ARS-a ukazuju i na izraženu dugotrajnu nezaposlenost: 20,4 hiljade, odnosno 61,6% nezaposlenih, tražilo je posao 12 mjeseci ili duže, od čega 14,4 hiljade, odnosno 43,5%, dvije godine ili duže. Ovi anketni pokazatelji nijesu direktno uporedivi sa administrativnom evidencijom Zavoda zbog različitih definicija, starosnog obuhvata i metoda prikupljanja podataka. Koriste se kao dodatni pokazatelj opšteg stanja i strukturne prirode nezaposlenosti, dok se za planiranje aktivnosti za ciljnu grupu primarno koriste posebno obrađeni podaci Zavoda za lica starosti od 30 do 50 godina.</w:t>
            </w:r>
          </w:p>
          <w:p w:rsidR="001A5DCE" w:rsidRPr="001A5DCE" w:rsidRDefault="001A5DCE" w:rsidP="001A5DCE">
            <w:pPr>
              <w:rPr>
                <w:szCs w:val="24"/>
              </w:rPr>
            </w:pPr>
            <w:r w:rsidRPr="001A5DCE">
              <w:rPr>
                <w:szCs w:val="24"/>
              </w:rPr>
              <w:lastRenderedPageBreak/>
              <w:t>Zavod je u 2025. godini kroz devet programa aktivne politike zapošljavanja uključio 1.514 nezaposlenih lica, među kojima je bilo 214 dugoročno nezaposlenih, dok je 57,8% učesnika bilo iz Sjevernog regiona. Postojanje ovih programa potvrđuje aktivno institucionalno djelovanje u oblasti zapošljavanja, ali istovremeno ukazuje na potrebu da projekti nevladinih organizacija budu jasno usklađeni sa postojećim mjerama i da ih dopunjuju, a ne da ih ponavljaju.</w:t>
            </w:r>
          </w:p>
          <w:p w:rsidR="001A5DCE" w:rsidRPr="001A5DCE" w:rsidRDefault="001A5DCE" w:rsidP="001A5DCE">
            <w:pPr>
              <w:rPr>
                <w:szCs w:val="24"/>
              </w:rPr>
            </w:pPr>
            <w:r w:rsidRPr="001A5DCE">
              <w:rPr>
                <w:szCs w:val="24"/>
              </w:rPr>
              <w:t>Prednost nevladinih organizacija može biti u neposrednom radu sa korisnicima, poznavanju lokalnih zajednica, identifikovanju i aktiviranju teško dostupnih korisnika, fleksibilnijem organizovanju aktivnosti, individualnom mentorstvu, terenskom radu i povezivanju javnog, poslovnog i civilnog sektora. Projekti NVO mogu pomoći korisnicima da prepoznaju sopstvena znanja i iskustvo, unaprijede način predstavljanja poslodavcima, pripreme biografiju i motivaciono pismo, razviju vještine potrebne za razgovor za posao, steknu praktične i digitalne kompetencije i dobiju podršku za razvoj održive poslovne ideje.</w:t>
            </w:r>
          </w:p>
          <w:p w:rsidR="006C70B1" w:rsidRDefault="006C70B1" w:rsidP="001A5DCE">
            <w:pPr>
              <w:rPr>
                <w:szCs w:val="24"/>
                <w:lang w:val="sr-Latn-ME"/>
              </w:rPr>
            </w:pPr>
            <w:r w:rsidRPr="006C70B1">
              <w:rPr>
                <w:szCs w:val="24"/>
                <w:lang w:val="sr-Latn-ME"/>
              </w:rPr>
              <w:t>Aktivnosti finansirane javnim konkursom ne mogu obuhvatati posredovanje pri zapošljavanju u smislu Zakona o posredovanju pri zapošljavanju i pravima za vrijeme nezaposlenosti, osim ako ih sprovodi subjekt koji ispunjava zakonom propisane uslove i ima dozvolu za rad. Projekti nevladinih organizacija ne mogu obuhvatati vođenje službene evidencije nezaposlenih lica niti izradu individualnog plana zapošljavanja iz nadležnosti Zavoda. Javno važeće obrazovne programe mogu realizovati isključivo licencirani organizatori obrazovanja odraslih. Sve aktivnosti moraju biti planirane u koordinaciji sa Zavodom za zapošljavanje Crne Gore, lokalnim samoupravama, poslodavcima i institucijama sistema obrazovanja odraslih.</w:t>
            </w:r>
          </w:p>
          <w:p w:rsidR="001A5DCE" w:rsidRPr="001A5DCE" w:rsidRDefault="001A5DCE" w:rsidP="001A5DCE">
            <w:pPr>
              <w:rPr>
                <w:szCs w:val="24"/>
              </w:rPr>
            </w:pPr>
            <w:r w:rsidRPr="001A5DCE">
              <w:rPr>
                <w:szCs w:val="24"/>
              </w:rPr>
              <w:t>Poseban pravac podrške predstavlja samozapošljavanje. Dio nezaposlenih lica posjeduje stručno znanje, zanatsko iskustvo ili poslovnu ideju, ali nema dovoljno znanja za pripremu poslovnog plana, procjenu tržišta, određivanje troškova, registraciju djelatnosti i pristup raspoloživim izvorima finansijske i nefinansijske podrške. Projekti NVO mogu pružiti osnovnu preduzetničku edukaciju, mentorstvo i upućivanje na postojeće javne programe podrške, ali se uspjeh ovih aktivnosti mora mjeriti brojem održivih poslovnih planova, pokrenutih djelatnosti i statusom korisnika nakon završetka projekta, a ne samo brojem održanih radionica.</w:t>
            </w:r>
          </w:p>
          <w:p w:rsidR="001A5DCE" w:rsidRPr="001A5DCE" w:rsidRDefault="001A5DCE" w:rsidP="001A5DCE">
            <w:pPr>
              <w:rPr>
                <w:szCs w:val="24"/>
              </w:rPr>
            </w:pPr>
            <w:r w:rsidRPr="001A5DCE">
              <w:rPr>
                <w:szCs w:val="24"/>
              </w:rPr>
              <w:t>Željeno stanje podrazumijeva uspostavljanje teritorijalno dostupnih, individualizovanih i mjerljivih programa podrške kroz koje će nezaposlena lica starosti od 30 do 50 godina unaprijediti znanja i vještine povezane sa konkretnim potrebama poslodavaca, dobiti kontinuiranu podršku u aktivnom traženju posla, biti uključena u odgovarajuće programe stručnog osposobljavanja ili razviti održivu poslovnu ideju. Programi treba da dovedu do provjerljivih rezultata u vidu zaposlenja, samozapošljavanja, uključivanja u dalje stručno obrazovanje ili povećanja spremnosti korisnika za aktivno učešće na tržištu rada.</w:t>
            </w:r>
          </w:p>
          <w:p w:rsidR="006C70B1" w:rsidRDefault="006C70B1" w:rsidP="001A5DCE">
            <w:pPr>
              <w:rPr>
                <w:szCs w:val="24"/>
                <w:lang w:val="sr-Latn-ME"/>
              </w:rPr>
            </w:pPr>
            <w:r w:rsidRPr="006C70B1">
              <w:rPr>
                <w:szCs w:val="24"/>
                <w:lang w:val="sr-Latn-ME"/>
              </w:rPr>
              <w:lastRenderedPageBreak/>
              <w:t>Kroz javni konkurs planira se obuhvat najmanje 320 različitih direktnih korisnika iz najmanje 12 jedinica lokalne samouprave i sva tri regiona Crne Gore. Najmanje 140 korisnika, odnosno 43,75% ukupnog broja direktnih korisnika, biće iz manje razvijenih jedinica lokalne samouprave sa indeksom razvijenosti nižim od 75%, u skladu sa važećim Pravilnikom o utvrđivanju Liste stepena razvijenosti jedinica lokalne samouprave. Planira se sprovođenje najmanje 280 individualnih procjena potreba i izrada odgovarajućih planova profesionalnog razvoja, dok najmanje 240 korisnika treba uspješno da završi programe aktivnog traženja posla i razvoja prenosivih vještina.</w:t>
            </w:r>
          </w:p>
          <w:p w:rsidR="001A5DCE" w:rsidRPr="001A5DCE" w:rsidRDefault="001A5DCE" w:rsidP="001A5DCE">
            <w:pPr>
              <w:rPr>
                <w:szCs w:val="24"/>
              </w:rPr>
            </w:pPr>
            <w:r w:rsidRPr="001A5DCE">
              <w:rPr>
                <w:szCs w:val="24"/>
              </w:rPr>
              <w:t>Najmanje 120 korisnika treba uključiti u ciljane praktične, stručne, digitalne ili zelene obuke povezane sa iskazanim potrebama poslodavaca, a najmanje 80 korisnika u programe podrške samozapošljavanju i razvoju poslovnih ideja. Planirano je uključivanje najmanje 40 poslodavaca kroz lokalne susrete, predstavljanje zanimanja, razgovore sa korisnicima, simulacije razgovora za posao, radne probe ili druge dozvoljene oblike neposrednog povezivanja.</w:t>
            </w:r>
          </w:p>
          <w:p w:rsidR="006C70B1" w:rsidRDefault="006C70B1" w:rsidP="001A5DCE">
            <w:pPr>
              <w:rPr>
                <w:szCs w:val="24"/>
                <w:lang w:val="sr-Latn-ME"/>
              </w:rPr>
            </w:pPr>
            <w:r w:rsidRPr="006C70B1">
              <w:rPr>
                <w:szCs w:val="24"/>
                <w:lang w:val="sr-Latn-ME"/>
              </w:rPr>
              <w:t>Kao ključni pokazatelj uspjeha, najmanje 80 različitih korisnika treba da ostvari jedan od sljedećih provjerljivih ishoda u roku do šest mjeseci nakon završetka aktivnosti: najmanje 40 korisnika zasnuje radni odnos, najmanje 15 korisnika registruje djelatnost i započne samozapošljavanje, a najmanje 25 korisnika završi dodatni javno važeći ili drugi verifikovani program stručnog obrazovanja i osposobljavanja. Jedan korisnik može biti uračunat samo jednom u ukupni rezultat od 80 korisnika. Najmanje 70% korisnika treba da ostvari mjerljivo poboljšanje rezultata između standardizovane početne i završne procjene zapošljivosti, dok će subjektivna procjena korisnika predstavljati dopunski, a ne glavni pokazatelj uspjeha. Status korisnika pratiće se tokom realizacije projekta i do šest mjeseci nakon završetka aktivnosti.</w:t>
            </w:r>
          </w:p>
          <w:p w:rsidR="001A5DCE" w:rsidRPr="001A5DCE" w:rsidRDefault="001A5DCE" w:rsidP="001A5DCE">
            <w:pPr>
              <w:rPr>
                <w:szCs w:val="24"/>
              </w:rPr>
            </w:pPr>
            <w:r w:rsidRPr="001A5DCE">
              <w:rPr>
                <w:szCs w:val="24"/>
              </w:rPr>
              <w:t xml:space="preserve">Ostvarivanjem navedenih rezultata doprinijeće se smanjenju rizika od dugotrajne nezaposlenosti, </w:t>
            </w:r>
            <w:r w:rsidR="006809B7" w:rsidRPr="006809B7">
              <w:rPr>
                <w:szCs w:val="24"/>
                <w:lang w:val="sr-Latn-ME"/>
              </w:rPr>
              <w:t>povećanju zapošljivosti lica starosti od 30 do 50 godina</w:t>
            </w:r>
            <w:r w:rsidRPr="001A5DCE">
              <w:rPr>
                <w:szCs w:val="24"/>
              </w:rPr>
              <w:t>, boljem povezivanju nezaposlenih lica sa poslodavcima, razvoju ljudskog kapitala i smanjenju regionalnih razlika u dostupnosti podrške. Istovremeno, unaprijediće se saradnja institucija, lokalnih samouprava, poslovnog sektora, organizatora obrazovanja odraslih i nevladinih organizacija, čime će se stvoriti održiviji i efikasniji model podrške nezaposlenim licima na cijeloj teritoriji Crne Gore.</w:t>
            </w:r>
          </w:p>
          <w:p w:rsidR="00471E41" w:rsidRPr="001A5DCE" w:rsidRDefault="00471E41">
            <w:pPr>
              <w:rPr>
                <w:szCs w:val="24"/>
              </w:rPr>
            </w:pPr>
          </w:p>
        </w:tc>
      </w:tr>
    </w:tbl>
    <w:p w:rsidR="00471E41" w:rsidRDefault="00471E41"/>
    <w:tbl>
      <w:tblPr>
        <w:tblStyle w:val="TableGrid"/>
        <w:tblW w:w="14229" w:type="dxa"/>
        <w:tblInd w:w="792" w:type="dxa"/>
        <w:tblLayout w:type="fixed"/>
        <w:tblLook w:val="04A0" w:firstRow="1" w:lastRow="0" w:firstColumn="1" w:lastColumn="0" w:noHBand="0" w:noVBand="1"/>
      </w:tblPr>
      <w:tblGrid>
        <w:gridCol w:w="9391"/>
        <w:gridCol w:w="4838"/>
      </w:tblGrid>
      <w:tr w:rsidR="00471E41" w:rsidRPr="001A5DCE">
        <w:trPr>
          <w:cantSplit/>
          <w:tblHeader/>
        </w:trPr>
        <w:tc>
          <w:tcPr>
            <w:tcW w:w="9391"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lastRenderedPageBreak/>
              <w:t>Podaci koji pojašnjavaju navedeni problem</w:t>
            </w:r>
          </w:p>
        </w:tc>
        <w:tc>
          <w:tcPr>
            <w:tcW w:w="4838"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Izvor(i) podataka</w:t>
            </w:r>
          </w:p>
        </w:tc>
      </w:tr>
      <w:tr w:rsidR="00471E41" w:rsidRPr="001A5DCE">
        <w:trPr>
          <w:cantSplit/>
        </w:trPr>
        <w:tc>
          <w:tcPr>
            <w:tcW w:w="9391" w:type="dxa"/>
            <w:tcMar>
              <w:top w:w="45" w:type="dxa"/>
              <w:left w:w="90" w:type="dxa"/>
              <w:bottom w:w="45" w:type="dxa"/>
              <w:right w:w="90" w:type="dxa"/>
            </w:tcMar>
            <w:vAlign w:val="center"/>
          </w:tcPr>
          <w:p w:rsidR="00471E41" w:rsidRPr="001A5DCE" w:rsidRDefault="007D4294">
            <w:pPr>
              <w:jc w:val="left"/>
              <w:rPr>
                <w:szCs w:val="24"/>
              </w:rPr>
            </w:pPr>
            <w:r w:rsidRPr="001A5DCE">
              <w:rPr>
                <w:color w:val="000000"/>
                <w:szCs w:val="24"/>
              </w:rPr>
              <w:t>Na dan 31.12.2025. na evidenciji Zavoda bilo je 28.298 nezaposlenih lica; prosječan broj tokom 2025. iznosio je 28.750.</w:t>
            </w:r>
          </w:p>
        </w:tc>
        <w:tc>
          <w:tcPr>
            <w:tcW w:w="4838" w:type="dxa"/>
            <w:tcMar>
              <w:top w:w="45" w:type="dxa"/>
              <w:left w:w="90" w:type="dxa"/>
              <w:bottom w:w="45" w:type="dxa"/>
              <w:right w:w="90" w:type="dxa"/>
            </w:tcMar>
            <w:vAlign w:val="center"/>
          </w:tcPr>
          <w:p w:rsidR="00471E41" w:rsidRPr="001A5DCE" w:rsidRDefault="00471E41">
            <w:pPr>
              <w:jc w:val="left"/>
              <w:rPr>
                <w:szCs w:val="24"/>
              </w:rPr>
            </w:pPr>
          </w:p>
          <w:p w:rsidR="00471E41" w:rsidRPr="001A5DCE" w:rsidRDefault="007C1183">
            <w:pPr>
              <w:rPr>
                <w:szCs w:val="24"/>
              </w:rPr>
            </w:pPr>
            <w:hyperlink r:id="rId9">
              <w:r w:rsidR="007D4294" w:rsidRPr="001A5DCE">
                <w:rPr>
                  <w:rStyle w:val="Hyperlink"/>
                  <w:color w:val="0563C1"/>
                  <w:szCs w:val="24"/>
                </w:rPr>
                <w:t>ZZZCG – Izvještaj o radu za 2025. godinu</w:t>
              </w:r>
            </w:hyperlink>
          </w:p>
        </w:tc>
      </w:tr>
      <w:tr w:rsidR="00471E41" w:rsidRPr="001A5DCE">
        <w:trPr>
          <w:cantSplit/>
        </w:trPr>
        <w:tc>
          <w:tcPr>
            <w:tcW w:w="9391" w:type="dxa"/>
            <w:tcMar>
              <w:top w:w="45" w:type="dxa"/>
              <w:left w:w="90" w:type="dxa"/>
              <w:bottom w:w="45" w:type="dxa"/>
              <w:right w:w="90" w:type="dxa"/>
            </w:tcMar>
            <w:vAlign w:val="center"/>
          </w:tcPr>
          <w:p w:rsidR="00025852" w:rsidRDefault="00327D2B">
            <w:pPr>
              <w:jc w:val="left"/>
            </w:pPr>
            <w:r>
              <w:t>U ciljnoj grupi 30–50 na dan 31.12.2025. bilo je 12.548 lica, od čega 7.812 žena (62,3%); grupa je činila 44,3% ukupne evidencije. Prosječan broj tokom 2025. bio je 13.339 (46,4% ukupnog prosjeka). Na dan 31.07.2026. bilo je 10.966 lica, od čega 6.851 žena (62,5%), odnosno 1.582 lica ili 12,6% manje nego 31.12.2025.</w:t>
            </w:r>
          </w:p>
        </w:tc>
        <w:tc>
          <w:tcPr>
            <w:tcW w:w="4838" w:type="dxa"/>
            <w:tcMar>
              <w:top w:w="45" w:type="dxa"/>
              <w:left w:w="90" w:type="dxa"/>
              <w:bottom w:w="45" w:type="dxa"/>
              <w:right w:w="90" w:type="dxa"/>
            </w:tcMar>
            <w:vAlign w:val="center"/>
          </w:tcPr>
          <w:p w:rsidR="00025852" w:rsidRDefault="00327D2B">
            <w:pPr>
              <w:jc w:val="left"/>
            </w:pPr>
            <w:r>
              <w:t>ZZZCG – Evidencija nezaposlenih lica; posebno obrađeni podaci dostavljeni Ministarstvu 3. avgusta 2026. godine</w:t>
            </w:r>
          </w:p>
        </w:tc>
      </w:tr>
      <w:tr w:rsidR="00471E41" w:rsidRPr="001A5DCE">
        <w:trPr>
          <w:cantSplit/>
        </w:trPr>
        <w:tc>
          <w:tcPr>
            <w:tcW w:w="9391" w:type="dxa"/>
            <w:tcMar>
              <w:top w:w="45" w:type="dxa"/>
              <w:left w:w="90" w:type="dxa"/>
              <w:bottom w:w="45" w:type="dxa"/>
              <w:right w:w="90" w:type="dxa"/>
            </w:tcMar>
            <w:vAlign w:val="center"/>
          </w:tcPr>
          <w:p w:rsidR="00471E41" w:rsidRPr="001A5DCE" w:rsidRDefault="007D4294">
            <w:pPr>
              <w:jc w:val="left"/>
              <w:rPr>
                <w:szCs w:val="24"/>
              </w:rPr>
            </w:pPr>
            <w:r w:rsidRPr="001A5DCE">
              <w:rPr>
                <w:color w:val="000000"/>
                <w:szCs w:val="24"/>
              </w:rPr>
              <w:t>U starosnim grupama 30–34, 35–39, 40–44 i 45–49 bilo je 11.948 lica, odnosno 42,2% ukupne evidencije. U 2024. ih je bilo 14.359.</w:t>
            </w:r>
          </w:p>
        </w:tc>
        <w:tc>
          <w:tcPr>
            <w:tcW w:w="4838" w:type="dxa"/>
            <w:tcMar>
              <w:top w:w="45" w:type="dxa"/>
              <w:left w:w="90" w:type="dxa"/>
              <w:bottom w:w="45" w:type="dxa"/>
              <w:right w:w="90" w:type="dxa"/>
            </w:tcMar>
            <w:vAlign w:val="center"/>
          </w:tcPr>
          <w:p w:rsidR="00471E41" w:rsidRPr="001A5DCE" w:rsidRDefault="00471E41">
            <w:pPr>
              <w:jc w:val="left"/>
              <w:rPr>
                <w:szCs w:val="24"/>
              </w:rPr>
            </w:pPr>
          </w:p>
          <w:p w:rsidR="00471E41" w:rsidRPr="001A5DCE" w:rsidRDefault="007C1183">
            <w:pPr>
              <w:rPr>
                <w:szCs w:val="24"/>
              </w:rPr>
            </w:pPr>
            <w:hyperlink r:id="rId10">
              <w:r w:rsidR="007D4294" w:rsidRPr="001A5DCE">
                <w:rPr>
                  <w:rStyle w:val="Hyperlink"/>
                  <w:color w:val="0563C1"/>
                  <w:szCs w:val="24"/>
                </w:rPr>
                <w:t>ZZZCG – Izvještaj o radu za 2025. godinu, tabela 5</w:t>
              </w:r>
            </w:hyperlink>
          </w:p>
        </w:tc>
      </w:tr>
      <w:tr w:rsidR="00471E41" w:rsidRPr="001A5DCE">
        <w:trPr>
          <w:cantSplit/>
        </w:trPr>
        <w:tc>
          <w:tcPr>
            <w:tcW w:w="9391" w:type="dxa"/>
            <w:tcMar>
              <w:top w:w="45" w:type="dxa"/>
              <w:left w:w="90" w:type="dxa"/>
              <w:bottom w:w="45" w:type="dxa"/>
              <w:right w:w="90" w:type="dxa"/>
            </w:tcMar>
            <w:vAlign w:val="center"/>
          </w:tcPr>
          <w:p w:rsidR="00471E41" w:rsidRPr="001A5DCE" w:rsidRDefault="007D4294">
            <w:pPr>
              <w:jc w:val="left"/>
              <w:rPr>
                <w:szCs w:val="24"/>
              </w:rPr>
            </w:pPr>
            <w:r>
              <w:rPr>
                <w:color w:val="000000"/>
                <w:szCs w:val="24"/>
              </w:rPr>
              <w:t>Na dan 5.08.2026. od 23.628 nezaposlenih, 18.359 lica (77,7%) tražilo je posao duže od 1 godine, 12.835 lica (54,3%) duže od 5 godina, a 7.249 lica (30,7%) duže od 8 godina.</w:t>
            </w:r>
          </w:p>
        </w:tc>
        <w:tc>
          <w:tcPr>
            <w:tcW w:w="4838" w:type="dxa"/>
            <w:tcMar>
              <w:top w:w="45" w:type="dxa"/>
              <w:left w:w="90" w:type="dxa"/>
              <w:bottom w:w="45" w:type="dxa"/>
              <w:right w:w="90" w:type="dxa"/>
            </w:tcMar>
            <w:vAlign w:val="center"/>
          </w:tcPr>
          <w:p w:rsidR="00471E41" w:rsidRPr="001A5DCE" w:rsidRDefault="00471E41">
            <w:pPr>
              <w:jc w:val="left"/>
              <w:rPr>
                <w:szCs w:val="24"/>
              </w:rPr>
            </w:pPr>
            <w:r>
              <w:t>ZZZCG – posebne tabele, stanje 5.08.2026; pojašnjenje Odsjeka za statistiku i istraživanja od 6.08.2026. godine</w:t>
            </w:r>
          </w:p>
        </w:tc>
      </w:tr>
      <w:tr w:rsidR="00471E41" w:rsidRPr="001A5DCE">
        <w:trPr>
          <w:cantSplit/>
        </w:trPr>
        <w:tc>
          <w:tcPr>
            <w:tcW w:w="9391" w:type="dxa"/>
            <w:tcMar>
              <w:top w:w="45" w:type="dxa"/>
              <w:left w:w="90" w:type="dxa"/>
              <w:bottom w:w="45" w:type="dxa"/>
              <w:right w:w="90" w:type="dxa"/>
            </w:tcMar>
            <w:vAlign w:val="center"/>
          </w:tcPr>
          <w:p w:rsidR="00471E41" w:rsidRPr="001A5DCE" w:rsidRDefault="007D4294">
            <w:pPr>
              <w:jc w:val="left"/>
              <w:rPr>
                <w:szCs w:val="24"/>
              </w:rPr>
            </w:pPr>
            <w:r w:rsidRPr="001A5DCE">
              <w:rPr>
                <w:color w:val="000000"/>
                <w:szCs w:val="24"/>
              </w:rPr>
              <w:t>Bez evidentiranog radnog staža bilo je 13.161 lice (46,5%), dok je 15.137 lica (53,5%) imalo radno iskustvo.</w:t>
            </w:r>
          </w:p>
        </w:tc>
        <w:tc>
          <w:tcPr>
            <w:tcW w:w="4838" w:type="dxa"/>
            <w:tcMar>
              <w:top w:w="45" w:type="dxa"/>
              <w:left w:w="90" w:type="dxa"/>
              <w:bottom w:w="45" w:type="dxa"/>
              <w:right w:w="90" w:type="dxa"/>
            </w:tcMar>
            <w:vAlign w:val="center"/>
          </w:tcPr>
          <w:p w:rsidR="00471E41" w:rsidRPr="001A5DCE" w:rsidRDefault="00471E41">
            <w:pPr>
              <w:jc w:val="left"/>
              <w:rPr>
                <w:szCs w:val="24"/>
              </w:rPr>
            </w:pPr>
          </w:p>
          <w:p w:rsidR="00471E41" w:rsidRPr="001A5DCE" w:rsidRDefault="007C1183">
            <w:pPr>
              <w:rPr>
                <w:szCs w:val="24"/>
              </w:rPr>
            </w:pPr>
            <w:hyperlink r:id="rId11">
              <w:r w:rsidR="007D4294" w:rsidRPr="001A5DCE">
                <w:rPr>
                  <w:rStyle w:val="Hyperlink"/>
                  <w:color w:val="0563C1"/>
                  <w:szCs w:val="24"/>
                </w:rPr>
                <w:t>ZZZCG – Izvještaj o radu za 2025. godinu, tabela 6</w:t>
              </w:r>
            </w:hyperlink>
          </w:p>
        </w:tc>
      </w:tr>
      <w:tr w:rsidR="00471E41" w:rsidRPr="001A5DCE">
        <w:trPr>
          <w:cantSplit/>
        </w:trPr>
        <w:tc>
          <w:tcPr>
            <w:tcW w:w="9391" w:type="dxa"/>
            <w:tcMar>
              <w:top w:w="45" w:type="dxa"/>
              <w:left w:w="90" w:type="dxa"/>
              <w:bottom w:w="45" w:type="dxa"/>
              <w:right w:w="90" w:type="dxa"/>
            </w:tcMar>
            <w:vAlign w:val="center"/>
          </w:tcPr>
          <w:p w:rsidR="00471E41" w:rsidRPr="001A5DCE" w:rsidRDefault="007D4294">
            <w:pPr>
              <w:jc w:val="left"/>
              <w:rPr>
                <w:szCs w:val="24"/>
              </w:rPr>
            </w:pPr>
            <w:r>
              <w:rPr>
                <w:color w:val="000000"/>
                <w:szCs w:val="24"/>
              </w:rPr>
              <w:t>Kvalifikaciona struktura 23.628 nezaposlenih na dan 5.08.2026: I–II nivo 10.462 lica (44,3%); III–V nivo 10.847 lica (45,9%); VI–VIII nivo 2.319 lica (9,8%).</w:t>
            </w:r>
          </w:p>
        </w:tc>
        <w:tc>
          <w:tcPr>
            <w:tcW w:w="4838" w:type="dxa"/>
            <w:tcMar>
              <w:top w:w="45" w:type="dxa"/>
              <w:left w:w="90" w:type="dxa"/>
              <w:bottom w:w="45" w:type="dxa"/>
              <w:right w:w="90" w:type="dxa"/>
            </w:tcMar>
            <w:vAlign w:val="center"/>
          </w:tcPr>
          <w:p w:rsidR="00471E41" w:rsidRPr="001A5DCE" w:rsidRDefault="00471E41">
            <w:pPr>
              <w:jc w:val="left"/>
              <w:rPr>
                <w:szCs w:val="24"/>
              </w:rPr>
            </w:pPr>
            <w:r>
              <w:t>ZZZCG – posebne tabele, stanje 5.08.2026; pojašnjenje Odsjeka za statistiku i istraživanja od 6.08.2026. godine</w:t>
            </w:r>
          </w:p>
        </w:tc>
      </w:tr>
      <w:tr w:rsidR="00471E41" w:rsidRPr="001A5DCE">
        <w:trPr>
          <w:cantSplit/>
        </w:trPr>
        <w:tc>
          <w:tcPr>
            <w:tcW w:w="9391" w:type="dxa"/>
            <w:tcMar>
              <w:top w:w="45" w:type="dxa"/>
              <w:left w:w="90" w:type="dxa"/>
              <w:bottom w:w="45" w:type="dxa"/>
              <w:right w:w="90" w:type="dxa"/>
            </w:tcMar>
            <w:vAlign w:val="center"/>
          </w:tcPr>
          <w:p w:rsidR="00471E41" w:rsidRPr="001A5DCE" w:rsidRDefault="007D4294">
            <w:pPr>
              <w:jc w:val="left"/>
              <w:rPr>
                <w:szCs w:val="24"/>
              </w:rPr>
            </w:pPr>
            <w:r>
              <w:rPr>
                <w:color w:val="000000"/>
                <w:szCs w:val="24"/>
              </w:rPr>
              <w:lastRenderedPageBreak/>
              <w:t>Na dan 5.08.2026. u devet manje razvijenih opština bilo je 11.893 nezaposlenih (50,3%), od čega 6.886 žena (57,9%). Posao je duže od 1 godine tražilo 9.754 lica (82,0%), duže od 5 godina 7.362 lica (61,9%), a duže od 8 godina 4.419 lica (37,2%).</w:t>
            </w:r>
          </w:p>
        </w:tc>
        <w:tc>
          <w:tcPr>
            <w:tcW w:w="4838" w:type="dxa"/>
            <w:tcMar>
              <w:top w:w="45" w:type="dxa"/>
              <w:left w:w="90" w:type="dxa"/>
              <w:bottom w:w="45" w:type="dxa"/>
              <w:right w:w="90" w:type="dxa"/>
            </w:tcMar>
            <w:vAlign w:val="center"/>
          </w:tcPr>
          <w:p w:rsidR="00471E41" w:rsidRPr="001A5DCE" w:rsidRDefault="00471E41">
            <w:pPr>
              <w:jc w:val="left"/>
              <w:rPr>
                <w:szCs w:val="24"/>
              </w:rPr>
            </w:pPr>
            <w:r>
              <w:t>ZZZCG – posebne tabele, stanje 5.08.2026; Pravilnik o utvrđivanju Liste stepena razvijenosti JLS („Službeni list Crne Gore“, broj 122/25)</w:t>
            </w:r>
          </w:p>
        </w:tc>
      </w:tr>
      <w:tr w:rsidR="00471E41" w:rsidRPr="001A5DCE">
        <w:trPr>
          <w:cantSplit/>
        </w:trPr>
        <w:tc>
          <w:tcPr>
            <w:tcW w:w="9391" w:type="dxa"/>
            <w:tcMar>
              <w:top w:w="45" w:type="dxa"/>
              <w:left w:w="90" w:type="dxa"/>
              <w:bottom w:w="45" w:type="dxa"/>
              <w:right w:w="90" w:type="dxa"/>
            </w:tcMar>
            <w:vAlign w:val="center"/>
          </w:tcPr>
          <w:p w:rsidR="00471E41" w:rsidRPr="001A5DCE" w:rsidRDefault="007D4294">
            <w:pPr>
              <w:jc w:val="left"/>
              <w:rPr>
                <w:szCs w:val="24"/>
              </w:rPr>
            </w:pPr>
            <w:r w:rsidRPr="001A5DCE">
              <w:rPr>
                <w:color w:val="000000"/>
                <w:szCs w:val="24"/>
              </w:rPr>
              <w:t>Prijavljeno je 23.391 slobodno radno mjesto; 84,9% odnosilo se na rad na određeno vrijeme, a broj mjesta bio je 7,4% manji nego 2024.</w:t>
            </w:r>
          </w:p>
        </w:tc>
        <w:tc>
          <w:tcPr>
            <w:tcW w:w="4838" w:type="dxa"/>
            <w:tcMar>
              <w:top w:w="45" w:type="dxa"/>
              <w:left w:w="90" w:type="dxa"/>
              <w:bottom w:w="45" w:type="dxa"/>
              <w:right w:w="90" w:type="dxa"/>
            </w:tcMar>
            <w:vAlign w:val="center"/>
          </w:tcPr>
          <w:p w:rsidR="00471E41" w:rsidRPr="001A5DCE" w:rsidRDefault="00471E41">
            <w:pPr>
              <w:jc w:val="left"/>
              <w:rPr>
                <w:szCs w:val="24"/>
              </w:rPr>
            </w:pPr>
          </w:p>
          <w:p w:rsidR="00471E41" w:rsidRPr="001A5DCE" w:rsidRDefault="007C1183">
            <w:pPr>
              <w:rPr>
                <w:szCs w:val="24"/>
              </w:rPr>
            </w:pPr>
            <w:hyperlink r:id="rId12">
              <w:r w:rsidR="007D4294" w:rsidRPr="001A5DCE">
                <w:rPr>
                  <w:rStyle w:val="Hyperlink"/>
                  <w:color w:val="0563C1"/>
                  <w:szCs w:val="24"/>
                </w:rPr>
                <w:t>ZZZCG – Izvještaj o radu za 2025. godinu, oglašena radna mjesta</w:t>
              </w:r>
            </w:hyperlink>
          </w:p>
        </w:tc>
      </w:tr>
      <w:tr w:rsidR="00471E41" w:rsidRPr="001A5DCE">
        <w:trPr>
          <w:cantSplit/>
        </w:trPr>
        <w:tc>
          <w:tcPr>
            <w:tcW w:w="9391" w:type="dxa"/>
            <w:tcMar>
              <w:top w:w="45" w:type="dxa"/>
              <w:left w:w="90" w:type="dxa"/>
              <w:bottom w:w="45" w:type="dxa"/>
              <w:right w:w="90" w:type="dxa"/>
            </w:tcMar>
            <w:vAlign w:val="center"/>
          </w:tcPr>
          <w:p w:rsidR="00471E41" w:rsidRPr="001A5DCE" w:rsidRDefault="007D4294">
            <w:pPr>
              <w:jc w:val="left"/>
              <w:rPr>
                <w:szCs w:val="24"/>
              </w:rPr>
            </w:pPr>
            <w:r w:rsidRPr="001A5DCE">
              <w:rPr>
                <w:color w:val="000000"/>
                <w:szCs w:val="24"/>
              </w:rPr>
              <w:t>U devet programa aktivne politike zapošljavanja uključeno je 1.514 lica, među njima 214 dugoročno nezaposlenih; 57,8% učesnika bilo je iz Sjevernog regiona.</w:t>
            </w:r>
          </w:p>
        </w:tc>
        <w:tc>
          <w:tcPr>
            <w:tcW w:w="4838" w:type="dxa"/>
            <w:tcMar>
              <w:top w:w="45" w:type="dxa"/>
              <w:left w:w="90" w:type="dxa"/>
              <w:bottom w:w="45" w:type="dxa"/>
              <w:right w:w="90" w:type="dxa"/>
            </w:tcMar>
            <w:vAlign w:val="center"/>
          </w:tcPr>
          <w:p w:rsidR="00471E41" w:rsidRPr="001A5DCE" w:rsidRDefault="00471E41">
            <w:pPr>
              <w:jc w:val="left"/>
              <w:rPr>
                <w:szCs w:val="24"/>
              </w:rPr>
            </w:pPr>
          </w:p>
          <w:p w:rsidR="00471E41" w:rsidRPr="001A5DCE" w:rsidRDefault="007C1183">
            <w:pPr>
              <w:rPr>
                <w:szCs w:val="24"/>
              </w:rPr>
            </w:pPr>
            <w:hyperlink r:id="rId13">
              <w:r w:rsidR="007D4294" w:rsidRPr="001A5DCE">
                <w:rPr>
                  <w:rStyle w:val="Hyperlink"/>
                  <w:color w:val="0563C1"/>
                  <w:szCs w:val="24"/>
                </w:rPr>
                <w:t>ZZZCG – Izvještaj o radu za 2025. godinu, mjere APZ</w:t>
              </w:r>
            </w:hyperlink>
          </w:p>
        </w:tc>
      </w:tr>
      <w:tr w:rsidR="00471E41" w:rsidRPr="001A5DCE">
        <w:trPr>
          <w:cantSplit/>
        </w:trPr>
        <w:tc>
          <w:tcPr>
            <w:tcW w:w="9391" w:type="dxa"/>
            <w:tcMar>
              <w:top w:w="45" w:type="dxa"/>
              <w:left w:w="90" w:type="dxa"/>
              <w:bottom w:w="45" w:type="dxa"/>
              <w:right w:w="90" w:type="dxa"/>
            </w:tcMar>
            <w:vAlign w:val="center"/>
          </w:tcPr>
          <w:p w:rsidR="00471E41" w:rsidRPr="001A5DCE" w:rsidRDefault="007D4294">
            <w:pPr>
              <w:jc w:val="left"/>
              <w:rPr>
                <w:szCs w:val="24"/>
              </w:rPr>
            </w:pPr>
            <w:r w:rsidRPr="001A5DCE">
              <w:rPr>
                <w:color w:val="000000"/>
                <w:szCs w:val="24"/>
              </w:rPr>
              <w:t>U istraživanju sa 821 nezaposlenim licem najbrojniji su bili ispitanici od 26 do 45 godina; 65,5% ispitanika bilo je na evidenciji duže od dvije godine.</w:t>
            </w:r>
          </w:p>
        </w:tc>
        <w:tc>
          <w:tcPr>
            <w:tcW w:w="4838" w:type="dxa"/>
            <w:tcMar>
              <w:top w:w="45" w:type="dxa"/>
              <w:left w:w="90" w:type="dxa"/>
              <w:bottom w:w="45" w:type="dxa"/>
              <w:right w:w="90" w:type="dxa"/>
            </w:tcMar>
            <w:vAlign w:val="center"/>
          </w:tcPr>
          <w:p w:rsidR="00471E41" w:rsidRPr="001A5DCE" w:rsidRDefault="00471E41">
            <w:pPr>
              <w:jc w:val="left"/>
              <w:rPr>
                <w:szCs w:val="24"/>
              </w:rPr>
            </w:pPr>
          </w:p>
          <w:p w:rsidR="00471E41" w:rsidRPr="001A5DCE" w:rsidRDefault="007C1183">
            <w:pPr>
              <w:rPr>
                <w:szCs w:val="24"/>
              </w:rPr>
            </w:pPr>
            <w:hyperlink r:id="rId14">
              <w:r w:rsidR="007D4294" w:rsidRPr="001A5DCE">
                <w:rPr>
                  <w:rStyle w:val="Hyperlink"/>
                  <w:color w:val="0563C1"/>
                  <w:szCs w:val="24"/>
                </w:rPr>
                <w:t>ZZZCG – Analiza potreba nezaposlenih lica, 2025</w:t>
              </w:r>
            </w:hyperlink>
          </w:p>
        </w:tc>
      </w:tr>
      <w:tr w:rsidR="00471E41" w:rsidRPr="001A5DCE">
        <w:trPr>
          <w:cantSplit/>
        </w:trPr>
        <w:tc>
          <w:tcPr>
            <w:tcW w:w="9391" w:type="dxa"/>
            <w:tcMar>
              <w:top w:w="45" w:type="dxa"/>
              <w:left w:w="90" w:type="dxa"/>
              <w:bottom w:w="45" w:type="dxa"/>
              <w:right w:w="90" w:type="dxa"/>
            </w:tcMar>
            <w:vAlign w:val="center"/>
          </w:tcPr>
          <w:p w:rsidR="00471E41" w:rsidRPr="001A5DCE" w:rsidRDefault="007D4294">
            <w:pPr>
              <w:jc w:val="left"/>
              <w:rPr>
                <w:szCs w:val="24"/>
              </w:rPr>
            </w:pPr>
            <w:r>
              <w:rPr>
                <w:color w:val="000000"/>
                <w:szCs w:val="24"/>
              </w:rPr>
              <w:t>Prema godišnjim rezultatima ARS-a (prosjek četiri kvartalna istraživanja), u Crnoj Gori je bilo 310,4 hiljade aktivnih, 277,3 hiljade zaposlenih i 33,1 hiljada nezaposlenih lica; stopa nezaposlenosti iznosila je 10,7%. U grupi 25–49 bilo je 19,6 hiljada nezaposlenih. Posao je 12 mjeseci ili duže tražilo 20,4 hiljade (61,6%) nezaposlenih, od čega 14,4 hiljade (43,5%) dvije godine ili duže. Grupa 25–49 nije istovjetna ciljnoj grupi 30–50.</w:t>
            </w:r>
          </w:p>
        </w:tc>
        <w:tc>
          <w:tcPr>
            <w:tcW w:w="4838" w:type="dxa"/>
            <w:tcMar>
              <w:top w:w="45" w:type="dxa"/>
              <w:left w:w="90" w:type="dxa"/>
              <w:bottom w:w="45" w:type="dxa"/>
              <w:right w:w="90" w:type="dxa"/>
            </w:tcMar>
            <w:vAlign w:val="center"/>
          </w:tcPr>
          <w:p w:rsidR="00471E41" w:rsidRPr="001A5DCE" w:rsidRDefault="00471E41">
            <w:pPr>
              <w:jc w:val="left"/>
              <w:rPr>
                <w:szCs w:val="24"/>
              </w:rPr>
            </w:pPr>
          </w:p>
          <w:p w:rsidR="00471E41" w:rsidRPr="001A5DCE" w:rsidRDefault="007D4294">
            <w:pPr>
              <w:rPr>
                <w:szCs w:val="24"/>
              </w:rPr>
            </w:pPr>
            <w:r>
              <w:t>Uprava za statistiku – MONSTAT, Saopštenje 40/2026, Anketa o radnoj snazi – 2025. godina, 31. mart 2026. godine</w:t>
            </w:r>
          </w:p>
        </w:tc>
      </w:tr>
    </w:tbl>
    <w:p w:rsidR="00471E41" w:rsidRPr="001A5DCE" w:rsidRDefault="00471E41">
      <w:pPr>
        <w:rPr>
          <w:szCs w:val="24"/>
        </w:rPr>
      </w:pPr>
    </w:p>
    <w:p w:rsidR="00471E41" w:rsidRPr="001A5DCE" w:rsidRDefault="00471E41">
      <w:pPr>
        <w:rPr>
          <w:szCs w:val="24"/>
        </w:rPr>
      </w:pPr>
    </w:p>
    <w:p w:rsidR="00471E41" w:rsidRDefault="007D4294" w:rsidP="00CD1331">
      <w:pPr>
        <w:pStyle w:val="Heading2"/>
        <w:keepNext/>
        <w:numPr>
          <w:ilvl w:val="1"/>
          <w:numId w:val="5"/>
        </w:numPr>
        <w:rPr>
          <w:color w:val="000000"/>
        </w:rPr>
      </w:pPr>
      <w:r w:rsidRPr="001A5DCE">
        <w:rPr>
          <w:color w:val="000000"/>
        </w:rPr>
        <w:t>Navesti ključne strateško-planske dokumente odnosno propise koji prepoznaju važnost problema identifikovanih pod tačkom 2.1, kao i specifične mjere/djelove tih dokumenata koji su u vezi sa identifikovanim problemima.</w:t>
      </w:r>
    </w:p>
    <w:p w:rsidR="00CD1331" w:rsidRDefault="00CD1331" w:rsidP="00CD1331">
      <w:pPr>
        <w:pStyle w:val="ListParagraph"/>
        <w:ind w:left="1440"/>
      </w:pPr>
    </w:p>
    <w:tbl>
      <w:tblPr>
        <w:tblStyle w:val="TableGrid"/>
        <w:tblW w:w="14232" w:type="dxa"/>
        <w:tblInd w:w="792" w:type="dxa"/>
        <w:tblLayout w:type="fixed"/>
        <w:tblLook w:val="04A0" w:firstRow="1" w:lastRow="0" w:firstColumn="1" w:lastColumn="0" w:noHBand="0" w:noVBand="1"/>
      </w:tblPr>
      <w:tblGrid>
        <w:gridCol w:w="4839"/>
        <w:gridCol w:w="9393"/>
      </w:tblGrid>
      <w:tr w:rsidR="00CD1331" w:rsidRPr="006F4DB3" w:rsidTr="00CD1331">
        <w:trPr>
          <w:cantSplit/>
          <w:tblHeader/>
        </w:trPr>
        <w:tc>
          <w:tcPr>
            <w:tcW w:w="4838" w:type="dxa"/>
            <w:tcBorders>
              <w:top w:val="single" w:sz="18" w:space="0" w:color="auto"/>
              <w:bottom w:val="single" w:sz="4" w:space="0" w:color="auto"/>
            </w:tcBorders>
            <w:shd w:val="clear" w:color="auto" w:fill="F2F2F2" w:themeFill="background1" w:themeFillShade="F2"/>
            <w:tcMar>
              <w:top w:w="80" w:type="dxa"/>
              <w:left w:w="120" w:type="dxa"/>
              <w:bottom w:w="80" w:type="dxa"/>
              <w:right w:w="120" w:type="dxa"/>
            </w:tcMar>
            <w:vAlign w:val="center"/>
          </w:tcPr>
          <w:p w:rsidR="00CD1331" w:rsidRPr="006F4DB3" w:rsidRDefault="00CD1331" w:rsidP="00E92DAF">
            <w:pPr>
              <w:jc w:val="center"/>
              <w:rPr>
                <w:lang w:val="sr-Latn-RS"/>
              </w:rPr>
            </w:pPr>
            <w:r w:rsidRPr="006F4DB3">
              <w:rPr>
                <w:b/>
                <w:sz w:val="22"/>
                <w:lang w:val="sr-Latn-RS"/>
              </w:rPr>
              <w:t>Naziv strateškog/planskog dokumenta/propisa</w:t>
            </w:r>
          </w:p>
        </w:tc>
        <w:tc>
          <w:tcPr>
            <w:tcW w:w="9391" w:type="dxa"/>
            <w:tcBorders>
              <w:top w:val="single" w:sz="18" w:space="0" w:color="auto"/>
              <w:bottom w:val="single" w:sz="4" w:space="0" w:color="auto"/>
            </w:tcBorders>
            <w:shd w:val="clear" w:color="auto" w:fill="F2F2F2" w:themeFill="background1" w:themeFillShade="F2"/>
            <w:tcMar>
              <w:top w:w="80" w:type="dxa"/>
              <w:left w:w="120" w:type="dxa"/>
              <w:bottom w:w="80" w:type="dxa"/>
              <w:right w:w="120" w:type="dxa"/>
            </w:tcMar>
            <w:vAlign w:val="center"/>
          </w:tcPr>
          <w:p w:rsidR="00CD1331" w:rsidRPr="006F4DB3" w:rsidRDefault="00CD1331" w:rsidP="00E92DAF">
            <w:pPr>
              <w:jc w:val="center"/>
              <w:rPr>
                <w:lang w:val="sr-Latn-RS"/>
              </w:rPr>
            </w:pPr>
            <w:r w:rsidRPr="006F4DB3">
              <w:rPr>
                <w:b/>
                <w:sz w:val="22"/>
                <w:lang w:val="sr-Latn-RS"/>
              </w:rPr>
              <w:t>Naziv poglavlja/ mjere/ aktivnosti</w:t>
            </w:r>
          </w:p>
        </w:tc>
      </w:tr>
      <w:tr w:rsidR="00471E41" w:rsidRPr="001A5DCE" w:rsidTr="00CD1331">
        <w:trPr>
          <w:cantSplit/>
        </w:trPr>
        <w:tc>
          <w:tcPr>
            <w:tcW w:w="4837" w:type="dxa"/>
            <w:tcMar>
              <w:top w:w="45" w:type="dxa"/>
              <w:left w:w="90" w:type="dxa"/>
              <w:bottom w:w="45" w:type="dxa"/>
              <w:right w:w="90" w:type="dxa"/>
            </w:tcMar>
            <w:vAlign w:val="center"/>
          </w:tcPr>
          <w:p w:rsidR="006C70B1" w:rsidRDefault="006C70B1">
            <w:pPr>
              <w:rPr>
                <w:b/>
                <w:color w:val="000000"/>
                <w:szCs w:val="24"/>
                <w:lang w:val="sr-Latn-ME"/>
              </w:rPr>
            </w:pPr>
            <w:bookmarkStart w:id="1" w:name="_Hlk239849761"/>
            <w:bookmarkStart w:id="2" w:name="_Hlk239849677"/>
            <w:r w:rsidRPr="006C70B1">
              <w:rPr>
                <w:b/>
                <w:color w:val="000000"/>
                <w:sz w:val="22"/>
                <w:szCs w:val="24"/>
                <w:lang w:val="sr-Latn-ME"/>
              </w:rPr>
              <w:t>Revidirana Strategija regionalnog razvoja Crne Gore za period 2023–2027</w:t>
            </w:r>
          </w:p>
          <w:p w:rsidR="00471E41" w:rsidRPr="001A5DCE" w:rsidRDefault="00471E41">
            <w:pPr>
              <w:rPr>
                <w:szCs w:val="24"/>
              </w:rPr>
            </w:pPr>
          </w:p>
        </w:tc>
        <w:tc>
          <w:tcPr>
            <w:tcW w:w="9392" w:type="dxa"/>
            <w:tcMar>
              <w:top w:w="45" w:type="dxa"/>
              <w:left w:w="90" w:type="dxa"/>
              <w:bottom w:w="45" w:type="dxa"/>
              <w:right w:w="90" w:type="dxa"/>
            </w:tcMar>
            <w:vAlign w:val="center"/>
          </w:tcPr>
          <w:p w:rsidR="00471E41" w:rsidRPr="001A5DCE" w:rsidRDefault="00575D1A">
            <w:pPr>
              <w:jc w:val="left"/>
              <w:rPr>
                <w:szCs w:val="24"/>
              </w:rPr>
            </w:pPr>
            <w:r w:rsidRPr="00575D1A">
              <w:rPr>
                <w:color w:val="000000"/>
                <w:sz w:val="22"/>
                <w:szCs w:val="24"/>
                <w:lang w:val="sr-Latn-ME"/>
              </w:rPr>
              <w:t>Strateški cilj 2: „Ostvarenje održivog ekonomskog razvoja regiona kroz jačanje ljudskih potencijala i podsticanje zapošljavanja radi poboljšanja kvaliteta života“. Operativni cilj 2.2: „Povećanje stope zaposlenosti i smanjenje neformalne zaposlenosti“. Konkurs direktno doprinosi navedenim ciljevima kroz jačanje zapošljivosti, ljudskog kapitala i dostupnosti podrške u manje razvijenim jedinicama lokalne samouprave.</w:t>
            </w:r>
          </w:p>
        </w:tc>
      </w:tr>
      <w:bookmarkEnd w:id="1"/>
      <w:tr w:rsidR="00471E41" w:rsidRPr="001A5DCE" w:rsidTr="00CD1331">
        <w:trPr>
          <w:cantSplit/>
        </w:trPr>
        <w:tc>
          <w:tcPr>
            <w:tcW w:w="4837" w:type="dxa"/>
            <w:tcMar>
              <w:top w:w="45" w:type="dxa"/>
              <w:left w:w="90" w:type="dxa"/>
              <w:bottom w:w="45" w:type="dxa"/>
              <w:right w:w="90" w:type="dxa"/>
            </w:tcMar>
            <w:vAlign w:val="center"/>
          </w:tcPr>
          <w:p w:rsidR="00471E41" w:rsidRPr="001A5DCE" w:rsidRDefault="007D4294">
            <w:pPr>
              <w:jc w:val="left"/>
              <w:rPr>
                <w:szCs w:val="24"/>
              </w:rPr>
            </w:pPr>
            <w:r w:rsidRPr="001A5DCE">
              <w:rPr>
                <w:b/>
                <w:color w:val="000000"/>
                <w:sz w:val="22"/>
                <w:szCs w:val="24"/>
              </w:rPr>
              <w:t>Strategija karijernog vođenja i savjetovanja 2025–2030</w:t>
            </w:r>
          </w:p>
          <w:p w:rsidR="00471E41" w:rsidRPr="001A5DCE" w:rsidRDefault="00471E41">
            <w:pPr>
              <w:rPr>
                <w:szCs w:val="24"/>
              </w:rPr>
            </w:pPr>
          </w:p>
        </w:tc>
        <w:tc>
          <w:tcPr>
            <w:tcW w:w="9392" w:type="dxa"/>
            <w:tcMar>
              <w:top w:w="45" w:type="dxa"/>
              <w:left w:w="90" w:type="dxa"/>
              <w:bottom w:w="45" w:type="dxa"/>
              <w:right w:w="90" w:type="dxa"/>
            </w:tcMar>
            <w:vAlign w:val="center"/>
          </w:tcPr>
          <w:p w:rsidR="00471E41" w:rsidRPr="001A5DCE" w:rsidRDefault="007D4294">
            <w:pPr>
              <w:jc w:val="left"/>
              <w:rPr>
                <w:szCs w:val="24"/>
              </w:rPr>
            </w:pPr>
            <w:r w:rsidRPr="001A5DCE">
              <w:rPr>
                <w:color w:val="000000"/>
                <w:sz w:val="22"/>
                <w:szCs w:val="24"/>
              </w:rPr>
              <w:t>Razvoj funkcionalnog, inkluzivnog i održivog sistema podrške pri donošenju odluka o obrazovanju, obuci i zapošljavanju; razvoj usluga za različite ciljne grupe i unapređenje kvaliteta i dostupnosti karijernih informacija, posebno za nezaposlene i ranjive grupe.</w:t>
            </w:r>
          </w:p>
        </w:tc>
      </w:tr>
      <w:tr w:rsidR="00471E41" w:rsidRPr="001A5DCE" w:rsidTr="00CD1331">
        <w:trPr>
          <w:cantSplit/>
        </w:trPr>
        <w:tc>
          <w:tcPr>
            <w:tcW w:w="4837" w:type="dxa"/>
            <w:tcMar>
              <w:top w:w="45" w:type="dxa"/>
              <w:left w:w="90" w:type="dxa"/>
              <w:bottom w:w="45" w:type="dxa"/>
              <w:right w:w="90" w:type="dxa"/>
            </w:tcMar>
            <w:vAlign w:val="center"/>
          </w:tcPr>
          <w:p w:rsidR="00471E41" w:rsidRPr="001A5DCE" w:rsidRDefault="007D4294">
            <w:pPr>
              <w:jc w:val="left"/>
              <w:rPr>
                <w:szCs w:val="24"/>
              </w:rPr>
            </w:pPr>
            <w:r w:rsidRPr="001A5DCE">
              <w:rPr>
                <w:b/>
                <w:color w:val="000000"/>
                <w:sz w:val="22"/>
                <w:szCs w:val="24"/>
              </w:rPr>
              <w:t>Plan obrazovanja odraslih 2025–2029</w:t>
            </w:r>
          </w:p>
          <w:p w:rsidR="00471E41" w:rsidRPr="001A5DCE" w:rsidRDefault="00471E41">
            <w:pPr>
              <w:rPr>
                <w:szCs w:val="24"/>
              </w:rPr>
            </w:pPr>
          </w:p>
        </w:tc>
        <w:tc>
          <w:tcPr>
            <w:tcW w:w="9392" w:type="dxa"/>
            <w:tcMar>
              <w:top w:w="45" w:type="dxa"/>
              <w:left w:w="90" w:type="dxa"/>
              <w:bottom w:w="45" w:type="dxa"/>
              <w:right w:w="90" w:type="dxa"/>
            </w:tcMar>
            <w:vAlign w:val="center"/>
          </w:tcPr>
          <w:p w:rsidR="00471E41" w:rsidRPr="001A5DCE" w:rsidRDefault="007D4294">
            <w:pPr>
              <w:jc w:val="left"/>
              <w:rPr>
                <w:szCs w:val="24"/>
              </w:rPr>
            </w:pPr>
            <w:r w:rsidRPr="001A5DCE">
              <w:rPr>
                <w:color w:val="000000"/>
                <w:sz w:val="22"/>
                <w:szCs w:val="24"/>
              </w:rPr>
              <w:t>Unapređenje kvaliteta programa obrazovanja odraslih, povećanje učešća odraslih u cjeloživotnom učenju, unapređenje dostupnosti obrazovne ponude, promocija cjeloživotnog učenja i praćenje kvaliteta rada organizatora obrazovanja odraslih.</w:t>
            </w:r>
          </w:p>
        </w:tc>
      </w:tr>
      <w:tr w:rsidR="00471E41" w:rsidRPr="001A5DCE" w:rsidTr="00CD1331">
        <w:trPr>
          <w:cantSplit/>
        </w:trPr>
        <w:tc>
          <w:tcPr>
            <w:tcW w:w="4837" w:type="dxa"/>
            <w:tcMar>
              <w:top w:w="45" w:type="dxa"/>
              <w:left w:w="90" w:type="dxa"/>
              <w:bottom w:w="45" w:type="dxa"/>
              <w:right w:w="90" w:type="dxa"/>
            </w:tcMar>
            <w:vAlign w:val="center"/>
          </w:tcPr>
          <w:p w:rsidR="00471E41" w:rsidRPr="001A5DCE" w:rsidRDefault="00575D1A">
            <w:pPr>
              <w:rPr>
                <w:szCs w:val="24"/>
              </w:rPr>
            </w:pPr>
            <w:r w:rsidRPr="00575D1A">
              <w:rPr>
                <w:b/>
                <w:color w:val="000000"/>
                <w:sz w:val="22"/>
                <w:szCs w:val="24"/>
                <w:lang w:val="sr-Latn-ME"/>
              </w:rPr>
              <w:t>Nacionalna strategija održivog razvoja do 2030. godine</w:t>
            </w:r>
          </w:p>
        </w:tc>
        <w:tc>
          <w:tcPr>
            <w:tcW w:w="9392" w:type="dxa"/>
            <w:tcMar>
              <w:top w:w="45" w:type="dxa"/>
              <w:left w:w="90" w:type="dxa"/>
              <w:bottom w:w="45" w:type="dxa"/>
              <w:right w:w="90" w:type="dxa"/>
            </w:tcMar>
            <w:vAlign w:val="center"/>
          </w:tcPr>
          <w:p w:rsidR="00471E41" w:rsidRPr="001A5DCE" w:rsidRDefault="00575D1A">
            <w:pPr>
              <w:jc w:val="left"/>
              <w:rPr>
                <w:szCs w:val="24"/>
              </w:rPr>
            </w:pPr>
            <w:r w:rsidRPr="00575D1A">
              <w:rPr>
                <w:color w:val="000000"/>
                <w:sz w:val="22"/>
                <w:szCs w:val="24"/>
                <w:lang w:val="sr-Latn-ME"/>
              </w:rPr>
              <w:t>Strateško usmjerenje ka razvoju ljudskih resursa, inkluzivnom ekonomskom razvoju, smanjenju nejednakosti i stvaranju uslova za dostojanstven rad, u vezi sa ciljevima održivog razvoja 4, 8 i 10</w:t>
            </w:r>
            <w:r w:rsidR="007D4294" w:rsidRPr="001A5DCE">
              <w:rPr>
                <w:color w:val="000000"/>
                <w:sz w:val="22"/>
                <w:szCs w:val="24"/>
              </w:rPr>
              <w:t>.</w:t>
            </w:r>
          </w:p>
        </w:tc>
      </w:tr>
      <w:tr w:rsidR="00575D1A" w:rsidRPr="001A5DCE" w:rsidTr="00CD1331">
        <w:trPr>
          <w:cantSplit/>
        </w:trPr>
        <w:tc>
          <w:tcPr>
            <w:tcW w:w="4837" w:type="dxa"/>
            <w:tcMar>
              <w:top w:w="45" w:type="dxa"/>
              <w:left w:w="90" w:type="dxa"/>
              <w:bottom w:w="45" w:type="dxa"/>
              <w:right w:w="90" w:type="dxa"/>
            </w:tcMar>
            <w:vAlign w:val="center"/>
          </w:tcPr>
          <w:p w:rsidR="00575D1A" w:rsidRPr="00575D1A" w:rsidRDefault="00575D1A">
            <w:pPr>
              <w:rPr>
                <w:b/>
                <w:color w:val="000000"/>
                <w:szCs w:val="24"/>
              </w:rPr>
            </w:pPr>
            <w:r w:rsidRPr="00575D1A">
              <w:rPr>
                <w:b/>
                <w:color w:val="000000"/>
                <w:sz w:val="22"/>
                <w:szCs w:val="24"/>
                <w:lang w:val="sr-Latn-ME"/>
              </w:rPr>
              <w:lastRenderedPageBreak/>
              <w:t>Pravilnik o utvrđivanju Liste stepena razvijenosti jedinica lokalne samouprave („Službeni list Crne Gore“, broj 122/25)</w:t>
            </w:r>
          </w:p>
        </w:tc>
        <w:tc>
          <w:tcPr>
            <w:tcW w:w="9392" w:type="dxa"/>
            <w:tcMar>
              <w:top w:w="45" w:type="dxa"/>
              <w:left w:w="90" w:type="dxa"/>
              <w:bottom w:w="45" w:type="dxa"/>
              <w:right w:w="90" w:type="dxa"/>
            </w:tcMar>
            <w:vAlign w:val="center"/>
          </w:tcPr>
          <w:p w:rsidR="00575D1A" w:rsidRPr="00575D1A" w:rsidRDefault="00575D1A">
            <w:pPr>
              <w:jc w:val="left"/>
              <w:rPr>
                <w:color w:val="000000"/>
                <w:szCs w:val="24"/>
              </w:rPr>
            </w:pPr>
            <w:r>
              <w:rPr>
                <w:color w:val="000000"/>
                <w:sz w:val="22"/>
                <w:szCs w:val="24"/>
                <w:lang w:val="sr-Latn-ME"/>
              </w:rPr>
              <w:t>Za period 2022–2024. kao manje razvijene, sa indeksom nižim od 75%, utvrđene su Petnjica, Gusinje, Andrijevica, Rožaje, Berane, Bijelo Polje, Šavnik, Plužine i Plav. Lista je osnov za teritorijalno usmjeravanje najmanje 140 korisnika javnog konkursa.</w:t>
            </w:r>
          </w:p>
        </w:tc>
      </w:tr>
      <w:tr w:rsidR="00CD1331" w:rsidRPr="001A5DCE" w:rsidTr="00CD1331">
        <w:trPr>
          <w:cantSplit/>
        </w:trPr>
        <w:tc>
          <w:tcPr>
            <w:tcW w:w="4837" w:type="dxa"/>
            <w:tcMar>
              <w:top w:w="45" w:type="dxa"/>
              <w:left w:w="90" w:type="dxa"/>
              <w:bottom w:w="45" w:type="dxa"/>
              <w:right w:w="90" w:type="dxa"/>
            </w:tcMar>
            <w:vAlign w:val="center"/>
          </w:tcPr>
          <w:p w:rsidR="00CD1331" w:rsidRPr="001A5DCE" w:rsidRDefault="00CD1331" w:rsidP="00CD1331">
            <w:pPr>
              <w:jc w:val="left"/>
              <w:rPr>
                <w:szCs w:val="24"/>
              </w:rPr>
            </w:pPr>
            <w:r>
              <w:rPr>
                <w:b/>
                <w:color w:val="000000"/>
                <w:sz w:val="22"/>
                <w:szCs w:val="24"/>
              </w:rPr>
              <w:t xml:space="preserve">Zakon o posredovanju pri zapošljavanju i pravima za vrijeme nezaposlenosti („Službeni list Crne </w:t>
            </w:r>
            <w:proofErr w:type="gramStart"/>
            <w:r>
              <w:rPr>
                <w:b/>
                <w:color w:val="000000"/>
                <w:sz w:val="22"/>
                <w:szCs w:val="24"/>
              </w:rPr>
              <w:t>Gore“</w:t>
            </w:r>
            <w:proofErr w:type="gramEnd"/>
            <w:r>
              <w:rPr>
                <w:b/>
                <w:color w:val="000000"/>
                <w:sz w:val="22"/>
                <w:szCs w:val="24"/>
              </w:rPr>
              <w:t>, br. 24/19, 29/25 i 3/26)</w:t>
            </w:r>
          </w:p>
          <w:p w:rsidR="00CD1331" w:rsidRPr="00575D1A" w:rsidRDefault="00CD1331">
            <w:pPr>
              <w:rPr>
                <w:b/>
                <w:color w:val="000000"/>
                <w:sz w:val="22"/>
                <w:szCs w:val="24"/>
              </w:rPr>
            </w:pPr>
          </w:p>
        </w:tc>
        <w:tc>
          <w:tcPr>
            <w:tcW w:w="9392" w:type="dxa"/>
            <w:tcMar>
              <w:top w:w="45" w:type="dxa"/>
              <w:left w:w="90" w:type="dxa"/>
              <w:bottom w:w="45" w:type="dxa"/>
              <w:right w:w="90" w:type="dxa"/>
            </w:tcMar>
            <w:vAlign w:val="center"/>
          </w:tcPr>
          <w:p w:rsidR="00CD1331" w:rsidRDefault="00CD1331">
            <w:pPr>
              <w:jc w:val="left"/>
              <w:rPr>
                <w:color w:val="000000"/>
                <w:sz w:val="22"/>
                <w:szCs w:val="24"/>
              </w:rPr>
            </w:pPr>
            <w:r w:rsidRPr="001A5DCE">
              <w:rPr>
                <w:color w:val="000000"/>
                <w:sz w:val="22"/>
                <w:szCs w:val="24"/>
              </w:rPr>
              <w:t>Odredbe koje uređuju politiku zapošljavanja, usluge za tržište rada, aktivnu politiku zapošljavanja, individualni plan zapošljavanja, evidenciju nezaposlenih lica i prava za vrijeme nezaposlenosti. Konkurs NVO mora biti komplementaran ovim nadležnostima.</w:t>
            </w:r>
          </w:p>
        </w:tc>
      </w:tr>
      <w:tr w:rsidR="00CD1331" w:rsidRPr="001A5DCE" w:rsidTr="00CD1331">
        <w:trPr>
          <w:cantSplit/>
        </w:trPr>
        <w:tc>
          <w:tcPr>
            <w:tcW w:w="4837" w:type="dxa"/>
            <w:tcMar>
              <w:top w:w="45" w:type="dxa"/>
              <w:left w:w="90" w:type="dxa"/>
              <w:bottom w:w="45" w:type="dxa"/>
              <w:right w:w="90" w:type="dxa"/>
            </w:tcMar>
            <w:vAlign w:val="center"/>
          </w:tcPr>
          <w:p w:rsidR="00CD1331" w:rsidRPr="001A5DCE" w:rsidRDefault="00CD1331" w:rsidP="00CD1331">
            <w:pPr>
              <w:jc w:val="left"/>
              <w:rPr>
                <w:szCs w:val="24"/>
              </w:rPr>
            </w:pPr>
            <w:r w:rsidRPr="001A5DCE">
              <w:rPr>
                <w:b/>
                <w:color w:val="000000"/>
                <w:sz w:val="22"/>
                <w:szCs w:val="24"/>
              </w:rPr>
              <w:t xml:space="preserve">Zakon o regionalnom razvoju („Službeni list Crne </w:t>
            </w:r>
            <w:proofErr w:type="gramStart"/>
            <w:r w:rsidRPr="001A5DCE">
              <w:rPr>
                <w:b/>
                <w:color w:val="000000"/>
                <w:sz w:val="22"/>
                <w:szCs w:val="24"/>
              </w:rPr>
              <w:t>Gore“</w:t>
            </w:r>
            <w:proofErr w:type="gramEnd"/>
            <w:r w:rsidRPr="001A5DCE">
              <w:rPr>
                <w:b/>
                <w:color w:val="000000"/>
                <w:sz w:val="22"/>
                <w:szCs w:val="24"/>
              </w:rPr>
              <w:t>, br. 20/11, 26/11, 20/15 i 47/19)</w:t>
            </w:r>
          </w:p>
          <w:p w:rsidR="00CD1331" w:rsidRDefault="00CD1331" w:rsidP="00CD1331">
            <w:pPr>
              <w:jc w:val="left"/>
              <w:rPr>
                <w:b/>
                <w:color w:val="000000"/>
                <w:sz w:val="22"/>
                <w:szCs w:val="24"/>
              </w:rPr>
            </w:pPr>
          </w:p>
        </w:tc>
        <w:tc>
          <w:tcPr>
            <w:tcW w:w="9392" w:type="dxa"/>
            <w:tcMar>
              <w:top w:w="45" w:type="dxa"/>
              <w:left w:w="90" w:type="dxa"/>
              <w:bottom w:w="45" w:type="dxa"/>
              <w:right w:w="90" w:type="dxa"/>
            </w:tcMar>
            <w:vAlign w:val="center"/>
          </w:tcPr>
          <w:p w:rsidR="00CD1331" w:rsidRPr="001A5DCE" w:rsidRDefault="00CD1331">
            <w:pPr>
              <w:jc w:val="left"/>
              <w:rPr>
                <w:color w:val="000000"/>
                <w:sz w:val="22"/>
                <w:szCs w:val="24"/>
              </w:rPr>
            </w:pPr>
            <w:r w:rsidRPr="001A5DCE">
              <w:rPr>
                <w:color w:val="000000"/>
                <w:sz w:val="22"/>
                <w:szCs w:val="24"/>
              </w:rPr>
              <w:t>Ciljevi i načela politike regionalnog razvoja, smanjenje regionalnih razlika, jačanje razvojnih kapaciteta jedinica lokalne samouprave i stvaranje uslova za ravnomjerniji socio-ekonomski razvoj.</w:t>
            </w:r>
          </w:p>
        </w:tc>
      </w:tr>
      <w:tr w:rsidR="00CD1331" w:rsidRPr="001A5DCE" w:rsidTr="00CD1331">
        <w:trPr>
          <w:cantSplit/>
        </w:trPr>
        <w:tc>
          <w:tcPr>
            <w:tcW w:w="4837" w:type="dxa"/>
            <w:tcMar>
              <w:top w:w="45" w:type="dxa"/>
              <w:left w:w="90" w:type="dxa"/>
              <w:bottom w:w="45" w:type="dxa"/>
              <w:right w:w="90" w:type="dxa"/>
            </w:tcMar>
            <w:vAlign w:val="center"/>
          </w:tcPr>
          <w:p w:rsidR="00CD1331" w:rsidRDefault="00CD1331" w:rsidP="00CD1331">
            <w:pPr>
              <w:jc w:val="left"/>
              <w:rPr>
                <w:b/>
                <w:color w:val="000000"/>
                <w:szCs w:val="24"/>
                <w:lang w:val="sr-Latn-ME"/>
              </w:rPr>
            </w:pPr>
            <w:r w:rsidRPr="006C70B1">
              <w:rPr>
                <w:b/>
                <w:color w:val="000000"/>
                <w:sz w:val="22"/>
                <w:szCs w:val="24"/>
                <w:lang w:val="sr-Latn-ME"/>
              </w:rPr>
              <w:t>Uredba o organizaciji i načinu rada državne uprave („Službeni list Crne Gore“, br. 98/23, 102/23, 113/23, 71/24, 72/24, 90/24, 93/24, 104/24, 117/24, 39/25, 97/25, 148/25, 164/25, 27/26 i 62/26)</w:t>
            </w:r>
          </w:p>
          <w:p w:rsidR="00CD1331" w:rsidRPr="001A5DCE" w:rsidRDefault="00CD1331" w:rsidP="00CD1331">
            <w:pPr>
              <w:jc w:val="left"/>
              <w:rPr>
                <w:b/>
                <w:color w:val="000000"/>
                <w:sz w:val="22"/>
                <w:szCs w:val="24"/>
              </w:rPr>
            </w:pPr>
          </w:p>
        </w:tc>
        <w:tc>
          <w:tcPr>
            <w:tcW w:w="9392" w:type="dxa"/>
            <w:tcMar>
              <w:top w:w="45" w:type="dxa"/>
              <w:left w:w="90" w:type="dxa"/>
              <w:bottom w:w="45" w:type="dxa"/>
              <w:right w:w="90" w:type="dxa"/>
            </w:tcMar>
            <w:vAlign w:val="center"/>
          </w:tcPr>
          <w:p w:rsidR="00CD1331" w:rsidRPr="001A5DCE" w:rsidRDefault="00CD1331">
            <w:pPr>
              <w:jc w:val="left"/>
              <w:rPr>
                <w:color w:val="000000"/>
                <w:sz w:val="22"/>
                <w:szCs w:val="24"/>
              </w:rPr>
            </w:pPr>
            <w:r w:rsidRPr="006C70B1">
              <w:rPr>
                <w:color w:val="000000"/>
                <w:sz w:val="22"/>
                <w:szCs w:val="24"/>
                <w:lang w:val="sr-Latn-ME"/>
              </w:rPr>
              <w:t>Članom 21a utvrđene su nadležnosti Ministarstva regionalno-investicionog razvoja i saradnje sa nevladinim organizacijama koje obuhvataju pripremu i praćenje propisa iz oblasti regionalnog razvoja, predlaganje i sprovođenje politike regionalnog razvoja, koordinaciju aktivnosti nosilaca politike regionalnog razvoja, saradnju sa jedinicama lokalne samouprave i realizaciju razvojnih programa i projekata. Ove nadležnosti predstavljaju neposredni institucionalni osnov za podršku jačanju ljudskih potencijala i ekonomskom aktiviranju u manje razvijenim lokalnim zajednicama</w:t>
            </w:r>
          </w:p>
        </w:tc>
      </w:tr>
      <w:tr w:rsidR="00CD1331" w:rsidRPr="001A5DCE" w:rsidTr="00CD1331">
        <w:trPr>
          <w:cantSplit/>
        </w:trPr>
        <w:tc>
          <w:tcPr>
            <w:tcW w:w="4837" w:type="dxa"/>
            <w:tcMar>
              <w:top w:w="45" w:type="dxa"/>
              <w:left w:w="90" w:type="dxa"/>
              <w:bottom w:w="45" w:type="dxa"/>
              <w:right w:w="90" w:type="dxa"/>
            </w:tcMar>
            <w:vAlign w:val="center"/>
          </w:tcPr>
          <w:p w:rsidR="00CD1331" w:rsidRPr="001A5DCE" w:rsidRDefault="00CD1331" w:rsidP="00CD1331">
            <w:pPr>
              <w:jc w:val="left"/>
              <w:rPr>
                <w:szCs w:val="24"/>
              </w:rPr>
            </w:pPr>
            <w:r w:rsidRPr="001A5DCE">
              <w:rPr>
                <w:b/>
                <w:color w:val="000000"/>
                <w:sz w:val="22"/>
                <w:szCs w:val="24"/>
              </w:rPr>
              <w:t xml:space="preserve">Zakon o obrazovanju odraslih („Službeni list Crne </w:t>
            </w:r>
            <w:proofErr w:type="gramStart"/>
            <w:r w:rsidRPr="001A5DCE">
              <w:rPr>
                <w:b/>
                <w:color w:val="000000"/>
                <w:sz w:val="22"/>
                <w:szCs w:val="24"/>
              </w:rPr>
              <w:t>Gore“</w:t>
            </w:r>
            <w:proofErr w:type="gramEnd"/>
            <w:r w:rsidRPr="001A5DCE">
              <w:rPr>
                <w:b/>
                <w:color w:val="000000"/>
                <w:sz w:val="22"/>
                <w:szCs w:val="24"/>
              </w:rPr>
              <w:t>, br. 51/25)</w:t>
            </w:r>
          </w:p>
          <w:p w:rsidR="00CD1331" w:rsidRPr="006C70B1" w:rsidRDefault="00CD1331" w:rsidP="00CD1331">
            <w:pPr>
              <w:jc w:val="left"/>
              <w:rPr>
                <w:b/>
                <w:color w:val="000000"/>
                <w:sz w:val="22"/>
                <w:szCs w:val="24"/>
              </w:rPr>
            </w:pPr>
          </w:p>
        </w:tc>
        <w:tc>
          <w:tcPr>
            <w:tcW w:w="9392" w:type="dxa"/>
            <w:tcMar>
              <w:top w:w="45" w:type="dxa"/>
              <w:left w:w="90" w:type="dxa"/>
              <w:bottom w:w="45" w:type="dxa"/>
              <w:right w:w="90" w:type="dxa"/>
            </w:tcMar>
            <w:vAlign w:val="center"/>
          </w:tcPr>
          <w:p w:rsidR="00CD1331" w:rsidRPr="006C70B1" w:rsidRDefault="00CD1331">
            <w:pPr>
              <w:jc w:val="left"/>
              <w:rPr>
                <w:color w:val="000000"/>
                <w:sz w:val="22"/>
                <w:szCs w:val="24"/>
              </w:rPr>
            </w:pPr>
            <w:r w:rsidRPr="001A5DCE">
              <w:rPr>
                <w:color w:val="000000"/>
                <w:sz w:val="22"/>
                <w:szCs w:val="24"/>
              </w:rPr>
              <w:t>Uređuje ciljeve, principe, organizatore i kvalitet obrazovanja odraslih. Programi kojima se stiče javno važeća kvalifikacija moraju biti realizovani u skladu sa zakonom i preko licenciranih organizatora</w:t>
            </w:r>
          </w:p>
        </w:tc>
      </w:tr>
      <w:bookmarkEnd w:id="2"/>
    </w:tbl>
    <w:p w:rsidR="00DA178C" w:rsidRDefault="00DA178C">
      <w:pPr>
        <w:pStyle w:val="Heading2"/>
        <w:keepNext/>
        <w:spacing w:after="140" w:line="252" w:lineRule="auto"/>
        <w:rPr>
          <w:color w:val="000000"/>
          <w:szCs w:val="24"/>
        </w:rPr>
      </w:pPr>
    </w:p>
    <w:p w:rsidR="00471E41" w:rsidRDefault="007D4294">
      <w:pPr>
        <w:pStyle w:val="Heading2"/>
        <w:keepNext/>
        <w:rPr>
          <w:color w:val="000000"/>
          <w:szCs w:val="24"/>
        </w:rPr>
      </w:pPr>
      <w:r w:rsidRPr="001A5DCE">
        <w:rPr>
          <w:color w:val="000000"/>
        </w:rPr>
        <w:t>2.3. Obrazložiti na koji način nevladine organizacije mogu doprinijeti rješavanju problema identifikovanih pod tačkom 2.1, koje aktivnosti su prihvatljive za postizanje željenog rezultata, kako se planira praćenje i vrednovanje doprinosa rješavanju pomenutih problema. Navesti konkretne mjerljive pokazatelje/indikatore i izvore verifikacije učinjenog.</w:t>
      </w:r>
    </w:p>
    <w:p w:rsidR="00DA178C" w:rsidRPr="00DA178C" w:rsidRDefault="00DA178C" w:rsidP="00DA178C"/>
    <w:tbl>
      <w:tblPr>
        <w:tblStyle w:val="TableGrid"/>
        <w:tblW w:w="14229" w:type="dxa"/>
        <w:tblInd w:w="792" w:type="dxa"/>
        <w:tblLayout w:type="fixed"/>
        <w:tblLook w:val="04A0" w:firstRow="1" w:lastRow="0" w:firstColumn="1" w:lastColumn="0" w:noHBand="0" w:noVBand="1"/>
      </w:tblPr>
      <w:tblGrid>
        <w:gridCol w:w="5372"/>
        <w:gridCol w:w="4853"/>
        <w:gridCol w:w="4004"/>
      </w:tblGrid>
      <w:tr w:rsidR="00471E41" w:rsidRPr="001A5DCE" w:rsidTr="00DA178C">
        <w:trPr>
          <w:cantSplit/>
          <w:tblHeader/>
        </w:trPr>
        <w:tc>
          <w:tcPr>
            <w:tcW w:w="5372"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Opis načina doprinosa nevladinih organizacija u rješavanju problema</w:t>
            </w:r>
          </w:p>
        </w:tc>
        <w:tc>
          <w:tcPr>
            <w:tcW w:w="4853"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Konkretni mjerljivi pokazatelji doprinosa NVO</w:t>
            </w:r>
          </w:p>
        </w:tc>
        <w:tc>
          <w:tcPr>
            <w:tcW w:w="4004"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Izvor(i) verifikacije</w:t>
            </w:r>
          </w:p>
        </w:tc>
      </w:tr>
      <w:tr w:rsidR="00471E41" w:rsidRPr="001A5DCE" w:rsidTr="00DA178C">
        <w:trPr>
          <w:cantSplit/>
        </w:trPr>
        <w:tc>
          <w:tcPr>
            <w:tcW w:w="5372"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Terensko informisanje, identifikovanje i aktiviranje nezaposlenih lica od 30 do 50 godina, u saradnji sa biroima rada, lokalnim samoupravama i lokalnim zajednicama.</w:t>
            </w:r>
          </w:p>
        </w:tc>
        <w:tc>
          <w:tcPr>
            <w:tcW w:w="4853"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 xml:space="preserve">Aktivnosti u najmanje 12 opština i sva tri regiona; najmanje 320 direktnih korisnika; </w:t>
            </w:r>
            <w:r w:rsidR="00575D1A" w:rsidRPr="00575D1A">
              <w:rPr>
                <w:color w:val="000000"/>
                <w:szCs w:val="24"/>
                <w:lang w:val="sr-Latn-ME"/>
              </w:rPr>
              <w:t>najmanje 140 korisnika, odnosno najmanje 43,75%, iz manje razvijenih jedinica lokalne samouprave sa indeksom razvijenosti nižim od 75%</w:t>
            </w:r>
            <w:r w:rsidRPr="001A5DCE">
              <w:rPr>
                <w:color w:val="000000"/>
                <w:szCs w:val="24"/>
              </w:rPr>
              <w:t>.</w:t>
            </w:r>
          </w:p>
        </w:tc>
        <w:tc>
          <w:tcPr>
            <w:tcW w:w="4004"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Liste korisnika sa godištem i opštinom prebivališta; izvještaji sa terena; sporazumi i potvrde partnera; fotografije.</w:t>
            </w:r>
          </w:p>
        </w:tc>
      </w:tr>
      <w:tr w:rsidR="00471E41" w:rsidRPr="001A5DCE" w:rsidTr="00DA178C">
        <w:trPr>
          <w:cantSplit/>
        </w:trPr>
        <w:tc>
          <w:tcPr>
            <w:tcW w:w="5372"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Početna procjena potreba, znanja, radnog iskustva, prepreka i profesionalnih interesa korisnika, uz izradu individualnog plana profesionalnog razvoja</w:t>
            </w:r>
            <w:r w:rsidR="00575D1A">
              <w:rPr>
                <w:color w:val="000000"/>
                <w:szCs w:val="24"/>
              </w:rPr>
              <w:t>.</w:t>
            </w:r>
            <w:r w:rsidR="006809B7">
              <w:rPr>
                <w:color w:val="000000"/>
                <w:szCs w:val="24"/>
              </w:rPr>
              <w:t xml:space="preserve"> </w:t>
            </w:r>
            <w:r w:rsidR="00575D1A" w:rsidRPr="00575D1A">
              <w:rPr>
                <w:color w:val="000000"/>
                <w:szCs w:val="24"/>
                <w:lang w:val="sr-Latn-ME"/>
              </w:rPr>
              <w:t>Plan profesionalnog razvoja predstavlja projektni radni dokument i ne smije se označavati niti koristiti kao individualni plan zapošljavanja iz nadležnosti Zavoda.</w:t>
            </w:r>
          </w:p>
        </w:tc>
        <w:tc>
          <w:tcPr>
            <w:tcW w:w="4853"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Najmanje 280 izvršenih procjena i izrađenih individualnih planova; najmanje 80% korisnika završilo dogovorene aktivnosti.</w:t>
            </w:r>
          </w:p>
        </w:tc>
        <w:tc>
          <w:tcPr>
            <w:tcW w:w="4004"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Ulazni upitnici; individualni planovi; evidencija savjetovanja; izvještaji mentora.</w:t>
            </w:r>
          </w:p>
        </w:tc>
      </w:tr>
      <w:tr w:rsidR="00471E41" w:rsidRPr="001A5DCE" w:rsidTr="00DA178C">
        <w:trPr>
          <w:cantSplit/>
        </w:trPr>
        <w:tc>
          <w:tcPr>
            <w:tcW w:w="5372"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Radionice za aktivno traženje posla: izrada biografije i motivacionog pisma, priprema za razgovor, korišćenje digitalnih servisa za traženje posla, komunikacione i druge prenosive vještine.</w:t>
            </w:r>
          </w:p>
        </w:tc>
        <w:tc>
          <w:tcPr>
            <w:tcW w:w="4853"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Najmanje 20 radionica; najmanje 240 polaznika uspješno završilo program; najmanje 70% polaznika poboljšalo rezultat na završnoj provjeri.</w:t>
            </w:r>
          </w:p>
        </w:tc>
        <w:tc>
          <w:tcPr>
            <w:tcW w:w="4004"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Liste prisustva; programi radionica; početni i završni testovi; evaluacioni upitnici; sertifikati o učešću.</w:t>
            </w:r>
          </w:p>
        </w:tc>
      </w:tr>
      <w:tr w:rsidR="00471E41" w:rsidRPr="001A5DCE" w:rsidTr="00DA178C">
        <w:trPr>
          <w:cantSplit/>
        </w:trPr>
        <w:tc>
          <w:tcPr>
            <w:tcW w:w="5372"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lastRenderedPageBreak/>
              <w:t>Obuke za praktične, stručne, digitalne i zelene vještine povezane sa konkretnim potrebama poslodavaca. Obuke koje vode do javno važeće kvalifikacije realizuju se isključivo preko licenciranih organizatora obrazovanja odraslih.</w:t>
            </w:r>
          </w:p>
        </w:tc>
        <w:tc>
          <w:tcPr>
            <w:tcW w:w="4853"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Najmanje 120 korisnika uključeno u ciljane obuke; najmanje 80% uspješno završilo obuku; najmanje 8 programa izrađenih na osnovu iskazanih potreba poslodavaca.</w:t>
            </w:r>
          </w:p>
        </w:tc>
        <w:tc>
          <w:tcPr>
            <w:tcW w:w="4004"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Ugovori sa licenciranim organizatorima; programi obuke; evidencije polaznika; uvjerenja i sertifikati; izvještaji poslodavaca.</w:t>
            </w:r>
          </w:p>
        </w:tc>
      </w:tr>
      <w:tr w:rsidR="00471E41" w:rsidRPr="001A5DCE" w:rsidTr="00DA178C">
        <w:trPr>
          <w:cantSplit/>
        </w:trPr>
        <w:tc>
          <w:tcPr>
            <w:tcW w:w="5372"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Individualno karijerno savjetovanje, mentorstvo i podrška korisnicima tokom traženja posla, promjene zanimanja ili povratka na tržište rada.</w:t>
            </w:r>
          </w:p>
        </w:tc>
        <w:tc>
          <w:tcPr>
            <w:tcW w:w="4853"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Najmanje 200 korisnika obuhvaćenih individualnim savjetovanjem ili mentorstvom; prosječno najmanje tri kontakta po korisniku.</w:t>
            </w:r>
          </w:p>
        </w:tc>
        <w:tc>
          <w:tcPr>
            <w:tcW w:w="4004"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Evidencija savjetovanja; mentorski dnevnici; individualni planovi; ankete zadovoljstva korisnika.</w:t>
            </w:r>
          </w:p>
        </w:tc>
      </w:tr>
      <w:tr w:rsidR="00471E41" w:rsidRPr="001A5DCE" w:rsidTr="00DA178C">
        <w:trPr>
          <w:cantSplit/>
        </w:trPr>
        <w:tc>
          <w:tcPr>
            <w:tcW w:w="5372"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Organizovanje lokalnih susreta sa poslodavcima, prezentacija zanimanja, simulacija razgovora i drugih aktivnosti direktnog povezivanja, bez preuzimanja formalnih poslova posredovanja pri zapošljavanju.</w:t>
            </w:r>
          </w:p>
        </w:tc>
        <w:tc>
          <w:tcPr>
            <w:tcW w:w="4853"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Najmanje 40 uključenih poslodavaca; najmanje 12 događaja; najmanje 100 neposrednih kontakata, razgovora ili radnih proba za korisnike.</w:t>
            </w:r>
          </w:p>
        </w:tc>
        <w:tc>
          <w:tcPr>
            <w:tcW w:w="4004"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Sporazumi i izjave poslodavaca; agende; liste učesnika; zapisnici; potvrde o razgovorima i radnim probama.</w:t>
            </w:r>
          </w:p>
        </w:tc>
      </w:tr>
      <w:tr w:rsidR="00471E41" w:rsidRPr="001A5DCE" w:rsidTr="00DA178C">
        <w:trPr>
          <w:cantSplit/>
        </w:trPr>
        <w:tc>
          <w:tcPr>
            <w:tcW w:w="5372"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Podrška samozapošljavanju kroz razvoj poslovne ideje, osnove poslovnog i finansijskog planiranja, mentorstvo i upućivanje na dostupne javne programe podrške.</w:t>
            </w:r>
          </w:p>
        </w:tc>
        <w:tc>
          <w:tcPr>
            <w:tcW w:w="4853"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 xml:space="preserve">Najmanje 80 korisnika uključeno; najmanje 40 izrađenih poslovnih planova; </w:t>
            </w:r>
            <w:r w:rsidR="00575D1A" w:rsidRPr="00575D1A">
              <w:rPr>
                <w:color w:val="000000"/>
                <w:szCs w:val="24"/>
                <w:lang w:val="sr-Latn-ME"/>
              </w:rPr>
              <w:t>najmanje 15 korisnika registrovalo djelatnost i započelo samozapošljavanje</w:t>
            </w:r>
            <w:r w:rsidRPr="001A5DCE">
              <w:rPr>
                <w:color w:val="000000"/>
                <w:szCs w:val="24"/>
              </w:rPr>
              <w:t>.</w:t>
            </w:r>
          </w:p>
        </w:tc>
        <w:tc>
          <w:tcPr>
            <w:tcW w:w="4004"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Poslovni planovi; mentorski izvještaji; potvrde o prijavi na programe; izvodi iz registra; izjave korisnika.</w:t>
            </w:r>
          </w:p>
        </w:tc>
      </w:tr>
      <w:tr w:rsidR="00471E41" w:rsidRPr="001A5DCE" w:rsidTr="00DA178C">
        <w:trPr>
          <w:cantSplit/>
        </w:trPr>
        <w:tc>
          <w:tcPr>
            <w:tcW w:w="5372" w:type="dxa"/>
            <w:tcMar>
              <w:top w:w="45" w:type="dxa"/>
              <w:left w:w="90" w:type="dxa"/>
              <w:bottom w:w="45" w:type="dxa"/>
              <w:right w:w="90" w:type="dxa"/>
            </w:tcMar>
            <w:vAlign w:val="center"/>
          </w:tcPr>
          <w:p w:rsidR="00471E41" w:rsidRPr="001A5DCE" w:rsidRDefault="00575D1A" w:rsidP="00DA178C">
            <w:pPr>
              <w:rPr>
                <w:szCs w:val="24"/>
              </w:rPr>
            </w:pPr>
            <w:r w:rsidRPr="00575D1A">
              <w:rPr>
                <w:color w:val="000000"/>
                <w:szCs w:val="24"/>
                <w:lang w:val="sr-Latn-ME"/>
              </w:rPr>
              <w:lastRenderedPageBreak/>
              <w:t>Praćenje statusa korisnika tokom realizacije i do šest mjeseci nakon završetka aktivnosti, uz odvojeno mjerenje zaposlenja, samozapošljavanja i završetka dodatnog stručnog obrazovanja ili osposobljavanja.</w:t>
            </w:r>
          </w:p>
        </w:tc>
        <w:tc>
          <w:tcPr>
            <w:tcW w:w="4853" w:type="dxa"/>
            <w:tcMar>
              <w:top w:w="45" w:type="dxa"/>
              <w:left w:w="90" w:type="dxa"/>
              <w:bottom w:w="45" w:type="dxa"/>
              <w:right w:w="90" w:type="dxa"/>
            </w:tcMar>
            <w:vAlign w:val="center"/>
          </w:tcPr>
          <w:p w:rsidR="00471E41" w:rsidRPr="001A5DCE" w:rsidRDefault="00575D1A" w:rsidP="00DA178C">
            <w:pPr>
              <w:rPr>
                <w:szCs w:val="24"/>
              </w:rPr>
            </w:pPr>
            <w:r w:rsidRPr="00575D1A">
              <w:rPr>
                <w:color w:val="000000"/>
                <w:szCs w:val="24"/>
                <w:lang w:val="sr-Latn-ME"/>
              </w:rPr>
              <w:t>Najmanje 40 korisnika zasnovalo radni odnos; najmanje 15 korisnika registrovalo djelatnost; najmanje 25 korisnika završilo dodatni verifikovani program obrazovanja ili osposobljavanja; ukupno najmanje 80 različitih korisnika, bez dvostrukog računanja. Najmanje 70% korisnika ostvarilo mjerljivo poboljšanje na standardizovanoj početnoj i završnoj procjeni zapošljivosti.</w:t>
            </w:r>
          </w:p>
        </w:tc>
        <w:tc>
          <w:tcPr>
            <w:tcW w:w="4004" w:type="dxa"/>
            <w:tcMar>
              <w:top w:w="45" w:type="dxa"/>
              <w:left w:w="90" w:type="dxa"/>
              <w:bottom w:w="45" w:type="dxa"/>
              <w:right w:w="90" w:type="dxa"/>
            </w:tcMar>
            <w:vAlign w:val="center"/>
          </w:tcPr>
          <w:p w:rsidR="00471E41" w:rsidRPr="001A5DCE" w:rsidRDefault="00575D1A" w:rsidP="00DA178C">
            <w:pPr>
              <w:rPr>
                <w:szCs w:val="24"/>
              </w:rPr>
            </w:pPr>
            <w:r w:rsidRPr="00575D1A">
              <w:rPr>
                <w:color w:val="000000"/>
                <w:szCs w:val="24"/>
                <w:lang w:val="sr-Latn-ME"/>
              </w:rPr>
              <w:t>Ugovori o radu ili prijave na obavezno osiguranje, uz saglasnost korisnika; izvodi iz CRPS-a ili drugog odgovarajućeg registra; potvrde licenciranih organizatora obrazovanja odraslih; početne i završne procjene; evidencija jedinstvenih korisnika; naknadni izvještaji o statusu korisnika.</w:t>
            </w:r>
          </w:p>
        </w:tc>
      </w:tr>
    </w:tbl>
    <w:p w:rsidR="00471E41" w:rsidRPr="00AF1FD9" w:rsidRDefault="007D4294" w:rsidP="00AF1FD9">
      <w:pPr>
        <w:pStyle w:val="ListParagraph"/>
        <w:keepNext/>
        <w:numPr>
          <w:ilvl w:val="0"/>
          <w:numId w:val="5"/>
        </w:numPr>
        <w:rPr>
          <w:b/>
          <w:u w:val="single"/>
          <w:lang w:val="sr-Latn-RS"/>
        </w:rPr>
      </w:pPr>
      <w:r w:rsidRPr="00AF1FD9">
        <w:rPr>
          <w:b/>
          <w:u w:val="single"/>
        </w:rPr>
        <w:t>OSTVARIVANJE STRATEŠKIH CILJEVA</w:t>
      </w:r>
    </w:p>
    <w:p w:rsidR="00AF1FD9" w:rsidRPr="001A5DCE" w:rsidRDefault="00AF1FD9" w:rsidP="00AF1FD9">
      <w:pPr>
        <w:pStyle w:val="ListParagraph"/>
        <w:keepNext/>
        <w:ind w:left="1080"/>
        <w:rPr>
          <w:b/>
          <w:u w:val="single"/>
          <w:lang w:val="sr-Latn-RS"/>
        </w:rPr>
      </w:pPr>
    </w:p>
    <w:p w:rsidR="00471E41" w:rsidRPr="001A5DCE" w:rsidRDefault="007D4294">
      <w:pPr>
        <w:pStyle w:val="Heading2"/>
        <w:keepNext/>
        <w:rPr>
          <w:szCs w:val="24"/>
        </w:rPr>
      </w:pPr>
      <w:r w:rsidRPr="001A5DCE">
        <w:rPr>
          <w:color w:val="000000"/>
        </w:rPr>
        <w:t>3.1. Navesti ključne strateške ciljeve iz sektorske nadležnosti čijem će ostvarenju u 2027. godini doprinijeti projekti i programi nevladinih organizacija.</w:t>
      </w:r>
    </w:p>
    <w:tbl>
      <w:tblPr>
        <w:tblStyle w:val="TableGrid"/>
        <w:tblW w:w="14229" w:type="dxa"/>
        <w:tblInd w:w="792" w:type="dxa"/>
        <w:tblLayout w:type="fixed"/>
        <w:tblLook w:val="04A0" w:firstRow="1" w:lastRow="0" w:firstColumn="1" w:lastColumn="0" w:noHBand="0" w:noVBand="1"/>
      </w:tblPr>
      <w:tblGrid>
        <w:gridCol w:w="5123"/>
        <w:gridCol w:w="9106"/>
      </w:tblGrid>
      <w:tr w:rsidR="00471E41" w:rsidRPr="001A5DCE" w:rsidTr="00DA178C">
        <w:trPr>
          <w:cantSplit/>
          <w:tblHeader/>
        </w:trPr>
        <w:tc>
          <w:tcPr>
            <w:tcW w:w="5123"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Strateški cilj(evi) čijem ostvarenju će doprinijeti javni konkurs</w:t>
            </w:r>
          </w:p>
        </w:tc>
        <w:tc>
          <w:tcPr>
            <w:tcW w:w="9106"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Način doprinosa javnog konkursa ostvarenju ciljeva</w:t>
            </w:r>
          </w:p>
        </w:tc>
      </w:tr>
      <w:tr w:rsidR="00471E41" w:rsidRPr="001A5DCE" w:rsidTr="00DA178C">
        <w:trPr>
          <w:cantSplit/>
        </w:trPr>
        <w:tc>
          <w:tcPr>
            <w:tcW w:w="5123" w:type="dxa"/>
            <w:tcMar>
              <w:top w:w="45" w:type="dxa"/>
              <w:left w:w="90" w:type="dxa"/>
              <w:bottom w:w="45" w:type="dxa"/>
              <w:right w:w="90" w:type="dxa"/>
            </w:tcMar>
            <w:vAlign w:val="center"/>
          </w:tcPr>
          <w:p w:rsidR="00471E41" w:rsidRPr="001A5DCE" w:rsidRDefault="00CC0DF6" w:rsidP="00DA178C">
            <w:pPr>
              <w:rPr>
                <w:szCs w:val="24"/>
              </w:rPr>
            </w:pPr>
            <w:r w:rsidRPr="00CC0DF6">
              <w:rPr>
                <w:b/>
                <w:color w:val="000000"/>
                <w:szCs w:val="24"/>
                <w:lang w:val="sr-Latn-ME"/>
              </w:rPr>
              <w:t>Ostvarenje održivog ekonomskog razvoja regiona kroz jačanje ljudskih potencijala i podsticanje zapošljavanja radi poboljšanja kvaliteta života.</w:t>
            </w:r>
          </w:p>
        </w:tc>
        <w:tc>
          <w:tcPr>
            <w:tcW w:w="9106" w:type="dxa"/>
            <w:tcMar>
              <w:top w:w="45" w:type="dxa"/>
              <w:left w:w="90" w:type="dxa"/>
              <w:bottom w:w="45" w:type="dxa"/>
              <w:right w:w="90" w:type="dxa"/>
            </w:tcMar>
            <w:vAlign w:val="center"/>
          </w:tcPr>
          <w:p w:rsidR="00471E41" w:rsidRPr="001A5DCE" w:rsidRDefault="00CC0DF6" w:rsidP="00DA178C">
            <w:pPr>
              <w:rPr>
                <w:szCs w:val="24"/>
              </w:rPr>
            </w:pPr>
            <w:r w:rsidRPr="00CC0DF6">
              <w:rPr>
                <w:color w:val="000000"/>
                <w:szCs w:val="24"/>
                <w:lang w:val="sr-Latn-ME"/>
              </w:rPr>
              <w:t>Javni konkurs doprinosi jačanju ljudskih potencijala kroz individualnu procjenu, razvoj tržišno relevantnih vještina, mentorstvo, podršku samozapošljavanju i povezivanje korisnika sa potrebama lokalne privrede.</w:t>
            </w:r>
          </w:p>
        </w:tc>
      </w:tr>
      <w:tr w:rsidR="00471E41" w:rsidRPr="001A5DCE" w:rsidTr="00DA178C">
        <w:trPr>
          <w:cantSplit/>
        </w:trPr>
        <w:tc>
          <w:tcPr>
            <w:tcW w:w="5123" w:type="dxa"/>
            <w:tcMar>
              <w:top w:w="45" w:type="dxa"/>
              <w:left w:w="90" w:type="dxa"/>
              <w:bottom w:w="45" w:type="dxa"/>
              <w:right w:w="90" w:type="dxa"/>
            </w:tcMar>
            <w:vAlign w:val="center"/>
          </w:tcPr>
          <w:p w:rsidR="00471E41" w:rsidRPr="001A5DCE" w:rsidRDefault="00CC0DF6" w:rsidP="00DA178C">
            <w:pPr>
              <w:rPr>
                <w:szCs w:val="24"/>
              </w:rPr>
            </w:pPr>
            <w:r w:rsidRPr="00CC0DF6">
              <w:rPr>
                <w:b/>
                <w:color w:val="000000"/>
                <w:szCs w:val="24"/>
                <w:lang w:val="sr-Latn-ME"/>
              </w:rPr>
              <w:lastRenderedPageBreak/>
              <w:t>Povećanje stope zaposlenosti i smanjenje neformalne zaposlenosti.</w:t>
            </w:r>
          </w:p>
        </w:tc>
        <w:tc>
          <w:tcPr>
            <w:tcW w:w="9106" w:type="dxa"/>
            <w:tcMar>
              <w:top w:w="45" w:type="dxa"/>
              <w:left w:w="90" w:type="dxa"/>
              <w:bottom w:w="45" w:type="dxa"/>
              <w:right w:w="90" w:type="dxa"/>
            </w:tcMar>
            <w:vAlign w:val="center"/>
          </w:tcPr>
          <w:p w:rsidR="00471E41" w:rsidRPr="001A5DCE" w:rsidRDefault="00CC0DF6" w:rsidP="00DA178C">
            <w:pPr>
              <w:rPr>
                <w:szCs w:val="24"/>
              </w:rPr>
            </w:pPr>
            <w:r w:rsidRPr="00CC0DF6">
              <w:rPr>
                <w:color w:val="000000"/>
                <w:szCs w:val="24"/>
                <w:lang w:val="sr-Latn-ME"/>
              </w:rPr>
              <w:t>Projekti će biti usmjereni na ostvarivanje provjerljivih ishoda u vidu zasnivanja radnog odnosa, registrovanog samozapošljavanja i završetka verifikovanih programa stručnog obrazovanja i osposobljavanja, uz praćenje statusa korisnika do šest mjeseci nakon završetka aktivnosti.</w:t>
            </w:r>
          </w:p>
        </w:tc>
      </w:tr>
      <w:tr w:rsidR="00471E41" w:rsidRPr="001A5DCE" w:rsidTr="00DA178C">
        <w:trPr>
          <w:cantSplit/>
        </w:trPr>
        <w:tc>
          <w:tcPr>
            <w:tcW w:w="5123" w:type="dxa"/>
            <w:tcMar>
              <w:top w:w="45" w:type="dxa"/>
              <w:left w:w="90" w:type="dxa"/>
              <w:bottom w:w="45" w:type="dxa"/>
              <w:right w:w="90" w:type="dxa"/>
            </w:tcMar>
            <w:vAlign w:val="center"/>
          </w:tcPr>
          <w:p w:rsidR="00471E41" w:rsidRPr="001A5DCE" w:rsidRDefault="00CC0DF6" w:rsidP="00DA178C">
            <w:pPr>
              <w:rPr>
                <w:szCs w:val="24"/>
              </w:rPr>
            </w:pPr>
            <w:r w:rsidRPr="00CC0DF6">
              <w:rPr>
                <w:b/>
                <w:color w:val="000000"/>
                <w:szCs w:val="24"/>
                <w:lang w:val="sr-Latn-ME"/>
              </w:rPr>
              <w:t>Smanjenje regionalnih razlika u dostupnosti razvojnih mogućnosti i podrške za ekonomsko aktiviranje.</w:t>
            </w:r>
          </w:p>
        </w:tc>
        <w:tc>
          <w:tcPr>
            <w:tcW w:w="9106" w:type="dxa"/>
            <w:tcMar>
              <w:top w:w="45" w:type="dxa"/>
              <w:left w:w="90" w:type="dxa"/>
              <w:bottom w:w="45" w:type="dxa"/>
              <w:right w:w="90" w:type="dxa"/>
            </w:tcMar>
            <w:vAlign w:val="center"/>
          </w:tcPr>
          <w:p w:rsidR="00471E41" w:rsidRPr="001A5DCE" w:rsidRDefault="00CC0DF6" w:rsidP="00DA178C">
            <w:pPr>
              <w:rPr>
                <w:szCs w:val="24"/>
              </w:rPr>
            </w:pPr>
            <w:r w:rsidRPr="00CC0DF6">
              <w:rPr>
                <w:color w:val="000000"/>
                <w:szCs w:val="24"/>
                <w:lang w:val="sr-Latn-ME"/>
              </w:rPr>
              <w:t>Aktivnosti će biti sprovedene u najmanje 12 jedinica lokalne samouprave i sva tri regiona, uz obavezno uključivanje najmanje 140 korisnika iz manje razvijenih jedinica lokalne samouprave sa indeksom razvijenosti nižim od 75%.</w:t>
            </w:r>
          </w:p>
        </w:tc>
      </w:tr>
    </w:tbl>
    <w:p w:rsidR="00471E41" w:rsidRPr="001A5DCE" w:rsidRDefault="007D4294">
      <w:pPr>
        <w:pStyle w:val="ListParagraph"/>
        <w:keepNext/>
        <w:numPr>
          <w:ilvl w:val="0"/>
          <w:numId w:val="5"/>
        </w:numPr>
        <w:rPr>
          <w:b/>
          <w:u w:val="single"/>
          <w:lang w:val="sr-Latn-RS"/>
        </w:rPr>
      </w:pPr>
      <w:r>
        <w:rPr>
          <w:b/>
          <w:u w:val="single"/>
        </w:rPr>
        <w:lastRenderedPageBreak/>
        <w:t>JAVNI KONKURSI ZA FINANSIRANJE PROJEKATA I PROGRAMA NVO – DOPRINOS OSTVARENJU STRATEŠKIH CILJEVA IZ SEKTORSKE NADLEŽNOSTI MINISTARSTVA</w:t>
      </w:r>
    </w:p>
    <w:p w:rsidR="00471E41" w:rsidRPr="001A5DCE" w:rsidRDefault="007D4294">
      <w:pPr>
        <w:pStyle w:val="Heading2"/>
        <w:keepNext/>
        <w:rPr>
          <w:szCs w:val="24"/>
        </w:rPr>
      </w:pPr>
      <w:r w:rsidRPr="001A5DCE">
        <w:rPr>
          <w:color w:val="000000"/>
        </w:rPr>
        <w:t>4.1. Navesti javne konkurse koji se predlažu za objavljivanje u 2027. godini u cilju doprinosa ostvarenju strateških ciljeva iz sektorske nadležnosti, uz prijedlog potrebnih iznosa. Ukoliko postoji mogućnost preklapanja sa drugim izvorima finansiranja, navesti sa kojim organom je potrebno koordinirati oblasti finansiranja.</w:t>
      </w:r>
    </w:p>
    <w:tbl>
      <w:tblPr>
        <w:tblStyle w:val="TableGrid"/>
        <w:tblW w:w="14229" w:type="dxa"/>
        <w:tblInd w:w="792" w:type="dxa"/>
        <w:tblLayout w:type="fixed"/>
        <w:tblLook w:val="04A0" w:firstRow="1" w:lastRow="0" w:firstColumn="1" w:lastColumn="0" w:noHBand="0" w:noVBand="1"/>
      </w:tblPr>
      <w:tblGrid>
        <w:gridCol w:w="3130"/>
        <w:gridCol w:w="6118"/>
        <w:gridCol w:w="1707"/>
        <w:gridCol w:w="3274"/>
      </w:tblGrid>
      <w:tr w:rsidR="00471E41" w:rsidRPr="001A5DCE">
        <w:trPr>
          <w:cantSplit/>
          <w:tblHeader/>
        </w:trPr>
        <w:tc>
          <w:tcPr>
            <w:tcW w:w="3130"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Naziv javnog konkursa</w:t>
            </w:r>
          </w:p>
        </w:tc>
        <w:tc>
          <w:tcPr>
            <w:tcW w:w="6118"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Svrha i strateški cilj kojem doprinosi</w:t>
            </w:r>
          </w:p>
        </w:tc>
        <w:tc>
          <w:tcPr>
            <w:tcW w:w="1707"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Iznos</w:t>
            </w:r>
          </w:p>
        </w:tc>
        <w:tc>
          <w:tcPr>
            <w:tcW w:w="3274"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Drugi donatori / institucije sa kojima je potrebno koordinirati</w:t>
            </w:r>
          </w:p>
        </w:tc>
      </w:tr>
      <w:tr w:rsidR="00471E41" w:rsidRPr="001A5DCE">
        <w:trPr>
          <w:cantSplit/>
        </w:trPr>
        <w:tc>
          <w:tcPr>
            <w:tcW w:w="3130" w:type="dxa"/>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Ministarstvo regionalno-investicionog razvoja i saradnje sa nevladinim organizacijama</w:t>
            </w:r>
            <w:r w:rsidRPr="001A5DCE">
              <w:rPr>
                <w:b/>
                <w:color w:val="000000"/>
                <w:szCs w:val="24"/>
              </w:rPr>
              <w:br/>
            </w:r>
            <w:r w:rsidRPr="001A5DCE">
              <w:rPr>
                <w:b/>
                <w:color w:val="000000"/>
                <w:szCs w:val="24"/>
              </w:rPr>
              <w:br/>
              <w:t xml:space="preserve">„Nova šansa 30–50 – podrška zapošljivosti i ekonomskom </w:t>
            </w:r>
            <w:proofErr w:type="gramStart"/>
            <w:r w:rsidRPr="001A5DCE">
              <w:rPr>
                <w:b/>
                <w:color w:val="000000"/>
                <w:szCs w:val="24"/>
              </w:rPr>
              <w:t>uključivanju“</w:t>
            </w:r>
            <w:proofErr w:type="gramEnd"/>
          </w:p>
        </w:tc>
        <w:tc>
          <w:tcPr>
            <w:tcW w:w="6118" w:type="dxa"/>
            <w:tcMar>
              <w:top w:w="45" w:type="dxa"/>
              <w:left w:w="90" w:type="dxa"/>
              <w:bottom w:w="45" w:type="dxa"/>
              <w:right w:w="90" w:type="dxa"/>
            </w:tcMar>
            <w:vAlign w:val="center"/>
          </w:tcPr>
          <w:p w:rsidR="00471E41" w:rsidRPr="001A5DCE" w:rsidRDefault="00CC0DF6" w:rsidP="00DA178C">
            <w:pPr>
              <w:rPr>
                <w:szCs w:val="24"/>
              </w:rPr>
            </w:pPr>
            <w:r w:rsidRPr="00CC0DF6">
              <w:rPr>
                <w:color w:val="000000"/>
                <w:szCs w:val="24"/>
                <w:lang w:val="sr-Latn-ME"/>
              </w:rPr>
              <w:t>Javni konkurs predstavlja instrument politike regionalnog razvoja usmjeren na jačanje ljudskih potencijala i ekonomsko aktiviranje nezaposlenih lica starosti od 30 do 50 godina. Konkurs doprinosi ostvarivanju Strateškog cilja 2 i Operativnog cilja 2.2 Revidirane Strategije regionalnog razvoja Crne Gore za period 2023–2027, kroz individualnu podršku, razvoj praktičnih i digitalnih vještina povezanih sa radnim mjestom, mentorstvo, podršku registrovanom samozapošljavanju i povezivanje sa potrebama lokalne privrede. Poseban prioritet imaju korisnici iz manje razvijenih jedinica lokalne samouprave.</w:t>
            </w:r>
          </w:p>
        </w:tc>
        <w:tc>
          <w:tcPr>
            <w:tcW w:w="1707" w:type="dxa"/>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160.000,00 EUR</w:t>
            </w:r>
          </w:p>
        </w:tc>
        <w:tc>
          <w:tcPr>
            <w:tcW w:w="3274" w:type="dxa"/>
            <w:tcMar>
              <w:top w:w="45" w:type="dxa"/>
              <w:left w:w="90" w:type="dxa"/>
              <w:bottom w:w="45" w:type="dxa"/>
              <w:right w:w="90" w:type="dxa"/>
            </w:tcMar>
            <w:vAlign w:val="center"/>
          </w:tcPr>
          <w:p w:rsidR="00471E41" w:rsidRPr="001A5DCE" w:rsidRDefault="007D4294" w:rsidP="00DA178C">
            <w:pPr>
              <w:jc w:val="center"/>
              <w:rPr>
                <w:szCs w:val="24"/>
              </w:rPr>
            </w:pPr>
            <w:r w:rsidRPr="001A5DCE">
              <w:rPr>
                <w:color w:val="000000"/>
                <w:szCs w:val="24"/>
              </w:rPr>
              <w:t>Ministarstvo rada, zapošljavanja i socijalnog dijaloga; Zavod za zapošljavanje Crne Gore; Ministarstvo prosvjete, nauke i inovacija; Centar za stručno obrazovanje; jedinice lokalne samouprave; Privredna komora Crne Gore; Unija poslodavaca Crne Gore; Razvojna banka Crne Gore; Delegacija Evropske unije, UNDP, ILO, GIZ i drugi donatori koji finansiraju zapošljavanje, obrazovanje odraslih, digitalne vještine i preduzetništvo.</w:t>
            </w:r>
          </w:p>
        </w:tc>
      </w:tr>
    </w:tbl>
    <w:p w:rsidR="00471E41" w:rsidRPr="001A5DCE" w:rsidRDefault="00471E41">
      <w:pPr>
        <w:rPr>
          <w:szCs w:val="24"/>
        </w:rPr>
      </w:pPr>
    </w:p>
    <w:p w:rsidR="00471E41" w:rsidRPr="001A5DCE" w:rsidRDefault="00471E41">
      <w:pPr>
        <w:rPr>
          <w:szCs w:val="24"/>
        </w:rPr>
      </w:pPr>
    </w:p>
    <w:p w:rsidR="00471E41" w:rsidRPr="001A5DCE" w:rsidRDefault="007D4294">
      <w:pPr>
        <w:pStyle w:val="Heading2"/>
        <w:keepNext/>
        <w:rPr>
          <w:szCs w:val="24"/>
        </w:rPr>
      </w:pPr>
      <w:r w:rsidRPr="001A5DCE">
        <w:rPr>
          <w:color w:val="000000"/>
        </w:rPr>
        <w:t>4.2. Navesti ko su predviđeni glavni korisnici projekata i programa koji će se finansirati putem javnog konkursa. Ukratko navesti glavna obilježja svake grupe korisnika, njihov broj i njihove potrebe na koje projekti i programi treba da odgovore u 2027. godini.</w:t>
      </w:r>
    </w:p>
    <w:tbl>
      <w:tblPr>
        <w:tblStyle w:val="TableGrid"/>
        <w:tblW w:w="14229" w:type="dxa"/>
        <w:tblInd w:w="792" w:type="dxa"/>
        <w:tblLayout w:type="fixed"/>
        <w:tblLook w:val="04A0" w:firstRow="1" w:lastRow="0" w:firstColumn="1" w:lastColumn="0" w:noHBand="0" w:noVBand="1"/>
      </w:tblPr>
      <w:tblGrid>
        <w:gridCol w:w="3130"/>
        <w:gridCol w:w="4268"/>
        <w:gridCol w:w="1849"/>
        <w:gridCol w:w="4982"/>
      </w:tblGrid>
      <w:tr w:rsidR="00471E41" w:rsidRPr="001A5DCE">
        <w:trPr>
          <w:cantSplit/>
          <w:tblHeader/>
        </w:trPr>
        <w:tc>
          <w:tcPr>
            <w:tcW w:w="3130"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Ciljna grupa</w:t>
            </w:r>
          </w:p>
        </w:tc>
        <w:tc>
          <w:tcPr>
            <w:tcW w:w="4268"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Glavna obilježja</w:t>
            </w:r>
          </w:p>
        </w:tc>
        <w:tc>
          <w:tcPr>
            <w:tcW w:w="1849"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Planirani broj</w:t>
            </w:r>
          </w:p>
        </w:tc>
        <w:tc>
          <w:tcPr>
            <w:tcW w:w="4982"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Potrebe</w:t>
            </w:r>
          </w:p>
        </w:tc>
      </w:tr>
      <w:tr w:rsidR="00471E41" w:rsidRPr="001A5DCE">
        <w:trPr>
          <w:cantSplit/>
        </w:trPr>
        <w:tc>
          <w:tcPr>
            <w:tcW w:w="3130" w:type="dxa"/>
            <w:tcMar>
              <w:top w:w="45" w:type="dxa"/>
              <w:left w:w="90" w:type="dxa"/>
              <w:bottom w:w="45" w:type="dxa"/>
              <w:right w:w="90" w:type="dxa"/>
            </w:tcMar>
            <w:vAlign w:val="center"/>
          </w:tcPr>
          <w:p w:rsidR="00471E41" w:rsidRPr="001A5DCE" w:rsidRDefault="007D4294" w:rsidP="00DA178C">
            <w:pPr>
              <w:jc w:val="left"/>
              <w:rPr>
                <w:szCs w:val="24"/>
              </w:rPr>
            </w:pPr>
            <w:r w:rsidRPr="001A5DCE">
              <w:rPr>
                <w:b/>
                <w:color w:val="000000"/>
                <w:szCs w:val="24"/>
              </w:rPr>
              <w:t>1. Nezaposlena lica starosti od 30 do 50 godina</w:t>
            </w:r>
          </w:p>
        </w:tc>
        <w:tc>
          <w:tcPr>
            <w:tcW w:w="4268" w:type="dxa"/>
            <w:tcMar>
              <w:top w:w="45" w:type="dxa"/>
              <w:left w:w="90" w:type="dxa"/>
              <w:bottom w:w="45" w:type="dxa"/>
              <w:right w:w="90" w:type="dxa"/>
            </w:tcMar>
            <w:vAlign w:val="center"/>
          </w:tcPr>
          <w:p w:rsidR="00471E41" w:rsidRPr="001A5DCE" w:rsidRDefault="006809B7" w:rsidP="00DA178C">
            <w:pPr>
              <w:rPr>
                <w:szCs w:val="24"/>
              </w:rPr>
            </w:pPr>
            <w:r w:rsidRPr="006809B7">
              <w:rPr>
                <w:color w:val="000000"/>
                <w:szCs w:val="24"/>
                <w:lang w:val="sr-Latn-ME"/>
              </w:rPr>
              <w:t>Primarnu ciljnu grupu čine nezaposlena lica sa navršenih najmanje 30 i najviše 50 godina, koja su na dan uključivanja u projekat evidentirana kod Zavoda za zapošljavanje Crne Gore, sa teritorije cijele Crne Gore i bez ograničenja prema polu.</w:t>
            </w:r>
          </w:p>
        </w:tc>
        <w:tc>
          <w:tcPr>
            <w:tcW w:w="1849" w:type="dxa"/>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Najmanje 320 direktnih korisnika</w:t>
            </w:r>
          </w:p>
        </w:tc>
        <w:tc>
          <w:tcPr>
            <w:tcW w:w="4982"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Individualna procjena, karijerno usmjeravanje, vještine traženja posla, praktične obuke, mentorstvo i povezivanje sa poslodavcima.</w:t>
            </w:r>
          </w:p>
        </w:tc>
      </w:tr>
      <w:tr w:rsidR="00471E41" w:rsidRPr="001A5DCE">
        <w:trPr>
          <w:cantSplit/>
        </w:trPr>
        <w:tc>
          <w:tcPr>
            <w:tcW w:w="3130" w:type="dxa"/>
            <w:tcMar>
              <w:top w:w="45" w:type="dxa"/>
              <w:left w:w="90" w:type="dxa"/>
              <w:bottom w:w="45" w:type="dxa"/>
              <w:right w:w="90" w:type="dxa"/>
            </w:tcMar>
            <w:vAlign w:val="center"/>
          </w:tcPr>
          <w:p w:rsidR="00471E41" w:rsidRPr="001A5DCE" w:rsidRDefault="007D4294" w:rsidP="00DA178C">
            <w:pPr>
              <w:jc w:val="left"/>
              <w:rPr>
                <w:szCs w:val="24"/>
              </w:rPr>
            </w:pPr>
            <w:r w:rsidRPr="001A5DCE">
              <w:rPr>
                <w:b/>
                <w:color w:val="000000"/>
                <w:szCs w:val="24"/>
              </w:rPr>
              <w:t>2. Dugoročno nezaposleni unutar starosne grupe 30–50</w:t>
            </w:r>
          </w:p>
        </w:tc>
        <w:tc>
          <w:tcPr>
            <w:tcW w:w="4268"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Lica koja zaposlenje traže duže od jedne godine, uključujući lica sa višegodišnjim prekidom radne aktivnosti.</w:t>
            </w:r>
          </w:p>
        </w:tc>
        <w:tc>
          <w:tcPr>
            <w:tcW w:w="1849" w:type="dxa"/>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Najmanje 120 korisnika</w:t>
            </w:r>
          </w:p>
        </w:tc>
        <w:tc>
          <w:tcPr>
            <w:tcW w:w="4982"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Intenzivnija motivaciona i mentorska podrška, obnavljanje radnih navika, valorizacija iskustva i ciljane obuke.</w:t>
            </w:r>
          </w:p>
        </w:tc>
      </w:tr>
      <w:tr w:rsidR="00471E41" w:rsidRPr="001A5DCE">
        <w:trPr>
          <w:cantSplit/>
        </w:trPr>
        <w:tc>
          <w:tcPr>
            <w:tcW w:w="3130" w:type="dxa"/>
            <w:tcMar>
              <w:top w:w="45" w:type="dxa"/>
              <w:left w:w="90" w:type="dxa"/>
              <w:bottom w:w="45" w:type="dxa"/>
              <w:right w:w="90" w:type="dxa"/>
            </w:tcMar>
            <w:vAlign w:val="center"/>
          </w:tcPr>
          <w:p w:rsidR="00471E41" w:rsidRPr="001A5DCE" w:rsidRDefault="007D4294" w:rsidP="00DA178C">
            <w:pPr>
              <w:jc w:val="left"/>
              <w:rPr>
                <w:szCs w:val="24"/>
              </w:rPr>
            </w:pPr>
            <w:r w:rsidRPr="001A5DCE">
              <w:rPr>
                <w:b/>
                <w:color w:val="000000"/>
                <w:szCs w:val="24"/>
              </w:rPr>
              <w:t xml:space="preserve">3. </w:t>
            </w:r>
            <w:r w:rsidR="00CC0DF6" w:rsidRPr="00CC0DF6">
              <w:rPr>
                <w:b/>
                <w:color w:val="000000"/>
                <w:szCs w:val="24"/>
                <w:lang w:val="sr-Latn-ME"/>
              </w:rPr>
              <w:t>Nezaposlena lica iz manje razvijenih jedinica lokalne samouprave</w:t>
            </w:r>
          </w:p>
        </w:tc>
        <w:tc>
          <w:tcPr>
            <w:tcW w:w="4268" w:type="dxa"/>
            <w:tcMar>
              <w:top w:w="45" w:type="dxa"/>
              <w:left w:w="90" w:type="dxa"/>
              <w:bottom w:w="45" w:type="dxa"/>
              <w:right w:w="90" w:type="dxa"/>
            </w:tcMar>
            <w:vAlign w:val="center"/>
          </w:tcPr>
          <w:p w:rsidR="00471E41" w:rsidRPr="001A5DCE" w:rsidRDefault="00CC0DF6" w:rsidP="00DA178C">
            <w:pPr>
              <w:rPr>
                <w:szCs w:val="24"/>
              </w:rPr>
            </w:pPr>
            <w:r w:rsidRPr="00CC0DF6">
              <w:rPr>
                <w:color w:val="000000"/>
                <w:szCs w:val="24"/>
                <w:lang w:val="sr-Latn-ME"/>
              </w:rPr>
              <w:t>Lica sa prebivalištem u jedinicama lokalne samouprave sa indeksom razvijenosti nižim od 75%, prema važećoj Listi stepena razvijenosti jedinica lokalne samouprave.</w:t>
            </w:r>
          </w:p>
        </w:tc>
        <w:tc>
          <w:tcPr>
            <w:tcW w:w="1849" w:type="dxa"/>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Najmanje 140 korisnika</w:t>
            </w:r>
          </w:p>
        </w:tc>
        <w:tc>
          <w:tcPr>
            <w:tcW w:w="4982"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Terenski i lokalno dostupni programi, podrška mobilnosti, razvoj vještina u skladu sa lokalnom privredom i samozapošljavanje.</w:t>
            </w:r>
          </w:p>
        </w:tc>
      </w:tr>
      <w:tr w:rsidR="00471E41" w:rsidRPr="001A5DCE">
        <w:trPr>
          <w:cantSplit/>
        </w:trPr>
        <w:tc>
          <w:tcPr>
            <w:tcW w:w="3130" w:type="dxa"/>
            <w:tcMar>
              <w:top w:w="45" w:type="dxa"/>
              <w:left w:w="90" w:type="dxa"/>
              <w:bottom w:w="45" w:type="dxa"/>
              <w:right w:w="90" w:type="dxa"/>
            </w:tcMar>
            <w:vAlign w:val="center"/>
          </w:tcPr>
          <w:p w:rsidR="00471E41" w:rsidRPr="001A5DCE" w:rsidRDefault="007D4294" w:rsidP="00DA178C">
            <w:pPr>
              <w:jc w:val="left"/>
              <w:rPr>
                <w:szCs w:val="24"/>
              </w:rPr>
            </w:pPr>
            <w:r w:rsidRPr="001A5DCE">
              <w:rPr>
                <w:b/>
                <w:color w:val="000000"/>
                <w:szCs w:val="24"/>
              </w:rPr>
              <w:lastRenderedPageBreak/>
              <w:t>4. Lica kojima je potrebna prekvalifikacija, dokvalifikacija ili unapređenje digitalnih vještina</w:t>
            </w:r>
          </w:p>
        </w:tc>
        <w:tc>
          <w:tcPr>
            <w:tcW w:w="4268"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Korisnici čija postojeća znanja nijesu usklađena sa potražnjom poslodavaca ili promjenama tehnologije i organizacije rada.</w:t>
            </w:r>
          </w:p>
        </w:tc>
        <w:tc>
          <w:tcPr>
            <w:tcW w:w="1849" w:type="dxa"/>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Najmanje 160 korisnika</w:t>
            </w:r>
          </w:p>
        </w:tc>
        <w:tc>
          <w:tcPr>
            <w:tcW w:w="4982"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Praktične i tržišno relevantne obuke; digitalne vještine povezane sa radnim mjestom; po potrebi programi licenciranih organizatora.</w:t>
            </w:r>
          </w:p>
        </w:tc>
      </w:tr>
      <w:tr w:rsidR="00471E41" w:rsidRPr="001A5DCE">
        <w:trPr>
          <w:cantSplit/>
        </w:trPr>
        <w:tc>
          <w:tcPr>
            <w:tcW w:w="3130" w:type="dxa"/>
            <w:tcMar>
              <w:top w:w="45" w:type="dxa"/>
              <w:left w:w="90" w:type="dxa"/>
              <w:bottom w:w="45" w:type="dxa"/>
              <w:right w:w="90" w:type="dxa"/>
            </w:tcMar>
            <w:vAlign w:val="center"/>
          </w:tcPr>
          <w:p w:rsidR="00471E41" w:rsidRPr="001A5DCE" w:rsidRDefault="007D4294" w:rsidP="00DA178C">
            <w:pPr>
              <w:jc w:val="left"/>
              <w:rPr>
                <w:szCs w:val="24"/>
              </w:rPr>
            </w:pPr>
            <w:r w:rsidRPr="001A5DCE">
              <w:rPr>
                <w:b/>
                <w:color w:val="000000"/>
                <w:szCs w:val="24"/>
              </w:rPr>
              <w:t>5. Lica od 46 do 50 godina i druga lica sa povećanim rizikom dugotrajne nezaposlenosti</w:t>
            </w:r>
          </w:p>
        </w:tc>
        <w:tc>
          <w:tcPr>
            <w:tcW w:w="4268"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Korisnici koji se teže vraćaju na tržište rada i kojima je potrebna podrška koja valorizuje prethodno iskustvo.</w:t>
            </w:r>
          </w:p>
        </w:tc>
        <w:tc>
          <w:tcPr>
            <w:tcW w:w="1849" w:type="dxa"/>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Najmanje 60 korisnika</w:t>
            </w:r>
          </w:p>
        </w:tc>
        <w:tc>
          <w:tcPr>
            <w:tcW w:w="4982"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Individualno savjetovanje, razvoj digitalnih i novih stručnih vještina, podrška promjeni zanimanja i fleksibilnim oblicima rada.</w:t>
            </w:r>
          </w:p>
        </w:tc>
      </w:tr>
      <w:tr w:rsidR="00471E41" w:rsidRPr="001A5DCE">
        <w:trPr>
          <w:cantSplit/>
        </w:trPr>
        <w:tc>
          <w:tcPr>
            <w:tcW w:w="3130" w:type="dxa"/>
            <w:tcMar>
              <w:top w:w="45" w:type="dxa"/>
              <w:left w:w="90" w:type="dxa"/>
              <w:bottom w:w="45" w:type="dxa"/>
              <w:right w:w="90" w:type="dxa"/>
            </w:tcMar>
            <w:vAlign w:val="center"/>
          </w:tcPr>
          <w:p w:rsidR="00471E41" w:rsidRPr="001A5DCE" w:rsidRDefault="007D4294" w:rsidP="00DA178C">
            <w:pPr>
              <w:jc w:val="left"/>
              <w:rPr>
                <w:szCs w:val="24"/>
              </w:rPr>
            </w:pPr>
            <w:r w:rsidRPr="001A5DCE">
              <w:rPr>
                <w:b/>
                <w:color w:val="000000"/>
                <w:szCs w:val="24"/>
              </w:rPr>
              <w:t>6. Potencijalni preduzetnici i lica zainteresovana za samozapošljavanje</w:t>
            </w:r>
          </w:p>
        </w:tc>
        <w:tc>
          <w:tcPr>
            <w:tcW w:w="4268"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Nezaposleni sa poslovnom idejom ili znanjem koje se može pretvoriti u održivu registrovanu djelatnost.</w:t>
            </w:r>
          </w:p>
        </w:tc>
        <w:tc>
          <w:tcPr>
            <w:tcW w:w="1849" w:type="dxa"/>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Najmanje 80 korisnika</w:t>
            </w:r>
          </w:p>
        </w:tc>
        <w:tc>
          <w:tcPr>
            <w:tcW w:w="4982" w:type="dxa"/>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Poslovno i finansijsko planiranje, mentorstvo, informacije o registraciji i povezivanje sa javnim programima podrške.</w:t>
            </w:r>
          </w:p>
        </w:tc>
      </w:tr>
    </w:tbl>
    <w:p w:rsidR="00CC0DF6" w:rsidRDefault="00CC0DF6" w:rsidP="00CC0DF6">
      <w:pPr>
        <w:pStyle w:val="Heading2"/>
        <w:keepNext/>
        <w:spacing w:after="140" w:line="252" w:lineRule="auto"/>
        <w:rPr>
          <w:i/>
          <w:color w:val="000000"/>
          <w:szCs w:val="24"/>
          <w:lang w:val="en-US"/>
        </w:rPr>
      </w:pPr>
    </w:p>
    <w:p w:rsidR="00CC0DF6" w:rsidRPr="00CC0DF6" w:rsidRDefault="00CC0DF6" w:rsidP="00CC0DF6">
      <w:pPr>
        <w:pStyle w:val="Heading2"/>
        <w:keepNext/>
        <w:spacing w:after="140" w:line="252" w:lineRule="auto"/>
        <w:rPr>
          <w:i/>
          <w:color w:val="000000"/>
          <w:szCs w:val="24"/>
          <w:lang w:val="en-US"/>
        </w:rPr>
      </w:pPr>
      <w:r w:rsidRPr="00CC0DF6">
        <w:rPr>
          <w:i/>
          <w:color w:val="000000"/>
          <w:lang w:val="en-US"/>
        </w:rPr>
        <w:t>Najmanje 160 korisnika treba da bude identifikovano kao grupa kojoj je potrebno unapređenje stručnih, praktičnih ili digitalnih vještina, dok će najmanje 120 korisnika biti neposredno uključeno u ciljane programe obuke, u skladu sa rezultatima individualne procjene i raspoloživim projektnim kapacitetima.</w:t>
      </w:r>
    </w:p>
    <w:p w:rsidR="00CC0DF6" w:rsidRDefault="00CC0DF6" w:rsidP="00CC0DF6">
      <w:pPr>
        <w:pStyle w:val="Heading2"/>
        <w:keepNext/>
        <w:spacing w:after="140" w:line="252" w:lineRule="auto"/>
        <w:rPr>
          <w:i/>
          <w:color w:val="000000"/>
          <w:szCs w:val="24"/>
          <w:lang w:val="en-US"/>
        </w:rPr>
      </w:pPr>
      <w:r w:rsidRPr="00CC0DF6">
        <w:rPr>
          <w:i/>
          <w:color w:val="000000"/>
          <w:lang w:val="en-US"/>
        </w:rPr>
        <w:t>Svaki direktni korisnik vodiće se pod jedinstvenom identifikacionom oznakom. Jedno lice može pripadati većem broju podgrupa, ali se u ukupan broj od najmanje 320 direktnih korisnika može računati samo jednom.</w:t>
      </w:r>
    </w:p>
    <w:p w:rsidR="00A47822" w:rsidRPr="00A47822" w:rsidRDefault="00A47822" w:rsidP="00A47822">
      <w:pPr>
        <w:rPr>
          <w:lang w:val="en-US"/>
        </w:rPr>
      </w:pPr>
    </w:p>
    <w:p w:rsidR="00471E41" w:rsidRPr="001A5DCE" w:rsidRDefault="007D4294">
      <w:pPr>
        <w:pStyle w:val="Heading2"/>
        <w:keepNext/>
        <w:rPr>
          <w:szCs w:val="24"/>
        </w:rPr>
      </w:pPr>
      <w:r w:rsidRPr="001A5DCE">
        <w:rPr>
          <w:color w:val="000000"/>
        </w:rPr>
        <w:lastRenderedPageBreak/>
        <w:t>4.3. Navesti očekivani ukupni broj ugovorenih projekata, odnosno ugovora koji se planira zaključiti sa nevladinim organizacijama na osnovu javnog konkursa.</w:t>
      </w:r>
    </w:p>
    <w:tbl>
      <w:tblPr>
        <w:tblStyle w:val="TableGrid"/>
        <w:tblW w:w="14229" w:type="dxa"/>
        <w:tblInd w:w="792" w:type="dxa"/>
        <w:tblLayout w:type="fixed"/>
        <w:tblLook w:val="04A0" w:firstRow="1" w:lastRow="0" w:firstColumn="1" w:lastColumn="0" w:noHBand="0" w:noVBand="1"/>
      </w:tblPr>
      <w:tblGrid>
        <w:gridCol w:w="7114"/>
        <w:gridCol w:w="7115"/>
      </w:tblGrid>
      <w:tr w:rsidR="00471E41" w:rsidRPr="001A5DCE">
        <w:trPr>
          <w:cantSplit/>
          <w:tblHeader/>
        </w:trPr>
        <w:tc>
          <w:tcPr>
            <w:tcW w:w="14229" w:type="dxa"/>
            <w:gridSpan w:val="2"/>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Očekivani broj projekata koji se planira finansirati / broj ugovora koje se planira zaključiti sa NVO</w:t>
            </w:r>
          </w:p>
        </w:tc>
      </w:tr>
      <w:tr w:rsidR="00471E41" w:rsidRPr="001A5DCE">
        <w:trPr>
          <w:cantSplit/>
        </w:trPr>
        <w:tc>
          <w:tcPr>
            <w:tcW w:w="7114"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7D4294">
            <w:pPr>
              <w:jc w:val="left"/>
              <w:rPr>
                <w:szCs w:val="24"/>
              </w:rPr>
            </w:pPr>
            <w:r w:rsidRPr="001A5DCE">
              <w:rPr>
                <w:b/>
                <w:color w:val="000000"/>
                <w:szCs w:val="24"/>
              </w:rPr>
              <w:t>Naziv javnog konkursa: „Nova šansa 30–50</w:t>
            </w:r>
            <w:r w:rsidR="0063652B">
              <w:rPr>
                <w:b/>
                <w:color w:val="000000"/>
                <w:szCs w:val="24"/>
              </w:rPr>
              <w:t>,</w:t>
            </w:r>
            <w:r w:rsidRPr="001A5DCE">
              <w:rPr>
                <w:b/>
                <w:color w:val="000000"/>
                <w:szCs w:val="24"/>
              </w:rPr>
              <w:t xml:space="preserve"> podrška zapošljivosti i ekonomskom uključivanju“</w:t>
            </w:r>
          </w:p>
        </w:tc>
        <w:tc>
          <w:tcPr>
            <w:tcW w:w="7115"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Broj planiranih projekata, odnosno ugovora koji se planira zaključiti: osam (8).</w:t>
            </w:r>
          </w:p>
        </w:tc>
      </w:tr>
    </w:tbl>
    <w:p w:rsidR="00CC0DF6" w:rsidRDefault="00CC0DF6">
      <w:pPr>
        <w:rPr>
          <w:i/>
          <w:szCs w:val="24"/>
        </w:rPr>
      </w:pPr>
    </w:p>
    <w:p w:rsidR="00471E41" w:rsidRPr="00CC0DF6" w:rsidRDefault="00CC0DF6">
      <w:pPr>
        <w:rPr>
          <w:i/>
          <w:szCs w:val="24"/>
        </w:rPr>
      </w:pPr>
      <w:r w:rsidRPr="00CC0DF6">
        <w:rPr>
          <w:i/>
        </w:rPr>
        <w:t>Prilikom izbora projekata vodiće se računa da ukupno finansirani projektni portfolio obuhvati najmanje 12 jedinica lokalne samouprave i sva tri regiona Crne Gore. Prednost će imati projekti koji se realizuju u partnerstvu i obuhvataju više jedinica lokalne samouprave, pod uslovom da je jasno utvrđen broj različitih korisnika po teritoriji realizacije.</w:t>
      </w:r>
    </w:p>
    <w:p w:rsidR="00471E41" w:rsidRPr="001A5DCE" w:rsidRDefault="007D4294">
      <w:pPr>
        <w:pStyle w:val="Heading2"/>
        <w:keepNext/>
        <w:rPr>
          <w:szCs w:val="24"/>
        </w:rPr>
      </w:pPr>
      <w:r w:rsidRPr="001A5DCE">
        <w:rPr>
          <w:color w:val="000000"/>
        </w:rPr>
        <w:t>4.4. Navesti najviši i najniži iznos finansijske podrške koju će biti moguće ostvariti na osnovu pojedinačnog javnog konkursa navedenog u tački 4.1.</w:t>
      </w:r>
    </w:p>
    <w:tbl>
      <w:tblPr>
        <w:tblStyle w:val="TableGrid"/>
        <w:tblW w:w="14229" w:type="dxa"/>
        <w:tblInd w:w="792" w:type="dxa"/>
        <w:tblLayout w:type="fixed"/>
        <w:tblLook w:val="04A0" w:firstRow="1" w:lastRow="0" w:firstColumn="1" w:lastColumn="0" w:noHBand="0" w:noVBand="1"/>
      </w:tblPr>
      <w:tblGrid>
        <w:gridCol w:w="7114"/>
        <w:gridCol w:w="7115"/>
      </w:tblGrid>
      <w:tr w:rsidR="00471E41" w:rsidRPr="001A5DCE">
        <w:trPr>
          <w:cantSplit/>
          <w:tblHeader/>
        </w:trPr>
        <w:tc>
          <w:tcPr>
            <w:tcW w:w="14229" w:type="dxa"/>
            <w:gridSpan w:val="2"/>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 xml:space="preserve">Naziv javnog konkursa: „Nova šansa 30–50 – podrška zapošljivosti i ekonomskom </w:t>
            </w:r>
            <w:proofErr w:type="gramStart"/>
            <w:r w:rsidRPr="001A5DCE">
              <w:rPr>
                <w:b/>
                <w:color w:val="000000"/>
                <w:szCs w:val="24"/>
              </w:rPr>
              <w:t>uključivanju“</w:t>
            </w:r>
            <w:proofErr w:type="gramEnd"/>
          </w:p>
        </w:tc>
      </w:tr>
      <w:tr w:rsidR="00471E41" w:rsidRPr="001A5DCE">
        <w:trPr>
          <w:cantSplit/>
        </w:trPr>
        <w:tc>
          <w:tcPr>
            <w:tcW w:w="7114"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Najniži iznos finansijske podrške: 15.000,00 EUR</w:t>
            </w:r>
          </w:p>
        </w:tc>
        <w:tc>
          <w:tcPr>
            <w:tcW w:w="7115"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Najviši iznos finansijske podrške: 25.000,00 EUR</w:t>
            </w:r>
          </w:p>
        </w:tc>
      </w:tr>
    </w:tbl>
    <w:p w:rsidR="00471E41" w:rsidRPr="001A5DCE" w:rsidRDefault="007D4294">
      <w:pPr>
        <w:spacing w:after="0" w:line="245" w:lineRule="auto"/>
        <w:rPr>
          <w:szCs w:val="24"/>
        </w:rPr>
      </w:pPr>
      <w:r w:rsidRPr="001A5DCE">
        <w:rPr>
          <w:b/>
          <w:color w:val="000000"/>
        </w:rPr>
        <w:t xml:space="preserve">NAPOMENA: </w:t>
      </w:r>
      <w:r w:rsidRPr="001A5DCE">
        <w:rPr>
          <w:color w:val="000000"/>
        </w:rPr>
        <w:t>stavom 4 člana 32ž Zakona o nevladinim organizacijama definisano je da ukupan iznos sredstava koja se na osnovu javnog konkursa mogu dodijeliti nevladinoj organizaciji za finansiranje projekta, odnosno programa, ne može preći 20% od ukupno opredijeljenih sredstava koja se raspodjeljuju na osnovu tog konkursa.</w:t>
      </w:r>
    </w:p>
    <w:p w:rsidR="00471E41" w:rsidRPr="001A5DCE" w:rsidRDefault="007D4294">
      <w:pPr>
        <w:pStyle w:val="ListParagraph"/>
        <w:keepNext/>
        <w:numPr>
          <w:ilvl w:val="0"/>
          <w:numId w:val="5"/>
        </w:numPr>
        <w:rPr>
          <w:b/>
          <w:u w:val="single"/>
          <w:lang w:val="sr-Latn-RS"/>
        </w:rPr>
      </w:pPr>
      <w:r>
        <w:rPr>
          <w:b/>
          <w:u w:val="single"/>
        </w:rPr>
        <w:lastRenderedPageBreak/>
        <w:t>KONSULTACIJE SA ZAINTERESOVANIM NEVLADINIM ORGANIZACIJAMA</w:t>
      </w:r>
    </w:p>
    <w:p w:rsidR="00471E41" w:rsidRPr="001A5DCE" w:rsidRDefault="007D4294">
      <w:pPr>
        <w:pStyle w:val="Heading2"/>
        <w:keepNext/>
        <w:rPr>
          <w:szCs w:val="24"/>
        </w:rPr>
      </w:pPr>
      <w:r w:rsidRPr="001A5DCE">
        <w:rPr>
          <w:color w:val="000000"/>
        </w:rPr>
        <w:t>5.1. Navesti na koji način je u skladu sa važećim propisima obavljen proces konsultovanja NVO u procesu pripreme sektorske analize.</w:t>
      </w:r>
    </w:p>
    <w:tbl>
      <w:tblPr>
        <w:tblStyle w:val="TableGrid"/>
        <w:tblW w:w="14229" w:type="dxa"/>
        <w:tblInd w:w="792" w:type="dxa"/>
        <w:tblLayout w:type="fixed"/>
        <w:tblLook w:val="04A0" w:firstRow="1" w:lastRow="0" w:firstColumn="1" w:lastColumn="0" w:noHBand="0" w:noVBand="1"/>
      </w:tblPr>
      <w:tblGrid>
        <w:gridCol w:w="6545"/>
        <w:gridCol w:w="3130"/>
        <w:gridCol w:w="4554"/>
      </w:tblGrid>
      <w:tr w:rsidR="00471E41" w:rsidRPr="001A5DCE">
        <w:trPr>
          <w:cantSplit/>
          <w:tblHeader/>
        </w:trPr>
        <w:tc>
          <w:tcPr>
            <w:tcW w:w="6545"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Metoda konsultacija (npr. web, email, konsultativni sastanak)</w:t>
            </w:r>
          </w:p>
        </w:tc>
        <w:tc>
          <w:tcPr>
            <w:tcW w:w="3130"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Datumi sprovedenih konsultacija</w:t>
            </w:r>
          </w:p>
        </w:tc>
        <w:tc>
          <w:tcPr>
            <w:tcW w:w="4554"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Naziv NVO koje su učestvovale u konsultacijama</w:t>
            </w:r>
          </w:p>
        </w:tc>
      </w:tr>
      <w:tr w:rsidR="00471E41" w:rsidRPr="001A5DCE">
        <w:trPr>
          <w:cantSplit/>
        </w:trPr>
        <w:tc>
          <w:tcPr>
            <w:tcW w:w="6545"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7D4294" w:rsidP="00DA178C">
            <w:pPr>
              <w:rPr>
                <w:szCs w:val="24"/>
              </w:rPr>
            </w:pPr>
            <w:r w:rsidRPr="001A5DCE">
              <w:rPr>
                <w:color w:val="000000"/>
                <w:szCs w:val="24"/>
              </w:rPr>
              <w:t>Planirano objavljivanje javnog poziva na internet stranici Ministarstva, uz mogućnost dostavljanja komentara na adresu Ministarstva i elektronskim putem. Poziv je potrebno direktno dostaviti NVO koje djeluju u oblastima zapošljavanja, obrazovanja odraslih, socijalne inkluzije, regionalnog razvoja i preduzetništva.</w:t>
            </w:r>
          </w:p>
        </w:tc>
        <w:tc>
          <w:tcPr>
            <w:tcW w:w="3130"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30638F" w:rsidRDefault="00AF1FD9">
            <w:r>
              <w:t>09</w:t>
            </w:r>
            <w:r w:rsidR="006B229D">
              <w:t xml:space="preserve">. </w:t>
            </w:r>
            <w:r>
              <w:t>septembra</w:t>
            </w:r>
            <w:r w:rsidR="006B229D">
              <w:t xml:space="preserve"> do </w:t>
            </w:r>
            <w:r>
              <w:t>24</w:t>
            </w:r>
            <w:r w:rsidR="006B229D">
              <w:t xml:space="preserve">. </w:t>
            </w:r>
            <w:r>
              <w:t xml:space="preserve">septembra </w:t>
            </w:r>
            <w:r w:rsidR="006B229D">
              <w:t>2026. godine</w:t>
            </w:r>
          </w:p>
        </w:tc>
        <w:tc>
          <w:tcPr>
            <w:tcW w:w="4554"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471E41">
            <w:pPr>
              <w:jc w:val="left"/>
              <w:rPr>
                <w:szCs w:val="24"/>
              </w:rPr>
            </w:pPr>
          </w:p>
        </w:tc>
      </w:tr>
      <w:tr w:rsidR="00471E41" w:rsidRPr="001A5DCE">
        <w:trPr>
          <w:cantSplit/>
        </w:trPr>
        <w:tc>
          <w:tcPr>
            <w:tcW w:w="6545"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471E41">
            <w:pPr>
              <w:jc w:val="left"/>
              <w:rPr>
                <w:szCs w:val="24"/>
              </w:rPr>
            </w:pPr>
          </w:p>
        </w:tc>
        <w:tc>
          <w:tcPr>
            <w:tcW w:w="3130"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471E41">
            <w:pPr>
              <w:jc w:val="left"/>
              <w:rPr>
                <w:szCs w:val="24"/>
              </w:rPr>
            </w:pPr>
          </w:p>
        </w:tc>
        <w:tc>
          <w:tcPr>
            <w:tcW w:w="4554"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471E41">
            <w:pPr>
              <w:jc w:val="left"/>
              <w:rPr>
                <w:szCs w:val="24"/>
              </w:rPr>
            </w:pPr>
          </w:p>
        </w:tc>
      </w:tr>
      <w:tr w:rsidR="00471E41" w:rsidRPr="001A5DCE">
        <w:trPr>
          <w:cantSplit/>
        </w:trPr>
        <w:tc>
          <w:tcPr>
            <w:tcW w:w="6545"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471E41">
            <w:pPr>
              <w:jc w:val="left"/>
              <w:rPr>
                <w:szCs w:val="24"/>
              </w:rPr>
            </w:pPr>
          </w:p>
        </w:tc>
        <w:tc>
          <w:tcPr>
            <w:tcW w:w="3130"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471E41">
            <w:pPr>
              <w:jc w:val="left"/>
              <w:rPr>
                <w:szCs w:val="24"/>
              </w:rPr>
            </w:pPr>
          </w:p>
        </w:tc>
        <w:tc>
          <w:tcPr>
            <w:tcW w:w="4554"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471E41">
            <w:pPr>
              <w:jc w:val="left"/>
              <w:rPr>
                <w:szCs w:val="24"/>
              </w:rPr>
            </w:pPr>
          </w:p>
        </w:tc>
      </w:tr>
    </w:tbl>
    <w:p w:rsidR="00471E41" w:rsidRPr="001A5DCE" w:rsidRDefault="007D4294">
      <w:pPr>
        <w:pStyle w:val="ListParagraph"/>
        <w:keepNext/>
        <w:numPr>
          <w:ilvl w:val="0"/>
          <w:numId w:val="5"/>
        </w:numPr>
        <w:rPr>
          <w:b/>
          <w:u w:val="single"/>
          <w:lang w:val="sr-Latn-RS"/>
        </w:rPr>
      </w:pPr>
      <w:r>
        <w:rPr>
          <w:b/>
          <w:u w:val="single"/>
        </w:rPr>
        <w:t>KAPACITETI ZA SPROVOĐENJE JAVNOG KONKURSA</w:t>
      </w:r>
    </w:p>
    <w:p w:rsidR="00471E41" w:rsidRPr="001A5DCE" w:rsidRDefault="007D4294">
      <w:pPr>
        <w:pStyle w:val="Heading2"/>
        <w:keepNext/>
        <w:rPr>
          <w:szCs w:val="24"/>
        </w:rPr>
      </w:pPr>
      <w:r w:rsidRPr="001A5DCE">
        <w:rPr>
          <w:color w:val="000000"/>
        </w:rPr>
        <w:t>6.1. Navesti broj službenika/ica i spoljnih saradnika koji će biti zaduženi za sprovođenje javnog konkursa i praćenje realizacije finansiranih projekata i programa nevladinih organizacija, uključujući najmanje jednu terensku posjetu.</w:t>
      </w:r>
    </w:p>
    <w:tbl>
      <w:tblPr>
        <w:tblStyle w:val="TableGrid"/>
        <w:tblW w:w="14229" w:type="dxa"/>
        <w:tblInd w:w="792" w:type="dxa"/>
        <w:tblLayout w:type="fixed"/>
        <w:tblLook w:val="04A0" w:firstRow="1" w:lastRow="0" w:firstColumn="1" w:lastColumn="0" w:noHBand="0" w:noVBand="1"/>
      </w:tblPr>
      <w:tblGrid>
        <w:gridCol w:w="4837"/>
        <w:gridCol w:w="3557"/>
        <w:gridCol w:w="5835"/>
      </w:tblGrid>
      <w:tr w:rsidR="00471E41" w:rsidRPr="001A5DCE">
        <w:trPr>
          <w:cantSplit/>
          <w:tblHeader/>
        </w:trPr>
        <w:tc>
          <w:tcPr>
            <w:tcW w:w="4837"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Naziv javnog konkursa</w:t>
            </w:r>
          </w:p>
        </w:tc>
        <w:tc>
          <w:tcPr>
            <w:tcW w:w="3557"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Broj službenika/ica zaduženih za sprovođenje i praćenje</w:t>
            </w:r>
          </w:p>
        </w:tc>
        <w:tc>
          <w:tcPr>
            <w:tcW w:w="5835" w:type="dxa"/>
            <w:tcBorders>
              <w:top w:val="single" w:sz="6" w:space="0" w:color="8C8C8C"/>
              <w:left w:val="single" w:sz="6" w:space="0" w:color="8C8C8C"/>
              <w:bottom w:val="single" w:sz="6" w:space="0" w:color="8C8C8C"/>
              <w:right w:val="single" w:sz="6" w:space="0" w:color="8C8C8C"/>
            </w:tcBorders>
            <w:shd w:val="clear" w:color="auto" w:fill="EDEDED"/>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Imena službenika/ica zaduženih za sprovođenje i praćenje</w:t>
            </w:r>
          </w:p>
        </w:tc>
      </w:tr>
      <w:tr w:rsidR="00471E41" w:rsidRPr="001A5DCE">
        <w:trPr>
          <w:cantSplit/>
        </w:trPr>
        <w:tc>
          <w:tcPr>
            <w:tcW w:w="4837"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7D4294">
            <w:pPr>
              <w:jc w:val="center"/>
              <w:rPr>
                <w:szCs w:val="24"/>
              </w:rPr>
            </w:pPr>
            <w:r w:rsidRPr="001A5DCE">
              <w:rPr>
                <w:b/>
                <w:color w:val="000000"/>
                <w:szCs w:val="24"/>
              </w:rPr>
              <w:t xml:space="preserve">„Nova šansa 30–50 – podrška zapošljivosti i ekonomskom </w:t>
            </w:r>
            <w:proofErr w:type="gramStart"/>
            <w:r w:rsidRPr="001A5DCE">
              <w:rPr>
                <w:b/>
                <w:color w:val="000000"/>
                <w:szCs w:val="24"/>
              </w:rPr>
              <w:t>uključivanju“</w:t>
            </w:r>
            <w:proofErr w:type="gramEnd"/>
          </w:p>
        </w:tc>
        <w:tc>
          <w:tcPr>
            <w:tcW w:w="3557"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AF1FD9">
            <w:pPr>
              <w:jc w:val="center"/>
              <w:rPr>
                <w:szCs w:val="24"/>
              </w:rPr>
            </w:pPr>
            <w:r>
              <w:rPr>
                <w:b/>
                <w:color w:val="000000"/>
                <w:szCs w:val="24"/>
              </w:rPr>
              <w:t>1</w:t>
            </w:r>
          </w:p>
        </w:tc>
        <w:tc>
          <w:tcPr>
            <w:tcW w:w="5835" w:type="dxa"/>
            <w:tcBorders>
              <w:top w:val="single" w:sz="6" w:space="0" w:color="8C8C8C"/>
              <w:left w:val="single" w:sz="6" w:space="0" w:color="8C8C8C"/>
              <w:bottom w:val="single" w:sz="6" w:space="0" w:color="8C8C8C"/>
              <w:right w:val="single" w:sz="6" w:space="0" w:color="8C8C8C"/>
            </w:tcBorders>
            <w:tcMar>
              <w:top w:w="45" w:type="dxa"/>
              <w:left w:w="90" w:type="dxa"/>
              <w:bottom w:w="45" w:type="dxa"/>
              <w:right w:w="90" w:type="dxa"/>
            </w:tcMar>
            <w:vAlign w:val="center"/>
          </w:tcPr>
          <w:p w:rsidR="00471E41" w:rsidRPr="001A5DCE" w:rsidRDefault="00AF1FD9">
            <w:pPr>
              <w:jc w:val="center"/>
              <w:rPr>
                <w:szCs w:val="24"/>
              </w:rPr>
            </w:pPr>
            <w:r w:rsidRPr="001A5DCE">
              <w:rPr>
                <w:b/>
                <w:color w:val="000000"/>
                <w:szCs w:val="24"/>
              </w:rPr>
              <w:t>Peđa Davidović</w:t>
            </w:r>
          </w:p>
        </w:tc>
      </w:tr>
    </w:tbl>
    <w:p w:rsidR="00AF1FD9" w:rsidRDefault="00AF1FD9" w:rsidP="00AF1FD9">
      <w:pPr>
        <w:rPr>
          <w:b/>
          <w:szCs w:val="24"/>
          <w:lang w:val="sr-Latn-RS"/>
        </w:rPr>
      </w:pPr>
      <w:r>
        <w:rPr>
          <w:b/>
          <w:szCs w:val="24"/>
          <w:lang w:val="sr-Latn-RS"/>
        </w:rPr>
        <w:lastRenderedPageBreak/>
        <w:t xml:space="preserve">                                                                                              </w:t>
      </w:r>
      <w:r w:rsidRPr="00AF1FD9">
        <w:rPr>
          <w:b/>
          <w:szCs w:val="24"/>
          <w:lang w:val="sr-Latn-RS"/>
        </w:rPr>
        <w:t>Ovjera ministra:</w:t>
      </w:r>
    </w:p>
    <w:p w:rsidR="00AF1FD9" w:rsidRPr="00AF1FD9" w:rsidRDefault="00AF1FD9" w:rsidP="00AF1FD9">
      <w:pPr>
        <w:rPr>
          <w:b/>
          <w:szCs w:val="24"/>
          <w:lang w:val="sr-Latn-RS"/>
        </w:rPr>
      </w:pPr>
    </w:p>
    <w:tbl>
      <w:tblPr>
        <w:tblStyle w:val="TableGrid"/>
        <w:tblW w:w="0" w:type="auto"/>
        <w:tblInd w:w="818" w:type="dxa"/>
        <w:tblBorders>
          <w:insideV w:val="none" w:sz="0" w:space="0" w:color="auto"/>
        </w:tblBorders>
        <w:tblLook w:val="04A0" w:firstRow="1" w:lastRow="0" w:firstColumn="1" w:lastColumn="0" w:noHBand="0" w:noVBand="1"/>
      </w:tblPr>
      <w:tblGrid>
        <w:gridCol w:w="284"/>
        <w:gridCol w:w="4260"/>
        <w:gridCol w:w="4544"/>
        <w:gridCol w:w="4396"/>
        <w:gridCol w:w="236"/>
      </w:tblGrid>
      <w:tr w:rsidR="00AF1FD9" w:rsidRPr="00AF1FD9" w:rsidTr="00DB5960">
        <w:tc>
          <w:tcPr>
            <w:tcW w:w="284" w:type="dxa"/>
            <w:tcBorders>
              <w:top w:val="single" w:sz="18" w:space="0" w:color="auto"/>
              <w:left w:val="single" w:sz="18" w:space="0" w:color="auto"/>
              <w:bottom w:val="nil"/>
            </w:tcBorders>
          </w:tcPr>
          <w:p w:rsidR="00AF1FD9" w:rsidRPr="00AF1FD9" w:rsidRDefault="00AF1FD9" w:rsidP="00AF1FD9">
            <w:pPr>
              <w:rPr>
                <w:szCs w:val="24"/>
                <w:lang w:val="sr-Latn-RS"/>
              </w:rPr>
            </w:pPr>
          </w:p>
        </w:tc>
        <w:tc>
          <w:tcPr>
            <w:tcW w:w="4260" w:type="dxa"/>
            <w:tcBorders>
              <w:top w:val="single" w:sz="18" w:space="0" w:color="auto"/>
            </w:tcBorders>
          </w:tcPr>
          <w:p w:rsidR="00AF1FD9" w:rsidRPr="00AF1FD9" w:rsidRDefault="00AF1FD9" w:rsidP="00AF1FD9">
            <w:pPr>
              <w:rPr>
                <w:szCs w:val="24"/>
                <w:lang w:val="sr-Latn-RS"/>
              </w:rPr>
            </w:pPr>
          </w:p>
          <w:p w:rsidR="00AF1FD9" w:rsidRPr="00AF1FD9" w:rsidRDefault="00CD1331" w:rsidP="00AF1FD9">
            <w:pPr>
              <w:rPr>
                <w:szCs w:val="24"/>
                <w:lang w:val="sr-Latn-RS"/>
              </w:rPr>
            </w:pPr>
            <w:r>
              <w:rPr>
                <w:szCs w:val="24"/>
                <w:lang w:val="sr-Latn-RS"/>
              </w:rPr>
              <w:t xml:space="preserve">                   </w:t>
            </w:r>
            <w:r w:rsidR="00AF1FD9" w:rsidRPr="00AF1FD9">
              <w:rPr>
                <w:szCs w:val="24"/>
                <w:lang w:val="sr-Latn-RS"/>
              </w:rPr>
              <w:t>Ernad Suljević</w:t>
            </w:r>
          </w:p>
        </w:tc>
        <w:tc>
          <w:tcPr>
            <w:tcW w:w="4544" w:type="dxa"/>
            <w:tcBorders>
              <w:top w:val="single" w:sz="18" w:space="0" w:color="auto"/>
              <w:bottom w:val="nil"/>
            </w:tcBorders>
          </w:tcPr>
          <w:p w:rsidR="00AF1FD9" w:rsidRPr="00AF1FD9" w:rsidRDefault="00AF1FD9" w:rsidP="00AF1FD9">
            <w:pPr>
              <w:rPr>
                <w:szCs w:val="24"/>
                <w:lang w:val="sr-Latn-RS"/>
              </w:rPr>
            </w:pPr>
          </w:p>
          <w:p w:rsidR="00AF1FD9" w:rsidRPr="00AF1FD9" w:rsidRDefault="00AF1FD9" w:rsidP="00AF1FD9">
            <w:pPr>
              <w:rPr>
                <w:szCs w:val="24"/>
                <w:lang w:val="sr-Latn-RS"/>
              </w:rPr>
            </w:pPr>
          </w:p>
        </w:tc>
        <w:tc>
          <w:tcPr>
            <w:tcW w:w="4396" w:type="dxa"/>
            <w:tcBorders>
              <w:top w:val="single" w:sz="18" w:space="0" w:color="auto"/>
            </w:tcBorders>
          </w:tcPr>
          <w:p w:rsidR="00AF1FD9" w:rsidRPr="00AF1FD9" w:rsidRDefault="00AF1FD9" w:rsidP="00AF1FD9">
            <w:pPr>
              <w:rPr>
                <w:szCs w:val="24"/>
                <w:lang w:val="sr-Latn-RS"/>
              </w:rPr>
            </w:pPr>
          </w:p>
        </w:tc>
        <w:tc>
          <w:tcPr>
            <w:tcW w:w="236" w:type="dxa"/>
            <w:tcBorders>
              <w:top w:val="single" w:sz="18" w:space="0" w:color="auto"/>
              <w:bottom w:val="nil"/>
              <w:right w:val="single" w:sz="18" w:space="0" w:color="auto"/>
            </w:tcBorders>
          </w:tcPr>
          <w:p w:rsidR="00AF1FD9" w:rsidRPr="00AF1FD9" w:rsidRDefault="00AF1FD9" w:rsidP="00AF1FD9">
            <w:pPr>
              <w:rPr>
                <w:szCs w:val="24"/>
                <w:lang w:val="sr-Latn-RS"/>
              </w:rPr>
            </w:pPr>
          </w:p>
        </w:tc>
      </w:tr>
      <w:tr w:rsidR="00AF1FD9" w:rsidRPr="00AF1FD9" w:rsidTr="00DB5960">
        <w:tc>
          <w:tcPr>
            <w:tcW w:w="284" w:type="dxa"/>
            <w:tcBorders>
              <w:top w:val="nil"/>
              <w:left w:val="single" w:sz="18" w:space="0" w:color="auto"/>
              <w:bottom w:val="single" w:sz="18" w:space="0" w:color="auto"/>
            </w:tcBorders>
          </w:tcPr>
          <w:p w:rsidR="00AF1FD9" w:rsidRPr="00AF1FD9" w:rsidRDefault="00AF1FD9" w:rsidP="00AF1FD9">
            <w:pPr>
              <w:rPr>
                <w:szCs w:val="24"/>
                <w:lang w:val="sr-Latn-RS"/>
              </w:rPr>
            </w:pPr>
          </w:p>
        </w:tc>
        <w:tc>
          <w:tcPr>
            <w:tcW w:w="4260" w:type="dxa"/>
            <w:tcBorders>
              <w:bottom w:val="single" w:sz="18" w:space="0" w:color="auto"/>
            </w:tcBorders>
          </w:tcPr>
          <w:p w:rsidR="00AF1FD9" w:rsidRPr="00AF1FD9" w:rsidRDefault="00AF1FD9" w:rsidP="00AF1FD9">
            <w:pPr>
              <w:rPr>
                <w:szCs w:val="24"/>
                <w:lang w:val="sr-Latn-RS"/>
              </w:rPr>
            </w:pPr>
            <w:r w:rsidRPr="00AF1FD9">
              <w:rPr>
                <w:szCs w:val="24"/>
                <w:lang w:val="sr-Latn-RS"/>
              </w:rPr>
              <w:t xml:space="preserve">                    Ime i prezime</w:t>
            </w:r>
          </w:p>
        </w:tc>
        <w:tc>
          <w:tcPr>
            <w:tcW w:w="4544" w:type="dxa"/>
            <w:tcBorders>
              <w:top w:val="nil"/>
              <w:bottom w:val="single" w:sz="18" w:space="0" w:color="auto"/>
            </w:tcBorders>
          </w:tcPr>
          <w:p w:rsidR="00AF1FD9" w:rsidRPr="00AF1FD9" w:rsidRDefault="00AF1FD9" w:rsidP="00AF1FD9">
            <w:pPr>
              <w:rPr>
                <w:szCs w:val="24"/>
                <w:lang w:val="sr-Latn-RS"/>
              </w:rPr>
            </w:pPr>
            <w:r w:rsidRPr="00AF1FD9">
              <w:rPr>
                <w:szCs w:val="24"/>
                <w:lang w:val="sr-Latn-RS"/>
              </w:rPr>
              <w:t xml:space="preserve">                          M.P.</w:t>
            </w:r>
          </w:p>
          <w:p w:rsidR="00AF1FD9" w:rsidRPr="00AF1FD9" w:rsidRDefault="00AF1FD9" w:rsidP="00AF1FD9">
            <w:pPr>
              <w:rPr>
                <w:szCs w:val="24"/>
                <w:lang w:val="sr-Latn-RS"/>
              </w:rPr>
            </w:pPr>
          </w:p>
        </w:tc>
        <w:tc>
          <w:tcPr>
            <w:tcW w:w="4396" w:type="dxa"/>
            <w:tcBorders>
              <w:bottom w:val="single" w:sz="18" w:space="0" w:color="auto"/>
            </w:tcBorders>
          </w:tcPr>
          <w:p w:rsidR="00AF1FD9" w:rsidRPr="00AF1FD9" w:rsidRDefault="00AF1FD9" w:rsidP="00AF1FD9">
            <w:pPr>
              <w:rPr>
                <w:szCs w:val="24"/>
                <w:lang w:val="sr-Latn-RS"/>
              </w:rPr>
            </w:pPr>
            <w:r w:rsidRPr="00AF1FD9">
              <w:rPr>
                <w:szCs w:val="24"/>
                <w:lang w:val="sr-Latn-RS"/>
              </w:rPr>
              <w:t xml:space="preserve">                         Potpis</w:t>
            </w:r>
          </w:p>
        </w:tc>
        <w:tc>
          <w:tcPr>
            <w:tcW w:w="236" w:type="dxa"/>
            <w:tcBorders>
              <w:top w:val="nil"/>
              <w:bottom w:val="single" w:sz="18" w:space="0" w:color="auto"/>
              <w:right w:val="single" w:sz="18" w:space="0" w:color="auto"/>
            </w:tcBorders>
          </w:tcPr>
          <w:p w:rsidR="00AF1FD9" w:rsidRPr="00AF1FD9" w:rsidRDefault="00AF1FD9" w:rsidP="00AF1FD9">
            <w:pPr>
              <w:rPr>
                <w:szCs w:val="24"/>
                <w:lang w:val="sr-Latn-RS"/>
              </w:rPr>
            </w:pPr>
          </w:p>
        </w:tc>
      </w:tr>
    </w:tbl>
    <w:p w:rsidR="00AF1FD9" w:rsidRPr="00AF1FD9" w:rsidRDefault="00AF1FD9" w:rsidP="00AF1FD9">
      <w:pPr>
        <w:rPr>
          <w:szCs w:val="24"/>
          <w:lang w:val="sr-Latn-RS"/>
        </w:rPr>
      </w:pPr>
    </w:p>
    <w:p w:rsidR="00471E41" w:rsidRPr="001A5DCE" w:rsidRDefault="00471E41">
      <w:pPr>
        <w:rPr>
          <w:szCs w:val="24"/>
        </w:rPr>
      </w:pPr>
    </w:p>
    <w:p w:rsidR="00C20E0A" w:rsidRPr="006F4DB3" w:rsidRDefault="00C20E0A" w:rsidP="00375D08">
      <w:pPr>
        <w:tabs>
          <w:tab w:val="left" w:pos="1620"/>
        </w:tabs>
        <w:spacing w:before="0" w:after="0" w:line="240" w:lineRule="auto"/>
        <w:rPr>
          <w:sz w:val="20"/>
          <w:lang w:val="sr-Latn-RS"/>
        </w:rPr>
      </w:pPr>
    </w:p>
    <w:sectPr w:rsidR="00C20E0A" w:rsidRPr="006F4DB3" w:rsidSect="007A3DD1">
      <w:headerReference w:type="default" r:id="rId15"/>
      <w:footerReference w:type="even" r:id="rId16"/>
      <w:footerReference w:type="default" r:id="rId17"/>
      <w:headerReference w:type="first" r:id="rId18"/>
      <w:footerReference w:type="first" r:id="rId19"/>
      <w:pgSz w:w="16838" w:h="11906" w:orient="landscape" w:code="9"/>
      <w:pgMar w:top="1418" w:right="1276" w:bottom="1418" w:left="567" w:header="1134" w:footer="34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1183" w:rsidRDefault="007C1183" w:rsidP="00A6505B">
      <w:pPr>
        <w:spacing w:after="0" w:line="240" w:lineRule="auto"/>
      </w:pPr>
      <w:r>
        <w:separator/>
      </w:r>
    </w:p>
  </w:endnote>
  <w:endnote w:type="continuationSeparator" w:id="0">
    <w:p w:rsidR="007C1183" w:rsidRDefault="007C1183" w:rsidP="00A65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638F" w:rsidRDefault="006B229D">
    <w:pPr>
      <w:spacing w:before="0" w:after="0" w:line="240" w:lineRule="auto"/>
      <w:jc w:val="right"/>
    </w:pP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638F" w:rsidRDefault="006B229D">
    <w:pPr>
      <w:spacing w:before="0" w:after="0" w:line="240" w:lineRule="auto"/>
      <w:jc w:val="right"/>
    </w:pP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638F" w:rsidRDefault="006B229D">
    <w:pPr>
      <w:spacing w:before="0" w:after="0" w:line="240" w:lineRule="auto"/>
      <w:jc w:val="right"/>
    </w:pPr>
    <w:r>
      <w:rPr>
        <w:sz w:val="20"/>
      </w:rPr>
      <w:fldChar w:fldCharType="begin"/>
    </w:r>
    <w:r>
      <w:rPr>
        <w:sz w:val="20"/>
      </w:rPr>
      <w:instrText xml:space="preserve"> PAGE \* MERGEFORMAT </w:instrText>
    </w:r>
    <w:r>
      <w:rPr>
        <w:sz w:val="20"/>
      </w:rPr>
      <w:fldChar w:fldCharType="separate"/>
    </w:r>
    <w:r>
      <w:rPr>
        <w:sz w:val="20"/>
      </w:rPr>
      <w:t>1</w:t>
    </w:r>
    <w:r>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1183" w:rsidRDefault="007C1183" w:rsidP="00A6505B">
      <w:pPr>
        <w:spacing w:after="0" w:line="240" w:lineRule="auto"/>
      </w:pPr>
      <w:r>
        <w:separator/>
      </w:r>
    </w:p>
  </w:footnote>
  <w:footnote w:type="continuationSeparator" w:id="0">
    <w:p w:rsidR="007C1183" w:rsidRDefault="007C1183" w:rsidP="00A65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F36" w:rsidRDefault="004D2F36" w:rsidP="00A6505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2F36" w:rsidRPr="00464FCC" w:rsidRDefault="004D2F36" w:rsidP="008F5FDB">
    <w:pPr>
      <w:pStyle w:val="Title"/>
      <w:jc w:val="both"/>
      <w:rPr>
        <w:rFonts w:ascii="Arial" w:eastAsiaTheme="majorEastAsia" w:hAnsi="Arial" w:cs="Arial"/>
      </w:rPr>
    </w:pPr>
    <w:r w:rsidRPr="00464FCC">
      <w:rPr>
        <w:rFonts w:ascii="Arial" w:hAnsi="Arial" w:cs="Arial"/>
        <w:lang w:val="sr-Latn-ME" w:eastAsia="sr-Latn-ME"/>
      </w:rPr>
      <mc:AlternateContent>
        <mc:Choice Requires="wps">
          <w:drawing>
            <wp:anchor distT="0" distB="0" distL="114300" distR="114300" simplePos="0" relativeHeight="251659264" behindDoc="0" locked="0" layoutInCell="1" allowOverlap="1" wp14:anchorId="1A8CB01D" wp14:editId="224D12F1">
              <wp:simplePos x="0" y="0"/>
              <wp:positionH relativeFrom="column">
                <wp:posOffset>622295</wp:posOffset>
              </wp:positionH>
              <wp:positionV relativeFrom="paragraph">
                <wp:posOffset>52750</wp:posOffset>
              </wp:positionV>
              <wp:extent cx="0" cy="635106"/>
              <wp:effectExtent l="0" t="0" r="19050" b="31750"/>
              <wp:wrapNone/>
              <wp:docPr id="27" name="Straight Connector 27" descr="Dekorativna linija zaglavlja" title="Dekorativna linija zaglavlja"/>
              <wp:cNvGraphicFramePr/>
              <a:graphic xmlns:a="http://schemas.openxmlformats.org/drawingml/2006/main">
                <a:graphicData uri="http://schemas.microsoft.com/office/word/2010/wordprocessingShape">
                  <wps:wsp>
                    <wps:cNvCnPr/>
                    <wps:spPr>
                      <a:xfrm>
                        <a:off x="0" y="0"/>
                        <a:ext cx="0" cy="635106"/>
                      </a:xfrm>
                      <a:prstGeom prst="line">
                        <a:avLst/>
                      </a:prstGeom>
                      <a:ln w="19050">
                        <a:solidFill>
                          <a:srgbClr val="D5B03D"/>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0214FE" id="Straight Connector 2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pt,4.15pt" to="49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" strokecolor="#d5b03d" strokeweight="1.5pt"/>
          </w:pict>
        </mc:Fallback>
      </mc:AlternateContent>
    </w:r>
    <w:r w:rsidRPr="00464FCC">
      <w:rPr>
        <w:rFonts w:ascii="Arial" w:hAnsi="Arial" w:cs="Arial"/>
        <w:lang w:val="sr-Latn-ME" w:eastAsia="sr-Latn-ME"/>
      </w:rPr>
      <w:drawing>
        <wp:anchor distT="0" distB="0" distL="114300" distR="114300" simplePos="0" relativeHeight="251660288" behindDoc="0" locked="0" layoutInCell="1" allowOverlap="1" wp14:anchorId="01DC6931" wp14:editId="7FBC34C5">
          <wp:simplePos x="0" y="0"/>
          <wp:positionH relativeFrom="column">
            <wp:posOffset>-16510</wp:posOffset>
          </wp:positionH>
          <wp:positionV relativeFrom="paragraph">
            <wp:posOffset>57150</wp:posOffset>
          </wp:positionV>
          <wp:extent cx="539115" cy="621665"/>
          <wp:effectExtent l="0" t="0" r="0" b="6985"/>
          <wp:wrapNone/>
          <wp:docPr id="199" name="Picture 199" descr="Grb Crne Gore" title="Grb Crne G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b CB 15.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9115" cy="621665"/>
                  </a:xfrm>
                  <a:prstGeom prst="rect">
                    <a:avLst/>
                  </a:prstGeom>
                </pic:spPr>
              </pic:pic>
            </a:graphicData>
          </a:graphic>
        </wp:anchor>
      </w:drawing>
    </w:r>
    <w:r w:rsidRPr="00464FCC">
      <w:rPr>
        <w:rFonts w:ascii="Arial" w:hAnsi="Arial" w:cs="Arial"/>
      </w:rPr>
      <w:t>Crna Gora</w:t>
    </w:r>
  </w:p>
  <w:p w:rsidR="004D2F36" w:rsidRPr="00464FCC" w:rsidRDefault="004D2F36" w:rsidP="008F5FDB">
    <w:pPr>
      <w:pStyle w:val="Title"/>
      <w:spacing w:after="0"/>
      <w:jc w:val="both"/>
      <w:rPr>
        <w:rFonts w:ascii="Arial" w:hAnsi="Arial" w:cs="Arial"/>
        <w:sz w:val="24"/>
        <w:szCs w:val="24"/>
      </w:rPr>
    </w:pPr>
    <w:r w:rsidRPr="00464FCC">
      <w:rPr>
        <w:rFonts w:ascii="Arial" w:hAnsi="Arial" w:cs="Arial"/>
        <w:sz w:val="24"/>
        <w:szCs w:val="24"/>
      </w:rPr>
      <w:t xml:space="preserve">MINISTARSTVO REGIONALNO-INVESTICIONOG RAZVOJA </w:t>
    </w:r>
  </w:p>
  <w:p w:rsidR="004D2F36" w:rsidRPr="008F5FDB" w:rsidRDefault="004D2F36" w:rsidP="008F5FDB">
    <w:pPr>
      <w:rPr>
        <w:szCs w:val="24"/>
        <w:lang w:val="en-US"/>
      </w:rPr>
    </w:pPr>
    <w:r w:rsidRPr="00464FCC">
      <w:rPr>
        <w:szCs w:val="24"/>
        <w:lang w:val="en-US"/>
      </w:rPr>
      <w:tab/>
      <w:t xml:space="preserve">  </w:t>
    </w:r>
    <w:r w:rsidRPr="00464FCC">
      <w:rPr>
        <w:rFonts w:eastAsia="Times New Roman"/>
        <w:noProof/>
        <w:spacing w:val="-10"/>
        <w:kern w:val="28"/>
        <w:szCs w:val="24"/>
        <w:lang w:val="en-US"/>
      </w:rPr>
      <w:t xml:space="preserve">    </w:t>
    </w:r>
    <w:r>
      <w:rPr>
        <w:rFonts w:eastAsia="Times New Roman"/>
        <w:noProof/>
        <w:spacing w:val="-10"/>
        <w:kern w:val="28"/>
        <w:szCs w:val="24"/>
        <w:lang w:val="en-US"/>
      </w:rPr>
      <w:t xml:space="preserve"> </w:t>
    </w:r>
    <w:r w:rsidR="008F5FDB">
      <w:rPr>
        <w:rFonts w:eastAsia="Times New Roman"/>
        <w:noProof/>
        <w:spacing w:val="-10"/>
        <w:kern w:val="28"/>
        <w:szCs w:val="24"/>
        <w:lang w:val="en-US"/>
      </w:rPr>
      <w:t xml:space="preserve"> </w:t>
    </w:r>
    <w:r w:rsidRPr="008F5FDB">
      <w:rPr>
        <w:rFonts w:eastAsia="Times New Roman"/>
        <w:noProof/>
        <w:spacing w:val="-10"/>
        <w:kern w:val="28"/>
        <w:szCs w:val="24"/>
        <w:lang w:val="en-US"/>
      </w:rPr>
      <w:t>I SARADNJE SA NEVLADINIM ORGANIZACIJAMA</w:t>
    </w:r>
  </w:p>
  <w:p w:rsidR="004D2F36" w:rsidRPr="00F323F6" w:rsidRDefault="004D2F36" w:rsidP="00F127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0B2E"/>
    <w:multiLevelType w:val="hybridMultilevel"/>
    <w:tmpl w:val="45927F6C"/>
    <w:lvl w:ilvl="0" w:tplc="2996DC62">
      <w:start w:val="1"/>
      <w:numFmt w:val="bullet"/>
      <w:lvlText w:val="-"/>
      <w:lvlJc w:val="left"/>
      <w:pPr>
        <w:ind w:left="-450" w:hanging="360"/>
      </w:pPr>
      <w:rPr>
        <w:rFonts w:ascii="Arial" w:eastAsiaTheme="minorHAnsi" w:hAnsi="Arial" w:cs="Arial" w:hint="default"/>
        <w:sz w:val="20"/>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1" w15:restartNumberingAfterBreak="0">
    <w:nsid w:val="02913118"/>
    <w:multiLevelType w:val="multilevel"/>
    <w:tmpl w:val="39700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0668C9"/>
    <w:multiLevelType w:val="multilevel"/>
    <w:tmpl w:val="7162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A7305"/>
    <w:multiLevelType w:val="multilevel"/>
    <w:tmpl w:val="D0829CC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15:restartNumberingAfterBreak="0">
    <w:nsid w:val="0B206B4B"/>
    <w:multiLevelType w:val="hybridMultilevel"/>
    <w:tmpl w:val="EAFA2AA2"/>
    <w:lvl w:ilvl="0" w:tplc="1EAC055C">
      <w:start w:val="1"/>
      <w:numFmt w:val="decimal"/>
      <w:lvlText w:val="%1."/>
      <w:lvlJc w:val="left"/>
      <w:pPr>
        <w:ind w:left="1800" w:hanging="360"/>
      </w:pPr>
      <w:rPr>
        <w:rFonts w:eastAsia="MS Mincho"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3E53BA"/>
    <w:multiLevelType w:val="multilevel"/>
    <w:tmpl w:val="8222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077DAD"/>
    <w:multiLevelType w:val="multilevel"/>
    <w:tmpl w:val="6B7A95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0B64770"/>
    <w:multiLevelType w:val="hybridMultilevel"/>
    <w:tmpl w:val="41549C6E"/>
    <w:lvl w:ilvl="0" w:tplc="A2762088">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9E73BB"/>
    <w:multiLevelType w:val="multilevel"/>
    <w:tmpl w:val="27ECE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3F1A0B"/>
    <w:multiLevelType w:val="multilevel"/>
    <w:tmpl w:val="9ADA3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D759E7"/>
    <w:multiLevelType w:val="multilevel"/>
    <w:tmpl w:val="68E6E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D8132F"/>
    <w:multiLevelType w:val="hybridMultilevel"/>
    <w:tmpl w:val="E1C4D884"/>
    <w:lvl w:ilvl="0" w:tplc="0409000F">
      <w:start w:val="1"/>
      <w:numFmt w:val="decimal"/>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2" w15:restartNumberingAfterBreak="0">
    <w:nsid w:val="27B51726"/>
    <w:multiLevelType w:val="multilevel"/>
    <w:tmpl w:val="70C84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C74889"/>
    <w:multiLevelType w:val="hybridMultilevel"/>
    <w:tmpl w:val="5F9AFB2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107A83"/>
    <w:multiLevelType w:val="multilevel"/>
    <w:tmpl w:val="7910C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0B42ED6"/>
    <w:multiLevelType w:val="hybridMultilevel"/>
    <w:tmpl w:val="1DCC6668"/>
    <w:lvl w:ilvl="0" w:tplc="2C1A0001">
      <w:start w:val="1"/>
      <w:numFmt w:val="bullet"/>
      <w:lvlText w:val=""/>
      <w:lvlJc w:val="left"/>
      <w:pPr>
        <w:ind w:left="720" w:hanging="360"/>
      </w:pPr>
      <w:rPr>
        <w:rFonts w:ascii="Symbol" w:hAnsi="Symbol" w:hint="default"/>
      </w:rPr>
    </w:lvl>
    <w:lvl w:ilvl="1" w:tplc="2C1A0001">
      <w:start w:val="1"/>
      <w:numFmt w:val="bullet"/>
      <w:lvlText w:val=""/>
      <w:lvlJc w:val="left"/>
      <w:pPr>
        <w:ind w:left="1440" w:hanging="360"/>
      </w:pPr>
      <w:rPr>
        <w:rFonts w:ascii="Symbol" w:hAnsi="Symbol"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6" w15:restartNumberingAfterBreak="0">
    <w:nsid w:val="355E1AAB"/>
    <w:multiLevelType w:val="hybridMultilevel"/>
    <w:tmpl w:val="CA8E6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BD1489"/>
    <w:multiLevelType w:val="multilevel"/>
    <w:tmpl w:val="040E0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BF37D3"/>
    <w:multiLevelType w:val="hybridMultilevel"/>
    <w:tmpl w:val="9384D764"/>
    <w:lvl w:ilvl="0" w:tplc="4CD4DA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B04B3D"/>
    <w:multiLevelType w:val="multilevel"/>
    <w:tmpl w:val="3D24F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1736DD"/>
    <w:multiLevelType w:val="multilevel"/>
    <w:tmpl w:val="E2B03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774E16"/>
    <w:multiLevelType w:val="multilevel"/>
    <w:tmpl w:val="D4DC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E53F9C"/>
    <w:multiLevelType w:val="hybridMultilevel"/>
    <w:tmpl w:val="8A3A7A34"/>
    <w:lvl w:ilvl="0" w:tplc="8F5AE69C">
      <w:start w:val="1"/>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975B52"/>
    <w:multiLevelType w:val="hybridMultilevel"/>
    <w:tmpl w:val="C0F64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187681D"/>
    <w:multiLevelType w:val="multilevel"/>
    <w:tmpl w:val="D22A1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687671"/>
    <w:multiLevelType w:val="multilevel"/>
    <w:tmpl w:val="47F85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8C543E5"/>
    <w:multiLevelType w:val="multilevel"/>
    <w:tmpl w:val="422ACD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8B7E51"/>
    <w:multiLevelType w:val="multilevel"/>
    <w:tmpl w:val="9ACE6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8664E0"/>
    <w:multiLevelType w:val="hybridMultilevel"/>
    <w:tmpl w:val="91A28832"/>
    <w:lvl w:ilvl="0" w:tplc="42066992">
      <w:start w:val="4"/>
      <w:numFmt w:val="bullet"/>
      <w:lvlText w:val="-"/>
      <w:lvlJc w:val="left"/>
      <w:pPr>
        <w:ind w:left="420" w:hanging="360"/>
      </w:pPr>
      <w:rPr>
        <w:rFonts w:ascii="Arial" w:eastAsia="MS Mincho"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9" w15:restartNumberingAfterBreak="0">
    <w:nsid w:val="5FFD25A9"/>
    <w:multiLevelType w:val="hybridMultilevel"/>
    <w:tmpl w:val="41EE9F32"/>
    <w:lvl w:ilvl="0" w:tplc="B01E256C">
      <w:start w:val="1"/>
      <w:numFmt w:val="decimal"/>
      <w:lvlText w:val="Član %1"/>
      <w:lvlJc w:val="center"/>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abstractNum w:abstractNumId="30" w15:restartNumberingAfterBreak="0">
    <w:nsid w:val="65400D7C"/>
    <w:multiLevelType w:val="hybridMultilevel"/>
    <w:tmpl w:val="E6608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F530D8"/>
    <w:multiLevelType w:val="multilevel"/>
    <w:tmpl w:val="FAFC5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4129C5"/>
    <w:multiLevelType w:val="multilevel"/>
    <w:tmpl w:val="6172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C16EE3"/>
    <w:multiLevelType w:val="hybridMultilevel"/>
    <w:tmpl w:val="98487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A9C2C12"/>
    <w:multiLevelType w:val="multilevel"/>
    <w:tmpl w:val="F45A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212BE6"/>
    <w:multiLevelType w:val="multilevel"/>
    <w:tmpl w:val="BE6237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9D74BD"/>
    <w:multiLevelType w:val="multilevel"/>
    <w:tmpl w:val="9D72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5B4572"/>
    <w:multiLevelType w:val="multilevel"/>
    <w:tmpl w:val="E504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E8472A"/>
    <w:multiLevelType w:val="hybridMultilevel"/>
    <w:tmpl w:val="1D00E166"/>
    <w:lvl w:ilvl="0" w:tplc="92C2C6A4">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C37F85"/>
    <w:multiLevelType w:val="multilevel"/>
    <w:tmpl w:val="D98A4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61F67B7"/>
    <w:multiLevelType w:val="multilevel"/>
    <w:tmpl w:val="6C488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BEB4BEA"/>
    <w:multiLevelType w:val="hybridMultilevel"/>
    <w:tmpl w:val="BCAE18F2"/>
    <w:lvl w:ilvl="0" w:tplc="2C1A0001">
      <w:start w:val="1"/>
      <w:numFmt w:val="bullet"/>
      <w:lvlText w:val=""/>
      <w:lvlJc w:val="left"/>
      <w:pPr>
        <w:ind w:left="720" w:hanging="360"/>
      </w:pPr>
      <w:rPr>
        <w:rFonts w:ascii="Symbol" w:hAnsi="Symbol" w:hint="default"/>
      </w:rPr>
    </w:lvl>
    <w:lvl w:ilvl="1" w:tplc="1A5A7822">
      <w:start w:val="1"/>
      <w:numFmt w:val="bullet"/>
      <w:lvlText w:val=""/>
      <w:lvlJc w:val="left"/>
      <w:pPr>
        <w:ind w:left="1440" w:hanging="360"/>
      </w:pPr>
      <w:rPr>
        <w:rFonts w:ascii="Symbol" w:hAnsi="Symbol"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2" w15:restartNumberingAfterBreak="0">
    <w:nsid w:val="7BFD5FB1"/>
    <w:multiLevelType w:val="multilevel"/>
    <w:tmpl w:val="9282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A06659"/>
    <w:multiLevelType w:val="multilevel"/>
    <w:tmpl w:val="5A3E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7B206E"/>
    <w:multiLevelType w:val="multilevel"/>
    <w:tmpl w:val="8E3C2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F2578DC"/>
    <w:multiLevelType w:val="multilevel"/>
    <w:tmpl w:val="B2F88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9"/>
  </w:num>
  <w:num w:numId="2">
    <w:abstractNumId w:val="41"/>
  </w:num>
  <w:num w:numId="3">
    <w:abstractNumId w:val="41"/>
  </w:num>
  <w:num w:numId="4">
    <w:abstractNumId w:val="15"/>
  </w:num>
  <w:num w:numId="5">
    <w:abstractNumId w:val="3"/>
  </w:num>
  <w:num w:numId="6">
    <w:abstractNumId w:val="38"/>
  </w:num>
  <w:num w:numId="7">
    <w:abstractNumId w:val="16"/>
  </w:num>
  <w:num w:numId="8">
    <w:abstractNumId w:val="22"/>
  </w:num>
  <w:num w:numId="9">
    <w:abstractNumId w:val="28"/>
  </w:num>
  <w:num w:numId="10">
    <w:abstractNumId w:val="7"/>
  </w:num>
  <w:num w:numId="11">
    <w:abstractNumId w:val="13"/>
  </w:num>
  <w:num w:numId="12">
    <w:abstractNumId w:val="30"/>
  </w:num>
  <w:num w:numId="13">
    <w:abstractNumId w:val="11"/>
  </w:num>
  <w:num w:numId="14">
    <w:abstractNumId w:val="18"/>
  </w:num>
  <w:num w:numId="15">
    <w:abstractNumId w:val="0"/>
  </w:num>
  <w:num w:numId="16">
    <w:abstractNumId w:val="1"/>
  </w:num>
  <w:num w:numId="17">
    <w:abstractNumId w:val="40"/>
  </w:num>
  <w:num w:numId="18">
    <w:abstractNumId w:val="8"/>
  </w:num>
  <w:num w:numId="19">
    <w:abstractNumId w:val="39"/>
  </w:num>
  <w:num w:numId="20">
    <w:abstractNumId w:val="25"/>
  </w:num>
  <w:num w:numId="21">
    <w:abstractNumId w:val="34"/>
  </w:num>
  <w:num w:numId="22">
    <w:abstractNumId w:val="20"/>
  </w:num>
  <w:num w:numId="23">
    <w:abstractNumId w:val="32"/>
  </w:num>
  <w:num w:numId="24">
    <w:abstractNumId w:val="42"/>
  </w:num>
  <w:num w:numId="25">
    <w:abstractNumId w:val="12"/>
  </w:num>
  <w:num w:numId="26">
    <w:abstractNumId w:val="19"/>
  </w:num>
  <w:num w:numId="27">
    <w:abstractNumId w:val="21"/>
  </w:num>
  <w:num w:numId="28">
    <w:abstractNumId w:val="26"/>
  </w:num>
  <w:num w:numId="29">
    <w:abstractNumId w:val="9"/>
  </w:num>
  <w:num w:numId="30">
    <w:abstractNumId w:val="14"/>
  </w:num>
  <w:num w:numId="31">
    <w:abstractNumId w:val="27"/>
  </w:num>
  <w:num w:numId="32">
    <w:abstractNumId w:val="6"/>
  </w:num>
  <w:num w:numId="33">
    <w:abstractNumId w:val="44"/>
  </w:num>
  <w:num w:numId="34">
    <w:abstractNumId w:val="43"/>
  </w:num>
  <w:num w:numId="35">
    <w:abstractNumId w:val="17"/>
  </w:num>
  <w:num w:numId="36">
    <w:abstractNumId w:val="24"/>
  </w:num>
  <w:num w:numId="37">
    <w:abstractNumId w:val="45"/>
  </w:num>
  <w:num w:numId="38">
    <w:abstractNumId w:val="5"/>
  </w:num>
  <w:num w:numId="39">
    <w:abstractNumId w:val="10"/>
  </w:num>
  <w:num w:numId="40">
    <w:abstractNumId w:val="37"/>
  </w:num>
  <w:num w:numId="41">
    <w:abstractNumId w:val="2"/>
  </w:num>
  <w:num w:numId="42">
    <w:abstractNumId w:val="31"/>
  </w:num>
  <w:num w:numId="43">
    <w:abstractNumId w:val="35"/>
  </w:num>
  <w:num w:numId="44">
    <w:abstractNumId w:val="36"/>
  </w:num>
  <w:num w:numId="45">
    <w:abstractNumId w:val="33"/>
  </w:num>
  <w:num w:numId="46">
    <w:abstractNumId w:val="23"/>
  </w:num>
  <w:num w:numId="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05B"/>
    <w:rsid w:val="00001178"/>
    <w:rsid w:val="0001018D"/>
    <w:rsid w:val="00017BE5"/>
    <w:rsid w:val="00020673"/>
    <w:rsid w:val="00021167"/>
    <w:rsid w:val="00025852"/>
    <w:rsid w:val="00070ABE"/>
    <w:rsid w:val="00071E3B"/>
    <w:rsid w:val="000775A8"/>
    <w:rsid w:val="000835F8"/>
    <w:rsid w:val="00084433"/>
    <w:rsid w:val="000924CF"/>
    <w:rsid w:val="00093D71"/>
    <w:rsid w:val="000A2B0F"/>
    <w:rsid w:val="000B0E1D"/>
    <w:rsid w:val="000C054A"/>
    <w:rsid w:val="000D33E7"/>
    <w:rsid w:val="000E160A"/>
    <w:rsid w:val="000F2AA0"/>
    <w:rsid w:val="000F2B95"/>
    <w:rsid w:val="000F2BFC"/>
    <w:rsid w:val="00101941"/>
    <w:rsid w:val="00104240"/>
    <w:rsid w:val="00104ABF"/>
    <w:rsid w:val="001053EE"/>
    <w:rsid w:val="00107821"/>
    <w:rsid w:val="00107D7D"/>
    <w:rsid w:val="00111A0C"/>
    <w:rsid w:val="00134D38"/>
    <w:rsid w:val="001478DE"/>
    <w:rsid w:val="00150B7C"/>
    <w:rsid w:val="00154D42"/>
    <w:rsid w:val="0015527F"/>
    <w:rsid w:val="00173C42"/>
    <w:rsid w:val="001822F4"/>
    <w:rsid w:val="001822FC"/>
    <w:rsid w:val="001847FD"/>
    <w:rsid w:val="00193722"/>
    <w:rsid w:val="0019573A"/>
    <w:rsid w:val="00196664"/>
    <w:rsid w:val="001A5DCE"/>
    <w:rsid w:val="001A79B6"/>
    <w:rsid w:val="001A7E96"/>
    <w:rsid w:val="001B1AE0"/>
    <w:rsid w:val="001B797E"/>
    <w:rsid w:val="001C04EB"/>
    <w:rsid w:val="001C2DA5"/>
    <w:rsid w:val="001C6822"/>
    <w:rsid w:val="001C78CF"/>
    <w:rsid w:val="001D1C49"/>
    <w:rsid w:val="001D2F8F"/>
    <w:rsid w:val="001D3909"/>
    <w:rsid w:val="001D7FF8"/>
    <w:rsid w:val="001F1805"/>
    <w:rsid w:val="001F75D5"/>
    <w:rsid w:val="00201F6A"/>
    <w:rsid w:val="0020235E"/>
    <w:rsid w:val="002033AE"/>
    <w:rsid w:val="00205759"/>
    <w:rsid w:val="00207835"/>
    <w:rsid w:val="00217254"/>
    <w:rsid w:val="00226375"/>
    <w:rsid w:val="00227BAB"/>
    <w:rsid w:val="00231417"/>
    <w:rsid w:val="00231D5F"/>
    <w:rsid w:val="00235A35"/>
    <w:rsid w:val="00237940"/>
    <w:rsid w:val="00240F02"/>
    <w:rsid w:val="0024788C"/>
    <w:rsid w:val="00250B84"/>
    <w:rsid w:val="002511E4"/>
    <w:rsid w:val="00251C96"/>
    <w:rsid w:val="00252A36"/>
    <w:rsid w:val="00260E8F"/>
    <w:rsid w:val="00264F60"/>
    <w:rsid w:val="00267879"/>
    <w:rsid w:val="00292D5E"/>
    <w:rsid w:val="00293A0E"/>
    <w:rsid w:val="002A4701"/>
    <w:rsid w:val="002A7CB3"/>
    <w:rsid w:val="002B4A70"/>
    <w:rsid w:val="002B633A"/>
    <w:rsid w:val="002C3D77"/>
    <w:rsid w:val="002D3C17"/>
    <w:rsid w:val="002D4447"/>
    <w:rsid w:val="002E01C2"/>
    <w:rsid w:val="002F461C"/>
    <w:rsid w:val="00302662"/>
    <w:rsid w:val="003028E5"/>
    <w:rsid w:val="003040AC"/>
    <w:rsid w:val="00304B9E"/>
    <w:rsid w:val="0030638F"/>
    <w:rsid w:val="003168DA"/>
    <w:rsid w:val="0032257A"/>
    <w:rsid w:val="00323D8A"/>
    <w:rsid w:val="003247A7"/>
    <w:rsid w:val="00327D2B"/>
    <w:rsid w:val="003323B3"/>
    <w:rsid w:val="003417B8"/>
    <w:rsid w:val="003439BF"/>
    <w:rsid w:val="00350578"/>
    <w:rsid w:val="00354D08"/>
    <w:rsid w:val="00356869"/>
    <w:rsid w:val="00370754"/>
    <w:rsid w:val="00374FC4"/>
    <w:rsid w:val="00375D08"/>
    <w:rsid w:val="00380722"/>
    <w:rsid w:val="00395036"/>
    <w:rsid w:val="0039558B"/>
    <w:rsid w:val="003A522F"/>
    <w:rsid w:val="003A6DB5"/>
    <w:rsid w:val="003B186B"/>
    <w:rsid w:val="003B2313"/>
    <w:rsid w:val="003B4527"/>
    <w:rsid w:val="003C1F8B"/>
    <w:rsid w:val="003D1FB1"/>
    <w:rsid w:val="003D33D6"/>
    <w:rsid w:val="003F1CEB"/>
    <w:rsid w:val="004002F3"/>
    <w:rsid w:val="004112D5"/>
    <w:rsid w:val="00416361"/>
    <w:rsid w:val="004317AE"/>
    <w:rsid w:val="004378E1"/>
    <w:rsid w:val="0044723A"/>
    <w:rsid w:val="004501E6"/>
    <w:rsid w:val="0045170A"/>
    <w:rsid w:val="00451F6C"/>
    <w:rsid w:val="00451FF9"/>
    <w:rsid w:val="00460F3F"/>
    <w:rsid w:val="0046254F"/>
    <w:rsid w:val="00464FCC"/>
    <w:rsid w:val="004679C3"/>
    <w:rsid w:val="00471E41"/>
    <w:rsid w:val="00474298"/>
    <w:rsid w:val="004754B7"/>
    <w:rsid w:val="00476B33"/>
    <w:rsid w:val="00487B7A"/>
    <w:rsid w:val="004934B6"/>
    <w:rsid w:val="00493D19"/>
    <w:rsid w:val="004A175D"/>
    <w:rsid w:val="004B5AE9"/>
    <w:rsid w:val="004B76A4"/>
    <w:rsid w:val="004B794D"/>
    <w:rsid w:val="004D2F36"/>
    <w:rsid w:val="004E3DA7"/>
    <w:rsid w:val="004F24B0"/>
    <w:rsid w:val="004F7454"/>
    <w:rsid w:val="005135BC"/>
    <w:rsid w:val="00523147"/>
    <w:rsid w:val="005237D4"/>
    <w:rsid w:val="00531C38"/>
    <w:rsid w:val="00531FDF"/>
    <w:rsid w:val="00533DF4"/>
    <w:rsid w:val="005432CB"/>
    <w:rsid w:val="00546D0B"/>
    <w:rsid w:val="005723C7"/>
    <w:rsid w:val="00572D76"/>
    <w:rsid w:val="00575D1A"/>
    <w:rsid w:val="00581722"/>
    <w:rsid w:val="00585B78"/>
    <w:rsid w:val="005952BB"/>
    <w:rsid w:val="005A2821"/>
    <w:rsid w:val="005A4E7E"/>
    <w:rsid w:val="005A6AD9"/>
    <w:rsid w:val="005B44BF"/>
    <w:rsid w:val="005C37B5"/>
    <w:rsid w:val="005C6F24"/>
    <w:rsid w:val="005D0532"/>
    <w:rsid w:val="005D3EB1"/>
    <w:rsid w:val="005E290E"/>
    <w:rsid w:val="005E2CF3"/>
    <w:rsid w:val="005E5C14"/>
    <w:rsid w:val="005E6D24"/>
    <w:rsid w:val="005E6ECD"/>
    <w:rsid w:val="005E78C4"/>
    <w:rsid w:val="005F0892"/>
    <w:rsid w:val="005F56D9"/>
    <w:rsid w:val="005F7D46"/>
    <w:rsid w:val="00612213"/>
    <w:rsid w:val="006159EE"/>
    <w:rsid w:val="00630A76"/>
    <w:rsid w:val="006344BC"/>
    <w:rsid w:val="0063652B"/>
    <w:rsid w:val="00643692"/>
    <w:rsid w:val="0066010E"/>
    <w:rsid w:val="00661A41"/>
    <w:rsid w:val="00670FF6"/>
    <w:rsid w:val="006712D5"/>
    <w:rsid w:val="006739CA"/>
    <w:rsid w:val="006809B7"/>
    <w:rsid w:val="00681B5E"/>
    <w:rsid w:val="00683884"/>
    <w:rsid w:val="0068793B"/>
    <w:rsid w:val="006908A4"/>
    <w:rsid w:val="00691833"/>
    <w:rsid w:val="00696748"/>
    <w:rsid w:val="006A24FA"/>
    <w:rsid w:val="006A2698"/>
    <w:rsid w:val="006A2C40"/>
    <w:rsid w:val="006A6AE2"/>
    <w:rsid w:val="006B0CEE"/>
    <w:rsid w:val="006B229D"/>
    <w:rsid w:val="006C3199"/>
    <w:rsid w:val="006C3891"/>
    <w:rsid w:val="006C70B1"/>
    <w:rsid w:val="006D0238"/>
    <w:rsid w:val="006D05C5"/>
    <w:rsid w:val="006D22B2"/>
    <w:rsid w:val="006D2B2D"/>
    <w:rsid w:val="006D6357"/>
    <w:rsid w:val="006D711E"/>
    <w:rsid w:val="006E262C"/>
    <w:rsid w:val="006E4CAE"/>
    <w:rsid w:val="006E68A8"/>
    <w:rsid w:val="006F4DB3"/>
    <w:rsid w:val="0070005F"/>
    <w:rsid w:val="00703BEA"/>
    <w:rsid w:val="0071206B"/>
    <w:rsid w:val="00717B58"/>
    <w:rsid w:val="00720314"/>
    <w:rsid w:val="00722040"/>
    <w:rsid w:val="0073561A"/>
    <w:rsid w:val="007434BD"/>
    <w:rsid w:val="00753660"/>
    <w:rsid w:val="007628D1"/>
    <w:rsid w:val="0077100B"/>
    <w:rsid w:val="00772C0E"/>
    <w:rsid w:val="00786F2E"/>
    <w:rsid w:val="007904A7"/>
    <w:rsid w:val="0079207C"/>
    <w:rsid w:val="00794586"/>
    <w:rsid w:val="00796720"/>
    <w:rsid w:val="007978B6"/>
    <w:rsid w:val="007A0248"/>
    <w:rsid w:val="007A118F"/>
    <w:rsid w:val="007A3DD1"/>
    <w:rsid w:val="007B118B"/>
    <w:rsid w:val="007B2B13"/>
    <w:rsid w:val="007C1183"/>
    <w:rsid w:val="007C34F7"/>
    <w:rsid w:val="007C4FF7"/>
    <w:rsid w:val="007C5401"/>
    <w:rsid w:val="007D3AD5"/>
    <w:rsid w:val="007D4294"/>
    <w:rsid w:val="007D633C"/>
    <w:rsid w:val="007E498B"/>
    <w:rsid w:val="007F67A4"/>
    <w:rsid w:val="00800332"/>
    <w:rsid w:val="00810076"/>
    <w:rsid w:val="00810444"/>
    <w:rsid w:val="008118BE"/>
    <w:rsid w:val="00811F55"/>
    <w:rsid w:val="00816114"/>
    <w:rsid w:val="00835E3E"/>
    <w:rsid w:val="0084196C"/>
    <w:rsid w:val="008472F9"/>
    <w:rsid w:val="00847A3A"/>
    <w:rsid w:val="00851EE0"/>
    <w:rsid w:val="0085342C"/>
    <w:rsid w:val="008557C7"/>
    <w:rsid w:val="00871194"/>
    <w:rsid w:val="00880B42"/>
    <w:rsid w:val="008811E8"/>
    <w:rsid w:val="0088156B"/>
    <w:rsid w:val="00885190"/>
    <w:rsid w:val="0089630F"/>
    <w:rsid w:val="008C1FA8"/>
    <w:rsid w:val="008C7F82"/>
    <w:rsid w:val="008D08D4"/>
    <w:rsid w:val="008D5844"/>
    <w:rsid w:val="008E21FA"/>
    <w:rsid w:val="008E52EE"/>
    <w:rsid w:val="008E6F47"/>
    <w:rsid w:val="008F5FDB"/>
    <w:rsid w:val="008F7D2B"/>
    <w:rsid w:val="00902E6C"/>
    <w:rsid w:val="00907170"/>
    <w:rsid w:val="009116F6"/>
    <w:rsid w:val="009130A0"/>
    <w:rsid w:val="00914A3B"/>
    <w:rsid w:val="00922A8D"/>
    <w:rsid w:val="00922BAC"/>
    <w:rsid w:val="00923519"/>
    <w:rsid w:val="00930E6F"/>
    <w:rsid w:val="00933054"/>
    <w:rsid w:val="00933725"/>
    <w:rsid w:val="00937684"/>
    <w:rsid w:val="0094135C"/>
    <w:rsid w:val="00946A67"/>
    <w:rsid w:val="0096107C"/>
    <w:rsid w:val="009632DD"/>
    <w:rsid w:val="0096528C"/>
    <w:rsid w:val="009732F8"/>
    <w:rsid w:val="009751DF"/>
    <w:rsid w:val="0098130A"/>
    <w:rsid w:val="009902D5"/>
    <w:rsid w:val="00993FA5"/>
    <w:rsid w:val="00997C04"/>
    <w:rsid w:val="009A7691"/>
    <w:rsid w:val="009B72EE"/>
    <w:rsid w:val="009C7712"/>
    <w:rsid w:val="009E797A"/>
    <w:rsid w:val="009F0F37"/>
    <w:rsid w:val="009F5AED"/>
    <w:rsid w:val="00A060FE"/>
    <w:rsid w:val="00A173C5"/>
    <w:rsid w:val="00A273AB"/>
    <w:rsid w:val="00A413A6"/>
    <w:rsid w:val="00A455E1"/>
    <w:rsid w:val="00A47822"/>
    <w:rsid w:val="00A47C70"/>
    <w:rsid w:val="00A53862"/>
    <w:rsid w:val="00A60445"/>
    <w:rsid w:val="00A61C64"/>
    <w:rsid w:val="00A640F0"/>
    <w:rsid w:val="00A6505B"/>
    <w:rsid w:val="00A707B0"/>
    <w:rsid w:val="00A82CB9"/>
    <w:rsid w:val="00A912A9"/>
    <w:rsid w:val="00AA5E68"/>
    <w:rsid w:val="00AA6DBF"/>
    <w:rsid w:val="00AD29CE"/>
    <w:rsid w:val="00AD5C08"/>
    <w:rsid w:val="00AE277F"/>
    <w:rsid w:val="00AF1FD9"/>
    <w:rsid w:val="00AF27FF"/>
    <w:rsid w:val="00AF3564"/>
    <w:rsid w:val="00AF48B3"/>
    <w:rsid w:val="00AF62D0"/>
    <w:rsid w:val="00B003EE"/>
    <w:rsid w:val="00B05443"/>
    <w:rsid w:val="00B13AFC"/>
    <w:rsid w:val="00B167AC"/>
    <w:rsid w:val="00B30D58"/>
    <w:rsid w:val="00B40A06"/>
    <w:rsid w:val="00B43769"/>
    <w:rsid w:val="00B473C2"/>
    <w:rsid w:val="00B47D2C"/>
    <w:rsid w:val="00B563F5"/>
    <w:rsid w:val="00B609F5"/>
    <w:rsid w:val="00B62805"/>
    <w:rsid w:val="00B63CC6"/>
    <w:rsid w:val="00B7650E"/>
    <w:rsid w:val="00B82085"/>
    <w:rsid w:val="00B83F7A"/>
    <w:rsid w:val="00B84F08"/>
    <w:rsid w:val="00B952AB"/>
    <w:rsid w:val="00BA2E15"/>
    <w:rsid w:val="00BB014F"/>
    <w:rsid w:val="00BB506C"/>
    <w:rsid w:val="00BB5B0F"/>
    <w:rsid w:val="00BD1D34"/>
    <w:rsid w:val="00BE3206"/>
    <w:rsid w:val="00BF464E"/>
    <w:rsid w:val="00C123D2"/>
    <w:rsid w:val="00C176EB"/>
    <w:rsid w:val="00C17D54"/>
    <w:rsid w:val="00C20E0A"/>
    <w:rsid w:val="00C2622E"/>
    <w:rsid w:val="00C4431F"/>
    <w:rsid w:val="00C45D48"/>
    <w:rsid w:val="00C503C0"/>
    <w:rsid w:val="00C63E01"/>
    <w:rsid w:val="00C664A7"/>
    <w:rsid w:val="00C80474"/>
    <w:rsid w:val="00C84028"/>
    <w:rsid w:val="00C96A58"/>
    <w:rsid w:val="00C96F25"/>
    <w:rsid w:val="00CA4058"/>
    <w:rsid w:val="00CA6342"/>
    <w:rsid w:val="00CC0261"/>
    <w:rsid w:val="00CC0DF6"/>
    <w:rsid w:val="00CC2580"/>
    <w:rsid w:val="00CD1301"/>
    <w:rsid w:val="00CD1331"/>
    <w:rsid w:val="00CD159D"/>
    <w:rsid w:val="00CD2473"/>
    <w:rsid w:val="00CD2D3D"/>
    <w:rsid w:val="00CF540B"/>
    <w:rsid w:val="00D06E02"/>
    <w:rsid w:val="00D12DF7"/>
    <w:rsid w:val="00D218F0"/>
    <w:rsid w:val="00D23B4D"/>
    <w:rsid w:val="00D2455F"/>
    <w:rsid w:val="00D61A8B"/>
    <w:rsid w:val="00D63B3D"/>
    <w:rsid w:val="00D720B1"/>
    <w:rsid w:val="00DA178C"/>
    <w:rsid w:val="00DA3DE2"/>
    <w:rsid w:val="00DC116B"/>
    <w:rsid w:val="00DC5DF1"/>
    <w:rsid w:val="00DC61B0"/>
    <w:rsid w:val="00DE19DE"/>
    <w:rsid w:val="00DE3B98"/>
    <w:rsid w:val="00DE73CA"/>
    <w:rsid w:val="00DF60F7"/>
    <w:rsid w:val="00E005A7"/>
    <w:rsid w:val="00E0701D"/>
    <w:rsid w:val="00E12A02"/>
    <w:rsid w:val="00E16E72"/>
    <w:rsid w:val="00E17397"/>
    <w:rsid w:val="00E17788"/>
    <w:rsid w:val="00E22333"/>
    <w:rsid w:val="00E42EA7"/>
    <w:rsid w:val="00E4450E"/>
    <w:rsid w:val="00E57602"/>
    <w:rsid w:val="00E577A2"/>
    <w:rsid w:val="00E62554"/>
    <w:rsid w:val="00E73A9B"/>
    <w:rsid w:val="00E74F68"/>
    <w:rsid w:val="00E75466"/>
    <w:rsid w:val="00E76691"/>
    <w:rsid w:val="00E806B7"/>
    <w:rsid w:val="00E83D20"/>
    <w:rsid w:val="00E851E8"/>
    <w:rsid w:val="00E907BB"/>
    <w:rsid w:val="00E97C22"/>
    <w:rsid w:val="00EA0F6C"/>
    <w:rsid w:val="00EA22A1"/>
    <w:rsid w:val="00EA3F9B"/>
    <w:rsid w:val="00EB4DC0"/>
    <w:rsid w:val="00EC0D58"/>
    <w:rsid w:val="00EC3C89"/>
    <w:rsid w:val="00ED06A9"/>
    <w:rsid w:val="00ED7458"/>
    <w:rsid w:val="00ED7D36"/>
    <w:rsid w:val="00EE13BF"/>
    <w:rsid w:val="00EE1681"/>
    <w:rsid w:val="00EF4B5C"/>
    <w:rsid w:val="00F127D8"/>
    <w:rsid w:val="00F14B0C"/>
    <w:rsid w:val="00F16D1B"/>
    <w:rsid w:val="00F2167D"/>
    <w:rsid w:val="00F21A4A"/>
    <w:rsid w:val="00F24901"/>
    <w:rsid w:val="00F27598"/>
    <w:rsid w:val="00F323F6"/>
    <w:rsid w:val="00F42015"/>
    <w:rsid w:val="00F523C7"/>
    <w:rsid w:val="00F63FBA"/>
    <w:rsid w:val="00F657FC"/>
    <w:rsid w:val="00F76BE1"/>
    <w:rsid w:val="00F9559D"/>
    <w:rsid w:val="00F9760A"/>
    <w:rsid w:val="00FA745B"/>
    <w:rsid w:val="00FB409E"/>
    <w:rsid w:val="00FD30CD"/>
    <w:rsid w:val="00FD5E79"/>
    <w:rsid w:val="00FD7606"/>
    <w:rsid w:val="00FE3427"/>
    <w:rsid w:val="00FE4CFA"/>
    <w:rsid w:val="00FE69A9"/>
    <w:rsid w:val="00FF047E"/>
    <w:rsid w:val="00FF368D"/>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3F0E2"/>
  <w15:docId w15:val="{D91BFA49-0541-40DD-85EA-E626F29FF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2A36"/>
    <w:pPr>
      <w:spacing w:before="120" w:after="120" w:line="264" w:lineRule="auto"/>
      <w:jc w:val="both"/>
    </w:pPr>
    <w:rPr>
      <w:rFonts w:ascii="Arial" w:eastAsia="Arial" w:hAnsi="Arial" w:cs="Arial"/>
      <w:sz w:val="24"/>
    </w:rPr>
  </w:style>
  <w:style w:type="paragraph" w:styleId="Heading1">
    <w:name w:val="heading 1"/>
    <w:basedOn w:val="Normal"/>
    <w:next w:val="Normal"/>
    <w:link w:val="Heading1Char"/>
    <w:uiPriority w:val="9"/>
    <w:qFormat/>
    <w:rsid w:val="00451F6C"/>
    <w:pPr>
      <w:spacing w:before="0" w:after="0" w:line="240" w:lineRule="auto"/>
      <w:ind w:left="1134"/>
      <w:outlineLvl w:val="0"/>
    </w:pPr>
    <w:rPr>
      <w:b/>
      <w:bCs/>
      <w:lang w:val="hr-HR"/>
    </w:rPr>
  </w:style>
  <w:style w:type="paragraph" w:styleId="Heading2">
    <w:name w:val="heading 2"/>
    <w:basedOn w:val="Normal"/>
    <w:next w:val="Normal"/>
    <w:link w:val="Heading2Char"/>
    <w:uiPriority w:val="9"/>
    <w:unhideWhenUsed/>
    <w:qFormat/>
    <w:rsid w:val="00451F6C"/>
    <w:pPr>
      <w:tabs>
        <w:tab w:val="left" w:pos="1134"/>
      </w:tabs>
      <w:spacing w:before="0" w:after="0" w:line="240" w:lineRule="auto"/>
      <w:outlineLvl w:val="1"/>
    </w:pPr>
  </w:style>
  <w:style w:type="paragraph" w:styleId="Heading3">
    <w:name w:val="heading 3"/>
    <w:basedOn w:val="Normal"/>
    <w:next w:val="Normal"/>
    <w:link w:val="Heading3Char"/>
    <w:uiPriority w:val="9"/>
    <w:unhideWhenUsed/>
    <w:qFormat/>
    <w:rsid w:val="00451F6C"/>
    <w:pPr>
      <w:tabs>
        <w:tab w:val="left" w:pos="1134"/>
      </w:tabs>
      <w:outlineLvl w:val="2"/>
    </w:pPr>
    <w:rPr>
      <w:b/>
    </w:rPr>
  </w:style>
  <w:style w:type="paragraph" w:styleId="Heading4">
    <w:name w:val="heading 4"/>
    <w:basedOn w:val="Normal"/>
    <w:next w:val="Normal"/>
    <w:link w:val="Heading4Char"/>
    <w:uiPriority w:val="9"/>
    <w:unhideWhenUsed/>
    <w:qFormat/>
    <w:rsid w:val="00E73A9B"/>
    <w:pPr>
      <w:keepNext/>
      <w:keepLines/>
      <w:outlineLvl w:val="3"/>
    </w:pPr>
    <w:rPr>
      <w:rFonts w:eastAsiaTheme="majorEastAsia" w:cstheme="majorBidi"/>
      <w:bCs/>
      <w:iCs/>
      <w:u w:val="single"/>
    </w:rPr>
  </w:style>
  <w:style w:type="paragraph" w:styleId="Heading5">
    <w:name w:val="heading 5"/>
    <w:basedOn w:val="Normal"/>
    <w:next w:val="Normal"/>
    <w:link w:val="Heading5Char"/>
    <w:uiPriority w:val="9"/>
    <w:unhideWhenUsed/>
    <w:qFormat/>
    <w:rsid w:val="00252A36"/>
    <w:pPr>
      <w:keepNext/>
      <w:keepLines/>
      <w:outlineLvl w:val="4"/>
    </w:pPr>
    <w:rPr>
      <w:rFonts w:eastAsiaTheme="majorEastAsia"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1F6C"/>
    <w:rPr>
      <w:rFonts w:ascii="Arial" w:hAnsi="Arial" w:cs="Arial"/>
      <w:bCs/>
      <w:sz w:val="24"/>
      <w:lang w:val="hr-HR"/>
    </w:rPr>
  </w:style>
  <w:style w:type="character" w:customStyle="1" w:styleId="Heading2Char">
    <w:name w:val="Heading 2 Char"/>
    <w:basedOn w:val="DefaultParagraphFont"/>
    <w:link w:val="Heading2"/>
    <w:uiPriority w:val="9"/>
    <w:rsid w:val="00451F6C"/>
    <w:rPr>
      <w:rFonts w:ascii="Arial" w:hAnsi="Arial" w:cs="Arial"/>
    </w:rPr>
  </w:style>
  <w:style w:type="character" w:customStyle="1" w:styleId="Heading3Char">
    <w:name w:val="Heading 3 Char"/>
    <w:basedOn w:val="DefaultParagraphFont"/>
    <w:link w:val="Heading3"/>
    <w:uiPriority w:val="9"/>
    <w:rsid w:val="00451F6C"/>
    <w:rPr>
      <w:rFonts w:ascii="Arial" w:hAnsi="Arial" w:cs="Arial"/>
      <w:b/>
    </w:rPr>
  </w:style>
  <w:style w:type="character" w:customStyle="1" w:styleId="Heading4Char">
    <w:name w:val="Heading 4 Char"/>
    <w:basedOn w:val="DefaultParagraphFont"/>
    <w:link w:val="Heading4"/>
    <w:uiPriority w:val="9"/>
    <w:rsid w:val="00E73A9B"/>
    <w:rPr>
      <w:rFonts w:eastAsiaTheme="majorEastAsia" w:cstheme="majorBidi"/>
      <w:bCs/>
      <w:iCs/>
      <w:sz w:val="24"/>
      <w:u w:val="single"/>
    </w:rPr>
  </w:style>
  <w:style w:type="character" w:customStyle="1" w:styleId="Heading5Char">
    <w:name w:val="Heading 5 Char"/>
    <w:basedOn w:val="DefaultParagraphFont"/>
    <w:link w:val="Heading5"/>
    <w:uiPriority w:val="9"/>
    <w:rsid w:val="00252A36"/>
    <w:rPr>
      <w:rFonts w:eastAsiaTheme="majorEastAsia" w:cstheme="majorBidi"/>
      <w:i/>
      <w:sz w:val="24"/>
    </w:rPr>
  </w:style>
  <w:style w:type="paragraph" w:customStyle="1" w:styleId="NormalTab">
    <w:name w:val="Normal Tab"/>
    <w:basedOn w:val="Normal"/>
    <w:link w:val="NormalTabChar"/>
    <w:qFormat/>
    <w:rsid w:val="00252A36"/>
    <w:pPr>
      <w:ind w:left="708"/>
    </w:pPr>
  </w:style>
  <w:style w:type="character" w:customStyle="1" w:styleId="NormalTabChar">
    <w:name w:val="Normal Tab Char"/>
    <w:basedOn w:val="DefaultParagraphFont"/>
    <w:link w:val="NormalTab"/>
    <w:rsid w:val="00252A36"/>
    <w:rPr>
      <w:sz w:val="24"/>
    </w:rPr>
  </w:style>
  <w:style w:type="paragraph" w:styleId="Header">
    <w:name w:val="header"/>
    <w:basedOn w:val="Normal"/>
    <w:link w:val="HeaderChar"/>
    <w:uiPriority w:val="99"/>
    <w:unhideWhenUsed/>
    <w:rsid w:val="00A6505B"/>
    <w:pPr>
      <w:tabs>
        <w:tab w:val="center" w:pos="4536"/>
        <w:tab w:val="right" w:pos="9072"/>
      </w:tabs>
      <w:spacing w:after="0" w:line="240" w:lineRule="auto"/>
    </w:pPr>
  </w:style>
  <w:style w:type="character" w:customStyle="1" w:styleId="HeaderChar">
    <w:name w:val="Header Char"/>
    <w:basedOn w:val="DefaultParagraphFont"/>
    <w:link w:val="Header"/>
    <w:uiPriority w:val="99"/>
    <w:rsid w:val="00A6505B"/>
    <w:rPr>
      <w:sz w:val="24"/>
    </w:rPr>
  </w:style>
  <w:style w:type="paragraph" w:styleId="Footer">
    <w:name w:val="footer"/>
    <w:basedOn w:val="Normal"/>
    <w:link w:val="FooterChar"/>
    <w:uiPriority w:val="99"/>
    <w:unhideWhenUsed/>
    <w:rsid w:val="00A6505B"/>
    <w:pPr>
      <w:tabs>
        <w:tab w:val="center" w:pos="4536"/>
        <w:tab w:val="right" w:pos="9072"/>
      </w:tabs>
      <w:spacing w:after="0" w:line="240" w:lineRule="auto"/>
    </w:pPr>
  </w:style>
  <w:style w:type="character" w:customStyle="1" w:styleId="FooterChar">
    <w:name w:val="Footer Char"/>
    <w:basedOn w:val="DefaultParagraphFont"/>
    <w:link w:val="Footer"/>
    <w:uiPriority w:val="99"/>
    <w:rsid w:val="00A6505B"/>
    <w:rPr>
      <w:sz w:val="24"/>
    </w:rPr>
  </w:style>
  <w:style w:type="paragraph" w:styleId="BalloonText">
    <w:name w:val="Balloon Text"/>
    <w:basedOn w:val="Normal"/>
    <w:link w:val="BalloonTextChar"/>
    <w:uiPriority w:val="99"/>
    <w:semiHidden/>
    <w:unhideWhenUsed/>
    <w:rsid w:val="00A65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505B"/>
    <w:rPr>
      <w:rFonts w:ascii="Tahoma" w:hAnsi="Tahoma" w:cs="Tahoma"/>
      <w:sz w:val="16"/>
      <w:szCs w:val="16"/>
    </w:rPr>
  </w:style>
  <w:style w:type="paragraph" w:styleId="NormalWeb">
    <w:name w:val="Normal (Web)"/>
    <w:basedOn w:val="Normal"/>
    <w:uiPriority w:val="99"/>
    <w:semiHidden/>
    <w:unhideWhenUsed/>
    <w:rsid w:val="00F127D8"/>
    <w:rPr>
      <w:rFonts w:ascii="Times New Roman" w:hAnsi="Times New Roman" w:cs="Times New Roman"/>
      <w:szCs w:val="24"/>
    </w:rPr>
  </w:style>
  <w:style w:type="character" w:styleId="Hyperlink">
    <w:name w:val="Hyperlink"/>
    <w:basedOn w:val="DefaultParagraphFont"/>
    <w:uiPriority w:val="99"/>
    <w:unhideWhenUsed/>
    <w:rsid w:val="00F127D8"/>
    <w:rPr>
      <w:color w:val="0000FF" w:themeColor="hyperlink"/>
      <w:u w:val="single"/>
    </w:rPr>
  </w:style>
  <w:style w:type="paragraph" w:styleId="Title">
    <w:name w:val="Title"/>
    <w:basedOn w:val="Normal"/>
    <w:next w:val="Normal"/>
    <w:link w:val="TitleChar"/>
    <w:uiPriority w:val="10"/>
    <w:qFormat/>
    <w:rsid w:val="00451F6C"/>
    <w:pPr>
      <w:spacing w:after="80" w:line="192" w:lineRule="auto"/>
      <w:ind w:left="1134"/>
      <w:jc w:val="left"/>
    </w:pPr>
    <w:rPr>
      <w:rFonts w:ascii="Calibri" w:eastAsia="Times New Roman" w:hAnsi="Calibri" w:cs="Times New Roman"/>
      <w:noProof/>
      <w:spacing w:val="-10"/>
      <w:kern w:val="28"/>
      <w:sz w:val="28"/>
      <w:szCs w:val="40"/>
      <w:lang w:val="en-US"/>
    </w:rPr>
  </w:style>
  <w:style w:type="character" w:customStyle="1" w:styleId="TitleChar">
    <w:name w:val="Title Char"/>
    <w:basedOn w:val="DefaultParagraphFont"/>
    <w:link w:val="Title"/>
    <w:uiPriority w:val="10"/>
    <w:rsid w:val="00451F6C"/>
    <w:rPr>
      <w:rFonts w:ascii="Calibri" w:eastAsia="Times New Roman" w:hAnsi="Calibri" w:cs="Times New Roman"/>
      <w:noProof/>
      <w:spacing w:val="-10"/>
      <w:kern w:val="28"/>
      <w:sz w:val="28"/>
      <w:szCs w:val="40"/>
      <w:lang w:val="en-US"/>
    </w:rPr>
  </w:style>
  <w:style w:type="character" w:styleId="CommentReference">
    <w:name w:val="annotation reference"/>
    <w:basedOn w:val="DefaultParagraphFont"/>
    <w:uiPriority w:val="99"/>
    <w:semiHidden/>
    <w:unhideWhenUsed/>
    <w:rsid w:val="00451F6C"/>
    <w:rPr>
      <w:sz w:val="16"/>
      <w:szCs w:val="16"/>
    </w:rPr>
  </w:style>
  <w:style w:type="paragraph" w:styleId="CommentText">
    <w:name w:val="annotation text"/>
    <w:basedOn w:val="Normal"/>
    <w:link w:val="CommentTextChar"/>
    <w:uiPriority w:val="99"/>
    <w:semiHidden/>
    <w:unhideWhenUsed/>
    <w:rsid w:val="00451F6C"/>
    <w:pPr>
      <w:spacing w:line="240" w:lineRule="auto"/>
    </w:pPr>
    <w:rPr>
      <w:sz w:val="20"/>
      <w:szCs w:val="20"/>
      <w:lang w:val="en-US"/>
    </w:rPr>
  </w:style>
  <w:style w:type="character" w:customStyle="1" w:styleId="CommentTextChar">
    <w:name w:val="Comment Text Char"/>
    <w:basedOn w:val="DefaultParagraphFont"/>
    <w:link w:val="CommentText"/>
    <w:uiPriority w:val="99"/>
    <w:semiHidden/>
    <w:rsid w:val="00451F6C"/>
    <w:rPr>
      <w:sz w:val="20"/>
      <w:szCs w:val="20"/>
      <w:lang w:val="en-US"/>
    </w:rPr>
  </w:style>
  <w:style w:type="paragraph" w:styleId="CommentSubject">
    <w:name w:val="annotation subject"/>
    <w:basedOn w:val="CommentText"/>
    <w:next w:val="CommentText"/>
    <w:link w:val="CommentSubjectChar"/>
    <w:uiPriority w:val="99"/>
    <w:semiHidden/>
    <w:unhideWhenUsed/>
    <w:rsid w:val="00451F6C"/>
    <w:rPr>
      <w:b/>
      <w:bCs/>
      <w:lang w:val="sr-Latn-ME"/>
    </w:rPr>
  </w:style>
  <w:style w:type="character" w:customStyle="1" w:styleId="CommentSubjectChar">
    <w:name w:val="Comment Subject Char"/>
    <w:basedOn w:val="CommentTextChar"/>
    <w:link w:val="CommentSubject"/>
    <w:uiPriority w:val="99"/>
    <w:semiHidden/>
    <w:rsid w:val="00451F6C"/>
    <w:rPr>
      <w:b/>
      <w:bCs/>
      <w:sz w:val="20"/>
      <w:szCs w:val="20"/>
      <w:lang w:val="en-US"/>
    </w:rPr>
  </w:style>
  <w:style w:type="table" w:styleId="TableGrid">
    <w:name w:val="Table Grid"/>
    <w:basedOn w:val="TableNormal"/>
    <w:uiPriority w:val="59"/>
    <w:rsid w:val="00370754"/>
    <w:pPr>
      <w:spacing w:after="0" w:line="240" w:lineRule="auto"/>
    </w:pPr>
    <w:rPr>
      <w:rFonts w:ascii="Cambria" w:eastAsia="MS Mincho" w:hAnsi="Cambria"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0754"/>
    <w:pPr>
      <w:spacing w:after="200" w:line="240" w:lineRule="auto"/>
      <w:ind w:left="720"/>
      <w:contextualSpacing/>
      <w:jc w:val="left"/>
    </w:pPr>
    <w:rPr>
      <w:szCs w:val="24"/>
      <w:lang w:val="en-US" w:eastAsia="ja-JP"/>
    </w:rPr>
  </w:style>
  <w:style w:type="character" w:styleId="UnresolvedMention">
    <w:name w:val="Unresolved Mention"/>
    <w:basedOn w:val="DefaultParagraphFont"/>
    <w:uiPriority w:val="99"/>
    <w:semiHidden/>
    <w:unhideWhenUsed/>
    <w:rsid w:val="00E62554"/>
    <w:rPr>
      <w:color w:val="605E5C"/>
      <w:shd w:val="clear" w:color="auto" w:fill="E1DFDD"/>
    </w:rPr>
  </w:style>
  <w:style w:type="paragraph" w:styleId="Revision">
    <w:name w:val="Revision"/>
    <w:hidden/>
    <w:uiPriority w:val="99"/>
    <w:semiHidden/>
    <w:rsid w:val="00933054"/>
    <w:pPr>
      <w:spacing w:after="0" w:line="240" w:lineRule="auto"/>
    </w:pPr>
    <w:rPr>
      <w:sz w:val="24"/>
    </w:rPr>
  </w:style>
  <w:style w:type="paragraph" w:styleId="NoSpacing">
    <w:name w:val="No Spacing"/>
    <w:uiPriority w:val="1"/>
    <w:qFormat/>
    <w:rsid w:val="003B2313"/>
    <w:pPr>
      <w:spacing w:after="0" w:line="240" w:lineRule="auto"/>
      <w:jc w:val="both"/>
    </w:pPr>
    <w:rPr>
      <w:sz w:val="24"/>
    </w:rPr>
  </w:style>
  <w:style w:type="character" w:styleId="Strong">
    <w:name w:val="Strong"/>
    <w:basedOn w:val="DefaultParagraphFont"/>
    <w:uiPriority w:val="22"/>
    <w:qFormat/>
    <w:rsid w:val="00A82C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71430">
      <w:bodyDiv w:val="1"/>
      <w:marLeft w:val="0"/>
      <w:marRight w:val="0"/>
      <w:marTop w:val="0"/>
      <w:marBottom w:val="0"/>
      <w:divBdr>
        <w:top w:val="none" w:sz="0" w:space="0" w:color="auto"/>
        <w:left w:val="none" w:sz="0" w:space="0" w:color="auto"/>
        <w:bottom w:val="none" w:sz="0" w:space="0" w:color="auto"/>
        <w:right w:val="none" w:sz="0" w:space="0" w:color="auto"/>
      </w:divBdr>
    </w:div>
    <w:div w:id="126431337">
      <w:bodyDiv w:val="1"/>
      <w:marLeft w:val="0"/>
      <w:marRight w:val="0"/>
      <w:marTop w:val="0"/>
      <w:marBottom w:val="0"/>
      <w:divBdr>
        <w:top w:val="none" w:sz="0" w:space="0" w:color="auto"/>
        <w:left w:val="none" w:sz="0" w:space="0" w:color="auto"/>
        <w:bottom w:val="none" w:sz="0" w:space="0" w:color="auto"/>
        <w:right w:val="none" w:sz="0" w:space="0" w:color="auto"/>
      </w:divBdr>
    </w:div>
    <w:div w:id="139229477">
      <w:bodyDiv w:val="1"/>
      <w:marLeft w:val="0"/>
      <w:marRight w:val="0"/>
      <w:marTop w:val="0"/>
      <w:marBottom w:val="0"/>
      <w:divBdr>
        <w:top w:val="none" w:sz="0" w:space="0" w:color="auto"/>
        <w:left w:val="none" w:sz="0" w:space="0" w:color="auto"/>
        <w:bottom w:val="none" w:sz="0" w:space="0" w:color="auto"/>
        <w:right w:val="none" w:sz="0" w:space="0" w:color="auto"/>
      </w:divBdr>
    </w:div>
    <w:div w:id="249512717">
      <w:bodyDiv w:val="1"/>
      <w:marLeft w:val="0"/>
      <w:marRight w:val="0"/>
      <w:marTop w:val="0"/>
      <w:marBottom w:val="0"/>
      <w:divBdr>
        <w:top w:val="none" w:sz="0" w:space="0" w:color="auto"/>
        <w:left w:val="none" w:sz="0" w:space="0" w:color="auto"/>
        <w:bottom w:val="none" w:sz="0" w:space="0" w:color="auto"/>
        <w:right w:val="none" w:sz="0" w:space="0" w:color="auto"/>
      </w:divBdr>
    </w:div>
    <w:div w:id="262223418">
      <w:bodyDiv w:val="1"/>
      <w:marLeft w:val="0"/>
      <w:marRight w:val="0"/>
      <w:marTop w:val="0"/>
      <w:marBottom w:val="0"/>
      <w:divBdr>
        <w:top w:val="none" w:sz="0" w:space="0" w:color="auto"/>
        <w:left w:val="none" w:sz="0" w:space="0" w:color="auto"/>
        <w:bottom w:val="none" w:sz="0" w:space="0" w:color="auto"/>
        <w:right w:val="none" w:sz="0" w:space="0" w:color="auto"/>
      </w:divBdr>
    </w:div>
    <w:div w:id="285934928">
      <w:bodyDiv w:val="1"/>
      <w:marLeft w:val="0"/>
      <w:marRight w:val="0"/>
      <w:marTop w:val="0"/>
      <w:marBottom w:val="0"/>
      <w:divBdr>
        <w:top w:val="none" w:sz="0" w:space="0" w:color="auto"/>
        <w:left w:val="none" w:sz="0" w:space="0" w:color="auto"/>
        <w:bottom w:val="none" w:sz="0" w:space="0" w:color="auto"/>
        <w:right w:val="none" w:sz="0" w:space="0" w:color="auto"/>
      </w:divBdr>
    </w:div>
    <w:div w:id="323976082">
      <w:bodyDiv w:val="1"/>
      <w:marLeft w:val="0"/>
      <w:marRight w:val="0"/>
      <w:marTop w:val="0"/>
      <w:marBottom w:val="0"/>
      <w:divBdr>
        <w:top w:val="none" w:sz="0" w:space="0" w:color="auto"/>
        <w:left w:val="none" w:sz="0" w:space="0" w:color="auto"/>
        <w:bottom w:val="none" w:sz="0" w:space="0" w:color="auto"/>
        <w:right w:val="none" w:sz="0" w:space="0" w:color="auto"/>
      </w:divBdr>
    </w:div>
    <w:div w:id="328991393">
      <w:bodyDiv w:val="1"/>
      <w:marLeft w:val="0"/>
      <w:marRight w:val="0"/>
      <w:marTop w:val="0"/>
      <w:marBottom w:val="0"/>
      <w:divBdr>
        <w:top w:val="none" w:sz="0" w:space="0" w:color="auto"/>
        <w:left w:val="none" w:sz="0" w:space="0" w:color="auto"/>
        <w:bottom w:val="none" w:sz="0" w:space="0" w:color="auto"/>
        <w:right w:val="none" w:sz="0" w:space="0" w:color="auto"/>
      </w:divBdr>
    </w:div>
    <w:div w:id="426002520">
      <w:bodyDiv w:val="1"/>
      <w:marLeft w:val="0"/>
      <w:marRight w:val="0"/>
      <w:marTop w:val="0"/>
      <w:marBottom w:val="0"/>
      <w:divBdr>
        <w:top w:val="none" w:sz="0" w:space="0" w:color="auto"/>
        <w:left w:val="none" w:sz="0" w:space="0" w:color="auto"/>
        <w:bottom w:val="none" w:sz="0" w:space="0" w:color="auto"/>
        <w:right w:val="none" w:sz="0" w:space="0" w:color="auto"/>
      </w:divBdr>
    </w:div>
    <w:div w:id="466361403">
      <w:bodyDiv w:val="1"/>
      <w:marLeft w:val="0"/>
      <w:marRight w:val="0"/>
      <w:marTop w:val="0"/>
      <w:marBottom w:val="0"/>
      <w:divBdr>
        <w:top w:val="none" w:sz="0" w:space="0" w:color="auto"/>
        <w:left w:val="none" w:sz="0" w:space="0" w:color="auto"/>
        <w:bottom w:val="none" w:sz="0" w:space="0" w:color="auto"/>
        <w:right w:val="none" w:sz="0" w:space="0" w:color="auto"/>
      </w:divBdr>
    </w:div>
    <w:div w:id="521362215">
      <w:bodyDiv w:val="1"/>
      <w:marLeft w:val="0"/>
      <w:marRight w:val="0"/>
      <w:marTop w:val="0"/>
      <w:marBottom w:val="0"/>
      <w:divBdr>
        <w:top w:val="none" w:sz="0" w:space="0" w:color="auto"/>
        <w:left w:val="none" w:sz="0" w:space="0" w:color="auto"/>
        <w:bottom w:val="none" w:sz="0" w:space="0" w:color="auto"/>
        <w:right w:val="none" w:sz="0" w:space="0" w:color="auto"/>
      </w:divBdr>
    </w:div>
    <w:div w:id="564608851">
      <w:bodyDiv w:val="1"/>
      <w:marLeft w:val="0"/>
      <w:marRight w:val="0"/>
      <w:marTop w:val="0"/>
      <w:marBottom w:val="0"/>
      <w:divBdr>
        <w:top w:val="none" w:sz="0" w:space="0" w:color="auto"/>
        <w:left w:val="none" w:sz="0" w:space="0" w:color="auto"/>
        <w:bottom w:val="none" w:sz="0" w:space="0" w:color="auto"/>
        <w:right w:val="none" w:sz="0" w:space="0" w:color="auto"/>
      </w:divBdr>
    </w:div>
    <w:div w:id="575087600">
      <w:bodyDiv w:val="1"/>
      <w:marLeft w:val="0"/>
      <w:marRight w:val="0"/>
      <w:marTop w:val="0"/>
      <w:marBottom w:val="0"/>
      <w:divBdr>
        <w:top w:val="none" w:sz="0" w:space="0" w:color="auto"/>
        <w:left w:val="none" w:sz="0" w:space="0" w:color="auto"/>
        <w:bottom w:val="none" w:sz="0" w:space="0" w:color="auto"/>
        <w:right w:val="none" w:sz="0" w:space="0" w:color="auto"/>
      </w:divBdr>
    </w:div>
    <w:div w:id="639726228">
      <w:bodyDiv w:val="1"/>
      <w:marLeft w:val="0"/>
      <w:marRight w:val="0"/>
      <w:marTop w:val="0"/>
      <w:marBottom w:val="0"/>
      <w:divBdr>
        <w:top w:val="none" w:sz="0" w:space="0" w:color="auto"/>
        <w:left w:val="none" w:sz="0" w:space="0" w:color="auto"/>
        <w:bottom w:val="none" w:sz="0" w:space="0" w:color="auto"/>
        <w:right w:val="none" w:sz="0" w:space="0" w:color="auto"/>
      </w:divBdr>
    </w:div>
    <w:div w:id="643630591">
      <w:bodyDiv w:val="1"/>
      <w:marLeft w:val="0"/>
      <w:marRight w:val="0"/>
      <w:marTop w:val="0"/>
      <w:marBottom w:val="0"/>
      <w:divBdr>
        <w:top w:val="none" w:sz="0" w:space="0" w:color="auto"/>
        <w:left w:val="none" w:sz="0" w:space="0" w:color="auto"/>
        <w:bottom w:val="none" w:sz="0" w:space="0" w:color="auto"/>
        <w:right w:val="none" w:sz="0" w:space="0" w:color="auto"/>
      </w:divBdr>
    </w:div>
    <w:div w:id="687289961">
      <w:bodyDiv w:val="1"/>
      <w:marLeft w:val="0"/>
      <w:marRight w:val="0"/>
      <w:marTop w:val="0"/>
      <w:marBottom w:val="0"/>
      <w:divBdr>
        <w:top w:val="none" w:sz="0" w:space="0" w:color="auto"/>
        <w:left w:val="none" w:sz="0" w:space="0" w:color="auto"/>
        <w:bottom w:val="none" w:sz="0" w:space="0" w:color="auto"/>
        <w:right w:val="none" w:sz="0" w:space="0" w:color="auto"/>
      </w:divBdr>
    </w:div>
    <w:div w:id="727193790">
      <w:bodyDiv w:val="1"/>
      <w:marLeft w:val="0"/>
      <w:marRight w:val="0"/>
      <w:marTop w:val="0"/>
      <w:marBottom w:val="0"/>
      <w:divBdr>
        <w:top w:val="none" w:sz="0" w:space="0" w:color="auto"/>
        <w:left w:val="none" w:sz="0" w:space="0" w:color="auto"/>
        <w:bottom w:val="none" w:sz="0" w:space="0" w:color="auto"/>
        <w:right w:val="none" w:sz="0" w:space="0" w:color="auto"/>
      </w:divBdr>
    </w:div>
    <w:div w:id="728843377">
      <w:bodyDiv w:val="1"/>
      <w:marLeft w:val="0"/>
      <w:marRight w:val="0"/>
      <w:marTop w:val="0"/>
      <w:marBottom w:val="0"/>
      <w:divBdr>
        <w:top w:val="none" w:sz="0" w:space="0" w:color="auto"/>
        <w:left w:val="none" w:sz="0" w:space="0" w:color="auto"/>
        <w:bottom w:val="none" w:sz="0" w:space="0" w:color="auto"/>
        <w:right w:val="none" w:sz="0" w:space="0" w:color="auto"/>
      </w:divBdr>
    </w:div>
    <w:div w:id="768624073">
      <w:bodyDiv w:val="1"/>
      <w:marLeft w:val="0"/>
      <w:marRight w:val="0"/>
      <w:marTop w:val="0"/>
      <w:marBottom w:val="0"/>
      <w:divBdr>
        <w:top w:val="none" w:sz="0" w:space="0" w:color="auto"/>
        <w:left w:val="none" w:sz="0" w:space="0" w:color="auto"/>
        <w:bottom w:val="none" w:sz="0" w:space="0" w:color="auto"/>
        <w:right w:val="none" w:sz="0" w:space="0" w:color="auto"/>
      </w:divBdr>
    </w:div>
    <w:div w:id="846821302">
      <w:bodyDiv w:val="1"/>
      <w:marLeft w:val="0"/>
      <w:marRight w:val="0"/>
      <w:marTop w:val="0"/>
      <w:marBottom w:val="0"/>
      <w:divBdr>
        <w:top w:val="none" w:sz="0" w:space="0" w:color="auto"/>
        <w:left w:val="none" w:sz="0" w:space="0" w:color="auto"/>
        <w:bottom w:val="none" w:sz="0" w:space="0" w:color="auto"/>
        <w:right w:val="none" w:sz="0" w:space="0" w:color="auto"/>
      </w:divBdr>
    </w:div>
    <w:div w:id="957833872">
      <w:bodyDiv w:val="1"/>
      <w:marLeft w:val="0"/>
      <w:marRight w:val="0"/>
      <w:marTop w:val="0"/>
      <w:marBottom w:val="0"/>
      <w:divBdr>
        <w:top w:val="none" w:sz="0" w:space="0" w:color="auto"/>
        <w:left w:val="none" w:sz="0" w:space="0" w:color="auto"/>
        <w:bottom w:val="none" w:sz="0" w:space="0" w:color="auto"/>
        <w:right w:val="none" w:sz="0" w:space="0" w:color="auto"/>
      </w:divBdr>
    </w:div>
    <w:div w:id="975992855">
      <w:bodyDiv w:val="1"/>
      <w:marLeft w:val="0"/>
      <w:marRight w:val="0"/>
      <w:marTop w:val="0"/>
      <w:marBottom w:val="0"/>
      <w:divBdr>
        <w:top w:val="none" w:sz="0" w:space="0" w:color="auto"/>
        <w:left w:val="none" w:sz="0" w:space="0" w:color="auto"/>
        <w:bottom w:val="none" w:sz="0" w:space="0" w:color="auto"/>
        <w:right w:val="none" w:sz="0" w:space="0" w:color="auto"/>
      </w:divBdr>
    </w:div>
    <w:div w:id="1002314633">
      <w:bodyDiv w:val="1"/>
      <w:marLeft w:val="0"/>
      <w:marRight w:val="0"/>
      <w:marTop w:val="0"/>
      <w:marBottom w:val="0"/>
      <w:divBdr>
        <w:top w:val="none" w:sz="0" w:space="0" w:color="auto"/>
        <w:left w:val="none" w:sz="0" w:space="0" w:color="auto"/>
        <w:bottom w:val="none" w:sz="0" w:space="0" w:color="auto"/>
        <w:right w:val="none" w:sz="0" w:space="0" w:color="auto"/>
      </w:divBdr>
    </w:div>
    <w:div w:id="1024290547">
      <w:bodyDiv w:val="1"/>
      <w:marLeft w:val="0"/>
      <w:marRight w:val="0"/>
      <w:marTop w:val="0"/>
      <w:marBottom w:val="0"/>
      <w:divBdr>
        <w:top w:val="none" w:sz="0" w:space="0" w:color="auto"/>
        <w:left w:val="none" w:sz="0" w:space="0" w:color="auto"/>
        <w:bottom w:val="none" w:sz="0" w:space="0" w:color="auto"/>
        <w:right w:val="none" w:sz="0" w:space="0" w:color="auto"/>
      </w:divBdr>
    </w:div>
    <w:div w:id="1036152728">
      <w:bodyDiv w:val="1"/>
      <w:marLeft w:val="0"/>
      <w:marRight w:val="0"/>
      <w:marTop w:val="0"/>
      <w:marBottom w:val="0"/>
      <w:divBdr>
        <w:top w:val="none" w:sz="0" w:space="0" w:color="auto"/>
        <w:left w:val="none" w:sz="0" w:space="0" w:color="auto"/>
        <w:bottom w:val="none" w:sz="0" w:space="0" w:color="auto"/>
        <w:right w:val="none" w:sz="0" w:space="0" w:color="auto"/>
      </w:divBdr>
    </w:div>
    <w:div w:id="1108547828">
      <w:bodyDiv w:val="1"/>
      <w:marLeft w:val="0"/>
      <w:marRight w:val="0"/>
      <w:marTop w:val="0"/>
      <w:marBottom w:val="0"/>
      <w:divBdr>
        <w:top w:val="none" w:sz="0" w:space="0" w:color="auto"/>
        <w:left w:val="none" w:sz="0" w:space="0" w:color="auto"/>
        <w:bottom w:val="none" w:sz="0" w:space="0" w:color="auto"/>
        <w:right w:val="none" w:sz="0" w:space="0" w:color="auto"/>
      </w:divBdr>
    </w:div>
    <w:div w:id="1115367602">
      <w:bodyDiv w:val="1"/>
      <w:marLeft w:val="0"/>
      <w:marRight w:val="0"/>
      <w:marTop w:val="0"/>
      <w:marBottom w:val="0"/>
      <w:divBdr>
        <w:top w:val="none" w:sz="0" w:space="0" w:color="auto"/>
        <w:left w:val="none" w:sz="0" w:space="0" w:color="auto"/>
        <w:bottom w:val="none" w:sz="0" w:space="0" w:color="auto"/>
        <w:right w:val="none" w:sz="0" w:space="0" w:color="auto"/>
      </w:divBdr>
    </w:div>
    <w:div w:id="1151947009">
      <w:bodyDiv w:val="1"/>
      <w:marLeft w:val="0"/>
      <w:marRight w:val="0"/>
      <w:marTop w:val="0"/>
      <w:marBottom w:val="0"/>
      <w:divBdr>
        <w:top w:val="none" w:sz="0" w:space="0" w:color="auto"/>
        <w:left w:val="none" w:sz="0" w:space="0" w:color="auto"/>
        <w:bottom w:val="none" w:sz="0" w:space="0" w:color="auto"/>
        <w:right w:val="none" w:sz="0" w:space="0" w:color="auto"/>
      </w:divBdr>
      <w:divsChild>
        <w:div w:id="854538122">
          <w:marLeft w:val="0"/>
          <w:marRight w:val="0"/>
          <w:marTop w:val="0"/>
          <w:marBottom w:val="0"/>
          <w:divBdr>
            <w:top w:val="none" w:sz="0" w:space="0" w:color="auto"/>
            <w:left w:val="none" w:sz="0" w:space="0" w:color="auto"/>
            <w:bottom w:val="none" w:sz="0" w:space="0" w:color="auto"/>
            <w:right w:val="none" w:sz="0" w:space="0" w:color="auto"/>
          </w:divBdr>
        </w:div>
      </w:divsChild>
    </w:div>
    <w:div w:id="1177117221">
      <w:bodyDiv w:val="1"/>
      <w:marLeft w:val="0"/>
      <w:marRight w:val="0"/>
      <w:marTop w:val="0"/>
      <w:marBottom w:val="0"/>
      <w:divBdr>
        <w:top w:val="none" w:sz="0" w:space="0" w:color="auto"/>
        <w:left w:val="none" w:sz="0" w:space="0" w:color="auto"/>
        <w:bottom w:val="none" w:sz="0" w:space="0" w:color="auto"/>
        <w:right w:val="none" w:sz="0" w:space="0" w:color="auto"/>
      </w:divBdr>
    </w:div>
    <w:div w:id="1253704396">
      <w:bodyDiv w:val="1"/>
      <w:marLeft w:val="0"/>
      <w:marRight w:val="0"/>
      <w:marTop w:val="0"/>
      <w:marBottom w:val="0"/>
      <w:divBdr>
        <w:top w:val="none" w:sz="0" w:space="0" w:color="auto"/>
        <w:left w:val="none" w:sz="0" w:space="0" w:color="auto"/>
        <w:bottom w:val="none" w:sz="0" w:space="0" w:color="auto"/>
        <w:right w:val="none" w:sz="0" w:space="0" w:color="auto"/>
      </w:divBdr>
    </w:div>
    <w:div w:id="1267077914">
      <w:bodyDiv w:val="1"/>
      <w:marLeft w:val="0"/>
      <w:marRight w:val="0"/>
      <w:marTop w:val="0"/>
      <w:marBottom w:val="0"/>
      <w:divBdr>
        <w:top w:val="none" w:sz="0" w:space="0" w:color="auto"/>
        <w:left w:val="none" w:sz="0" w:space="0" w:color="auto"/>
        <w:bottom w:val="none" w:sz="0" w:space="0" w:color="auto"/>
        <w:right w:val="none" w:sz="0" w:space="0" w:color="auto"/>
      </w:divBdr>
    </w:div>
    <w:div w:id="1336803907">
      <w:bodyDiv w:val="1"/>
      <w:marLeft w:val="0"/>
      <w:marRight w:val="0"/>
      <w:marTop w:val="0"/>
      <w:marBottom w:val="0"/>
      <w:divBdr>
        <w:top w:val="none" w:sz="0" w:space="0" w:color="auto"/>
        <w:left w:val="none" w:sz="0" w:space="0" w:color="auto"/>
        <w:bottom w:val="none" w:sz="0" w:space="0" w:color="auto"/>
        <w:right w:val="none" w:sz="0" w:space="0" w:color="auto"/>
      </w:divBdr>
    </w:div>
    <w:div w:id="1375424314">
      <w:bodyDiv w:val="1"/>
      <w:marLeft w:val="0"/>
      <w:marRight w:val="0"/>
      <w:marTop w:val="0"/>
      <w:marBottom w:val="0"/>
      <w:divBdr>
        <w:top w:val="none" w:sz="0" w:space="0" w:color="auto"/>
        <w:left w:val="none" w:sz="0" w:space="0" w:color="auto"/>
        <w:bottom w:val="none" w:sz="0" w:space="0" w:color="auto"/>
        <w:right w:val="none" w:sz="0" w:space="0" w:color="auto"/>
      </w:divBdr>
    </w:div>
    <w:div w:id="1432971994">
      <w:bodyDiv w:val="1"/>
      <w:marLeft w:val="0"/>
      <w:marRight w:val="0"/>
      <w:marTop w:val="0"/>
      <w:marBottom w:val="0"/>
      <w:divBdr>
        <w:top w:val="none" w:sz="0" w:space="0" w:color="auto"/>
        <w:left w:val="none" w:sz="0" w:space="0" w:color="auto"/>
        <w:bottom w:val="none" w:sz="0" w:space="0" w:color="auto"/>
        <w:right w:val="none" w:sz="0" w:space="0" w:color="auto"/>
      </w:divBdr>
    </w:div>
    <w:div w:id="1457523395">
      <w:bodyDiv w:val="1"/>
      <w:marLeft w:val="0"/>
      <w:marRight w:val="0"/>
      <w:marTop w:val="0"/>
      <w:marBottom w:val="0"/>
      <w:divBdr>
        <w:top w:val="none" w:sz="0" w:space="0" w:color="auto"/>
        <w:left w:val="none" w:sz="0" w:space="0" w:color="auto"/>
        <w:bottom w:val="none" w:sz="0" w:space="0" w:color="auto"/>
        <w:right w:val="none" w:sz="0" w:space="0" w:color="auto"/>
      </w:divBdr>
    </w:div>
    <w:div w:id="1484813628">
      <w:bodyDiv w:val="1"/>
      <w:marLeft w:val="0"/>
      <w:marRight w:val="0"/>
      <w:marTop w:val="0"/>
      <w:marBottom w:val="0"/>
      <w:divBdr>
        <w:top w:val="none" w:sz="0" w:space="0" w:color="auto"/>
        <w:left w:val="none" w:sz="0" w:space="0" w:color="auto"/>
        <w:bottom w:val="none" w:sz="0" w:space="0" w:color="auto"/>
        <w:right w:val="none" w:sz="0" w:space="0" w:color="auto"/>
      </w:divBdr>
    </w:div>
    <w:div w:id="1550989744">
      <w:bodyDiv w:val="1"/>
      <w:marLeft w:val="0"/>
      <w:marRight w:val="0"/>
      <w:marTop w:val="0"/>
      <w:marBottom w:val="0"/>
      <w:divBdr>
        <w:top w:val="none" w:sz="0" w:space="0" w:color="auto"/>
        <w:left w:val="none" w:sz="0" w:space="0" w:color="auto"/>
        <w:bottom w:val="none" w:sz="0" w:space="0" w:color="auto"/>
        <w:right w:val="none" w:sz="0" w:space="0" w:color="auto"/>
      </w:divBdr>
    </w:div>
    <w:div w:id="1608734663">
      <w:bodyDiv w:val="1"/>
      <w:marLeft w:val="0"/>
      <w:marRight w:val="0"/>
      <w:marTop w:val="0"/>
      <w:marBottom w:val="0"/>
      <w:divBdr>
        <w:top w:val="none" w:sz="0" w:space="0" w:color="auto"/>
        <w:left w:val="none" w:sz="0" w:space="0" w:color="auto"/>
        <w:bottom w:val="none" w:sz="0" w:space="0" w:color="auto"/>
        <w:right w:val="none" w:sz="0" w:space="0" w:color="auto"/>
      </w:divBdr>
      <w:divsChild>
        <w:div w:id="986323255">
          <w:marLeft w:val="0"/>
          <w:marRight w:val="0"/>
          <w:marTop w:val="0"/>
          <w:marBottom w:val="0"/>
          <w:divBdr>
            <w:top w:val="none" w:sz="0" w:space="0" w:color="auto"/>
            <w:left w:val="none" w:sz="0" w:space="0" w:color="auto"/>
            <w:bottom w:val="none" w:sz="0" w:space="0" w:color="auto"/>
            <w:right w:val="none" w:sz="0" w:space="0" w:color="auto"/>
          </w:divBdr>
          <w:divsChild>
            <w:div w:id="1592466352">
              <w:marLeft w:val="0"/>
              <w:marRight w:val="0"/>
              <w:marTop w:val="0"/>
              <w:marBottom w:val="0"/>
              <w:divBdr>
                <w:top w:val="none" w:sz="0" w:space="0" w:color="auto"/>
                <w:left w:val="none" w:sz="0" w:space="0" w:color="auto"/>
                <w:bottom w:val="none" w:sz="0" w:space="0" w:color="auto"/>
                <w:right w:val="none" w:sz="0" w:space="0" w:color="auto"/>
              </w:divBdr>
            </w:div>
          </w:divsChild>
        </w:div>
        <w:div w:id="1421827546">
          <w:marLeft w:val="0"/>
          <w:marRight w:val="0"/>
          <w:marTop w:val="0"/>
          <w:marBottom w:val="0"/>
          <w:divBdr>
            <w:top w:val="none" w:sz="0" w:space="0" w:color="auto"/>
            <w:left w:val="none" w:sz="0" w:space="0" w:color="auto"/>
            <w:bottom w:val="none" w:sz="0" w:space="0" w:color="auto"/>
            <w:right w:val="none" w:sz="0" w:space="0" w:color="auto"/>
          </w:divBdr>
        </w:div>
        <w:div w:id="90707165">
          <w:marLeft w:val="0"/>
          <w:marRight w:val="0"/>
          <w:marTop w:val="0"/>
          <w:marBottom w:val="0"/>
          <w:divBdr>
            <w:top w:val="none" w:sz="0" w:space="0" w:color="auto"/>
            <w:left w:val="none" w:sz="0" w:space="0" w:color="auto"/>
            <w:bottom w:val="none" w:sz="0" w:space="0" w:color="auto"/>
            <w:right w:val="none" w:sz="0" w:space="0" w:color="auto"/>
          </w:divBdr>
          <w:divsChild>
            <w:div w:id="1348170109">
              <w:marLeft w:val="0"/>
              <w:marRight w:val="0"/>
              <w:marTop w:val="0"/>
              <w:marBottom w:val="0"/>
              <w:divBdr>
                <w:top w:val="none" w:sz="0" w:space="0" w:color="auto"/>
                <w:left w:val="none" w:sz="0" w:space="0" w:color="auto"/>
                <w:bottom w:val="none" w:sz="0" w:space="0" w:color="auto"/>
                <w:right w:val="none" w:sz="0" w:space="0" w:color="auto"/>
              </w:divBdr>
              <w:divsChild>
                <w:div w:id="63917554">
                  <w:marLeft w:val="0"/>
                  <w:marRight w:val="0"/>
                  <w:marTop w:val="0"/>
                  <w:marBottom w:val="0"/>
                  <w:divBdr>
                    <w:top w:val="none" w:sz="0" w:space="0" w:color="auto"/>
                    <w:left w:val="none" w:sz="0" w:space="0" w:color="auto"/>
                    <w:bottom w:val="none" w:sz="0" w:space="0" w:color="auto"/>
                    <w:right w:val="none" w:sz="0" w:space="0" w:color="auto"/>
                  </w:divBdr>
                  <w:divsChild>
                    <w:div w:id="491288414">
                      <w:marLeft w:val="0"/>
                      <w:marRight w:val="0"/>
                      <w:marTop w:val="0"/>
                      <w:marBottom w:val="0"/>
                      <w:divBdr>
                        <w:top w:val="none" w:sz="0" w:space="0" w:color="auto"/>
                        <w:left w:val="none" w:sz="0" w:space="0" w:color="auto"/>
                        <w:bottom w:val="none" w:sz="0" w:space="0" w:color="auto"/>
                        <w:right w:val="none" w:sz="0" w:space="0" w:color="auto"/>
                      </w:divBdr>
                      <w:divsChild>
                        <w:div w:id="70113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5093913">
      <w:bodyDiv w:val="1"/>
      <w:marLeft w:val="0"/>
      <w:marRight w:val="0"/>
      <w:marTop w:val="0"/>
      <w:marBottom w:val="0"/>
      <w:divBdr>
        <w:top w:val="none" w:sz="0" w:space="0" w:color="auto"/>
        <w:left w:val="none" w:sz="0" w:space="0" w:color="auto"/>
        <w:bottom w:val="none" w:sz="0" w:space="0" w:color="auto"/>
        <w:right w:val="none" w:sz="0" w:space="0" w:color="auto"/>
      </w:divBdr>
    </w:div>
    <w:div w:id="1621912156">
      <w:bodyDiv w:val="1"/>
      <w:marLeft w:val="0"/>
      <w:marRight w:val="0"/>
      <w:marTop w:val="0"/>
      <w:marBottom w:val="0"/>
      <w:divBdr>
        <w:top w:val="none" w:sz="0" w:space="0" w:color="auto"/>
        <w:left w:val="none" w:sz="0" w:space="0" w:color="auto"/>
        <w:bottom w:val="none" w:sz="0" w:space="0" w:color="auto"/>
        <w:right w:val="none" w:sz="0" w:space="0" w:color="auto"/>
      </w:divBdr>
    </w:div>
    <w:div w:id="1643460857">
      <w:bodyDiv w:val="1"/>
      <w:marLeft w:val="0"/>
      <w:marRight w:val="0"/>
      <w:marTop w:val="0"/>
      <w:marBottom w:val="0"/>
      <w:divBdr>
        <w:top w:val="none" w:sz="0" w:space="0" w:color="auto"/>
        <w:left w:val="none" w:sz="0" w:space="0" w:color="auto"/>
        <w:bottom w:val="none" w:sz="0" w:space="0" w:color="auto"/>
        <w:right w:val="none" w:sz="0" w:space="0" w:color="auto"/>
      </w:divBdr>
    </w:div>
    <w:div w:id="1659383401">
      <w:bodyDiv w:val="1"/>
      <w:marLeft w:val="0"/>
      <w:marRight w:val="0"/>
      <w:marTop w:val="0"/>
      <w:marBottom w:val="0"/>
      <w:divBdr>
        <w:top w:val="none" w:sz="0" w:space="0" w:color="auto"/>
        <w:left w:val="none" w:sz="0" w:space="0" w:color="auto"/>
        <w:bottom w:val="none" w:sz="0" w:space="0" w:color="auto"/>
        <w:right w:val="none" w:sz="0" w:space="0" w:color="auto"/>
      </w:divBdr>
    </w:div>
    <w:div w:id="1673217965">
      <w:bodyDiv w:val="1"/>
      <w:marLeft w:val="0"/>
      <w:marRight w:val="0"/>
      <w:marTop w:val="0"/>
      <w:marBottom w:val="0"/>
      <w:divBdr>
        <w:top w:val="none" w:sz="0" w:space="0" w:color="auto"/>
        <w:left w:val="none" w:sz="0" w:space="0" w:color="auto"/>
        <w:bottom w:val="none" w:sz="0" w:space="0" w:color="auto"/>
        <w:right w:val="none" w:sz="0" w:space="0" w:color="auto"/>
      </w:divBdr>
    </w:div>
    <w:div w:id="1696345746">
      <w:bodyDiv w:val="1"/>
      <w:marLeft w:val="0"/>
      <w:marRight w:val="0"/>
      <w:marTop w:val="0"/>
      <w:marBottom w:val="0"/>
      <w:divBdr>
        <w:top w:val="none" w:sz="0" w:space="0" w:color="auto"/>
        <w:left w:val="none" w:sz="0" w:space="0" w:color="auto"/>
        <w:bottom w:val="none" w:sz="0" w:space="0" w:color="auto"/>
        <w:right w:val="none" w:sz="0" w:space="0" w:color="auto"/>
      </w:divBdr>
    </w:div>
    <w:div w:id="1752462729">
      <w:bodyDiv w:val="1"/>
      <w:marLeft w:val="0"/>
      <w:marRight w:val="0"/>
      <w:marTop w:val="0"/>
      <w:marBottom w:val="0"/>
      <w:divBdr>
        <w:top w:val="none" w:sz="0" w:space="0" w:color="auto"/>
        <w:left w:val="none" w:sz="0" w:space="0" w:color="auto"/>
        <w:bottom w:val="none" w:sz="0" w:space="0" w:color="auto"/>
        <w:right w:val="none" w:sz="0" w:space="0" w:color="auto"/>
      </w:divBdr>
    </w:div>
    <w:div w:id="1770151569">
      <w:bodyDiv w:val="1"/>
      <w:marLeft w:val="0"/>
      <w:marRight w:val="0"/>
      <w:marTop w:val="0"/>
      <w:marBottom w:val="0"/>
      <w:divBdr>
        <w:top w:val="none" w:sz="0" w:space="0" w:color="auto"/>
        <w:left w:val="none" w:sz="0" w:space="0" w:color="auto"/>
        <w:bottom w:val="none" w:sz="0" w:space="0" w:color="auto"/>
        <w:right w:val="none" w:sz="0" w:space="0" w:color="auto"/>
      </w:divBdr>
    </w:div>
    <w:div w:id="1930843177">
      <w:bodyDiv w:val="1"/>
      <w:marLeft w:val="0"/>
      <w:marRight w:val="0"/>
      <w:marTop w:val="0"/>
      <w:marBottom w:val="0"/>
      <w:divBdr>
        <w:top w:val="none" w:sz="0" w:space="0" w:color="auto"/>
        <w:left w:val="none" w:sz="0" w:space="0" w:color="auto"/>
        <w:bottom w:val="none" w:sz="0" w:space="0" w:color="auto"/>
        <w:right w:val="none" w:sz="0" w:space="0" w:color="auto"/>
      </w:divBdr>
    </w:div>
    <w:div w:id="1968930076">
      <w:bodyDiv w:val="1"/>
      <w:marLeft w:val="0"/>
      <w:marRight w:val="0"/>
      <w:marTop w:val="0"/>
      <w:marBottom w:val="0"/>
      <w:divBdr>
        <w:top w:val="none" w:sz="0" w:space="0" w:color="auto"/>
        <w:left w:val="none" w:sz="0" w:space="0" w:color="auto"/>
        <w:bottom w:val="none" w:sz="0" w:space="0" w:color="auto"/>
        <w:right w:val="none" w:sz="0" w:space="0" w:color="auto"/>
      </w:divBdr>
    </w:div>
    <w:div w:id="2044985742">
      <w:bodyDiv w:val="1"/>
      <w:marLeft w:val="0"/>
      <w:marRight w:val="0"/>
      <w:marTop w:val="0"/>
      <w:marBottom w:val="0"/>
      <w:divBdr>
        <w:top w:val="none" w:sz="0" w:space="0" w:color="auto"/>
        <w:left w:val="none" w:sz="0" w:space="0" w:color="auto"/>
        <w:bottom w:val="none" w:sz="0" w:space="0" w:color="auto"/>
        <w:right w:val="none" w:sz="0" w:space="0" w:color="auto"/>
      </w:divBdr>
    </w:div>
    <w:div w:id="2067995709">
      <w:bodyDiv w:val="1"/>
      <w:marLeft w:val="0"/>
      <w:marRight w:val="0"/>
      <w:marTop w:val="0"/>
      <w:marBottom w:val="0"/>
      <w:divBdr>
        <w:top w:val="none" w:sz="0" w:space="0" w:color="auto"/>
        <w:left w:val="none" w:sz="0" w:space="0" w:color="auto"/>
        <w:bottom w:val="none" w:sz="0" w:space="0" w:color="auto"/>
        <w:right w:val="none" w:sz="0" w:space="0" w:color="auto"/>
      </w:divBdr>
    </w:div>
    <w:div w:id="2128238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zzzcg.me/wp-content/uploads/2025/08/izvjestaj-o-radu-2025.pdf"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zzzcg.me/wp-content/uploads/2025/08/izvjestaj-o-radu-2025.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zzzcg.me/wp-content/uploads/2025/08/izvjestaj-o-radu-2025.pdf"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zzzcg.me/wp-content/uploads/2025/08/izvjestaj-o-radu-2025.pdf"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https://www.zzzcg.me/wp-content/uploads/2025/08/izvjestaj-o-radu-2025.pdf" TargetMode="External"/><Relationship Id="rId14" Type="http://schemas.openxmlformats.org/officeDocument/2006/relationships/hyperlink" Target="https://www.zzzcg.me/wp-content/uploads/2025/07/Analiza-potreba-nezaposlenih-lica-na-trzistu-rada-Crne-Gore-2025.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jjj</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E0A08E-AC3A-4B4D-8923-A3000C49F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22</Pages>
  <Words>6156</Words>
  <Characters>35095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Sektorska analiza 2027 – nezaposlenost i zapošljivost osoba 30–50 godina</vt:lpstr>
    </vt:vector>
  </TitlesOfParts>
  <Company/>
  <LinksUpToDate>false</LinksUpToDate>
  <CharactersWithSpaces>41169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Sektorska analiza 2027 – nezaposlenost i zapošljivost osoba 30–50 godina</dc:title>
  <dc:subject>Prioritetna oblast i sredstva za finansiranje projekata i programa NVO u 2027.</dc:subject>
  <dc:creator>Ministarstvo regionalno-investicionog razvoja i saradnje sa nevladinim organizacijama</dc:creator>
  <cp:keywords>sektorska analiza, nezaposlenost, zapošljivost, 30–50, NVO, 2027</cp:keywords>
  <dc:description>Radna verzija pripremljena 30. jula 2026.</dc:description>
  <cp:lastModifiedBy>Milena Vujacic</cp:lastModifiedBy>
  <cp:revision>4</cp:revision>
  <cp:lastPrinted>2026-08-07T07:12:00Z</cp:lastPrinted>
  <dcterms:created xsi:type="dcterms:W3CDTF">2026-09-09T07:14:00Z</dcterms:created>
  <dcterms:modified xsi:type="dcterms:W3CDTF">2026-09-10T07:23:00Z</dcterms:modified>
</cp:coreProperties>
</file>