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42" w:rsidRPr="00584F75" w:rsidRDefault="009C0D42" w:rsidP="009C0D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C0D42" w:rsidRDefault="009C0D42" w:rsidP="009C0D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57.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C0D42" w:rsidRPr="00584F75" w:rsidRDefault="009C0D42" w:rsidP="009C0D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srijedu</w:t>
      </w:r>
      <w:r>
        <w:rPr>
          <w:rFonts w:ascii="Arial" w:hAnsi="Arial" w:cs="Arial"/>
          <w:sz w:val="24"/>
          <w:szCs w:val="24"/>
          <w:lang w:val="sl-SI"/>
        </w:rPr>
        <w:t>, 2. februar 2022. godine, u 11.00 sati</w:t>
      </w:r>
    </w:p>
    <w:p w:rsidR="009C0D42" w:rsidRPr="00584F75" w:rsidRDefault="009C0D42" w:rsidP="009C0D4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C0D42" w:rsidRPr="00584F75" w:rsidRDefault="009C0D42" w:rsidP="009C0D4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56.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9C0D42" w:rsidRPr="00F0398F" w:rsidRDefault="009C0D42" w:rsidP="009C0D4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januara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C0D42" w:rsidRDefault="009C0D42" w:rsidP="009C0D4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C0D42" w:rsidRPr="0034423D" w:rsidRDefault="009C0D42" w:rsidP="009C0D42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9C0D42" w:rsidRPr="00D8016A" w:rsidRDefault="009C0D42" w:rsidP="009C0D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C0D42" w:rsidRPr="00A43E9E" w:rsidRDefault="009C0D42" w:rsidP="009C0D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9C0D42" w:rsidRPr="003E42C8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E42C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strukturnim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mjerama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ribarstvu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FFFFF"/>
        </w:rPr>
        <w:t>akvakulturi</w:t>
      </w:r>
      <w:proofErr w:type="spellEnd"/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utvrđivanja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koncesione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privredno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društvo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pravno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lice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koristi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vodnu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akumulaciju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i/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vodotok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hidroelektranama</w:t>
      </w:r>
      <w:proofErr w:type="spellEnd"/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6F6F6"/>
        </w:rPr>
        <w:t>edl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upozorenju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statusu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obilaznice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oko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Budve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trasi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Brze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saobraćajnice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duž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crnogorskog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primorja</w:t>
      </w:r>
      <w:proofErr w:type="spellEnd"/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odobrenje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promjene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kreditnih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produženja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grejs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perioda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Ugovoru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kreditu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„Monte-put-</w:t>
      </w:r>
      <w:proofErr w:type="gramStart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a“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Podgorica i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Investiciono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razvojnog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Gore A.D., br. 3160 od 20.05.2019.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sprovedenim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vode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akumulacije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Otilovići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male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hidroelektrane</w:t>
      </w:r>
      <w:proofErr w:type="spellEnd"/>
    </w:p>
    <w:p w:rsidR="009C0D42" w:rsidRPr="00A91580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915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915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91580">
        <w:rPr>
          <w:rFonts w:ascii="Arial" w:hAnsi="Arial" w:cs="Arial"/>
          <w:sz w:val="24"/>
          <w:szCs w:val="24"/>
          <w:shd w:val="clear" w:color="auto" w:fill="F6F6F6"/>
        </w:rPr>
        <w:t>podršci</w:t>
      </w:r>
      <w:proofErr w:type="spellEnd"/>
      <w:r w:rsidRPr="00A915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91580">
        <w:rPr>
          <w:rFonts w:ascii="Arial" w:hAnsi="Arial" w:cs="Arial"/>
          <w:sz w:val="24"/>
          <w:szCs w:val="24"/>
          <w:shd w:val="clear" w:color="auto" w:fill="F6F6F6"/>
        </w:rPr>
        <w:t>ustupanje</w:t>
      </w:r>
      <w:proofErr w:type="spellEnd"/>
      <w:r w:rsidRPr="00A915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91580">
        <w:rPr>
          <w:rFonts w:ascii="Arial" w:hAnsi="Arial" w:cs="Arial"/>
          <w:sz w:val="24"/>
          <w:szCs w:val="24"/>
          <w:shd w:val="clear" w:color="auto" w:fill="F6F6F6"/>
        </w:rPr>
        <w:t>viškova</w:t>
      </w:r>
      <w:proofErr w:type="spellEnd"/>
      <w:r w:rsidRPr="00A915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91580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A91580">
        <w:rPr>
          <w:rFonts w:ascii="Arial" w:hAnsi="Arial" w:cs="Arial"/>
          <w:sz w:val="24"/>
          <w:szCs w:val="24"/>
          <w:shd w:val="clear" w:color="auto" w:fill="F6F6F6"/>
        </w:rPr>
        <w:t xml:space="preserve"> DOO MILMARC GROUP i FML DOO - MLJEKARA NIKA</w:t>
      </w:r>
    </w:p>
    <w:p w:rsidR="009C0D42" w:rsidRPr="004961DA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Plan</w:t>
      </w:r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obuka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državnih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lokalnih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službenika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namještenika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9C0D42" w:rsidRPr="00BF6F7C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određivanja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neophodnih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planskih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dokumenata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strateške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procijene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uticaja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životnu</w:t>
      </w:r>
      <w:proofErr w:type="spellEnd"/>
      <w:r w:rsidRPr="000D2B6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2B64">
        <w:rPr>
          <w:rFonts w:ascii="Arial" w:hAnsi="Arial" w:cs="Arial"/>
          <w:sz w:val="24"/>
          <w:szCs w:val="24"/>
          <w:shd w:val="clear" w:color="auto" w:fill="F6F6F6"/>
        </w:rPr>
        <w:t>sredinu</w:t>
      </w:r>
      <w:proofErr w:type="spellEnd"/>
    </w:p>
    <w:p w:rsidR="009C0D42" w:rsidRPr="00BF6F7C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E42C8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izm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3E42C8">
        <w:rPr>
          <w:rFonts w:ascii="Arial" w:hAnsi="Arial" w:cs="Arial"/>
          <w:sz w:val="24"/>
          <w:szCs w:val="24"/>
          <w:shd w:val="clear" w:color="auto" w:fill="F6F6F6"/>
        </w:rPr>
        <w:t>enu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:</w:t>
      </w:r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04-6928/2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od 29.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2021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3E4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42C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9C0D42" w:rsidRPr="00E2716C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A653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čelu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ekonomskog razvoja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Jakovom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Milatovićem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EXPO 2020, u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obil</w:t>
      </w:r>
      <w:r>
        <w:rPr>
          <w:rFonts w:ascii="Arial" w:hAnsi="Arial" w:cs="Arial"/>
          <w:sz w:val="24"/>
          <w:szCs w:val="24"/>
          <w:shd w:val="clear" w:color="auto" w:fill="FFFFFF"/>
        </w:rPr>
        <w:t>ježavanja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dana (6.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</w:t>
      </w:r>
      <w:r w:rsidRPr="00AA6539">
        <w:rPr>
          <w:rFonts w:ascii="Arial" w:hAnsi="Arial" w:cs="Arial"/>
          <w:sz w:val="24"/>
          <w:szCs w:val="24"/>
          <w:shd w:val="clear" w:color="auto" w:fill="FFFFFF"/>
        </w:rPr>
        <w:t>ebruar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Poslovnom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EXPO 2020 (7.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</w:t>
      </w:r>
      <w:r w:rsidRPr="00AA6539">
        <w:rPr>
          <w:rFonts w:ascii="Arial" w:hAnsi="Arial" w:cs="Arial"/>
          <w:sz w:val="24"/>
          <w:szCs w:val="24"/>
          <w:shd w:val="clear" w:color="auto" w:fill="FFFFFF"/>
        </w:rPr>
        <w:t>ebruar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), Dubai, </w:t>
      </w:r>
      <w:r>
        <w:rPr>
          <w:rFonts w:ascii="Arial" w:hAnsi="Arial" w:cs="Arial"/>
          <w:sz w:val="24"/>
          <w:szCs w:val="24"/>
          <w:shd w:val="clear" w:color="auto" w:fill="FFFFFF"/>
        </w:rPr>
        <w:t>od 5. do</w:t>
      </w:r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8.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februar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AA6539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AA653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0D42" w:rsidRPr="005B1F39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9C0D42" w:rsidRPr="00093749" w:rsidRDefault="009C0D42" w:rsidP="009C0D4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0D42" w:rsidRPr="00727A7E" w:rsidRDefault="009C0D42" w:rsidP="009C0D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imenovanju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operator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A7276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>“ –</w:t>
      </w:r>
      <w:proofErr w:type="gram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9C0D42" w:rsidRPr="00C3167C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Kontrole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letenja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Srbije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Gore SMATSA doo Beograd, za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9C0D42" w:rsidRPr="00C3167C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konsultantskih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6F6F6"/>
        </w:rPr>
        <w:t>energetske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6F6F6"/>
        </w:rPr>
        <w:t>efikasnosti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6F6F6"/>
        </w:rPr>
        <w:t>javnim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556DFB">
        <w:rPr>
          <w:rFonts w:ascii="Arial" w:hAnsi="Arial" w:cs="Arial"/>
          <w:sz w:val="24"/>
          <w:szCs w:val="24"/>
          <w:shd w:val="clear" w:color="auto" w:fill="F6F6F6"/>
        </w:rPr>
        <w:t>zgradama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6F6F6"/>
        </w:rPr>
        <w:t>“ sa</w:t>
      </w:r>
      <w:proofErr w:type="gramEnd"/>
      <w:r w:rsidRPr="00556D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6F6F6"/>
        </w:rPr>
        <w:t>predlozima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6F6F6"/>
        </w:rPr>
        <w:t>aneksa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9C0D42" w:rsidRPr="00DF6D57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lastRenderedPageBreak/>
        <w:t>Izvještaj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preporuka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unapređenje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obrazovne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2019-2021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rezultata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PISA 2015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za 2020.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9C0D42" w:rsidRPr="00AC213C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posmatrač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organizaciju</w:t>
      </w:r>
      <w:proofErr w:type="spellEnd"/>
      <w:r w:rsidRPr="00556D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6DFB">
        <w:rPr>
          <w:rFonts w:ascii="Arial" w:hAnsi="Arial" w:cs="Arial"/>
          <w:sz w:val="24"/>
          <w:szCs w:val="24"/>
          <w:shd w:val="clear" w:color="auto" w:fill="FFFFFF"/>
        </w:rPr>
        <w:t>pom</w:t>
      </w:r>
      <w:r>
        <w:rPr>
          <w:rFonts w:ascii="Arial" w:hAnsi="Arial" w:cs="Arial"/>
          <w:sz w:val="24"/>
          <w:szCs w:val="24"/>
          <w:shd w:val="clear" w:color="auto" w:fill="FFFFFF"/>
        </w:rPr>
        <w:t>orskih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luka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ESPO (European Sea P</w:t>
      </w:r>
      <w:r w:rsidRPr="00556DFB">
        <w:rPr>
          <w:rFonts w:ascii="Arial" w:hAnsi="Arial" w:cs="Arial"/>
          <w:sz w:val="24"/>
          <w:szCs w:val="24"/>
          <w:shd w:val="clear" w:color="auto" w:fill="FFFFFF"/>
        </w:rPr>
        <w:t>orts Organization)</w:t>
      </w:r>
    </w:p>
    <w:p w:rsidR="009C0D42" w:rsidRPr="00AD211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D211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D2116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2116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2116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</w:t>
      </w:r>
      <w:r w:rsidRPr="00AD2116">
        <w:rPr>
          <w:rFonts w:ascii="Arial" w:hAnsi="Arial" w:cs="Arial"/>
          <w:sz w:val="24"/>
          <w:szCs w:val="24"/>
          <w:shd w:val="clear" w:color="auto" w:fill="F6F6F6"/>
        </w:rPr>
        <w:t>ekuće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2116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2116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AD2116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AD211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9C0D42" w:rsidRPr="00C9107D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finansij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Tekuća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budžetska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rezerva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sport i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</w:p>
    <w:p w:rsidR="009C0D42" w:rsidRPr="009A7276" w:rsidRDefault="009C0D42" w:rsidP="009C0D42">
      <w:pPr>
        <w:jc w:val="both"/>
        <w:rPr>
          <w:rFonts w:ascii="Arial" w:hAnsi="Arial" w:cs="Arial"/>
          <w:sz w:val="24"/>
          <w:szCs w:val="24"/>
        </w:rPr>
      </w:pPr>
    </w:p>
    <w:p w:rsidR="009C0D42" w:rsidRPr="00CC009D" w:rsidRDefault="009C0D42" w:rsidP="009C0D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slobodnom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pristupu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informacijama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Marko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Milačić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727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lokalnoj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samoupravi</w:t>
      </w:r>
      <w:proofErr w:type="spellEnd"/>
      <w:r w:rsidRPr="00290A39">
        <w:t xml:space="preserve"> </w:t>
      </w:r>
      <w:r>
        <w:t>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/e: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Miloš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Konatar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Srđan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Pavićević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Božena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Jelušić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Suada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Zoronjić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Kenana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Strujić-Harbić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Ervin Ibrahimović,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Amer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Smailović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Ivan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Brajović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Damir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Šehović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Boris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Raško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Konjević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Draginja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Vuksanović-Stanković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Fatmir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Đeka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Genci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Nimanbegu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Danijel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Živković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Aleksandra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Vuković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Jevto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Eraković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Nikola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Rakočević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Andrija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Popović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Dragica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Sekulić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Marta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Šćepanović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Vesna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Pavićević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Miloš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Nikolić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Nikola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Janović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Daliborka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Pejović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Branko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Čavor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Suzana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Pribilović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Abaz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Dizdarević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Jovanka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Laličić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, Andrija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Nikolić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Lidija</w:t>
      </w:r>
      <w:proofErr w:type="spellEnd"/>
      <w:r w:rsidRPr="00290A3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0A39">
        <w:rPr>
          <w:rFonts w:ascii="Arial" w:hAnsi="Arial" w:cs="Arial"/>
          <w:sz w:val="24"/>
          <w:szCs w:val="24"/>
          <w:shd w:val="clear" w:color="auto" w:fill="F6F6F6"/>
        </w:rPr>
        <w:t>Kljajić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Univerzitetu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974 KO Podgorica I,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JU OŠ „Olga </w:t>
      </w:r>
      <w:proofErr w:type="spellStart"/>
      <w:proofErr w:type="gramStart"/>
      <w:r w:rsidRPr="009A7276">
        <w:rPr>
          <w:rFonts w:ascii="Arial" w:hAnsi="Arial" w:cs="Arial"/>
          <w:sz w:val="24"/>
          <w:szCs w:val="24"/>
          <w:shd w:val="clear" w:color="auto" w:fill="F6F6F6"/>
        </w:rPr>
        <w:t>Golović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Nikšića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773 KO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JU SMŠ „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Vuksan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A7276">
        <w:rPr>
          <w:rFonts w:ascii="Arial" w:hAnsi="Arial" w:cs="Arial"/>
          <w:sz w:val="24"/>
          <w:szCs w:val="24"/>
          <w:shd w:val="clear" w:color="auto" w:fill="FFFFFF"/>
        </w:rPr>
        <w:t>Đukić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Mojkovca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576 KO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proofErr w:type="gramStart"/>
      <w:r w:rsidRPr="009A7276">
        <w:rPr>
          <w:rFonts w:ascii="Arial" w:hAnsi="Arial" w:cs="Arial"/>
          <w:sz w:val="24"/>
          <w:szCs w:val="24"/>
          <w:shd w:val="clear" w:color="auto" w:fill="F6F6F6"/>
        </w:rPr>
        <w:t>Kekec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Sutomora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797 KO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Sutomore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Bar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Gimnazija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Cetinje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419 KO Cetinje I,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Cetinje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9C0D42" w:rsidRPr="00882F81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Braća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9A7276">
        <w:rPr>
          <w:rFonts w:ascii="Arial" w:hAnsi="Arial" w:cs="Arial"/>
          <w:sz w:val="24"/>
          <w:szCs w:val="24"/>
          <w:shd w:val="clear" w:color="auto" w:fill="F6F6F6"/>
        </w:rPr>
        <w:t>Labudović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Nikšića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267 KO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Rubeža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9C0D42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Zahtjev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r w:rsidRPr="00882F81">
        <w:rPr>
          <w:rFonts w:ascii="Arial" w:hAnsi="Arial" w:cs="Arial"/>
          <w:sz w:val="24"/>
          <w:szCs w:val="24"/>
          <w:shd w:val="clear" w:color="auto" w:fill="F6F6F6"/>
        </w:rPr>
        <w:t>adne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ekonomskih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reformi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82F81">
        <w:rPr>
          <w:rFonts w:ascii="Arial" w:hAnsi="Arial" w:cs="Arial"/>
          <w:sz w:val="24"/>
          <w:szCs w:val="24"/>
          <w:shd w:val="clear" w:color="auto" w:fill="F6F6F6"/>
        </w:rPr>
        <w:t xml:space="preserve"> Gore za period 2022 - 2024. </w:t>
      </w:r>
      <w:proofErr w:type="spellStart"/>
      <w:r w:rsidRPr="00882F8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9C0D42" w:rsidRPr="00F30261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plaćanje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naknada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Radnom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timu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stručnog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osposobljavanja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stečenim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visokim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obrazovanjem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26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zaradama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javnom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, br. 16/16, 83/16, 21/17, 42/17, 12/18, 39/18 i 42/18) i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8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utvrđivanje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visine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F302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30261">
        <w:rPr>
          <w:rFonts w:ascii="Arial" w:hAnsi="Arial" w:cs="Arial"/>
          <w:sz w:val="24"/>
          <w:szCs w:val="24"/>
          <w:shd w:val="clear" w:color="auto" w:fill="F6F6F6"/>
        </w:rPr>
        <w:t>d</w:t>
      </w:r>
      <w:r>
        <w:rPr>
          <w:rFonts w:ascii="Arial" w:hAnsi="Arial" w:cs="Arial"/>
          <w:sz w:val="24"/>
          <w:szCs w:val="24"/>
          <w:shd w:val="clear" w:color="auto" w:fill="F6F6F6"/>
        </w:rPr>
        <w:t>rugog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oblika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F30261">
        <w:rPr>
          <w:rFonts w:ascii="Arial" w:hAnsi="Arial" w:cs="Arial"/>
          <w:sz w:val="24"/>
          <w:szCs w:val="24"/>
          <w:shd w:val="clear" w:color="auto" w:fill="F6F6F6"/>
        </w:rPr>
        <w:t>, br. 26/12, 34/12 i 27/13)</w:t>
      </w:r>
    </w:p>
    <w:p w:rsidR="009C0D42" w:rsidRPr="009A7276" w:rsidRDefault="009C0D42" w:rsidP="009C0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</w:rPr>
        <w:t>Pitanja</w:t>
      </w:r>
      <w:proofErr w:type="spellEnd"/>
      <w:r w:rsidRPr="009A727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A7276">
        <w:rPr>
          <w:rFonts w:ascii="Arial" w:hAnsi="Arial" w:cs="Arial"/>
          <w:sz w:val="24"/>
          <w:szCs w:val="24"/>
        </w:rPr>
        <w:t>predlozi</w:t>
      </w:r>
      <w:proofErr w:type="spellEnd"/>
    </w:p>
    <w:p w:rsidR="009C0D42" w:rsidRDefault="009C0D42" w:rsidP="009C0D42">
      <w:pPr>
        <w:jc w:val="both"/>
        <w:rPr>
          <w:rFonts w:ascii="Arial" w:hAnsi="Arial" w:cs="Arial"/>
          <w:sz w:val="24"/>
          <w:szCs w:val="24"/>
        </w:rPr>
      </w:pPr>
    </w:p>
    <w:p w:rsidR="009C0D42" w:rsidRDefault="009C0D42" w:rsidP="009C0D4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9C0D42" w:rsidRDefault="009C0D42" w:rsidP="009C0D4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9C0D42" w:rsidRDefault="009C0D42" w:rsidP="009C0D4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9C0D42" w:rsidRPr="00F50B2E" w:rsidRDefault="009C0D42" w:rsidP="009C0D42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C0D42" w:rsidRDefault="009C0D42" w:rsidP="009C0D42"/>
    <w:p w:rsidR="00AC6F15" w:rsidRDefault="00AC6F15"/>
    <w:sectPr w:rsidR="00AC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0E8079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42"/>
    <w:rsid w:val="005A6AD4"/>
    <w:rsid w:val="009C0D42"/>
    <w:rsid w:val="00A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B2AC"/>
  <w15:chartTrackingRefBased/>
  <w15:docId w15:val="{F70EB37A-6B99-4DE4-AD13-61F20BEA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0D4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2022-02-02T09:24:00Z</dcterms:created>
  <dcterms:modified xsi:type="dcterms:W3CDTF">2022-02-02T09:25:00Z</dcterms:modified>
</cp:coreProperties>
</file>