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4B4" w:rsidRPr="007520D7" w:rsidRDefault="00446E0B" w:rsidP="00A144B4">
      <w:pPr>
        <w:rPr>
          <w:rFonts w:ascii="Arial" w:hAnsi="Arial" w:cs="Arial"/>
          <w:b/>
          <w:color w:val="000000"/>
          <w:sz w:val="22"/>
          <w:szCs w:val="22"/>
        </w:rPr>
      </w:pPr>
      <w:r>
        <w:rPr>
          <w:rFonts w:ascii="Arial" w:hAnsi="Arial" w:cs="Arial"/>
          <w:b/>
          <w:color w:val="000000"/>
          <w:sz w:val="22"/>
          <w:szCs w:val="22"/>
        </w:rPr>
        <w:t>U</w:t>
      </w:r>
      <w:r w:rsidR="00A144B4" w:rsidRPr="007520D7">
        <w:rPr>
          <w:rFonts w:ascii="Arial" w:hAnsi="Arial" w:cs="Arial"/>
          <w:b/>
          <w:color w:val="000000"/>
          <w:sz w:val="22"/>
          <w:szCs w:val="22"/>
        </w:rPr>
        <w:t>vodne napomene</w:t>
      </w:r>
    </w:p>
    <w:p w:rsidR="00A144B4" w:rsidRDefault="00A144B4" w:rsidP="00A144B4">
      <w:pPr>
        <w:spacing w:after="0" w:line="240" w:lineRule="auto"/>
        <w:rPr>
          <w:rFonts w:ascii="Arial" w:hAnsi="Arial" w:cs="Arial"/>
          <w:noProof/>
          <w:color w:val="000000"/>
          <w:sz w:val="22"/>
          <w:szCs w:val="22"/>
          <w:lang w:val="sl-SI"/>
        </w:rPr>
      </w:pPr>
      <w:r>
        <w:rPr>
          <w:rFonts w:ascii="Arial" w:hAnsi="Arial" w:cs="Arial"/>
          <w:noProof/>
          <w:color w:val="000000"/>
          <w:sz w:val="22"/>
          <w:szCs w:val="22"/>
          <w:lang w:val="sl-SI"/>
        </w:rPr>
        <w:t xml:space="preserve">Zaključkom Vlade Crne Gore broj : 06-607/4 od 28. marta </w:t>
      </w:r>
      <w:r>
        <w:rPr>
          <w:rFonts w:ascii="Arial" w:hAnsi="Arial" w:cs="Arial"/>
          <w:noProof/>
          <w:color w:val="000000"/>
          <w:sz w:val="22"/>
          <w:szCs w:val="22"/>
        </w:rPr>
        <w:t>2013. godine, Ministarstvo finansija je zaduženo da kvartalno i</w:t>
      </w:r>
      <w:r>
        <w:rPr>
          <w:rFonts w:ascii="Arial" w:hAnsi="Arial" w:cs="Arial"/>
          <w:noProof/>
          <w:color w:val="000000"/>
          <w:sz w:val="22"/>
          <w:szCs w:val="22"/>
          <w:lang w:val="sl-SI"/>
        </w:rPr>
        <w:t>zvještava Vladu  o realizaciji</w:t>
      </w:r>
      <w:r>
        <w:rPr>
          <w:rFonts w:ascii="Arial" w:hAnsi="Arial" w:cs="Arial"/>
          <w:b/>
          <w:noProof/>
          <w:color w:val="000000"/>
          <w:sz w:val="22"/>
          <w:szCs w:val="22"/>
          <w:lang w:val="sl-SI"/>
        </w:rPr>
        <w:t xml:space="preserve"> </w:t>
      </w:r>
      <w:r w:rsidRPr="008A1E90">
        <w:rPr>
          <w:rFonts w:ascii="Arial" w:hAnsi="Arial" w:cs="Arial"/>
          <w:noProof/>
          <w:color w:val="000000"/>
          <w:sz w:val="22"/>
          <w:szCs w:val="22"/>
          <w:lang w:val="sl-SI"/>
        </w:rPr>
        <w:t xml:space="preserve">i </w:t>
      </w:r>
      <w:r>
        <w:rPr>
          <w:rFonts w:ascii="Arial" w:hAnsi="Arial" w:cs="Arial"/>
          <w:noProof/>
          <w:color w:val="000000"/>
          <w:sz w:val="22"/>
          <w:szCs w:val="22"/>
          <w:lang w:val="sl-SI"/>
        </w:rPr>
        <w:t>efektima mjera koje su definisane  Akcionim planom za suzbijanje sive ekonomije za 2013. godine. Shodno navedenoj obavezi, ovo ministrstvo je sačinilo Informaciju o realizaciji</w:t>
      </w:r>
      <w:r>
        <w:rPr>
          <w:rFonts w:ascii="Arial" w:hAnsi="Arial" w:cs="Arial"/>
          <w:b/>
          <w:noProof/>
          <w:color w:val="000000"/>
          <w:sz w:val="22"/>
          <w:szCs w:val="22"/>
          <w:lang w:val="sl-SI"/>
        </w:rPr>
        <w:t xml:space="preserve"> </w:t>
      </w:r>
      <w:r w:rsidRPr="008A1E90">
        <w:rPr>
          <w:rFonts w:ascii="Arial" w:hAnsi="Arial" w:cs="Arial"/>
          <w:noProof/>
          <w:color w:val="000000"/>
          <w:sz w:val="22"/>
          <w:szCs w:val="22"/>
          <w:lang w:val="sl-SI"/>
        </w:rPr>
        <w:t>i</w:t>
      </w:r>
      <w:r>
        <w:rPr>
          <w:rFonts w:ascii="Arial" w:hAnsi="Arial" w:cs="Arial"/>
          <w:b/>
          <w:noProof/>
          <w:color w:val="000000"/>
          <w:sz w:val="22"/>
          <w:szCs w:val="22"/>
          <w:lang w:val="sl-SI"/>
        </w:rPr>
        <w:t xml:space="preserve"> </w:t>
      </w:r>
      <w:r>
        <w:rPr>
          <w:rFonts w:ascii="Arial" w:hAnsi="Arial" w:cs="Arial"/>
          <w:noProof/>
          <w:color w:val="000000"/>
          <w:sz w:val="22"/>
          <w:szCs w:val="22"/>
          <w:lang w:val="sl-SI"/>
        </w:rPr>
        <w:t>efektima mjera koje su definisane  Akcionim planom z</w:t>
      </w:r>
      <w:r w:rsidR="00CC051B">
        <w:rPr>
          <w:rFonts w:ascii="Arial" w:hAnsi="Arial" w:cs="Arial"/>
          <w:noProof/>
          <w:color w:val="000000"/>
          <w:sz w:val="22"/>
          <w:szCs w:val="22"/>
          <w:lang w:val="sl-SI"/>
        </w:rPr>
        <w:t xml:space="preserve">a suzbijanje sive ekonomije za </w:t>
      </w:r>
      <w:r>
        <w:rPr>
          <w:rFonts w:ascii="Arial" w:hAnsi="Arial" w:cs="Arial"/>
          <w:noProof/>
          <w:color w:val="000000"/>
          <w:sz w:val="22"/>
          <w:szCs w:val="22"/>
          <w:lang w:val="sl-SI"/>
        </w:rPr>
        <w:t>period april –</w:t>
      </w:r>
      <w:r w:rsidRPr="007520D7">
        <w:rPr>
          <w:rFonts w:ascii="Arial" w:hAnsi="Arial" w:cs="Arial"/>
          <w:noProof/>
          <w:color w:val="000000" w:themeColor="text1"/>
          <w:sz w:val="22"/>
          <w:szCs w:val="22"/>
          <w:lang w:val="sl-SI"/>
        </w:rPr>
        <w:t xml:space="preserve"> jul</w:t>
      </w:r>
      <w:r w:rsidRPr="00EA1ECB">
        <w:rPr>
          <w:rFonts w:ascii="Arial" w:hAnsi="Arial" w:cs="Arial"/>
          <w:noProof/>
          <w:color w:val="FF0000"/>
          <w:sz w:val="22"/>
          <w:szCs w:val="22"/>
          <w:lang w:val="sl-SI"/>
        </w:rPr>
        <w:t xml:space="preserve"> </w:t>
      </w:r>
      <w:r>
        <w:rPr>
          <w:rFonts w:ascii="Arial" w:hAnsi="Arial" w:cs="Arial"/>
          <w:noProof/>
          <w:color w:val="000000"/>
          <w:sz w:val="22"/>
          <w:szCs w:val="22"/>
          <w:lang w:val="sl-SI"/>
        </w:rPr>
        <w:t>tekuće godine</w:t>
      </w:r>
      <w:r>
        <w:rPr>
          <w:rFonts w:ascii="Arial" w:hAnsi="Arial" w:cs="Arial"/>
          <w:b/>
          <w:noProof/>
          <w:color w:val="000000"/>
          <w:sz w:val="22"/>
          <w:szCs w:val="22"/>
          <w:lang w:val="sl-SI"/>
        </w:rPr>
        <w:t>.</w:t>
      </w:r>
    </w:p>
    <w:p w:rsidR="00A144B4" w:rsidRDefault="00A144B4" w:rsidP="00A144B4">
      <w:pPr>
        <w:spacing w:after="0" w:line="240" w:lineRule="auto"/>
        <w:rPr>
          <w:rFonts w:ascii="Arial" w:hAnsi="Arial" w:cs="Arial"/>
          <w:noProof/>
          <w:color w:val="000000"/>
          <w:sz w:val="22"/>
          <w:szCs w:val="22"/>
          <w:lang w:val="sl-SI"/>
        </w:rPr>
      </w:pPr>
    </w:p>
    <w:p w:rsidR="00A144B4" w:rsidRPr="007520D7" w:rsidRDefault="00A144B4" w:rsidP="00A144B4">
      <w:pPr>
        <w:spacing w:after="0" w:line="240" w:lineRule="auto"/>
        <w:rPr>
          <w:rFonts w:ascii="Arial" w:hAnsi="Arial" w:cs="Arial"/>
          <w:sz w:val="22"/>
          <w:szCs w:val="22"/>
          <w:lang w:val="sr-Latn-CS"/>
        </w:rPr>
      </w:pPr>
      <w:r>
        <w:rPr>
          <w:rFonts w:ascii="Arial" w:hAnsi="Arial" w:cs="Arial"/>
          <w:noProof/>
          <w:color w:val="000000"/>
          <w:sz w:val="22"/>
          <w:szCs w:val="22"/>
          <w:lang w:val="sl-SI"/>
        </w:rPr>
        <w:t>Podsjećamo da je</w:t>
      </w:r>
      <w:r>
        <w:rPr>
          <w:rFonts w:ascii="Arial" w:hAnsi="Arial" w:cs="Arial"/>
          <w:b/>
          <w:noProof/>
          <w:color w:val="000000"/>
          <w:sz w:val="22"/>
          <w:szCs w:val="22"/>
          <w:lang w:val="sl-SI"/>
        </w:rPr>
        <w:t xml:space="preserve">, </w:t>
      </w:r>
      <w:r>
        <w:rPr>
          <w:rFonts w:ascii="Arial" w:hAnsi="Arial" w:cs="Arial"/>
          <w:color w:val="000000"/>
          <w:sz w:val="22"/>
          <w:szCs w:val="22"/>
          <w:lang w:val="sr-Latn-CS"/>
        </w:rPr>
        <w:t>Ministarstvo finansija u</w:t>
      </w:r>
      <w:r>
        <w:rPr>
          <w:rFonts w:ascii="Arial" w:hAnsi="Arial" w:cs="Arial"/>
          <w:noProof/>
          <w:color w:val="000000"/>
          <w:sz w:val="22"/>
          <w:szCs w:val="22"/>
          <w:lang w:val="sl-SI"/>
        </w:rPr>
        <w:t>tvrdilo</w:t>
      </w:r>
      <w:r>
        <w:rPr>
          <w:rFonts w:ascii="Arial" w:hAnsi="Arial" w:cs="Arial"/>
          <w:color w:val="000000"/>
          <w:sz w:val="22"/>
          <w:szCs w:val="22"/>
          <w:lang w:val="sr-Latn-CS"/>
        </w:rPr>
        <w:t xml:space="preserve"> prijedlog mjera za suzbijanje sive ekonomije za 2013. godinu, uključujući i mjere neophodne za jačanje institucionalnih i kadrovskih kapaciteta organa državne uprave nadležnih za kontrolu i naplatu prihoda. S tim u vezi, formirana je Radna grupa za izradu seta prijedloga mjera za suzbijanje sive ekonomije za 2013. godinu, u čijem sastavu su imenovani predstavnici nadležnih državnih organa, socijalnih partnera, privrede, Skupštine Crne Gore i Vrhovnog državnog tužilaštva. Predlozi mjera za suzbijanje sive ekonomije ikorporirani su u Akcioni plan za suzbijanje sive ekonomije za 2013. godinu i za svaku aktivnost određene su nadležne institucije koji su nosioci mjere i institucije koje u</w:t>
      </w:r>
      <w:r>
        <w:rPr>
          <w:rFonts w:ascii="Arial" w:hAnsi="Arial" w:cs="Arial"/>
          <w:color w:val="000000"/>
          <w:sz w:val="22"/>
          <w:szCs w:val="22"/>
        </w:rPr>
        <w:t>č</w:t>
      </w:r>
      <w:r>
        <w:rPr>
          <w:rFonts w:ascii="Arial" w:hAnsi="Arial" w:cs="Arial"/>
          <w:color w:val="000000"/>
          <w:sz w:val="22"/>
          <w:szCs w:val="22"/>
          <w:lang w:val="sr-Latn-CS"/>
        </w:rPr>
        <w:t xml:space="preserve">estvuju u realizaciji istih, rokovi za realizaciju aktivnosti, kao i efekti odnosno ciljevi svake pojedinačne aktivnosti. </w:t>
      </w:r>
      <w:r w:rsidRPr="00650403">
        <w:rPr>
          <w:rFonts w:ascii="Arial" w:hAnsi="Arial" w:cs="Arial"/>
          <w:sz w:val="22"/>
          <w:szCs w:val="22"/>
        </w:rPr>
        <w:t>Akcioni plan za suzbijanje sive ekonomije za 2013. godinu Vlada Crne Gore usvojila je na sjednici</w:t>
      </w:r>
      <w:r w:rsidRPr="00650403">
        <w:rPr>
          <w:rFonts w:ascii="Arial" w:hAnsi="Arial" w:cs="Arial"/>
          <w:sz w:val="22"/>
          <w:szCs w:val="22"/>
          <w:lang w:val="sr-Latn-CS"/>
        </w:rPr>
        <w:t xml:space="preserve"> od 21. marta 2013. godine.</w:t>
      </w:r>
      <w:r w:rsidRPr="00650403">
        <w:rPr>
          <w:rFonts w:ascii="Arial" w:hAnsi="Arial" w:cs="Arial"/>
          <w:sz w:val="22"/>
          <w:szCs w:val="22"/>
        </w:rPr>
        <w:t xml:space="preserve"> </w:t>
      </w:r>
    </w:p>
    <w:p w:rsidR="00A144B4" w:rsidRDefault="00A144B4" w:rsidP="00A144B4">
      <w:pPr>
        <w:spacing w:after="0" w:line="240" w:lineRule="auto"/>
        <w:rPr>
          <w:rFonts w:ascii="Arial" w:hAnsi="Arial" w:cs="Arial"/>
          <w:color w:val="000000"/>
          <w:sz w:val="22"/>
          <w:szCs w:val="22"/>
          <w:lang w:val="sr-Latn-CS"/>
        </w:rPr>
      </w:pPr>
    </w:p>
    <w:p w:rsidR="00A144B4" w:rsidRDefault="00A144B4" w:rsidP="00A144B4">
      <w:pPr>
        <w:spacing w:after="0" w:line="240" w:lineRule="auto"/>
        <w:rPr>
          <w:rFonts w:ascii="Arial" w:hAnsi="Arial" w:cs="Arial"/>
          <w:color w:val="000000"/>
          <w:sz w:val="22"/>
          <w:szCs w:val="22"/>
          <w:lang w:val="sr-Latn-CS"/>
        </w:rPr>
      </w:pPr>
      <w:r>
        <w:rPr>
          <w:rFonts w:ascii="Arial" w:hAnsi="Arial" w:cs="Arial"/>
          <w:color w:val="000000"/>
          <w:sz w:val="22"/>
          <w:szCs w:val="22"/>
          <w:lang w:val="sr-Latn-CS"/>
        </w:rPr>
        <w:t>U cilju realizacije mjera iz Akcionog plana, Radna grupa je u periodu april-jul tekuće godine, u kontinuitetu pratila dinamiku i efekte sprovođenja svih definisanih aktivnosti u borbi protiv sive ekonomije, sa posebnim osvrtom na suzbijanje sive ekonomije u oblasti tržišta rada i prometa proizvoda i usluga – evidentiranja gotovinskog prometa, kao i eliminisanja prostora za izbjegavanje plaćanja poreskih obaveza. Radi unapređenja sistema evidentiranja prometa preko fiskalnih registar kasa, posebno u dijelu revidiranja zakonskog okvira kojim je definisan postupak instaliranja, fiskalizacije i servisiranja registar kasa, kao i kontrole evidentiranja prometa, Radna grupa je dopunjena sa još jednim članom iz privrednog sektora i to g-dinom Đorđijem Markovićem, vlasnikom firme „Sekas“.</w:t>
      </w:r>
    </w:p>
    <w:p w:rsidR="00A144B4" w:rsidRDefault="00A144B4" w:rsidP="00A144B4">
      <w:pPr>
        <w:spacing w:after="0" w:line="240" w:lineRule="auto"/>
        <w:rPr>
          <w:rFonts w:ascii="Arial" w:hAnsi="Arial" w:cs="Arial"/>
          <w:color w:val="000000"/>
          <w:sz w:val="22"/>
          <w:szCs w:val="22"/>
          <w:lang w:val="sr-Latn-CS"/>
        </w:rPr>
      </w:pPr>
    </w:p>
    <w:p w:rsidR="00A144B4" w:rsidRDefault="00A144B4" w:rsidP="00A144B4">
      <w:pPr>
        <w:spacing w:after="0" w:line="240" w:lineRule="auto"/>
        <w:rPr>
          <w:rFonts w:ascii="Arial" w:hAnsi="Arial" w:cs="Arial"/>
          <w:color w:val="000000"/>
          <w:sz w:val="22"/>
          <w:szCs w:val="22"/>
        </w:rPr>
      </w:pPr>
      <w:r>
        <w:rPr>
          <w:rFonts w:ascii="Arial" w:hAnsi="Arial" w:cs="Arial"/>
          <w:color w:val="000000"/>
          <w:sz w:val="22"/>
          <w:szCs w:val="22"/>
        </w:rPr>
        <w:t xml:space="preserve">U izvještajnom periodu održana su dva sastanka Radne grupe na kojima je, nakon upoznavanja sa preduzetim aktivnosti i mjerama na suzbijanju sive ekonomije od strane koordinatora inspekcijskih službi, konstatovano da se sve mjere definisane Akcionim planom realizuju prema utvđenoj dinamici, uz naglasak na uspješan rad inspekcijskih službi čijom saradnjom je ostvareno značajno poboljšalje naplate javnih prihoda koji su za prvih 6 mjeseci tekuće godine veći za oko 40 miliona eura, u odnosu na isti period prošle godine. Konstatovano je da je pojačan inspekcijski nadzor doprinio povećanju stepena poreke discipline, a što je direktno uticalo na smanjenje nelegalnog poslovanja i povećanje javnih prihoda. Posebna pažnja je posvećena unapređenju transparetnosti u borbi protiv sive ekonomije na način što je, pored redovnog informisanja javnosti o realizaciji mjera za suzbijanje sive ekonomije  u okviru projekta “Siva zona na sva zvona”, inicirano i veće uključivanje građana u suzbijanju sive ekonomije implementacijom objedinjenog projekta </w:t>
      </w:r>
      <w:r>
        <w:rPr>
          <w:rFonts w:ascii="Arial" w:hAnsi="Arial" w:cs="Arial"/>
          <w:bCs/>
          <w:color w:val="000000"/>
          <w:sz w:val="22"/>
          <w:szCs w:val="22"/>
        </w:rPr>
        <w:t>u organizaciji Vladinog biroa za odnose sa javnošću i Elektrotehničkog fakulteta.</w:t>
      </w:r>
      <w:r>
        <w:rPr>
          <w:rFonts w:ascii="Arial" w:hAnsi="Arial" w:cs="Arial"/>
          <w:color w:val="000000"/>
          <w:sz w:val="22"/>
          <w:szCs w:val="22"/>
        </w:rPr>
        <w:t xml:space="preserve"> P</w:t>
      </w:r>
      <w:r>
        <w:rPr>
          <w:rFonts w:ascii="Arial" w:hAnsi="Arial" w:cs="Arial"/>
          <w:bCs/>
          <w:color w:val="000000"/>
          <w:sz w:val="22"/>
          <w:szCs w:val="22"/>
        </w:rPr>
        <w:t xml:space="preserve">oseban akcenat stavljen je na revidiranje važeće zakonske regulative, koja ostavlja prostor za neregularno poslovanje, u kom pravcu su na osnovu analize date sugestije za izmjene pojedinih zakonskih rješenja ( Zakon o porezu na dohodak fizičkih lica, Zakon o inspekcijskom nadzoru, Zakon o doprinosima za obavezno socijalno osiguranje, Zakon o objedinjenoj registraciji i sistemu izvještavanja obračuna i naplate poreza i doprinosa i dr). </w:t>
      </w:r>
    </w:p>
    <w:p w:rsidR="00A144B4" w:rsidRDefault="00A144B4" w:rsidP="00A144B4">
      <w:pPr>
        <w:spacing w:after="0" w:line="240" w:lineRule="auto"/>
        <w:rPr>
          <w:rFonts w:ascii="Arial" w:hAnsi="Arial" w:cs="Arial"/>
          <w:color w:val="000000"/>
          <w:sz w:val="22"/>
          <w:szCs w:val="22"/>
          <w:lang w:val="sr-Latn-CS"/>
        </w:rPr>
      </w:pPr>
    </w:p>
    <w:p w:rsidR="00A144B4" w:rsidRDefault="00A144B4" w:rsidP="00A144B4">
      <w:pPr>
        <w:spacing w:after="0" w:line="240" w:lineRule="auto"/>
        <w:rPr>
          <w:rFonts w:ascii="Arial" w:hAnsi="Arial" w:cs="Arial"/>
          <w:color w:val="000000"/>
          <w:sz w:val="22"/>
          <w:szCs w:val="22"/>
          <w:lang w:val="sr-Latn-CS"/>
        </w:rPr>
      </w:pPr>
    </w:p>
    <w:p w:rsidR="00A144B4" w:rsidRDefault="00A144B4" w:rsidP="00A144B4">
      <w:pPr>
        <w:spacing w:after="0" w:line="240" w:lineRule="auto"/>
        <w:rPr>
          <w:rFonts w:ascii="Arial" w:hAnsi="Arial" w:cs="Arial"/>
          <w:color w:val="000000"/>
          <w:sz w:val="22"/>
          <w:szCs w:val="22"/>
          <w:lang w:val="sr-Latn-CS"/>
        </w:rPr>
      </w:pPr>
      <w:r>
        <w:rPr>
          <w:rFonts w:ascii="Arial" w:hAnsi="Arial" w:cs="Arial"/>
          <w:color w:val="000000"/>
          <w:sz w:val="22"/>
          <w:szCs w:val="22"/>
          <w:lang w:val="sr-Latn-CS"/>
        </w:rPr>
        <w:lastRenderedPageBreak/>
        <w:t xml:space="preserve">Na četvrtom sastanku Radne grupe za izradu Seta prijedloga mjera za suzbijanje sive ekonomije za 2013. godinu, koji je održan </w:t>
      </w:r>
      <w:r>
        <w:rPr>
          <w:rFonts w:ascii="Arial" w:hAnsi="Arial" w:cs="Arial"/>
          <w:color w:val="000000"/>
          <w:sz w:val="22"/>
          <w:szCs w:val="22"/>
        </w:rPr>
        <w:t xml:space="preserve">je 30. maja 2013, </w:t>
      </w:r>
      <w:r>
        <w:rPr>
          <w:rFonts w:ascii="Arial" w:hAnsi="Arial" w:cs="Arial"/>
          <w:color w:val="000000"/>
          <w:sz w:val="22"/>
          <w:szCs w:val="22"/>
          <w:lang w:val="sr-Latn-CS"/>
        </w:rPr>
        <w:t>donijeti su sljedeći Zaključci:</w:t>
      </w:r>
    </w:p>
    <w:p w:rsidR="00A144B4" w:rsidRDefault="00A144B4" w:rsidP="00A144B4">
      <w:pPr>
        <w:spacing w:after="0" w:line="240" w:lineRule="auto"/>
        <w:rPr>
          <w:rFonts w:ascii="Arial" w:hAnsi="Arial" w:cs="Arial"/>
          <w:color w:val="000000"/>
          <w:sz w:val="22"/>
          <w:szCs w:val="22"/>
          <w:lang w:val="sr-Latn-CS"/>
        </w:rPr>
      </w:pPr>
    </w:p>
    <w:p w:rsidR="00A144B4" w:rsidRDefault="00A144B4" w:rsidP="00A144B4">
      <w:pPr>
        <w:pStyle w:val="listparagraph0"/>
        <w:ind w:hanging="360"/>
        <w:contextualSpacing/>
        <w:jc w:val="both"/>
        <w:rPr>
          <w:rFonts w:ascii="Arial" w:hAnsi="Arial" w:cs="Arial"/>
          <w:bCs/>
          <w:color w:val="000000"/>
          <w:sz w:val="22"/>
          <w:szCs w:val="22"/>
        </w:rPr>
      </w:pPr>
      <w:r>
        <w:rPr>
          <w:rFonts w:ascii="Arial" w:eastAsia="Arial" w:hAnsi="Arial" w:cs="Arial"/>
          <w:bCs/>
          <w:color w:val="000000"/>
          <w:sz w:val="22"/>
          <w:szCs w:val="22"/>
        </w:rPr>
        <w:t>1.</w:t>
      </w:r>
      <w:r>
        <w:rPr>
          <w:rFonts w:eastAsia="Arial"/>
          <w:bCs/>
          <w:color w:val="000000"/>
          <w:sz w:val="14"/>
          <w:szCs w:val="14"/>
        </w:rPr>
        <w:t xml:space="preserve">      </w:t>
      </w:r>
      <w:r>
        <w:rPr>
          <w:rFonts w:ascii="Arial" w:hAnsi="Arial" w:cs="Arial"/>
          <w:bCs/>
          <w:color w:val="000000"/>
          <w:sz w:val="22"/>
          <w:szCs w:val="22"/>
        </w:rPr>
        <w:t>Da se</w:t>
      </w:r>
      <w:r>
        <w:rPr>
          <w:rFonts w:ascii="Arial" w:hAnsi="Arial" w:cs="Arial"/>
          <w:bCs/>
          <w:i/>
          <w:color w:val="000000"/>
          <w:sz w:val="22"/>
          <w:szCs w:val="22"/>
        </w:rPr>
        <w:t xml:space="preserve"> </w:t>
      </w:r>
      <w:r>
        <w:rPr>
          <w:rFonts w:ascii="Arial" w:hAnsi="Arial" w:cs="Arial"/>
          <w:b/>
          <w:bCs/>
          <w:i/>
          <w:color w:val="000000"/>
          <w:sz w:val="22"/>
          <w:szCs w:val="22"/>
        </w:rPr>
        <w:t>Radna grupa za izradu Seta prijedloga mjera za suzbijanje sive ekonomije dopuni</w:t>
      </w:r>
      <w:r>
        <w:rPr>
          <w:rFonts w:ascii="Arial" w:hAnsi="Arial" w:cs="Arial"/>
          <w:bCs/>
          <w:i/>
          <w:color w:val="000000"/>
          <w:sz w:val="22"/>
          <w:szCs w:val="22"/>
        </w:rPr>
        <w:t xml:space="preserve"> </w:t>
      </w:r>
      <w:r>
        <w:rPr>
          <w:rFonts w:ascii="Arial" w:hAnsi="Arial" w:cs="Arial"/>
          <w:bCs/>
          <w:color w:val="000000"/>
          <w:sz w:val="22"/>
          <w:szCs w:val="22"/>
        </w:rPr>
        <w:t>sa sledećim članom, g-dinom Đorđijem Marković, vlasnikom firme “Sekas”;</w:t>
      </w:r>
    </w:p>
    <w:p w:rsidR="00A144B4" w:rsidRDefault="00A144B4" w:rsidP="00A144B4">
      <w:pPr>
        <w:pStyle w:val="listparagraph0"/>
        <w:ind w:hanging="360"/>
        <w:contextualSpacing/>
        <w:jc w:val="both"/>
        <w:rPr>
          <w:rFonts w:ascii="Arial" w:hAnsi="Arial" w:cs="Arial"/>
          <w:bCs/>
          <w:color w:val="000000"/>
          <w:sz w:val="22"/>
          <w:szCs w:val="22"/>
        </w:rPr>
      </w:pPr>
      <w:r>
        <w:rPr>
          <w:rFonts w:ascii="Arial" w:eastAsia="Arial" w:hAnsi="Arial" w:cs="Arial"/>
          <w:bCs/>
          <w:color w:val="000000"/>
          <w:sz w:val="22"/>
          <w:szCs w:val="22"/>
        </w:rPr>
        <w:t>2.</w:t>
      </w:r>
      <w:r>
        <w:rPr>
          <w:rFonts w:eastAsia="Arial"/>
          <w:bCs/>
          <w:color w:val="000000"/>
          <w:sz w:val="14"/>
          <w:szCs w:val="14"/>
        </w:rPr>
        <w:t xml:space="preserve">      </w:t>
      </w:r>
      <w:r>
        <w:rPr>
          <w:rFonts w:ascii="Arial" w:hAnsi="Arial" w:cs="Arial"/>
          <w:bCs/>
          <w:color w:val="000000"/>
          <w:sz w:val="22"/>
          <w:szCs w:val="22"/>
        </w:rPr>
        <w:t>Da se formira</w:t>
      </w:r>
      <w:r>
        <w:rPr>
          <w:rFonts w:ascii="Arial" w:hAnsi="Arial" w:cs="Arial"/>
          <w:bCs/>
          <w:i/>
          <w:color w:val="000000"/>
          <w:sz w:val="22"/>
          <w:szCs w:val="22"/>
        </w:rPr>
        <w:t xml:space="preserve"> </w:t>
      </w:r>
      <w:r>
        <w:rPr>
          <w:rFonts w:ascii="Arial" w:hAnsi="Arial" w:cs="Arial"/>
          <w:b/>
          <w:bCs/>
          <w:i/>
          <w:color w:val="000000"/>
          <w:sz w:val="22"/>
          <w:szCs w:val="22"/>
        </w:rPr>
        <w:t>Radni tim koji će pripremiti podzakonski akt kojim će regulisati pitanja evidentiranja i plombiranja fiskalnih kasa i štampača,</w:t>
      </w:r>
      <w:r>
        <w:rPr>
          <w:rFonts w:ascii="Arial" w:hAnsi="Arial" w:cs="Arial"/>
          <w:bCs/>
          <w:i/>
          <w:color w:val="000000"/>
          <w:sz w:val="22"/>
          <w:szCs w:val="22"/>
        </w:rPr>
        <w:t xml:space="preserve"> </w:t>
      </w:r>
      <w:r>
        <w:rPr>
          <w:rFonts w:ascii="Arial" w:hAnsi="Arial" w:cs="Arial"/>
          <w:bCs/>
          <w:color w:val="000000"/>
          <w:sz w:val="22"/>
          <w:szCs w:val="22"/>
        </w:rPr>
        <w:t xml:space="preserve">a koji čine predstavnici Ministarstva finansija, Poreske uprave, savjetnik Potpredsjednika Vlade za ekonomsku politiku i finansijski sistem g-din Goran Jovetić  u saradanji sa spoljnim saradnikom, g-dinom Đorđijem Markovićem; </w:t>
      </w:r>
    </w:p>
    <w:p w:rsidR="00A144B4" w:rsidRDefault="00A144B4" w:rsidP="00A144B4">
      <w:pPr>
        <w:pStyle w:val="listparagraph0"/>
        <w:ind w:hanging="360"/>
        <w:contextualSpacing/>
        <w:jc w:val="both"/>
        <w:rPr>
          <w:rFonts w:ascii="Arial" w:hAnsi="Arial" w:cs="Arial"/>
          <w:bCs/>
          <w:color w:val="000000"/>
          <w:sz w:val="22"/>
          <w:szCs w:val="22"/>
        </w:rPr>
      </w:pPr>
      <w:r>
        <w:rPr>
          <w:rFonts w:ascii="Arial" w:eastAsia="Arial" w:hAnsi="Arial" w:cs="Arial"/>
          <w:bCs/>
          <w:color w:val="000000"/>
          <w:sz w:val="22"/>
          <w:szCs w:val="22"/>
        </w:rPr>
        <w:t>3.</w:t>
      </w:r>
      <w:r>
        <w:rPr>
          <w:rFonts w:eastAsia="Arial"/>
          <w:bCs/>
          <w:color w:val="000000"/>
          <w:sz w:val="14"/>
          <w:szCs w:val="14"/>
        </w:rPr>
        <w:t xml:space="preserve">      </w:t>
      </w:r>
      <w:r>
        <w:rPr>
          <w:rFonts w:ascii="Arial" w:hAnsi="Arial" w:cs="Arial"/>
          <w:bCs/>
          <w:color w:val="000000"/>
          <w:sz w:val="22"/>
          <w:szCs w:val="22"/>
        </w:rPr>
        <w:t>Da se formira</w:t>
      </w:r>
      <w:r>
        <w:rPr>
          <w:rFonts w:ascii="Arial" w:hAnsi="Arial" w:cs="Arial"/>
          <w:bCs/>
          <w:i/>
          <w:color w:val="000000"/>
          <w:sz w:val="22"/>
          <w:szCs w:val="22"/>
        </w:rPr>
        <w:t xml:space="preserve"> </w:t>
      </w:r>
      <w:r>
        <w:rPr>
          <w:rFonts w:ascii="Arial" w:hAnsi="Arial" w:cs="Arial"/>
          <w:b/>
          <w:bCs/>
          <w:i/>
          <w:color w:val="000000"/>
          <w:sz w:val="22"/>
          <w:szCs w:val="22"/>
        </w:rPr>
        <w:t xml:space="preserve">Radni tim koji će analizirati projekte ETF I vladinog Biroa za odnose sa javnošću </w:t>
      </w:r>
      <w:r>
        <w:rPr>
          <w:rFonts w:ascii="Arial" w:hAnsi="Arial" w:cs="Arial"/>
          <w:bCs/>
          <w:color w:val="000000"/>
          <w:sz w:val="22"/>
          <w:szCs w:val="22"/>
        </w:rPr>
        <w:t>u čijem sastavu će biti predstavnici Ministarstva finansija, Ministarstva za informaciono društvo i telekomunikacije, Poreske uprave, Vladinog biroa za odnose sa javnošću i Elektrotehničkog fakulteta, i da isti na narednom sastanku Radne grupe predloži set mjera u vezi sa prihvatanjem navedenih projekata</w:t>
      </w:r>
      <w:r>
        <w:rPr>
          <w:rFonts w:ascii="Arial" w:hAnsi="Arial" w:cs="Arial"/>
          <w:bCs/>
          <w:i/>
          <w:color w:val="000000"/>
          <w:sz w:val="22"/>
          <w:szCs w:val="22"/>
        </w:rPr>
        <w:t>;</w:t>
      </w:r>
    </w:p>
    <w:p w:rsidR="00A144B4" w:rsidRDefault="00A144B4" w:rsidP="00A144B4">
      <w:pPr>
        <w:pStyle w:val="listparagraph0"/>
        <w:ind w:hanging="360"/>
        <w:contextualSpacing/>
        <w:jc w:val="both"/>
        <w:rPr>
          <w:rFonts w:ascii="Arial" w:hAnsi="Arial" w:cs="Arial"/>
          <w:bCs/>
          <w:color w:val="000000"/>
          <w:sz w:val="22"/>
          <w:szCs w:val="22"/>
        </w:rPr>
      </w:pPr>
      <w:r>
        <w:rPr>
          <w:rFonts w:ascii="Arial" w:eastAsia="Arial" w:hAnsi="Arial" w:cs="Arial"/>
          <w:bCs/>
          <w:color w:val="000000"/>
          <w:sz w:val="22"/>
          <w:szCs w:val="22"/>
        </w:rPr>
        <w:t>4.</w:t>
      </w:r>
      <w:r>
        <w:rPr>
          <w:rFonts w:eastAsia="Arial"/>
          <w:bCs/>
          <w:color w:val="000000"/>
          <w:sz w:val="14"/>
          <w:szCs w:val="14"/>
        </w:rPr>
        <w:t xml:space="preserve">      </w:t>
      </w:r>
      <w:r>
        <w:rPr>
          <w:rFonts w:ascii="Arial" w:hAnsi="Arial" w:cs="Arial"/>
          <w:bCs/>
          <w:color w:val="000000"/>
          <w:sz w:val="22"/>
          <w:szCs w:val="22"/>
        </w:rPr>
        <w:t>Da se u što kraćem roku organizuje</w:t>
      </w:r>
      <w:r>
        <w:rPr>
          <w:rFonts w:ascii="Arial" w:hAnsi="Arial" w:cs="Arial"/>
          <w:bCs/>
          <w:i/>
          <w:color w:val="000000"/>
          <w:sz w:val="22"/>
          <w:szCs w:val="22"/>
        </w:rPr>
        <w:t xml:space="preserve"> </w:t>
      </w:r>
      <w:r>
        <w:rPr>
          <w:rFonts w:ascii="Arial" w:hAnsi="Arial" w:cs="Arial"/>
          <w:b/>
          <w:bCs/>
          <w:i/>
          <w:color w:val="000000"/>
          <w:sz w:val="22"/>
          <w:szCs w:val="22"/>
        </w:rPr>
        <w:t>edukacija poreskih inspektora</w:t>
      </w:r>
      <w:r>
        <w:rPr>
          <w:rFonts w:ascii="Arial" w:hAnsi="Arial" w:cs="Arial"/>
          <w:bCs/>
          <w:i/>
          <w:color w:val="000000"/>
          <w:sz w:val="22"/>
          <w:szCs w:val="22"/>
        </w:rPr>
        <w:t xml:space="preserve"> </w:t>
      </w:r>
      <w:r>
        <w:rPr>
          <w:rFonts w:ascii="Arial" w:hAnsi="Arial" w:cs="Arial"/>
          <w:bCs/>
          <w:color w:val="000000"/>
          <w:sz w:val="22"/>
          <w:szCs w:val="22"/>
        </w:rPr>
        <w:t>u cilju kvaliletnijeg sprovođenja kontrola fiskalnih kasa i štampača;</w:t>
      </w:r>
    </w:p>
    <w:p w:rsidR="00A144B4" w:rsidRDefault="00A144B4" w:rsidP="00A144B4">
      <w:pPr>
        <w:pStyle w:val="listparagraph0"/>
        <w:ind w:hanging="360"/>
        <w:contextualSpacing/>
        <w:jc w:val="both"/>
        <w:rPr>
          <w:rFonts w:ascii="Arial" w:hAnsi="Arial" w:cs="Arial"/>
          <w:bCs/>
          <w:color w:val="000000"/>
          <w:sz w:val="22"/>
          <w:szCs w:val="22"/>
        </w:rPr>
      </w:pPr>
      <w:r>
        <w:rPr>
          <w:rFonts w:ascii="Arial" w:eastAsia="Arial" w:hAnsi="Arial" w:cs="Arial"/>
          <w:bCs/>
          <w:color w:val="000000"/>
          <w:sz w:val="22"/>
          <w:szCs w:val="22"/>
        </w:rPr>
        <w:t>5.</w:t>
      </w:r>
      <w:r>
        <w:rPr>
          <w:rFonts w:eastAsia="Arial"/>
          <w:bCs/>
          <w:color w:val="000000"/>
          <w:sz w:val="14"/>
          <w:szCs w:val="14"/>
        </w:rPr>
        <w:t xml:space="preserve">      </w:t>
      </w:r>
      <w:r>
        <w:rPr>
          <w:rFonts w:ascii="Arial" w:hAnsi="Arial" w:cs="Arial"/>
          <w:bCs/>
          <w:color w:val="000000"/>
          <w:sz w:val="22"/>
          <w:szCs w:val="22"/>
        </w:rPr>
        <w:t>Da se</w:t>
      </w:r>
      <w:r>
        <w:rPr>
          <w:rFonts w:ascii="Arial" w:hAnsi="Arial" w:cs="Arial"/>
          <w:bCs/>
          <w:i/>
          <w:color w:val="000000"/>
          <w:sz w:val="22"/>
          <w:szCs w:val="22"/>
        </w:rPr>
        <w:t xml:space="preserve"> </w:t>
      </w:r>
      <w:r>
        <w:rPr>
          <w:rFonts w:ascii="Arial" w:hAnsi="Arial" w:cs="Arial"/>
          <w:b/>
          <w:bCs/>
          <w:i/>
          <w:color w:val="000000"/>
          <w:sz w:val="22"/>
          <w:szCs w:val="22"/>
        </w:rPr>
        <w:t>sugestije Unije poslodavaca koje se odnose na Izmjene i dopune Zakona o sprječavanju nelegalnog poslovanja</w:t>
      </w:r>
      <w:r>
        <w:rPr>
          <w:rFonts w:ascii="Arial" w:hAnsi="Arial" w:cs="Arial"/>
          <w:b/>
          <w:bCs/>
          <w:i/>
          <w:color w:val="000000"/>
          <w:sz w:val="22"/>
          <w:szCs w:val="22"/>
          <w:lang w:val="sr-Latn-CS"/>
        </w:rPr>
        <w:t xml:space="preserve"> </w:t>
      </w:r>
      <w:r>
        <w:rPr>
          <w:rFonts w:ascii="Arial" w:hAnsi="Arial" w:cs="Arial"/>
          <w:bCs/>
          <w:color w:val="000000"/>
          <w:sz w:val="22"/>
          <w:szCs w:val="22"/>
          <w:lang w:val="sr-Latn-CS"/>
        </w:rPr>
        <w:t>razmatraju na Odboru za ekonomiju, finansije i budžet;</w:t>
      </w:r>
    </w:p>
    <w:p w:rsidR="00A144B4" w:rsidRDefault="00A144B4" w:rsidP="00A144B4">
      <w:pPr>
        <w:pStyle w:val="listparagraph0"/>
        <w:ind w:hanging="360"/>
        <w:contextualSpacing/>
        <w:jc w:val="both"/>
        <w:rPr>
          <w:rFonts w:ascii="Arial" w:hAnsi="Arial" w:cs="Arial"/>
          <w:bCs/>
          <w:color w:val="000000"/>
          <w:sz w:val="22"/>
          <w:szCs w:val="22"/>
        </w:rPr>
      </w:pPr>
      <w:r>
        <w:rPr>
          <w:rFonts w:ascii="Arial" w:eastAsia="Arial" w:hAnsi="Arial" w:cs="Arial"/>
          <w:bCs/>
          <w:color w:val="000000"/>
          <w:sz w:val="22"/>
          <w:szCs w:val="22"/>
        </w:rPr>
        <w:t>6.</w:t>
      </w:r>
      <w:r>
        <w:rPr>
          <w:rFonts w:eastAsia="Arial"/>
          <w:bCs/>
          <w:color w:val="000000"/>
          <w:sz w:val="14"/>
          <w:szCs w:val="14"/>
        </w:rPr>
        <w:t xml:space="preserve">      </w:t>
      </w:r>
      <w:r>
        <w:rPr>
          <w:rFonts w:ascii="Arial" w:hAnsi="Arial" w:cs="Arial"/>
          <w:bCs/>
          <w:color w:val="000000"/>
          <w:sz w:val="22"/>
          <w:szCs w:val="22"/>
        </w:rPr>
        <w:t>Da je</w:t>
      </w:r>
      <w:r>
        <w:rPr>
          <w:rFonts w:ascii="Arial" w:hAnsi="Arial" w:cs="Arial"/>
          <w:b/>
          <w:bCs/>
          <w:i/>
          <w:color w:val="000000"/>
          <w:sz w:val="22"/>
          <w:szCs w:val="22"/>
        </w:rPr>
        <w:t xml:space="preserve"> rast prihoda u Budžetu za oko 40 miliona eura rezultat rada</w:t>
      </w:r>
      <w:r>
        <w:rPr>
          <w:rFonts w:ascii="Arial" w:hAnsi="Arial" w:cs="Arial"/>
          <w:bCs/>
          <w:i/>
          <w:color w:val="000000"/>
          <w:sz w:val="22"/>
          <w:szCs w:val="22"/>
        </w:rPr>
        <w:t xml:space="preserve"> </w:t>
      </w:r>
      <w:r>
        <w:rPr>
          <w:rFonts w:ascii="Arial" w:hAnsi="Arial" w:cs="Arial"/>
          <w:bCs/>
          <w:color w:val="000000"/>
          <w:sz w:val="22"/>
          <w:szCs w:val="22"/>
        </w:rPr>
        <w:t>Radne grupe, pojačanih kontrola svih inspekcijske službe, kao i bolje koordinacije i saradnje između istih;</w:t>
      </w:r>
    </w:p>
    <w:p w:rsidR="00A144B4" w:rsidRDefault="00A144B4" w:rsidP="00A144B4">
      <w:pPr>
        <w:pStyle w:val="listparagraph0"/>
        <w:ind w:hanging="360"/>
        <w:contextualSpacing/>
        <w:jc w:val="both"/>
        <w:rPr>
          <w:rFonts w:ascii="Arial" w:hAnsi="Arial" w:cs="Arial"/>
          <w:bCs/>
          <w:color w:val="000000"/>
          <w:sz w:val="22"/>
          <w:szCs w:val="22"/>
        </w:rPr>
      </w:pPr>
      <w:r>
        <w:rPr>
          <w:rFonts w:ascii="Arial" w:eastAsia="Arial" w:hAnsi="Arial" w:cs="Arial"/>
          <w:bCs/>
          <w:color w:val="000000"/>
          <w:sz w:val="22"/>
          <w:szCs w:val="22"/>
        </w:rPr>
        <w:t>7.</w:t>
      </w:r>
      <w:r>
        <w:rPr>
          <w:rFonts w:eastAsia="Arial"/>
          <w:bCs/>
          <w:color w:val="000000"/>
          <w:sz w:val="14"/>
          <w:szCs w:val="14"/>
        </w:rPr>
        <w:t xml:space="preserve">      </w:t>
      </w:r>
      <w:r>
        <w:rPr>
          <w:rFonts w:ascii="Arial" w:hAnsi="Arial" w:cs="Arial"/>
          <w:bCs/>
          <w:color w:val="000000"/>
          <w:sz w:val="22"/>
          <w:szCs w:val="22"/>
        </w:rPr>
        <w:t>Da se</w:t>
      </w:r>
      <w:r>
        <w:rPr>
          <w:rFonts w:ascii="Arial" w:hAnsi="Arial" w:cs="Arial"/>
          <w:b/>
          <w:bCs/>
          <w:i/>
          <w:color w:val="000000"/>
          <w:sz w:val="22"/>
          <w:szCs w:val="22"/>
        </w:rPr>
        <w:t xml:space="preserve"> sledeći sastanak Radne grupe </w:t>
      </w:r>
      <w:r>
        <w:rPr>
          <w:rFonts w:ascii="Arial" w:hAnsi="Arial" w:cs="Arial"/>
          <w:bCs/>
          <w:color w:val="000000"/>
          <w:sz w:val="22"/>
          <w:szCs w:val="22"/>
        </w:rPr>
        <w:t>organizuje u toku turističke sezone</w:t>
      </w:r>
      <w:r>
        <w:rPr>
          <w:rFonts w:ascii="Arial" w:hAnsi="Arial" w:cs="Arial"/>
          <w:b/>
          <w:bCs/>
          <w:color w:val="000000"/>
          <w:sz w:val="22"/>
          <w:szCs w:val="22"/>
        </w:rPr>
        <w:t xml:space="preserve"> </w:t>
      </w:r>
      <w:r>
        <w:rPr>
          <w:rFonts w:ascii="Arial" w:hAnsi="Arial" w:cs="Arial"/>
          <w:bCs/>
          <w:color w:val="000000"/>
          <w:sz w:val="22"/>
          <w:szCs w:val="22"/>
        </w:rPr>
        <w:t>i da koordinatori svih inspekcijskih službi pripreme</w:t>
      </w:r>
      <w:r>
        <w:rPr>
          <w:rFonts w:ascii="Arial" w:hAnsi="Arial" w:cs="Arial"/>
          <w:b/>
          <w:bCs/>
          <w:color w:val="000000"/>
          <w:sz w:val="22"/>
          <w:szCs w:val="22"/>
        </w:rPr>
        <w:t xml:space="preserve"> </w:t>
      </w:r>
      <w:r>
        <w:rPr>
          <w:rFonts w:ascii="Arial" w:hAnsi="Arial" w:cs="Arial"/>
          <w:b/>
          <w:bCs/>
          <w:i/>
          <w:color w:val="000000"/>
          <w:sz w:val="22"/>
          <w:szCs w:val="22"/>
        </w:rPr>
        <w:t>Izvještaje o preduzetim mjerama i aktivnostima inspekcijskog nadzora.</w:t>
      </w:r>
    </w:p>
    <w:p w:rsidR="00A144B4" w:rsidRDefault="00A144B4" w:rsidP="00A144B4">
      <w:pPr>
        <w:spacing w:after="0" w:line="240" w:lineRule="auto"/>
        <w:rPr>
          <w:rFonts w:ascii="Arial" w:hAnsi="Arial" w:cs="Arial"/>
          <w:bCs/>
          <w:color w:val="000000"/>
          <w:sz w:val="22"/>
          <w:szCs w:val="22"/>
        </w:rPr>
      </w:pPr>
    </w:p>
    <w:p w:rsidR="00A144B4" w:rsidRDefault="00A144B4" w:rsidP="00A144B4">
      <w:pPr>
        <w:spacing w:after="0" w:line="240" w:lineRule="auto"/>
        <w:rPr>
          <w:rFonts w:ascii="Arial" w:hAnsi="Arial" w:cs="Arial"/>
          <w:b/>
          <w:bCs/>
          <w:i/>
          <w:color w:val="000000"/>
          <w:sz w:val="22"/>
          <w:szCs w:val="22"/>
        </w:rPr>
      </w:pPr>
      <w:r>
        <w:rPr>
          <w:rFonts w:ascii="Arial" w:hAnsi="Arial" w:cs="Arial"/>
          <w:bCs/>
          <w:color w:val="000000"/>
          <w:sz w:val="22"/>
          <w:szCs w:val="22"/>
        </w:rPr>
        <w:t>Na petom sastanku Radne grupe za suzbijanje sive ekonomije, koji je održan 3. jula 2013. godine,</w:t>
      </w:r>
      <w:r>
        <w:rPr>
          <w:rFonts w:ascii="Arial" w:hAnsi="Arial" w:cs="Arial"/>
          <w:color w:val="000000"/>
          <w:sz w:val="22"/>
          <w:szCs w:val="22"/>
          <w:lang w:val="sr-Latn-CS"/>
        </w:rPr>
        <w:t xml:space="preserve"> donijeti su sljedeći Zaključci</w:t>
      </w:r>
      <w:r>
        <w:rPr>
          <w:rFonts w:ascii="Arial" w:hAnsi="Arial" w:cs="Arial"/>
          <w:b/>
          <w:bCs/>
          <w:i/>
          <w:color w:val="000000"/>
          <w:sz w:val="22"/>
          <w:szCs w:val="22"/>
        </w:rPr>
        <w:t>:</w:t>
      </w:r>
    </w:p>
    <w:p w:rsidR="00A144B4" w:rsidRDefault="00A144B4" w:rsidP="00A144B4">
      <w:pPr>
        <w:spacing w:after="0" w:line="240" w:lineRule="auto"/>
        <w:rPr>
          <w:rFonts w:ascii="Arial" w:hAnsi="Arial" w:cs="Arial"/>
          <w:bCs/>
          <w:color w:val="000000"/>
          <w:sz w:val="22"/>
          <w:szCs w:val="22"/>
        </w:rPr>
      </w:pPr>
    </w:p>
    <w:p w:rsidR="00A144B4" w:rsidRDefault="00A144B4" w:rsidP="00A144B4">
      <w:pPr>
        <w:pStyle w:val="listparagraph0"/>
        <w:ind w:hanging="360"/>
        <w:jc w:val="both"/>
        <w:rPr>
          <w:rFonts w:ascii="Arial" w:hAnsi="Arial" w:cs="Arial"/>
          <w:bCs/>
          <w:color w:val="000000"/>
          <w:sz w:val="22"/>
          <w:szCs w:val="22"/>
        </w:rPr>
      </w:pPr>
      <w:r>
        <w:rPr>
          <w:rFonts w:ascii="Arial" w:eastAsia="Arial" w:hAnsi="Arial" w:cs="Arial"/>
          <w:bCs/>
          <w:color w:val="000000"/>
          <w:sz w:val="22"/>
          <w:szCs w:val="22"/>
        </w:rPr>
        <w:t>1.</w:t>
      </w:r>
      <w:r>
        <w:rPr>
          <w:rFonts w:eastAsia="Arial"/>
          <w:bCs/>
          <w:color w:val="000000"/>
          <w:sz w:val="14"/>
          <w:szCs w:val="14"/>
        </w:rPr>
        <w:t xml:space="preserve">      </w:t>
      </w:r>
      <w:r>
        <w:rPr>
          <w:rFonts w:ascii="Arial" w:hAnsi="Arial" w:cs="Arial"/>
          <w:bCs/>
          <w:color w:val="000000"/>
          <w:sz w:val="22"/>
          <w:szCs w:val="22"/>
        </w:rPr>
        <w:t xml:space="preserve">Da se formira </w:t>
      </w:r>
      <w:r>
        <w:rPr>
          <w:rFonts w:ascii="Arial" w:hAnsi="Arial" w:cs="Arial"/>
          <w:b/>
          <w:bCs/>
          <w:i/>
          <w:color w:val="000000"/>
          <w:sz w:val="22"/>
          <w:szCs w:val="22"/>
        </w:rPr>
        <w:t>Radni tim koji će u saradnji sa Ministrarstvom finansija i Poreskom upravom pripremiti izmjene regulatornog okvira u cilju suzbijanja sive ekonomije</w:t>
      </w:r>
      <w:r>
        <w:rPr>
          <w:rFonts w:ascii="Arial" w:hAnsi="Arial" w:cs="Arial"/>
          <w:bCs/>
          <w:i/>
          <w:color w:val="000000"/>
          <w:sz w:val="22"/>
          <w:szCs w:val="22"/>
        </w:rPr>
        <w:t xml:space="preserve"> </w:t>
      </w:r>
      <w:r>
        <w:rPr>
          <w:rFonts w:ascii="Arial" w:hAnsi="Arial" w:cs="Arial"/>
          <w:bCs/>
          <w:color w:val="000000"/>
          <w:sz w:val="22"/>
          <w:szCs w:val="22"/>
        </w:rPr>
        <w:t>(Zakon o porezu na dohodak fizičkih lica, Zakon o objedinjenoj registraciji i sistemu izvještavanja obračuna i naplate poreza i doprinosa, Akt o upotrebi poreske registar kase - fiskalizacija i  zaštita memorije);</w:t>
      </w:r>
    </w:p>
    <w:p w:rsidR="00A144B4" w:rsidRDefault="00A144B4" w:rsidP="00A144B4">
      <w:pPr>
        <w:pStyle w:val="listparagraph0"/>
        <w:ind w:hanging="360"/>
        <w:jc w:val="both"/>
        <w:rPr>
          <w:rFonts w:ascii="Arial" w:hAnsi="Arial" w:cs="Arial"/>
          <w:bCs/>
          <w:color w:val="000000"/>
          <w:sz w:val="22"/>
          <w:szCs w:val="22"/>
        </w:rPr>
      </w:pPr>
      <w:r>
        <w:rPr>
          <w:rFonts w:ascii="Arial" w:eastAsia="Arial" w:hAnsi="Arial" w:cs="Arial"/>
          <w:bCs/>
          <w:color w:val="000000"/>
          <w:sz w:val="22"/>
          <w:szCs w:val="22"/>
        </w:rPr>
        <w:t>2.</w:t>
      </w:r>
      <w:r>
        <w:rPr>
          <w:rFonts w:eastAsia="Arial"/>
          <w:bCs/>
          <w:color w:val="000000"/>
          <w:sz w:val="14"/>
          <w:szCs w:val="14"/>
        </w:rPr>
        <w:t xml:space="preserve">      </w:t>
      </w:r>
      <w:r>
        <w:rPr>
          <w:rFonts w:ascii="Arial" w:hAnsi="Arial" w:cs="Arial"/>
          <w:bCs/>
          <w:color w:val="000000"/>
          <w:sz w:val="22"/>
          <w:szCs w:val="22"/>
        </w:rPr>
        <w:t xml:space="preserve">Da se </w:t>
      </w:r>
      <w:r>
        <w:rPr>
          <w:rFonts w:ascii="Arial" w:hAnsi="Arial" w:cs="Arial"/>
          <w:b/>
          <w:bCs/>
          <w:i/>
          <w:color w:val="000000"/>
          <w:sz w:val="22"/>
          <w:szCs w:val="22"/>
        </w:rPr>
        <w:t>preformulišu zaključci za Vladu</w:t>
      </w:r>
      <w:r>
        <w:rPr>
          <w:rFonts w:ascii="Arial" w:hAnsi="Arial" w:cs="Arial"/>
          <w:bCs/>
          <w:i/>
          <w:color w:val="000000"/>
          <w:sz w:val="22"/>
          <w:szCs w:val="22"/>
        </w:rPr>
        <w:t xml:space="preserve"> </w:t>
      </w:r>
      <w:r>
        <w:rPr>
          <w:rFonts w:ascii="Arial" w:hAnsi="Arial" w:cs="Arial"/>
          <w:bCs/>
          <w:color w:val="000000"/>
          <w:sz w:val="22"/>
          <w:szCs w:val="22"/>
        </w:rPr>
        <w:t>u vezi materijala koji se odnosi na zajedničku implementaciju projekta “Budi odgovoran” Elektrotehničkog fakulteta i projekta “Uključivanje građana u borbu protiv sive ekonomije” Vladinog biroa za odnose sa javnošću u dijelu da Biro za odnose s javnošću zajedno sa Poreskom upravom i Upravom za inspekcijske poslove, uz punu podršku Radne grupe, vrši koordinaciju u vezi finansijskih i svih drugih uslova u cilju podrške i realizacije projekta;</w:t>
      </w:r>
    </w:p>
    <w:p w:rsidR="00A144B4" w:rsidRDefault="00A144B4" w:rsidP="00A144B4">
      <w:pPr>
        <w:pStyle w:val="listparagraph0"/>
        <w:ind w:hanging="360"/>
        <w:jc w:val="both"/>
        <w:rPr>
          <w:rFonts w:ascii="Arial" w:hAnsi="Arial" w:cs="Arial"/>
          <w:bCs/>
          <w:color w:val="000000"/>
          <w:sz w:val="22"/>
          <w:szCs w:val="22"/>
        </w:rPr>
      </w:pPr>
      <w:r>
        <w:rPr>
          <w:rFonts w:ascii="Arial" w:eastAsia="Arial" w:hAnsi="Arial" w:cs="Arial"/>
          <w:bCs/>
          <w:color w:val="000000"/>
          <w:sz w:val="22"/>
          <w:szCs w:val="22"/>
        </w:rPr>
        <w:t>3.</w:t>
      </w:r>
      <w:r>
        <w:rPr>
          <w:rFonts w:eastAsia="Arial"/>
          <w:bCs/>
          <w:color w:val="000000"/>
          <w:sz w:val="14"/>
          <w:szCs w:val="14"/>
        </w:rPr>
        <w:t xml:space="preserve">      </w:t>
      </w:r>
      <w:r>
        <w:rPr>
          <w:rFonts w:ascii="Arial" w:hAnsi="Arial" w:cs="Arial"/>
          <w:bCs/>
          <w:color w:val="000000"/>
          <w:sz w:val="22"/>
          <w:szCs w:val="22"/>
        </w:rPr>
        <w:t xml:space="preserve">Da </w:t>
      </w:r>
      <w:r>
        <w:rPr>
          <w:rFonts w:ascii="Arial" w:hAnsi="Arial" w:cs="Arial"/>
          <w:b/>
          <w:bCs/>
          <w:i/>
          <w:color w:val="000000"/>
          <w:sz w:val="22"/>
          <w:szCs w:val="22"/>
        </w:rPr>
        <w:t>ministar zajedno sa Vukom Vujnovićem, Milanom Lakićevićem i Božidarom Vuksanovićem,</w:t>
      </w:r>
      <w:r>
        <w:rPr>
          <w:rFonts w:ascii="Arial" w:hAnsi="Arial" w:cs="Arial"/>
          <w:bCs/>
          <w:color w:val="000000"/>
          <w:sz w:val="22"/>
          <w:szCs w:val="22"/>
        </w:rPr>
        <w:t xml:space="preserve"> do naredne sjednice Vlade CG, </w:t>
      </w:r>
      <w:r>
        <w:rPr>
          <w:rFonts w:ascii="Arial" w:hAnsi="Arial" w:cs="Arial"/>
          <w:b/>
          <w:bCs/>
          <w:i/>
          <w:color w:val="000000"/>
          <w:sz w:val="22"/>
          <w:szCs w:val="22"/>
        </w:rPr>
        <w:t>utvrdi šta će se finansirati iz objedinjenog projekta ETF i Vladinog biroa za odnose sa javnošću</w:t>
      </w:r>
      <w:r>
        <w:rPr>
          <w:rFonts w:ascii="Arial" w:hAnsi="Arial" w:cs="Arial"/>
          <w:bCs/>
          <w:color w:val="000000"/>
          <w:sz w:val="22"/>
          <w:szCs w:val="22"/>
        </w:rPr>
        <w:t>, dok je način finansiranja pitanje evidencije i kapitalnog budžeta;</w:t>
      </w:r>
    </w:p>
    <w:p w:rsidR="00A144B4" w:rsidRDefault="00A144B4" w:rsidP="00A144B4">
      <w:pPr>
        <w:pStyle w:val="listparagraph0"/>
        <w:ind w:hanging="360"/>
        <w:jc w:val="both"/>
        <w:rPr>
          <w:rFonts w:ascii="Arial" w:hAnsi="Arial" w:cs="Arial"/>
          <w:bCs/>
          <w:color w:val="000000"/>
          <w:sz w:val="22"/>
          <w:szCs w:val="22"/>
        </w:rPr>
      </w:pPr>
      <w:r>
        <w:rPr>
          <w:rFonts w:ascii="Arial" w:eastAsia="Arial" w:hAnsi="Arial" w:cs="Arial"/>
          <w:bCs/>
          <w:color w:val="000000"/>
          <w:sz w:val="22"/>
          <w:szCs w:val="22"/>
        </w:rPr>
        <w:t>4.</w:t>
      </w:r>
      <w:r>
        <w:rPr>
          <w:rFonts w:eastAsia="Arial"/>
          <w:bCs/>
          <w:color w:val="000000"/>
          <w:sz w:val="14"/>
          <w:szCs w:val="14"/>
        </w:rPr>
        <w:t xml:space="preserve">      </w:t>
      </w:r>
      <w:r>
        <w:rPr>
          <w:rFonts w:ascii="Arial" w:hAnsi="Arial" w:cs="Arial"/>
          <w:bCs/>
          <w:color w:val="000000"/>
          <w:sz w:val="22"/>
          <w:szCs w:val="22"/>
        </w:rPr>
        <w:t xml:space="preserve">Da se u što kraćem roku organizuje </w:t>
      </w:r>
      <w:r>
        <w:rPr>
          <w:rFonts w:ascii="Arial" w:hAnsi="Arial" w:cs="Arial"/>
          <w:b/>
          <w:bCs/>
          <w:i/>
          <w:color w:val="000000"/>
          <w:sz w:val="22"/>
          <w:szCs w:val="22"/>
        </w:rPr>
        <w:t>edukacija poreskih inspektora</w:t>
      </w:r>
      <w:r>
        <w:rPr>
          <w:rFonts w:ascii="Arial" w:hAnsi="Arial" w:cs="Arial"/>
          <w:bCs/>
          <w:color w:val="000000"/>
          <w:sz w:val="22"/>
          <w:szCs w:val="22"/>
        </w:rPr>
        <w:t xml:space="preserve"> u cilju kvaliletnijeg sprovođenja kontrola fiskalnih kasa i štampača;</w:t>
      </w:r>
    </w:p>
    <w:p w:rsidR="00A144B4" w:rsidRDefault="00A144B4" w:rsidP="00A144B4">
      <w:pPr>
        <w:pStyle w:val="listparagraph0"/>
        <w:ind w:hanging="360"/>
        <w:jc w:val="both"/>
        <w:rPr>
          <w:rFonts w:ascii="Arial" w:hAnsi="Arial" w:cs="Arial"/>
          <w:bCs/>
          <w:color w:val="000000"/>
          <w:sz w:val="22"/>
          <w:szCs w:val="22"/>
        </w:rPr>
      </w:pPr>
      <w:r>
        <w:rPr>
          <w:rFonts w:ascii="Arial" w:eastAsia="Arial" w:hAnsi="Arial" w:cs="Arial"/>
          <w:bCs/>
          <w:color w:val="000000"/>
          <w:sz w:val="22"/>
          <w:szCs w:val="22"/>
        </w:rPr>
        <w:t>5.</w:t>
      </w:r>
      <w:r>
        <w:rPr>
          <w:rFonts w:eastAsia="Arial"/>
          <w:bCs/>
          <w:color w:val="000000"/>
          <w:sz w:val="14"/>
          <w:szCs w:val="14"/>
        </w:rPr>
        <w:t xml:space="preserve">      </w:t>
      </w:r>
      <w:r>
        <w:rPr>
          <w:rFonts w:ascii="Arial" w:hAnsi="Arial" w:cs="Arial"/>
          <w:bCs/>
          <w:color w:val="000000"/>
          <w:sz w:val="22"/>
          <w:szCs w:val="22"/>
        </w:rPr>
        <w:t xml:space="preserve">Da </w:t>
      </w:r>
      <w:r>
        <w:rPr>
          <w:rFonts w:ascii="Arial" w:hAnsi="Arial" w:cs="Arial"/>
          <w:b/>
          <w:bCs/>
          <w:i/>
          <w:color w:val="000000"/>
          <w:sz w:val="22"/>
          <w:szCs w:val="22"/>
        </w:rPr>
        <w:t>je rast prihoda u Budžetu za oko 40 miliona eura rezultat rada Radne grupe</w:t>
      </w:r>
      <w:r>
        <w:rPr>
          <w:rFonts w:ascii="Arial" w:hAnsi="Arial" w:cs="Arial"/>
          <w:bCs/>
          <w:color w:val="000000"/>
          <w:sz w:val="22"/>
          <w:szCs w:val="22"/>
        </w:rPr>
        <w:t>, pojačanih kontrola svih inspekcijske službe, kao i bolje koordinacije i saradnje između istih;</w:t>
      </w:r>
    </w:p>
    <w:p w:rsidR="00A144B4" w:rsidRDefault="00A144B4" w:rsidP="00A144B4">
      <w:pPr>
        <w:pStyle w:val="listparagraph0"/>
        <w:ind w:hanging="360"/>
        <w:jc w:val="both"/>
        <w:rPr>
          <w:rFonts w:ascii="Arial" w:hAnsi="Arial" w:cs="Arial"/>
          <w:bCs/>
          <w:color w:val="000000"/>
          <w:sz w:val="22"/>
          <w:szCs w:val="22"/>
        </w:rPr>
      </w:pPr>
      <w:r>
        <w:rPr>
          <w:rFonts w:ascii="Arial" w:eastAsia="Arial" w:hAnsi="Arial" w:cs="Arial"/>
          <w:bCs/>
          <w:color w:val="000000"/>
          <w:sz w:val="22"/>
          <w:szCs w:val="22"/>
        </w:rPr>
        <w:t>6.</w:t>
      </w:r>
      <w:r>
        <w:rPr>
          <w:rFonts w:eastAsia="Arial"/>
          <w:bCs/>
          <w:color w:val="000000"/>
          <w:sz w:val="14"/>
          <w:szCs w:val="14"/>
        </w:rPr>
        <w:t xml:space="preserve">      </w:t>
      </w:r>
      <w:r>
        <w:rPr>
          <w:rFonts w:ascii="Arial" w:hAnsi="Arial" w:cs="Arial"/>
          <w:bCs/>
          <w:color w:val="000000"/>
          <w:sz w:val="22"/>
          <w:szCs w:val="22"/>
        </w:rPr>
        <w:t xml:space="preserve">Da je </w:t>
      </w:r>
      <w:r>
        <w:rPr>
          <w:rFonts w:ascii="Arial" w:hAnsi="Arial" w:cs="Arial"/>
          <w:b/>
          <w:bCs/>
          <w:i/>
          <w:color w:val="000000"/>
          <w:sz w:val="22"/>
          <w:szCs w:val="22"/>
        </w:rPr>
        <w:t>smanjen broj utvrđenih nepravlinosti</w:t>
      </w:r>
      <w:r>
        <w:rPr>
          <w:rFonts w:ascii="Arial" w:hAnsi="Arial" w:cs="Arial"/>
          <w:bCs/>
          <w:i/>
          <w:color w:val="000000"/>
          <w:sz w:val="22"/>
          <w:szCs w:val="22"/>
        </w:rPr>
        <w:t xml:space="preserve"> </w:t>
      </w:r>
      <w:r>
        <w:rPr>
          <w:rFonts w:ascii="Arial" w:hAnsi="Arial" w:cs="Arial"/>
          <w:bCs/>
          <w:color w:val="000000"/>
          <w:sz w:val="22"/>
          <w:szCs w:val="22"/>
        </w:rPr>
        <w:t>prilikom inspekcijskih kontrola što ukazuje na povećanje svijesti i disciplinske odgovornosti poreskih i carinskih obveznika;</w:t>
      </w:r>
    </w:p>
    <w:p w:rsidR="00A144B4" w:rsidRDefault="00A144B4" w:rsidP="00A144B4">
      <w:pPr>
        <w:pStyle w:val="listparagraph0"/>
        <w:ind w:hanging="360"/>
        <w:jc w:val="both"/>
        <w:rPr>
          <w:rFonts w:ascii="Arial" w:hAnsi="Arial" w:cs="Arial"/>
          <w:bCs/>
          <w:color w:val="000000"/>
          <w:sz w:val="22"/>
          <w:szCs w:val="22"/>
        </w:rPr>
      </w:pPr>
      <w:r>
        <w:rPr>
          <w:rFonts w:ascii="Arial" w:eastAsia="Arial" w:hAnsi="Arial" w:cs="Arial"/>
          <w:bCs/>
          <w:color w:val="000000"/>
          <w:sz w:val="22"/>
          <w:szCs w:val="22"/>
        </w:rPr>
        <w:t>7.</w:t>
      </w:r>
      <w:r>
        <w:rPr>
          <w:rFonts w:eastAsia="Arial"/>
          <w:bCs/>
          <w:color w:val="000000"/>
          <w:sz w:val="14"/>
          <w:szCs w:val="14"/>
        </w:rPr>
        <w:t xml:space="preserve">      </w:t>
      </w:r>
      <w:r>
        <w:rPr>
          <w:rFonts w:ascii="Arial" w:hAnsi="Arial" w:cs="Arial"/>
          <w:bCs/>
          <w:color w:val="000000"/>
          <w:sz w:val="22"/>
          <w:szCs w:val="22"/>
        </w:rPr>
        <w:t xml:space="preserve">Da se u toku turističke sezone </w:t>
      </w:r>
      <w:r>
        <w:rPr>
          <w:rFonts w:ascii="Arial" w:hAnsi="Arial" w:cs="Arial"/>
          <w:b/>
          <w:bCs/>
          <w:i/>
          <w:color w:val="000000"/>
          <w:sz w:val="22"/>
          <w:szCs w:val="22"/>
        </w:rPr>
        <w:t>nastavi sa utvrđenom dinamikom inspekcijski kontrola i radi na unaprjeđenju saradnje i koordinacije inspekcijskih službi</w:t>
      </w:r>
      <w:r>
        <w:rPr>
          <w:rFonts w:ascii="Arial" w:hAnsi="Arial" w:cs="Arial"/>
          <w:bCs/>
          <w:color w:val="000000"/>
          <w:sz w:val="22"/>
          <w:szCs w:val="22"/>
        </w:rPr>
        <w:t xml:space="preserve">.  </w:t>
      </w:r>
    </w:p>
    <w:p w:rsidR="00A144B4" w:rsidRPr="007520D7" w:rsidRDefault="00A144B4" w:rsidP="00A144B4">
      <w:pPr>
        <w:spacing w:after="0" w:line="240" w:lineRule="auto"/>
        <w:rPr>
          <w:rFonts w:ascii="Arial" w:hAnsi="Arial" w:cs="Arial"/>
          <w:bCs/>
          <w:i/>
          <w:color w:val="000000"/>
          <w:sz w:val="22"/>
          <w:szCs w:val="22"/>
        </w:rPr>
      </w:pPr>
      <w:r>
        <w:rPr>
          <w:rFonts w:ascii="Arial" w:hAnsi="Arial" w:cs="Arial"/>
          <w:bCs/>
          <w:color w:val="000000"/>
          <w:sz w:val="22"/>
          <w:szCs w:val="22"/>
        </w:rPr>
        <w:lastRenderedPageBreak/>
        <w:t>U prilogu Informacije dati su Izvještaji Radnih timova koji su formirani u okviru Radne grupe za pojedine oblasti, za period april – jul tekuće godine,  kao i Uporedni pregled planiranih i ostvarenih neto prihoda za period januar-jun 2011, 2012 i 2013 godine.</w:t>
      </w:r>
    </w:p>
    <w:p w:rsidR="00A144B4" w:rsidRPr="00650403" w:rsidRDefault="00A144B4" w:rsidP="00A144B4">
      <w:pPr>
        <w:spacing w:line="240" w:lineRule="auto"/>
        <w:rPr>
          <w:rFonts w:ascii="Arial" w:hAnsi="Arial" w:cs="Arial"/>
          <w:i/>
          <w:sz w:val="22"/>
          <w:szCs w:val="22"/>
        </w:rPr>
      </w:pPr>
    </w:p>
    <w:p w:rsidR="00A144B4" w:rsidRPr="00650403" w:rsidRDefault="00A144B4" w:rsidP="00A144B4">
      <w:pPr>
        <w:pStyle w:val="NoSpacing"/>
        <w:jc w:val="center"/>
        <w:rPr>
          <w:rFonts w:ascii="Arial" w:hAnsi="Arial" w:cs="Arial"/>
          <w:b/>
          <w:i/>
          <w:sz w:val="22"/>
          <w:szCs w:val="22"/>
          <w:lang w:val="hr-HR"/>
        </w:rPr>
      </w:pPr>
      <w:r w:rsidRPr="00650403">
        <w:rPr>
          <w:rFonts w:ascii="Arial" w:hAnsi="Arial" w:cs="Arial"/>
          <w:b/>
          <w:i/>
          <w:sz w:val="22"/>
          <w:szCs w:val="22"/>
          <w:lang w:val="hr-HR"/>
        </w:rPr>
        <w:t>I Z V J E Š T A J</w:t>
      </w:r>
    </w:p>
    <w:p w:rsidR="00A144B4" w:rsidRDefault="00A144B4" w:rsidP="00A144B4">
      <w:pPr>
        <w:pStyle w:val="NoSpacing"/>
        <w:jc w:val="center"/>
        <w:rPr>
          <w:rFonts w:ascii="Arial" w:hAnsi="Arial" w:cs="Arial"/>
          <w:b/>
          <w:i/>
          <w:sz w:val="22"/>
          <w:szCs w:val="22"/>
          <w:lang w:val="hr-HR"/>
        </w:rPr>
      </w:pPr>
      <w:r w:rsidRPr="00650403">
        <w:rPr>
          <w:rFonts w:ascii="Arial" w:hAnsi="Arial" w:cs="Arial"/>
          <w:b/>
          <w:i/>
          <w:sz w:val="22"/>
          <w:szCs w:val="22"/>
          <w:lang w:val="hr-HR"/>
        </w:rPr>
        <w:t>RADNOG TIMA ZA ANALIZU VAŽEĆE  ZAKONSKE REGULATIVE</w:t>
      </w:r>
    </w:p>
    <w:p w:rsidR="000F42E7" w:rsidRDefault="000F42E7" w:rsidP="00A144B4">
      <w:pPr>
        <w:pStyle w:val="NoSpacing"/>
        <w:rPr>
          <w:rFonts w:ascii="Arial" w:hAnsi="Arial" w:cs="Arial"/>
          <w:sz w:val="22"/>
          <w:szCs w:val="22"/>
          <w:lang w:val="sr-Latn-CS"/>
        </w:rPr>
      </w:pPr>
    </w:p>
    <w:p w:rsidR="00A144B4" w:rsidRPr="00B638E7" w:rsidRDefault="00A144B4" w:rsidP="00A144B4">
      <w:pPr>
        <w:pStyle w:val="NoSpacing"/>
        <w:rPr>
          <w:rFonts w:ascii="Arial" w:hAnsi="Arial" w:cs="Arial"/>
          <w:bCs/>
          <w:color w:val="FF0000"/>
          <w:sz w:val="22"/>
          <w:szCs w:val="22"/>
        </w:rPr>
      </w:pPr>
      <w:r w:rsidRPr="00F30015">
        <w:rPr>
          <w:rFonts w:ascii="Arial" w:hAnsi="Arial" w:cs="Arial"/>
          <w:sz w:val="22"/>
          <w:szCs w:val="22"/>
          <w:lang w:val="hr-HR"/>
        </w:rPr>
        <w:t xml:space="preserve">Radni tim za analizu važeće zakonske </w:t>
      </w:r>
      <w:r w:rsidRPr="00B638E7">
        <w:rPr>
          <w:rFonts w:ascii="Arial" w:hAnsi="Arial" w:cs="Arial"/>
          <w:sz w:val="22"/>
          <w:szCs w:val="22"/>
          <w:lang w:val="hr-HR"/>
        </w:rPr>
        <w:t>regulative,</w:t>
      </w:r>
      <w:r w:rsidR="00B638E7">
        <w:rPr>
          <w:rFonts w:ascii="Arial" w:hAnsi="Arial" w:cs="Arial"/>
          <w:color w:val="FF0000"/>
          <w:sz w:val="22"/>
          <w:szCs w:val="22"/>
          <w:lang w:val="hr-HR"/>
        </w:rPr>
        <w:t xml:space="preserve"> </w:t>
      </w:r>
      <w:r w:rsidR="00B638E7" w:rsidRPr="00B638E7">
        <w:rPr>
          <w:rFonts w:ascii="Arial" w:hAnsi="Arial" w:cs="Arial"/>
          <w:sz w:val="22"/>
          <w:szCs w:val="22"/>
          <w:lang w:val="hr-HR"/>
        </w:rPr>
        <w:t xml:space="preserve">koga čine predstavnici </w:t>
      </w:r>
      <w:r w:rsidR="00B638E7" w:rsidRPr="00B638E7">
        <w:rPr>
          <w:rFonts w:ascii="Arial" w:hAnsi="Arial" w:cs="Arial"/>
          <w:bCs/>
          <w:sz w:val="22"/>
          <w:szCs w:val="22"/>
        </w:rPr>
        <w:t>Ministarstva finansija,  Ministarstva rada i socijalnog staranja, Ministarstva pravde, Poreske uprave, Uprave carina i Uprave za inspekcijske poslove,</w:t>
      </w:r>
      <w:r w:rsidR="00B638E7">
        <w:rPr>
          <w:rFonts w:ascii="Arial" w:hAnsi="Arial" w:cs="Arial"/>
          <w:bCs/>
          <w:color w:val="FF0000"/>
          <w:sz w:val="22"/>
          <w:szCs w:val="22"/>
        </w:rPr>
        <w:t xml:space="preserve"> </w:t>
      </w:r>
      <w:r w:rsidRPr="007520D7">
        <w:rPr>
          <w:rFonts w:ascii="Arial" w:hAnsi="Arial" w:cs="Arial"/>
          <w:color w:val="000000" w:themeColor="text1"/>
          <w:sz w:val="22"/>
          <w:szCs w:val="22"/>
          <w:lang w:val="hr-HR"/>
        </w:rPr>
        <w:t xml:space="preserve">u periodu april - jul </w:t>
      </w:r>
      <w:r w:rsidRPr="007520D7">
        <w:rPr>
          <w:rFonts w:ascii="Arial" w:hAnsi="Arial" w:cs="Arial"/>
          <w:color w:val="000000" w:themeColor="text1"/>
          <w:sz w:val="22"/>
          <w:szCs w:val="22"/>
          <w:lang w:val="sr-Latn-CS"/>
        </w:rPr>
        <w:t xml:space="preserve">tekuće </w:t>
      </w:r>
      <w:r w:rsidRPr="007520D7">
        <w:rPr>
          <w:rFonts w:ascii="Arial" w:hAnsi="Arial" w:cs="Arial"/>
          <w:color w:val="000000" w:themeColor="text1"/>
          <w:sz w:val="22"/>
          <w:szCs w:val="22"/>
          <w:lang w:val="hr-HR"/>
        </w:rPr>
        <w:t>godine</w:t>
      </w:r>
      <w:r w:rsidRPr="00F30015">
        <w:rPr>
          <w:rFonts w:ascii="Arial" w:hAnsi="Arial" w:cs="Arial"/>
          <w:sz w:val="22"/>
          <w:szCs w:val="22"/>
          <w:lang w:val="hr-HR"/>
        </w:rPr>
        <w:t>, održao je dva sastanka na kojima je analizirana važeća zakonska regulativa, posebno sa aspekta stimulativne  kaznene politike,  povećanja  fiskalnih prihoda  i eliminisanja neregularnog poslovanja. Na  osnovu analize  predložene su izmjene i dopune</w:t>
      </w:r>
      <w:r>
        <w:rPr>
          <w:rFonts w:ascii="Arial" w:hAnsi="Arial" w:cs="Arial"/>
          <w:sz w:val="22"/>
          <w:szCs w:val="22"/>
          <w:lang w:val="hr-HR"/>
        </w:rPr>
        <w:t xml:space="preserve"> važeće zakonske</w:t>
      </w:r>
      <w:r w:rsidRPr="00F30015">
        <w:rPr>
          <w:rFonts w:ascii="Arial" w:hAnsi="Arial" w:cs="Arial"/>
          <w:sz w:val="22"/>
          <w:szCs w:val="22"/>
          <w:lang w:val="hr-HR"/>
        </w:rPr>
        <w:t xml:space="preserve"> regulative i to:</w:t>
      </w:r>
    </w:p>
    <w:p w:rsidR="00A144B4" w:rsidRPr="00F30015" w:rsidRDefault="00A144B4" w:rsidP="00A144B4">
      <w:pPr>
        <w:pStyle w:val="NoSpacing"/>
        <w:rPr>
          <w:rFonts w:ascii="Arial" w:hAnsi="Arial" w:cs="Arial"/>
          <w:sz w:val="22"/>
          <w:szCs w:val="22"/>
          <w:lang w:val="hr-HR"/>
        </w:rPr>
      </w:pPr>
    </w:p>
    <w:p w:rsidR="00A144B4" w:rsidRPr="00F30015" w:rsidRDefault="00A144B4" w:rsidP="00A144B4">
      <w:pPr>
        <w:pStyle w:val="NoSpacing"/>
        <w:rPr>
          <w:rFonts w:ascii="Arial" w:hAnsi="Arial" w:cs="Arial"/>
          <w:sz w:val="22"/>
          <w:szCs w:val="22"/>
          <w:lang w:val="sl-SI"/>
        </w:rPr>
      </w:pPr>
      <w:r>
        <w:rPr>
          <w:rFonts w:ascii="Arial" w:hAnsi="Arial" w:cs="Arial"/>
          <w:b/>
          <w:sz w:val="22"/>
          <w:szCs w:val="22"/>
          <w:lang w:val="hr-HR"/>
        </w:rPr>
        <w:t xml:space="preserve">1. </w:t>
      </w:r>
      <w:r w:rsidRPr="00F30015">
        <w:rPr>
          <w:rFonts w:ascii="Arial" w:hAnsi="Arial" w:cs="Arial"/>
          <w:b/>
          <w:sz w:val="22"/>
          <w:szCs w:val="22"/>
          <w:lang w:val="hr-HR"/>
        </w:rPr>
        <w:t>Zakona o doprinosima za obavezno socijalno osiguranje,</w:t>
      </w:r>
      <w:r w:rsidRPr="00F30015">
        <w:rPr>
          <w:rFonts w:ascii="Arial" w:hAnsi="Arial" w:cs="Arial"/>
          <w:sz w:val="22"/>
          <w:szCs w:val="22"/>
          <w:lang w:val="hr-HR"/>
        </w:rPr>
        <w:t xml:space="preserve"> u dijelu</w:t>
      </w:r>
      <w:r w:rsidRPr="00F30015">
        <w:rPr>
          <w:rFonts w:ascii="Arial" w:hAnsi="Arial" w:cs="Arial"/>
          <w:sz w:val="22"/>
          <w:szCs w:val="22"/>
          <w:lang w:val="sl-SI"/>
        </w:rPr>
        <w:t xml:space="preserve"> ukidanja najviše godišnje osnovice za plaćanje doprinosa za socijalno osiguranje i prava na povraćaj više plaćenih doprinosa, na način što bi se iz zakona brisali čl.14, 22 i 24. Procjena je, da bi po ovom osnovu budžetski rashodi bili smanjeni za oko 3.mil.€ na godišnjem nivou. </w:t>
      </w:r>
    </w:p>
    <w:p w:rsidR="00A144B4" w:rsidRPr="00F30015" w:rsidRDefault="00A144B4" w:rsidP="00A144B4">
      <w:pPr>
        <w:pStyle w:val="NoSpacing"/>
        <w:rPr>
          <w:rFonts w:ascii="Arial" w:hAnsi="Arial" w:cs="Arial"/>
          <w:sz w:val="22"/>
          <w:szCs w:val="22"/>
          <w:lang w:val="sl-SI"/>
        </w:rPr>
      </w:pPr>
      <w:r w:rsidRPr="00F30015">
        <w:rPr>
          <w:rFonts w:ascii="Arial" w:hAnsi="Arial" w:cs="Arial"/>
          <w:sz w:val="22"/>
          <w:szCs w:val="22"/>
          <w:lang w:val="sl-SI"/>
        </w:rPr>
        <w:t>Takođe, predloženo je revidiranje kaznene politike povećanjem iznosa novčanih kazni  pravnom licu, odgovornom licu u pravnom licu i preduzetniku, za prekršaj »neobračuna, netačnog obračuna, neobustavljanja ili ne uplate doprinosa prilikom svake isplate prihoda«,  kao i fizičkom licu koje ne uplati doprinose za obavezno socijalno osiguranje u propisanom roku.</w:t>
      </w:r>
    </w:p>
    <w:p w:rsidR="00A144B4" w:rsidRPr="00F30015" w:rsidRDefault="00A144B4" w:rsidP="00A144B4">
      <w:pPr>
        <w:pStyle w:val="NoSpacing"/>
        <w:rPr>
          <w:rFonts w:ascii="Arial" w:hAnsi="Arial" w:cs="Arial"/>
          <w:sz w:val="22"/>
          <w:szCs w:val="22"/>
          <w:lang w:val="sl-SI"/>
        </w:rPr>
      </w:pPr>
    </w:p>
    <w:p w:rsidR="00A144B4" w:rsidRPr="00F30015" w:rsidRDefault="00A144B4" w:rsidP="00A144B4">
      <w:pPr>
        <w:pStyle w:val="NoSpacing"/>
        <w:rPr>
          <w:rFonts w:ascii="Arial" w:hAnsi="Arial" w:cs="Arial"/>
          <w:sz w:val="22"/>
          <w:szCs w:val="22"/>
          <w:lang w:val="sl-SI"/>
        </w:rPr>
      </w:pPr>
      <w:r>
        <w:rPr>
          <w:rFonts w:ascii="Arial" w:hAnsi="Arial" w:cs="Arial"/>
          <w:b/>
          <w:sz w:val="22"/>
          <w:szCs w:val="22"/>
          <w:lang w:val="sr-Latn-CS"/>
        </w:rPr>
        <w:t xml:space="preserve">2. </w:t>
      </w:r>
      <w:r w:rsidRPr="00F30015">
        <w:rPr>
          <w:rFonts w:ascii="Arial" w:hAnsi="Arial" w:cs="Arial"/>
          <w:b/>
          <w:sz w:val="22"/>
          <w:szCs w:val="22"/>
          <w:lang w:val="sr-Latn-CS"/>
        </w:rPr>
        <w:t>Zakona o porezu na dohodak fizičkih lica,</w:t>
      </w:r>
      <w:r w:rsidRPr="00F30015">
        <w:rPr>
          <w:rFonts w:ascii="Arial" w:hAnsi="Arial" w:cs="Arial"/>
          <w:sz w:val="22"/>
          <w:szCs w:val="22"/>
          <w:lang w:val="sr-Latn-CS"/>
        </w:rPr>
        <w:t xml:space="preserve"> u dijelu </w:t>
      </w:r>
      <w:r w:rsidRPr="00F30015">
        <w:rPr>
          <w:rFonts w:ascii="Arial" w:hAnsi="Arial" w:cs="Arial"/>
          <w:sz w:val="22"/>
          <w:szCs w:val="22"/>
          <w:lang w:val="pl-PL"/>
        </w:rPr>
        <w:t xml:space="preserve">izuzimanja od prava na paušalno oporezivanje prihoda odredjenih samostalnih djelatnosti (djelatnost advokata, revizora, računovođa, knjigovođa, zdravstvenih radnika i sl.), i oporezivanje ovih  djelatnosti </w:t>
      </w:r>
      <w:r w:rsidRPr="00F30015">
        <w:rPr>
          <w:rFonts w:ascii="Arial" w:hAnsi="Arial" w:cs="Arial"/>
          <w:sz w:val="22"/>
          <w:szCs w:val="22"/>
          <w:lang w:val="sl-SI"/>
        </w:rPr>
        <w:t xml:space="preserve"> prema stvarno ostvarenom dohotku. Prilikom razmatranja ovog predloga oprjedjeljujuće je bilo  da vođenje knjiga ovim preduzetnicima ne predstavlja tehnički problem i nesrazmjeran trošak, imajući u vidu vrstu, obim i prirodu obavljanja tih poslova.</w:t>
      </w:r>
    </w:p>
    <w:p w:rsidR="00A144B4" w:rsidRPr="00F30015" w:rsidRDefault="00A144B4" w:rsidP="00A144B4">
      <w:pPr>
        <w:pStyle w:val="NoSpacing"/>
        <w:rPr>
          <w:rFonts w:ascii="Arial" w:hAnsi="Arial" w:cs="Arial"/>
          <w:sz w:val="22"/>
          <w:szCs w:val="22"/>
          <w:lang w:val="sl-SI"/>
        </w:rPr>
      </w:pPr>
      <w:r w:rsidRPr="00F30015">
        <w:rPr>
          <w:rFonts w:ascii="Arial" w:hAnsi="Arial" w:cs="Arial"/>
          <w:sz w:val="22"/>
          <w:szCs w:val="22"/>
          <w:lang w:val="sl-SI"/>
        </w:rPr>
        <w:t>Predloženo je da se oslobode od plaćanja poreza na dohodak fizičkih lica, naknade koje se isplaćuju pripadnicima vojske Crne Gore i drugim licima koja su upućena u međunarodne snage i mirovne misije u inostranstvu, po kom osnovu će se smanjiti rashodi budžeta po osnovu plaćanja poreza i doprinosa za oko 2. mil.€ na godišnjem nivou.</w:t>
      </w:r>
    </w:p>
    <w:p w:rsidR="00A144B4" w:rsidRPr="00F30015" w:rsidRDefault="00A144B4" w:rsidP="00A144B4">
      <w:pPr>
        <w:pStyle w:val="NoSpacing"/>
        <w:rPr>
          <w:rFonts w:ascii="Arial" w:hAnsi="Arial" w:cs="Arial"/>
          <w:sz w:val="22"/>
          <w:szCs w:val="22"/>
          <w:lang w:val="sl-SI"/>
        </w:rPr>
      </w:pPr>
    </w:p>
    <w:p w:rsidR="00A144B4" w:rsidRPr="00F30015" w:rsidRDefault="00A144B4" w:rsidP="00A144B4">
      <w:pPr>
        <w:pStyle w:val="NoSpacing"/>
        <w:rPr>
          <w:rFonts w:ascii="Arial" w:hAnsi="Arial" w:cs="Arial"/>
          <w:sz w:val="22"/>
          <w:szCs w:val="22"/>
          <w:lang w:val="sl-SI"/>
        </w:rPr>
      </w:pPr>
      <w:r>
        <w:rPr>
          <w:rFonts w:ascii="Arial" w:hAnsi="Arial" w:cs="Arial"/>
          <w:b/>
          <w:sz w:val="22"/>
          <w:szCs w:val="22"/>
          <w:lang w:val="sl-SI"/>
        </w:rPr>
        <w:t xml:space="preserve">3. </w:t>
      </w:r>
      <w:r w:rsidRPr="00F30015">
        <w:rPr>
          <w:rFonts w:ascii="Arial" w:hAnsi="Arial" w:cs="Arial"/>
          <w:b/>
          <w:sz w:val="22"/>
          <w:szCs w:val="22"/>
          <w:lang w:val="sl-SI"/>
        </w:rPr>
        <w:t>Zakona o objedinjenoj registraciji</w:t>
      </w:r>
      <w:r w:rsidRPr="00F30015">
        <w:rPr>
          <w:rFonts w:ascii="Arial" w:hAnsi="Arial" w:cs="Arial"/>
          <w:sz w:val="22"/>
          <w:szCs w:val="22"/>
          <w:lang w:val="sl-SI"/>
        </w:rPr>
        <w:t xml:space="preserve"> </w:t>
      </w:r>
      <w:r w:rsidRPr="00F30015">
        <w:rPr>
          <w:rFonts w:ascii="Arial" w:hAnsi="Arial" w:cs="Arial"/>
          <w:b/>
          <w:sz w:val="22"/>
          <w:szCs w:val="22"/>
          <w:lang w:val="sl-SI"/>
        </w:rPr>
        <w:t xml:space="preserve">i sistemu izvještavanja o obračunu i naplati poreza i doprinosa </w:t>
      </w:r>
      <w:r w:rsidRPr="00F30015">
        <w:rPr>
          <w:rFonts w:ascii="Arial" w:hAnsi="Arial" w:cs="Arial"/>
          <w:sz w:val="22"/>
          <w:szCs w:val="22"/>
          <w:lang w:val="sl-SI"/>
        </w:rPr>
        <w:t>u dijelu sadržaja i obuhvata Izvještaja o obračunatim i plaćenim porezima i doprinosima, koji se podnosi Poreskoj upravi na jedinstvenom obrascu, na način što bi se ovaj izvještaj odnosio samo na  obračunate ( a ne i plaćene), poreze i doprinose na zarade i druga primanja. Ovom izmjenom obezbjeđuje se bolje praćenje stanja i vođenje evidencije o stanju duga pravnih lica i preduzetnika po osnovu obračunatih poreza i doprinosa i za slučaj kada nije izvršena isplata ličnih primanja, odnosno nijesu uplaćene fiskalne obaveze po ovom osnovu.</w:t>
      </w:r>
    </w:p>
    <w:p w:rsidR="00A144B4" w:rsidRPr="00F30015" w:rsidRDefault="00A144B4" w:rsidP="00A144B4">
      <w:pPr>
        <w:pStyle w:val="NoSpacing"/>
        <w:rPr>
          <w:rFonts w:ascii="Arial" w:hAnsi="Arial" w:cs="Arial"/>
          <w:sz w:val="22"/>
          <w:szCs w:val="22"/>
          <w:lang w:val="sl-SI"/>
        </w:rPr>
      </w:pPr>
    </w:p>
    <w:p w:rsidR="00A144B4" w:rsidRPr="00F30015" w:rsidRDefault="00A144B4" w:rsidP="00A144B4">
      <w:pPr>
        <w:pStyle w:val="NoSpacing"/>
        <w:rPr>
          <w:rFonts w:ascii="Arial" w:hAnsi="Arial" w:cs="Arial"/>
          <w:sz w:val="22"/>
          <w:szCs w:val="22"/>
          <w:lang w:val="sl-SI"/>
        </w:rPr>
      </w:pPr>
      <w:r w:rsidRPr="00F30015">
        <w:rPr>
          <w:rFonts w:ascii="Arial" w:hAnsi="Arial" w:cs="Arial"/>
          <w:sz w:val="22"/>
          <w:szCs w:val="22"/>
          <w:lang w:val="sl-SI"/>
        </w:rPr>
        <w:t xml:space="preserve">Takođe, Radni tim je analizirao i regulativu u oblasti računovodstva i revizije – </w:t>
      </w:r>
      <w:r w:rsidRPr="00F30015">
        <w:rPr>
          <w:rFonts w:ascii="Arial" w:hAnsi="Arial" w:cs="Arial"/>
          <w:b/>
          <w:sz w:val="22"/>
          <w:szCs w:val="22"/>
          <w:lang w:val="sl-SI"/>
        </w:rPr>
        <w:t xml:space="preserve">Zakon o računovodstvu i reviziji </w:t>
      </w:r>
      <w:r w:rsidRPr="00F30015">
        <w:rPr>
          <w:rFonts w:ascii="Arial" w:hAnsi="Arial" w:cs="Arial"/>
          <w:sz w:val="22"/>
          <w:szCs w:val="22"/>
          <w:lang w:val="sl-SI"/>
        </w:rPr>
        <w:t>, i s tim u vezi zaključio da je potrebno ovu oblast unaprijediti posebno u dijelu:</w:t>
      </w:r>
    </w:p>
    <w:p w:rsidR="00A144B4" w:rsidRPr="00F30015" w:rsidRDefault="00A144B4" w:rsidP="00A144B4">
      <w:pPr>
        <w:pStyle w:val="NoSpacing"/>
        <w:numPr>
          <w:ilvl w:val="0"/>
          <w:numId w:val="19"/>
        </w:numPr>
        <w:rPr>
          <w:rFonts w:ascii="Arial" w:hAnsi="Arial" w:cs="Arial"/>
          <w:sz w:val="22"/>
          <w:szCs w:val="22"/>
          <w:lang w:val="en-GB"/>
        </w:rPr>
      </w:pPr>
      <w:r w:rsidRPr="00F30015">
        <w:rPr>
          <w:rFonts w:ascii="Arial" w:hAnsi="Arial" w:cs="Arial"/>
          <w:sz w:val="22"/>
          <w:szCs w:val="22"/>
          <w:lang w:val="en-GB"/>
        </w:rPr>
        <w:t>obrazovanja tijela za  javni nadzor koje bi kontrolisalo rad ravizora i revizorskih kuća i sprečavalo eventualne zloupotrebe;</w:t>
      </w:r>
    </w:p>
    <w:p w:rsidR="00A144B4" w:rsidRPr="00F30015" w:rsidRDefault="00A144B4" w:rsidP="00A144B4">
      <w:pPr>
        <w:pStyle w:val="NoSpacing"/>
        <w:numPr>
          <w:ilvl w:val="0"/>
          <w:numId w:val="19"/>
        </w:numPr>
        <w:rPr>
          <w:rFonts w:ascii="Arial" w:hAnsi="Arial" w:cs="Arial"/>
          <w:sz w:val="22"/>
          <w:szCs w:val="22"/>
          <w:lang w:val="en-GB"/>
        </w:rPr>
      </w:pPr>
      <w:r w:rsidRPr="00F30015">
        <w:rPr>
          <w:rFonts w:ascii="Arial" w:hAnsi="Arial" w:cs="Arial"/>
          <w:sz w:val="22"/>
          <w:szCs w:val="22"/>
          <w:lang w:val="en-GB"/>
        </w:rPr>
        <w:t>definisanja uslova za obavljanje poslova knjigovođa  i način njihovog obrazovanja i obuke (uz konsultacije sa Institutom sertifikovanih računovođa i drugim profesionalnim organizacijama);</w:t>
      </w:r>
    </w:p>
    <w:p w:rsidR="00A144B4" w:rsidRPr="00F30015" w:rsidRDefault="00A144B4" w:rsidP="00A144B4">
      <w:pPr>
        <w:pStyle w:val="NoSpacing"/>
        <w:numPr>
          <w:ilvl w:val="0"/>
          <w:numId w:val="19"/>
        </w:numPr>
        <w:rPr>
          <w:rFonts w:ascii="Arial" w:hAnsi="Arial" w:cs="Arial"/>
          <w:sz w:val="22"/>
          <w:szCs w:val="22"/>
          <w:lang w:val="en-GB"/>
        </w:rPr>
      </w:pPr>
      <w:r w:rsidRPr="00F30015">
        <w:rPr>
          <w:rFonts w:ascii="Arial" w:hAnsi="Arial" w:cs="Arial"/>
          <w:sz w:val="22"/>
          <w:szCs w:val="22"/>
          <w:lang w:val="en-GB"/>
        </w:rPr>
        <w:lastRenderedPageBreak/>
        <w:t>povećanja transparentnosti poslovanja privrednih subjekata i uvođenja obaveze srednjim i velikim pravnim licima objavljivanja finansijskih i revizorskih izvještaja na svojim internet stranicama;</w:t>
      </w:r>
    </w:p>
    <w:p w:rsidR="00A144B4" w:rsidRPr="00F30015" w:rsidRDefault="00A144B4" w:rsidP="00A144B4">
      <w:pPr>
        <w:pStyle w:val="NoSpacing"/>
        <w:numPr>
          <w:ilvl w:val="0"/>
          <w:numId w:val="19"/>
        </w:numPr>
        <w:rPr>
          <w:rFonts w:ascii="Arial" w:hAnsi="Arial" w:cs="Arial"/>
          <w:sz w:val="22"/>
          <w:szCs w:val="22"/>
          <w:lang w:val="sl-SI"/>
        </w:rPr>
      </w:pPr>
      <w:r w:rsidRPr="00F30015">
        <w:rPr>
          <w:rFonts w:ascii="Arial" w:hAnsi="Arial" w:cs="Arial"/>
          <w:sz w:val="22"/>
          <w:szCs w:val="22"/>
          <w:lang w:val="en-GB"/>
        </w:rPr>
        <w:t>uvođenja obaveze revizije  i za srednja preduzeća.</w:t>
      </w:r>
    </w:p>
    <w:p w:rsidR="00A144B4" w:rsidRPr="00F30015" w:rsidRDefault="00A144B4" w:rsidP="00A144B4">
      <w:pPr>
        <w:pStyle w:val="NoSpacing"/>
        <w:rPr>
          <w:rFonts w:ascii="Arial" w:hAnsi="Arial" w:cs="Arial"/>
          <w:sz w:val="22"/>
          <w:szCs w:val="22"/>
          <w:lang w:val="hr-HR"/>
        </w:rPr>
      </w:pPr>
    </w:p>
    <w:p w:rsidR="00A144B4" w:rsidRPr="00F30015" w:rsidRDefault="00A144B4" w:rsidP="00A144B4">
      <w:pPr>
        <w:pStyle w:val="NoSpacing"/>
        <w:rPr>
          <w:rFonts w:ascii="Arial" w:hAnsi="Arial" w:cs="Arial"/>
          <w:sz w:val="22"/>
          <w:szCs w:val="22"/>
          <w:lang w:val="hr-HR"/>
        </w:rPr>
      </w:pPr>
      <w:r w:rsidRPr="00F30015">
        <w:rPr>
          <w:rFonts w:ascii="Arial" w:hAnsi="Arial" w:cs="Arial"/>
          <w:sz w:val="22"/>
          <w:szCs w:val="22"/>
          <w:lang w:val="hr-HR"/>
        </w:rPr>
        <w:t>Radni tim je  konstatovao da je:</w:t>
      </w:r>
    </w:p>
    <w:p w:rsidR="00A144B4" w:rsidRDefault="00A144B4" w:rsidP="00A144B4">
      <w:pPr>
        <w:pStyle w:val="NoSpacing"/>
        <w:rPr>
          <w:rFonts w:ascii="Arial" w:hAnsi="Arial" w:cs="Arial"/>
          <w:sz w:val="22"/>
          <w:szCs w:val="22"/>
          <w:lang w:val="sr-Latn-CS"/>
        </w:rPr>
      </w:pPr>
    </w:p>
    <w:p w:rsidR="00A144B4" w:rsidRDefault="00A144B4" w:rsidP="00A144B4">
      <w:pPr>
        <w:pStyle w:val="NoSpacing"/>
        <w:numPr>
          <w:ilvl w:val="0"/>
          <w:numId w:val="20"/>
        </w:numPr>
        <w:rPr>
          <w:rFonts w:ascii="Arial" w:hAnsi="Arial" w:cs="Arial"/>
          <w:sz w:val="22"/>
          <w:szCs w:val="22"/>
          <w:lang w:val="sr-Latn-CS"/>
        </w:rPr>
      </w:pPr>
      <w:r w:rsidRPr="00F30015">
        <w:rPr>
          <w:rFonts w:ascii="Arial" w:hAnsi="Arial" w:cs="Arial"/>
          <w:b/>
          <w:sz w:val="22"/>
          <w:szCs w:val="22"/>
          <w:lang w:val="sr-Latn-CS"/>
        </w:rPr>
        <w:t>Vlada Crne Gore utvrdila Predlog Zakona o izmjenama i dopunama Zakona o akcizama</w:t>
      </w:r>
      <w:r w:rsidRPr="00F30015">
        <w:rPr>
          <w:rFonts w:ascii="Arial" w:hAnsi="Arial" w:cs="Arial"/>
          <w:sz w:val="22"/>
          <w:szCs w:val="22"/>
          <w:lang w:val="sr-Latn-CS"/>
        </w:rPr>
        <w:t>, kojim je izvršena izmjena u dijelu povećanja akciznih stopa i njihovog postepenog usaglašavanja sa standardima EU, preciziranja korišćenja akciznih proizvoda, zaliha i kaznene politike, i da je isti proslijeđen Skupštini Crne Gore na dalji postupak;</w:t>
      </w:r>
    </w:p>
    <w:p w:rsidR="00A144B4" w:rsidRDefault="00A144B4" w:rsidP="00A144B4">
      <w:pPr>
        <w:pStyle w:val="NoSpacing"/>
        <w:numPr>
          <w:ilvl w:val="0"/>
          <w:numId w:val="20"/>
        </w:numPr>
        <w:rPr>
          <w:rFonts w:ascii="Arial" w:hAnsi="Arial" w:cs="Arial"/>
          <w:sz w:val="22"/>
          <w:szCs w:val="22"/>
          <w:lang w:val="sr-Latn-CS"/>
        </w:rPr>
      </w:pPr>
      <w:r w:rsidRPr="00F30015">
        <w:rPr>
          <w:rFonts w:ascii="Arial" w:hAnsi="Arial" w:cs="Arial"/>
          <w:b/>
          <w:sz w:val="22"/>
          <w:szCs w:val="22"/>
          <w:lang w:val="sr-Latn-CS"/>
        </w:rPr>
        <w:t>Predlog Zakona o izmjenama i dopunama Carinskog zakona</w:t>
      </w:r>
      <w:r w:rsidRPr="00F30015">
        <w:rPr>
          <w:rFonts w:ascii="Arial" w:hAnsi="Arial" w:cs="Arial"/>
          <w:sz w:val="22"/>
          <w:szCs w:val="22"/>
          <w:lang w:val="sr-Latn-CS"/>
        </w:rPr>
        <w:t>, kojim je</w:t>
      </w:r>
      <w:r>
        <w:rPr>
          <w:rFonts w:ascii="Arial" w:hAnsi="Arial" w:cs="Arial"/>
          <w:sz w:val="22"/>
          <w:szCs w:val="22"/>
          <w:lang w:val="sr-Latn-CS"/>
        </w:rPr>
        <w:t xml:space="preserve">, </w:t>
      </w:r>
      <w:r w:rsidRPr="007520D7">
        <w:rPr>
          <w:rFonts w:ascii="Arial" w:hAnsi="Arial" w:cs="Arial"/>
          <w:color w:val="000000" w:themeColor="text1"/>
          <w:sz w:val="22"/>
          <w:szCs w:val="22"/>
          <w:lang w:val="sr-Latn-CS"/>
        </w:rPr>
        <w:t>pored ostalog,</w:t>
      </w:r>
      <w:r>
        <w:rPr>
          <w:rFonts w:ascii="Arial" w:hAnsi="Arial" w:cs="Arial"/>
          <w:sz w:val="22"/>
          <w:szCs w:val="22"/>
          <w:lang w:val="sr-Latn-CS"/>
        </w:rPr>
        <w:t xml:space="preserve"> </w:t>
      </w:r>
      <w:r w:rsidRPr="00F30015">
        <w:rPr>
          <w:rFonts w:ascii="Arial" w:hAnsi="Arial" w:cs="Arial"/>
          <w:sz w:val="22"/>
          <w:szCs w:val="22"/>
          <w:lang w:val="sr-Latn-CS"/>
        </w:rPr>
        <w:t xml:space="preserve"> izvršena izmjena u dijelu kaznene politike,  pripremljen i da će u najkraćem roku biti proslijeđen  Vladi na razmatranje;</w:t>
      </w:r>
    </w:p>
    <w:p w:rsidR="00A144B4" w:rsidRPr="00F30015" w:rsidRDefault="00A144B4" w:rsidP="00A144B4">
      <w:pPr>
        <w:pStyle w:val="NoSpacing"/>
        <w:numPr>
          <w:ilvl w:val="0"/>
          <w:numId w:val="20"/>
        </w:numPr>
        <w:rPr>
          <w:rFonts w:ascii="Arial" w:hAnsi="Arial" w:cs="Arial"/>
          <w:sz w:val="22"/>
          <w:szCs w:val="22"/>
          <w:lang w:val="sr-Latn-CS"/>
        </w:rPr>
      </w:pPr>
      <w:r w:rsidRPr="00F30015">
        <w:rPr>
          <w:rFonts w:ascii="Arial" w:hAnsi="Arial" w:cs="Arial"/>
          <w:sz w:val="22"/>
          <w:szCs w:val="22"/>
          <w:lang w:val="sr-Latn-CS"/>
        </w:rPr>
        <w:t>Resornim ministarstvima na dalju nadležnost proslijeđeni su predlozi za izmjenu i dopunu sljedećih zakona:</w:t>
      </w:r>
    </w:p>
    <w:p w:rsidR="00A144B4" w:rsidRDefault="00A144B4" w:rsidP="00A144B4">
      <w:pPr>
        <w:pStyle w:val="NoSpacing"/>
        <w:numPr>
          <w:ilvl w:val="0"/>
          <w:numId w:val="21"/>
        </w:numPr>
        <w:ind w:firstLine="180"/>
        <w:rPr>
          <w:rFonts w:ascii="Arial" w:hAnsi="Arial" w:cs="Arial"/>
          <w:sz w:val="22"/>
          <w:szCs w:val="22"/>
          <w:lang w:val="sr-Latn-CS"/>
        </w:rPr>
      </w:pPr>
      <w:r w:rsidRPr="00F30015">
        <w:rPr>
          <w:rFonts w:ascii="Arial" w:hAnsi="Arial" w:cs="Arial"/>
          <w:b/>
          <w:sz w:val="22"/>
          <w:szCs w:val="22"/>
          <w:lang w:val="sr-Latn-CS"/>
        </w:rPr>
        <w:t>Zakona o turizmu</w:t>
      </w:r>
      <w:r w:rsidRPr="00F30015">
        <w:rPr>
          <w:rFonts w:ascii="Arial" w:hAnsi="Arial" w:cs="Arial"/>
          <w:sz w:val="22"/>
          <w:szCs w:val="22"/>
          <w:lang w:val="sr-Latn-CS"/>
        </w:rPr>
        <w:t xml:space="preserve">, u dijelu kaznene politike (Ministarstvo održivog razvoja i turizma); </w:t>
      </w:r>
    </w:p>
    <w:p w:rsidR="00A144B4" w:rsidRDefault="00A144B4" w:rsidP="00A144B4">
      <w:pPr>
        <w:pStyle w:val="NoSpacing"/>
        <w:numPr>
          <w:ilvl w:val="0"/>
          <w:numId w:val="21"/>
        </w:numPr>
        <w:ind w:firstLine="180"/>
        <w:rPr>
          <w:rFonts w:ascii="Arial" w:hAnsi="Arial" w:cs="Arial"/>
          <w:sz w:val="22"/>
          <w:szCs w:val="22"/>
          <w:lang w:val="sr-Latn-CS"/>
        </w:rPr>
      </w:pPr>
      <w:r w:rsidRPr="00F30015">
        <w:rPr>
          <w:rFonts w:ascii="Arial" w:hAnsi="Arial" w:cs="Arial"/>
          <w:b/>
          <w:sz w:val="22"/>
          <w:szCs w:val="22"/>
          <w:lang w:val="sr-Latn-CS"/>
        </w:rPr>
        <w:t>Zakona o raftingu</w:t>
      </w:r>
      <w:r w:rsidRPr="00F30015">
        <w:rPr>
          <w:rFonts w:ascii="Arial" w:hAnsi="Arial" w:cs="Arial"/>
          <w:sz w:val="22"/>
          <w:szCs w:val="22"/>
          <w:lang w:val="sr-Latn-CS"/>
        </w:rPr>
        <w:t xml:space="preserve"> u dijelu kaznene politike (Ministarstvo turizma i održivog razvoja); </w:t>
      </w:r>
    </w:p>
    <w:p w:rsidR="00A144B4" w:rsidRDefault="00A144B4" w:rsidP="00A144B4">
      <w:pPr>
        <w:pStyle w:val="NoSpacing"/>
        <w:numPr>
          <w:ilvl w:val="0"/>
          <w:numId w:val="21"/>
        </w:numPr>
        <w:ind w:firstLine="180"/>
        <w:rPr>
          <w:rFonts w:ascii="Arial" w:hAnsi="Arial" w:cs="Arial"/>
          <w:sz w:val="22"/>
          <w:szCs w:val="22"/>
          <w:lang w:val="sr-Latn-CS"/>
        </w:rPr>
      </w:pPr>
      <w:r w:rsidRPr="00F30015">
        <w:rPr>
          <w:rFonts w:ascii="Arial" w:hAnsi="Arial" w:cs="Arial"/>
          <w:b/>
          <w:sz w:val="22"/>
          <w:szCs w:val="22"/>
          <w:lang w:val="sr-Latn-CS"/>
        </w:rPr>
        <w:t>Zakona o radu</w:t>
      </w:r>
      <w:r w:rsidRPr="00F30015">
        <w:rPr>
          <w:rFonts w:ascii="Arial" w:hAnsi="Arial" w:cs="Arial"/>
          <w:sz w:val="22"/>
          <w:szCs w:val="22"/>
          <w:lang w:val="sr-Latn-CS"/>
        </w:rPr>
        <w:t>, u dijelu kaznene politike (Ministarstvo rada i socijalnog staranja);</w:t>
      </w:r>
    </w:p>
    <w:p w:rsidR="00A144B4" w:rsidRPr="00F30015" w:rsidRDefault="00A144B4" w:rsidP="00A144B4">
      <w:pPr>
        <w:pStyle w:val="NoSpacing"/>
        <w:numPr>
          <w:ilvl w:val="0"/>
          <w:numId w:val="21"/>
        </w:numPr>
        <w:ind w:firstLine="180"/>
        <w:rPr>
          <w:rFonts w:ascii="Arial" w:hAnsi="Arial" w:cs="Arial"/>
          <w:sz w:val="22"/>
          <w:szCs w:val="22"/>
          <w:lang w:val="sr-Latn-CS"/>
        </w:rPr>
      </w:pPr>
      <w:r w:rsidRPr="00F30015">
        <w:rPr>
          <w:rFonts w:ascii="Arial" w:hAnsi="Arial" w:cs="Arial"/>
          <w:b/>
          <w:sz w:val="22"/>
          <w:szCs w:val="22"/>
          <w:lang w:val="sr-Latn-CS"/>
        </w:rPr>
        <w:t>Zakona o zapošljavanju i radu stranaca,</w:t>
      </w:r>
      <w:r w:rsidRPr="00F30015">
        <w:rPr>
          <w:rFonts w:ascii="Arial" w:hAnsi="Arial" w:cs="Arial"/>
          <w:sz w:val="22"/>
          <w:szCs w:val="22"/>
          <w:lang w:val="sr-Latn-CS"/>
        </w:rPr>
        <w:t xml:space="preserve"> u dijelu kaznene politike  (Ministarstvo rada i socijalnog staranja).</w:t>
      </w:r>
    </w:p>
    <w:p w:rsidR="00A144B4" w:rsidRDefault="00A144B4" w:rsidP="00A144B4">
      <w:pPr>
        <w:pStyle w:val="NoSpacing"/>
        <w:jc w:val="center"/>
        <w:rPr>
          <w:rFonts w:ascii="Arial" w:hAnsi="Arial" w:cs="Arial"/>
          <w:b/>
          <w:i/>
          <w:sz w:val="22"/>
          <w:szCs w:val="22"/>
          <w:lang w:val="hr-HR"/>
        </w:rPr>
      </w:pPr>
    </w:p>
    <w:p w:rsidR="00F30015" w:rsidRDefault="00F30015" w:rsidP="000F42E7">
      <w:pPr>
        <w:pStyle w:val="NoSpacing"/>
        <w:rPr>
          <w:rFonts w:ascii="Arial" w:hAnsi="Arial" w:cs="Arial"/>
          <w:b/>
          <w:i/>
          <w:sz w:val="22"/>
          <w:szCs w:val="22"/>
          <w:lang w:val="hr-HR"/>
        </w:rPr>
      </w:pPr>
    </w:p>
    <w:p w:rsidR="00650403" w:rsidRPr="00650403" w:rsidRDefault="00650403" w:rsidP="00650403">
      <w:pPr>
        <w:pStyle w:val="NoSpacing"/>
        <w:jc w:val="center"/>
        <w:rPr>
          <w:rFonts w:ascii="Arial" w:hAnsi="Arial" w:cs="Arial"/>
          <w:b/>
          <w:i/>
          <w:sz w:val="22"/>
          <w:szCs w:val="22"/>
          <w:lang w:val="hr-HR"/>
        </w:rPr>
      </w:pPr>
      <w:r w:rsidRPr="00650403">
        <w:rPr>
          <w:rFonts w:ascii="Arial" w:hAnsi="Arial" w:cs="Arial"/>
          <w:b/>
          <w:i/>
          <w:sz w:val="22"/>
          <w:szCs w:val="22"/>
          <w:lang w:val="hr-HR"/>
        </w:rPr>
        <w:t>I Z V J E Š T A J</w:t>
      </w:r>
    </w:p>
    <w:p w:rsidR="00650403" w:rsidRPr="00650403" w:rsidRDefault="00650403" w:rsidP="00650403">
      <w:pPr>
        <w:pStyle w:val="NoSpacing"/>
        <w:jc w:val="center"/>
        <w:rPr>
          <w:rFonts w:ascii="Arial" w:hAnsi="Arial" w:cs="Arial"/>
          <w:b/>
          <w:i/>
          <w:sz w:val="22"/>
          <w:szCs w:val="22"/>
          <w:lang w:val="hr-HR"/>
        </w:rPr>
      </w:pPr>
      <w:r w:rsidRPr="00650403">
        <w:rPr>
          <w:rFonts w:ascii="Arial" w:hAnsi="Arial" w:cs="Arial"/>
          <w:b/>
          <w:i/>
          <w:sz w:val="22"/>
          <w:szCs w:val="22"/>
          <w:lang w:val="hr-HR"/>
        </w:rPr>
        <w:t>RADNOG TIMA ZA POVEĆANJE EFIKASNOSTI NAPLATE BORAVIŠNE TAKSE</w:t>
      </w:r>
    </w:p>
    <w:p w:rsidR="000F42E7" w:rsidRDefault="000F42E7" w:rsidP="00650403">
      <w:pPr>
        <w:pStyle w:val="NoSpacing"/>
        <w:rPr>
          <w:rFonts w:ascii="Arial" w:hAnsi="Arial" w:cs="Arial"/>
          <w:sz w:val="22"/>
          <w:szCs w:val="22"/>
          <w:lang w:val="hr-HR"/>
        </w:rPr>
      </w:pPr>
    </w:p>
    <w:p w:rsidR="000F42E7" w:rsidRPr="000F42E7" w:rsidRDefault="000F42E7" w:rsidP="000F42E7">
      <w:pPr>
        <w:pStyle w:val="NoSpacing"/>
        <w:rPr>
          <w:rFonts w:ascii="Arial" w:hAnsi="Arial" w:cs="Arial"/>
          <w:sz w:val="22"/>
          <w:szCs w:val="22"/>
          <w:lang w:val="hr-HR"/>
        </w:rPr>
      </w:pPr>
      <w:r w:rsidRPr="000F42E7">
        <w:rPr>
          <w:rFonts w:ascii="Arial" w:hAnsi="Arial" w:cs="Arial"/>
          <w:sz w:val="22"/>
          <w:szCs w:val="22"/>
          <w:lang w:val="hr-HR"/>
        </w:rPr>
        <w:t>U skladu sa obavezama dogovorenim na prvom sastanku Radne grupe za izradu Seta prijedloga mjera za suzbijanje sive ekonomije za 2013 godinu, održanom 6. februara 2013 godine, obrazovana je Radna grupa za povećanje efikasnosti naplate boravišne takse.  Zadatak Radnog tima je da izvrši izmjenu zakonske regulative u cilju smanjenja prostora za izbjegavanje plaćanja boravišne takse.</w:t>
      </w:r>
    </w:p>
    <w:p w:rsidR="000F42E7" w:rsidRPr="000F42E7" w:rsidRDefault="000F42E7" w:rsidP="000F42E7">
      <w:pPr>
        <w:pStyle w:val="NoSpacing"/>
        <w:rPr>
          <w:rFonts w:ascii="Arial" w:hAnsi="Arial" w:cs="Arial"/>
          <w:sz w:val="22"/>
          <w:szCs w:val="22"/>
          <w:lang w:val="hr-HR"/>
        </w:rPr>
      </w:pPr>
    </w:p>
    <w:p w:rsidR="000F42E7" w:rsidRPr="000F42E7" w:rsidRDefault="000F42E7" w:rsidP="000F42E7">
      <w:pPr>
        <w:pStyle w:val="NoSpacing"/>
        <w:rPr>
          <w:rFonts w:ascii="Arial" w:hAnsi="Arial" w:cs="Arial"/>
          <w:sz w:val="22"/>
          <w:szCs w:val="22"/>
          <w:lang w:val="sr-Latn-CS"/>
        </w:rPr>
      </w:pPr>
      <w:r w:rsidRPr="000F42E7">
        <w:rPr>
          <w:rFonts w:ascii="Arial" w:hAnsi="Arial" w:cs="Arial"/>
          <w:sz w:val="22"/>
          <w:szCs w:val="22"/>
          <w:lang w:val="hr-HR"/>
        </w:rPr>
        <w:t xml:space="preserve">Svi članovi Radnog tima su maksimalno posvećeni svome radu i uredno se odazivaju na zakazane sastanke. Sektor za turistički razvoj – Ministarstva održivog razvoja i turizma redovno održava </w:t>
      </w:r>
      <w:r w:rsidRPr="000F42E7">
        <w:rPr>
          <w:rFonts w:ascii="Arial" w:hAnsi="Arial" w:cs="Arial"/>
          <w:sz w:val="22"/>
          <w:szCs w:val="22"/>
        </w:rPr>
        <w:t xml:space="preserve">sastanke </w:t>
      </w:r>
      <w:r w:rsidRPr="000F42E7">
        <w:rPr>
          <w:rFonts w:ascii="Arial" w:hAnsi="Arial" w:cs="Arial"/>
          <w:sz w:val="22"/>
          <w:szCs w:val="22"/>
          <w:lang w:val="sr-Latn-CS"/>
        </w:rPr>
        <w:t>Radne grupe - podtima za rješavanje problema naplate boravišne takse.</w:t>
      </w:r>
      <w:r w:rsidRPr="000F42E7">
        <w:rPr>
          <w:rFonts w:ascii="Arial" w:hAnsi="Arial" w:cs="Arial"/>
          <w:sz w:val="22"/>
          <w:szCs w:val="22"/>
        </w:rPr>
        <w:t xml:space="preserve"> </w:t>
      </w:r>
      <w:r w:rsidRPr="000F42E7">
        <w:rPr>
          <w:rFonts w:ascii="Arial" w:hAnsi="Arial" w:cs="Arial"/>
          <w:sz w:val="22"/>
          <w:szCs w:val="22"/>
          <w:lang w:val="sr-Latn-CS"/>
        </w:rPr>
        <w:t>Sastancima pored predstavnika Ministarstva održivog razvoja i turizma, prisustvuju i predstavnici Ministarstva finansija, Ministarstva unutrašnjih poslova,  Poreske uprave Crne Gore, Lokalne turističke organizacije Bar kao i rukovodilac odjeljenja za privredu i koordinator naplate boravišne takse u toku turističke sezone, opštine Budva.</w:t>
      </w:r>
    </w:p>
    <w:p w:rsidR="000F42E7" w:rsidRPr="000F42E7" w:rsidRDefault="000F42E7" w:rsidP="000F42E7">
      <w:pPr>
        <w:pStyle w:val="NoSpacing"/>
        <w:rPr>
          <w:rFonts w:ascii="Arial" w:hAnsi="Arial" w:cs="Arial"/>
          <w:sz w:val="22"/>
          <w:szCs w:val="22"/>
          <w:lang w:val="sr-Latn-CS"/>
        </w:rPr>
      </w:pPr>
    </w:p>
    <w:p w:rsidR="000F42E7" w:rsidRPr="000F42E7" w:rsidRDefault="000F42E7" w:rsidP="000F42E7">
      <w:pPr>
        <w:pStyle w:val="NoSpacing"/>
        <w:rPr>
          <w:rFonts w:ascii="Arial" w:hAnsi="Arial" w:cs="Arial"/>
          <w:sz w:val="22"/>
          <w:szCs w:val="22"/>
          <w:lang w:val="sr-Latn-CS"/>
        </w:rPr>
      </w:pPr>
      <w:r w:rsidRPr="000F42E7">
        <w:rPr>
          <w:rFonts w:ascii="Arial" w:hAnsi="Arial" w:cs="Arial"/>
          <w:sz w:val="22"/>
          <w:szCs w:val="22"/>
          <w:lang w:val="sr-Latn-CS"/>
        </w:rPr>
        <w:t>Dana 25 aprila 2013 .godine predstavnici Ministarstva održivog razvoja i turizma su u opštini Kolašin održali sastanak sa predstavnicima privatnog smještaja na temu “</w:t>
      </w:r>
      <w:r w:rsidRPr="000F42E7">
        <w:rPr>
          <w:rFonts w:ascii="Arial" w:hAnsi="Arial" w:cs="Arial"/>
          <w:i/>
          <w:sz w:val="22"/>
          <w:szCs w:val="22"/>
          <w:lang w:val="sr-Latn-CS"/>
        </w:rPr>
        <w:t>Nelegalnog poslovanja u privatnom smještaju i problema oko naplate boravišne takse“,</w:t>
      </w:r>
      <w:r w:rsidRPr="000F42E7">
        <w:rPr>
          <w:rFonts w:ascii="Arial" w:hAnsi="Arial" w:cs="Arial"/>
          <w:sz w:val="22"/>
          <w:szCs w:val="22"/>
          <w:lang w:val="sr-Latn-CS"/>
        </w:rPr>
        <w:t xml:space="preserve"> i drugih tekućih problema a sve u cilju suzbijanja sive ekonomije u privatnom smještaju.</w:t>
      </w:r>
    </w:p>
    <w:p w:rsidR="000F42E7" w:rsidRPr="000F42E7" w:rsidRDefault="000F42E7" w:rsidP="000F42E7">
      <w:pPr>
        <w:pStyle w:val="NoSpacing"/>
        <w:rPr>
          <w:rFonts w:ascii="Arial" w:hAnsi="Arial" w:cs="Arial"/>
          <w:sz w:val="22"/>
          <w:szCs w:val="22"/>
          <w:lang w:val="sr-Latn-CS"/>
        </w:rPr>
      </w:pPr>
    </w:p>
    <w:p w:rsidR="000F42E7" w:rsidRPr="000F42E7" w:rsidRDefault="000F42E7" w:rsidP="000F42E7">
      <w:pPr>
        <w:pStyle w:val="NoSpacing"/>
        <w:rPr>
          <w:rFonts w:ascii="Arial" w:hAnsi="Arial" w:cs="Arial"/>
          <w:sz w:val="22"/>
          <w:szCs w:val="22"/>
          <w:lang w:val="sr-Latn-CS"/>
        </w:rPr>
      </w:pPr>
      <w:r w:rsidRPr="000F42E7">
        <w:rPr>
          <w:rFonts w:ascii="Arial" w:hAnsi="Arial" w:cs="Arial"/>
          <w:sz w:val="22"/>
          <w:szCs w:val="22"/>
          <w:lang w:val="sr-Latn-CS"/>
        </w:rPr>
        <w:t xml:space="preserve">Ministarstvo održivog razvoja i turizma je shodno ovlašćenjima iz Zakona o boravišnoj taksi donijelo </w:t>
      </w:r>
      <w:r w:rsidRPr="000F42E7">
        <w:rPr>
          <w:rFonts w:ascii="Arial" w:hAnsi="Arial" w:cs="Arial"/>
          <w:i/>
          <w:sz w:val="22"/>
          <w:szCs w:val="22"/>
          <w:lang w:val="sr-Latn-CS"/>
        </w:rPr>
        <w:t>Pravilnik o sadržaju evidencije plaćene boravišne takse</w:t>
      </w:r>
      <w:r w:rsidRPr="000F42E7">
        <w:rPr>
          <w:rFonts w:ascii="Arial" w:hAnsi="Arial" w:cs="Arial"/>
          <w:sz w:val="22"/>
          <w:szCs w:val="22"/>
          <w:lang w:val="sr-Latn-CS"/>
        </w:rPr>
        <w:t xml:space="preserve"> koji  je objavljen u službenom listu Crne Gore broj 22 od 17 maja 2013 .godine. Evidencija o plaćenoj boravišnoj taksi </w:t>
      </w:r>
      <w:r w:rsidRPr="000F42E7">
        <w:rPr>
          <w:rFonts w:ascii="Arial" w:hAnsi="Arial" w:cs="Arial"/>
          <w:sz w:val="22"/>
          <w:szCs w:val="22"/>
          <w:lang w:val="sr-Latn-CS"/>
        </w:rPr>
        <w:lastRenderedPageBreak/>
        <w:t>omogućiće preciznu informaciju o naplati boravišne takse od pružaoca usluga smještaja u kojem se obavlja turistička i ugostiteljska djelatnost.</w:t>
      </w:r>
    </w:p>
    <w:p w:rsidR="000F42E7" w:rsidRPr="000F42E7" w:rsidRDefault="000F42E7" w:rsidP="000F42E7">
      <w:pPr>
        <w:pStyle w:val="NoSpacing"/>
        <w:rPr>
          <w:rFonts w:ascii="Arial" w:hAnsi="Arial" w:cs="Arial"/>
          <w:sz w:val="22"/>
          <w:szCs w:val="22"/>
          <w:lang w:val="sr-Latn-CS"/>
        </w:rPr>
      </w:pPr>
    </w:p>
    <w:p w:rsidR="000C4989" w:rsidRDefault="000F42E7" w:rsidP="000F42E7">
      <w:pPr>
        <w:pStyle w:val="NoSpacing"/>
        <w:rPr>
          <w:rFonts w:ascii="Arial" w:hAnsi="Arial" w:cs="Arial"/>
          <w:sz w:val="22"/>
          <w:szCs w:val="22"/>
          <w:lang w:val="sr-Latn-CS"/>
        </w:rPr>
      </w:pPr>
      <w:r w:rsidRPr="000F42E7">
        <w:rPr>
          <w:rFonts w:ascii="Arial" w:hAnsi="Arial" w:cs="Arial"/>
          <w:sz w:val="22"/>
          <w:szCs w:val="22"/>
          <w:lang w:val="sr-Latn-CS"/>
        </w:rPr>
        <w:t xml:space="preserve">Radna grupa je i pripremila </w:t>
      </w:r>
      <w:r w:rsidRPr="000F42E7">
        <w:rPr>
          <w:rFonts w:ascii="Arial" w:hAnsi="Arial" w:cs="Arial"/>
          <w:i/>
          <w:sz w:val="22"/>
          <w:szCs w:val="22"/>
          <w:lang w:val="sr-Latn-CS"/>
        </w:rPr>
        <w:t>Pravilnik o razvrstavanju za koje se plaća članski doprinos turističkim organizacijama</w:t>
      </w:r>
      <w:r w:rsidRPr="000F42E7">
        <w:rPr>
          <w:rFonts w:ascii="Arial" w:hAnsi="Arial" w:cs="Arial"/>
          <w:sz w:val="22"/>
          <w:szCs w:val="22"/>
          <w:lang w:val="sr-Latn-CS"/>
        </w:rPr>
        <w:t xml:space="preserve"> (Ovim pravilnikom razvrstavaju se u grupe djelatnosti za koje se plaća članski doprinos u turističkim organizacijama). </w:t>
      </w:r>
    </w:p>
    <w:p w:rsidR="000C4989" w:rsidRDefault="000C4989" w:rsidP="000F42E7">
      <w:pPr>
        <w:pStyle w:val="NoSpacing"/>
        <w:rPr>
          <w:rFonts w:ascii="Arial" w:hAnsi="Arial" w:cs="Arial"/>
          <w:sz w:val="22"/>
          <w:szCs w:val="22"/>
          <w:lang w:val="sr-Latn-CS"/>
        </w:rPr>
      </w:pPr>
    </w:p>
    <w:p w:rsidR="000C4989" w:rsidRDefault="000F42E7" w:rsidP="000F42E7">
      <w:pPr>
        <w:pStyle w:val="NoSpacing"/>
        <w:rPr>
          <w:rFonts w:ascii="Arial" w:hAnsi="Arial" w:cs="Arial"/>
          <w:sz w:val="22"/>
          <w:szCs w:val="22"/>
          <w:lang w:val="sr-Latn-CS"/>
        </w:rPr>
      </w:pPr>
      <w:r w:rsidRPr="000F42E7">
        <w:rPr>
          <w:rFonts w:ascii="Arial" w:hAnsi="Arial" w:cs="Arial"/>
          <w:sz w:val="22"/>
          <w:szCs w:val="22"/>
          <w:lang w:val="sr-Latn-CS"/>
        </w:rPr>
        <w:t xml:space="preserve">Radni tim je i pripremio predlog izmjena i dopuna Zakona o boravišnoj taksi u cilju usklađivanja ovog zakona sa novim Zakonom o prekrsajima. Usklađivanje se odnosi na visinu kazni u prekršajnom postupku tako da su minimalni iznosi zarade u Crnoj Gori zamijenjeni u nominalnim iznosima iskazani u eurima. </w:t>
      </w:r>
    </w:p>
    <w:p w:rsidR="000C4989" w:rsidRDefault="000C4989" w:rsidP="000F42E7">
      <w:pPr>
        <w:pStyle w:val="NoSpacing"/>
        <w:rPr>
          <w:rFonts w:ascii="Arial" w:hAnsi="Arial" w:cs="Arial"/>
          <w:sz w:val="22"/>
          <w:szCs w:val="22"/>
          <w:lang w:val="sr-Latn-CS"/>
        </w:rPr>
      </w:pPr>
    </w:p>
    <w:p w:rsidR="000F42E7" w:rsidRPr="000F42E7" w:rsidRDefault="000F42E7" w:rsidP="000F42E7">
      <w:pPr>
        <w:pStyle w:val="NoSpacing"/>
        <w:rPr>
          <w:rFonts w:ascii="Arial" w:hAnsi="Arial" w:cs="Arial"/>
          <w:sz w:val="22"/>
          <w:szCs w:val="22"/>
        </w:rPr>
      </w:pPr>
      <w:r w:rsidRPr="000F42E7">
        <w:rPr>
          <w:rFonts w:ascii="Arial" w:hAnsi="Arial" w:cs="Arial"/>
          <w:sz w:val="22"/>
          <w:szCs w:val="22"/>
        </w:rPr>
        <w:t>Jedna od najznačajnih novina definisanih u Zakonu o turizmu, predstavlja uvođenje obaveze za privredna društva, pravna lica, preduzetnike i fizička lica, da evidenciju ostvarenog turističkog prometa u ugostiteljskim objektima za pružanje usluga smještaja, lukama nautičkog turizma – marinama i plovnim objektima za smještaj (jahte, brodovi i sl.), tačno, potpuno i ažurno vode u Jedinstvenoj evidenciji turističkog prometa. Cilj uvođenja navedenog instituta je potreba da se na jedan sveobuhvatan način obezbijede tačni i ažurni podaci o ostvarenom turitičkom prometu. Jedinstvena evidencija vodi se neposrednim unošenjem podataka u registar boravišta organa uprave nadležnog za poslove policije. S tim u vezi, Ministarstvo održivog razvoja i turizman u saradnji sa Ministarstvom unutrašnjih poslova radi na izradi rješenja za uspostavljanje elektronskog registra boravišta. Postignut je dogovor da Ministarstvo unutrašnjih poslova realizuje aplikativno rješenje za uspostavljanje elektronskog registra boravišta a da je za implementaciju navedenog rješenja neophodno da Ministarstvo održivog razvoja i turizma izvrši nabavku hardvera koji će biti ustupljen Ministarstvu unutrašnjih poslova u skladu sa specifikacijom. Zajednički radni tim će usaglasiti sve detalje vezane za ovaj obostrano koristan projekat.</w:t>
      </w:r>
    </w:p>
    <w:p w:rsidR="00650403" w:rsidRPr="00650403" w:rsidRDefault="00650403" w:rsidP="00650403">
      <w:pPr>
        <w:pStyle w:val="NoSpacing"/>
        <w:rPr>
          <w:rFonts w:ascii="Arial" w:hAnsi="Arial" w:cs="Arial"/>
          <w:sz w:val="22"/>
          <w:szCs w:val="22"/>
          <w:lang w:val="hr-HR"/>
        </w:rPr>
      </w:pPr>
    </w:p>
    <w:p w:rsidR="00CF436C" w:rsidRDefault="00CF436C" w:rsidP="00650403">
      <w:pPr>
        <w:pStyle w:val="NoSpacing"/>
        <w:jc w:val="center"/>
        <w:rPr>
          <w:rFonts w:ascii="Arial" w:hAnsi="Arial" w:cs="Arial"/>
          <w:b/>
          <w:i/>
          <w:sz w:val="22"/>
          <w:szCs w:val="22"/>
          <w:lang w:val="hr-HR"/>
        </w:rPr>
      </w:pPr>
    </w:p>
    <w:p w:rsidR="00650403" w:rsidRPr="00650403" w:rsidRDefault="00650403" w:rsidP="00650403">
      <w:pPr>
        <w:pStyle w:val="NoSpacing"/>
        <w:jc w:val="center"/>
        <w:rPr>
          <w:rFonts w:ascii="Arial" w:hAnsi="Arial" w:cs="Arial"/>
          <w:b/>
          <w:i/>
          <w:sz w:val="22"/>
          <w:szCs w:val="22"/>
          <w:lang w:val="hr-HR"/>
        </w:rPr>
      </w:pPr>
      <w:r w:rsidRPr="00650403">
        <w:rPr>
          <w:rFonts w:ascii="Arial" w:hAnsi="Arial" w:cs="Arial"/>
          <w:b/>
          <w:i/>
          <w:sz w:val="22"/>
          <w:szCs w:val="22"/>
          <w:lang w:val="hr-HR"/>
        </w:rPr>
        <w:t>I Z V J E Š T A J</w:t>
      </w:r>
    </w:p>
    <w:p w:rsidR="00650403" w:rsidRDefault="00650403" w:rsidP="00650403">
      <w:pPr>
        <w:pStyle w:val="NoSpacing"/>
        <w:jc w:val="center"/>
        <w:rPr>
          <w:rFonts w:ascii="Arial" w:hAnsi="Arial" w:cs="Arial"/>
          <w:b/>
          <w:i/>
          <w:sz w:val="22"/>
          <w:szCs w:val="22"/>
          <w:lang w:val="hr-HR"/>
        </w:rPr>
      </w:pPr>
      <w:r w:rsidRPr="00650403">
        <w:rPr>
          <w:rFonts w:ascii="Arial" w:hAnsi="Arial" w:cs="Arial"/>
          <w:b/>
          <w:i/>
          <w:sz w:val="22"/>
          <w:szCs w:val="22"/>
          <w:lang w:val="hr-HR"/>
        </w:rPr>
        <w:t>RADNOG TIMA ZA EDUKACIJU ZAPOSLENIH U INSPEKCIJSKIM SLUŽBAMA</w:t>
      </w:r>
    </w:p>
    <w:p w:rsidR="000F42E7" w:rsidRPr="00650403" w:rsidRDefault="000F42E7" w:rsidP="00650403">
      <w:pPr>
        <w:pStyle w:val="NoSpacing"/>
        <w:rPr>
          <w:rFonts w:ascii="Arial" w:hAnsi="Arial" w:cs="Arial"/>
          <w:b/>
          <w:i/>
          <w:sz w:val="22"/>
          <w:szCs w:val="22"/>
          <w:lang w:val="hr-HR"/>
        </w:rPr>
      </w:pPr>
    </w:p>
    <w:p w:rsidR="00650403" w:rsidRPr="00650403" w:rsidRDefault="00650403" w:rsidP="00892D1F">
      <w:pPr>
        <w:pStyle w:val="NoSpacing"/>
        <w:rPr>
          <w:rFonts w:ascii="Arial" w:hAnsi="Arial" w:cs="Arial"/>
          <w:sz w:val="22"/>
          <w:szCs w:val="22"/>
          <w:lang w:val="hr-HR"/>
        </w:rPr>
      </w:pPr>
      <w:r w:rsidRPr="00650403">
        <w:rPr>
          <w:rFonts w:ascii="Arial" w:hAnsi="Arial" w:cs="Arial"/>
          <w:sz w:val="22"/>
          <w:szCs w:val="22"/>
          <w:lang w:val="hr-HR"/>
        </w:rPr>
        <w:t xml:space="preserve">Radni tim za </w:t>
      </w:r>
      <w:r w:rsidRPr="00650403">
        <w:rPr>
          <w:rFonts w:ascii="Arial" w:hAnsi="Arial" w:cs="Arial"/>
          <w:sz w:val="22"/>
          <w:szCs w:val="22"/>
        </w:rPr>
        <w:t>edukaciju zaposlenih u inspekcijskim službama, u dijelu pripremanja, podnošenja i učestvovanja u prekršajnom postupku</w:t>
      </w:r>
      <w:r w:rsidR="00A41981">
        <w:rPr>
          <w:rFonts w:ascii="Arial" w:hAnsi="Arial" w:cs="Arial"/>
          <w:sz w:val="22"/>
          <w:szCs w:val="22"/>
        </w:rPr>
        <w:t xml:space="preserve"> je formiran na prvom sastanku Radne grupe za izradu Seta prijedloga </w:t>
      </w:r>
      <w:r w:rsidR="00A41981" w:rsidRPr="00A41981">
        <w:rPr>
          <w:rFonts w:ascii="Arial" w:hAnsi="Arial" w:cs="Arial"/>
          <w:sz w:val="22"/>
          <w:szCs w:val="22"/>
        </w:rPr>
        <w:t xml:space="preserve">mjera za suzbijanje sive ekonomije za 2013. </w:t>
      </w:r>
      <w:r w:rsidR="00A41981">
        <w:rPr>
          <w:rFonts w:ascii="Arial" w:hAnsi="Arial" w:cs="Arial"/>
          <w:sz w:val="22"/>
          <w:szCs w:val="22"/>
        </w:rPr>
        <w:t>godinu I</w:t>
      </w:r>
      <w:r w:rsidRPr="00650403">
        <w:rPr>
          <w:rFonts w:ascii="Arial" w:hAnsi="Arial" w:cs="Arial"/>
          <w:sz w:val="22"/>
          <w:szCs w:val="22"/>
        </w:rPr>
        <w:t xml:space="preserve"> čine</w:t>
      </w:r>
      <w:r w:rsidR="00A41981">
        <w:rPr>
          <w:rFonts w:ascii="Arial" w:hAnsi="Arial" w:cs="Arial"/>
          <w:sz w:val="22"/>
          <w:szCs w:val="22"/>
        </w:rPr>
        <w:t xml:space="preserve"> ga</w:t>
      </w:r>
      <w:r w:rsidRPr="00650403">
        <w:rPr>
          <w:rFonts w:ascii="Arial" w:hAnsi="Arial" w:cs="Arial"/>
          <w:sz w:val="22"/>
          <w:szCs w:val="22"/>
        </w:rPr>
        <w:t xml:space="preserve"> predstavnici Vijeća za prekršaje</w:t>
      </w:r>
      <w:r w:rsidRPr="00650403">
        <w:rPr>
          <w:rFonts w:ascii="Arial" w:eastAsia="Calibri" w:hAnsi="Arial" w:cs="Arial"/>
          <w:sz w:val="22"/>
          <w:szCs w:val="22"/>
          <w:lang w:val="sr-Latn-CS"/>
        </w:rPr>
        <w:t>, Poreske uprave, Uprave carina i Uprave za inspekcijske poslove</w:t>
      </w:r>
      <w:r w:rsidRPr="00650403">
        <w:rPr>
          <w:rFonts w:ascii="Arial" w:hAnsi="Arial" w:cs="Arial"/>
          <w:sz w:val="22"/>
          <w:szCs w:val="22"/>
        </w:rPr>
        <w:t>.</w:t>
      </w:r>
      <w:r w:rsidRPr="00650403">
        <w:rPr>
          <w:rFonts w:ascii="Arial" w:hAnsi="Arial" w:cs="Arial"/>
          <w:bCs/>
          <w:sz w:val="22"/>
          <w:szCs w:val="22"/>
        </w:rPr>
        <w:t xml:space="preserve"> </w:t>
      </w:r>
      <w:r w:rsidRPr="00650403">
        <w:rPr>
          <w:rFonts w:ascii="Arial" w:hAnsi="Arial" w:cs="Arial"/>
          <w:sz w:val="22"/>
          <w:szCs w:val="22"/>
        </w:rPr>
        <w:t>Zadatak Radnog tima je da organizuje i sprovede dodatne edukacije zaposlenih u inspekcijskim službama u cilju kvalitetnijeg sprovođenja prekršajnog postupka, kao i podizanja nivoa efikasnosti rada inspekcijskih službi.</w:t>
      </w:r>
    </w:p>
    <w:p w:rsidR="00650403" w:rsidRPr="00650403" w:rsidRDefault="00650403" w:rsidP="00892D1F">
      <w:pPr>
        <w:pStyle w:val="NoSpacing"/>
        <w:rPr>
          <w:rFonts w:ascii="Arial" w:hAnsi="Arial" w:cs="Arial"/>
          <w:bCs/>
          <w:sz w:val="22"/>
          <w:szCs w:val="22"/>
        </w:rPr>
      </w:pPr>
    </w:p>
    <w:p w:rsidR="00F07506" w:rsidRDefault="00650403" w:rsidP="00A41981">
      <w:pPr>
        <w:pStyle w:val="NoSpacing"/>
        <w:rPr>
          <w:rFonts w:ascii="Arial" w:hAnsi="Arial" w:cs="Arial"/>
          <w:sz w:val="22"/>
          <w:szCs w:val="22"/>
        </w:rPr>
      </w:pPr>
      <w:r w:rsidRPr="00650403">
        <w:rPr>
          <w:rFonts w:ascii="Arial" w:hAnsi="Arial" w:cs="Arial"/>
          <w:sz w:val="22"/>
          <w:szCs w:val="22"/>
        </w:rPr>
        <w:t>Radni tim je</w:t>
      </w:r>
      <w:r w:rsidR="00F07506">
        <w:rPr>
          <w:rFonts w:ascii="Arial" w:hAnsi="Arial" w:cs="Arial"/>
          <w:sz w:val="22"/>
          <w:szCs w:val="22"/>
        </w:rPr>
        <w:t xml:space="preserve"> održao </w:t>
      </w:r>
      <w:r w:rsidRPr="00650403">
        <w:rPr>
          <w:rFonts w:ascii="Arial" w:hAnsi="Arial" w:cs="Arial"/>
          <w:sz w:val="22"/>
          <w:szCs w:val="22"/>
        </w:rPr>
        <w:t xml:space="preserve">sastanak u Vijeću za prekršaje i tom prilikom je dogovoren način  organizovanja edukacije zaposlenih u inspekcijskim službama. S tim u vezi, svi članovi su Vijeću za prekršaje dostavili set pitanja iz svoje nadležnosti kako bi se na najefikasniji način otklonili </w:t>
      </w:r>
      <w:r w:rsidR="00F07506">
        <w:rPr>
          <w:rFonts w:ascii="Arial" w:hAnsi="Arial" w:cs="Arial"/>
          <w:sz w:val="22"/>
          <w:szCs w:val="22"/>
        </w:rPr>
        <w:t>problem koji se javljaju</w:t>
      </w:r>
      <w:r w:rsidRPr="00650403">
        <w:rPr>
          <w:rFonts w:ascii="Arial" w:hAnsi="Arial" w:cs="Arial"/>
          <w:sz w:val="22"/>
          <w:szCs w:val="22"/>
        </w:rPr>
        <w:t xml:space="preserve"> prilikom pripreme, podnošenja i učestvovanja inspekcijskih službi u </w:t>
      </w:r>
      <w:r w:rsidR="00892D1F">
        <w:rPr>
          <w:rFonts w:ascii="Arial" w:hAnsi="Arial" w:cs="Arial"/>
          <w:sz w:val="22"/>
          <w:szCs w:val="22"/>
        </w:rPr>
        <w:t>prekršajnom postupku.</w:t>
      </w:r>
      <w:r w:rsidR="00F07506">
        <w:rPr>
          <w:rFonts w:ascii="Arial" w:hAnsi="Arial" w:cs="Arial"/>
          <w:sz w:val="22"/>
          <w:szCs w:val="22"/>
        </w:rPr>
        <w:t xml:space="preserve"> </w:t>
      </w:r>
    </w:p>
    <w:p w:rsidR="00F07506" w:rsidRDefault="00F07506" w:rsidP="00A41981">
      <w:pPr>
        <w:pStyle w:val="NoSpacing"/>
        <w:rPr>
          <w:rFonts w:ascii="Arial" w:hAnsi="Arial" w:cs="Arial"/>
          <w:sz w:val="22"/>
          <w:szCs w:val="22"/>
        </w:rPr>
      </w:pPr>
    </w:p>
    <w:p w:rsidR="00A41981" w:rsidRPr="00A41981" w:rsidRDefault="00A41981" w:rsidP="00A41981">
      <w:pPr>
        <w:pStyle w:val="NoSpacing"/>
        <w:rPr>
          <w:rFonts w:ascii="Arial" w:hAnsi="Arial" w:cs="Arial"/>
          <w:sz w:val="22"/>
          <w:szCs w:val="22"/>
        </w:rPr>
      </w:pPr>
      <w:r w:rsidRPr="00A41981">
        <w:rPr>
          <w:rFonts w:ascii="Arial" w:hAnsi="Arial" w:cs="Arial"/>
          <w:sz w:val="22"/>
          <w:szCs w:val="22"/>
        </w:rPr>
        <w:t>Nakon dostav</w:t>
      </w:r>
      <w:r w:rsidR="00F07506">
        <w:rPr>
          <w:rFonts w:ascii="Arial" w:hAnsi="Arial" w:cs="Arial"/>
          <w:sz w:val="22"/>
          <w:szCs w:val="22"/>
        </w:rPr>
        <w:t>ljanja navedenog seta pitanja, R</w:t>
      </w:r>
      <w:r w:rsidRPr="00A41981">
        <w:rPr>
          <w:rFonts w:ascii="Arial" w:hAnsi="Arial" w:cs="Arial"/>
          <w:sz w:val="22"/>
          <w:szCs w:val="22"/>
        </w:rPr>
        <w:t>adni tim je pristupio realizaciji edukacije na način što je istu pona</w:t>
      </w:r>
      <w:r w:rsidR="00F07506">
        <w:rPr>
          <w:rFonts w:ascii="Arial" w:hAnsi="Arial" w:cs="Arial"/>
          <w:sz w:val="22"/>
          <w:szCs w:val="22"/>
        </w:rPr>
        <w:t>osob izvršio pojedinačno sa svim inspekcijskim službama</w:t>
      </w:r>
      <w:r w:rsidRPr="00A41981">
        <w:rPr>
          <w:rFonts w:ascii="Arial" w:hAnsi="Arial" w:cs="Arial"/>
          <w:sz w:val="22"/>
          <w:szCs w:val="22"/>
        </w:rPr>
        <w:t xml:space="preserve"> (Poreskom upravom, Upravom za </w:t>
      </w:r>
      <w:r w:rsidR="00F07506">
        <w:rPr>
          <w:rFonts w:ascii="Arial" w:hAnsi="Arial" w:cs="Arial"/>
          <w:sz w:val="22"/>
          <w:szCs w:val="22"/>
        </w:rPr>
        <w:t xml:space="preserve">inspekcijske poslove i Upravom carina), tako da je </w:t>
      </w:r>
      <w:r w:rsidRPr="00A41981">
        <w:rPr>
          <w:rFonts w:ascii="Arial" w:hAnsi="Arial" w:cs="Arial"/>
          <w:sz w:val="22"/>
          <w:szCs w:val="22"/>
        </w:rPr>
        <w:t>tim u cjelosti izvršio svoje obaveze shodno, zaključcima sa prve sjednice Radne gr</w:t>
      </w:r>
      <w:r w:rsidR="00F07506">
        <w:rPr>
          <w:rFonts w:ascii="Arial" w:hAnsi="Arial" w:cs="Arial"/>
          <w:sz w:val="22"/>
          <w:szCs w:val="22"/>
        </w:rPr>
        <w:t xml:space="preserve">upe za izradu Seta prijedloga </w:t>
      </w:r>
      <w:r w:rsidRPr="00A41981">
        <w:rPr>
          <w:rFonts w:ascii="Arial" w:hAnsi="Arial" w:cs="Arial"/>
          <w:sz w:val="22"/>
          <w:szCs w:val="22"/>
        </w:rPr>
        <w:t>mjera za suzbijanje sive ekonomije za 2013. godinu. </w:t>
      </w:r>
    </w:p>
    <w:p w:rsidR="00650403" w:rsidRPr="00650403" w:rsidRDefault="00650403" w:rsidP="00650403">
      <w:pPr>
        <w:pStyle w:val="NoSpacing"/>
        <w:rPr>
          <w:rFonts w:ascii="Arial" w:hAnsi="Arial" w:cs="Arial"/>
          <w:sz w:val="22"/>
          <w:szCs w:val="22"/>
        </w:rPr>
      </w:pPr>
    </w:p>
    <w:p w:rsidR="00F30015" w:rsidRDefault="00F30015" w:rsidP="00650403">
      <w:pPr>
        <w:pStyle w:val="NoSpacing"/>
        <w:jc w:val="center"/>
        <w:rPr>
          <w:rFonts w:ascii="Arial" w:hAnsi="Arial" w:cs="Arial"/>
          <w:b/>
          <w:i/>
          <w:sz w:val="22"/>
          <w:szCs w:val="22"/>
          <w:lang w:val="sr-Latn-CS"/>
        </w:rPr>
      </w:pPr>
    </w:p>
    <w:p w:rsidR="00650403" w:rsidRPr="00650403" w:rsidRDefault="00650403" w:rsidP="00650403">
      <w:pPr>
        <w:pStyle w:val="NoSpacing"/>
        <w:jc w:val="center"/>
        <w:rPr>
          <w:rFonts w:ascii="Arial" w:hAnsi="Arial" w:cs="Arial"/>
          <w:b/>
          <w:i/>
          <w:sz w:val="22"/>
          <w:szCs w:val="22"/>
          <w:lang w:val="sr-Latn-CS"/>
        </w:rPr>
      </w:pPr>
      <w:r w:rsidRPr="00650403">
        <w:rPr>
          <w:rFonts w:ascii="Arial" w:hAnsi="Arial" w:cs="Arial"/>
          <w:b/>
          <w:i/>
          <w:sz w:val="22"/>
          <w:szCs w:val="22"/>
          <w:lang w:val="sr-Latn-CS"/>
        </w:rPr>
        <w:t>I Z V J E Š T A J</w:t>
      </w:r>
    </w:p>
    <w:p w:rsidR="00650403" w:rsidRDefault="00650403" w:rsidP="00650403">
      <w:pPr>
        <w:pStyle w:val="NoSpacing"/>
        <w:jc w:val="center"/>
        <w:rPr>
          <w:rFonts w:ascii="Arial" w:hAnsi="Arial" w:cs="Arial"/>
          <w:b/>
          <w:i/>
          <w:sz w:val="22"/>
          <w:szCs w:val="22"/>
          <w:lang w:val="sr-Latn-CS"/>
        </w:rPr>
      </w:pPr>
      <w:r w:rsidRPr="00650403">
        <w:rPr>
          <w:rFonts w:ascii="Arial" w:hAnsi="Arial" w:cs="Arial"/>
          <w:b/>
          <w:i/>
          <w:sz w:val="22"/>
          <w:szCs w:val="22"/>
          <w:lang w:val="sr-Latn-CS"/>
        </w:rPr>
        <w:t>RADNOG TIMA ZA SUZBIJANJE SIVE EKONOMIJE NA TRŽIŠTU RADA I INICIRANJE PROCENTUALNOG POVEĆANJA IZNOSA MINIMALNE ZARADE</w:t>
      </w:r>
    </w:p>
    <w:p w:rsidR="000F42E7" w:rsidRPr="00650403" w:rsidRDefault="000F42E7" w:rsidP="00650403">
      <w:pPr>
        <w:pStyle w:val="NoSpacing"/>
        <w:rPr>
          <w:rFonts w:ascii="Arial" w:hAnsi="Arial" w:cs="Arial"/>
          <w:sz w:val="22"/>
          <w:szCs w:val="22"/>
        </w:rPr>
      </w:pPr>
    </w:p>
    <w:p w:rsidR="004E2784" w:rsidRPr="007520D7" w:rsidRDefault="004E2784" w:rsidP="004E2784">
      <w:pPr>
        <w:pStyle w:val="NoSpacing"/>
        <w:rPr>
          <w:rFonts w:ascii="Arial" w:hAnsi="Arial" w:cs="Arial"/>
          <w:sz w:val="22"/>
          <w:szCs w:val="22"/>
        </w:rPr>
      </w:pPr>
      <w:r w:rsidRPr="007520D7">
        <w:rPr>
          <w:rFonts w:ascii="Arial" w:hAnsi="Arial" w:cs="Arial"/>
          <w:sz w:val="22"/>
          <w:szCs w:val="22"/>
          <w:lang w:val="sr-Latn-CS"/>
        </w:rPr>
        <w:t xml:space="preserve">Radni tim za suzbijanje sive ekonomije na tržištu rada i iniciranje procentualnog povećanja iznosa minimalne zarade, u navedenom periodu nastavio je sa sprovođenjem predviđenih aktivnosti u sledećem sastavu: </w:t>
      </w:r>
      <w:r w:rsidRPr="007520D7">
        <w:rPr>
          <w:rFonts w:ascii="Arial" w:hAnsi="Arial" w:cs="Arial"/>
          <w:sz w:val="22"/>
          <w:szCs w:val="22"/>
        </w:rPr>
        <w:t xml:space="preserve">Zoran Jelić – koordinator, Skupština Crne Gore; Vladimir Radovanić – član, Ministarstvo rada i socijalnog staranja Crne Gore; Zoran Ratković – član, Uprava za inspekcijske poslove; Dragan Mijanović – član, Savez sindikata CG; </w:t>
      </w:r>
      <w:r w:rsidRPr="007520D7">
        <w:rPr>
          <w:rFonts w:ascii="Arial" w:hAnsi="Arial" w:cs="Arial"/>
          <w:sz w:val="22"/>
          <w:szCs w:val="22"/>
          <w:lang w:val="sr-Latn-CS"/>
        </w:rPr>
        <w:t>Predrag Mitrović – član, Unija poslodavaca</w:t>
      </w:r>
      <w:r w:rsidRPr="007520D7">
        <w:rPr>
          <w:rFonts w:ascii="Arial" w:hAnsi="Arial" w:cs="Arial"/>
          <w:sz w:val="22"/>
          <w:szCs w:val="22"/>
        </w:rPr>
        <w:t xml:space="preserve">; Novo Radović - član, Poreska uprava; </w:t>
      </w:r>
      <w:r w:rsidRPr="007520D7">
        <w:rPr>
          <w:rFonts w:ascii="Arial" w:hAnsi="Arial" w:cs="Arial"/>
          <w:sz w:val="22"/>
          <w:szCs w:val="22"/>
          <w:lang w:val="sr-Latn-CS"/>
        </w:rPr>
        <w:t>Sandra Obradović – član, Unija slobodnih sindikata;</w:t>
      </w:r>
      <w:r w:rsidRPr="007520D7">
        <w:rPr>
          <w:rFonts w:ascii="Arial" w:hAnsi="Arial" w:cs="Arial"/>
          <w:sz w:val="22"/>
          <w:szCs w:val="22"/>
        </w:rPr>
        <w:t xml:space="preserve"> Angelina Međedović - član, Inspekcija rada; Goran Bubanja - član, Zavod za zapošljavanje Crne Gore; Suzana Radulović - član, Unija poslodavaca CG.</w:t>
      </w:r>
    </w:p>
    <w:p w:rsidR="004E2784" w:rsidRPr="007520D7" w:rsidRDefault="004E2784" w:rsidP="004E2784">
      <w:pPr>
        <w:pStyle w:val="NoSpacing"/>
        <w:rPr>
          <w:rFonts w:ascii="Arial" w:hAnsi="Arial" w:cs="Arial"/>
          <w:sz w:val="22"/>
          <w:szCs w:val="22"/>
        </w:rPr>
      </w:pPr>
    </w:p>
    <w:p w:rsidR="004E2784" w:rsidRPr="007520D7" w:rsidRDefault="004E2784" w:rsidP="004E2784">
      <w:pPr>
        <w:pStyle w:val="NoSpacing"/>
        <w:rPr>
          <w:rFonts w:ascii="Arial" w:hAnsi="Arial" w:cs="Arial"/>
          <w:sz w:val="22"/>
          <w:szCs w:val="22"/>
        </w:rPr>
      </w:pPr>
      <w:r w:rsidRPr="007520D7">
        <w:rPr>
          <w:rFonts w:ascii="Arial" w:hAnsi="Arial" w:cs="Arial"/>
          <w:sz w:val="22"/>
          <w:szCs w:val="22"/>
        </w:rPr>
        <w:t>Početkom aprila, sa radom su počeli Operativni timovi u sedam opština (Bar, Budva, Herceg Novi, Kotor, Tivat, Ulcinj i Podgorica) u cilju razmjene i analize podataka koje bi ukazale na pojave rada na crno, uz preduzimanje konkretnih mjera u cilju suzbijanja istog. Timove čine predstavnici Zavoda za zapošljavanje, MUP-a, Poreske uprave i Uprave za inspekcijske poslove i oni se sastaju jednom nedjeljno, kada dogovaraju aktivnosti, razmijenjuju podatke, podnose izvještaje o stanju na tržištu rada. Radni tim za suzbijanje sive ekonomije i iniciranje procentualnog povećenja minimalne zarade bio je upoznat sa radom Operativnih timova na nedjeljnom nivou kao i sa mjesečnim izvještajima koje je omogućio Zavod za zapošljavanje (koordinator  rada Operativnih timova).U navedenom tromjesečnom periodu, Operativni timovi i Inspekcija rada informisali su Radni tim o sprovedenim aktivnostima, što je predstavljalo osnovu za rad Radnog tima.</w:t>
      </w:r>
    </w:p>
    <w:p w:rsidR="004E2784" w:rsidRPr="007520D7" w:rsidRDefault="004E2784" w:rsidP="004E2784">
      <w:pPr>
        <w:pStyle w:val="NoSpacing"/>
        <w:rPr>
          <w:rFonts w:ascii="Arial" w:hAnsi="Arial" w:cs="Arial"/>
          <w:sz w:val="22"/>
          <w:szCs w:val="22"/>
        </w:rPr>
      </w:pPr>
    </w:p>
    <w:p w:rsidR="004E2784" w:rsidRPr="007520D7" w:rsidRDefault="004E2784" w:rsidP="004E2784">
      <w:pPr>
        <w:pStyle w:val="NoSpacing"/>
        <w:rPr>
          <w:rFonts w:ascii="Arial" w:hAnsi="Arial" w:cs="Arial"/>
          <w:sz w:val="22"/>
          <w:szCs w:val="22"/>
        </w:rPr>
      </w:pPr>
      <w:r w:rsidRPr="007520D7">
        <w:rPr>
          <w:rFonts w:ascii="Arial" w:hAnsi="Arial" w:cs="Arial"/>
          <w:sz w:val="22"/>
          <w:szCs w:val="22"/>
        </w:rPr>
        <w:t>Kada je riječ o aktivnostima Uprave za inspekcijske poslove, važno je navesti da su urađeni Plan aktivnosti pojačanog inspekcijskog nadzora za vrijeme gradjevinske i turističke sezone (od 1. maja do 15. septembra) i Operativni plan rada pojačanog inspekcijskog nadzora za april mjesec 2013. godine. Takođe, u cillju efikasnijeg pristupa borbi protiv sive ekonomije na tržištu rada, treba istaći ulogu Upustva inspektorima o vršenju pojačanog inspekcijskog nadzora sa drugim inspekcijama koje je izradila Inspekcija rada.</w:t>
      </w:r>
    </w:p>
    <w:p w:rsidR="004E2784" w:rsidRPr="007520D7" w:rsidRDefault="004E2784" w:rsidP="004E2784">
      <w:pPr>
        <w:pStyle w:val="NoSpacing"/>
        <w:rPr>
          <w:rFonts w:ascii="Arial" w:hAnsi="Arial" w:cs="Arial"/>
          <w:sz w:val="22"/>
          <w:szCs w:val="22"/>
        </w:rPr>
      </w:pPr>
    </w:p>
    <w:p w:rsidR="004E2784" w:rsidRPr="007520D7" w:rsidRDefault="004E2784" w:rsidP="004E2784">
      <w:pPr>
        <w:pStyle w:val="NoSpacing"/>
        <w:rPr>
          <w:rFonts w:ascii="Arial" w:hAnsi="Arial" w:cs="Arial"/>
          <w:sz w:val="22"/>
          <w:szCs w:val="22"/>
        </w:rPr>
      </w:pPr>
      <w:r w:rsidRPr="007520D7">
        <w:rPr>
          <w:rFonts w:ascii="Arial" w:hAnsi="Arial" w:cs="Arial"/>
          <w:sz w:val="22"/>
          <w:szCs w:val="22"/>
        </w:rPr>
        <w:t>Rad Operativnih timova u šest primorskih opština i Podgorici, u pomenutom tromjesečnom periodu, bio je otežan zbog tehničkih i kadrovskih prepreka ali i drugih nedostataka i okolnosti koje su imale negativan uticaj na obavljanje redovnih aktivnosti. Naime, rad Operativnih timova naročito je bio otežan u mjesecu aprilu kada je, na osnovu Izvještaja o radu Operativnih timova, Radni tim konstatovao da za gradove Budva i Tivat rad sprovodi samo jedan inspektor rada koji je trenutno na bolovanju dok rad na teritoriji Herceg Novog i Kotora takođe vrši jedno lice i to uz otežane operativno-tehničke uslove. Takođe, predstavnici MUP-a u okviru Operativnog tima za opštinu Podgorica, dali su veoma mali doprinos sprovođenju predviđenih aktivnosti. U maju su ostala upražnjena mjesta predstavnika MUP-a i Uprave za inspekcijske poslove u okviru Operativnog tima za opštinu Podgorica. Međutim, uprkos otežanim uslovima rada, Operativni timovi su nastavili sa sprovođenjem aktivnosti. U tabelama 1. i 2. mogu se vidjeti podaci o njihovom radu za mjesece maj i jun.</w:t>
      </w:r>
    </w:p>
    <w:p w:rsidR="004E2784" w:rsidRDefault="004E2784" w:rsidP="004E2784">
      <w:pPr>
        <w:pStyle w:val="NoSpacing"/>
        <w:rPr>
          <w:rFonts w:ascii="Arial" w:hAnsi="Arial" w:cs="Arial"/>
          <w:sz w:val="22"/>
          <w:szCs w:val="22"/>
        </w:rPr>
      </w:pPr>
    </w:p>
    <w:p w:rsidR="004E2784" w:rsidRDefault="004E2784" w:rsidP="004E2784">
      <w:pPr>
        <w:pStyle w:val="NoSpacing"/>
        <w:rPr>
          <w:rFonts w:ascii="Arial" w:hAnsi="Arial" w:cs="Arial"/>
          <w:sz w:val="22"/>
          <w:szCs w:val="22"/>
        </w:rPr>
      </w:pPr>
    </w:p>
    <w:p w:rsidR="000F42E7" w:rsidRDefault="000F42E7" w:rsidP="004E2784">
      <w:pPr>
        <w:pStyle w:val="NoSpacing"/>
        <w:rPr>
          <w:rFonts w:ascii="Arial" w:hAnsi="Arial" w:cs="Arial"/>
          <w:sz w:val="22"/>
          <w:szCs w:val="22"/>
        </w:rPr>
      </w:pPr>
    </w:p>
    <w:p w:rsidR="000C4989" w:rsidRDefault="000C4989" w:rsidP="004E2784">
      <w:pPr>
        <w:pStyle w:val="NoSpacing"/>
        <w:rPr>
          <w:rFonts w:ascii="Arial" w:hAnsi="Arial" w:cs="Arial"/>
          <w:sz w:val="22"/>
          <w:szCs w:val="22"/>
        </w:rPr>
      </w:pPr>
    </w:p>
    <w:p w:rsidR="000C4989" w:rsidRDefault="000C4989" w:rsidP="004E2784">
      <w:pPr>
        <w:pStyle w:val="NoSpacing"/>
        <w:rPr>
          <w:rFonts w:ascii="Arial" w:hAnsi="Arial" w:cs="Arial"/>
          <w:sz w:val="22"/>
          <w:szCs w:val="22"/>
        </w:rPr>
      </w:pPr>
    </w:p>
    <w:p w:rsidR="004E2784" w:rsidRPr="007520D7" w:rsidRDefault="004E2784" w:rsidP="004E2784">
      <w:pPr>
        <w:pStyle w:val="NoSpacing"/>
        <w:rPr>
          <w:rFonts w:ascii="Arial" w:hAnsi="Arial" w:cs="Arial"/>
          <w:sz w:val="22"/>
          <w:szCs w:val="22"/>
        </w:rPr>
      </w:pPr>
      <w:r w:rsidRPr="007520D7">
        <w:rPr>
          <w:rFonts w:ascii="Arial" w:hAnsi="Arial" w:cs="Arial"/>
          <w:sz w:val="22"/>
          <w:szCs w:val="22"/>
        </w:rPr>
        <w:lastRenderedPageBreak/>
        <w:t xml:space="preserve">Tabela 1. </w:t>
      </w:r>
      <w:r w:rsidRPr="007520D7">
        <w:rPr>
          <w:rFonts w:ascii="Arial" w:hAnsi="Arial" w:cs="Arial"/>
          <w:i/>
          <w:sz w:val="22"/>
          <w:szCs w:val="22"/>
        </w:rPr>
        <w:t>Podaci o radu Operativnih timova za mjesec maj</w:t>
      </w:r>
    </w:p>
    <w:tbl>
      <w:tblPr>
        <w:tblStyle w:val="TableGrid"/>
        <w:tblW w:w="0" w:type="auto"/>
        <w:tblLook w:val="04A0"/>
      </w:tblPr>
      <w:tblGrid>
        <w:gridCol w:w="1596"/>
        <w:gridCol w:w="1596"/>
        <w:gridCol w:w="1596"/>
        <w:gridCol w:w="1596"/>
        <w:gridCol w:w="1596"/>
        <w:gridCol w:w="1596"/>
      </w:tblGrid>
      <w:tr w:rsidR="004E2784" w:rsidRPr="007520D7" w:rsidTr="00FD7601">
        <w:trPr>
          <w:trHeight w:val="683"/>
        </w:trPr>
        <w:tc>
          <w:tcPr>
            <w:tcW w:w="1596" w:type="dxa"/>
            <w:vMerge w:val="restart"/>
            <w:shd w:val="clear" w:color="auto" w:fill="D9D9D9" w:themeFill="background1" w:themeFillShade="D9"/>
          </w:tcPr>
          <w:p w:rsidR="004E2784" w:rsidRPr="007520D7" w:rsidRDefault="004E2784" w:rsidP="00FD7601">
            <w:pPr>
              <w:pStyle w:val="NoSpacing"/>
              <w:rPr>
                <w:rFonts w:ascii="Arial" w:hAnsi="Arial" w:cs="Arial"/>
                <w:lang w:bidi="en-US"/>
              </w:rPr>
            </w:pPr>
          </w:p>
          <w:p w:rsidR="004E2784" w:rsidRPr="007520D7" w:rsidRDefault="004E2784" w:rsidP="00FD7601">
            <w:pPr>
              <w:pStyle w:val="NoSpacing"/>
              <w:rPr>
                <w:rFonts w:ascii="Arial" w:hAnsi="Arial" w:cs="Arial"/>
                <w:b/>
                <w:lang w:bidi="en-US"/>
              </w:rPr>
            </w:pPr>
            <w:r w:rsidRPr="007520D7">
              <w:rPr>
                <w:rFonts w:ascii="Arial" w:hAnsi="Arial" w:cs="Arial"/>
                <w:b/>
                <w:lang w:bidi="en-US"/>
              </w:rPr>
              <w:t>Opština</w:t>
            </w:r>
          </w:p>
        </w:tc>
        <w:tc>
          <w:tcPr>
            <w:tcW w:w="1596" w:type="dxa"/>
            <w:tcBorders>
              <w:bottom w:val="single" w:sz="4" w:space="0" w:color="000000" w:themeColor="text1"/>
            </w:tcBorders>
            <w:shd w:val="clear" w:color="auto" w:fill="D9D9D9" w:themeFill="background1" w:themeFillShade="D9"/>
          </w:tcPr>
          <w:p w:rsidR="004E2784" w:rsidRPr="007520D7" w:rsidRDefault="004E2784" w:rsidP="00FD7601">
            <w:pPr>
              <w:pStyle w:val="NoSpacing"/>
              <w:rPr>
                <w:rFonts w:ascii="Arial" w:hAnsi="Arial" w:cs="Arial"/>
                <w:b/>
                <w:lang w:bidi="en-US"/>
              </w:rPr>
            </w:pPr>
          </w:p>
          <w:p w:rsidR="004E2784" w:rsidRPr="007520D7" w:rsidRDefault="004E2784" w:rsidP="00FD7601">
            <w:pPr>
              <w:pStyle w:val="NoSpacing"/>
              <w:rPr>
                <w:rFonts w:ascii="Arial" w:hAnsi="Arial" w:cs="Arial"/>
                <w:b/>
                <w:lang w:bidi="en-US"/>
              </w:rPr>
            </w:pPr>
            <w:r w:rsidRPr="007520D7">
              <w:rPr>
                <w:rFonts w:ascii="Arial" w:hAnsi="Arial" w:cs="Arial"/>
                <w:b/>
                <w:lang w:bidi="en-US"/>
              </w:rPr>
              <w:t>ZZZCG</w:t>
            </w:r>
          </w:p>
        </w:tc>
        <w:tc>
          <w:tcPr>
            <w:tcW w:w="1596" w:type="dxa"/>
            <w:tcBorders>
              <w:bottom w:val="single" w:sz="4" w:space="0" w:color="000000" w:themeColor="text1"/>
            </w:tcBorders>
            <w:shd w:val="clear" w:color="auto" w:fill="D9D9D9" w:themeFill="background1" w:themeFillShade="D9"/>
          </w:tcPr>
          <w:p w:rsidR="004E2784" w:rsidRPr="007520D7" w:rsidRDefault="004E2784" w:rsidP="00FD7601">
            <w:pPr>
              <w:pStyle w:val="NoSpacing"/>
              <w:rPr>
                <w:rFonts w:ascii="Arial" w:hAnsi="Arial" w:cs="Arial"/>
                <w:b/>
                <w:lang w:bidi="en-US"/>
              </w:rPr>
            </w:pPr>
          </w:p>
          <w:p w:rsidR="004E2784" w:rsidRPr="007520D7" w:rsidRDefault="004E2784" w:rsidP="00FD7601">
            <w:pPr>
              <w:pStyle w:val="NoSpacing"/>
              <w:rPr>
                <w:rFonts w:ascii="Arial" w:hAnsi="Arial" w:cs="Arial"/>
                <w:b/>
                <w:lang w:bidi="en-US"/>
              </w:rPr>
            </w:pPr>
            <w:r w:rsidRPr="007520D7">
              <w:rPr>
                <w:rFonts w:ascii="Arial" w:hAnsi="Arial" w:cs="Arial"/>
                <w:b/>
                <w:lang w:bidi="en-US"/>
              </w:rPr>
              <w:t>MUP</w:t>
            </w:r>
          </w:p>
        </w:tc>
        <w:tc>
          <w:tcPr>
            <w:tcW w:w="1596" w:type="dxa"/>
            <w:tcBorders>
              <w:bottom w:val="single" w:sz="4" w:space="0" w:color="000000" w:themeColor="text1"/>
            </w:tcBorders>
            <w:shd w:val="clear" w:color="auto" w:fill="D9D9D9" w:themeFill="background1" w:themeFillShade="D9"/>
          </w:tcPr>
          <w:p w:rsidR="004E2784" w:rsidRPr="007520D7" w:rsidRDefault="004E2784" w:rsidP="00FD7601">
            <w:pPr>
              <w:pStyle w:val="NoSpacing"/>
              <w:rPr>
                <w:rFonts w:ascii="Arial" w:hAnsi="Arial" w:cs="Arial"/>
                <w:b/>
                <w:lang w:bidi="en-US"/>
              </w:rPr>
            </w:pPr>
          </w:p>
          <w:p w:rsidR="004E2784" w:rsidRPr="007520D7" w:rsidRDefault="004E2784" w:rsidP="00FD7601">
            <w:pPr>
              <w:pStyle w:val="NoSpacing"/>
              <w:rPr>
                <w:rFonts w:ascii="Arial" w:hAnsi="Arial" w:cs="Arial"/>
                <w:b/>
                <w:lang w:bidi="en-US"/>
              </w:rPr>
            </w:pPr>
            <w:r w:rsidRPr="007520D7">
              <w:rPr>
                <w:rFonts w:ascii="Arial" w:hAnsi="Arial" w:cs="Arial"/>
                <w:b/>
                <w:lang w:bidi="en-US"/>
              </w:rPr>
              <w:t>Poreska uprava</w:t>
            </w:r>
          </w:p>
        </w:tc>
        <w:tc>
          <w:tcPr>
            <w:tcW w:w="3192" w:type="dxa"/>
            <w:gridSpan w:val="2"/>
            <w:tcBorders>
              <w:bottom w:val="single" w:sz="4" w:space="0" w:color="000000" w:themeColor="text1"/>
            </w:tcBorders>
            <w:shd w:val="clear" w:color="auto" w:fill="D9D9D9" w:themeFill="background1" w:themeFillShade="D9"/>
          </w:tcPr>
          <w:p w:rsidR="004E2784" w:rsidRPr="007520D7" w:rsidRDefault="004E2784" w:rsidP="00FD7601">
            <w:pPr>
              <w:pStyle w:val="NoSpacing"/>
              <w:rPr>
                <w:rFonts w:ascii="Arial" w:hAnsi="Arial" w:cs="Arial"/>
                <w:b/>
                <w:lang w:bidi="en-US"/>
              </w:rPr>
            </w:pPr>
          </w:p>
          <w:p w:rsidR="004E2784" w:rsidRPr="007520D7" w:rsidRDefault="004E2784" w:rsidP="00FD7601">
            <w:pPr>
              <w:pStyle w:val="NoSpacing"/>
              <w:rPr>
                <w:rFonts w:ascii="Arial" w:hAnsi="Arial" w:cs="Arial"/>
                <w:b/>
                <w:lang w:bidi="en-US"/>
              </w:rPr>
            </w:pPr>
            <w:r w:rsidRPr="007520D7">
              <w:rPr>
                <w:rFonts w:ascii="Arial" w:hAnsi="Arial" w:cs="Arial"/>
                <w:b/>
                <w:lang w:bidi="en-US"/>
              </w:rPr>
              <w:t>Uprava za inspekcijske poslove</w:t>
            </w:r>
          </w:p>
        </w:tc>
      </w:tr>
      <w:tr w:rsidR="004E2784" w:rsidRPr="007520D7" w:rsidTr="00FD7601">
        <w:trPr>
          <w:trHeight w:val="367"/>
        </w:trPr>
        <w:tc>
          <w:tcPr>
            <w:tcW w:w="1596" w:type="dxa"/>
            <w:vMerge/>
            <w:shd w:val="clear" w:color="auto" w:fill="D9D9D9" w:themeFill="background1" w:themeFillShade="D9"/>
          </w:tcPr>
          <w:p w:rsidR="004E2784" w:rsidRPr="007520D7" w:rsidRDefault="004E2784" w:rsidP="00FD7601">
            <w:pPr>
              <w:pStyle w:val="NoSpacing"/>
              <w:rPr>
                <w:rFonts w:ascii="Arial" w:hAnsi="Arial" w:cs="Arial"/>
                <w:lang w:bidi="en-US"/>
              </w:rPr>
            </w:pPr>
          </w:p>
        </w:tc>
        <w:tc>
          <w:tcPr>
            <w:tcW w:w="1596" w:type="dxa"/>
            <w:shd w:val="clear" w:color="auto" w:fill="D9D9D9" w:themeFill="background1" w:themeFillShade="D9"/>
          </w:tcPr>
          <w:p w:rsidR="004E2784" w:rsidRPr="007520D7" w:rsidRDefault="004E2784" w:rsidP="00FD7601">
            <w:pPr>
              <w:pStyle w:val="NoSpacing"/>
              <w:rPr>
                <w:rFonts w:ascii="Arial" w:hAnsi="Arial" w:cs="Arial"/>
                <w:lang w:bidi="en-US"/>
              </w:rPr>
            </w:pPr>
          </w:p>
          <w:p w:rsidR="004E2784" w:rsidRPr="007520D7" w:rsidRDefault="004E2784" w:rsidP="00FD7601">
            <w:pPr>
              <w:pStyle w:val="NoSpacing"/>
              <w:rPr>
                <w:rFonts w:ascii="Arial" w:hAnsi="Arial" w:cs="Arial"/>
                <w:lang w:bidi="en-US"/>
              </w:rPr>
            </w:pPr>
            <w:r w:rsidRPr="007520D7">
              <w:rPr>
                <w:rFonts w:ascii="Arial" w:hAnsi="Arial" w:cs="Arial"/>
                <w:lang w:bidi="en-US"/>
              </w:rPr>
              <w:t>Broj izdatih radnih dozvola</w:t>
            </w:r>
          </w:p>
        </w:tc>
        <w:tc>
          <w:tcPr>
            <w:tcW w:w="1596" w:type="dxa"/>
            <w:shd w:val="clear" w:color="auto" w:fill="D9D9D9" w:themeFill="background1" w:themeFillShade="D9"/>
          </w:tcPr>
          <w:p w:rsidR="004E2784" w:rsidRPr="007520D7" w:rsidRDefault="004E2784" w:rsidP="00FD7601">
            <w:pPr>
              <w:pStyle w:val="NoSpacing"/>
              <w:rPr>
                <w:rFonts w:ascii="Arial" w:hAnsi="Arial" w:cs="Arial"/>
                <w:lang w:bidi="en-US"/>
              </w:rPr>
            </w:pPr>
          </w:p>
          <w:p w:rsidR="004E2784" w:rsidRPr="007520D7" w:rsidRDefault="004E2784" w:rsidP="00FD7601">
            <w:pPr>
              <w:pStyle w:val="NoSpacing"/>
              <w:rPr>
                <w:rFonts w:ascii="Arial" w:hAnsi="Arial" w:cs="Arial"/>
                <w:lang w:bidi="en-US"/>
              </w:rPr>
            </w:pPr>
            <w:r w:rsidRPr="007520D7">
              <w:rPr>
                <w:rFonts w:ascii="Arial" w:hAnsi="Arial" w:cs="Arial"/>
                <w:lang w:bidi="en-US"/>
              </w:rPr>
              <w:t>Broj izdatih boravišnih dozvola</w:t>
            </w:r>
          </w:p>
        </w:tc>
        <w:tc>
          <w:tcPr>
            <w:tcW w:w="1596" w:type="dxa"/>
            <w:shd w:val="clear" w:color="auto" w:fill="D9D9D9" w:themeFill="background1" w:themeFillShade="D9"/>
          </w:tcPr>
          <w:p w:rsidR="004E2784" w:rsidRPr="007520D7" w:rsidRDefault="004E2784" w:rsidP="00FD7601">
            <w:pPr>
              <w:pStyle w:val="NoSpacing"/>
              <w:rPr>
                <w:rFonts w:ascii="Arial" w:hAnsi="Arial" w:cs="Arial"/>
                <w:lang w:bidi="en-US"/>
              </w:rPr>
            </w:pPr>
            <w:r w:rsidRPr="007520D7">
              <w:rPr>
                <w:rFonts w:ascii="Arial" w:hAnsi="Arial" w:cs="Arial"/>
                <w:lang w:bidi="en-US"/>
              </w:rPr>
              <w:t>Broj prijavljenih na obavezu socijalnog osiguranja</w:t>
            </w:r>
          </w:p>
        </w:tc>
        <w:tc>
          <w:tcPr>
            <w:tcW w:w="3192" w:type="dxa"/>
            <w:gridSpan w:val="2"/>
            <w:shd w:val="clear" w:color="auto" w:fill="D9D9D9" w:themeFill="background1" w:themeFillShade="D9"/>
          </w:tcPr>
          <w:p w:rsidR="004E2784" w:rsidRPr="007520D7" w:rsidRDefault="004E2784" w:rsidP="00FD7601">
            <w:pPr>
              <w:pStyle w:val="NoSpacing"/>
              <w:rPr>
                <w:rFonts w:ascii="Arial" w:hAnsi="Arial" w:cs="Arial"/>
                <w:lang w:bidi="en-US"/>
              </w:rPr>
            </w:pPr>
          </w:p>
          <w:p w:rsidR="004E2784" w:rsidRPr="007520D7" w:rsidRDefault="004E2784" w:rsidP="00FD7601">
            <w:pPr>
              <w:pStyle w:val="NoSpacing"/>
              <w:rPr>
                <w:rFonts w:ascii="Arial" w:hAnsi="Arial" w:cs="Arial"/>
                <w:lang w:bidi="en-US"/>
              </w:rPr>
            </w:pPr>
            <w:r w:rsidRPr="007520D7">
              <w:rPr>
                <w:rFonts w:ascii="Arial" w:hAnsi="Arial" w:cs="Arial"/>
                <w:lang w:bidi="en-US"/>
              </w:rPr>
              <w:t>Broj kontrola</w:t>
            </w:r>
          </w:p>
          <w:p w:rsidR="004E2784" w:rsidRPr="007520D7" w:rsidRDefault="004E2784" w:rsidP="00FD7601">
            <w:pPr>
              <w:pStyle w:val="NoSpacing"/>
              <w:rPr>
                <w:rFonts w:ascii="Arial" w:hAnsi="Arial" w:cs="Arial"/>
                <w:lang w:bidi="en-US"/>
              </w:rPr>
            </w:pPr>
          </w:p>
          <w:p w:rsidR="004E2784" w:rsidRPr="007520D7" w:rsidRDefault="004E2784" w:rsidP="00FD7601">
            <w:pPr>
              <w:pStyle w:val="NoSpacing"/>
              <w:rPr>
                <w:rFonts w:ascii="Arial" w:hAnsi="Arial" w:cs="Arial"/>
                <w:lang w:bidi="en-US"/>
              </w:rPr>
            </w:pPr>
            <w:r w:rsidRPr="007520D7">
              <w:rPr>
                <w:rFonts w:ascii="Arial" w:hAnsi="Arial" w:cs="Arial"/>
                <w:lang w:bidi="en-US"/>
              </w:rPr>
              <w:t xml:space="preserve">  Poslodavci          Zaposleni</w:t>
            </w:r>
          </w:p>
        </w:tc>
      </w:tr>
      <w:tr w:rsidR="004E2784" w:rsidRPr="007520D7" w:rsidTr="00FD7601">
        <w:trPr>
          <w:trHeight w:val="289"/>
        </w:trPr>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 xml:space="preserve">Bar </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271</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210</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78</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11</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31</w:t>
            </w:r>
          </w:p>
        </w:tc>
      </w:tr>
      <w:tr w:rsidR="004E2784" w:rsidRPr="007520D7" w:rsidTr="00FD7601">
        <w:trPr>
          <w:trHeight w:val="289"/>
        </w:trPr>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Budva</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429</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448</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85</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3</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17</w:t>
            </w:r>
          </w:p>
        </w:tc>
      </w:tr>
      <w:tr w:rsidR="004E2784" w:rsidRPr="007520D7" w:rsidTr="00FD7601">
        <w:trPr>
          <w:trHeight w:val="289"/>
        </w:trPr>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Herceg Novi</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314</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316</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0</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16</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16</w:t>
            </w:r>
          </w:p>
        </w:tc>
      </w:tr>
      <w:tr w:rsidR="004E2784" w:rsidRPr="007520D7" w:rsidTr="00FD7601">
        <w:trPr>
          <w:trHeight w:val="289"/>
        </w:trPr>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 xml:space="preserve">Kotor </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111</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19</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39</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0</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0</w:t>
            </w:r>
          </w:p>
        </w:tc>
      </w:tr>
      <w:tr w:rsidR="004E2784" w:rsidRPr="007520D7" w:rsidTr="00FD7601">
        <w:trPr>
          <w:trHeight w:val="289"/>
        </w:trPr>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Tivat</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137</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36</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59</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3</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17</w:t>
            </w:r>
          </w:p>
        </w:tc>
      </w:tr>
      <w:tr w:rsidR="004E2784" w:rsidRPr="007520D7" w:rsidTr="00FD7601">
        <w:trPr>
          <w:trHeight w:val="289"/>
        </w:trPr>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Ulcinj</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111</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37</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55</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32</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21</w:t>
            </w:r>
          </w:p>
        </w:tc>
      </w:tr>
      <w:tr w:rsidR="004E2784" w:rsidRPr="007520D7" w:rsidTr="00FD7601">
        <w:trPr>
          <w:trHeight w:val="289"/>
        </w:trPr>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Podgorica</w:t>
            </w:r>
            <w:r w:rsidRPr="007520D7">
              <w:rPr>
                <w:rFonts w:ascii="Arial" w:hAnsi="Arial" w:cs="Arial"/>
                <w:vertAlign w:val="superscript"/>
                <w:lang w:bidi="en-US"/>
              </w:rPr>
              <w:footnoteReference w:id="2"/>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w:t>
            </w:r>
          </w:p>
        </w:tc>
      </w:tr>
      <w:tr w:rsidR="004E2784" w:rsidRPr="007520D7" w:rsidTr="00FD7601">
        <w:trPr>
          <w:trHeight w:val="289"/>
        </w:trPr>
        <w:tc>
          <w:tcPr>
            <w:tcW w:w="1596" w:type="dxa"/>
          </w:tcPr>
          <w:p w:rsidR="004E2784" w:rsidRPr="007520D7" w:rsidRDefault="004E2784" w:rsidP="00FD7601">
            <w:pPr>
              <w:pStyle w:val="NoSpacing"/>
              <w:rPr>
                <w:rFonts w:ascii="Arial" w:hAnsi="Arial" w:cs="Arial"/>
                <w:b/>
                <w:lang w:bidi="en-US"/>
              </w:rPr>
            </w:pPr>
            <w:r w:rsidRPr="007520D7">
              <w:rPr>
                <w:rFonts w:ascii="Arial" w:hAnsi="Arial" w:cs="Arial"/>
                <w:b/>
                <w:lang w:bidi="en-US"/>
              </w:rPr>
              <w:t>Ukupno</w:t>
            </w:r>
          </w:p>
        </w:tc>
        <w:tc>
          <w:tcPr>
            <w:tcW w:w="1596" w:type="dxa"/>
          </w:tcPr>
          <w:p w:rsidR="004E2784" w:rsidRPr="007520D7" w:rsidRDefault="004E2784" w:rsidP="00FD7601">
            <w:pPr>
              <w:pStyle w:val="NoSpacing"/>
              <w:rPr>
                <w:rFonts w:ascii="Arial" w:hAnsi="Arial" w:cs="Arial"/>
                <w:b/>
                <w:lang w:bidi="en-US"/>
              </w:rPr>
            </w:pPr>
            <w:r w:rsidRPr="007520D7">
              <w:rPr>
                <w:rFonts w:ascii="Arial" w:hAnsi="Arial" w:cs="Arial"/>
                <w:b/>
                <w:lang w:bidi="en-US"/>
              </w:rPr>
              <w:t>1373</w:t>
            </w:r>
          </w:p>
        </w:tc>
        <w:tc>
          <w:tcPr>
            <w:tcW w:w="1596" w:type="dxa"/>
          </w:tcPr>
          <w:p w:rsidR="004E2784" w:rsidRPr="007520D7" w:rsidRDefault="004E2784" w:rsidP="00FD7601">
            <w:pPr>
              <w:pStyle w:val="NoSpacing"/>
              <w:rPr>
                <w:rFonts w:ascii="Arial" w:hAnsi="Arial" w:cs="Arial"/>
                <w:b/>
                <w:lang w:bidi="en-US"/>
              </w:rPr>
            </w:pPr>
            <w:r w:rsidRPr="007520D7">
              <w:rPr>
                <w:rFonts w:ascii="Arial" w:hAnsi="Arial" w:cs="Arial"/>
                <w:b/>
                <w:lang w:bidi="en-US"/>
              </w:rPr>
              <w:t>1066</w:t>
            </w:r>
          </w:p>
        </w:tc>
        <w:tc>
          <w:tcPr>
            <w:tcW w:w="1596" w:type="dxa"/>
          </w:tcPr>
          <w:p w:rsidR="004E2784" w:rsidRPr="007520D7" w:rsidRDefault="004E2784" w:rsidP="00FD7601">
            <w:pPr>
              <w:pStyle w:val="NoSpacing"/>
              <w:rPr>
                <w:rFonts w:ascii="Arial" w:hAnsi="Arial" w:cs="Arial"/>
                <w:b/>
                <w:lang w:bidi="en-US"/>
              </w:rPr>
            </w:pPr>
            <w:r w:rsidRPr="007520D7">
              <w:rPr>
                <w:rFonts w:ascii="Arial" w:hAnsi="Arial" w:cs="Arial"/>
                <w:b/>
                <w:lang w:bidi="en-US"/>
              </w:rPr>
              <w:t>316</w:t>
            </w:r>
          </w:p>
        </w:tc>
        <w:tc>
          <w:tcPr>
            <w:tcW w:w="1596" w:type="dxa"/>
          </w:tcPr>
          <w:p w:rsidR="004E2784" w:rsidRPr="007520D7" w:rsidRDefault="004E2784" w:rsidP="00FD7601">
            <w:pPr>
              <w:pStyle w:val="NoSpacing"/>
              <w:rPr>
                <w:rFonts w:ascii="Arial" w:hAnsi="Arial" w:cs="Arial"/>
                <w:b/>
                <w:lang w:bidi="en-US"/>
              </w:rPr>
            </w:pPr>
            <w:r w:rsidRPr="007520D7">
              <w:rPr>
                <w:rFonts w:ascii="Arial" w:hAnsi="Arial" w:cs="Arial"/>
                <w:b/>
                <w:lang w:bidi="en-US"/>
              </w:rPr>
              <w:t>65</w:t>
            </w:r>
          </w:p>
        </w:tc>
        <w:tc>
          <w:tcPr>
            <w:tcW w:w="1596" w:type="dxa"/>
          </w:tcPr>
          <w:p w:rsidR="004E2784" w:rsidRPr="007520D7" w:rsidRDefault="004E2784" w:rsidP="00FD7601">
            <w:pPr>
              <w:pStyle w:val="NoSpacing"/>
              <w:rPr>
                <w:rFonts w:ascii="Arial" w:hAnsi="Arial" w:cs="Arial"/>
                <w:b/>
                <w:lang w:bidi="en-US"/>
              </w:rPr>
            </w:pPr>
            <w:r w:rsidRPr="007520D7">
              <w:rPr>
                <w:rFonts w:ascii="Arial" w:hAnsi="Arial" w:cs="Arial"/>
                <w:b/>
                <w:lang w:bidi="en-US"/>
              </w:rPr>
              <w:t>102</w:t>
            </w:r>
          </w:p>
        </w:tc>
      </w:tr>
      <w:tr w:rsidR="004E2784" w:rsidRPr="007520D7" w:rsidTr="00FD7601">
        <w:trPr>
          <w:trHeight w:val="289"/>
        </w:trPr>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w:t>
            </w:r>
          </w:p>
        </w:tc>
        <w:tc>
          <w:tcPr>
            <w:tcW w:w="1596" w:type="dxa"/>
          </w:tcPr>
          <w:p w:rsidR="004E2784" w:rsidRPr="007520D7" w:rsidRDefault="004E2784" w:rsidP="00FD7601">
            <w:pPr>
              <w:pStyle w:val="NoSpacing"/>
              <w:rPr>
                <w:rFonts w:ascii="Arial" w:hAnsi="Arial" w:cs="Arial"/>
                <w:lang w:bidi="en-US"/>
              </w:rPr>
            </w:pP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77.64</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23.02</w:t>
            </w:r>
          </w:p>
        </w:tc>
        <w:tc>
          <w:tcPr>
            <w:tcW w:w="1596" w:type="dxa"/>
          </w:tcPr>
          <w:p w:rsidR="004E2784" w:rsidRPr="007520D7" w:rsidRDefault="004E2784" w:rsidP="00FD7601">
            <w:pPr>
              <w:pStyle w:val="NoSpacing"/>
              <w:rPr>
                <w:rFonts w:ascii="Arial" w:hAnsi="Arial" w:cs="Arial"/>
                <w:lang w:bidi="en-US"/>
              </w:rPr>
            </w:pP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7.43</w:t>
            </w:r>
          </w:p>
        </w:tc>
      </w:tr>
    </w:tbl>
    <w:p w:rsidR="004E2784" w:rsidRPr="007520D7" w:rsidRDefault="004E2784" w:rsidP="004E2784">
      <w:pPr>
        <w:pStyle w:val="NoSpacing"/>
        <w:rPr>
          <w:rFonts w:ascii="Arial" w:hAnsi="Arial" w:cs="Arial"/>
          <w:sz w:val="22"/>
          <w:szCs w:val="22"/>
        </w:rPr>
      </w:pPr>
    </w:p>
    <w:p w:rsidR="004E2784" w:rsidRDefault="004E2784" w:rsidP="004E2784">
      <w:pPr>
        <w:pStyle w:val="NoSpacing"/>
        <w:rPr>
          <w:rFonts w:ascii="Arial" w:hAnsi="Arial" w:cs="Arial"/>
          <w:sz w:val="22"/>
          <w:szCs w:val="22"/>
        </w:rPr>
      </w:pPr>
    </w:p>
    <w:p w:rsidR="004E2784" w:rsidRPr="007520D7" w:rsidRDefault="004E2784" w:rsidP="004E2784">
      <w:pPr>
        <w:pStyle w:val="NoSpacing"/>
        <w:rPr>
          <w:rFonts w:ascii="Arial" w:hAnsi="Arial" w:cs="Arial"/>
          <w:sz w:val="22"/>
          <w:szCs w:val="22"/>
        </w:rPr>
      </w:pPr>
      <w:r w:rsidRPr="007520D7">
        <w:rPr>
          <w:rFonts w:ascii="Arial" w:hAnsi="Arial" w:cs="Arial"/>
          <w:sz w:val="22"/>
          <w:szCs w:val="22"/>
        </w:rPr>
        <w:t xml:space="preserve">Tabela 2. </w:t>
      </w:r>
      <w:r w:rsidRPr="007520D7">
        <w:rPr>
          <w:rFonts w:ascii="Arial" w:hAnsi="Arial" w:cs="Arial"/>
          <w:i/>
          <w:sz w:val="22"/>
          <w:szCs w:val="22"/>
        </w:rPr>
        <w:t>Podaci o radu Operativnih timova za mjesec jun</w:t>
      </w:r>
      <w:r w:rsidRPr="007520D7">
        <w:rPr>
          <w:rFonts w:ascii="Arial" w:hAnsi="Arial" w:cs="Arial"/>
          <w:sz w:val="22"/>
          <w:szCs w:val="22"/>
        </w:rPr>
        <w:t xml:space="preserve"> </w:t>
      </w:r>
    </w:p>
    <w:tbl>
      <w:tblPr>
        <w:tblStyle w:val="TableGrid"/>
        <w:tblW w:w="0" w:type="auto"/>
        <w:tblLook w:val="04A0"/>
      </w:tblPr>
      <w:tblGrid>
        <w:gridCol w:w="1596"/>
        <w:gridCol w:w="1596"/>
        <w:gridCol w:w="1596"/>
        <w:gridCol w:w="1596"/>
        <w:gridCol w:w="1596"/>
        <w:gridCol w:w="1596"/>
      </w:tblGrid>
      <w:tr w:rsidR="004E2784" w:rsidRPr="007520D7" w:rsidTr="00FD7601">
        <w:trPr>
          <w:trHeight w:val="683"/>
        </w:trPr>
        <w:tc>
          <w:tcPr>
            <w:tcW w:w="1596" w:type="dxa"/>
            <w:vMerge w:val="restart"/>
            <w:shd w:val="clear" w:color="auto" w:fill="D9D9D9" w:themeFill="background1" w:themeFillShade="D9"/>
          </w:tcPr>
          <w:p w:rsidR="004E2784" w:rsidRPr="007520D7" w:rsidRDefault="004E2784" w:rsidP="00FD7601">
            <w:pPr>
              <w:pStyle w:val="NoSpacing"/>
              <w:rPr>
                <w:rFonts w:ascii="Arial" w:hAnsi="Arial" w:cs="Arial"/>
                <w:lang w:bidi="en-US"/>
              </w:rPr>
            </w:pPr>
          </w:p>
          <w:p w:rsidR="004E2784" w:rsidRPr="007520D7" w:rsidRDefault="004E2784" w:rsidP="00FD7601">
            <w:pPr>
              <w:pStyle w:val="NoSpacing"/>
              <w:rPr>
                <w:rFonts w:ascii="Arial" w:hAnsi="Arial" w:cs="Arial"/>
                <w:b/>
                <w:lang w:bidi="en-US"/>
              </w:rPr>
            </w:pPr>
            <w:r w:rsidRPr="007520D7">
              <w:rPr>
                <w:rFonts w:ascii="Arial" w:hAnsi="Arial" w:cs="Arial"/>
                <w:b/>
                <w:lang w:bidi="en-US"/>
              </w:rPr>
              <w:t>Opština</w:t>
            </w:r>
          </w:p>
        </w:tc>
        <w:tc>
          <w:tcPr>
            <w:tcW w:w="1596" w:type="dxa"/>
            <w:shd w:val="clear" w:color="auto" w:fill="D9D9D9" w:themeFill="background1" w:themeFillShade="D9"/>
          </w:tcPr>
          <w:p w:rsidR="004E2784" w:rsidRPr="007520D7" w:rsidRDefault="004E2784" w:rsidP="00FD7601">
            <w:pPr>
              <w:pStyle w:val="NoSpacing"/>
              <w:rPr>
                <w:rFonts w:ascii="Arial" w:hAnsi="Arial" w:cs="Arial"/>
                <w:b/>
                <w:lang w:bidi="en-US"/>
              </w:rPr>
            </w:pPr>
          </w:p>
          <w:p w:rsidR="004E2784" w:rsidRPr="007520D7" w:rsidRDefault="004E2784" w:rsidP="00FD7601">
            <w:pPr>
              <w:pStyle w:val="NoSpacing"/>
              <w:rPr>
                <w:rFonts w:ascii="Arial" w:hAnsi="Arial" w:cs="Arial"/>
                <w:b/>
                <w:lang w:bidi="en-US"/>
              </w:rPr>
            </w:pPr>
            <w:r w:rsidRPr="007520D7">
              <w:rPr>
                <w:rFonts w:ascii="Arial" w:hAnsi="Arial" w:cs="Arial"/>
                <w:b/>
                <w:lang w:bidi="en-US"/>
              </w:rPr>
              <w:t>ZZZCG</w:t>
            </w:r>
          </w:p>
        </w:tc>
        <w:tc>
          <w:tcPr>
            <w:tcW w:w="1596" w:type="dxa"/>
            <w:shd w:val="clear" w:color="auto" w:fill="D9D9D9" w:themeFill="background1" w:themeFillShade="D9"/>
          </w:tcPr>
          <w:p w:rsidR="004E2784" w:rsidRPr="007520D7" w:rsidRDefault="004E2784" w:rsidP="00FD7601">
            <w:pPr>
              <w:pStyle w:val="NoSpacing"/>
              <w:rPr>
                <w:rFonts w:ascii="Arial" w:hAnsi="Arial" w:cs="Arial"/>
                <w:b/>
                <w:lang w:bidi="en-US"/>
              </w:rPr>
            </w:pPr>
          </w:p>
          <w:p w:rsidR="004E2784" w:rsidRPr="007520D7" w:rsidRDefault="004E2784" w:rsidP="00FD7601">
            <w:pPr>
              <w:pStyle w:val="NoSpacing"/>
              <w:rPr>
                <w:rFonts w:ascii="Arial" w:hAnsi="Arial" w:cs="Arial"/>
                <w:b/>
                <w:lang w:bidi="en-US"/>
              </w:rPr>
            </w:pPr>
            <w:r w:rsidRPr="007520D7">
              <w:rPr>
                <w:rFonts w:ascii="Arial" w:hAnsi="Arial" w:cs="Arial"/>
                <w:b/>
                <w:lang w:bidi="en-US"/>
              </w:rPr>
              <w:t>MUP</w:t>
            </w:r>
          </w:p>
        </w:tc>
        <w:tc>
          <w:tcPr>
            <w:tcW w:w="1596" w:type="dxa"/>
            <w:shd w:val="clear" w:color="auto" w:fill="D9D9D9" w:themeFill="background1" w:themeFillShade="D9"/>
          </w:tcPr>
          <w:p w:rsidR="004E2784" w:rsidRPr="007520D7" w:rsidRDefault="004E2784" w:rsidP="00FD7601">
            <w:pPr>
              <w:pStyle w:val="NoSpacing"/>
              <w:rPr>
                <w:rFonts w:ascii="Arial" w:hAnsi="Arial" w:cs="Arial"/>
                <w:b/>
                <w:lang w:bidi="en-US"/>
              </w:rPr>
            </w:pPr>
          </w:p>
          <w:p w:rsidR="004E2784" w:rsidRPr="007520D7" w:rsidRDefault="004E2784" w:rsidP="00FD7601">
            <w:pPr>
              <w:pStyle w:val="NoSpacing"/>
              <w:rPr>
                <w:rFonts w:ascii="Arial" w:hAnsi="Arial" w:cs="Arial"/>
                <w:b/>
                <w:lang w:bidi="en-US"/>
              </w:rPr>
            </w:pPr>
            <w:r w:rsidRPr="007520D7">
              <w:rPr>
                <w:rFonts w:ascii="Arial" w:hAnsi="Arial" w:cs="Arial"/>
                <w:b/>
                <w:lang w:bidi="en-US"/>
              </w:rPr>
              <w:t>Poreska uprava</w:t>
            </w:r>
          </w:p>
        </w:tc>
        <w:tc>
          <w:tcPr>
            <w:tcW w:w="3192" w:type="dxa"/>
            <w:gridSpan w:val="2"/>
            <w:shd w:val="clear" w:color="auto" w:fill="D9D9D9" w:themeFill="background1" w:themeFillShade="D9"/>
          </w:tcPr>
          <w:p w:rsidR="004E2784" w:rsidRPr="007520D7" w:rsidRDefault="004E2784" w:rsidP="00FD7601">
            <w:pPr>
              <w:pStyle w:val="NoSpacing"/>
              <w:rPr>
                <w:rFonts w:ascii="Arial" w:hAnsi="Arial" w:cs="Arial"/>
                <w:b/>
                <w:lang w:bidi="en-US"/>
              </w:rPr>
            </w:pPr>
          </w:p>
          <w:p w:rsidR="004E2784" w:rsidRPr="007520D7" w:rsidRDefault="004E2784" w:rsidP="00FD7601">
            <w:pPr>
              <w:pStyle w:val="NoSpacing"/>
              <w:rPr>
                <w:rFonts w:ascii="Arial" w:hAnsi="Arial" w:cs="Arial"/>
                <w:b/>
                <w:lang w:bidi="en-US"/>
              </w:rPr>
            </w:pPr>
            <w:r w:rsidRPr="007520D7">
              <w:rPr>
                <w:rFonts w:ascii="Arial" w:hAnsi="Arial" w:cs="Arial"/>
                <w:b/>
                <w:lang w:bidi="en-US"/>
              </w:rPr>
              <w:t>Uprava za inspekcijske poslove</w:t>
            </w:r>
          </w:p>
        </w:tc>
      </w:tr>
      <w:tr w:rsidR="004E2784" w:rsidRPr="007520D7" w:rsidTr="00FD7601">
        <w:trPr>
          <w:trHeight w:val="367"/>
        </w:trPr>
        <w:tc>
          <w:tcPr>
            <w:tcW w:w="1596" w:type="dxa"/>
            <w:vMerge/>
            <w:shd w:val="clear" w:color="auto" w:fill="D9D9D9" w:themeFill="background1" w:themeFillShade="D9"/>
          </w:tcPr>
          <w:p w:rsidR="004E2784" w:rsidRPr="007520D7" w:rsidRDefault="004E2784" w:rsidP="00FD7601">
            <w:pPr>
              <w:pStyle w:val="NoSpacing"/>
              <w:rPr>
                <w:rFonts w:ascii="Arial" w:hAnsi="Arial" w:cs="Arial"/>
                <w:lang w:bidi="en-US"/>
              </w:rPr>
            </w:pPr>
          </w:p>
        </w:tc>
        <w:tc>
          <w:tcPr>
            <w:tcW w:w="1596" w:type="dxa"/>
            <w:shd w:val="clear" w:color="auto" w:fill="D9D9D9" w:themeFill="background1" w:themeFillShade="D9"/>
          </w:tcPr>
          <w:p w:rsidR="004E2784" w:rsidRPr="007520D7" w:rsidRDefault="004E2784" w:rsidP="00FD7601">
            <w:pPr>
              <w:pStyle w:val="NoSpacing"/>
              <w:rPr>
                <w:rFonts w:ascii="Arial" w:hAnsi="Arial" w:cs="Arial"/>
                <w:lang w:bidi="en-US"/>
              </w:rPr>
            </w:pPr>
          </w:p>
          <w:p w:rsidR="004E2784" w:rsidRPr="007520D7" w:rsidRDefault="004E2784" w:rsidP="00FD7601">
            <w:pPr>
              <w:pStyle w:val="NoSpacing"/>
              <w:rPr>
                <w:rFonts w:ascii="Arial" w:hAnsi="Arial" w:cs="Arial"/>
                <w:lang w:bidi="en-US"/>
              </w:rPr>
            </w:pPr>
            <w:r w:rsidRPr="007520D7">
              <w:rPr>
                <w:rFonts w:ascii="Arial" w:hAnsi="Arial" w:cs="Arial"/>
                <w:lang w:bidi="en-US"/>
              </w:rPr>
              <w:t>Broj izdatih radnih dozvola</w:t>
            </w:r>
          </w:p>
        </w:tc>
        <w:tc>
          <w:tcPr>
            <w:tcW w:w="1596" w:type="dxa"/>
            <w:shd w:val="clear" w:color="auto" w:fill="D9D9D9" w:themeFill="background1" w:themeFillShade="D9"/>
          </w:tcPr>
          <w:p w:rsidR="004E2784" w:rsidRPr="007520D7" w:rsidRDefault="004E2784" w:rsidP="00FD7601">
            <w:pPr>
              <w:pStyle w:val="NoSpacing"/>
              <w:rPr>
                <w:rFonts w:ascii="Arial" w:hAnsi="Arial" w:cs="Arial"/>
                <w:lang w:bidi="en-US"/>
              </w:rPr>
            </w:pPr>
          </w:p>
          <w:p w:rsidR="004E2784" w:rsidRPr="007520D7" w:rsidRDefault="004E2784" w:rsidP="00FD7601">
            <w:pPr>
              <w:pStyle w:val="NoSpacing"/>
              <w:rPr>
                <w:rFonts w:ascii="Arial" w:hAnsi="Arial" w:cs="Arial"/>
                <w:lang w:bidi="en-US"/>
              </w:rPr>
            </w:pPr>
            <w:r w:rsidRPr="007520D7">
              <w:rPr>
                <w:rFonts w:ascii="Arial" w:hAnsi="Arial" w:cs="Arial"/>
                <w:lang w:bidi="en-US"/>
              </w:rPr>
              <w:t>Broj izdatih boravišnih dozvola</w:t>
            </w:r>
          </w:p>
        </w:tc>
        <w:tc>
          <w:tcPr>
            <w:tcW w:w="1596" w:type="dxa"/>
            <w:shd w:val="clear" w:color="auto" w:fill="D9D9D9" w:themeFill="background1" w:themeFillShade="D9"/>
          </w:tcPr>
          <w:p w:rsidR="004E2784" w:rsidRPr="007520D7" w:rsidRDefault="004E2784" w:rsidP="00FD7601">
            <w:pPr>
              <w:pStyle w:val="NoSpacing"/>
              <w:rPr>
                <w:rFonts w:ascii="Arial" w:hAnsi="Arial" w:cs="Arial"/>
                <w:lang w:bidi="en-US"/>
              </w:rPr>
            </w:pPr>
            <w:r w:rsidRPr="007520D7">
              <w:rPr>
                <w:rFonts w:ascii="Arial" w:hAnsi="Arial" w:cs="Arial"/>
                <w:lang w:bidi="en-US"/>
              </w:rPr>
              <w:t>Broj prijavljenih na obavezu socijalnog osiguranja</w:t>
            </w:r>
          </w:p>
        </w:tc>
        <w:tc>
          <w:tcPr>
            <w:tcW w:w="3192" w:type="dxa"/>
            <w:gridSpan w:val="2"/>
            <w:shd w:val="clear" w:color="auto" w:fill="D9D9D9" w:themeFill="background1" w:themeFillShade="D9"/>
          </w:tcPr>
          <w:p w:rsidR="004E2784" w:rsidRPr="007520D7" w:rsidRDefault="004E2784" w:rsidP="00FD7601">
            <w:pPr>
              <w:pStyle w:val="NoSpacing"/>
              <w:rPr>
                <w:rFonts w:ascii="Arial" w:hAnsi="Arial" w:cs="Arial"/>
                <w:lang w:bidi="en-US"/>
              </w:rPr>
            </w:pPr>
          </w:p>
          <w:p w:rsidR="004E2784" w:rsidRPr="007520D7" w:rsidRDefault="004E2784" w:rsidP="00FD7601">
            <w:pPr>
              <w:pStyle w:val="NoSpacing"/>
              <w:rPr>
                <w:rFonts w:ascii="Arial" w:hAnsi="Arial" w:cs="Arial"/>
                <w:lang w:bidi="en-US"/>
              </w:rPr>
            </w:pPr>
            <w:r w:rsidRPr="007520D7">
              <w:rPr>
                <w:rFonts w:ascii="Arial" w:hAnsi="Arial" w:cs="Arial"/>
                <w:lang w:bidi="en-US"/>
              </w:rPr>
              <w:t>Broj kontrola</w:t>
            </w:r>
          </w:p>
          <w:p w:rsidR="004E2784" w:rsidRPr="007520D7" w:rsidRDefault="004E2784" w:rsidP="00FD7601">
            <w:pPr>
              <w:pStyle w:val="NoSpacing"/>
              <w:rPr>
                <w:rFonts w:ascii="Arial" w:hAnsi="Arial" w:cs="Arial"/>
                <w:lang w:bidi="en-US"/>
              </w:rPr>
            </w:pPr>
          </w:p>
          <w:p w:rsidR="004E2784" w:rsidRPr="007520D7" w:rsidRDefault="004E2784" w:rsidP="00FD7601">
            <w:pPr>
              <w:pStyle w:val="NoSpacing"/>
              <w:rPr>
                <w:rFonts w:ascii="Arial" w:hAnsi="Arial" w:cs="Arial"/>
                <w:lang w:bidi="en-US"/>
              </w:rPr>
            </w:pPr>
            <w:r w:rsidRPr="007520D7">
              <w:rPr>
                <w:rFonts w:ascii="Arial" w:hAnsi="Arial" w:cs="Arial"/>
                <w:lang w:bidi="en-US"/>
              </w:rPr>
              <w:t xml:space="preserve">  Poslodavci          Zaposleni</w:t>
            </w:r>
          </w:p>
        </w:tc>
      </w:tr>
      <w:tr w:rsidR="004E2784" w:rsidRPr="007520D7" w:rsidTr="00FD7601">
        <w:trPr>
          <w:trHeight w:val="289"/>
        </w:trPr>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 xml:space="preserve">Bar </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112</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108</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45</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5</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10</w:t>
            </w:r>
          </w:p>
        </w:tc>
      </w:tr>
      <w:tr w:rsidR="004E2784" w:rsidRPr="007520D7" w:rsidTr="00FD7601">
        <w:trPr>
          <w:trHeight w:val="289"/>
        </w:trPr>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Budva</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1217</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1340</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588</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16</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128</w:t>
            </w:r>
          </w:p>
        </w:tc>
      </w:tr>
      <w:tr w:rsidR="004E2784" w:rsidRPr="007520D7" w:rsidTr="00FD7601">
        <w:trPr>
          <w:trHeight w:val="289"/>
        </w:trPr>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Herceg Novi</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644</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625</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433</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w:t>
            </w:r>
          </w:p>
        </w:tc>
      </w:tr>
      <w:tr w:rsidR="004E2784" w:rsidRPr="007520D7" w:rsidTr="00FD7601">
        <w:trPr>
          <w:trHeight w:val="289"/>
        </w:trPr>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 xml:space="preserve">Kotor </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209</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51</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34</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w:t>
            </w:r>
          </w:p>
        </w:tc>
      </w:tr>
      <w:tr w:rsidR="004E2784" w:rsidRPr="007520D7" w:rsidTr="00FD7601">
        <w:trPr>
          <w:trHeight w:val="289"/>
        </w:trPr>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Tivat</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59</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38</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32</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19</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38</w:t>
            </w:r>
          </w:p>
        </w:tc>
      </w:tr>
      <w:tr w:rsidR="004E2784" w:rsidRPr="007520D7" w:rsidTr="00FD7601">
        <w:trPr>
          <w:trHeight w:val="289"/>
        </w:trPr>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Ulcinj</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48</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48</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28</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16</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16</w:t>
            </w:r>
          </w:p>
        </w:tc>
      </w:tr>
      <w:tr w:rsidR="004E2784" w:rsidRPr="007520D7" w:rsidTr="00FD7601">
        <w:trPr>
          <w:trHeight w:val="289"/>
        </w:trPr>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Podgorica</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630</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176</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w:t>
            </w:r>
          </w:p>
        </w:tc>
      </w:tr>
      <w:tr w:rsidR="004E2784" w:rsidRPr="007520D7" w:rsidTr="00FD7601">
        <w:trPr>
          <w:trHeight w:val="289"/>
        </w:trPr>
        <w:tc>
          <w:tcPr>
            <w:tcW w:w="1596" w:type="dxa"/>
          </w:tcPr>
          <w:p w:rsidR="004E2784" w:rsidRPr="007520D7" w:rsidRDefault="004E2784" w:rsidP="00FD7601">
            <w:pPr>
              <w:pStyle w:val="NoSpacing"/>
              <w:rPr>
                <w:rFonts w:ascii="Arial" w:hAnsi="Arial" w:cs="Arial"/>
                <w:b/>
                <w:lang w:bidi="en-US"/>
              </w:rPr>
            </w:pPr>
            <w:r w:rsidRPr="007520D7">
              <w:rPr>
                <w:rFonts w:ascii="Arial" w:hAnsi="Arial" w:cs="Arial"/>
                <w:b/>
                <w:lang w:bidi="en-US"/>
              </w:rPr>
              <w:t>Ukupno</w:t>
            </w:r>
          </w:p>
        </w:tc>
        <w:tc>
          <w:tcPr>
            <w:tcW w:w="1596" w:type="dxa"/>
          </w:tcPr>
          <w:p w:rsidR="004E2784" w:rsidRPr="007520D7" w:rsidRDefault="004E2784" w:rsidP="00FD7601">
            <w:pPr>
              <w:pStyle w:val="NoSpacing"/>
              <w:rPr>
                <w:rFonts w:ascii="Arial" w:hAnsi="Arial" w:cs="Arial"/>
                <w:b/>
                <w:lang w:bidi="en-US"/>
              </w:rPr>
            </w:pPr>
            <w:r w:rsidRPr="007520D7">
              <w:rPr>
                <w:rFonts w:ascii="Arial" w:hAnsi="Arial" w:cs="Arial"/>
                <w:b/>
                <w:lang w:bidi="en-US"/>
              </w:rPr>
              <w:t>2919</w:t>
            </w:r>
          </w:p>
        </w:tc>
        <w:tc>
          <w:tcPr>
            <w:tcW w:w="1596" w:type="dxa"/>
          </w:tcPr>
          <w:p w:rsidR="004E2784" w:rsidRPr="007520D7" w:rsidRDefault="004E2784" w:rsidP="00FD7601">
            <w:pPr>
              <w:pStyle w:val="NoSpacing"/>
              <w:rPr>
                <w:rFonts w:ascii="Arial" w:hAnsi="Arial" w:cs="Arial"/>
                <w:b/>
                <w:lang w:bidi="en-US"/>
              </w:rPr>
            </w:pPr>
            <w:r w:rsidRPr="007520D7">
              <w:rPr>
                <w:rFonts w:ascii="Arial" w:hAnsi="Arial" w:cs="Arial"/>
                <w:b/>
                <w:lang w:bidi="en-US"/>
              </w:rPr>
              <w:t>2210</w:t>
            </w:r>
          </w:p>
        </w:tc>
        <w:tc>
          <w:tcPr>
            <w:tcW w:w="1596" w:type="dxa"/>
          </w:tcPr>
          <w:p w:rsidR="004E2784" w:rsidRPr="007520D7" w:rsidRDefault="004E2784" w:rsidP="00FD7601">
            <w:pPr>
              <w:pStyle w:val="NoSpacing"/>
              <w:rPr>
                <w:rFonts w:ascii="Arial" w:hAnsi="Arial" w:cs="Arial"/>
                <w:b/>
                <w:lang w:bidi="en-US"/>
              </w:rPr>
            </w:pPr>
            <w:r w:rsidRPr="007520D7">
              <w:rPr>
                <w:rFonts w:ascii="Arial" w:hAnsi="Arial" w:cs="Arial"/>
                <w:b/>
                <w:lang w:bidi="en-US"/>
              </w:rPr>
              <w:t>1336</w:t>
            </w:r>
          </w:p>
        </w:tc>
        <w:tc>
          <w:tcPr>
            <w:tcW w:w="1596" w:type="dxa"/>
          </w:tcPr>
          <w:p w:rsidR="004E2784" w:rsidRPr="007520D7" w:rsidRDefault="004E2784" w:rsidP="00FD7601">
            <w:pPr>
              <w:pStyle w:val="NoSpacing"/>
              <w:rPr>
                <w:rFonts w:ascii="Arial" w:hAnsi="Arial" w:cs="Arial"/>
                <w:b/>
                <w:lang w:bidi="en-US"/>
              </w:rPr>
            </w:pPr>
            <w:r w:rsidRPr="007520D7">
              <w:rPr>
                <w:rFonts w:ascii="Arial" w:hAnsi="Arial" w:cs="Arial"/>
                <w:b/>
                <w:lang w:bidi="en-US"/>
              </w:rPr>
              <w:t>56</w:t>
            </w:r>
          </w:p>
        </w:tc>
        <w:tc>
          <w:tcPr>
            <w:tcW w:w="1596" w:type="dxa"/>
          </w:tcPr>
          <w:p w:rsidR="004E2784" w:rsidRPr="007520D7" w:rsidRDefault="004E2784" w:rsidP="00FD7601">
            <w:pPr>
              <w:pStyle w:val="NoSpacing"/>
              <w:rPr>
                <w:rFonts w:ascii="Arial" w:hAnsi="Arial" w:cs="Arial"/>
                <w:b/>
                <w:lang w:bidi="en-US"/>
              </w:rPr>
            </w:pPr>
            <w:r w:rsidRPr="007520D7">
              <w:rPr>
                <w:rFonts w:ascii="Arial" w:hAnsi="Arial" w:cs="Arial"/>
                <w:b/>
                <w:lang w:bidi="en-US"/>
              </w:rPr>
              <w:t>192</w:t>
            </w:r>
          </w:p>
        </w:tc>
      </w:tr>
      <w:tr w:rsidR="004E2784" w:rsidRPr="007520D7" w:rsidTr="00FD7601">
        <w:trPr>
          <w:trHeight w:val="289"/>
        </w:trPr>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w:t>
            </w:r>
          </w:p>
        </w:tc>
        <w:tc>
          <w:tcPr>
            <w:tcW w:w="1596" w:type="dxa"/>
          </w:tcPr>
          <w:p w:rsidR="004E2784" w:rsidRPr="007520D7" w:rsidRDefault="004E2784" w:rsidP="00FD7601">
            <w:pPr>
              <w:pStyle w:val="NoSpacing"/>
              <w:rPr>
                <w:rFonts w:ascii="Arial" w:hAnsi="Arial" w:cs="Arial"/>
                <w:lang w:bidi="en-US"/>
              </w:rPr>
            </w:pP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75.71</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45.77</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1.92</w:t>
            </w:r>
          </w:p>
        </w:tc>
        <w:tc>
          <w:tcPr>
            <w:tcW w:w="1596" w:type="dxa"/>
          </w:tcPr>
          <w:p w:rsidR="004E2784" w:rsidRPr="007520D7" w:rsidRDefault="004E2784" w:rsidP="00FD7601">
            <w:pPr>
              <w:pStyle w:val="NoSpacing"/>
              <w:rPr>
                <w:rFonts w:ascii="Arial" w:hAnsi="Arial" w:cs="Arial"/>
                <w:lang w:bidi="en-US"/>
              </w:rPr>
            </w:pPr>
            <w:r w:rsidRPr="007520D7">
              <w:rPr>
                <w:rFonts w:ascii="Arial" w:hAnsi="Arial" w:cs="Arial"/>
                <w:lang w:bidi="en-US"/>
              </w:rPr>
              <w:t>6.58</w:t>
            </w:r>
          </w:p>
        </w:tc>
      </w:tr>
    </w:tbl>
    <w:p w:rsidR="004E2784" w:rsidRPr="007520D7" w:rsidRDefault="004E2784" w:rsidP="004E2784">
      <w:pPr>
        <w:pStyle w:val="NoSpacing"/>
        <w:rPr>
          <w:rFonts w:ascii="Arial" w:hAnsi="Arial" w:cs="Arial"/>
          <w:sz w:val="22"/>
          <w:szCs w:val="22"/>
        </w:rPr>
      </w:pPr>
    </w:p>
    <w:p w:rsidR="004E2784" w:rsidRPr="007520D7" w:rsidRDefault="004E2784" w:rsidP="004E2784">
      <w:pPr>
        <w:pStyle w:val="NoSpacing"/>
        <w:rPr>
          <w:rFonts w:ascii="Arial" w:hAnsi="Arial" w:cs="Arial"/>
          <w:color w:val="000000" w:themeColor="text1"/>
          <w:sz w:val="22"/>
          <w:szCs w:val="22"/>
        </w:rPr>
      </w:pPr>
      <w:r w:rsidRPr="007520D7">
        <w:rPr>
          <w:rFonts w:ascii="Arial" w:hAnsi="Arial" w:cs="Arial"/>
          <w:color w:val="000000" w:themeColor="text1"/>
          <w:sz w:val="22"/>
          <w:szCs w:val="22"/>
        </w:rPr>
        <w:t xml:space="preserve">S obzirom na navedene podatke, može se zaključiti da je u mjesecu junu više nego dvostruko povećan broj izdatih radnih dozvola u odnosu na mjesec maj (1373 izdatih radnih dozvola u maju a 2919 u junu). Povećanje broja izdatih radnih dozvola indikator je činjenice da je u junu snažno počela turistička sezona te da su poslodavci u ovom periodu tradicionalno aktivniji i </w:t>
      </w:r>
      <w:r w:rsidRPr="007520D7">
        <w:rPr>
          <w:rFonts w:ascii="Arial" w:hAnsi="Arial" w:cs="Arial"/>
          <w:color w:val="000000" w:themeColor="text1"/>
          <w:sz w:val="22"/>
          <w:szCs w:val="22"/>
        </w:rPr>
        <w:lastRenderedPageBreak/>
        <w:t xml:space="preserve">intezivniji u zapošljavanju radne snage. Takođe, veoma značajan podatak predstavlja činjenica da je u mjesecu junu skoro dvostruko povećan broj prijavljenih na obavezu socijalnog osiguranja u odnosu na mjesec maj (sa 23.02% u maju na 45.77% u junu). Značajno povećanje broja prijavljenih na obavezu socijalnog osiguranja kod Poreske uprave predstavlja evidentan napredak u procesu suzbijanja sive ekonomije na tržištu rada. </w:t>
      </w:r>
    </w:p>
    <w:p w:rsidR="004E2784" w:rsidRPr="007520D7" w:rsidRDefault="004E2784" w:rsidP="004E2784">
      <w:pPr>
        <w:pStyle w:val="NoSpacing"/>
        <w:rPr>
          <w:rFonts w:ascii="Arial" w:hAnsi="Arial" w:cs="Arial"/>
          <w:color w:val="000000" w:themeColor="text1"/>
          <w:sz w:val="22"/>
          <w:szCs w:val="22"/>
        </w:rPr>
      </w:pPr>
    </w:p>
    <w:p w:rsidR="004E2784" w:rsidRPr="007520D7" w:rsidRDefault="004E2784" w:rsidP="004E2784">
      <w:pPr>
        <w:pStyle w:val="NoSpacing"/>
        <w:rPr>
          <w:rFonts w:ascii="Arial" w:hAnsi="Arial" w:cs="Arial"/>
          <w:color w:val="000000" w:themeColor="text1"/>
          <w:sz w:val="22"/>
          <w:szCs w:val="22"/>
        </w:rPr>
      </w:pPr>
      <w:r w:rsidRPr="007520D7">
        <w:rPr>
          <w:rFonts w:ascii="Arial" w:hAnsi="Arial" w:cs="Arial"/>
          <w:color w:val="000000" w:themeColor="text1"/>
          <w:sz w:val="22"/>
          <w:szCs w:val="22"/>
        </w:rPr>
        <w:t>Takođe, važno je napomenuti da je na poslednjem sastanku Radnog tima, održanom 08.07.2013. godine, dogovoreno da se na osnovu podataka Poreske uprave i Zavoda za zapošljavanje za mjesece maj i jun, uradi detaljna uporedna analiza koja će doprinijeti većoj efikasnosti i efektivnosti procesa suzbijanja sive ekonomije na tržištu rada.</w:t>
      </w:r>
    </w:p>
    <w:p w:rsidR="00987053" w:rsidRDefault="00987053" w:rsidP="00892D1F">
      <w:pPr>
        <w:pStyle w:val="NoSpacing"/>
        <w:jc w:val="center"/>
        <w:rPr>
          <w:rFonts w:ascii="Arial" w:hAnsi="Arial" w:cs="Arial"/>
          <w:b/>
          <w:i/>
          <w:sz w:val="22"/>
          <w:szCs w:val="22"/>
          <w:lang w:val="sr-Latn-CS"/>
        </w:rPr>
      </w:pPr>
    </w:p>
    <w:p w:rsidR="00987053" w:rsidRDefault="00987053" w:rsidP="000F42E7">
      <w:pPr>
        <w:pStyle w:val="NoSpacing"/>
        <w:rPr>
          <w:rFonts w:ascii="Arial" w:hAnsi="Arial" w:cs="Arial"/>
          <w:b/>
          <w:i/>
          <w:sz w:val="22"/>
          <w:szCs w:val="22"/>
          <w:lang w:val="sr-Latn-CS"/>
        </w:rPr>
      </w:pPr>
    </w:p>
    <w:p w:rsidR="00650403" w:rsidRPr="00892D1F" w:rsidRDefault="00650403" w:rsidP="00892D1F">
      <w:pPr>
        <w:pStyle w:val="NoSpacing"/>
        <w:jc w:val="center"/>
        <w:rPr>
          <w:rFonts w:ascii="Arial" w:hAnsi="Arial" w:cs="Arial"/>
          <w:b/>
          <w:i/>
          <w:sz w:val="22"/>
          <w:szCs w:val="22"/>
          <w:lang w:val="sr-Latn-CS"/>
        </w:rPr>
      </w:pPr>
      <w:r w:rsidRPr="00892D1F">
        <w:rPr>
          <w:rFonts w:ascii="Arial" w:hAnsi="Arial" w:cs="Arial"/>
          <w:b/>
          <w:i/>
          <w:sz w:val="22"/>
          <w:szCs w:val="22"/>
          <w:lang w:val="sr-Latn-CS"/>
        </w:rPr>
        <w:t>I Z V J E Š T A J</w:t>
      </w:r>
    </w:p>
    <w:p w:rsidR="00892D1F" w:rsidRDefault="00650403" w:rsidP="00892D1F">
      <w:pPr>
        <w:pStyle w:val="NoSpacing"/>
        <w:jc w:val="center"/>
        <w:rPr>
          <w:rFonts w:ascii="Arial" w:hAnsi="Arial" w:cs="Arial"/>
          <w:b/>
          <w:i/>
          <w:sz w:val="22"/>
          <w:szCs w:val="22"/>
          <w:lang w:val="sr-Latn-CS"/>
        </w:rPr>
      </w:pPr>
      <w:r w:rsidRPr="00892D1F">
        <w:rPr>
          <w:rFonts w:ascii="Arial" w:hAnsi="Arial" w:cs="Arial"/>
          <w:b/>
          <w:i/>
          <w:sz w:val="22"/>
          <w:szCs w:val="22"/>
          <w:lang w:val="sr-Latn-CS"/>
        </w:rPr>
        <w:t xml:space="preserve">RADNOG TIMA ZA UNAPRJEĐENJE KOORDINACIJE I SARADNJE IZMEĐU </w:t>
      </w:r>
    </w:p>
    <w:p w:rsidR="00650403" w:rsidRDefault="00650403" w:rsidP="00892D1F">
      <w:pPr>
        <w:pStyle w:val="NoSpacing"/>
        <w:jc w:val="center"/>
        <w:rPr>
          <w:rFonts w:ascii="Arial" w:hAnsi="Arial" w:cs="Arial"/>
          <w:b/>
          <w:i/>
          <w:sz w:val="22"/>
          <w:szCs w:val="22"/>
          <w:lang w:val="sr-Latn-CS"/>
        </w:rPr>
      </w:pPr>
      <w:r w:rsidRPr="00892D1F">
        <w:rPr>
          <w:rFonts w:ascii="Arial" w:hAnsi="Arial" w:cs="Arial"/>
          <w:b/>
          <w:i/>
          <w:sz w:val="22"/>
          <w:szCs w:val="22"/>
          <w:lang w:val="sr-Latn-CS"/>
        </w:rPr>
        <w:t>DRŽAVNIH ORGANA</w:t>
      </w:r>
    </w:p>
    <w:p w:rsidR="000F42E7" w:rsidRDefault="000F42E7" w:rsidP="00045C7E">
      <w:pPr>
        <w:pStyle w:val="NoSpacing"/>
        <w:rPr>
          <w:rFonts w:ascii="Arial" w:hAnsi="Arial" w:cs="Arial"/>
          <w:b/>
          <w:i/>
          <w:sz w:val="22"/>
          <w:szCs w:val="22"/>
          <w:lang w:val="sr-Latn-CS"/>
        </w:rPr>
      </w:pPr>
    </w:p>
    <w:p w:rsidR="00045C7E" w:rsidRDefault="00045C7E" w:rsidP="00045C7E">
      <w:pPr>
        <w:pStyle w:val="msonospacing0"/>
        <w:spacing w:before="0" w:beforeAutospacing="0" w:after="0" w:afterAutospacing="0"/>
        <w:jc w:val="both"/>
        <w:rPr>
          <w:rFonts w:ascii="Arial" w:hAnsi="Arial" w:cs="Arial"/>
          <w:color w:val="000000"/>
          <w:sz w:val="22"/>
          <w:szCs w:val="22"/>
          <w:lang w:val="it-IT"/>
        </w:rPr>
      </w:pPr>
      <w:r>
        <w:rPr>
          <w:rFonts w:ascii="Arial" w:hAnsi="Arial" w:cs="Arial"/>
          <w:color w:val="000000"/>
          <w:sz w:val="22"/>
          <w:szCs w:val="22"/>
          <w:lang w:val="sr-Latn-CS"/>
        </w:rPr>
        <w:t>Radni tim za unapređenje koordinacije i saradnje između državnih organa je kroz neposrednu koordinaciju i sastanke utvrđivao zajedničke aktivnosti koje su usmjerene na borbu protiv sive ekonomije u skladu sa definisanim Akcionim planom. Radni tim sastavljen je od predstavnika Poreske uprave, Uprave policije, Uprave carina, Uprave za inspekcijske poslove, Državnog tužilaštva i Uprave za sprečavanje pranja novca i finansiranje terorizma</w:t>
      </w:r>
      <w:r>
        <w:rPr>
          <w:rFonts w:ascii="Arial" w:hAnsi="Arial" w:cs="Arial"/>
          <w:color w:val="000000"/>
          <w:sz w:val="22"/>
          <w:szCs w:val="22"/>
          <w:lang w:val="it-IT"/>
        </w:rPr>
        <w:t xml:space="preserve">. </w:t>
      </w:r>
    </w:p>
    <w:p w:rsidR="00045C7E" w:rsidRDefault="00045C7E" w:rsidP="00045C7E">
      <w:pPr>
        <w:pStyle w:val="msonospacing0"/>
        <w:spacing w:before="0" w:beforeAutospacing="0" w:after="0" w:afterAutospacing="0"/>
        <w:jc w:val="both"/>
        <w:rPr>
          <w:rFonts w:ascii="Arial" w:hAnsi="Arial" w:cs="Arial"/>
          <w:color w:val="000000"/>
          <w:sz w:val="22"/>
          <w:szCs w:val="22"/>
          <w:lang w:val="it-IT"/>
        </w:rPr>
      </w:pPr>
    </w:p>
    <w:p w:rsidR="00045C7E" w:rsidRDefault="00045C7E" w:rsidP="00045C7E">
      <w:pPr>
        <w:pStyle w:val="msonospacing0"/>
        <w:spacing w:before="0" w:beforeAutospacing="0" w:after="0" w:afterAutospacing="0"/>
        <w:jc w:val="both"/>
        <w:rPr>
          <w:rFonts w:ascii="Arial" w:hAnsi="Arial" w:cs="Arial"/>
          <w:color w:val="000000"/>
          <w:sz w:val="22"/>
          <w:szCs w:val="22"/>
          <w:lang w:val="it-IT"/>
        </w:rPr>
      </w:pPr>
      <w:r>
        <w:rPr>
          <w:rFonts w:ascii="Arial" w:hAnsi="Arial" w:cs="Arial"/>
          <w:color w:val="000000"/>
          <w:sz w:val="22"/>
          <w:szCs w:val="22"/>
          <w:lang w:val="it-IT"/>
        </w:rPr>
        <w:t xml:space="preserve">Radni tim je za prioritete utvrdio međusobnu saradnju u suzbijanju sive ekonomije putem sprovođenja zajedničkih postupaka na izraženim pojavnim oblicima sive ekonomije, kao i unapređenjem efikasne razmjene podataka za potrebe pojedinih organa. Radni tim je definisao  posebne aktivnosti na suzbijanju sive ekonomije na polju tržišta rada i prometa roba i usluga. U tom cilju sproveden je veći broj zajedničkih postupaka od strane Poreske uprave, Uprave policije i Uprave carina. U vezi sa tim, pokrenuti su i pretkrivični postupci nadležnom tužiocu, kao i postupci kod ovih organa vezani za zabranu raspolaganja poslovnim sredstvima. </w:t>
      </w:r>
    </w:p>
    <w:p w:rsidR="00045C7E" w:rsidRDefault="00045C7E" w:rsidP="00045C7E">
      <w:pPr>
        <w:pStyle w:val="msonospacing0"/>
        <w:spacing w:before="0" w:beforeAutospacing="0" w:after="0" w:afterAutospacing="0"/>
        <w:jc w:val="both"/>
        <w:rPr>
          <w:rFonts w:ascii="Arial" w:hAnsi="Arial" w:cs="Arial"/>
          <w:color w:val="000000"/>
          <w:sz w:val="22"/>
          <w:szCs w:val="22"/>
          <w:lang w:val="it-IT"/>
        </w:rPr>
      </w:pPr>
    </w:p>
    <w:p w:rsidR="00045C7E" w:rsidRDefault="00045C7E" w:rsidP="00045C7E">
      <w:pPr>
        <w:pStyle w:val="msonospacing0"/>
        <w:spacing w:before="0" w:beforeAutospacing="0" w:after="0" w:afterAutospacing="0"/>
        <w:jc w:val="both"/>
        <w:rPr>
          <w:rFonts w:ascii="Arial" w:hAnsi="Arial" w:cs="Arial"/>
          <w:color w:val="000000"/>
          <w:sz w:val="22"/>
          <w:szCs w:val="22"/>
          <w:lang w:val="it-IT"/>
        </w:rPr>
      </w:pPr>
      <w:r>
        <w:rPr>
          <w:rFonts w:ascii="Arial" w:hAnsi="Arial" w:cs="Arial"/>
          <w:color w:val="000000"/>
          <w:sz w:val="22"/>
          <w:szCs w:val="22"/>
          <w:lang w:val="it-IT"/>
        </w:rPr>
        <w:t xml:space="preserve">Radni tim je definisao i aktivnosti u vezi sa mjerama na sprječavanju pranja novca, te je ostvarena uspješna razmjena podataka sa Upravom za sprječavanje pranja novca. Uspostavljena je saradnja između službenika svih organa zaduženih za praćenje ljetnje turističke sezone, kako na personalnom nivou, tako i kod razmjene podataka za potrebe svih organa. </w:t>
      </w:r>
    </w:p>
    <w:p w:rsidR="00045C7E" w:rsidRDefault="00045C7E" w:rsidP="00045C7E">
      <w:pPr>
        <w:pStyle w:val="msonospacing0"/>
        <w:spacing w:before="0" w:beforeAutospacing="0" w:after="0" w:afterAutospacing="0"/>
        <w:jc w:val="both"/>
        <w:rPr>
          <w:rFonts w:ascii="Arial" w:hAnsi="Arial" w:cs="Arial"/>
          <w:color w:val="000000"/>
          <w:sz w:val="22"/>
          <w:szCs w:val="22"/>
          <w:lang w:val="it-IT"/>
        </w:rPr>
      </w:pPr>
    </w:p>
    <w:p w:rsidR="00045C7E" w:rsidRPr="00045C7E" w:rsidRDefault="00045C7E" w:rsidP="00045C7E">
      <w:pPr>
        <w:pStyle w:val="msonospacing0"/>
        <w:spacing w:before="0" w:beforeAutospacing="0" w:after="0" w:afterAutospacing="0"/>
        <w:jc w:val="both"/>
        <w:rPr>
          <w:rFonts w:ascii="Arial" w:hAnsi="Arial" w:cs="Arial"/>
          <w:color w:val="000000"/>
          <w:sz w:val="22"/>
          <w:szCs w:val="22"/>
          <w:lang w:val="it-IT"/>
        </w:rPr>
      </w:pPr>
      <w:r>
        <w:rPr>
          <w:rFonts w:ascii="Arial" w:hAnsi="Arial" w:cs="Arial"/>
          <w:color w:val="000000"/>
          <w:sz w:val="22"/>
          <w:szCs w:val="22"/>
          <w:lang w:val="it-IT"/>
        </w:rPr>
        <w:t xml:space="preserve">Pored navedenog, date su i instrukcije za korišćenje informacija koje se obezbjeđuju od građana i pravnih lica putem Call centara i drugih komunikacionih kanala. Posebna novina je sajt “Budi odgovoran”, koji omogućava kvalitetne informacije za više državnih organa, odnosno obezbjeđuje im brzu dostupnost istih. </w:t>
      </w:r>
    </w:p>
    <w:p w:rsidR="00045C7E" w:rsidRDefault="00045C7E" w:rsidP="00045C7E">
      <w:pPr>
        <w:pStyle w:val="msonospacing0"/>
        <w:spacing w:before="0" w:beforeAutospacing="0" w:after="0" w:afterAutospacing="0"/>
        <w:jc w:val="both"/>
        <w:rPr>
          <w:rFonts w:ascii="Arial" w:hAnsi="Arial" w:cs="Arial"/>
          <w:color w:val="000000"/>
          <w:sz w:val="22"/>
          <w:szCs w:val="22"/>
          <w:lang w:val="it-IT"/>
        </w:rPr>
      </w:pPr>
    </w:p>
    <w:p w:rsidR="00045C7E" w:rsidRDefault="00045C7E" w:rsidP="00045C7E">
      <w:pPr>
        <w:pStyle w:val="msonospacing0"/>
        <w:spacing w:before="0" w:beforeAutospacing="0" w:after="0" w:afterAutospacing="0"/>
        <w:jc w:val="both"/>
        <w:rPr>
          <w:rFonts w:ascii="Arial" w:hAnsi="Arial" w:cs="Arial"/>
          <w:color w:val="000000"/>
          <w:sz w:val="22"/>
          <w:szCs w:val="22"/>
          <w:lang w:val="it-IT"/>
        </w:rPr>
      </w:pPr>
      <w:r>
        <w:rPr>
          <w:rFonts w:ascii="Arial" w:hAnsi="Arial" w:cs="Arial"/>
          <w:color w:val="000000"/>
          <w:sz w:val="22"/>
          <w:szCs w:val="22"/>
          <w:lang w:val="it-IT"/>
        </w:rPr>
        <w:t xml:space="preserve">Svi državni organi uspostavili su dobru saradnju u pogledu obezbjeđivanja podataka o zapošljavanju stranih fizičkih lica na teritoriji Crne Gore. Veoma značajan izvor podataka za postupanje svih državnih organa su baze podataka Poreske uprave, te se svakodnevno servisiraju podaci na zahtjev svih drugih državnih organa. </w:t>
      </w:r>
    </w:p>
    <w:p w:rsidR="00045C7E" w:rsidRPr="00390261" w:rsidRDefault="00045C7E" w:rsidP="00045C7E">
      <w:pPr>
        <w:pStyle w:val="msonospacing0"/>
        <w:spacing w:before="0" w:beforeAutospacing="0" w:after="0" w:afterAutospacing="0"/>
        <w:jc w:val="both"/>
        <w:rPr>
          <w:rFonts w:ascii="Arial" w:hAnsi="Arial" w:cs="Arial"/>
          <w:color w:val="000000"/>
          <w:sz w:val="22"/>
          <w:szCs w:val="22"/>
          <w:lang w:val="it-IT"/>
        </w:rPr>
      </w:pPr>
    </w:p>
    <w:p w:rsidR="008A38C7" w:rsidRPr="00045C7E" w:rsidRDefault="00045C7E" w:rsidP="00045C7E">
      <w:pPr>
        <w:spacing w:after="0" w:line="240" w:lineRule="auto"/>
        <w:rPr>
          <w:rFonts w:ascii="Arial" w:hAnsi="Arial" w:cs="Arial"/>
          <w:sz w:val="22"/>
          <w:szCs w:val="22"/>
        </w:rPr>
      </w:pPr>
      <w:r w:rsidRPr="00390261">
        <w:rPr>
          <w:rFonts w:ascii="Arial" w:hAnsi="Arial" w:cs="Arial"/>
          <w:sz w:val="22"/>
          <w:szCs w:val="22"/>
        </w:rPr>
        <w:t>U dosadašnjem periodu koordinacija između d</w:t>
      </w:r>
      <w:r>
        <w:rPr>
          <w:rFonts w:ascii="Arial" w:hAnsi="Arial" w:cs="Arial"/>
          <w:sz w:val="22"/>
          <w:szCs w:val="22"/>
        </w:rPr>
        <w:t>ržavnih organa funkcionisala je</w:t>
      </w:r>
      <w:r w:rsidRPr="00390261">
        <w:rPr>
          <w:rFonts w:ascii="Arial" w:hAnsi="Arial" w:cs="Arial"/>
          <w:sz w:val="22"/>
          <w:szCs w:val="22"/>
        </w:rPr>
        <w:t xml:space="preserve"> </w:t>
      </w:r>
      <w:r>
        <w:rPr>
          <w:rFonts w:ascii="Arial" w:hAnsi="Arial" w:cs="Arial"/>
          <w:sz w:val="22"/>
          <w:szCs w:val="22"/>
        </w:rPr>
        <w:t>na taj način da su u potpunosti obezbijeđeni podaci i informacije za sve organe i da nije bilo primjedbi na postupanje bilo kojeg organa.</w:t>
      </w:r>
    </w:p>
    <w:p w:rsidR="008A38C7" w:rsidRDefault="008A38C7" w:rsidP="00892D1F">
      <w:pPr>
        <w:pStyle w:val="NoSpacing"/>
        <w:jc w:val="center"/>
        <w:rPr>
          <w:rFonts w:ascii="Arial" w:hAnsi="Arial" w:cs="Arial"/>
          <w:b/>
          <w:i/>
          <w:sz w:val="22"/>
          <w:szCs w:val="22"/>
          <w:lang w:val="sr-Latn-CS"/>
        </w:rPr>
      </w:pPr>
    </w:p>
    <w:p w:rsidR="004B3017" w:rsidRPr="004B3017" w:rsidRDefault="004B3017" w:rsidP="004034F1">
      <w:pPr>
        <w:rPr>
          <w:sz w:val="24"/>
          <w:szCs w:val="24"/>
        </w:rPr>
        <w:sectPr w:rsidR="004B3017" w:rsidRPr="004B3017" w:rsidSect="00F167AE">
          <w:pgSz w:w="12240" w:h="15840"/>
          <w:pgMar w:top="1440" w:right="1440" w:bottom="1440" w:left="1440" w:header="720" w:footer="720" w:gutter="0"/>
          <w:cols w:space="720"/>
          <w:docGrid w:linePitch="360"/>
        </w:sectPr>
      </w:pPr>
    </w:p>
    <w:tbl>
      <w:tblPr>
        <w:tblpPr w:leftFromText="180" w:rightFromText="180" w:horzAnchor="margin" w:tblpY="1813"/>
        <w:tblW w:w="11851" w:type="dxa"/>
        <w:tblLayout w:type="fixed"/>
        <w:tblLook w:val="04A0"/>
      </w:tblPr>
      <w:tblGrid>
        <w:gridCol w:w="2228"/>
        <w:gridCol w:w="1154"/>
        <w:gridCol w:w="2310"/>
        <w:gridCol w:w="1155"/>
        <w:gridCol w:w="2186"/>
        <w:gridCol w:w="252"/>
        <w:gridCol w:w="1123"/>
        <w:gridCol w:w="1443"/>
      </w:tblGrid>
      <w:tr w:rsidR="007F7959" w:rsidRPr="007F7959" w:rsidTr="008D5684">
        <w:trPr>
          <w:trHeight w:val="329"/>
        </w:trPr>
        <w:tc>
          <w:tcPr>
            <w:tcW w:w="2228" w:type="dxa"/>
            <w:tcBorders>
              <w:top w:val="nil"/>
              <w:left w:val="nil"/>
              <w:bottom w:val="nil"/>
              <w:right w:val="nil"/>
            </w:tcBorders>
            <w:shd w:val="clear" w:color="auto" w:fill="auto"/>
            <w:noWrap/>
            <w:vAlign w:val="bottom"/>
            <w:hideMark/>
          </w:tcPr>
          <w:p w:rsidR="007F7959" w:rsidRPr="007F7959" w:rsidRDefault="007F7959" w:rsidP="00C11424">
            <w:pPr>
              <w:spacing w:after="0" w:line="240" w:lineRule="auto"/>
              <w:jc w:val="left"/>
              <w:rPr>
                <w:rFonts w:ascii="Calibri" w:eastAsia="Times New Roman" w:hAnsi="Calibri" w:cs="Calibri"/>
                <w:color w:val="000000"/>
                <w:sz w:val="22"/>
                <w:szCs w:val="22"/>
                <w:lang w:bidi="ar-SA"/>
              </w:rPr>
            </w:pPr>
          </w:p>
        </w:tc>
        <w:tc>
          <w:tcPr>
            <w:tcW w:w="1154" w:type="dxa"/>
            <w:tcBorders>
              <w:top w:val="nil"/>
              <w:left w:val="nil"/>
              <w:bottom w:val="nil"/>
              <w:right w:val="nil"/>
            </w:tcBorders>
            <w:shd w:val="clear" w:color="auto" w:fill="auto"/>
            <w:noWrap/>
            <w:vAlign w:val="bottom"/>
            <w:hideMark/>
          </w:tcPr>
          <w:p w:rsidR="007F7959" w:rsidRPr="007F7959" w:rsidRDefault="007F7959" w:rsidP="00C11424">
            <w:pPr>
              <w:spacing w:after="0" w:line="240" w:lineRule="auto"/>
              <w:jc w:val="left"/>
              <w:rPr>
                <w:rFonts w:ascii="Calibri" w:eastAsia="Times New Roman" w:hAnsi="Calibri" w:cs="Calibri"/>
                <w:color w:val="000000"/>
                <w:sz w:val="22"/>
                <w:szCs w:val="22"/>
                <w:lang w:bidi="ar-SA"/>
              </w:rPr>
            </w:pPr>
          </w:p>
        </w:tc>
        <w:tc>
          <w:tcPr>
            <w:tcW w:w="2310" w:type="dxa"/>
            <w:tcBorders>
              <w:top w:val="nil"/>
              <w:left w:val="nil"/>
              <w:bottom w:val="nil"/>
              <w:right w:val="nil"/>
            </w:tcBorders>
            <w:shd w:val="clear" w:color="auto" w:fill="auto"/>
            <w:noWrap/>
            <w:vAlign w:val="bottom"/>
            <w:hideMark/>
          </w:tcPr>
          <w:p w:rsidR="007F7959" w:rsidRPr="007F7959" w:rsidRDefault="007F7959" w:rsidP="00C11424">
            <w:pPr>
              <w:spacing w:after="0" w:line="240" w:lineRule="auto"/>
              <w:jc w:val="left"/>
              <w:rPr>
                <w:rFonts w:ascii="Calibri" w:eastAsia="Times New Roman" w:hAnsi="Calibri" w:cs="Calibri"/>
                <w:b/>
                <w:bCs/>
                <w:color w:val="000000"/>
                <w:sz w:val="22"/>
                <w:szCs w:val="22"/>
                <w:lang w:bidi="ar-SA"/>
              </w:rPr>
            </w:pPr>
          </w:p>
        </w:tc>
        <w:tc>
          <w:tcPr>
            <w:tcW w:w="1155" w:type="dxa"/>
            <w:tcBorders>
              <w:top w:val="nil"/>
              <w:left w:val="nil"/>
              <w:bottom w:val="nil"/>
              <w:right w:val="nil"/>
            </w:tcBorders>
            <w:shd w:val="clear" w:color="auto" w:fill="auto"/>
            <w:noWrap/>
            <w:vAlign w:val="bottom"/>
            <w:hideMark/>
          </w:tcPr>
          <w:p w:rsidR="007F7959" w:rsidRPr="007F7959" w:rsidRDefault="007F7959" w:rsidP="00C11424">
            <w:pPr>
              <w:spacing w:after="0" w:line="240" w:lineRule="auto"/>
              <w:jc w:val="left"/>
              <w:rPr>
                <w:rFonts w:ascii="Calibri" w:eastAsia="Times New Roman" w:hAnsi="Calibri" w:cs="Calibri"/>
                <w:color w:val="000000"/>
                <w:sz w:val="22"/>
                <w:szCs w:val="22"/>
                <w:lang w:bidi="ar-SA"/>
              </w:rPr>
            </w:pPr>
          </w:p>
        </w:tc>
        <w:tc>
          <w:tcPr>
            <w:tcW w:w="2186" w:type="dxa"/>
            <w:tcBorders>
              <w:top w:val="nil"/>
              <w:left w:val="nil"/>
              <w:bottom w:val="nil"/>
              <w:right w:val="nil"/>
            </w:tcBorders>
            <w:shd w:val="clear" w:color="auto" w:fill="auto"/>
            <w:noWrap/>
            <w:vAlign w:val="bottom"/>
            <w:hideMark/>
          </w:tcPr>
          <w:p w:rsidR="007F7959" w:rsidRPr="007F7959" w:rsidRDefault="007F7959" w:rsidP="00C11424">
            <w:pPr>
              <w:spacing w:after="0" w:line="240" w:lineRule="auto"/>
              <w:jc w:val="left"/>
              <w:rPr>
                <w:rFonts w:ascii="Calibri" w:eastAsia="Times New Roman" w:hAnsi="Calibri" w:cs="Calibri"/>
                <w:color w:val="000000"/>
                <w:sz w:val="22"/>
                <w:szCs w:val="22"/>
                <w:lang w:bidi="ar-SA"/>
              </w:rPr>
            </w:pPr>
          </w:p>
        </w:tc>
        <w:tc>
          <w:tcPr>
            <w:tcW w:w="252" w:type="dxa"/>
            <w:tcBorders>
              <w:top w:val="nil"/>
              <w:left w:val="nil"/>
              <w:bottom w:val="nil"/>
              <w:right w:val="nil"/>
            </w:tcBorders>
            <w:shd w:val="clear" w:color="auto" w:fill="auto"/>
            <w:noWrap/>
            <w:vAlign w:val="bottom"/>
            <w:hideMark/>
          </w:tcPr>
          <w:p w:rsidR="007F7959" w:rsidRPr="007F7959" w:rsidRDefault="007F7959" w:rsidP="00C11424">
            <w:pPr>
              <w:spacing w:after="0" w:line="240" w:lineRule="auto"/>
              <w:jc w:val="left"/>
              <w:rPr>
                <w:rFonts w:ascii="Calibri" w:eastAsia="Times New Roman" w:hAnsi="Calibri" w:cs="Calibri"/>
                <w:color w:val="000000"/>
                <w:sz w:val="22"/>
                <w:szCs w:val="22"/>
                <w:lang w:bidi="ar-SA"/>
              </w:rPr>
            </w:pPr>
          </w:p>
        </w:tc>
        <w:tc>
          <w:tcPr>
            <w:tcW w:w="1123" w:type="dxa"/>
            <w:tcBorders>
              <w:top w:val="nil"/>
              <w:left w:val="nil"/>
              <w:bottom w:val="nil"/>
              <w:right w:val="nil"/>
            </w:tcBorders>
            <w:shd w:val="clear" w:color="auto" w:fill="auto"/>
            <w:noWrap/>
            <w:vAlign w:val="bottom"/>
            <w:hideMark/>
          </w:tcPr>
          <w:p w:rsidR="007F7959" w:rsidRPr="007F7959" w:rsidRDefault="007F7959" w:rsidP="00C11424">
            <w:pPr>
              <w:spacing w:after="0" w:line="240" w:lineRule="auto"/>
              <w:jc w:val="left"/>
              <w:rPr>
                <w:rFonts w:ascii="Calibri" w:eastAsia="Times New Roman" w:hAnsi="Calibri" w:cs="Calibri"/>
                <w:color w:val="000000"/>
                <w:sz w:val="22"/>
                <w:szCs w:val="22"/>
                <w:lang w:bidi="ar-SA"/>
              </w:rPr>
            </w:pPr>
          </w:p>
        </w:tc>
        <w:tc>
          <w:tcPr>
            <w:tcW w:w="1443" w:type="dxa"/>
            <w:tcBorders>
              <w:top w:val="nil"/>
              <w:left w:val="nil"/>
              <w:bottom w:val="nil"/>
              <w:right w:val="nil"/>
            </w:tcBorders>
            <w:shd w:val="clear" w:color="auto" w:fill="auto"/>
            <w:noWrap/>
            <w:vAlign w:val="bottom"/>
            <w:hideMark/>
          </w:tcPr>
          <w:p w:rsidR="007F7959" w:rsidRPr="007F7959" w:rsidRDefault="007F7959" w:rsidP="00C11424">
            <w:pPr>
              <w:spacing w:after="0" w:line="240" w:lineRule="auto"/>
              <w:jc w:val="left"/>
              <w:rPr>
                <w:rFonts w:ascii="Calibri" w:eastAsia="Times New Roman" w:hAnsi="Calibri" w:cs="Calibri"/>
                <w:color w:val="000000"/>
                <w:sz w:val="22"/>
                <w:szCs w:val="22"/>
                <w:lang w:bidi="ar-SA"/>
              </w:rPr>
            </w:pPr>
          </w:p>
        </w:tc>
      </w:tr>
    </w:tbl>
    <w:p w:rsidR="008A38C7" w:rsidRPr="00722CDB" w:rsidRDefault="008A38C7" w:rsidP="008A38C7">
      <w:pPr>
        <w:tabs>
          <w:tab w:val="left" w:pos="2160"/>
          <w:tab w:val="left" w:pos="2250"/>
        </w:tabs>
        <w:rPr>
          <w:rFonts w:ascii="Arial" w:hAnsi="Arial" w:cs="Arial"/>
          <w:b/>
          <w:sz w:val="22"/>
          <w:szCs w:val="22"/>
          <w:lang w:val="sr-Latn-CS"/>
        </w:rPr>
      </w:pPr>
      <w:r w:rsidRPr="008A38C7">
        <w:rPr>
          <w:rFonts w:ascii="Arial" w:hAnsi="Arial" w:cs="Arial"/>
          <w:b/>
          <w:sz w:val="22"/>
          <w:szCs w:val="22"/>
        </w:rPr>
        <w:t xml:space="preserve"> </w:t>
      </w:r>
      <w:r>
        <w:rPr>
          <w:rFonts w:ascii="Arial" w:hAnsi="Arial" w:cs="Arial"/>
          <w:b/>
          <w:sz w:val="22"/>
          <w:szCs w:val="22"/>
        </w:rPr>
        <w:t>UPOREDNI PREGLED PLANIRANIH I OSTVARENIH NETO PRIHODA ZA PERIOD JANUAR-JUN 2011, 2012 I 2013 GODINE</w:t>
      </w:r>
    </w:p>
    <w:p w:rsidR="008A38C7" w:rsidRDefault="008A38C7">
      <w:r>
        <w:t xml:space="preserve"> </w:t>
      </w:r>
    </w:p>
    <w:tbl>
      <w:tblPr>
        <w:tblpPr w:leftFromText="180" w:rightFromText="180" w:horzAnchor="margin" w:tblpY="1813"/>
        <w:tblW w:w="13245" w:type="dxa"/>
        <w:tblLayout w:type="fixed"/>
        <w:tblLook w:val="04A0"/>
      </w:tblPr>
      <w:tblGrid>
        <w:gridCol w:w="2085"/>
        <w:gridCol w:w="1080"/>
        <w:gridCol w:w="1080"/>
        <w:gridCol w:w="1080"/>
        <w:gridCol w:w="1080"/>
        <w:gridCol w:w="1080"/>
        <w:gridCol w:w="965"/>
        <w:gridCol w:w="115"/>
        <w:gridCol w:w="121"/>
        <w:gridCol w:w="1049"/>
        <w:gridCol w:w="1080"/>
        <w:gridCol w:w="270"/>
        <w:gridCol w:w="810"/>
        <w:gridCol w:w="1350"/>
      </w:tblGrid>
      <w:tr w:rsidR="008A38C7" w:rsidRPr="007F7959" w:rsidTr="00D3239F">
        <w:trPr>
          <w:gridAfter w:val="2"/>
          <w:wAfter w:w="2160" w:type="dxa"/>
          <w:trHeight w:val="300"/>
        </w:trPr>
        <w:tc>
          <w:tcPr>
            <w:tcW w:w="2085" w:type="dxa"/>
            <w:tcBorders>
              <w:top w:val="nil"/>
              <w:left w:val="nil"/>
              <w:bottom w:val="nil"/>
              <w:right w:val="nil"/>
            </w:tcBorders>
            <w:shd w:val="clear" w:color="auto" w:fill="auto"/>
            <w:noWrap/>
            <w:vAlign w:val="bottom"/>
            <w:hideMark/>
          </w:tcPr>
          <w:p w:rsidR="008A38C7" w:rsidRPr="007F7959" w:rsidRDefault="008A38C7" w:rsidP="00D3239F">
            <w:pPr>
              <w:spacing w:after="0" w:line="240" w:lineRule="auto"/>
              <w:jc w:val="left"/>
              <w:rPr>
                <w:rFonts w:ascii="Calibri" w:eastAsia="Times New Roman" w:hAnsi="Calibri" w:cs="Calibri"/>
                <w:color w:val="000000"/>
                <w:sz w:val="22"/>
                <w:szCs w:val="22"/>
                <w:lang w:bidi="ar-SA"/>
              </w:rPr>
            </w:pPr>
          </w:p>
        </w:tc>
        <w:tc>
          <w:tcPr>
            <w:tcW w:w="1080" w:type="dxa"/>
            <w:tcBorders>
              <w:top w:val="nil"/>
              <w:left w:val="nil"/>
              <w:bottom w:val="nil"/>
              <w:right w:val="nil"/>
            </w:tcBorders>
            <w:shd w:val="clear" w:color="auto" w:fill="auto"/>
            <w:noWrap/>
            <w:vAlign w:val="bottom"/>
            <w:hideMark/>
          </w:tcPr>
          <w:p w:rsidR="008A38C7" w:rsidRPr="007F7959" w:rsidRDefault="008A38C7" w:rsidP="00D3239F">
            <w:pPr>
              <w:spacing w:after="0" w:line="240" w:lineRule="auto"/>
              <w:jc w:val="left"/>
              <w:rPr>
                <w:rFonts w:ascii="Calibri" w:eastAsia="Times New Roman" w:hAnsi="Calibri" w:cs="Calibri"/>
                <w:color w:val="000000"/>
                <w:sz w:val="22"/>
                <w:szCs w:val="22"/>
                <w:lang w:bidi="ar-SA"/>
              </w:rPr>
            </w:pPr>
          </w:p>
        </w:tc>
        <w:tc>
          <w:tcPr>
            <w:tcW w:w="2160" w:type="dxa"/>
            <w:gridSpan w:val="2"/>
            <w:tcBorders>
              <w:top w:val="nil"/>
              <w:left w:val="nil"/>
              <w:bottom w:val="nil"/>
              <w:right w:val="nil"/>
            </w:tcBorders>
            <w:shd w:val="clear" w:color="auto" w:fill="auto"/>
            <w:noWrap/>
            <w:vAlign w:val="bottom"/>
            <w:hideMark/>
          </w:tcPr>
          <w:p w:rsidR="008A38C7" w:rsidRPr="007F7959" w:rsidRDefault="008A38C7" w:rsidP="00D3239F">
            <w:pPr>
              <w:spacing w:after="0" w:line="240" w:lineRule="auto"/>
              <w:jc w:val="left"/>
              <w:rPr>
                <w:rFonts w:ascii="Calibri" w:eastAsia="Times New Roman" w:hAnsi="Calibri" w:cs="Calibri"/>
                <w:b/>
                <w:bCs/>
                <w:color w:val="000000"/>
                <w:sz w:val="22"/>
                <w:szCs w:val="22"/>
                <w:lang w:bidi="ar-SA"/>
              </w:rPr>
            </w:pPr>
          </w:p>
        </w:tc>
        <w:tc>
          <w:tcPr>
            <w:tcW w:w="1080" w:type="dxa"/>
            <w:tcBorders>
              <w:top w:val="nil"/>
              <w:left w:val="nil"/>
              <w:bottom w:val="nil"/>
              <w:right w:val="nil"/>
            </w:tcBorders>
            <w:shd w:val="clear" w:color="auto" w:fill="auto"/>
            <w:noWrap/>
            <w:vAlign w:val="bottom"/>
            <w:hideMark/>
          </w:tcPr>
          <w:p w:rsidR="008A38C7" w:rsidRPr="007F7959" w:rsidRDefault="008A38C7" w:rsidP="00D3239F">
            <w:pPr>
              <w:spacing w:after="0" w:line="240" w:lineRule="auto"/>
              <w:jc w:val="left"/>
              <w:rPr>
                <w:rFonts w:ascii="Calibri" w:eastAsia="Times New Roman" w:hAnsi="Calibri" w:cs="Calibri"/>
                <w:color w:val="000000"/>
                <w:sz w:val="22"/>
                <w:szCs w:val="22"/>
                <w:lang w:bidi="ar-SA"/>
              </w:rPr>
            </w:pPr>
          </w:p>
        </w:tc>
        <w:tc>
          <w:tcPr>
            <w:tcW w:w="2045" w:type="dxa"/>
            <w:gridSpan w:val="2"/>
            <w:tcBorders>
              <w:top w:val="nil"/>
              <w:left w:val="nil"/>
              <w:bottom w:val="nil"/>
              <w:right w:val="nil"/>
            </w:tcBorders>
            <w:shd w:val="clear" w:color="auto" w:fill="auto"/>
            <w:noWrap/>
            <w:vAlign w:val="bottom"/>
            <w:hideMark/>
          </w:tcPr>
          <w:p w:rsidR="008A38C7" w:rsidRPr="007F7959" w:rsidRDefault="008A38C7" w:rsidP="00D3239F">
            <w:pPr>
              <w:spacing w:after="0" w:line="240" w:lineRule="auto"/>
              <w:jc w:val="left"/>
              <w:rPr>
                <w:rFonts w:ascii="Calibri" w:eastAsia="Times New Roman" w:hAnsi="Calibri" w:cs="Calibri"/>
                <w:color w:val="000000"/>
                <w:sz w:val="22"/>
                <w:szCs w:val="22"/>
                <w:lang w:bidi="ar-SA"/>
              </w:rPr>
            </w:pPr>
          </w:p>
        </w:tc>
        <w:tc>
          <w:tcPr>
            <w:tcW w:w="236" w:type="dxa"/>
            <w:gridSpan w:val="2"/>
            <w:tcBorders>
              <w:top w:val="nil"/>
              <w:left w:val="nil"/>
              <w:bottom w:val="nil"/>
              <w:right w:val="nil"/>
            </w:tcBorders>
            <w:shd w:val="clear" w:color="auto" w:fill="auto"/>
            <w:noWrap/>
            <w:vAlign w:val="bottom"/>
            <w:hideMark/>
          </w:tcPr>
          <w:p w:rsidR="008A38C7" w:rsidRPr="007F7959" w:rsidRDefault="008A38C7" w:rsidP="00D3239F">
            <w:pPr>
              <w:spacing w:after="0" w:line="240" w:lineRule="auto"/>
              <w:jc w:val="left"/>
              <w:rPr>
                <w:rFonts w:ascii="Calibri" w:eastAsia="Times New Roman" w:hAnsi="Calibri" w:cs="Calibri"/>
                <w:color w:val="000000"/>
                <w:sz w:val="22"/>
                <w:szCs w:val="22"/>
                <w:lang w:bidi="ar-SA"/>
              </w:rPr>
            </w:pPr>
          </w:p>
        </w:tc>
        <w:tc>
          <w:tcPr>
            <w:tcW w:w="1049" w:type="dxa"/>
            <w:tcBorders>
              <w:top w:val="nil"/>
              <w:left w:val="nil"/>
              <w:bottom w:val="nil"/>
              <w:right w:val="nil"/>
            </w:tcBorders>
            <w:shd w:val="clear" w:color="auto" w:fill="auto"/>
            <w:noWrap/>
            <w:vAlign w:val="bottom"/>
            <w:hideMark/>
          </w:tcPr>
          <w:p w:rsidR="008A38C7" w:rsidRPr="007F7959" w:rsidRDefault="008A38C7" w:rsidP="00D3239F">
            <w:pPr>
              <w:spacing w:after="0" w:line="240" w:lineRule="auto"/>
              <w:jc w:val="left"/>
              <w:rPr>
                <w:rFonts w:ascii="Calibri" w:eastAsia="Times New Roman" w:hAnsi="Calibri" w:cs="Calibri"/>
                <w:color w:val="000000"/>
                <w:sz w:val="22"/>
                <w:szCs w:val="22"/>
                <w:lang w:bidi="ar-SA"/>
              </w:rPr>
            </w:pPr>
          </w:p>
        </w:tc>
        <w:tc>
          <w:tcPr>
            <w:tcW w:w="1350" w:type="dxa"/>
            <w:gridSpan w:val="2"/>
            <w:tcBorders>
              <w:top w:val="nil"/>
              <w:left w:val="nil"/>
              <w:bottom w:val="nil"/>
              <w:right w:val="nil"/>
            </w:tcBorders>
            <w:shd w:val="clear" w:color="auto" w:fill="auto"/>
            <w:noWrap/>
            <w:vAlign w:val="bottom"/>
            <w:hideMark/>
          </w:tcPr>
          <w:p w:rsidR="008A38C7" w:rsidRPr="007F7959" w:rsidRDefault="008A38C7" w:rsidP="00D3239F">
            <w:pPr>
              <w:spacing w:after="0" w:line="240" w:lineRule="auto"/>
              <w:jc w:val="left"/>
              <w:rPr>
                <w:rFonts w:ascii="Calibri" w:eastAsia="Times New Roman" w:hAnsi="Calibri" w:cs="Calibri"/>
                <w:color w:val="000000"/>
                <w:sz w:val="22"/>
                <w:szCs w:val="22"/>
                <w:lang w:bidi="ar-SA"/>
              </w:rPr>
            </w:pPr>
          </w:p>
        </w:tc>
      </w:tr>
      <w:tr w:rsidR="008A38C7" w:rsidRPr="007F7959" w:rsidTr="00D3239F">
        <w:trPr>
          <w:trHeight w:val="1500"/>
        </w:trPr>
        <w:tc>
          <w:tcPr>
            <w:tcW w:w="2085" w:type="dxa"/>
            <w:tcBorders>
              <w:top w:val="single" w:sz="4" w:space="0" w:color="auto"/>
              <w:left w:val="single" w:sz="4" w:space="0" w:color="auto"/>
              <w:bottom w:val="single" w:sz="4" w:space="0" w:color="auto"/>
              <w:right w:val="single" w:sz="4" w:space="0" w:color="auto"/>
            </w:tcBorders>
            <w:shd w:val="clear" w:color="000000" w:fill="DDD9C3"/>
            <w:noWrap/>
            <w:vAlign w:val="bottom"/>
            <w:hideMark/>
          </w:tcPr>
          <w:p w:rsidR="008A38C7" w:rsidRPr="007F7959" w:rsidRDefault="008A38C7" w:rsidP="00D3239F">
            <w:pPr>
              <w:spacing w:after="0" w:line="240" w:lineRule="auto"/>
              <w:jc w:val="left"/>
              <w:rPr>
                <w:rFonts w:ascii="Calibri" w:eastAsia="Times New Roman" w:hAnsi="Calibri" w:cs="Calibri"/>
                <w:b/>
                <w:bCs/>
                <w:color w:val="000000"/>
                <w:sz w:val="22"/>
                <w:szCs w:val="22"/>
                <w:lang w:bidi="ar-SA"/>
              </w:rPr>
            </w:pPr>
            <w:r w:rsidRPr="007F7959">
              <w:rPr>
                <w:rFonts w:ascii="Calibri" w:eastAsia="Times New Roman" w:hAnsi="Calibri" w:cs="Calibri"/>
                <w:b/>
                <w:bCs/>
                <w:color w:val="000000"/>
                <w:sz w:val="22"/>
                <w:szCs w:val="22"/>
                <w:lang w:bidi="ar-SA"/>
              </w:rPr>
              <w:t>poreski oblici</w:t>
            </w:r>
          </w:p>
        </w:tc>
        <w:tc>
          <w:tcPr>
            <w:tcW w:w="1080" w:type="dxa"/>
            <w:tcBorders>
              <w:top w:val="single" w:sz="4" w:space="0" w:color="auto"/>
              <w:left w:val="nil"/>
              <w:bottom w:val="single" w:sz="4" w:space="0" w:color="auto"/>
              <w:right w:val="single" w:sz="4" w:space="0" w:color="auto"/>
            </w:tcBorders>
            <w:shd w:val="clear" w:color="000000" w:fill="DBE5F1"/>
            <w:vAlign w:val="bottom"/>
            <w:hideMark/>
          </w:tcPr>
          <w:p w:rsidR="008A38C7" w:rsidRPr="007F7959" w:rsidRDefault="008A38C7" w:rsidP="00D3239F">
            <w:pPr>
              <w:spacing w:after="0" w:line="240" w:lineRule="auto"/>
              <w:jc w:val="left"/>
              <w:rPr>
                <w:rFonts w:ascii="Calibri" w:eastAsia="Times New Roman" w:hAnsi="Calibri" w:cs="Calibri"/>
                <w:b/>
                <w:bCs/>
                <w:color w:val="000000"/>
                <w:sz w:val="22"/>
                <w:szCs w:val="22"/>
                <w:lang w:bidi="ar-SA"/>
              </w:rPr>
            </w:pPr>
            <w:r w:rsidRPr="007F7959">
              <w:rPr>
                <w:rFonts w:ascii="Calibri" w:eastAsia="Times New Roman" w:hAnsi="Calibri" w:cs="Calibri"/>
                <w:b/>
                <w:bCs/>
                <w:color w:val="000000"/>
                <w:sz w:val="22"/>
                <w:szCs w:val="22"/>
                <w:lang w:bidi="ar-SA"/>
              </w:rPr>
              <w:t>planirani prihodi                         1.1-1.7. 2011.</w:t>
            </w:r>
          </w:p>
        </w:tc>
        <w:tc>
          <w:tcPr>
            <w:tcW w:w="1080" w:type="dxa"/>
            <w:tcBorders>
              <w:top w:val="single" w:sz="4" w:space="0" w:color="auto"/>
              <w:left w:val="nil"/>
              <w:bottom w:val="single" w:sz="4" w:space="0" w:color="auto"/>
              <w:right w:val="single" w:sz="4" w:space="0" w:color="auto"/>
            </w:tcBorders>
            <w:shd w:val="clear" w:color="000000" w:fill="B8CCE4"/>
            <w:vAlign w:val="bottom"/>
            <w:hideMark/>
          </w:tcPr>
          <w:p w:rsidR="008A38C7" w:rsidRPr="007F7959" w:rsidRDefault="008A38C7" w:rsidP="00D3239F">
            <w:pPr>
              <w:spacing w:after="0" w:line="240" w:lineRule="auto"/>
              <w:jc w:val="left"/>
              <w:rPr>
                <w:rFonts w:ascii="Calibri" w:eastAsia="Times New Roman" w:hAnsi="Calibri" w:cs="Calibri"/>
                <w:b/>
                <w:bCs/>
                <w:color w:val="000000"/>
                <w:sz w:val="22"/>
                <w:szCs w:val="22"/>
                <w:lang w:bidi="ar-SA"/>
              </w:rPr>
            </w:pPr>
            <w:r w:rsidRPr="007F7959">
              <w:rPr>
                <w:rFonts w:ascii="Calibri" w:eastAsia="Times New Roman" w:hAnsi="Calibri" w:cs="Calibri"/>
                <w:b/>
                <w:bCs/>
                <w:color w:val="000000"/>
                <w:sz w:val="22"/>
                <w:szCs w:val="22"/>
                <w:lang w:bidi="ar-SA"/>
              </w:rPr>
              <w:t>ostvareni prihodi                      1.1-1.7. 2011.</w:t>
            </w:r>
          </w:p>
        </w:tc>
        <w:tc>
          <w:tcPr>
            <w:tcW w:w="1080" w:type="dxa"/>
            <w:tcBorders>
              <w:top w:val="single" w:sz="4" w:space="0" w:color="auto"/>
              <w:left w:val="nil"/>
              <w:bottom w:val="single" w:sz="4" w:space="0" w:color="auto"/>
              <w:right w:val="single" w:sz="4" w:space="0" w:color="auto"/>
            </w:tcBorders>
            <w:shd w:val="clear" w:color="000000" w:fill="95B3D7"/>
            <w:vAlign w:val="bottom"/>
            <w:hideMark/>
          </w:tcPr>
          <w:p w:rsidR="008A38C7" w:rsidRPr="007F7959" w:rsidRDefault="008A38C7" w:rsidP="00D3239F">
            <w:pPr>
              <w:spacing w:after="0" w:line="240" w:lineRule="auto"/>
              <w:jc w:val="left"/>
              <w:rPr>
                <w:rFonts w:ascii="Calibri" w:eastAsia="Times New Roman" w:hAnsi="Calibri" w:cs="Calibri"/>
                <w:b/>
                <w:bCs/>
                <w:color w:val="000000"/>
                <w:sz w:val="22"/>
                <w:szCs w:val="22"/>
                <w:lang w:bidi="ar-SA"/>
              </w:rPr>
            </w:pPr>
            <w:r w:rsidRPr="007F7959">
              <w:rPr>
                <w:rFonts w:ascii="Calibri" w:eastAsia="Times New Roman" w:hAnsi="Calibri" w:cs="Calibri"/>
                <w:b/>
                <w:bCs/>
                <w:color w:val="000000"/>
                <w:sz w:val="22"/>
                <w:szCs w:val="22"/>
                <w:lang w:bidi="ar-SA"/>
              </w:rPr>
              <w:t>index (ost/plan 2011)</w:t>
            </w:r>
          </w:p>
        </w:tc>
        <w:tc>
          <w:tcPr>
            <w:tcW w:w="1080" w:type="dxa"/>
            <w:tcBorders>
              <w:top w:val="single" w:sz="4" w:space="0" w:color="auto"/>
              <w:left w:val="nil"/>
              <w:bottom w:val="single" w:sz="4" w:space="0" w:color="auto"/>
              <w:right w:val="single" w:sz="4" w:space="0" w:color="auto"/>
            </w:tcBorders>
            <w:shd w:val="clear" w:color="000000" w:fill="EAF1DD"/>
            <w:vAlign w:val="bottom"/>
            <w:hideMark/>
          </w:tcPr>
          <w:p w:rsidR="008A38C7" w:rsidRPr="007F7959" w:rsidRDefault="008A38C7" w:rsidP="00D3239F">
            <w:pPr>
              <w:spacing w:after="0" w:line="240" w:lineRule="auto"/>
              <w:jc w:val="left"/>
              <w:rPr>
                <w:rFonts w:ascii="Calibri" w:eastAsia="Times New Roman" w:hAnsi="Calibri" w:cs="Calibri"/>
                <w:b/>
                <w:bCs/>
                <w:color w:val="000000"/>
                <w:sz w:val="22"/>
                <w:szCs w:val="22"/>
                <w:lang w:bidi="ar-SA"/>
              </w:rPr>
            </w:pPr>
            <w:r>
              <w:rPr>
                <w:rFonts w:ascii="Calibri" w:eastAsia="Times New Roman" w:hAnsi="Calibri" w:cs="Calibri"/>
                <w:b/>
                <w:bCs/>
                <w:color w:val="000000"/>
                <w:sz w:val="22"/>
                <w:szCs w:val="22"/>
                <w:lang w:bidi="ar-SA"/>
              </w:rPr>
              <w:t xml:space="preserve">planirani </w:t>
            </w:r>
            <w:r w:rsidRPr="007F7959">
              <w:rPr>
                <w:rFonts w:ascii="Calibri" w:eastAsia="Times New Roman" w:hAnsi="Calibri" w:cs="Calibri"/>
                <w:b/>
                <w:bCs/>
                <w:color w:val="000000"/>
                <w:sz w:val="22"/>
                <w:szCs w:val="22"/>
                <w:lang w:bidi="ar-SA"/>
              </w:rPr>
              <w:t>prihodi                     1.1-1.7 2012.</w:t>
            </w:r>
          </w:p>
        </w:tc>
        <w:tc>
          <w:tcPr>
            <w:tcW w:w="1080" w:type="dxa"/>
            <w:tcBorders>
              <w:top w:val="single" w:sz="4" w:space="0" w:color="auto"/>
              <w:left w:val="nil"/>
              <w:bottom w:val="single" w:sz="4" w:space="0" w:color="auto"/>
              <w:right w:val="single" w:sz="4" w:space="0" w:color="auto"/>
            </w:tcBorders>
            <w:shd w:val="clear" w:color="000000" w:fill="D7E4BC"/>
            <w:vAlign w:val="bottom"/>
            <w:hideMark/>
          </w:tcPr>
          <w:p w:rsidR="008A38C7" w:rsidRPr="007F7959" w:rsidRDefault="008A38C7" w:rsidP="00D3239F">
            <w:pPr>
              <w:spacing w:after="0" w:line="240" w:lineRule="auto"/>
              <w:jc w:val="left"/>
              <w:rPr>
                <w:rFonts w:ascii="Calibri" w:eastAsia="Times New Roman" w:hAnsi="Calibri" w:cs="Calibri"/>
                <w:b/>
                <w:bCs/>
                <w:color w:val="000000"/>
                <w:sz w:val="22"/>
                <w:szCs w:val="22"/>
                <w:lang w:bidi="ar-SA"/>
              </w:rPr>
            </w:pPr>
            <w:r w:rsidRPr="007F7959">
              <w:rPr>
                <w:rFonts w:ascii="Calibri" w:eastAsia="Times New Roman" w:hAnsi="Calibri" w:cs="Calibri"/>
                <w:b/>
                <w:bCs/>
                <w:color w:val="000000"/>
                <w:sz w:val="22"/>
                <w:szCs w:val="22"/>
                <w:lang w:bidi="ar-SA"/>
              </w:rPr>
              <w:t xml:space="preserve"> ostvareni prihodi 1.1-1.7 2012.        </w:t>
            </w:r>
          </w:p>
        </w:tc>
        <w:tc>
          <w:tcPr>
            <w:tcW w:w="1080" w:type="dxa"/>
            <w:gridSpan w:val="2"/>
            <w:tcBorders>
              <w:top w:val="single" w:sz="4" w:space="0" w:color="auto"/>
              <w:left w:val="nil"/>
              <w:bottom w:val="single" w:sz="4" w:space="0" w:color="auto"/>
              <w:right w:val="single" w:sz="4" w:space="0" w:color="auto"/>
            </w:tcBorders>
            <w:shd w:val="clear" w:color="000000" w:fill="C2D69A"/>
            <w:vAlign w:val="bottom"/>
            <w:hideMark/>
          </w:tcPr>
          <w:p w:rsidR="008A38C7" w:rsidRPr="007F7959" w:rsidRDefault="008A38C7" w:rsidP="00D3239F">
            <w:pPr>
              <w:spacing w:after="0" w:line="240" w:lineRule="auto"/>
              <w:jc w:val="left"/>
              <w:rPr>
                <w:rFonts w:ascii="Calibri" w:eastAsia="Times New Roman" w:hAnsi="Calibri" w:cs="Calibri"/>
                <w:b/>
                <w:bCs/>
                <w:color w:val="000000"/>
                <w:sz w:val="22"/>
                <w:szCs w:val="22"/>
                <w:lang w:bidi="ar-SA"/>
              </w:rPr>
            </w:pPr>
            <w:r w:rsidRPr="007F7959">
              <w:rPr>
                <w:rFonts w:ascii="Calibri" w:eastAsia="Times New Roman" w:hAnsi="Calibri" w:cs="Calibri"/>
                <w:b/>
                <w:bCs/>
                <w:color w:val="000000"/>
                <w:sz w:val="22"/>
                <w:szCs w:val="22"/>
                <w:lang w:bidi="ar-SA"/>
              </w:rPr>
              <w:t>index (ost/plan 2012)</w:t>
            </w:r>
          </w:p>
        </w:tc>
        <w:tc>
          <w:tcPr>
            <w:tcW w:w="1170" w:type="dxa"/>
            <w:gridSpan w:val="2"/>
            <w:tcBorders>
              <w:top w:val="single" w:sz="4" w:space="0" w:color="auto"/>
              <w:left w:val="nil"/>
              <w:bottom w:val="single" w:sz="4" w:space="0" w:color="auto"/>
              <w:right w:val="single" w:sz="4" w:space="0" w:color="auto"/>
            </w:tcBorders>
            <w:shd w:val="clear" w:color="000000" w:fill="FDE9D9"/>
            <w:vAlign w:val="bottom"/>
            <w:hideMark/>
          </w:tcPr>
          <w:p w:rsidR="008A38C7" w:rsidRPr="007F7959" w:rsidRDefault="008A38C7" w:rsidP="00D3239F">
            <w:pPr>
              <w:spacing w:after="0" w:line="240" w:lineRule="auto"/>
              <w:jc w:val="left"/>
              <w:rPr>
                <w:rFonts w:ascii="Calibri" w:eastAsia="Times New Roman" w:hAnsi="Calibri" w:cs="Calibri"/>
                <w:b/>
                <w:bCs/>
                <w:color w:val="000000"/>
                <w:sz w:val="22"/>
                <w:szCs w:val="22"/>
                <w:lang w:bidi="ar-SA"/>
              </w:rPr>
            </w:pPr>
            <w:r>
              <w:rPr>
                <w:rFonts w:ascii="Calibri" w:eastAsia="Times New Roman" w:hAnsi="Calibri" w:cs="Calibri"/>
                <w:b/>
                <w:bCs/>
                <w:color w:val="000000"/>
                <w:sz w:val="22"/>
                <w:szCs w:val="22"/>
                <w:lang w:bidi="ar-SA"/>
              </w:rPr>
              <w:t xml:space="preserve">planirani </w:t>
            </w:r>
            <w:r w:rsidRPr="007F7959">
              <w:rPr>
                <w:rFonts w:ascii="Calibri" w:eastAsia="Times New Roman" w:hAnsi="Calibri" w:cs="Calibri"/>
                <w:b/>
                <w:bCs/>
                <w:color w:val="000000"/>
                <w:sz w:val="22"/>
                <w:szCs w:val="22"/>
                <w:lang w:bidi="ar-SA"/>
              </w:rPr>
              <w:t>prihodi                     1.1-1.7. 2013.</w:t>
            </w:r>
          </w:p>
        </w:tc>
        <w:tc>
          <w:tcPr>
            <w:tcW w:w="1080" w:type="dxa"/>
            <w:tcBorders>
              <w:top w:val="single" w:sz="4" w:space="0" w:color="auto"/>
              <w:left w:val="nil"/>
              <w:bottom w:val="single" w:sz="4" w:space="0" w:color="auto"/>
              <w:right w:val="single" w:sz="4" w:space="0" w:color="auto"/>
            </w:tcBorders>
            <w:shd w:val="clear" w:color="000000" w:fill="FCD5B4"/>
            <w:vAlign w:val="bottom"/>
            <w:hideMark/>
          </w:tcPr>
          <w:p w:rsidR="008A38C7" w:rsidRPr="007F7959" w:rsidRDefault="008A38C7" w:rsidP="00D3239F">
            <w:pPr>
              <w:spacing w:after="0" w:line="240" w:lineRule="auto"/>
              <w:jc w:val="left"/>
              <w:rPr>
                <w:rFonts w:ascii="Calibri" w:eastAsia="Times New Roman" w:hAnsi="Calibri" w:cs="Calibri"/>
                <w:b/>
                <w:bCs/>
                <w:color w:val="000000"/>
                <w:sz w:val="22"/>
                <w:szCs w:val="22"/>
                <w:lang w:bidi="ar-SA"/>
              </w:rPr>
            </w:pPr>
            <w:r>
              <w:rPr>
                <w:rFonts w:ascii="Calibri" w:eastAsia="Times New Roman" w:hAnsi="Calibri" w:cs="Calibri"/>
                <w:b/>
                <w:bCs/>
                <w:color w:val="000000"/>
                <w:sz w:val="22"/>
                <w:szCs w:val="22"/>
                <w:lang w:bidi="ar-SA"/>
              </w:rPr>
              <w:t xml:space="preserve">ostvareni </w:t>
            </w:r>
            <w:r w:rsidRPr="007F7959">
              <w:rPr>
                <w:rFonts w:ascii="Calibri" w:eastAsia="Times New Roman" w:hAnsi="Calibri" w:cs="Calibri"/>
                <w:b/>
                <w:bCs/>
                <w:color w:val="000000"/>
                <w:sz w:val="22"/>
                <w:szCs w:val="22"/>
                <w:lang w:bidi="ar-SA"/>
              </w:rPr>
              <w:t>prihodi                        1.1-1.7. 2013.</w:t>
            </w:r>
          </w:p>
        </w:tc>
        <w:tc>
          <w:tcPr>
            <w:tcW w:w="1080" w:type="dxa"/>
            <w:gridSpan w:val="2"/>
            <w:tcBorders>
              <w:top w:val="single" w:sz="4" w:space="0" w:color="auto"/>
              <w:left w:val="nil"/>
              <w:bottom w:val="single" w:sz="4" w:space="0" w:color="auto"/>
              <w:right w:val="single" w:sz="4" w:space="0" w:color="auto"/>
            </w:tcBorders>
            <w:shd w:val="clear" w:color="000000" w:fill="FAC090"/>
            <w:vAlign w:val="bottom"/>
            <w:hideMark/>
          </w:tcPr>
          <w:p w:rsidR="008A38C7" w:rsidRPr="007F7959" w:rsidRDefault="008A38C7" w:rsidP="00D3239F">
            <w:pPr>
              <w:spacing w:after="0" w:line="240" w:lineRule="auto"/>
              <w:jc w:val="left"/>
              <w:rPr>
                <w:rFonts w:ascii="Calibri" w:eastAsia="Times New Roman" w:hAnsi="Calibri" w:cs="Calibri"/>
                <w:b/>
                <w:bCs/>
                <w:color w:val="000000"/>
                <w:sz w:val="22"/>
                <w:szCs w:val="22"/>
                <w:lang w:bidi="ar-SA"/>
              </w:rPr>
            </w:pPr>
            <w:r w:rsidRPr="007F7959">
              <w:rPr>
                <w:rFonts w:ascii="Calibri" w:eastAsia="Times New Roman" w:hAnsi="Calibri" w:cs="Calibri"/>
                <w:b/>
                <w:bCs/>
                <w:color w:val="000000"/>
                <w:sz w:val="22"/>
                <w:szCs w:val="22"/>
                <w:lang w:bidi="ar-SA"/>
              </w:rPr>
              <w:t>index (ost/plan 2013)</w:t>
            </w:r>
          </w:p>
        </w:tc>
        <w:tc>
          <w:tcPr>
            <w:tcW w:w="1350" w:type="dxa"/>
            <w:tcBorders>
              <w:top w:val="single" w:sz="4" w:space="0" w:color="auto"/>
              <w:left w:val="nil"/>
              <w:bottom w:val="single" w:sz="4" w:space="0" w:color="auto"/>
              <w:right w:val="single" w:sz="4" w:space="0" w:color="auto"/>
            </w:tcBorders>
            <w:shd w:val="clear" w:color="000000" w:fill="FFFF66"/>
            <w:vAlign w:val="bottom"/>
            <w:hideMark/>
          </w:tcPr>
          <w:p w:rsidR="008A38C7" w:rsidRDefault="008A38C7" w:rsidP="00D3239F">
            <w:pPr>
              <w:spacing w:after="0" w:line="240" w:lineRule="auto"/>
              <w:jc w:val="left"/>
              <w:rPr>
                <w:rFonts w:ascii="Calibri" w:eastAsia="Times New Roman" w:hAnsi="Calibri" w:cs="Calibri"/>
                <w:b/>
                <w:bCs/>
                <w:color w:val="000000"/>
                <w:sz w:val="22"/>
                <w:szCs w:val="22"/>
                <w:lang w:bidi="ar-SA"/>
              </w:rPr>
            </w:pPr>
            <w:r w:rsidRPr="007F7959">
              <w:rPr>
                <w:rFonts w:ascii="Calibri" w:eastAsia="Times New Roman" w:hAnsi="Calibri" w:cs="Calibri"/>
                <w:b/>
                <w:bCs/>
                <w:color w:val="000000"/>
                <w:sz w:val="22"/>
                <w:szCs w:val="22"/>
                <w:lang w:bidi="ar-SA"/>
              </w:rPr>
              <w:t>Index</w:t>
            </w:r>
          </w:p>
          <w:p w:rsidR="008A38C7" w:rsidRPr="007F7959" w:rsidRDefault="008A38C7" w:rsidP="00D3239F">
            <w:pPr>
              <w:spacing w:after="0" w:line="240" w:lineRule="auto"/>
              <w:jc w:val="left"/>
              <w:rPr>
                <w:rFonts w:ascii="Calibri" w:eastAsia="Times New Roman" w:hAnsi="Calibri" w:cs="Calibri"/>
                <w:b/>
                <w:bCs/>
                <w:color w:val="000000"/>
                <w:sz w:val="22"/>
                <w:szCs w:val="22"/>
                <w:lang w:bidi="ar-SA"/>
              </w:rPr>
            </w:pPr>
            <w:r w:rsidRPr="007F7959">
              <w:rPr>
                <w:rFonts w:ascii="Calibri" w:eastAsia="Times New Roman" w:hAnsi="Calibri" w:cs="Calibri"/>
                <w:b/>
                <w:bCs/>
                <w:color w:val="000000"/>
                <w:sz w:val="22"/>
                <w:szCs w:val="22"/>
                <w:lang w:bidi="ar-SA"/>
              </w:rPr>
              <w:t xml:space="preserve"> (ost. prih 2013/2012)</w:t>
            </w:r>
          </w:p>
        </w:tc>
      </w:tr>
      <w:tr w:rsidR="008A38C7" w:rsidRPr="007F7959" w:rsidTr="00D3239F">
        <w:trPr>
          <w:trHeight w:val="300"/>
        </w:trPr>
        <w:tc>
          <w:tcPr>
            <w:tcW w:w="2085" w:type="dxa"/>
            <w:tcBorders>
              <w:top w:val="nil"/>
              <w:left w:val="single" w:sz="4" w:space="0" w:color="auto"/>
              <w:bottom w:val="single" w:sz="4" w:space="0" w:color="auto"/>
              <w:right w:val="single" w:sz="4" w:space="0" w:color="auto"/>
            </w:tcBorders>
            <w:shd w:val="clear" w:color="000000" w:fill="DDD9C3"/>
            <w:noWrap/>
            <w:vAlign w:val="bottom"/>
            <w:hideMark/>
          </w:tcPr>
          <w:p w:rsidR="008A38C7" w:rsidRPr="007F7959" w:rsidRDefault="008A38C7" w:rsidP="00D3239F">
            <w:pPr>
              <w:spacing w:after="0" w:line="240" w:lineRule="auto"/>
              <w:jc w:val="lef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dohodak</w:t>
            </w:r>
          </w:p>
        </w:tc>
        <w:tc>
          <w:tcPr>
            <w:tcW w:w="1080" w:type="dxa"/>
            <w:tcBorders>
              <w:top w:val="nil"/>
              <w:left w:val="nil"/>
              <w:bottom w:val="single" w:sz="4" w:space="0" w:color="auto"/>
              <w:right w:val="single" w:sz="4" w:space="0" w:color="auto"/>
            </w:tcBorders>
            <w:shd w:val="clear" w:color="000000" w:fill="DBE5F1"/>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37.71</w:t>
            </w:r>
          </w:p>
        </w:tc>
        <w:tc>
          <w:tcPr>
            <w:tcW w:w="1080" w:type="dxa"/>
            <w:tcBorders>
              <w:top w:val="nil"/>
              <w:left w:val="nil"/>
              <w:bottom w:val="single" w:sz="4" w:space="0" w:color="auto"/>
              <w:right w:val="single" w:sz="4" w:space="0" w:color="auto"/>
            </w:tcBorders>
            <w:shd w:val="clear" w:color="000000" w:fill="B8CCE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36.14</w:t>
            </w:r>
          </w:p>
        </w:tc>
        <w:tc>
          <w:tcPr>
            <w:tcW w:w="1080" w:type="dxa"/>
            <w:tcBorders>
              <w:top w:val="nil"/>
              <w:left w:val="nil"/>
              <w:bottom w:val="single" w:sz="4" w:space="0" w:color="auto"/>
              <w:right w:val="single" w:sz="4" w:space="0" w:color="auto"/>
            </w:tcBorders>
            <w:shd w:val="clear" w:color="000000" w:fill="95B3D7"/>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95.84</w:t>
            </w:r>
          </w:p>
        </w:tc>
        <w:tc>
          <w:tcPr>
            <w:tcW w:w="1080" w:type="dxa"/>
            <w:tcBorders>
              <w:top w:val="nil"/>
              <w:left w:val="nil"/>
              <w:bottom w:val="single" w:sz="4" w:space="0" w:color="auto"/>
              <w:right w:val="single" w:sz="4" w:space="0" w:color="auto"/>
            </w:tcBorders>
            <w:shd w:val="clear" w:color="000000" w:fill="EAF1DD"/>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34.86</w:t>
            </w:r>
          </w:p>
        </w:tc>
        <w:tc>
          <w:tcPr>
            <w:tcW w:w="1080" w:type="dxa"/>
            <w:tcBorders>
              <w:top w:val="nil"/>
              <w:left w:val="nil"/>
              <w:bottom w:val="single" w:sz="4" w:space="0" w:color="auto"/>
              <w:right w:val="single" w:sz="4" w:space="0" w:color="auto"/>
            </w:tcBorders>
            <w:shd w:val="clear" w:color="000000" w:fill="D7E4BC"/>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33.57</w:t>
            </w:r>
          </w:p>
        </w:tc>
        <w:tc>
          <w:tcPr>
            <w:tcW w:w="1080" w:type="dxa"/>
            <w:gridSpan w:val="2"/>
            <w:tcBorders>
              <w:top w:val="nil"/>
              <w:left w:val="nil"/>
              <w:bottom w:val="single" w:sz="4" w:space="0" w:color="auto"/>
              <w:right w:val="single" w:sz="4" w:space="0" w:color="auto"/>
            </w:tcBorders>
            <w:shd w:val="clear" w:color="000000" w:fill="C2D69A"/>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96.30</w:t>
            </w:r>
          </w:p>
        </w:tc>
        <w:tc>
          <w:tcPr>
            <w:tcW w:w="1170" w:type="dxa"/>
            <w:gridSpan w:val="2"/>
            <w:tcBorders>
              <w:top w:val="nil"/>
              <w:left w:val="nil"/>
              <w:bottom w:val="single" w:sz="4" w:space="0" w:color="auto"/>
              <w:right w:val="single" w:sz="4" w:space="0" w:color="auto"/>
            </w:tcBorders>
            <w:shd w:val="clear" w:color="000000" w:fill="FDE9D9"/>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36.64</w:t>
            </w:r>
          </w:p>
        </w:tc>
        <w:tc>
          <w:tcPr>
            <w:tcW w:w="1080" w:type="dxa"/>
            <w:tcBorders>
              <w:top w:val="nil"/>
              <w:left w:val="nil"/>
              <w:bottom w:val="single" w:sz="4" w:space="0" w:color="auto"/>
              <w:right w:val="single" w:sz="4" w:space="0" w:color="auto"/>
            </w:tcBorders>
            <w:shd w:val="clear" w:color="000000" w:fill="FCD5B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37.25</w:t>
            </w:r>
          </w:p>
        </w:tc>
        <w:tc>
          <w:tcPr>
            <w:tcW w:w="1080" w:type="dxa"/>
            <w:gridSpan w:val="2"/>
            <w:tcBorders>
              <w:top w:val="nil"/>
              <w:left w:val="nil"/>
              <w:bottom w:val="single" w:sz="4" w:space="0" w:color="auto"/>
              <w:right w:val="single" w:sz="4" w:space="0" w:color="auto"/>
            </w:tcBorders>
            <w:shd w:val="clear" w:color="000000" w:fill="FAC090"/>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101.66</w:t>
            </w:r>
          </w:p>
        </w:tc>
        <w:tc>
          <w:tcPr>
            <w:tcW w:w="1350" w:type="dxa"/>
            <w:tcBorders>
              <w:top w:val="nil"/>
              <w:left w:val="nil"/>
              <w:bottom w:val="nil"/>
              <w:right w:val="single" w:sz="4" w:space="0" w:color="auto"/>
            </w:tcBorders>
            <w:shd w:val="clear" w:color="000000" w:fill="FFFF66"/>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110.96</w:t>
            </w:r>
          </w:p>
        </w:tc>
      </w:tr>
      <w:tr w:rsidR="008A38C7" w:rsidRPr="007F7959" w:rsidTr="00D3239F">
        <w:trPr>
          <w:trHeight w:val="300"/>
        </w:trPr>
        <w:tc>
          <w:tcPr>
            <w:tcW w:w="2085" w:type="dxa"/>
            <w:tcBorders>
              <w:top w:val="nil"/>
              <w:left w:val="single" w:sz="4" w:space="0" w:color="auto"/>
              <w:bottom w:val="single" w:sz="4" w:space="0" w:color="auto"/>
              <w:right w:val="single" w:sz="4" w:space="0" w:color="auto"/>
            </w:tcBorders>
            <w:shd w:val="clear" w:color="000000" w:fill="DDD9C3"/>
            <w:noWrap/>
            <w:vAlign w:val="bottom"/>
            <w:hideMark/>
          </w:tcPr>
          <w:p w:rsidR="008A38C7" w:rsidRPr="007F7959" w:rsidRDefault="008A38C7" w:rsidP="00D3239F">
            <w:pPr>
              <w:spacing w:after="0" w:line="240" w:lineRule="auto"/>
              <w:jc w:val="lef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Doprinosi</w:t>
            </w:r>
          </w:p>
        </w:tc>
        <w:tc>
          <w:tcPr>
            <w:tcW w:w="1080" w:type="dxa"/>
            <w:tcBorders>
              <w:top w:val="nil"/>
              <w:left w:val="nil"/>
              <w:bottom w:val="single" w:sz="4" w:space="0" w:color="auto"/>
              <w:right w:val="single" w:sz="4" w:space="0" w:color="auto"/>
            </w:tcBorders>
            <w:shd w:val="clear" w:color="000000" w:fill="DBE5F1"/>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150.01</w:t>
            </w:r>
          </w:p>
        </w:tc>
        <w:tc>
          <w:tcPr>
            <w:tcW w:w="1080" w:type="dxa"/>
            <w:tcBorders>
              <w:top w:val="nil"/>
              <w:left w:val="nil"/>
              <w:bottom w:val="single" w:sz="4" w:space="0" w:color="auto"/>
              <w:right w:val="single" w:sz="4" w:space="0" w:color="auto"/>
            </w:tcBorders>
            <w:shd w:val="clear" w:color="000000" w:fill="B8CCE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155.66</w:t>
            </w:r>
          </w:p>
        </w:tc>
        <w:tc>
          <w:tcPr>
            <w:tcW w:w="1080" w:type="dxa"/>
            <w:tcBorders>
              <w:top w:val="nil"/>
              <w:left w:val="nil"/>
              <w:bottom w:val="single" w:sz="4" w:space="0" w:color="auto"/>
              <w:right w:val="single" w:sz="4" w:space="0" w:color="auto"/>
            </w:tcBorders>
            <w:shd w:val="clear" w:color="000000" w:fill="95B3D7"/>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103.77</w:t>
            </w:r>
          </w:p>
        </w:tc>
        <w:tc>
          <w:tcPr>
            <w:tcW w:w="1080" w:type="dxa"/>
            <w:tcBorders>
              <w:top w:val="nil"/>
              <w:left w:val="nil"/>
              <w:bottom w:val="single" w:sz="4" w:space="0" w:color="auto"/>
              <w:right w:val="single" w:sz="4" w:space="0" w:color="auto"/>
            </w:tcBorders>
            <w:shd w:val="clear" w:color="000000" w:fill="EAF1DD"/>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151.5</w:t>
            </w:r>
          </w:p>
        </w:tc>
        <w:tc>
          <w:tcPr>
            <w:tcW w:w="1080" w:type="dxa"/>
            <w:tcBorders>
              <w:top w:val="nil"/>
              <w:left w:val="nil"/>
              <w:bottom w:val="single" w:sz="4" w:space="0" w:color="auto"/>
              <w:right w:val="single" w:sz="4" w:space="0" w:color="auto"/>
            </w:tcBorders>
            <w:shd w:val="clear" w:color="000000" w:fill="D7E4BC"/>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149.2</w:t>
            </w:r>
          </w:p>
        </w:tc>
        <w:tc>
          <w:tcPr>
            <w:tcW w:w="1080" w:type="dxa"/>
            <w:gridSpan w:val="2"/>
            <w:tcBorders>
              <w:top w:val="nil"/>
              <w:left w:val="nil"/>
              <w:bottom w:val="single" w:sz="4" w:space="0" w:color="auto"/>
              <w:right w:val="single" w:sz="4" w:space="0" w:color="auto"/>
            </w:tcBorders>
            <w:shd w:val="clear" w:color="000000" w:fill="C2D69A"/>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98.48</w:t>
            </w:r>
          </w:p>
        </w:tc>
        <w:tc>
          <w:tcPr>
            <w:tcW w:w="1170" w:type="dxa"/>
            <w:gridSpan w:val="2"/>
            <w:tcBorders>
              <w:top w:val="nil"/>
              <w:left w:val="nil"/>
              <w:bottom w:val="single" w:sz="4" w:space="0" w:color="auto"/>
              <w:right w:val="single" w:sz="4" w:space="0" w:color="auto"/>
            </w:tcBorders>
            <w:shd w:val="clear" w:color="000000" w:fill="FDE9D9"/>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156.44</w:t>
            </w:r>
          </w:p>
        </w:tc>
        <w:tc>
          <w:tcPr>
            <w:tcW w:w="1080" w:type="dxa"/>
            <w:tcBorders>
              <w:top w:val="nil"/>
              <w:left w:val="nil"/>
              <w:bottom w:val="single" w:sz="4" w:space="0" w:color="auto"/>
              <w:right w:val="single" w:sz="4" w:space="0" w:color="auto"/>
            </w:tcBorders>
            <w:shd w:val="clear" w:color="000000" w:fill="FCD5B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156.72</w:t>
            </w:r>
          </w:p>
        </w:tc>
        <w:tc>
          <w:tcPr>
            <w:tcW w:w="1080" w:type="dxa"/>
            <w:gridSpan w:val="2"/>
            <w:tcBorders>
              <w:top w:val="nil"/>
              <w:left w:val="nil"/>
              <w:bottom w:val="single" w:sz="4" w:space="0" w:color="auto"/>
              <w:right w:val="single" w:sz="4" w:space="0" w:color="auto"/>
            </w:tcBorders>
            <w:shd w:val="clear" w:color="000000" w:fill="FAC090"/>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100.18</w:t>
            </w:r>
          </w:p>
        </w:tc>
        <w:tc>
          <w:tcPr>
            <w:tcW w:w="1350" w:type="dxa"/>
            <w:tcBorders>
              <w:top w:val="single" w:sz="4" w:space="0" w:color="auto"/>
              <w:left w:val="nil"/>
              <w:bottom w:val="single" w:sz="4" w:space="0" w:color="auto"/>
              <w:right w:val="single" w:sz="4" w:space="0" w:color="auto"/>
            </w:tcBorders>
            <w:shd w:val="clear" w:color="000000" w:fill="FFFF66"/>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105.04</w:t>
            </w:r>
          </w:p>
        </w:tc>
      </w:tr>
      <w:tr w:rsidR="008A38C7" w:rsidRPr="007F7959" w:rsidTr="00D3239F">
        <w:trPr>
          <w:trHeight w:val="300"/>
        </w:trPr>
        <w:tc>
          <w:tcPr>
            <w:tcW w:w="2085" w:type="dxa"/>
            <w:tcBorders>
              <w:top w:val="nil"/>
              <w:left w:val="single" w:sz="4" w:space="0" w:color="auto"/>
              <w:bottom w:val="single" w:sz="4" w:space="0" w:color="auto"/>
              <w:right w:val="single" w:sz="4" w:space="0" w:color="auto"/>
            </w:tcBorders>
            <w:shd w:val="clear" w:color="000000" w:fill="DDD9C3"/>
            <w:noWrap/>
            <w:vAlign w:val="bottom"/>
            <w:hideMark/>
          </w:tcPr>
          <w:p w:rsidR="008A38C7" w:rsidRPr="007F7959" w:rsidRDefault="008A38C7" w:rsidP="00D3239F">
            <w:pPr>
              <w:spacing w:after="0" w:line="240" w:lineRule="auto"/>
              <w:jc w:val="lef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PDV</w:t>
            </w:r>
          </w:p>
        </w:tc>
        <w:tc>
          <w:tcPr>
            <w:tcW w:w="1080" w:type="dxa"/>
            <w:tcBorders>
              <w:top w:val="nil"/>
              <w:left w:val="nil"/>
              <w:bottom w:val="single" w:sz="4" w:space="0" w:color="auto"/>
              <w:right w:val="single" w:sz="4" w:space="0" w:color="auto"/>
            </w:tcBorders>
            <w:shd w:val="clear" w:color="000000" w:fill="DBE5F1"/>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176.71</w:t>
            </w:r>
          </w:p>
        </w:tc>
        <w:tc>
          <w:tcPr>
            <w:tcW w:w="1080" w:type="dxa"/>
            <w:tcBorders>
              <w:top w:val="nil"/>
              <w:left w:val="nil"/>
              <w:bottom w:val="single" w:sz="4" w:space="0" w:color="auto"/>
              <w:right w:val="single" w:sz="4" w:space="0" w:color="auto"/>
            </w:tcBorders>
            <w:shd w:val="clear" w:color="000000" w:fill="B8CCE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170.25</w:t>
            </w:r>
          </w:p>
        </w:tc>
        <w:tc>
          <w:tcPr>
            <w:tcW w:w="1080" w:type="dxa"/>
            <w:tcBorders>
              <w:top w:val="nil"/>
              <w:left w:val="nil"/>
              <w:bottom w:val="single" w:sz="4" w:space="0" w:color="auto"/>
              <w:right w:val="single" w:sz="4" w:space="0" w:color="auto"/>
            </w:tcBorders>
            <w:shd w:val="clear" w:color="000000" w:fill="95B3D7"/>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96.34</w:t>
            </w:r>
          </w:p>
        </w:tc>
        <w:tc>
          <w:tcPr>
            <w:tcW w:w="1080" w:type="dxa"/>
            <w:tcBorders>
              <w:top w:val="nil"/>
              <w:left w:val="nil"/>
              <w:bottom w:val="single" w:sz="4" w:space="0" w:color="auto"/>
              <w:right w:val="single" w:sz="4" w:space="0" w:color="auto"/>
            </w:tcBorders>
            <w:shd w:val="clear" w:color="000000" w:fill="EAF1DD"/>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157.56</w:t>
            </w:r>
          </w:p>
        </w:tc>
        <w:tc>
          <w:tcPr>
            <w:tcW w:w="1080" w:type="dxa"/>
            <w:tcBorders>
              <w:top w:val="nil"/>
              <w:left w:val="nil"/>
              <w:bottom w:val="single" w:sz="4" w:space="0" w:color="auto"/>
              <w:right w:val="single" w:sz="4" w:space="0" w:color="auto"/>
            </w:tcBorders>
            <w:shd w:val="clear" w:color="000000" w:fill="D7E4BC"/>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162.81</w:t>
            </w:r>
          </w:p>
        </w:tc>
        <w:tc>
          <w:tcPr>
            <w:tcW w:w="1080" w:type="dxa"/>
            <w:gridSpan w:val="2"/>
            <w:tcBorders>
              <w:top w:val="nil"/>
              <w:left w:val="nil"/>
              <w:bottom w:val="single" w:sz="4" w:space="0" w:color="auto"/>
              <w:right w:val="single" w:sz="4" w:space="0" w:color="auto"/>
            </w:tcBorders>
            <w:shd w:val="clear" w:color="000000" w:fill="C2D69A"/>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103.33</w:t>
            </w:r>
          </w:p>
        </w:tc>
        <w:tc>
          <w:tcPr>
            <w:tcW w:w="1170" w:type="dxa"/>
            <w:gridSpan w:val="2"/>
            <w:tcBorders>
              <w:top w:val="nil"/>
              <w:left w:val="nil"/>
              <w:bottom w:val="single" w:sz="4" w:space="0" w:color="auto"/>
              <w:right w:val="single" w:sz="4" w:space="0" w:color="auto"/>
            </w:tcBorders>
            <w:shd w:val="clear" w:color="000000" w:fill="FDE9D9"/>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170.65</w:t>
            </w:r>
          </w:p>
        </w:tc>
        <w:tc>
          <w:tcPr>
            <w:tcW w:w="1080" w:type="dxa"/>
            <w:tcBorders>
              <w:top w:val="nil"/>
              <w:left w:val="nil"/>
              <w:bottom w:val="single" w:sz="4" w:space="0" w:color="auto"/>
              <w:right w:val="single" w:sz="4" w:space="0" w:color="auto"/>
            </w:tcBorders>
            <w:shd w:val="clear" w:color="000000" w:fill="FCD5B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182.9</w:t>
            </w:r>
          </w:p>
        </w:tc>
        <w:tc>
          <w:tcPr>
            <w:tcW w:w="1080" w:type="dxa"/>
            <w:gridSpan w:val="2"/>
            <w:tcBorders>
              <w:top w:val="nil"/>
              <w:left w:val="nil"/>
              <w:bottom w:val="single" w:sz="4" w:space="0" w:color="auto"/>
              <w:right w:val="single" w:sz="4" w:space="0" w:color="auto"/>
            </w:tcBorders>
            <w:shd w:val="clear" w:color="000000" w:fill="FAC090"/>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107.18</w:t>
            </w:r>
          </w:p>
        </w:tc>
        <w:tc>
          <w:tcPr>
            <w:tcW w:w="1350" w:type="dxa"/>
            <w:tcBorders>
              <w:top w:val="nil"/>
              <w:left w:val="nil"/>
              <w:bottom w:val="single" w:sz="4" w:space="0" w:color="auto"/>
              <w:right w:val="single" w:sz="4" w:space="0" w:color="auto"/>
            </w:tcBorders>
            <w:shd w:val="clear" w:color="000000" w:fill="FFFF66"/>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112.34</w:t>
            </w:r>
          </w:p>
        </w:tc>
      </w:tr>
      <w:tr w:rsidR="008A38C7" w:rsidRPr="007F7959" w:rsidTr="00D3239F">
        <w:trPr>
          <w:trHeight w:val="300"/>
        </w:trPr>
        <w:tc>
          <w:tcPr>
            <w:tcW w:w="2085" w:type="dxa"/>
            <w:tcBorders>
              <w:top w:val="nil"/>
              <w:left w:val="single" w:sz="4" w:space="0" w:color="auto"/>
              <w:bottom w:val="single" w:sz="4" w:space="0" w:color="auto"/>
              <w:right w:val="single" w:sz="4" w:space="0" w:color="auto"/>
            </w:tcBorders>
            <w:shd w:val="clear" w:color="000000" w:fill="DDD9C3"/>
            <w:noWrap/>
            <w:vAlign w:val="bottom"/>
            <w:hideMark/>
          </w:tcPr>
          <w:p w:rsidR="008A38C7" w:rsidRPr="007F7959" w:rsidRDefault="008A38C7" w:rsidP="00D3239F">
            <w:pPr>
              <w:spacing w:after="0" w:line="240" w:lineRule="auto"/>
              <w:jc w:val="lef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Dobit</w:t>
            </w:r>
          </w:p>
        </w:tc>
        <w:tc>
          <w:tcPr>
            <w:tcW w:w="1080" w:type="dxa"/>
            <w:tcBorders>
              <w:top w:val="nil"/>
              <w:left w:val="nil"/>
              <w:bottom w:val="single" w:sz="4" w:space="0" w:color="auto"/>
              <w:right w:val="single" w:sz="4" w:space="0" w:color="auto"/>
            </w:tcBorders>
            <w:shd w:val="clear" w:color="000000" w:fill="DBE5F1"/>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19.76</w:t>
            </w:r>
          </w:p>
        </w:tc>
        <w:tc>
          <w:tcPr>
            <w:tcW w:w="1080" w:type="dxa"/>
            <w:tcBorders>
              <w:top w:val="nil"/>
              <w:left w:val="nil"/>
              <w:bottom w:val="single" w:sz="4" w:space="0" w:color="auto"/>
              <w:right w:val="single" w:sz="4" w:space="0" w:color="auto"/>
            </w:tcBorders>
            <w:shd w:val="clear" w:color="000000" w:fill="B8CCE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22.4</w:t>
            </w:r>
          </w:p>
        </w:tc>
        <w:tc>
          <w:tcPr>
            <w:tcW w:w="1080" w:type="dxa"/>
            <w:tcBorders>
              <w:top w:val="nil"/>
              <w:left w:val="nil"/>
              <w:bottom w:val="single" w:sz="4" w:space="0" w:color="auto"/>
              <w:right w:val="single" w:sz="4" w:space="0" w:color="auto"/>
            </w:tcBorders>
            <w:shd w:val="clear" w:color="000000" w:fill="95B3D7"/>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113.36</w:t>
            </w:r>
          </w:p>
        </w:tc>
        <w:tc>
          <w:tcPr>
            <w:tcW w:w="1080" w:type="dxa"/>
            <w:tcBorders>
              <w:top w:val="nil"/>
              <w:left w:val="nil"/>
              <w:bottom w:val="single" w:sz="4" w:space="0" w:color="auto"/>
              <w:right w:val="single" w:sz="4" w:space="0" w:color="auto"/>
            </w:tcBorders>
            <w:shd w:val="clear" w:color="000000" w:fill="EAF1DD"/>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26.24</w:t>
            </w:r>
          </w:p>
        </w:tc>
        <w:tc>
          <w:tcPr>
            <w:tcW w:w="1080" w:type="dxa"/>
            <w:tcBorders>
              <w:top w:val="nil"/>
              <w:left w:val="nil"/>
              <w:bottom w:val="single" w:sz="4" w:space="0" w:color="auto"/>
              <w:right w:val="single" w:sz="4" w:space="0" w:color="auto"/>
            </w:tcBorders>
            <w:shd w:val="clear" w:color="000000" w:fill="D7E4BC"/>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25.73</w:t>
            </w:r>
          </w:p>
        </w:tc>
        <w:tc>
          <w:tcPr>
            <w:tcW w:w="1080" w:type="dxa"/>
            <w:gridSpan w:val="2"/>
            <w:tcBorders>
              <w:top w:val="nil"/>
              <w:left w:val="nil"/>
              <w:bottom w:val="single" w:sz="4" w:space="0" w:color="auto"/>
              <w:right w:val="single" w:sz="4" w:space="0" w:color="auto"/>
            </w:tcBorders>
            <w:shd w:val="clear" w:color="000000" w:fill="C2D69A"/>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98.06</w:t>
            </w:r>
          </w:p>
        </w:tc>
        <w:tc>
          <w:tcPr>
            <w:tcW w:w="1170" w:type="dxa"/>
            <w:gridSpan w:val="2"/>
            <w:tcBorders>
              <w:top w:val="nil"/>
              <w:left w:val="nil"/>
              <w:bottom w:val="single" w:sz="4" w:space="0" w:color="auto"/>
              <w:right w:val="single" w:sz="4" w:space="0" w:color="auto"/>
            </w:tcBorders>
            <w:shd w:val="clear" w:color="000000" w:fill="FDE9D9"/>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26.02</w:t>
            </w:r>
          </w:p>
        </w:tc>
        <w:tc>
          <w:tcPr>
            <w:tcW w:w="1080" w:type="dxa"/>
            <w:tcBorders>
              <w:top w:val="nil"/>
              <w:left w:val="nil"/>
              <w:bottom w:val="single" w:sz="4" w:space="0" w:color="auto"/>
              <w:right w:val="single" w:sz="4" w:space="0" w:color="auto"/>
            </w:tcBorders>
            <w:shd w:val="clear" w:color="000000" w:fill="FCD5B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28.14</w:t>
            </w:r>
          </w:p>
        </w:tc>
        <w:tc>
          <w:tcPr>
            <w:tcW w:w="1080" w:type="dxa"/>
            <w:gridSpan w:val="2"/>
            <w:tcBorders>
              <w:top w:val="nil"/>
              <w:left w:val="nil"/>
              <w:bottom w:val="single" w:sz="4" w:space="0" w:color="auto"/>
              <w:right w:val="single" w:sz="4" w:space="0" w:color="auto"/>
            </w:tcBorders>
            <w:shd w:val="clear" w:color="000000" w:fill="FAC090"/>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108.15</w:t>
            </w:r>
          </w:p>
        </w:tc>
        <w:tc>
          <w:tcPr>
            <w:tcW w:w="1350" w:type="dxa"/>
            <w:tcBorders>
              <w:top w:val="nil"/>
              <w:left w:val="nil"/>
              <w:bottom w:val="single" w:sz="4" w:space="0" w:color="auto"/>
              <w:right w:val="single" w:sz="4" w:space="0" w:color="auto"/>
            </w:tcBorders>
            <w:shd w:val="clear" w:color="000000" w:fill="FFFF66"/>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109.37</w:t>
            </w:r>
          </w:p>
        </w:tc>
      </w:tr>
      <w:tr w:rsidR="008A38C7" w:rsidRPr="007F7959" w:rsidTr="00D3239F">
        <w:trPr>
          <w:trHeight w:val="300"/>
        </w:trPr>
        <w:tc>
          <w:tcPr>
            <w:tcW w:w="2085" w:type="dxa"/>
            <w:tcBorders>
              <w:top w:val="nil"/>
              <w:left w:val="single" w:sz="4" w:space="0" w:color="auto"/>
              <w:bottom w:val="single" w:sz="4" w:space="0" w:color="auto"/>
              <w:right w:val="single" w:sz="4" w:space="0" w:color="auto"/>
            </w:tcBorders>
            <w:shd w:val="clear" w:color="000000" w:fill="DDD9C3"/>
            <w:noWrap/>
            <w:vAlign w:val="bottom"/>
            <w:hideMark/>
          </w:tcPr>
          <w:p w:rsidR="008A38C7" w:rsidRPr="007F7959" w:rsidRDefault="008A38C7" w:rsidP="00D3239F">
            <w:pPr>
              <w:spacing w:after="0" w:line="240" w:lineRule="auto"/>
              <w:jc w:val="lef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akcize</w:t>
            </w:r>
          </w:p>
        </w:tc>
        <w:tc>
          <w:tcPr>
            <w:tcW w:w="1080" w:type="dxa"/>
            <w:tcBorders>
              <w:top w:val="nil"/>
              <w:left w:val="nil"/>
              <w:bottom w:val="single" w:sz="4" w:space="0" w:color="auto"/>
              <w:right w:val="single" w:sz="4" w:space="0" w:color="auto"/>
            </w:tcBorders>
            <w:shd w:val="clear" w:color="000000" w:fill="DBE5F1"/>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66.81</w:t>
            </w:r>
          </w:p>
        </w:tc>
        <w:tc>
          <w:tcPr>
            <w:tcW w:w="1080" w:type="dxa"/>
            <w:tcBorders>
              <w:top w:val="nil"/>
              <w:left w:val="nil"/>
              <w:bottom w:val="single" w:sz="4" w:space="0" w:color="auto"/>
              <w:right w:val="single" w:sz="4" w:space="0" w:color="auto"/>
            </w:tcBorders>
            <w:shd w:val="clear" w:color="000000" w:fill="B8CCE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60.24</w:t>
            </w:r>
          </w:p>
        </w:tc>
        <w:tc>
          <w:tcPr>
            <w:tcW w:w="1080" w:type="dxa"/>
            <w:tcBorders>
              <w:top w:val="nil"/>
              <w:left w:val="nil"/>
              <w:bottom w:val="single" w:sz="4" w:space="0" w:color="auto"/>
              <w:right w:val="single" w:sz="4" w:space="0" w:color="auto"/>
            </w:tcBorders>
            <w:shd w:val="clear" w:color="000000" w:fill="95B3D7"/>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90.17</w:t>
            </w:r>
          </w:p>
        </w:tc>
        <w:tc>
          <w:tcPr>
            <w:tcW w:w="1080" w:type="dxa"/>
            <w:tcBorders>
              <w:top w:val="nil"/>
              <w:left w:val="nil"/>
              <w:bottom w:val="single" w:sz="4" w:space="0" w:color="auto"/>
              <w:right w:val="single" w:sz="4" w:space="0" w:color="auto"/>
            </w:tcBorders>
            <w:shd w:val="clear" w:color="000000" w:fill="EAF1DD"/>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63.83</w:t>
            </w:r>
          </w:p>
        </w:tc>
        <w:tc>
          <w:tcPr>
            <w:tcW w:w="1080" w:type="dxa"/>
            <w:tcBorders>
              <w:top w:val="nil"/>
              <w:left w:val="nil"/>
              <w:bottom w:val="single" w:sz="4" w:space="0" w:color="auto"/>
              <w:right w:val="single" w:sz="4" w:space="0" w:color="auto"/>
            </w:tcBorders>
            <w:shd w:val="clear" w:color="000000" w:fill="D7E4BC"/>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59.57</w:t>
            </w:r>
          </w:p>
        </w:tc>
        <w:tc>
          <w:tcPr>
            <w:tcW w:w="1080" w:type="dxa"/>
            <w:gridSpan w:val="2"/>
            <w:tcBorders>
              <w:top w:val="nil"/>
              <w:left w:val="nil"/>
              <w:bottom w:val="single" w:sz="4" w:space="0" w:color="auto"/>
              <w:right w:val="single" w:sz="4" w:space="0" w:color="auto"/>
            </w:tcBorders>
            <w:shd w:val="clear" w:color="000000" w:fill="C2D69A"/>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93.33</w:t>
            </w:r>
          </w:p>
        </w:tc>
        <w:tc>
          <w:tcPr>
            <w:tcW w:w="1170" w:type="dxa"/>
            <w:gridSpan w:val="2"/>
            <w:tcBorders>
              <w:top w:val="nil"/>
              <w:left w:val="nil"/>
              <w:bottom w:val="single" w:sz="4" w:space="0" w:color="auto"/>
              <w:right w:val="single" w:sz="4" w:space="0" w:color="auto"/>
            </w:tcBorders>
            <w:shd w:val="clear" w:color="000000" w:fill="FDE9D9"/>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66.15</w:t>
            </w:r>
          </w:p>
        </w:tc>
        <w:tc>
          <w:tcPr>
            <w:tcW w:w="1080" w:type="dxa"/>
            <w:tcBorders>
              <w:top w:val="nil"/>
              <w:left w:val="nil"/>
              <w:bottom w:val="single" w:sz="4" w:space="0" w:color="auto"/>
              <w:right w:val="single" w:sz="4" w:space="0" w:color="auto"/>
            </w:tcBorders>
            <w:shd w:val="clear" w:color="000000" w:fill="FCD5B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65.97</w:t>
            </w:r>
          </w:p>
        </w:tc>
        <w:tc>
          <w:tcPr>
            <w:tcW w:w="1080" w:type="dxa"/>
            <w:gridSpan w:val="2"/>
            <w:tcBorders>
              <w:top w:val="nil"/>
              <w:left w:val="nil"/>
              <w:bottom w:val="single" w:sz="4" w:space="0" w:color="auto"/>
              <w:right w:val="single" w:sz="4" w:space="0" w:color="auto"/>
            </w:tcBorders>
            <w:shd w:val="clear" w:color="000000" w:fill="FAC090"/>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99.73</w:t>
            </w:r>
          </w:p>
        </w:tc>
        <w:tc>
          <w:tcPr>
            <w:tcW w:w="1350" w:type="dxa"/>
            <w:tcBorders>
              <w:top w:val="nil"/>
              <w:left w:val="nil"/>
              <w:bottom w:val="single" w:sz="4" w:space="0" w:color="auto"/>
              <w:right w:val="single" w:sz="4" w:space="0" w:color="auto"/>
            </w:tcBorders>
            <w:shd w:val="clear" w:color="000000" w:fill="FFFF66"/>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110.74</w:t>
            </w:r>
          </w:p>
        </w:tc>
      </w:tr>
      <w:tr w:rsidR="008A38C7" w:rsidRPr="007F7959" w:rsidTr="00D3239F">
        <w:trPr>
          <w:trHeight w:val="300"/>
        </w:trPr>
        <w:tc>
          <w:tcPr>
            <w:tcW w:w="2085" w:type="dxa"/>
            <w:tcBorders>
              <w:top w:val="nil"/>
              <w:left w:val="single" w:sz="4" w:space="0" w:color="auto"/>
              <w:bottom w:val="single" w:sz="4" w:space="0" w:color="auto"/>
              <w:right w:val="single" w:sz="4" w:space="0" w:color="auto"/>
            </w:tcBorders>
            <w:shd w:val="clear" w:color="000000" w:fill="DDD9C3"/>
            <w:noWrap/>
            <w:vAlign w:val="bottom"/>
            <w:hideMark/>
          </w:tcPr>
          <w:p w:rsidR="008A38C7" w:rsidRPr="007F7959" w:rsidRDefault="008A38C7" w:rsidP="00D3239F">
            <w:pPr>
              <w:spacing w:after="0" w:line="240" w:lineRule="auto"/>
              <w:jc w:val="lef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carina</w:t>
            </w:r>
          </w:p>
        </w:tc>
        <w:tc>
          <w:tcPr>
            <w:tcW w:w="1080" w:type="dxa"/>
            <w:tcBorders>
              <w:top w:val="nil"/>
              <w:left w:val="nil"/>
              <w:bottom w:val="single" w:sz="4" w:space="0" w:color="auto"/>
              <w:right w:val="single" w:sz="4" w:space="0" w:color="auto"/>
            </w:tcBorders>
            <w:shd w:val="clear" w:color="000000" w:fill="DBE5F1"/>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23.14</w:t>
            </w:r>
          </w:p>
        </w:tc>
        <w:tc>
          <w:tcPr>
            <w:tcW w:w="1080" w:type="dxa"/>
            <w:tcBorders>
              <w:top w:val="nil"/>
              <w:left w:val="nil"/>
              <w:bottom w:val="single" w:sz="4" w:space="0" w:color="auto"/>
              <w:right w:val="single" w:sz="4" w:space="0" w:color="auto"/>
            </w:tcBorders>
            <w:shd w:val="clear" w:color="000000" w:fill="B8CCE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20.93</w:t>
            </w:r>
          </w:p>
        </w:tc>
        <w:tc>
          <w:tcPr>
            <w:tcW w:w="1080" w:type="dxa"/>
            <w:tcBorders>
              <w:top w:val="nil"/>
              <w:left w:val="nil"/>
              <w:bottom w:val="single" w:sz="4" w:space="0" w:color="auto"/>
              <w:right w:val="single" w:sz="4" w:space="0" w:color="auto"/>
            </w:tcBorders>
            <w:shd w:val="clear" w:color="000000" w:fill="95B3D7"/>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90.45</w:t>
            </w:r>
          </w:p>
        </w:tc>
        <w:tc>
          <w:tcPr>
            <w:tcW w:w="1080" w:type="dxa"/>
            <w:tcBorders>
              <w:top w:val="nil"/>
              <w:left w:val="nil"/>
              <w:bottom w:val="single" w:sz="4" w:space="0" w:color="auto"/>
              <w:right w:val="single" w:sz="4" w:space="0" w:color="auto"/>
            </w:tcBorders>
            <w:shd w:val="clear" w:color="000000" w:fill="EAF1DD"/>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20.63</w:t>
            </w:r>
          </w:p>
        </w:tc>
        <w:tc>
          <w:tcPr>
            <w:tcW w:w="1080" w:type="dxa"/>
            <w:tcBorders>
              <w:top w:val="nil"/>
              <w:left w:val="nil"/>
              <w:bottom w:val="single" w:sz="4" w:space="0" w:color="auto"/>
              <w:right w:val="single" w:sz="4" w:space="0" w:color="auto"/>
            </w:tcBorders>
            <w:shd w:val="clear" w:color="000000" w:fill="D7E4BC"/>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16.39</w:t>
            </w:r>
          </w:p>
        </w:tc>
        <w:tc>
          <w:tcPr>
            <w:tcW w:w="1080" w:type="dxa"/>
            <w:gridSpan w:val="2"/>
            <w:tcBorders>
              <w:top w:val="nil"/>
              <w:left w:val="nil"/>
              <w:bottom w:val="single" w:sz="4" w:space="0" w:color="auto"/>
              <w:right w:val="single" w:sz="4" w:space="0" w:color="auto"/>
            </w:tcBorders>
            <w:shd w:val="clear" w:color="000000" w:fill="C2D69A"/>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79.45</w:t>
            </w:r>
          </w:p>
        </w:tc>
        <w:tc>
          <w:tcPr>
            <w:tcW w:w="1170" w:type="dxa"/>
            <w:gridSpan w:val="2"/>
            <w:tcBorders>
              <w:top w:val="nil"/>
              <w:left w:val="nil"/>
              <w:bottom w:val="single" w:sz="4" w:space="0" w:color="auto"/>
              <w:right w:val="single" w:sz="4" w:space="0" w:color="auto"/>
            </w:tcBorders>
            <w:shd w:val="clear" w:color="000000" w:fill="FDE9D9"/>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17.6</w:t>
            </w:r>
          </w:p>
        </w:tc>
        <w:tc>
          <w:tcPr>
            <w:tcW w:w="1080" w:type="dxa"/>
            <w:tcBorders>
              <w:top w:val="nil"/>
              <w:left w:val="nil"/>
              <w:bottom w:val="single" w:sz="4" w:space="0" w:color="auto"/>
              <w:right w:val="single" w:sz="4" w:space="0" w:color="auto"/>
            </w:tcBorders>
            <w:shd w:val="clear" w:color="000000" w:fill="FCD5B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10.35</w:t>
            </w:r>
          </w:p>
        </w:tc>
        <w:tc>
          <w:tcPr>
            <w:tcW w:w="1080" w:type="dxa"/>
            <w:gridSpan w:val="2"/>
            <w:tcBorders>
              <w:top w:val="nil"/>
              <w:left w:val="nil"/>
              <w:bottom w:val="single" w:sz="4" w:space="0" w:color="auto"/>
              <w:right w:val="single" w:sz="4" w:space="0" w:color="auto"/>
            </w:tcBorders>
            <w:shd w:val="clear" w:color="000000" w:fill="FAC090"/>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58.81</w:t>
            </w:r>
          </w:p>
        </w:tc>
        <w:tc>
          <w:tcPr>
            <w:tcW w:w="1350" w:type="dxa"/>
            <w:tcBorders>
              <w:top w:val="nil"/>
              <w:left w:val="nil"/>
              <w:bottom w:val="single" w:sz="4" w:space="0" w:color="auto"/>
              <w:right w:val="single" w:sz="4" w:space="0" w:color="auto"/>
            </w:tcBorders>
            <w:shd w:val="clear" w:color="000000" w:fill="FFFF66"/>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63.15</w:t>
            </w:r>
          </w:p>
        </w:tc>
      </w:tr>
      <w:tr w:rsidR="008A38C7" w:rsidRPr="007F7959" w:rsidTr="00D3239F">
        <w:trPr>
          <w:trHeight w:val="300"/>
        </w:trPr>
        <w:tc>
          <w:tcPr>
            <w:tcW w:w="2085" w:type="dxa"/>
            <w:tcBorders>
              <w:top w:val="nil"/>
              <w:left w:val="single" w:sz="4" w:space="0" w:color="auto"/>
              <w:bottom w:val="single" w:sz="4" w:space="0" w:color="auto"/>
              <w:right w:val="single" w:sz="4" w:space="0" w:color="auto"/>
            </w:tcBorders>
            <w:shd w:val="clear" w:color="000000" w:fill="DDD9C3"/>
            <w:noWrap/>
            <w:vAlign w:val="bottom"/>
            <w:hideMark/>
          </w:tcPr>
          <w:p w:rsidR="008A38C7" w:rsidRPr="007F7959" w:rsidRDefault="008A38C7" w:rsidP="00D3239F">
            <w:pPr>
              <w:spacing w:after="0" w:line="240" w:lineRule="auto"/>
              <w:jc w:val="lef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promet nepokret</w:t>
            </w:r>
          </w:p>
        </w:tc>
        <w:tc>
          <w:tcPr>
            <w:tcW w:w="1080" w:type="dxa"/>
            <w:tcBorders>
              <w:top w:val="nil"/>
              <w:left w:val="nil"/>
              <w:bottom w:val="single" w:sz="4" w:space="0" w:color="auto"/>
              <w:right w:val="single" w:sz="4" w:space="0" w:color="auto"/>
            </w:tcBorders>
            <w:shd w:val="clear" w:color="000000" w:fill="DBE5F1"/>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0.83</w:t>
            </w:r>
          </w:p>
        </w:tc>
        <w:tc>
          <w:tcPr>
            <w:tcW w:w="1080" w:type="dxa"/>
            <w:tcBorders>
              <w:top w:val="nil"/>
              <w:left w:val="nil"/>
              <w:bottom w:val="single" w:sz="4" w:space="0" w:color="auto"/>
              <w:right w:val="single" w:sz="4" w:space="0" w:color="auto"/>
            </w:tcBorders>
            <w:shd w:val="clear" w:color="000000" w:fill="B8CCE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0.55</w:t>
            </w:r>
          </w:p>
        </w:tc>
        <w:tc>
          <w:tcPr>
            <w:tcW w:w="1080" w:type="dxa"/>
            <w:tcBorders>
              <w:top w:val="nil"/>
              <w:left w:val="nil"/>
              <w:bottom w:val="single" w:sz="4" w:space="0" w:color="auto"/>
              <w:right w:val="single" w:sz="4" w:space="0" w:color="auto"/>
            </w:tcBorders>
            <w:shd w:val="clear" w:color="000000" w:fill="95B3D7"/>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66.27</w:t>
            </w:r>
          </w:p>
        </w:tc>
        <w:tc>
          <w:tcPr>
            <w:tcW w:w="1080" w:type="dxa"/>
            <w:tcBorders>
              <w:top w:val="nil"/>
              <w:left w:val="nil"/>
              <w:bottom w:val="single" w:sz="4" w:space="0" w:color="auto"/>
              <w:right w:val="single" w:sz="4" w:space="0" w:color="auto"/>
            </w:tcBorders>
            <w:shd w:val="clear" w:color="000000" w:fill="EAF1DD"/>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0.69</w:t>
            </w:r>
          </w:p>
        </w:tc>
        <w:tc>
          <w:tcPr>
            <w:tcW w:w="1080" w:type="dxa"/>
            <w:tcBorders>
              <w:top w:val="nil"/>
              <w:left w:val="nil"/>
              <w:bottom w:val="single" w:sz="4" w:space="0" w:color="auto"/>
              <w:right w:val="single" w:sz="4" w:space="0" w:color="auto"/>
            </w:tcBorders>
            <w:shd w:val="clear" w:color="000000" w:fill="D7E4BC"/>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0.67</w:t>
            </w:r>
          </w:p>
        </w:tc>
        <w:tc>
          <w:tcPr>
            <w:tcW w:w="1080" w:type="dxa"/>
            <w:gridSpan w:val="2"/>
            <w:tcBorders>
              <w:top w:val="nil"/>
              <w:left w:val="nil"/>
              <w:bottom w:val="single" w:sz="4" w:space="0" w:color="auto"/>
              <w:right w:val="single" w:sz="4" w:space="0" w:color="auto"/>
            </w:tcBorders>
            <w:shd w:val="clear" w:color="000000" w:fill="C2D69A"/>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97.10</w:t>
            </w:r>
          </w:p>
        </w:tc>
        <w:tc>
          <w:tcPr>
            <w:tcW w:w="1170" w:type="dxa"/>
            <w:gridSpan w:val="2"/>
            <w:tcBorders>
              <w:top w:val="nil"/>
              <w:left w:val="nil"/>
              <w:bottom w:val="single" w:sz="4" w:space="0" w:color="auto"/>
              <w:right w:val="single" w:sz="4" w:space="0" w:color="auto"/>
            </w:tcBorders>
            <w:shd w:val="clear" w:color="000000" w:fill="FDE9D9"/>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0.71</w:t>
            </w:r>
          </w:p>
        </w:tc>
        <w:tc>
          <w:tcPr>
            <w:tcW w:w="1080" w:type="dxa"/>
            <w:tcBorders>
              <w:top w:val="nil"/>
              <w:left w:val="nil"/>
              <w:bottom w:val="single" w:sz="4" w:space="0" w:color="auto"/>
              <w:right w:val="single" w:sz="4" w:space="0" w:color="auto"/>
            </w:tcBorders>
            <w:shd w:val="clear" w:color="000000" w:fill="FCD5B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0.63</w:t>
            </w:r>
          </w:p>
        </w:tc>
        <w:tc>
          <w:tcPr>
            <w:tcW w:w="1080" w:type="dxa"/>
            <w:gridSpan w:val="2"/>
            <w:tcBorders>
              <w:top w:val="nil"/>
              <w:left w:val="nil"/>
              <w:bottom w:val="single" w:sz="4" w:space="0" w:color="auto"/>
              <w:right w:val="single" w:sz="4" w:space="0" w:color="auto"/>
            </w:tcBorders>
            <w:shd w:val="clear" w:color="000000" w:fill="FAC090"/>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88.73</w:t>
            </w:r>
          </w:p>
        </w:tc>
        <w:tc>
          <w:tcPr>
            <w:tcW w:w="1350" w:type="dxa"/>
            <w:tcBorders>
              <w:top w:val="nil"/>
              <w:left w:val="nil"/>
              <w:bottom w:val="single" w:sz="4" w:space="0" w:color="auto"/>
              <w:right w:val="single" w:sz="4" w:space="0" w:color="auto"/>
            </w:tcBorders>
            <w:shd w:val="clear" w:color="000000" w:fill="FFFF66"/>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94.03</w:t>
            </w:r>
          </w:p>
        </w:tc>
      </w:tr>
      <w:tr w:rsidR="008A38C7" w:rsidRPr="007F7959" w:rsidTr="00D3239F">
        <w:trPr>
          <w:trHeight w:val="300"/>
        </w:trPr>
        <w:tc>
          <w:tcPr>
            <w:tcW w:w="2085" w:type="dxa"/>
            <w:tcBorders>
              <w:top w:val="nil"/>
              <w:left w:val="single" w:sz="4" w:space="0" w:color="auto"/>
              <w:bottom w:val="single" w:sz="4" w:space="0" w:color="auto"/>
              <w:right w:val="single" w:sz="4" w:space="0" w:color="auto"/>
            </w:tcBorders>
            <w:shd w:val="clear" w:color="000000" w:fill="DDD9C3"/>
            <w:noWrap/>
            <w:vAlign w:val="bottom"/>
            <w:hideMark/>
          </w:tcPr>
          <w:p w:rsidR="008A38C7" w:rsidRPr="007F7959" w:rsidRDefault="008A38C7" w:rsidP="00D3239F">
            <w:pPr>
              <w:spacing w:after="0" w:line="240" w:lineRule="auto"/>
              <w:jc w:val="lef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ostali porezi</w:t>
            </w:r>
          </w:p>
        </w:tc>
        <w:tc>
          <w:tcPr>
            <w:tcW w:w="1080" w:type="dxa"/>
            <w:tcBorders>
              <w:top w:val="nil"/>
              <w:left w:val="nil"/>
              <w:bottom w:val="single" w:sz="4" w:space="0" w:color="auto"/>
              <w:right w:val="single" w:sz="4" w:space="0" w:color="auto"/>
            </w:tcBorders>
            <w:shd w:val="clear" w:color="000000" w:fill="DBE5F1"/>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1.58</w:t>
            </w:r>
          </w:p>
        </w:tc>
        <w:tc>
          <w:tcPr>
            <w:tcW w:w="1080" w:type="dxa"/>
            <w:tcBorders>
              <w:top w:val="nil"/>
              <w:left w:val="nil"/>
              <w:bottom w:val="single" w:sz="4" w:space="0" w:color="auto"/>
              <w:right w:val="single" w:sz="4" w:space="0" w:color="auto"/>
            </w:tcBorders>
            <w:shd w:val="clear" w:color="000000" w:fill="B8CCE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2.02</w:t>
            </w:r>
          </w:p>
        </w:tc>
        <w:tc>
          <w:tcPr>
            <w:tcW w:w="1080" w:type="dxa"/>
            <w:tcBorders>
              <w:top w:val="nil"/>
              <w:left w:val="nil"/>
              <w:bottom w:val="single" w:sz="4" w:space="0" w:color="auto"/>
              <w:right w:val="single" w:sz="4" w:space="0" w:color="auto"/>
            </w:tcBorders>
            <w:shd w:val="clear" w:color="000000" w:fill="95B3D7"/>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127.85</w:t>
            </w:r>
          </w:p>
        </w:tc>
        <w:tc>
          <w:tcPr>
            <w:tcW w:w="1080" w:type="dxa"/>
            <w:tcBorders>
              <w:top w:val="nil"/>
              <w:left w:val="nil"/>
              <w:bottom w:val="single" w:sz="4" w:space="0" w:color="auto"/>
              <w:right w:val="single" w:sz="4" w:space="0" w:color="auto"/>
            </w:tcBorders>
            <w:shd w:val="clear" w:color="000000" w:fill="EAF1DD"/>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1.96</w:t>
            </w:r>
          </w:p>
        </w:tc>
        <w:tc>
          <w:tcPr>
            <w:tcW w:w="1080" w:type="dxa"/>
            <w:tcBorders>
              <w:top w:val="nil"/>
              <w:left w:val="nil"/>
              <w:bottom w:val="single" w:sz="4" w:space="0" w:color="auto"/>
              <w:right w:val="single" w:sz="4" w:space="0" w:color="auto"/>
            </w:tcBorders>
            <w:shd w:val="clear" w:color="000000" w:fill="D7E4BC"/>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2</w:t>
            </w:r>
          </w:p>
        </w:tc>
        <w:tc>
          <w:tcPr>
            <w:tcW w:w="1080" w:type="dxa"/>
            <w:gridSpan w:val="2"/>
            <w:tcBorders>
              <w:top w:val="nil"/>
              <w:left w:val="nil"/>
              <w:bottom w:val="single" w:sz="4" w:space="0" w:color="auto"/>
              <w:right w:val="single" w:sz="4" w:space="0" w:color="auto"/>
            </w:tcBorders>
            <w:shd w:val="clear" w:color="000000" w:fill="C2D69A"/>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102.04</w:t>
            </w:r>
          </w:p>
        </w:tc>
        <w:tc>
          <w:tcPr>
            <w:tcW w:w="1170" w:type="dxa"/>
            <w:gridSpan w:val="2"/>
            <w:tcBorders>
              <w:top w:val="nil"/>
              <w:left w:val="nil"/>
              <w:bottom w:val="single" w:sz="4" w:space="0" w:color="auto"/>
              <w:right w:val="single" w:sz="4" w:space="0" w:color="auto"/>
            </w:tcBorders>
            <w:shd w:val="clear" w:color="000000" w:fill="FDE9D9"/>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2.06</w:t>
            </w:r>
          </w:p>
        </w:tc>
        <w:tc>
          <w:tcPr>
            <w:tcW w:w="1080" w:type="dxa"/>
            <w:tcBorders>
              <w:top w:val="nil"/>
              <w:left w:val="nil"/>
              <w:bottom w:val="single" w:sz="4" w:space="0" w:color="auto"/>
              <w:right w:val="single" w:sz="4" w:space="0" w:color="auto"/>
            </w:tcBorders>
            <w:shd w:val="clear" w:color="000000" w:fill="FCD5B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2.3</w:t>
            </w:r>
          </w:p>
        </w:tc>
        <w:tc>
          <w:tcPr>
            <w:tcW w:w="1080" w:type="dxa"/>
            <w:gridSpan w:val="2"/>
            <w:tcBorders>
              <w:top w:val="nil"/>
              <w:left w:val="nil"/>
              <w:bottom w:val="single" w:sz="4" w:space="0" w:color="auto"/>
              <w:right w:val="single" w:sz="4" w:space="0" w:color="auto"/>
            </w:tcBorders>
            <w:shd w:val="clear" w:color="000000" w:fill="FAC090"/>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111.65</w:t>
            </w:r>
          </w:p>
        </w:tc>
        <w:tc>
          <w:tcPr>
            <w:tcW w:w="1350" w:type="dxa"/>
            <w:tcBorders>
              <w:top w:val="nil"/>
              <w:left w:val="nil"/>
              <w:bottom w:val="single" w:sz="4" w:space="0" w:color="auto"/>
              <w:right w:val="single" w:sz="4" w:space="0" w:color="auto"/>
            </w:tcBorders>
            <w:shd w:val="clear" w:color="000000" w:fill="FFFF66"/>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115.00</w:t>
            </w:r>
          </w:p>
        </w:tc>
      </w:tr>
      <w:tr w:rsidR="008A38C7" w:rsidRPr="007F7959" w:rsidTr="00D3239F">
        <w:trPr>
          <w:trHeight w:val="300"/>
        </w:trPr>
        <w:tc>
          <w:tcPr>
            <w:tcW w:w="2085" w:type="dxa"/>
            <w:tcBorders>
              <w:top w:val="nil"/>
              <w:left w:val="single" w:sz="4" w:space="0" w:color="auto"/>
              <w:bottom w:val="single" w:sz="4" w:space="0" w:color="auto"/>
              <w:right w:val="single" w:sz="4" w:space="0" w:color="auto"/>
            </w:tcBorders>
            <w:shd w:val="clear" w:color="000000" w:fill="DDD9C3"/>
            <w:noWrap/>
            <w:vAlign w:val="bottom"/>
            <w:hideMark/>
          </w:tcPr>
          <w:p w:rsidR="008A38C7" w:rsidRPr="007F7959" w:rsidRDefault="008A38C7" w:rsidP="00D3239F">
            <w:pPr>
              <w:spacing w:after="0" w:line="240" w:lineRule="auto"/>
              <w:jc w:val="lef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administ.takse</w:t>
            </w:r>
          </w:p>
        </w:tc>
        <w:tc>
          <w:tcPr>
            <w:tcW w:w="1080" w:type="dxa"/>
            <w:tcBorders>
              <w:top w:val="nil"/>
              <w:left w:val="nil"/>
              <w:bottom w:val="single" w:sz="4" w:space="0" w:color="auto"/>
              <w:right w:val="single" w:sz="4" w:space="0" w:color="auto"/>
            </w:tcBorders>
            <w:shd w:val="clear" w:color="000000" w:fill="DBE5F1"/>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6.42</w:t>
            </w:r>
          </w:p>
        </w:tc>
        <w:tc>
          <w:tcPr>
            <w:tcW w:w="1080" w:type="dxa"/>
            <w:tcBorders>
              <w:top w:val="nil"/>
              <w:left w:val="nil"/>
              <w:bottom w:val="single" w:sz="4" w:space="0" w:color="auto"/>
              <w:right w:val="single" w:sz="4" w:space="0" w:color="auto"/>
            </w:tcBorders>
            <w:shd w:val="clear" w:color="000000" w:fill="B8CCE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5.41</w:t>
            </w:r>
          </w:p>
        </w:tc>
        <w:tc>
          <w:tcPr>
            <w:tcW w:w="1080" w:type="dxa"/>
            <w:tcBorders>
              <w:top w:val="nil"/>
              <w:left w:val="nil"/>
              <w:bottom w:val="single" w:sz="4" w:space="0" w:color="auto"/>
              <w:right w:val="single" w:sz="4" w:space="0" w:color="auto"/>
            </w:tcBorders>
            <w:shd w:val="clear" w:color="000000" w:fill="95B3D7"/>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84.27</w:t>
            </w:r>
          </w:p>
        </w:tc>
        <w:tc>
          <w:tcPr>
            <w:tcW w:w="1080" w:type="dxa"/>
            <w:tcBorders>
              <w:top w:val="nil"/>
              <w:left w:val="nil"/>
              <w:bottom w:val="single" w:sz="4" w:space="0" w:color="auto"/>
              <w:right w:val="single" w:sz="4" w:space="0" w:color="auto"/>
            </w:tcBorders>
            <w:shd w:val="clear" w:color="000000" w:fill="EAF1DD"/>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5.4</w:t>
            </w:r>
          </w:p>
        </w:tc>
        <w:tc>
          <w:tcPr>
            <w:tcW w:w="1080" w:type="dxa"/>
            <w:tcBorders>
              <w:top w:val="nil"/>
              <w:left w:val="nil"/>
              <w:bottom w:val="single" w:sz="4" w:space="0" w:color="auto"/>
              <w:right w:val="single" w:sz="4" w:space="0" w:color="auto"/>
            </w:tcBorders>
            <w:shd w:val="clear" w:color="000000" w:fill="D7E4BC"/>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4.16</w:t>
            </w:r>
          </w:p>
        </w:tc>
        <w:tc>
          <w:tcPr>
            <w:tcW w:w="1080" w:type="dxa"/>
            <w:gridSpan w:val="2"/>
            <w:tcBorders>
              <w:top w:val="nil"/>
              <w:left w:val="nil"/>
              <w:bottom w:val="single" w:sz="4" w:space="0" w:color="auto"/>
              <w:right w:val="single" w:sz="4" w:space="0" w:color="auto"/>
            </w:tcBorders>
            <w:shd w:val="clear" w:color="000000" w:fill="C2D69A"/>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77.04</w:t>
            </w:r>
          </w:p>
        </w:tc>
        <w:tc>
          <w:tcPr>
            <w:tcW w:w="1170" w:type="dxa"/>
            <w:gridSpan w:val="2"/>
            <w:tcBorders>
              <w:top w:val="nil"/>
              <w:left w:val="nil"/>
              <w:bottom w:val="single" w:sz="4" w:space="0" w:color="auto"/>
              <w:right w:val="single" w:sz="4" w:space="0" w:color="auto"/>
            </w:tcBorders>
            <w:shd w:val="clear" w:color="000000" w:fill="FDE9D9"/>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4.25</w:t>
            </w:r>
          </w:p>
        </w:tc>
        <w:tc>
          <w:tcPr>
            <w:tcW w:w="1080" w:type="dxa"/>
            <w:tcBorders>
              <w:top w:val="nil"/>
              <w:left w:val="nil"/>
              <w:bottom w:val="single" w:sz="4" w:space="0" w:color="auto"/>
              <w:right w:val="single" w:sz="4" w:space="0" w:color="auto"/>
            </w:tcBorders>
            <w:shd w:val="clear" w:color="000000" w:fill="FCD5B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3.6</w:t>
            </w:r>
          </w:p>
        </w:tc>
        <w:tc>
          <w:tcPr>
            <w:tcW w:w="1080" w:type="dxa"/>
            <w:gridSpan w:val="2"/>
            <w:tcBorders>
              <w:top w:val="nil"/>
              <w:left w:val="nil"/>
              <w:bottom w:val="single" w:sz="4" w:space="0" w:color="auto"/>
              <w:right w:val="single" w:sz="4" w:space="0" w:color="auto"/>
            </w:tcBorders>
            <w:shd w:val="clear" w:color="000000" w:fill="FAC090"/>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84.71</w:t>
            </w:r>
          </w:p>
        </w:tc>
        <w:tc>
          <w:tcPr>
            <w:tcW w:w="1350" w:type="dxa"/>
            <w:tcBorders>
              <w:top w:val="nil"/>
              <w:left w:val="nil"/>
              <w:bottom w:val="single" w:sz="4" w:space="0" w:color="auto"/>
              <w:right w:val="single" w:sz="4" w:space="0" w:color="auto"/>
            </w:tcBorders>
            <w:shd w:val="clear" w:color="000000" w:fill="FFFF66"/>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86.54</w:t>
            </w:r>
          </w:p>
        </w:tc>
      </w:tr>
      <w:tr w:rsidR="008A38C7" w:rsidRPr="007F7959" w:rsidTr="00D3239F">
        <w:trPr>
          <w:trHeight w:val="300"/>
        </w:trPr>
        <w:tc>
          <w:tcPr>
            <w:tcW w:w="2085" w:type="dxa"/>
            <w:tcBorders>
              <w:top w:val="nil"/>
              <w:left w:val="single" w:sz="4" w:space="0" w:color="auto"/>
              <w:bottom w:val="single" w:sz="4" w:space="0" w:color="auto"/>
              <w:right w:val="single" w:sz="4" w:space="0" w:color="auto"/>
            </w:tcBorders>
            <w:shd w:val="clear" w:color="000000" w:fill="DDD9C3"/>
            <w:noWrap/>
            <w:vAlign w:val="bottom"/>
            <w:hideMark/>
          </w:tcPr>
          <w:p w:rsidR="008A38C7" w:rsidRPr="007F7959" w:rsidRDefault="008A38C7" w:rsidP="00D3239F">
            <w:pPr>
              <w:spacing w:after="0" w:line="240" w:lineRule="auto"/>
              <w:jc w:val="lef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sudske takse</w:t>
            </w:r>
          </w:p>
        </w:tc>
        <w:tc>
          <w:tcPr>
            <w:tcW w:w="1080" w:type="dxa"/>
            <w:tcBorders>
              <w:top w:val="nil"/>
              <w:left w:val="nil"/>
              <w:bottom w:val="single" w:sz="4" w:space="0" w:color="auto"/>
              <w:right w:val="single" w:sz="4" w:space="0" w:color="auto"/>
            </w:tcBorders>
            <w:shd w:val="clear" w:color="000000" w:fill="DBE5F1"/>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3.76</w:t>
            </w:r>
          </w:p>
        </w:tc>
        <w:tc>
          <w:tcPr>
            <w:tcW w:w="1080" w:type="dxa"/>
            <w:tcBorders>
              <w:top w:val="nil"/>
              <w:left w:val="nil"/>
              <w:bottom w:val="single" w:sz="4" w:space="0" w:color="auto"/>
              <w:right w:val="single" w:sz="4" w:space="0" w:color="auto"/>
            </w:tcBorders>
            <w:shd w:val="clear" w:color="000000" w:fill="B8CCE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2.09</w:t>
            </w:r>
          </w:p>
        </w:tc>
        <w:tc>
          <w:tcPr>
            <w:tcW w:w="1080" w:type="dxa"/>
            <w:tcBorders>
              <w:top w:val="nil"/>
              <w:left w:val="nil"/>
              <w:bottom w:val="single" w:sz="4" w:space="0" w:color="auto"/>
              <w:right w:val="single" w:sz="4" w:space="0" w:color="auto"/>
            </w:tcBorders>
            <w:shd w:val="clear" w:color="000000" w:fill="95B3D7"/>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55.59</w:t>
            </w:r>
          </w:p>
        </w:tc>
        <w:tc>
          <w:tcPr>
            <w:tcW w:w="1080" w:type="dxa"/>
            <w:tcBorders>
              <w:top w:val="nil"/>
              <w:left w:val="nil"/>
              <w:bottom w:val="single" w:sz="4" w:space="0" w:color="auto"/>
              <w:right w:val="single" w:sz="4" w:space="0" w:color="auto"/>
            </w:tcBorders>
            <w:shd w:val="clear" w:color="000000" w:fill="EAF1DD"/>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2.3</w:t>
            </w:r>
          </w:p>
        </w:tc>
        <w:tc>
          <w:tcPr>
            <w:tcW w:w="1080" w:type="dxa"/>
            <w:tcBorders>
              <w:top w:val="nil"/>
              <w:left w:val="nil"/>
              <w:bottom w:val="single" w:sz="4" w:space="0" w:color="auto"/>
              <w:right w:val="single" w:sz="4" w:space="0" w:color="auto"/>
            </w:tcBorders>
            <w:shd w:val="clear" w:color="000000" w:fill="D7E4BC"/>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1.75</w:t>
            </w:r>
          </w:p>
        </w:tc>
        <w:tc>
          <w:tcPr>
            <w:tcW w:w="1080" w:type="dxa"/>
            <w:gridSpan w:val="2"/>
            <w:tcBorders>
              <w:top w:val="nil"/>
              <w:left w:val="nil"/>
              <w:bottom w:val="single" w:sz="4" w:space="0" w:color="auto"/>
              <w:right w:val="single" w:sz="4" w:space="0" w:color="auto"/>
            </w:tcBorders>
            <w:shd w:val="clear" w:color="000000" w:fill="C2D69A"/>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76.09</w:t>
            </w:r>
          </w:p>
        </w:tc>
        <w:tc>
          <w:tcPr>
            <w:tcW w:w="1170" w:type="dxa"/>
            <w:gridSpan w:val="2"/>
            <w:tcBorders>
              <w:top w:val="nil"/>
              <w:left w:val="nil"/>
              <w:bottom w:val="single" w:sz="4" w:space="0" w:color="auto"/>
              <w:right w:val="single" w:sz="4" w:space="0" w:color="auto"/>
            </w:tcBorders>
            <w:shd w:val="clear" w:color="000000" w:fill="FDE9D9"/>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1.78</w:t>
            </w:r>
          </w:p>
        </w:tc>
        <w:tc>
          <w:tcPr>
            <w:tcW w:w="1080" w:type="dxa"/>
            <w:tcBorders>
              <w:top w:val="nil"/>
              <w:left w:val="nil"/>
              <w:bottom w:val="single" w:sz="4" w:space="0" w:color="auto"/>
              <w:right w:val="single" w:sz="4" w:space="0" w:color="auto"/>
            </w:tcBorders>
            <w:shd w:val="clear" w:color="000000" w:fill="FCD5B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1.75</w:t>
            </w:r>
          </w:p>
        </w:tc>
        <w:tc>
          <w:tcPr>
            <w:tcW w:w="1080" w:type="dxa"/>
            <w:gridSpan w:val="2"/>
            <w:tcBorders>
              <w:top w:val="nil"/>
              <w:left w:val="nil"/>
              <w:bottom w:val="single" w:sz="4" w:space="0" w:color="auto"/>
              <w:right w:val="single" w:sz="4" w:space="0" w:color="auto"/>
            </w:tcBorders>
            <w:shd w:val="clear" w:color="000000" w:fill="FAC090"/>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98.31</w:t>
            </w:r>
          </w:p>
        </w:tc>
        <w:tc>
          <w:tcPr>
            <w:tcW w:w="1350" w:type="dxa"/>
            <w:tcBorders>
              <w:top w:val="nil"/>
              <w:left w:val="nil"/>
              <w:bottom w:val="single" w:sz="4" w:space="0" w:color="auto"/>
              <w:right w:val="single" w:sz="4" w:space="0" w:color="auto"/>
            </w:tcBorders>
            <w:shd w:val="clear" w:color="000000" w:fill="FFFF66"/>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100.00</w:t>
            </w:r>
          </w:p>
        </w:tc>
      </w:tr>
      <w:tr w:rsidR="008A38C7" w:rsidRPr="007F7959" w:rsidTr="00D3239F">
        <w:trPr>
          <w:trHeight w:val="300"/>
        </w:trPr>
        <w:tc>
          <w:tcPr>
            <w:tcW w:w="2085" w:type="dxa"/>
            <w:tcBorders>
              <w:top w:val="nil"/>
              <w:left w:val="single" w:sz="4" w:space="0" w:color="auto"/>
              <w:bottom w:val="single" w:sz="4" w:space="0" w:color="auto"/>
              <w:right w:val="single" w:sz="4" w:space="0" w:color="auto"/>
            </w:tcBorders>
            <w:shd w:val="clear" w:color="000000" w:fill="DDD9C3"/>
            <w:noWrap/>
            <w:vAlign w:val="bottom"/>
            <w:hideMark/>
          </w:tcPr>
          <w:p w:rsidR="008A38C7" w:rsidRPr="007F7959" w:rsidRDefault="008A38C7" w:rsidP="00D3239F">
            <w:pPr>
              <w:spacing w:after="0" w:line="240" w:lineRule="auto"/>
              <w:jc w:val="lef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ostale takse</w:t>
            </w:r>
          </w:p>
        </w:tc>
        <w:tc>
          <w:tcPr>
            <w:tcW w:w="1080" w:type="dxa"/>
            <w:tcBorders>
              <w:top w:val="nil"/>
              <w:left w:val="nil"/>
              <w:bottom w:val="single" w:sz="4" w:space="0" w:color="auto"/>
              <w:right w:val="single" w:sz="4" w:space="0" w:color="auto"/>
            </w:tcBorders>
            <w:shd w:val="clear" w:color="000000" w:fill="DBE5F1"/>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0.21</w:t>
            </w:r>
          </w:p>
        </w:tc>
        <w:tc>
          <w:tcPr>
            <w:tcW w:w="1080" w:type="dxa"/>
            <w:tcBorders>
              <w:top w:val="nil"/>
              <w:left w:val="nil"/>
              <w:bottom w:val="single" w:sz="4" w:space="0" w:color="auto"/>
              <w:right w:val="single" w:sz="4" w:space="0" w:color="auto"/>
            </w:tcBorders>
            <w:shd w:val="clear" w:color="000000" w:fill="B8CCE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0.22</w:t>
            </w:r>
          </w:p>
        </w:tc>
        <w:tc>
          <w:tcPr>
            <w:tcW w:w="1080" w:type="dxa"/>
            <w:tcBorders>
              <w:top w:val="nil"/>
              <w:left w:val="nil"/>
              <w:bottom w:val="single" w:sz="4" w:space="0" w:color="auto"/>
              <w:right w:val="single" w:sz="4" w:space="0" w:color="auto"/>
            </w:tcBorders>
            <w:shd w:val="clear" w:color="000000" w:fill="95B3D7"/>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104.76</w:t>
            </w:r>
          </w:p>
        </w:tc>
        <w:tc>
          <w:tcPr>
            <w:tcW w:w="1080" w:type="dxa"/>
            <w:tcBorders>
              <w:top w:val="nil"/>
              <w:left w:val="nil"/>
              <w:bottom w:val="single" w:sz="4" w:space="0" w:color="auto"/>
              <w:right w:val="single" w:sz="4" w:space="0" w:color="auto"/>
            </w:tcBorders>
            <w:shd w:val="clear" w:color="000000" w:fill="EAF1DD"/>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2.73</w:t>
            </w:r>
          </w:p>
        </w:tc>
        <w:tc>
          <w:tcPr>
            <w:tcW w:w="1080" w:type="dxa"/>
            <w:tcBorders>
              <w:top w:val="nil"/>
              <w:left w:val="nil"/>
              <w:bottom w:val="single" w:sz="4" w:space="0" w:color="auto"/>
              <w:right w:val="single" w:sz="4" w:space="0" w:color="auto"/>
            </w:tcBorders>
            <w:shd w:val="clear" w:color="000000" w:fill="D7E4BC"/>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0.26</w:t>
            </w:r>
          </w:p>
        </w:tc>
        <w:tc>
          <w:tcPr>
            <w:tcW w:w="1080" w:type="dxa"/>
            <w:gridSpan w:val="2"/>
            <w:tcBorders>
              <w:top w:val="nil"/>
              <w:left w:val="nil"/>
              <w:bottom w:val="single" w:sz="4" w:space="0" w:color="auto"/>
              <w:right w:val="single" w:sz="4" w:space="0" w:color="auto"/>
            </w:tcBorders>
            <w:shd w:val="clear" w:color="000000" w:fill="C2D69A"/>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9.52</w:t>
            </w:r>
          </w:p>
        </w:tc>
        <w:tc>
          <w:tcPr>
            <w:tcW w:w="1170" w:type="dxa"/>
            <w:gridSpan w:val="2"/>
            <w:tcBorders>
              <w:top w:val="nil"/>
              <w:left w:val="nil"/>
              <w:bottom w:val="single" w:sz="4" w:space="0" w:color="auto"/>
              <w:right w:val="single" w:sz="4" w:space="0" w:color="auto"/>
            </w:tcBorders>
            <w:shd w:val="clear" w:color="000000" w:fill="FDE9D9"/>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7.92</w:t>
            </w:r>
          </w:p>
        </w:tc>
        <w:tc>
          <w:tcPr>
            <w:tcW w:w="1080" w:type="dxa"/>
            <w:tcBorders>
              <w:top w:val="nil"/>
              <w:left w:val="nil"/>
              <w:bottom w:val="single" w:sz="4" w:space="0" w:color="auto"/>
              <w:right w:val="single" w:sz="4" w:space="0" w:color="auto"/>
            </w:tcBorders>
            <w:shd w:val="clear" w:color="000000" w:fill="FCD5B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5.86</w:t>
            </w:r>
          </w:p>
        </w:tc>
        <w:tc>
          <w:tcPr>
            <w:tcW w:w="1080" w:type="dxa"/>
            <w:gridSpan w:val="2"/>
            <w:tcBorders>
              <w:top w:val="nil"/>
              <w:left w:val="nil"/>
              <w:bottom w:val="single" w:sz="4" w:space="0" w:color="auto"/>
              <w:right w:val="single" w:sz="4" w:space="0" w:color="auto"/>
            </w:tcBorders>
            <w:shd w:val="clear" w:color="000000" w:fill="FAC090"/>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73.99</w:t>
            </w:r>
          </w:p>
        </w:tc>
        <w:tc>
          <w:tcPr>
            <w:tcW w:w="1350" w:type="dxa"/>
            <w:tcBorders>
              <w:top w:val="nil"/>
              <w:left w:val="nil"/>
              <w:bottom w:val="single" w:sz="4" w:space="0" w:color="auto"/>
              <w:right w:val="single" w:sz="4" w:space="0" w:color="auto"/>
            </w:tcBorders>
            <w:shd w:val="clear" w:color="000000" w:fill="FFFF66"/>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2253.85</w:t>
            </w:r>
          </w:p>
        </w:tc>
      </w:tr>
      <w:tr w:rsidR="008A38C7" w:rsidRPr="007F7959" w:rsidTr="00D3239F">
        <w:trPr>
          <w:trHeight w:val="300"/>
        </w:trPr>
        <w:tc>
          <w:tcPr>
            <w:tcW w:w="2085" w:type="dxa"/>
            <w:tcBorders>
              <w:top w:val="nil"/>
              <w:left w:val="single" w:sz="4" w:space="0" w:color="auto"/>
              <w:bottom w:val="single" w:sz="4" w:space="0" w:color="auto"/>
              <w:right w:val="single" w:sz="4" w:space="0" w:color="auto"/>
            </w:tcBorders>
            <w:shd w:val="clear" w:color="000000" w:fill="DDD9C3"/>
            <w:noWrap/>
            <w:vAlign w:val="bottom"/>
            <w:hideMark/>
          </w:tcPr>
          <w:p w:rsidR="008A38C7" w:rsidRPr="007F7959" w:rsidRDefault="008A38C7" w:rsidP="00D3239F">
            <w:pPr>
              <w:spacing w:after="0" w:line="240" w:lineRule="auto"/>
              <w:jc w:val="lef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koncesije i naknade</w:t>
            </w:r>
          </w:p>
        </w:tc>
        <w:tc>
          <w:tcPr>
            <w:tcW w:w="1080" w:type="dxa"/>
            <w:tcBorders>
              <w:top w:val="nil"/>
              <w:left w:val="nil"/>
              <w:bottom w:val="single" w:sz="4" w:space="0" w:color="auto"/>
              <w:right w:val="single" w:sz="4" w:space="0" w:color="auto"/>
            </w:tcBorders>
            <w:shd w:val="clear" w:color="000000" w:fill="DBE5F1"/>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9.35</w:t>
            </w:r>
          </w:p>
        </w:tc>
        <w:tc>
          <w:tcPr>
            <w:tcW w:w="1080" w:type="dxa"/>
            <w:tcBorders>
              <w:top w:val="nil"/>
              <w:left w:val="nil"/>
              <w:bottom w:val="single" w:sz="4" w:space="0" w:color="auto"/>
              <w:right w:val="single" w:sz="4" w:space="0" w:color="auto"/>
            </w:tcBorders>
            <w:shd w:val="clear" w:color="000000" w:fill="B8CCE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10.8</w:t>
            </w:r>
          </w:p>
        </w:tc>
        <w:tc>
          <w:tcPr>
            <w:tcW w:w="1080" w:type="dxa"/>
            <w:tcBorders>
              <w:top w:val="nil"/>
              <w:left w:val="nil"/>
              <w:bottom w:val="single" w:sz="4" w:space="0" w:color="auto"/>
              <w:right w:val="single" w:sz="4" w:space="0" w:color="auto"/>
            </w:tcBorders>
            <w:shd w:val="clear" w:color="000000" w:fill="95B3D7"/>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115.51</w:t>
            </w:r>
          </w:p>
        </w:tc>
        <w:tc>
          <w:tcPr>
            <w:tcW w:w="1080" w:type="dxa"/>
            <w:tcBorders>
              <w:top w:val="nil"/>
              <w:left w:val="nil"/>
              <w:bottom w:val="single" w:sz="4" w:space="0" w:color="auto"/>
              <w:right w:val="single" w:sz="4" w:space="0" w:color="auto"/>
            </w:tcBorders>
            <w:shd w:val="clear" w:color="000000" w:fill="EAF1DD"/>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7.11</w:t>
            </w:r>
          </w:p>
        </w:tc>
        <w:tc>
          <w:tcPr>
            <w:tcW w:w="1080" w:type="dxa"/>
            <w:tcBorders>
              <w:top w:val="nil"/>
              <w:left w:val="nil"/>
              <w:bottom w:val="single" w:sz="4" w:space="0" w:color="auto"/>
              <w:right w:val="single" w:sz="4" w:space="0" w:color="auto"/>
            </w:tcBorders>
            <w:shd w:val="clear" w:color="000000" w:fill="D7E4BC"/>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5.56</w:t>
            </w:r>
          </w:p>
        </w:tc>
        <w:tc>
          <w:tcPr>
            <w:tcW w:w="1080" w:type="dxa"/>
            <w:gridSpan w:val="2"/>
            <w:tcBorders>
              <w:top w:val="nil"/>
              <w:left w:val="nil"/>
              <w:bottom w:val="single" w:sz="4" w:space="0" w:color="auto"/>
              <w:right w:val="single" w:sz="4" w:space="0" w:color="auto"/>
            </w:tcBorders>
            <w:shd w:val="clear" w:color="000000" w:fill="C2D69A"/>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78.20</w:t>
            </w:r>
          </w:p>
        </w:tc>
        <w:tc>
          <w:tcPr>
            <w:tcW w:w="1170" w:type="dxa"/>
            <w:gridSpan w:val="2"/>
            <w:tcBorders>
              <w:top w:val="nil"/>
              <w:left w:val="nil"/>
              <w:bottom w:val="single" w:sz="4" w:space="0" w:color="auto"/>
              <w:right w:val="single" w:sz="4" w:space="0" w:color="auto"/>
            </w:tcBorders>
            <w:shd w:val="clear" w:color="000000" w:fill="FDE9D9"/>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6.29</w:t>
            </w:r>
          </w:p>
        </w:tc>
        <w:tc>
          <w:tcPr>
            <w:tcW w:w="1080" w:type="dxa"/>
            <w:tcBorders>
              <w:top w:val="nil"/>
              <w:left w:val="nil"/>
              <w:bottom w:val="single" w:sz="4" w:space="0" w:color="auto"/>
              <w:right w:val="single" w:sz="4" w:space="0" w:color="auto"/>
            </w:tcBorders>
            <w:shd w:val="clear" w:color="000000" w:fill="FCD5B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6.09</w:t>
            </w:r>
          </w:p>
        </w:tc>
        <w:tc>
          <w:tcPr>
            <w:tcW w:w="1080" w:type="dxa"/>
            <w:gridSpan w:val="2"/>
            <w:tcBorders>
              <w:top w:val="nil"/>
              <w:left w:val="nil"/>
              <w:bottom w:val="single" w:sz="4" w:space="0" w:color="auto"/>
              <w:right w:val="single" w:sz="4" w:space="0" w:color="auto"/>
            </w:tcBorders>
            <w:shd w:val="clear" w:color="000000" w:fill="FAC090"/>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96.82</w:t>
            </w:r>
          </w:p>
        </w:tc>
        <w:tc>
          <w:tcPr>
            <w:tcW w:w="1350" w:type="dxa"/>
            <w:tcBorders>
              <w:top w:val="nil"/>
              <w:left w:val="nil"/>
              <w:bottom w:val="single" w:sz="4" w:space="0" w:color="auto"/>
              <w:right w:val="single" w:sz="4" w:space="0" w:color="auto"/>
            </w:tcBorders>
            <w:shd w:val="clear" w:color="000000" w:fill="FFFF66"/>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109.53</w:t>
            </w:r>
          </w:p>
        </w:tc>
      </w:tr>
      <w:tr w:rsidR="008A38C7" w:rsidRPr="007F7959" w:rsidTr="00D3239F">
        <w:trPr>
          <w:trHeight w:val="300"/>
        </w:trPr>
        <w:tc>
          <w:tcPr>
            <w:tcW w:w="2085" w:type="dxa"/>
            <w:tcBorders>
              <w:top w:val="nil"/>
              <w:left w:val="single" w:sz="4" w:space="0" w:color="auto"/>
              <w:bottom w:val="single" w:sz="4" w:space="0" w:color="auto"/>
              <w:right w:val="single" w:sz="4" w:space="0" w:color="auto"/>
            </w:tcBorders>
            <w:shd w:val="clear" w:color="000000" w:fill="DDD9C3"/>
            <w:noWrap/>
            <w:vAlign w:val="bottom"/>
            <w:hideMark/>
          </w:tcPr>
          <w:p w:rsidR="008A38C7" w:rsidRPr="007F7959" w:rsidRDefault="008A38C7" w:rsidP="00D3239F">
            <w:pPr>
              <w:spacing w:after="0" w:line="240" w:lineRule="auto"/>
              <w:jc w:val="left"/>
              <w:rPr>
                <w:rFonts w:ascii="Calibri" w:eastAsia="Times New Roman" w:hAnsi="Calibri" w:cs="Calibri"/>
                <w:b/>
                <w:bCs/>
                <w:color w:val="000000"/>
                <w:sz w:val="22"/>
                <w:szCs w:val="22"/>
                <w:lang w:bidi="ar-SA"/>
              </w:rPr>
            </w:pPr>
            <w:r w:rsidRPr="007F7959">
              <w:rPr>
                <w:rFonts w:ascii="Calibri" w:eastAsia="Times New Roman" w:hAnsi="Calibri" w:cs="Calibri"/>
                <w:b/>
                <w:bCs/>
                <w:color w:val="000000"/>
                <w:sz w:val="22"/>
                <w:szCs w:val="22"/>
                <w:lang w:bidi="ar-SA"/>
              </w:rPr>
              <w:t>UKUPNO:</w:t>
            </w:r>
          </w:p>
        </w:tc>
        <w:tc>
          <w:tcPr>
            <w:tcW w:w="1080" w:type="dxa"/>
            <w:tcBorders>
              <w:top w:val="nil"/>
              <w:left w:val="nil"/>
              <w:bottom w:val="single" w:sz="4" w:space="0" w:color="auto"/>
              <w:right w:val="single" w:sz="4" w:space="0" w:color="auto"/>
            </w:tcBorders>
            <w:shd w:val="clear" w:color="000000" w:fill="DBE5F1"/>
            <w:noWrap/>
            <w:vAlign w:val="bottom"/>
            <w:hideMark/>
          </w:tcPr>
          <w:p w:rsidR="008A38C7" w:rsidRPr="007F7959" w:rsidRDefault="008A38C7" w:rsidP="00D3239F">
            <w:pPr>
              <w:spacing w:after="0" w:line="240" w:lineRule="auto"/>
              <w:jc w:val="right"/>
              <w:rPr>
                <w:rFonts w:ascii="Calibri" w:eastAsia="Times New Roman" w:hAnsi="Calibri" w:cs="Calibri"/>
                <w:b/>
                <w:bCs/>
                <w:color w:val="000000"/>
                <w:sz w:val="22"/>
                <w:szCs w:val="22"/>
                <w:lang w:bidi="ar-SA"/>
              </w:rPr>
            </w:pPr>
            <w:r w:rsidRPr="007F7959">
              <w:rPr>
                <w:rFonts w:ascii="Calibri" w:eastAsia="Times New Roman" w:hAnsi="Calibri" w:cs="Calibri"/>
                <w:b/>
                <w:bCs/>
                <w:color w:val="000000"/>
                <w:sz w:val="22"/>
                <w:szCs w:val="22"/>
                <w:lang w:bidi="ar-SA"/>
              </w:rPr>
              <w:t>496.29</w:t>
            </w:r>
          </w:p>
        </w:tc>
        <w:tc>
          <w:tcPr>
            <w:tcW w:w="1080" w:type="dxa"/>
            <w:tcBorders>
              <w:top w:val="nil"/>
              <w:left w:val="nil"/>
              <w:bottom w:val="single" w:sz="4" w:space="0" w:color="auto"/>
              <w:right w:val="single" w:sz="4" w:space="0" w:color="auto"/>
            </w:tcBorders>
            <w:shd w:val="clear" w:color="000000" w:fill="B8CCE4"/>
            <w:noWrap/>
            <w:vAlign w:val="bottom"/>
            <w:hideMark/>
          </w:tcPr>
          <w:p w:rsidR="008A38C7" w:rsidRPr="007F7959" w:rsidRDefault="008A38C7" w:rsidP="00D3239F">
            <w:pPr>
              <w:spacing w:after="0" w:line="240" w:lineRule="auto"/>
              <w:jc w:val="right"/>
              <w:rPr>
                <w:rFonts w:ascii="Calibri" w:eastAsia="Times New Roman" w:hAnsi="Calibri" w:cs="Calibri"/>
                <w:b/>
                <w:bCs/>
                <w:color w:val="000000"/>
                <w:sz w:val="22"/>
                <w:szCs w:val="22"/>
                <w:lang w:bidi="ar-SA"/>
              </w:rPr>
            </w:pPr>
            <w:r w:rsidRPr="007F7959">
              <w:rPr>
                <w:rFonts w:ascii="Calibri" w:eastAsia="Times New Roman" w:hAnsi="Calibri" w:cs="Calibri"/>
                <w:b/>
                <w:bCs/>
                <w:color w:val="000000"/>
                <w:sz w:val="22"/>
                <w:szCs w:val="22"/>
                <w:lang w:bidi="ar-SA"/>
              </w:rPr>
              <w:t>486.71</w:t>
            </w:r>
          </w:p>
        </w:tc>
        <w:tc>
          <w:tcPr>
            <w:tcW w:w="1080" w:type="dxa"/>
            <w:tcBorders>
              <w:top w:val="nil"/>
              <w:left w:val="nil"/>
              <w:bottom w:val="single" w:sz="4" w:space="0" w:color="auto"/>
              <w:right w:val="single" w:sz="4" w:space="0" w:color="auto"/>
            </w:tcBorders>
            <w:shd w:val="clear" w:color="000000" w:fill="95B3D7"/>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98.07</w:t>
            </w:r>
          </w:p>
        </w:tc>
        <w:tc>
          <w:tcPr>
            <w:tcW w:w="1080" w:type="dxa"/>
            <w:tcBorders>
              <w:top w:val="nil"/>
              <w:left w:val="nil"/>
              <w:bottom w:val="single" w:sz="4" w:space="0" w:color="auto"/>
              <w:right w:val="single" w:sz="4" w:space="0" w:color="auto"/>
            </w:tcBorders>
            <w:shd w:val="clear" w:color="000000" w:fill="EAF1DD"/>
            <w:noWrap/>
            <w:vAlign w:val="bottom"/>
            <w:hideMark/>
          </w:tcPr>
          <w:p w:rsidR="008A38C7" w:rsidRPr="007F7959" w:rsidRDefault="008A38C7" w:rsidP="00D3239F">
            <w:pPr>
              <w:spacing w:after="0" w:line="240" w:lineRule="auto"/>
              <w:jc w:val="right"/>
              <w:rPr>
                <w:rFonts w:ascii="Calibri" w:eastAsia="Times New Roman" w:hAnsi="Calibri" w:cs="Calibri"/>
                <w:b/>
                <w:bCs/>
                <w:color w:val="000000"/>
                <w:sz w:val="22"/>
                <w:szCs w:val="22"/>
                <w:lang w:bidi="ar-SA"/>
              </w:rPr>
            </w:pPr>
            <w:r w:rsidRPr="007F7959">
              <w:rPr>
                <w:rFonts w:ascii="Calibri" w:eastAsia="Times New Roman" w:hAnsi="Calibri" w:cs="Calibri"/>
                <w:b/>
                <w:bCs/>
                <w:color w:val="000000"/>
                <w:sz w:val="22"/>
                <w:szCs w:val="22"/>
                <w:lang w:bidi="ar-SA"/>
              </w:rPr>
              <w:t>474.81</w:t>
            </w:r>
          </w:p>
        </w:tc>
        <w:tc>
          <w:tcPr>
            <w:tcW w:w="1080" w:type="dxa"/>
            <w:tcBorders>
              <w:top w:val="nil"/>
              <w:left w:val="nil"/>
              <w:bottom w:val="single" w:sz="4" w:space="0" w:color="auto"/>
              <w:right w:val="single" w:sz="4" w:space="0" w:color="auto"/>
            </w:tcBorders>
            <w:shd w:val="clear" w:color="000000" w:fill="D7E4BC"/>
            <w:noWrap/>
            <w:vAlign w:val="bottom"/>
            <w:hideMark/>
          </w:tcPr>
          <w:p w:rsidR="008A38C7" w:rsidRPr="007F7959" w:rsidRDefault="008A38C7" w:rsidP="00D3239F">
            <w:pPr>
              <w:spacing w:after="0" w:line="240" w:lineRule="auto"/>
              <w:jc w:val="right"/>
              <w:rPr>
                <w:rFonts w:ascii="Calibri" w:eastAsia="Times New Roman" w:hAnsi="Calibri" w:cs="Calibri"/>
                <w:b/>
                <w:bCs/>
                <w:color w:val="000000"/>
                <w:sz w:val="22"/>
                <w:szCs w:val="22"/>
                <w:lang w:bidi="ar-SA"/>
              </w:rPr>
            </w:pPr>
            <w:r w:rsidRPr="007F7959">
              <w:rPr>
                <w:rFonts w:ascii="Calibri" w:eastAsia="Times New Roman" w:hAnsi="Calibri" w:cs="Calibri"/>
                <w:b/>
                <w:bCs/>
                <w:color w:val="000000"/>
                <w:sz w:val="22"/>
                <w:szCs w:val="22"/>
                <w:lang w:bidi="ar-SA"/>
              </w:rPr>
              <w:t>461.67</w:t>
            </w:r>
          </w:p>
        </w:tc>
        <w:tc>
          <w:tcPr>
            <w:tcW w:w="1080" w:type="dxa"/>
            <w:gridSpan w:val="2"/>
            <w:tcBorders>
              <w:top w:val="nil"/>
              <w:left w:val="nil"/>
              <w:bottom w:val="single" w:sz="4" w:space="0" w:color="auto"/>
              <w:right w:val="single" w:sz="4" w:space="0" w:color="auto"/>
            </w:tcBorders>
            <w:shd w:val="clear" w:color="000000" w:fill="C2D69A"/>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97.23</w:t>
            </w:r>
          </w:p>
        </w:tc>
        <w:tc>
          <w:tcPr>
            <w:tcW w:w="1170" w:type="dxa"/>
            <w:gridSpan w:val="2"/>
            <w:tcBorders>
              <w:top w:val="nil"/>
              <w:left w:val="nil"/>
              <w:bottom w:val="single" w:sz="4" w:space="0" w:color="auto"/>
              <w:right w:val="single" w:sz="4" w:space="0" w:color="auto"/>
            </w:tcBorders>
            <w:shd w:val="clear" w:color="000000" w:fill="FDE9D9"/>
            <w:noWrap/>
            <w:vAlign w:val="bottom"/>
            <w:hideMark/>
          </w:tcPr>
          <w:p w:rsidR="008A38C7" w:rsidRPr="007F7959" w:rsidRDefault="008A38C7" w:rsidP="00D3239F">
            <w:pPr>
              <w:spacing w:after="0" w:line="240" w:lineRule="auto"/>
              <w:jc w:val="right"/>
              <w:rPr>
                <w:rFonts w:ascii="Calibri" w:eastAsia="Times New Roman" w:hAnsi="Calibri" w:cs="Calibri"/>
                <w:b/>
                <w:bCs/>
                <w:color w:val="000000"/>
                <w:sz w:val="22"/>
                <w:szCs w:val="22"/>
                <w:lang w:bidi="ar-SA"/>
              </w:rPr>
            </w:pPr>
            <w:r w:rsidRPr="007F7959">
              <w:rPr>
                <w:rFonts w:ascii="Calibri" w:eastAsia="Times New Roman" w:hAnsi="Calibri" w:cs="Calibri"/>
                <w:b/>
                <w:bCs/>
                <w:color w:val="000000"/>
                <w:sz w:val="22"/>
                <w:szCs w:val="22"/>
                <w:lang w:bidi="ar-SA"/>
              </w:rPr>
              <w:t>496.51</w:t>
            </w:r>
          </w:p>
        </w:tc>
        <w:tc>
          <w:tcPr>
            <w:tcW w:w="1080" w:type="dxa"/>
            <w:tcBorders>
              <w:top w:val="nil"/>
              <w:left w:val="nil"/>
              <w:bottom w:val="single" w:sz="4" w:space="0" w:color="auto"/>
              <w:right w:val="single" w:sz="4" w:space="0" w:color="auto"/>
            </w:tcBorders>
            <w:shd w:val="clear" w:color="000000" w:fill="FCD5B4"/>
            <w:noWrap/>
            <w:vAlign w:val="bottom"/>
            <w:hideMark/>
          </w:tcPr>
          <w:p w:rsidR="008A38C7" w:rsidRPr="007F7959" w:rsidRDefault="008A38C7" w:rsidP="00D3239F">
            <w:pPr>
              <w:spacing w:after="0" w:line="240" w:lineRule="auto"/>
              <w:jc w:val="right"/>
              <w:rPr>
                <w:rFonts w:ascii="Calibri" w:eastAsia="Times New Roman" w:hAnsi="Calibri" w:cs="Calibri"/>
                <w:b/>
                <w:bCs/>
                <w:color w:val="000000"/>
                <w:sz w:val="22"/>
                <w:szCs w:val="22"/>
                <w:lang w:bidi="ar-SA"/>
              </w:rPr>
            </w:pPr>
            <w:r w:rsidRPr="007F7959">
              <w:rPr>
                <w:rFonts w:ascii="Calibri" w:eastAsia="Times New Roman" w:hAnsi="Calibri" w:cs="Calibri"/>
                <w:b/>
                <w:bCs/>
                <w:color w:val="000000"/>
                <w:sz w:val="22"/>
                <w:szCs w:val="22"/>
                <w:lang w:bidi="ar-SA"/>
              </w:rPr>
              <w:t>501.56</w:t>
            </w:r>
          </w:p>
        </w:tc>
        <w:tc>
          <w:tcPr>
            <w:tcW w:w="1080" w:type="dxa"/>
            <w:gridSpan w:val="2"/>
            <w:tcBorders>
              <w:top w:val="nil"/>
              <w:left w:val="nil"/>
              <w:bottom w:val="single" w:sz="4" w:space="0" w:color="auto"/>
              <w:right w:val="single" w:sz="4" w:space="0" w:color="auto"/>
            </w:tcBorders>
            <w:shd w:val="clear" w:color="000000" w:fill="FAC090"/>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101.02</w:t>
            </w:r>
          </w:p>
        </w:tc>
        <w:tc>
          <w:tcPr>
            <w:tcW w:w="1350" w:type="dxa"/>
            <w:tcBorders>
              <w:top w:val="nil"/>
              <w:left w:val="nil"/>
              <w:bottom w:val="single" w:sz="4" w:space="0" w:color="auto"/>
              <w:right w:val="single" w:sz="4" w:space="0" w:color="auto"/>
            </w:tcBorders>
            <w:shd w:val="clear" w:color="000000" w:fill="FFFF66"/>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108.64</w:t>
            </w:r>
          </w:p>
        </w:tc>
      </w:tr>
    </w:tbl>
    <w:p w:rsidR="008A38C7" w:rsidRDefault="008A38C7" w:rsidP="008A38C7"/>
    <w:p w:rsidR="008A38C7" w:rsidRDefault="008A38C7" w:rsidP="008A38C7"/>
    <w:p w:rsidR="008A38C7" w:rsidRDefault="008A38C7" w:rsidP="008A38C7"/>
    <w:p w:rsidR="008A38C7" w:rsidRDefault="008A38C7" w:rsidP="008A38C7">
      <w:pPr>
        <w:ind w:left="360" w:hanging="360"/>
      </w:pPr>
    </w:p>
    <w:tbl>
      <w:tblPr>
        <w:tblpPr w:leftFromText="180" w:rightFromText="180" w:horzAnchor="margin" w:tblpY="1813"/>
        <w:tblW w:w="13245" w:type="dxa"/>
        <w:tblLayout w:type="fixed"/>
        <w:tblLook w:val="04A0"/>
      </w:tblPr>
      <w:tblGrid>
        <w:gridCol w:w="2085"/>
        <w:gridCol w:w="1080"/>
        <w:gridCol w:w="1080"/>
        <w:gridCol w:w="1080"/>
        <w:gridCol w:w="1080"/>
        <w:gridCol w:w="1080"/>
        <w:gridCol w:w="965"/>
        <w:gridCol w:w="115"/>
        <w:gridCol w:w="121"/>
        <w:gridCol w:w="1049"/>
        <w:gridCol w:w="1080"/>
        <w:gridCol w:w="270"/>
        <w:gridCol w:w="810"/>
        <w:gridCol w:w="1350"/>
      </w:tblGrid>
      <w:tr w:rsidR="008A38C7" w:rsidRPr="007F7959" w:rsidTr="00D3239F">
        <w:trPr>
          <w:gridAfter w:val="2"/>
          <w:wAfter w:w="2160" w:type="dxa"/>
          <w:trHeight w:val="300"/>
        </w:trPr>
        <w:tc>
          <w:tcPr>
            <w:tcW w:w="2085" w:type="dxa"/>
            <w:tcBorders>
              <w:top w:val="nil"/>
              <w:left w:val="nil"/>
              <w:bottom w:val="nil"/>
              <w:right w:val="nil"/>
            </w:tcBorders>
            <w:shd w:val="clear" w:color="auto" w:fill="auto"/>
            <w:noWrap/>
            <w:vAlign w:val="bottom"/>
            <w:hideMark/>
          </w:tcPr>
          <w:p w:rsidR="008A38C7" w:rsidRPr="007F7959" w:rsidRDefault="008A38C7" w:rsidP="00D3239F">
            <w:pPr>
              <w:spacing w:after="0" w:line="240" w:lineRule="auto"/>
              <w:jc w:val="left"/>
              <w:rPr>
                <w:rFonts w:ascii="Calibri" w:eastAsia="Times New Roman" w:hAnsi="Calibri" w:cs="Calibri"/>
                <w:color w:val="000000"/>
                <w:sz w:val="22"/>
                <w:szCs w:val="22"/>
                <w:lang w:bidi="ar-SA"/>
              </w:rPr>
            </w:pPr>
          </w:p>
        </w:tc>
        <w:tc>
          <w:tcPr>
            <w:tcW w:w="1080" w:type="dxa"/>
            <w:tcBorders>
              <w:top w:val="nil"/>
              <w:left w:val="nil"/>
              <w:bottom w:val="nil"/>
              <w:right w:val="nil"/>
            </w:tcBorders>
            <w:shd w:val="clear" w:color="auto" w:fill="auto"/>
            <w:noWrap/>
            <w:vAlign w:val="bottom"/>
            <w:hideMark/>
          </w:tcPr>
          <w:p w:rsidR="008A38C7" w:rsidRPr="007F7959" w:rsidRDefault="008A38C7" w:rsidP="00D3239F">
            <w:pPr>
              <w:spacing w:after="0" w:line="240" w:lineRule="auto"/>
              <w:jc w:val="left"/>
              <w:rPr>
                <w:rFonts w:ascii="Calibri" w:eastAsia="Times New Roman" w:hAnsi="Calibri" w:cs="Calibri"/>
                <w:color w:val="000000"/>
                <w:sz w:val="22"/>
                <w:szCs w:val="22"/>
                <w:lang w:bidi="ar-SA"/>
              </w:rPr>
            </w:pPr>
          </w:p>
        </w:tc>
        <w:tc>
          <w:tcPr>
            <w:tcW w:w="2160" w:type="dxa"/>
            <w:gridSpan w:val="2"/>
            <w:tcBorders>
              <w:top w:val="nil"/>
              <w:left w:val="nil"/>
              <w:bottom w:val="nil"/>
              <w:right w:val="nil"/>
            </w:tcBorders>
            <w:shd w:val="clear" w:color="auto" w:fill="auto"/>
            <w:noWrap/>
            <w:vAlign w:val="bottom"/>
            <w:hideMark/>
          </w:tcPr>
          <w:p w:rsidR="008A38C7" w:rsidRPr="007F7959" w:rsidRDefault="008A38C7" w:rsidP="00D3239F">
            <w:pPr>
              <w:spacing w:after="0" w:line="240" w:lineRule="auto"/>
              <w:jc w:val="left"/>
              <w:rPr>
                <w:rFonts w:ascii="Calibri" w:eastAsia="Times New Roman" w:hAnsi="Calibri" w:cs="Calibri"/>
                <w:b/>
                <w:bCs/>
                <w:color w:val="000000"/>
                <w:sz w:val="22"/>
                <w:szCs w:val="22"/>
                <w:lang w:bidi="ar-SA"/>
              </w:rPr>
            </w:pPr>
          </w:p>
        </w:tc>
        <w:tc>
          <w:tcPr>
            <w:tcW w:w="1080" w:type="dxa"/>
            <w:tcBorders>
              <w:top w:val="nil"/>
              <w:left w:val="nil"/>
              <w:bottom w:val="nil"/>
              <w:right w:val="nil"/>
            </w:tcBorders>
            <w:shd w:val="clear" w:color="auto" w:fill="auto"/>
            <w:noWrap/>
            <w:vAlign w:val="bottom"/>
            <w:hideMark/>
          </w:tcPr>
          <w:p w:rsidR="008A38C7" w:rsidRPr="007F7959" w:rsidRDefault="008A38C7" w:rsidP="00D3239F">
            <w:pPr>
              <w:spacing w:after="0" w:line="240" w:lineRule="auto"/>
              <w:jc w:val="left"/>
              <w:rPr>
                <w:rFonts w:ascii="Calibri" w:eastAsia="Times New Roman" w:hAnsi="Calibri" w:cs="Calibri"/>
                <w:color w:val="000000"/>
                <w:sz w:val="22"/>
                <w:szCs w:val="22"/>
                <w:lang w:bidi="ar-SA"/>
              </w:rPr>
            </w:pPr>
          </w:p>
        </w:tc>
        <w:tc>
          <w:tcPr>
            <w:tcW w:w="2045" w:type="dxa"/>
            <w:gridSpan w:val="2"/>
            <w:tcBorders>
              <w:top w:val="nil"/>
              <w:left w:val="nil"/>
              <w:bottom w:val="nil"/>
              <w:right w:val="nil"/>
            </w:tcBorders>
            <w:shd w:val="clear" w:color="auto" w:fill="auto"/>
            <w:noWrap/>
            <w:vAlign w:val="bottom"/>
            <w:hideMark/>
          </w:tcPr>
          <w:p w:rsidR="008A38C7" w:rsidRPr="007F7959" w:rsidRDefault="008A38C7" w:rsidP="00D3239F">
            <w:pPr>
              <w:spacing w:after="0" w:line="240" w:lineRule="auto"/>
              <w:jc w:val="left"/>
              <w:rPr>
                <w:rFonts w:ascii="Calibri" w:eastAsia="Times New Roman" w:hAnsi="Calibri" w:cs="Calibri"/>
                <w:color w:val="000000"/>
                <w:sz w:val="22"/>
                <w:szCs w:val="22"/>
                <w:lang w:bidi="ar-SA"/>
              </w:rPr>
            </w:pPr>
          </w:p>
        </w:tc>
        <w:tc>
          <w:tcPr>
            <w:tcW w:w="236" w:type="dxa"/>
            <w:gridSpan w:val="2"/>
            <w:tcBorders>
              <w:top w:val="nil"/>
              <w:left w:val="nil"/>
              <w:bottom w:val="nil"/>
              <w:right w:val="nil"/>
            </w:tcBorders>
            <w:shd w:val="clear" w:color="auto" w:fill="auto"/>
            <w:noWrap/>
            <w:vAlign w:val="bottom"/>
            <w:hideMark/>
          </w:tcPr>
          <w:p w:rsidR="008A38C7" w:rsidRPr="007F7959" w:rsidRDefault="008A38C7" w:rsidP="00D3239F">
            <w:pPr>
              <w:spacing w:after="0" w:line="240" w:lineRule="auto"/>
              <w:jc w:val="left"/>
              <w:rPr>
                <w:rFonts w:ascii="Calibri" w:eastAsia="Times New Roman" w:hAnsi="Calibri" w:cs="Calibri"/>
                <w:color w:val="000000"/>
                <w:sz w:val="22"/>
                <w:szCs w:val="22"/>
                <w:lang w:bidi="ar-SA"/>
              </w:rPr>
            </w:pPr>
          </w:p>
        </w:tc>
        <w:tc>
          <w:tcPr>
            <w:tcW w:w="1049" w:type="dxa"/>
            <w:tcBorders>
              <w:top w:val="nil"/>
              <w:left w:val="nil"/>
              <w:bottom w:val="nil"/>
              <w:right w:val="nil"/>
            </w:tcBorders>
            <w:shd w:val="clear" w:color="auto" w:fill="auto"/>
            <w:noWrap/>
            <w:vAlign w:val="bottom"/>
            <w:hideMark/>
          </w:tcPr>
          <w:p w:rsidR="008A38C7" w:rsidRPr="007F7959" w:rsidRDefault="008A38C7" w:rsidP="00D3239F">
            <w:pPr>
              <w:spacing w:after="0" w:line="240" w:lineRule="auto"/>
              <w:jc w:val="left"/>
              <w:rPr>
                <w:rFonts w:ascii="Calibri" w:eastAsia="Times New Roman" w:hAnsi="Calibri" w:cs="Calibri"/>
                <w:color w:val="000000"/>
                <w:sz w:val="22"/>
                <w:szCs w:val="22"/>
                <w:lang w:bidi="ar-SA"/>
              </w:rPr>
            </w:pPr>
          </w:p>
        </w:tc>
        <w:tc>
          <w:tcPr>
            <w:tcW w:w="1350" w:type="dxa"/>
            <w:gridSpan w:val="2"/>
            <w:tcBorders>
              <w:top w:val="nil"/>
              <w:left w:val="nil"/>
              <w:bottom w:val="nil"/>
              <w:right w:val="nil"/>
            </w:tcBorders>
            <w:shd w:val="clear" w:color="auto" w:fill="auto"/>
            <w:noWrap/>
            <w:vAlign w:val="bottom"/>
            <w:hideMark/>
          </w:tcPr>
          <w:p w:rsidR="008A38C7" w:rsidRPr="007F7959" w:rsidRDefault="008A38C7" w:rsidP="00D3239F">
            <w:pPr>
              <w:spacing w:after="0" w:line="240" w:lineRule="auto"/>
              <w:jc w:val="left"/>
              <w:rPr>
                <w:rFonts w:ascii="Calibri" w:eastAsia="Times New Roman" w:hAnsi="Calibri" w:cs="Calibri"/>
                <w:color w:val="000000"/>
                <w:sz w:val="22"/>
                <w:szCs w:val="22"/>
                <w:lang w:bidi="ar-SA"/>
              </w:rPr>
            </w:pPr>
          </w:p>
        </w:tc>
      </w:tr>
      <w:tr w:rsidR="008A38C7" w:rsidRPr="007F7959" w:rsidTr="00D3239F">
        <w:trPr>
          <w:trHeight w:val="1500"/>
        </w:trPr>
        <w:tc>
          <w:tcPr>
            <w:tcW w:w="2085" w:type="dxa"/>
            <w:tcBorders>
              <w:top w:val="single" w:sz="4" w:space="0" w:color="auto"/>
              <w:left w:val="single" w:sz="4" w:space="0" w:color="auto"/>
              <w:bottom w:val="single" w:sz="4" w:space="0" w:color="auto"/>
              <w:right w:val="single" w:sz="4" w:space="0" w:color="auto"/>
            </w:tcBorders>
            <w:shd w:val="clear" w:color="000000" w:fill="DDD9C3"/>
            <w:noWrap/>
            <w:vAlign w:val="bottom"/>
            <w:hideMark/>
          </w:tcPr>
          <w:p w:rsidR="008A38C7" w:rsidRPr="007F7959" w:rsidRDefault="008A38C7" w:rsidP="00D3239F">
            <w:pPr>
              <w:spacing w:after="0" w:line="240" w:lineRule="auto"/>
              <w:jc w:val="left"/>
              <w:rPr>
                <w:rFonts w:ascii="Calibri" w:eastAsia="Times New Roman" w:hAnsi="Calibri" w:cs="Calibri"/>
                <w:b/>
                <w:bCs/>
                <w:color w:val="000000"/>
                <w:sz w:val="22"/>
                <w:szCs w:val="22"/>
                <w:lang w:bidi="ar-SA"/>
              </w:rPr>
            </w:pPr>
            <w:r w:rsidRPr="007F7959">
              <w:rPr>
                <w:rFonts w:ascii="Calibri" w:eastAsia="Times New Roman" w:hAnsi="Calibri" w:cs="Calibri"/>
                <w:b/>
                <w:bCs/>
                <w:color w:val="000000"/>
                <w:sz w:val="22"/>
                <w:szCs w:val="22"/>
                <w:lang w:bidi="ar-SA"/>
              </w:rPr>
              <w:t>poreski oblici</w:t>
            </w:r>
          </w:p>
        </w:tc>
        <w:tc>
          <w:tcPr>
            <w:tcW w:w="1080" w:type="dxa"/>
            <w:tcBorders>
              <w:top w:val="single" w:sz="4" w:space="0" w:color="auto"/>
              <w:left w:val="nil"/>
              <w:bottom w:val="single" w:sz="4" w:space="0" w:color="auto"/>
              <w:right w:val="single" w:sz="4" w:space="0" w:color="auto"/>
            </w:tcBorders>
            <w:shd w:val="clear" w:color="000000" w:fill="DBE5F1"/>
            <w:vAlign w:val="bottom"/>
            <w:hideMark/>
          </w:tcPr>
          <w:p w:rsidR="008A38C7" w:rsidRPr="007F7959" w:rsidRDefault="008A38C7" w:rsidP="00D3239F">
            <w:pPr>
              <w:spacing w:after="0" w:line="240" w:lineRule="auto"/>
              <w:jc w:val="left"/>
              <w:rPr>
                <w:rFonts w:ascii="Calibri" w:eastAsia="Times New Roman" w:hAnsi="Calibri" w:cs="Calibri"/>
                <w:b/>
                <w:bCs/>
                <w:color w:val="000000"/>
                <w:sz w:val="22"/>
                <w:szCs w:val="22"/>
                <w:lang w:bidi="ar-SA"/>
              </w:rPr>
            </w:pPr>
            <w:r w:rsidRPr="007F7959">
              <w:rPr>
                <w:rFonts w:ascii="Calibri" w:eastAsia="Times New Roman" w:hAnsi="Calibri" w:cs="Calibri"/>
                <w:b/>
                <w:bCs/>
                <w:color w:val="000000"/>
                <w:sz w:val="22"/>
                <w:szCs w:val="22"/>
                <w:lang w:bidi="ar-SA"/>
              </w:rPr>
              <w:t>planirani prihodi                         1.1-1.7. 2011.</w:t>
            </w:r>
          </w:p>
        </w:tc>
        <w:tc>
          <w:tcPr>
            <w:tcW w:w="1080" w:type="dxa"/>
            <w:tcBorders>
              <w:top w:val="single" w:sz="4" w:space="0" w:color="auto"/>
              <w:left w:val="nil"/>
              <w:bottom w:val="single" w:sz="4" w:space="0" w:color="auto"/>
              <w:right w:val="single" w:sz="4" w:space="0" w:color="auto"/>
            </w:tcBorders>
            <w:shd w:val="clear" w:color="000000" w:fill="B8CCE4"/>
            <w:vAlign w:val="bottom"/>
            <w:hideMark/>
          </w:tcPr>
          <w:p w:rsidR="008A38C7" w:rsidRPr="007F7959" w:rsidRDefault="008A38C7" w:rsidP="00D3239F">
            <w:pPr>
              <w:spacing w:after="0" w:line="240" w:lineRule="auto"/>
              <w:jc w:val="left"/>
              <w:rPr>
                <w:rFonts w:ascii="Calibri" w:eastAsia="Times New Roman" w:hAnsi="Calibri" w:cs="Calibri"/>
                <w:b/>
                <w:bCs/>
                <w:color w:val="000000"/>
                <w:sz w:val="22"/>
                <w:szCs w:val="22"/>
                <w:lang w:bidi="ar-SA"/>
              </w:rPr>
            </w:pPr>
            <w:r w:rsidRPr="007F7959">
              <w:rPr>
                <w:rFonts w:ascii="Calibri" w:eastAsia="Times New Roman" w:hAnsi="Calibri" w:cs="Calibri"/>
                <w:b/>
                <w:bCs/>
                <w:color w:val="000000"/>
                <w:sz w:val="22"/>
                <w:szCs w:val="22"/>
                <w:lang w:bidi="ar-SA"/>
              </w:rPr>
              <w:t>ostvareni prihodi                      1.1-1.7. 2011.</w:t>
            </w:r>
          </w:p>
        </w:tc>
        <w:tc>
          <w:tcPr>
            <w:tcW w:w="1080" w:type="dxa"/>
            <w:tcBorders>
              <w:top w:val="single" w:sz="4" w:space="0" w:color="auto"/>
              <w:left w:val="nil"/>
              <w:bottom w:val="single" w:sz="4" w:space="0" w:color="auto"/>
              <w:right w:val="single" w:sz="4" w:space="0" w:color="auto"/>
            </w:tcBorders>
            <w:shd w:val="clear" w:color="000000" w:fill="95B3D7"/>
            <w:vAlign w:val="bottom"/>
            <w:hideMark/>
          </w:tcPr>
          <w:p w:rsidR="008A38C7" w:rsidRPr="007F7959" w:rsidRDefault="008A38C7" w:rsidP="00D3239F">
            <w:pPr>
              <w:spacing w:after="0" w:line="240" w:lineRule="auto"/>
              <w:jc w:val="left"/>
              <w:rPr>
                <w:rFonts w:ascii="Calibri" w:eastAsia="Times New Roman" w:hAnsi="Calibri" w:cs="Calibri"/>
                <w:b/>
                <w:bCs/>
                <w:color w:val="000000"/>
                <w:sz w:val="22"/>
                <w:szCs w:val="22"/>
                <w:lang w:bidi="ar-SA"/>
              </w:rPr>
            </w:pPr>
            <w:r w:rsidRPr="007F7959">
              <w:rPr>
                <w:rFonts w:ascii="Calibri" w:eastAsia="Times New Roman" w:hAnsi="Calibri" w:cs="Calibri"/>
                <w:b/>
                <w:bCs/>
                <w:color w:val="000000"/>
                <w:sz w:val="22"/>
                <w:szCs w:val="22"/>
                <w:lang w:bidi="ar-SA"/>
              </w:rPr>
              <w:t>index (ost/plan 2011)</w:t>
            </w:r>
          </w:p>
        </w:tc>
        <w:tc>
          <w:tcPr>
            <w:tcW w:w="1080" w:type="dxa"/>
            <w:tcBorders>
              <w:top w:val="single" w:sz="4" w:space="0" w:color="auto"/>
              <w:left w:val="nil"/>
              <w:bottom w:val="single" w:sz="4" w:space="0" w:color="auto"/>
              <w:right w:val="single" w:sz="4" w:space="0" w:color="auto"/>
            </w:tcBorders>
            <w:shd w:val="clear" w:color="000000" w:fill="EAF1DD"/>
            <w:vAlign w:val="bottom"/>
            <w:hideMark/>
          </w:tcPr>
          <w:p w:rsidR="008A38C7" w:rsidRPr="007F7959" w:rsidRDefault="008A38C7" w:rsidP="00D3239F">
            <w:pPr>
              <w:spacing w:after="0" w:line="240" w:lineRule="auto"/>
              <w:jc w:val="left"/>
              <w:rPr>
                <w:rFonts w:ascii="Calibri" w:eastAsia="Times New Roman" w:hAnsi="Calibri" w:cs="Calibri"/>
                <w:b/>
                <w:bCs/>
                <w:color w:val="000000"/>
                <w:sz w:val="22"/>
                <w:szCs w:val="22"/>
                <w:lang w:bidi="ar-SA"/>
              </w:rPr>
            </w:pPr>
            <w:r>
              <w:rPr>
                <w:rFonts w:ascii="Calibri" w:eastAsia="Times New Roman" w:hAnsi="Calibri" w:cs="Calibri"/>
                <w:b/>
                <w:bCs/>
                <w:color w:val="000000"/>
                <w:sz w:val="22"/>
                <w:szCs w:val="22"/>
                <w:lang w:bidi="ar-SA"/>
              </w:rPr>
              <w:t xml:space="preserve">planirani </w:t>
            </w:r>
            <w:r w:rsidRPr="007F7959">
              <w:rPr>
                <w:rFonts w:ascii="Calibri" w:eastAsia="Times New Roman" w:hAnsi="Calibri" w:cs="Calibri"/>
                <w:b/>
                <w:bCs/>
                <w:color w:val="000000"/>
                <w:sz w:val="22"/>
                <w:szCs w:val="22"/>
                <w:lang w:bidi="ar-SA"/>
              </w:rPr>
              <w:t>prihodi                     1.1-1.7 2012.</w:t>
            </w:r>
          </w:p>
        </w:tc>
        <w:tc>
          <w:tcPr>
            <w:tcW w:w="1080" w:type="dxa"/>
            <w:tcBorders>
              <w:top w:val="single" w:sz="4" w:space="0" w:color="auto"/>
              <w:left w:val="nil"/>
              <w:bottom w:val="single" w:sz="4" w:space="0" w:color="auto"/>
              <w:right w:val="single" w:sz="4" w:space="0" w:color="auto"/>
            </w:tcBorders>
            <w:shd w:val="clear" w:color="000000" w:fill="D7E4BC"/>
            <w:vAlign w:val="bottom"/>
            <w:hideMark/>
          </w:tcPr>
          <w:p w:rsidR="008A38C7" w:rsidRPr="007F7959" w:rsidRDefault="008A38C7" w:rsidP="00D3239F">
            <w:pPr>
              <w:spacing w:after="0" w:line="240" w:lineRule="auto"/>
              <w:jc w:val="left"/>
              <w:rPr>
                <w:rFonts w:ascii="Calibri" w:eastAsia="Times New Roman" w:hAnsi="Calibri" w:cs="Calibri"/>
                <w:b/>
                <w:bCs/>
                <w:color w:val="000000"/>
                <w:sz w:val="22"/>
                <w:szCs w:val="22"/>
                <w:lang w:bidi="ar-SA"/>
              </w:rPr>
            </w:pPr>
            <w:r w:rsidRPr="007F7959">
              <w:rPr>
                <w:rFonts w:ascii="Calibri" w:eastAsia="Times New Roman" w:hAnsi="Calibri" w:cs="Calibri"/>
                <w:b/>
                <w:bCs/>
                <w:color w:val="000000"/>
                <w:sz w:val="22"/>
                <w:szCs w:val="22"/>
                <w:lang w:bidi="ar-SA"/>
              </w:rPr>
              <w:t xml:space="preserve"> ostvareni prihodi 1.1-1.7 2012.        </w:t>
            </w:r>
          </w:p>
        </w:tc>
        <w:tc>
          <w:tcPr>
            <w:tcW w:w="1080" w:type="dxa"/>
            <w:gridSpan w:val="2"/>
            <w:tcBorders>
              <w:top w:val="single" w:sz="4" w:space="0" w:color="auto"/>
              <w:left w:val="nil"/>
              <w:bottom w:val="single" w:sz="4" w:space="0" w:color="auto"/>
              <w:right w:val="single" w:sz="4" w:space="0" w:color="auto"/>
            </w:tcBorders>
            <w:shd w:val="clear" w:color="000000" w:fill="C2D69A"/>
            <w:vAlign w:val="bottom"/>
            <w:hideMark/>
          </w:tcPr>
          <w:p w:rsidR="008A38C7" w:rsidRPr="007F7959" w:rsidRDefault="008A38C7" w:rsidP="00D3239F">
            <w:pPr>
              <w:spacing w:after="0" w:line="240" w:lineRule="auto"/>
              <w:jc w:val="left"/>
              <w:rPr>
                <w:rFonts w:ascii="Calibri" w:eastAsia="Times New Roman" w:hAnsi="Calibri" w:cs="Calibri"/>
                <w:b/>
                <w:bCs/>
                <w:color w:val="000000"/>
                <w:sz w:val="22"/>
                <w:szCs w:val="22"/>
                <w:lang w:bidi="ar-SA"/>
              </w:rPr>
            </w:pPr>
            <w:r w:rsidRPr="007F7959">
              <w:rPr>
                <w:rFonts w:ascii="Calibri" w:eastAsia="Times New Roman" w:hAnsi="Calibri" w:cs="Calibri"/>
                <w:b/>
                <w:bCs/>
                <w:color w:val="000000"/>
                <w:sz w:val="22"/>
                <w:szCs w:val="22"/>
                <w:lang w:bidi="ar-SA"/>
              </w:rPr>
              <w:t>index (ost/plan 2012)</w:t>
            </w:r>
          </w:p>
        </w:tc>
        <w:tc>
          <w:tcPr>
            <w:tcW w:w="1170" w:type="dxa"/>
            <w:gridSpan w:val="2"/>
            <w:tcBorders>
              <w:top w:val="single" w:sz="4" w:space="0" w:color="auto"/>
              <w:left w:val="nil"/>
              <w:bottom w:val="single" w:sz="4" w:space="0" w:color="auto"/>
              <w:right w:val="single" w:sz="4" w:space="0" w:color="auto"/>
            </w:tcBorders>
            <w:shd w:val="clear" w:color="000000" w:fill="FDE9D9"/>
            <w:vAlign w:val="bottom"/>
            <w:hideMark/>
          </w:tcPr>
          <w:p w:rsidR="008A38C7" w:rsidRPr="007F7959" w:rsidRDefault="008A38C7" w:rsidP="00D3239F">
            <w:pPr>
              <w:spacing w:after="0" w:line="240" w:lineRule="auto"/>
              <w:jc w:val="left"/>
              <w:rPr>
                <w:rFonts w:ascii="Calibri" w:eastAsia="Times New Roman" w:hAnsi="Calibri" w:cs="Calibri"/>
                <w:b/>
                <w:bCs/>
                <w:color w:val="000000"/>
                <w:sz w:val="22"/>
                <w:szCs w:val="22"/>
                <w:lang w:bidi="ar-SA"/>
              </w:rPr>
            </w:pPr>
            <w:r>
              <w:rPr>
                <w:rFonts w:ascii="Calibri" w:eastAsia="Times New Roman" w:hAnsi="Calibri" w:cs="Calibri"/>
                <w:b/>
                <w:bCs/>
                <w:color w:val="000000"/>
                <w:sz w:val="22"/>
                <w:szCs w:val="22"/>
                <w:lang w:bidi="ar-SA"/>
              </w:rPr>
              <w:t xml:space="preserve">planirani </w:t>
            </w:r>
            <w:r w:rsidRPr="007F7959">
              <w:rPr>
                <w:rFonts w:ascii="Calibri" w:eastAsia="Times New Roman" w:hAnsi="Calibri" w:cs="Calibri"/>
                <w:b/>
                <w:bCs/>
                <w:color w:val="000000"/>
                <w:sz w:val="22"/>
                <w:szCs w:val="22"/>
                <w:lang w:bidi="ar-SA"/>
              </w:rPr>
              <w:t>prihodi                     1.1-1.7. 2013.</w:t>
            </w:r>
          </w:p>
        </w:tc>
        <w:tc>
          <w:tcPr>
            <w:tcW w:w="1080" w:type="dxa"/>
            <w:tcBorders>
              <w:top w:val="single" w:sz="4" w:space="0" w:color="auto"/>
              <w:left w:val="nil"/>
              <w:bottom w:val="single" w:sz="4" w:space="0" w:color="auto"/>
              <w:right w:val="single" w:sz="4" w:space="0" w:color="auto"/>
            </w:tcBorders>
            <w:shd w:val="clear" w:color="000000" w:fill="FCD5B4"/>
            <w:vAlign w:val="bottom"/>
            <w:hideMark/>
          </w:tcPr>
          <w:p w:rsidR="008A38C7" w:rsidRPr="007F7959" w:rsidRDefault="008A38C7" w:rsidP="00D3239F">
            <w:pPr>
              <w:spacing w:after="0" w:line="240" w:lineRule="auto"/>
              <w:jc w:val="left"/>
              <w:rPr>
                <w:rFonts w:ascii="Calibri" w:eastAsia="Times New Roman" w:hAnsi="Calibri" w:cs="Calibri"/>
                <w:b/>
                <w:bCs/>
                <w:color w:val="000000"/>
                <w:sz w:val="22"/>
                <w:szCs w:val="22"/>
                <w:lang w:bidi="ar-SA"/>
              </w:rPr>
            </w:pPr>
            <w:r>
              <w:rPr>
                <w:rFonts w:ascii="Calibri" w:eastAsia="Times New Roman" w:hAnsi="Calibri" w:cs="Calibri"/>
                <w:b/>
                <w:bCs/>
                <w:color w:val="000000"/>
                <w:sz w:val="22"/>
                <w:szCs w:val="22"/>
                <w:lang w:bidi="ar-SA"/>
              </w:rPr>
              <w:t xml:space="preserve">ostvareni </w:t>
            </w:r>
            <w:r w:rsidRPr="007F7959">
              <w:rPr>
                <w:rFonts w:ascii="Calibri" w:eastAsia="Times New Roman" w:hAnsi="Calibri" w:cs="Calibri"/>
                <w:b/>
                <w:bCs/>
                <w:color w:val="000000"/>
                <w:sz w:val="22"/>
                <w:szCs w:val="22"/>
                <w:lang w:bidi="ar-SA"/>
              </w:rPr>
              <w:t>prihodi                        1.1-1.7. 2013.</w:t>
            </w:r>
          </w:p>
        </w:tc>
        <w:tc>
          <w:tcPr>
            <w:tcW w:w="1080" w:type="dxa"/>
            <w:gridSpan w:val="2"/>
            <w:tcBorders>
              <w:top w:val="single" w:sz="4" w:space="0" w:color="auto"/>
              <w:left w:val="nil"/>
              <w:bottom w:val="single" w:sz="4" w:space="0" w:color="auto"/>
              <w:right w:val="single" w:sz="4" w:space="0" w:color="auto"/>
            </w:tcBorders>
            <w:shd w:val="clear" w:color="000000" w:fill="FAC090"/>
            <w:vAlign w:val="bottom"/>
            <w:hideMark/>
          </w:tcPr>
          <w:p w:rsidR="008A38C7" w:rsidRPr="007F7959" w:rsidRDefault="008A38C7" w:rsidP="00D3239F">
            <w:pPr>
              <w:spacing w:after="0" w:line="240" w:lineRule="auto"/>
              <w:jc w:val="left"/>
              <w:rPr>
                <w:rFonts w:ascii="Calibri" w:eastAsia="Times New Roman" w:hAnsi="Calibri" w:cs="Calibri"/>
                <w:b/>
                <w:bCs/>
                <w:color w:val="000000"/>
                <w:sz w:val="22"/>
                <w:szCs w:val="22"/>
                <w:lang w:bidi="ar-SA"/>
              </w:rPr>
            </w:pPr>
            <w:r w:rsidRPr="007F7959">
              <w:rPr>
                <w:rFonts w:ascii="Calibri" w:eastAsia="Times New Roman" w:hAnsi="Calibri" w:cs="Calibri"/>
                <w:b/>
                <w:bCs/>
                <w:color w:val="000000"/>
                <w:sz w:val="22"/>
                <w:szCs w:val="22"/>
                <w:lang w:bidi="ar-SA"/>
              </w:rPr>
              <w:t>index (ost/plan 2013)</w:t>
            </w:r>
          </w:p>
        </w:tc>
        <w:tc>
          <w:tcPr>
            <w:tcW w:w="1350" w:type="dxa"/>
            <w:tcBorders>
              <w:top w:val="single" w:sz="4" w:space="0" w:color="auto"/>
              <w:left w:val="nil"/>
              <w:bottom w:val="single" w:sz="4" w:space="0" w:color="auto"/>
              <w:right w:val="single" w:sz="4" w:space="0" w:color="auto"/>
            </w:tcBorders>
            <w:shd w:val="clear" w:color="000000" w:fill="FFFF66"/>
            <w:vAlign w:val="bottom"/>
            <w:hideMark/>
          </w:tcPr>
          <w:p w:rsidR="008A38C7" w:rsidRDefault="008A38C7" w:rsidP="00D3239F">
            <w:pPr>
              <w:spacing w:after="0" w:line="240" w:lineRule="auto"/>
              <w:jc w:val="left"/>
              <w:rPr>
                <w:rFonts w:ascii="Calibri" w:eastAsia="Times New Roman" w:hAnsi="Calibri" w:cs="Calibri"/>
                <w:b/>
                <w:bCs/>
                <w:color w:val="000000"/>
                <w:sz w:val="22"/>
                <w:szCs w:val="22"/>
                <w:lang w:bidi="ar-SA"/>
              </w:rPr>
            </w:pPr>
            <w:r w:rsidRPr="007F7959">
              <w:rPr>
                <w:rFonts w:ascii="Calibri" w:eastAsia="Times New Roman" w:hAnsi="Calibri" w:cs="Calibri"/>
                <w:b/>
                <w:bCs/>
                <w:color w:val="000000"/>
                <w:sz w:val="22"/>
                <w:szCs w:val="22"/>
                <w:lang w:bidi="ar-SA"/>
              </w:rPr>
              <w:t>Index</w:t>
            </w:r>
          </w:p>
          <w:p w:rsidR="008A38C7" w:rsidRPr="007F7959" w:rsidRDefault="008A38C7" w:rsidP="00D3239F">
            <w:pPr>
              <w:spacing w:after="0" w:line="240" w:lineRule="auto"/>
              <w:jc w:val="left"/>
              <w:rPr>
                <w:rFonts w:ascii="Calibri" w:eastAsia="Times New Roman" w:hAnsi="Calibri" w:cs="Calibri"/>
                <w:b/>
                <w:bCs/>
                <w:color w:val="000000"/>
                <w:sz w:val="22"/>
                <w:szCs w:val="22"/>
                <w:lang w:bidi="ar-SA"/>
              </w:rPr>
            </w:pPr>
            <w:r w:rsidRPr="007F7959">
              <w:rPr>
                <w:rFonts w:ascii="Calibri" w:eastAsia="Times New Roman" w:hAnsi="Calibri" w:cs="Calibri"/>
                <w:b/>
                <w:bCs/>
                <w:color w:val="000000"/>
                <w:sz w:val="22"/>
                <w:szCs w:val="22"/>
                <w:lang w:bidi="ar-SA"/>
              </w:rPr>
              <w:t xml:space="preserve"> (ost. prih 2013/2012)</w:t>
            </w:r>
          </w:p>
        </w:tc>
      </w:tr>
      <w:tr w:rsidR="008A38C7" w:rsidRPr="007F7959" w:rsidTr="00D3239F">
        <w:trPr>
          <w:trHeight w:val="300"/>
        </w:trPr>
        <w:tc>
          <w:tcPr>
            <w:tcW w:w="2085" w:type="dxa"/>
            <w:tcBorders>
              <w:top w:val="nil"/>
              <w:left w:val="single" w:sz="4" w:space="0" w:color="auto"/>
              <w:bottom w:val="single" w:sz="4" w:space="0" w:color="auto"/>
              <w:right w:val="single" w:sz="4" w:space="0" w:color="auto"/>
            </w:tcBorders>
            <w:shd w:val="clear" w:color="000000" w:fill="DDD9C3"/>
            <w:noWrap/>
            <w:vAlign w:val="bottom"/>
            <w:hideMark/>
          </w:tcPr>
          <w:p w:rsidR="008A38C7" w:rsidRPr="007F7959" w:rsidRDefault="008A38C7" w:rsidP="00D3239F">
            <w:pPr>
              <w:spacing w:after="0" w:line="240" w:lineRule="auto"/>
              <w:jc w:val="lef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dohodak</w:t>
            </w:r>
          </w:p>
        </w:tc>
        <w:tc>
          <w:tcPr>
            <w:tcW w:w="1080" w:type="dxa"/>
            <w:tcBorders>
              <w:top w:val="nil"/>
              <w:left w:val="nil"/>
              <w:bottom w:val="single" w:sz="4" w:space="0" w:color="auto"/>
              <w:right w:val="single" w:sz="4" w:space="0" w:color="auto"/>
            </w:tcBorders>
            <w:shd w:val="clear" w:color="000000" w:fill="DBE5F1"/>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37.71</w:t>
            </w:r>
          </w:p>
        </w:tc>
        <w:tc>
          <w:tcPr>
            <w:tcW w:w="1080" w:type="dxa"/>
            <w:tcBorders>
              <w:top w:val="nil"/>
              <w:left w:val="nil"/>
              <w:bottom w:val="single" w:sz="4" w:space="0" w:color="auto"/>
              <w:right w:val="single" w:sz="4" w:space="0" w:color="auto"/>
            </w:tcBorders>
            <w:shd w:val="clear" w:color="000000" w:fill="B8CCE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36.14</w:t>
            </w:r>
          </w:p>
        </w:tc>
        <w:tc>
          <w:tcPr>
            <w:tcW w:w="1080" w:type="dxa"/>
            <w:tcBorders>
              <w:top w:val="nil"/>
              <w:left w:val="nil"/>
              <w:bottom w:val="single" w:sz="4" w:space="0" w:color="auto"/>
              <w:right w:val="single" w:sz="4" w:space="0" w:color="auto"/>
            </w:tcBorders>
            <w:shd w:val="clear" w:color="000000" w:fill="95B3D7"/>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95.84</w:t>
            </w:r>
          </w:p>
        </w:tc>
        <w:tc>
          <w:tcPr>
            <w:tcW w:w="1080" w:type="dxa"/>
            <w:tcBorders>
              <w:top w:val="nil"/>
              <w:left w:val="nil"/>
              <w:bottom w:val="single" w:sz="4" w:space="0" w:color="auto"/>
              <w:right w:val="single" w:sz="4" w:space="0" w:color="auto"/>
            </w:tcBorders>
            <w:shd w:val="clear" w:color="000000" w:fill="EAF1DD"/>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34.86</w:t>
            </w:r>
          </w:p>
        </w:tc>
        <w:tc>
          <w:tcPr>
            <w:tcW w:w="1080" w:type="dxa"/>
            <w:tcBorders>
              <w:top w:val="nil"/>
              <w:left w:val="nil"/>
              <w:bottom w:val="single" w:sz="4" w:space="0" w:color="auto"/>
              <w:right w:val="single" w:sz="4" w:space="0" w:color="auto"/>
            </w:tcBorders>
            <w:shd w:val="clear" w:color="000000" w:fill="D7E4BC"/>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33.57</w:t>
            </w:r>
          </w:p>
        </w:tc>
        <w:tc>
          <w:tcPr>
            <w:tcW w:w="1080" w:type="dxa"/>
            <w:gridSpan w:val="2"/>
            <w:tcBorders>
              <w:top w:val="nil"/>
              <w:left w:val="nil"/>
              <w:bottom w:val="single" w:sz="4" w:space="0" w:color="auto"/>
              <w:right w:val="single" w:sz="4" w:space="0" w:color="auto"/>
            </w:tcBorders>
            <w:shd w:val="clear" w:color="000000" w:fill="C2D69A"/>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96.30</w:t>
            </w:r>
          </w:p>
        </w:tc>
        <w:tc>
          <w:tcPr>
            <w:tcW w:w="1170" w:type="dxa"/>
            <w:gridSpan w:val="2"/>
            <w:tcBorders>
              <w:top w:val="nil"/>
              <w:left w:val="nil"/>
              <w:bottom w:val="single" w:sz="4" w:space="0" w:color="auto"/>
              <w:right w:val="single" w:sz="4" w:space="0" w:color="auto"/>
            </w:tcBorders>
            <w:shd w:val="clear" w:color="000000" w:fill="FDE9D9"/>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36.64</w:t>
            </w:r>
          </w:p>
        </w:tc>
        <w:tc>
          <w:tcPr>
            <w:tcW w:w="1080" w:type="dxa"/>
            <w:tcBorders>
              <w:top w:val="nil"/>
              <w:left w:val="nil"/>
              <w:bottom w:val="single" w:sz="4" w:space="0" w:color="auto"/>
              <w:right w:val="single" w:sz="4" w:space="0" w:color="auto"/>
            </w:tcBorders>
            <w:shd w:val="clear" w:color="000000" w:fill="FCD5B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37.25</w:t>
            </w:r>
          </w:p>
        </w:tc>
        <w:tc>
          <w:tcPr>
            <w:tcW w:w="1080" w:type="dxa"/>
            <w:gridSpan w:val="2"/>
            <w:tcBorders>
              <w:top w:val="nil"/>
              <w:left w:val="nil"/>
              <w:bottom w:val="single" w:sz="4" w:space="0" w:color="auto"/>
              <w:right w:val="single" w:sz="4" w:space="0" w:color="auto"/>
            </w:tcBorders>
            <w:shd w:val="clear" w:color="000000" w:fill="FAC090"/>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101.66</w:t>
            </w:r>
          </w:p>
        </w:tc>
        <w:tc>
          <w:tcPr>
            <w:tcW w:w="1350" w:type="dxa"/>
            <w:tcBorders>
              <w:top w:val="nil"/>
              <w:left w:val="nil"/>
              <w:bottom w:val="nil"/>
              <w:right w:val="single" w:sz="4" w:space="0" w:color="auto"/>
            </w:tcBorders>
            <w:shd w:val="clear" w:color="000000" w:fill="FFFF66"/>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110.96</w:t>
            </w:r>
          </w:p>
        </w:tc>
      </w:tr>
      <w:tr w:rsidR="008A38C7" w:rsidRPr="007F7959" w:rsidTr="00D3239F">
        <w:trPr>
          <w:trHeight w:val="300"/>
        </w:trPr>
        <w:tc>
          <w:tcPr>
            <w:tcW w:w="2085" w:type="dxa"/>
            <w:tcBorders>
              <w:top w:val="nil"/>
              <w:left w:val="single" w:sz="4" w:space="0" w:color="auto"/>
              <w:bottom w:val="single" w:sz="4" w:space="0" w:color="auto"/>
              <w:right w:val="single" w:sz="4" w:space="0" w:color="auto"/>
            </w:tcBorders>
            <w:shd w:val="clear" w:color="000000" w:fill="DDD9C3"/>
            <w:noWrap/>
            <w:vAlign w:val="bottom"/>
            <w:hideMark/>
          </w:tcPr>
          <w:p w:rsidR="008A38C7" w:rsidRPr="007F7959" w:rsidRDefault="008A38C7" w:rsidP="00D3239F">
            <w:pPr>
              <w:spacing w:after="0" w:line="240" w:lineRule="auto"/>
              <w:jc w:val="lef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Doprinosi</w:t>
            </w:r>
          </w:p>
        </w:tc>
        <w:tc>
          <w:tcPr>
            <w:tcW w:w="1080" w:type="dxa"/>
            <w:tcBorders>
              <w:top w:val="nil"/>
              <w:left w:val="nil"/>
              <w:bottom w:val="single" w:sz="4" w:space="0" w:color="auto"/>
              <w:right w:val="single" w:sz="4" w:space="0" w:color="auto"/>
            </w:tcBorders>
            <w:shd w:val="clear" w:color="000000" w:fill="DBE5F1"/>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150.01</w:t>
            </w:r>
          </w:p>
        </w:tc>
        <w:tc>
          <w:tcPr>
            <w:tcW w:w="1080" w:type="dxa"/>
            <w:tcBorders>
              <w:top w:val="nil"/>
              <w:left w:val="nil"/>
              <w:bottom w:val="single" w:sz="4" w:space="0" w:color="auto"/>
              <w:right w:val="single" w:sz="4" w:space="0" w:color="auto"/>
            </w:tcBorders>
            <w:shd w:val="clear" w:color="000000" w:fill="B8CCE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155.66</w:t>
            </w:r>
          </w:p>
        </w:tc>
        <w:tc>
          <w:tcPr>
            <w:tcW w:w="1080" w:type="dxa"/>
            <w:tcBorders>
              <w:top w:val="nil"/>
              <w:left w:val="nil"/>
              <w:bottom w:val="single" w:sz="4" w:space="0" w:color="auto"/>
              <w:right w:val="single" w:sz="4" w:space="0" w:color="auto"/>
            </w:tcBorders>
            <w:shd w:val="clear" w:color="000000" w:fill="95B3D7"/>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103.77</w:t>
            </w:r>
          </w:p>
        </w:tc>
        <w:tc>
          <w:tcPr>
            <w:tcW w:w="1080" w:type="dxa"/>
            <w:tcBorders>
              <w:top w:val="nil"/>
              <w:left w:val="nil"/>
              <w:bottom w:val="single" w:sz="4" w:space="0" w:color="auto"/>
              <w:right w:val="single" w:sz="4" w:space="0" w:color="auto"/>
            </w:tcBorders>
            <w:shd w:val="clear" w:color="000000" w:fill="EAF1DD"/>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151.5</w:t>
            </w:r>
          </w:p>
        </w:tc>
        <w:tc>
          <w:tcPr>
            <w:tcW w:w="1080" w:type="dxa"/>
            <w:tcBorders>
              <w:top w:val="nil"/>
              <w:left w:val="nil"/>
              <w:bottom w:val="single" w:sz="4" w:space="0" w:color="auto"/>
              <w:right w:val="single" w:sz="4" w:space="0" w:color="auto"/>
            </w:tcBorders>
            <w:shd w:val="clear" w:color="000000" w:fill="D7E4BC"/>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149.2</w:t>
            </w:r>
          </w:p>
        </w:tc>
        <w:tc>
          <w:tcPr>
            <w:tcW w:w="1080" w:type="dxa"/>
            <w:gridSpan w:val="2"/>
            <w:tcBorders>
              <w:top w:val="nil"/>
              <w:left w:val="nil"/>
              <w:bottom w:val="single" w:sz="4" w:space="0" w:color="auto"/>
              <w:right w:val="single" w:sz="4" w:space="0" w:color="auto"/>
            </w:tcBorders>
            <w:shd w:val="clear" w:color="000000" w:fill="C2D69A"/>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98.48</w:t>
            </w:r>
          </w:p>
        </w:tc>
        <w:tc>
          <w:tcPr>
            <w:tcW w:w="1170" w:type="dxa"/>
            <w:gridSpan w:val="2"/>
            <w:tcBorders>
              <w:top w:val="nil"/>
              <w:left w:val="nil"/>
              <w:bottom w:val="single" w:sz="4" w:space="0" w:color="auto"/>
              <w:right w:val="single" w:sz="4" w:space="0" w:color="auto"/>
            </w:tcBorders>
            <w:shd w:val="clear" w:color="000000" w:fill="FDE9D9"/>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156.44</w:t>
            </w:r>
          </w:p>
        </w:tc>
        <w:tc>
          <w:tcPr>
            <w:tcW w:w="1080" w:type="dxa"/>
            <w:tcBorders>
              <w:top w:val="nil"/>
              <w:left w:val="nil"/>
              <w:bottom w:val="single" w:sz="4" w:space="0" w:color="auto"/>
              <w:right w:val="single" w:sz="4" w:space="0" w:color="auto"/>
            </w:tcBorders>
            <w:shd w:val="clear" w:color="000000" w:fill="FCD5B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156.72</w:t>
            </w:r>
          </w:p>
        </w:tc>
        <w:tc>
          <w:tcPr>
            <w:tcW w:w="1080" w:type="dxa"/>
            <w:gridSpan w:val="2"/>
            <w:tcBorders>
              <w:top w:val="nil"/>
              <w:left w:val="nil"/>
              <w:bottom w:val="single" w:sz="4" w:space="0" w:color="auto"/>
              <w:right w:val="single" w:sz="4" w:space="0" w:color="auto"/>
            </w:tcBorders>
            <w:shd w:val="clear" w:color="000000" w:fill="FAC090"/>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100.18</w:t>
            </w:r>
          </w:p>
        </w:tc>
        <w:tc>
          <w:tcPr>
            <w:tcW w:w="1350" w:type="dxa"/>
            <w:tcBorders>
              <w:top w:val="single" w:sz="4" w:space="0" w:color="auto"/>
              <w:left w:val="nil"/>
              <w:bottom w:val="single" w:sz="4" w:space="0" w:color="auto"/>
              <w:right w:val="single" w:sz="4" w:space="0" w:color="auto"/>
            </w:tcBorders>
            <w:shd w:val="clear" w:color="000000" w:fill="FFFF66"/>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105.04</w:t>
            </w:r>
          </w:p>
        </w:tc>
      </w:tr>
      <w:tr w:rsidR="008A38C7" w:rsidRPr="007F7959" w:rsidTr="00D3239F">
        <w:trPr>
          <w:trHeight w:val="300"/>
        </w:trPr>
        <w:tc>
          <w:tcPr>
            <w:tcW w:w="2085" w:type="dxa"/>
            <w:tcBorders>
              <w:top w:val="nil"/>
              <w:left w:val="single" w:sz="4" w:space="0" w:color="auto"/>
              <w:bottom w:val="single" w:sz="4" w:space="0" w:color="auto"/>
              <w:right w:val="single" w:sz="4" w:space="0" w:color="auto"/>
            </w:tcBorders>
            <w:shd w:val="clear" w:color="000000" w:fill="DDD9C3"/>
            <w:noWrap/>
            <w:vAlign w:val="bottom"/>
            <w:hideMark/>
          </w:tcPr>
          <w:p w:rsidR="008A38C7" w:rsidRPr="007F7959" w:rsidRDefault="008A38C7" w:rsidP="00D3239F">
            <w:pPr>
              <w:spacing w:after="0" w:line="240" w:lineRule="auto"/>
              <w:jc w:val="lef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PDV</w:t>
            </w:r>
          </w:p>
        </w:tc>
        <w:tc>
          <w:tcPr>
            <w:tcW w:w="1080" w:type="dxa"/>
            <w:tcBorders>
              <w:top w:val="nil"/>
              <w:left w:val="nil"/>
              <w:bottom w:val="single" w:sz="4" w:space="0" w:color="auto"/>
              <w:right w:val="single" w:sz="4" w:space="0" w:color="auto"/>
            </w:tcBorders>
            <w:shd w:val="clear" w:color="000000" w:fill="DBE5F1"/>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176.71</w:t>
            </w:r>
          </w:p>
        </w:tc>
        <w:tc>
          <w:tcPr>
            <w:tcW w:w="1080" w:type="dxa"/>
            <w:tcBorders>
              <w:top w:val="nil"/>
              <w:left w:val="nil"/>
              <w:bottom w:val="single" w:sz="4" w:space="0" w:color="auto"/>
              <w:right w:val="single" w:sz="4" w:space="0" w:color="auto"/>
            </w:tcBorders>
            <w:shd w:val="clear" w:color="000000" w:fill="B8CCE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170.25</w:t>
            </w:r>
          </w:p>
        </w:tc>
        <w:tc>
          <w:tcPr>
            <w:tcW w:w="1080" w:type="dxa"/>
            <w:tcBorders>
              <w:top w:val="nil"/>
              <w:left w:val="nil"/>
              <w:bottom w:val="single" w:sz="4" w:space="0" w:color="auto"/>
              <w:right w:val="single" w:sz="4" w:space="0" w:color="auto"/>
            </w:tcBorders>
            <w:shd w:val="clear" w:color="000000" w:fill="95B3D7"/>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96.34</w:t>
            </w:r>
          </w:p>
        </w:tc>
        <w:tc>
          <w:tcPr>
            <w:tcW w:w="1080" w:type="dxa"/>
            <w:tcBorders>
              <w:top w:val="nil"/>
              <w:left w:val="nil"/>
              <w:bottom w:val="single" w:sz="4" w:space="0" w:color="auto"/>
              <w:right w:val="single" w:sz="4" w:space="0" w:color="auto"/>
            </w:tcBorders>
            <w:shd w:val="clear" w:color="000000" w:fill="EAF1DD"/>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157.56</w:t>
            </w:r>
          </w:p>
        </w:tc>
        <w:tc>
          <w:tcPr>
            <w:tcW w:w="1080" w:type="dxa"/>
            <w:tcBorders>
              <w:top w:val="nil"/>
              <w:left w:val="nil"/>
              <w:bottom w:val="single" w:sz="4" w:space="0" w:color="auto"/>
              <w:right w:val="single" w:sz="4" w:space="0" w:color="auto"/>
            </w:tcBorders>
            <w:shd w:val="clear" w:color="000000" w:fill="D7E4BC"/>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162.81</w:t>
            </w:r>
          </w:p>
        </w:tc>
        <w:tc>
          <w:tcPr>
            <w:tcW w:w="1080" w:type="dxa"/>
            <w:gridSpan w:val="2"/>
            <w:tcBorders>
              <w:top w:val="nil"/>
              <w:left w:val="nil"/>
              <w:bottom w:val="single" w:sz="4" w:space="0" w:color="auto"/>
              <w:right w:val="single" w:sz="4" w:space="0" w:color="auto"/>
            </w:tcBorders>
            <w:shd w:val="clear" w:color="000000" w:fill="C2D69A"/>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103.33</w:t>
            </w:r>
          </w:p>
        </w:tc>
        <w:tc>
          <w:tcPr>
            <w:tcW w:w="1170" w:type="dxa"/>
            <w:gridSpan w:val="2"/>
            <w:tcBorders>
              <w:top w:val="nil"/>
              <w:left w:val="nil"/>
              <w:bottom w:val="single" w:sz="4" w:space="0" w:color="auto"/>
              <w:right w:val="single" w:sz="4" w:space="0" w:color="auto"/>
            </w:tcBorders>
            <w:shd w:val="clear" w:color="000000" w:fill="FDE9D9"/>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170.65</w:t>
            </w:r>
          </w:p>
        </w:tc>
        <w:tc>
          <w:tcPr>
            <w:tcW w:w="1080" w:type="dxa"/>
            <w:tcBorders>
              <w:top w:val="nil"/>
              <w:left w:val="nil"/>
              <w:bottom w:val="single" w:sz="4" w:space="0" w:color="auto"/>
              <w:right w:val="single" w:sz="4" w:space="0" w:color="auto"/>
            </w:tcBorders>
            <w:shd w:val="clear" w:color="000000" w:fill="FCD5B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182.9</w:t>
            </w:r>
          </w:p>
        </w:tc>
        <w:tc>
          <w:tcPr>
            <w:tcW w:w="1080" w:type="dxa"/>
            <w:gridSpan w:val="2"/>
            <w:tcBorders>
              <w:top w:val="nil"/>
              <w:left w:val="nil"/>
              <w:bottom w:val="single" w:sz="4" w:space="0" w:color="auto"/>
              <w:right w:val="single" w:sz="4" w:space="0" w:color="auto"/>
            </w:tcBorders>
            <w:shd w:val="clear" w:color="000000" w:fill="FAC090"/>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107.18</w:t>
            </w:r>
          </w:p>
        </w:tc>
        <w:tc>
          <w:tcPr>
            <w:tcW w:w="1350" w:type="dxa"/>
            <w:tcBorders>
              <w:top w:val="nil"/>
              <w:left w:val="nil"/>
              <w:bottom w:val="single" w:sz="4" w:space="0" w:color="auto"/>
              <w:right w:val="single" w:sz="4" w:space="0" w:color="auto"/>
            </w:tcBorders>
            <w:shd w:val="clear" w:color="000000" w:fill="FFFF66"/>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112.34</w:t>
            </w:r>
          </w:p>
        </w:tc>
      </w:tr>
      <w:tr w:rsidR="008A38C7" w:rsidRPr="007F7959" w:rsidTr="00D3239F">
        <w:trPr>
          <w:trHeight w:val="300"/>
        </w:trPr>
        <w:tc>
          <w:tcPr>
            <w:tcW w:w="2085" w:type="dxa"/>
            <w:tcBorders>
              <w:top w:val="nil"/>
              <w:left w:val="single" w:sz="4" w:space="0" w:color="auto"/>
              <w:bottom w:val="single" w:sz="4" w:space="0" w:color="auto"/>
              <w:right w:val="single" w:sz="4" w:space="0" w:color="auto"/>
            </w:tcBorders>
            <w:shd w:val="clear" w:color="000000" w:fill="DDD9C3"/>
            <w:noWrap/>
            <w:vAlign w:val="bottom"/>
            <w:hideMark/>
          </w:tcPr>
          <w:p w:rsidR="008A38C7" w:rsidRPr="007F7959" w:rsidRDefault="008A38C7" w:rsidP="00D3239F">
            <w:pPr>
              <w:spacing w:after="0" w:line="240" w:lineRule="auto"/>
              <w:jc w:val="lef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Dobit</w:t>
            </w:r>
          </w:p>
        </w:tc>
        <w:tc>
          <w:tcPr>
            <w:tcW w:w="1080" w:type="dxa"/>
            <w:tcBorders>
              <w:top w:val="nil"/>
              <w:left w:val="nil"/>
              <w:bottom w:val="single" w:sz="4" w:space="0" w:color="auto"/>
              <w:right w:val="single" w:sz="4" w:space="0" w:color="auto"/>
            </w:tcBorders>
            <w:shd w:val="clear" w:color="000000" w:fill="DBE5F1"/>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19.76</w:t>
            </w:r>
          </w:p>
        </w:tc>
        <w:tc>
          <w:tcPr>
            <w:tcW w:w="1080" w:type="dxa"/>
            <w:tcBorders>
              <w:top w:val="nil"/>
              <w:left w:val="nil"/>
              <w:bottom w:val="single" w:sz="4" w:space="0" w:color="auto"/>
              <w:right w:val="single" w:sz="4" w:space="0" w:color="auto"/>
            </w:tcBorders>
            <w:shd w:val="clear" w:color="000000" w:fill="B8CCE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22.4</w:t>
            </w:r>
          </w:p>
        </w:tc>
        <w:tc>
          <w:tcPr>
            <w:tcW w:w="1080" w:type="dxa"/>
            <w:tcBorders>
              <w:top w:val="nil"/>
              <w:left w:val="nil"/>
              <w:bottom w:val="single" w:sz="4" w:space="0" w:color="auto"/>
              <w:right w:val="single" w:sz="4" w:space="0" w:color="auto"/>
            </w:tcBorders>
            <w:shd w:val="clear" w:color="000000" w:fill="95B3D7"/>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113.36</w:t>
            </w:r>
          </w:p>
        </w:tc>
        <w:tc>
          <w:tcPr>
            <w:tcW w:w="1080" w:type="dxa"/>
            <w:tcBorders>
              <w:top w:val="nil"/>
              <w:left w:val="nil"/>
              <w:bottom w:val="single" w:sz="4" w:space="0" w:color="auto"/>
              <w:right w:val="single" w:sz="4" w:space="0" w:color="auto"/>
            </w:tcBorders>
            <w:shd w:val="clear" w:color="000000" w:fill="EAF1DD"/>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26.24</w:t>
            </w:r>
          </w:p>
        </w:tc>
        <w:tc>
          <w:tcPr>
            <w:tcW w:w="1080" w:type="dxa"/>
            <w:tcBorders>
              <w:top w:val="nil"/>
              <w:left w:val="nil"/>
              <w:bottom w:val="single" w:sz="4" w:space="0" w:color="auto"/>
              <w:right w:val="single" w:sz="4" w:space="0" w:color="auto"/>
            </w:tcBorders>
            <w:shd w:val="clear" w:color="000000" w:fill="D7E4BC"/>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25.73</w:t>
            </w:r>
          </w:p>
        </w:tc>
        <w:tc>
          <w:tcPr>
            <w:tcW w:w="1080" w:type="dxa"/>
            <w:gridSpan w:val="2"/>
            <w:tcBorders>
              <w:top w:val="nil"/>
              <w:left w:val="nil"/>
              <w:bottom w:val="single" w:sz="4" w:space="0" w:color="auto"/>
              <w:right w:val="single" w:sz="4" w:space="0" w:color="auto"/>
            </w:tcBorders>
            <w:shd w:val="clear" w:color="000000" w:fill="C2D69A"/>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98.06</w:t>
            </w:r>
          </w:p>
        </w:tc>
        <w:tc>
          <w:tcPr>
            <w:tcW w:w="1170" w:type="dxa"/>
            <w:gridSpan w:val="2"/>
            <w:tcBorders>
              <w:top w:val="nil"/>
              <w:left w:val="nil"/>
              <w:bottom w:val="single" w:sz="4" w:space="0" w:color="auto"/>
              <w:right w:val="single" w:sz="4" w:space="0" w:color="auto"/>
            </w:tcBorders>
            <w:shd w:val="clear" w:color="000000" w:fill="FDE9D9"/>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26.02</w:t>
            </w:r>
          </w:p>
        </w:tc>
        <w:tc>
          <w:tcPr>
            <w:tcW w:w="1080" w:type="dxa"/>
            <w:tcBorders>
              <w:top w:val="nil"/>
              <w:left w:val="nil"/>
              <w:bottom w:val="single" w:sz="4" w:space="0" w:color="auto"/>
              <w:right w:val="single" w:sz="4" w:space="0" w:color="auto"/>
            </w:tcBorders>
            <w:shd w:val="clear" w:color="000000" w:fill="FCD5B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28.14</w:t>
            </w:r>
          </w:p>
        </w:tc>
        <w:tc>
          <w:tcPr>
            <w:tcW w:w="1080" w:type="dxa"/>
            <w:gridSpan w:val="2"/>
            <w:tcBorders>
              <w:top w:val="nil"/>
              <w:left w:val="nil"/>
              <w:bottom w:val="single" w:sz="4" w:space="0" w:color="auto"/>
              <w:right w:val="single" w:sz="4" w:space="0" w:color="auto"/>
            </w:tcBorders>
            <w:shd w:val="clear" w:color="000000" w:fill="FAC090"/>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108.15</w:t>
            </w:r>
          </w:p>
        </w:tc>
        <w:tc>
          <w:tcPr>
            <w:tcW w:w="1350" w:type="dxa"/>
            <w:tcBorders>
              <w:top w:val="nil"/>
              <w:left w:val="nil"/>
              <w:bottom w:val="single" w:sz="4" w:space="0" w:color="auto"/>
              <w:right w:val="single" w:sz="4" w:space="0" w:color="auto"/>
            </w:tcBorders>
            <w:shd w:val="clear" w:color="000000" w:fill="FFFF66"/>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109.37</w:t>
            </w:r>
          </w:p>
        </w:tc>
      </w:tr>
      <w:tr w:rsidR="008A38C7" w:rsidRPr="007F7959" w:rsidTr="00D3239F">
        <w:trPr>
          <w:trHeight w:val="300"/>
        </w:trPr>
        <w:tc>
          <w:tcPr>
            <w:tcW w:w="2085" w:type="dxa"/>
            <w:tcBorders>
              <w:top w:val="nil"/>
              <w:left w:val="single" w:sz="4" w:space="0" w:color="auto"/>
              <w:bottom w:val="single" w:sz="4" w:space="0" w:color="auto"/>
              <w:right w:val="single" w:sz="4" w:space="0" w:color="auto"/>
            </w:tcBorders>
            <w:shd w:val="clear" w:color="000000" w:fill="DDD9C3"/>
            <w:noWrap/>
            <w:vAlign w:val="bottom"/>
            <w:hideMark/>
          </w:tcPr>
          <w:p w:rsidR="008A38C7" w:rsidRPr="007F7959" w:rsidRDefault="008A38C7" w:rsidP="00D3239F">
            <w:pPr>
              <w:spacing w:after="0" w:line="240" w:lineRule="auto"/>
              <w:jc w:val="lef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akcize</w:t>
            </w:r>
          </w:p>
        </w:tc>
        <w:tc>
          <w:tcPr>
            <w:tcW w:w="1080" w:type="dxa"/>
            <w:tcBorders>
              <w:top w:val="nil"/>
              <w:left w:val="nil"/>
              <w:bottom w:val="single" w:sz="4" w:space="0" w:color="auto"/>
              <w:right w:val="single" w:sz="4" w:space="0" w:color="auto"/>
            </w:tcBorders>
            <w:shd w:val="clear" w:color="000000" w:fill="DBE5F1"/>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66.81</w:t>
            </w:r>
          </w:p>
        </w:tc>
        <w:tc>
          <w:tcPr>
            <w:tcW w:w="1080" w:type="dxa"/>
            <w:tcBorders>
              <w:top w:val="nil"/>
              <w:left w:val="nil"/>
              <w:bottom w:val="single" w:sz="4" w:space="0" w:color="auto"/>
              <w:right w:val="single" w:sz="4" w:space="0" w:color="auto"/>
            </w:tcBorders>
            <w:shd w:val="clear" w:color="000000" w:fill="B8CCE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60.24</w:t>
            </w:r>
          </w:p>
        </w:tc>
        <w:tc>
          <w:tcPr>
            <w:tcW w:w="1080" w:type="dxa"/>
            <w:tcBorders>
              <w:top w:val="nil"/>
              <w:left w:val="nil"/>
              <w:bottom w:val="single" w:sz="4" w:space="0" w:color="auto"/>
              <w:right w:val="single" w:sz="4" w:space="0" w:color="auto"/>
            </w:tcBorders>
            <w:shd w:val="clear" w:color="000000" w:fill="95B3D7"/>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90.17</w:t>
            </w:r>
          </w:p>
        </w:tc>
        <w:tc>
          <w:tcPr>
            <w:tcW w:w="1080" w:type="dxa"/>
            <w:tcBorders>
              <w:top w:val="nil"/>
              <w:left w:val="nil"/>
              <w:bottom w:val="single" w:sz="4" w:space="0" w:color="auto"/>
              <w:right w:val="single" w:sz="4" w:space="0" w:color="auto"/>
            </w:tcBorders>
            <w:shd w:val="clear" w:color="000000" w:fill="EAF1DD"/>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63.83</w:t>
            </w:r>
          </w:p>
        </w:tc>
        <w:tc>
          <w:tcPr>
            <w:tcW w:w="1080" w:type="dxa"/>
            <w:tcBorders>
              <w:top w:val="nil"/>
              <w:left w:val="nil"/>
              <w:bottom w:val="single" w:sz="4" w:space="0" w:color="auto"/>
              <w:right w:val="single" w:sz="4" w:space="0" w:color="auto"/>
            </w:tcBorders>
            <w:shd w:val="clear" w:color="000000" w:fill="D7E4BC"/>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59.57</w:t>
            </w:r>
          </w:p>
        </w:tc>
        <w:tc>
          <w:tcPr>
            <w:tcW w:w="1080" w:type="dxa"/>
            <w:gridSpan w:val="2"/>
            <w:tcBorders>
              <w:top w:val="nil"/>
              <w:left w:val="nil"/>
              <w:bottom w:val="single" w:sz="4" w:space="0" w:color="auto"/>
              <w:right w:val="single" w:sz="4" w:space="0" w:color="auto"/>
            </w:tcBorders>
            <w:shd w:val="clear" w:color="000000" w:fill="C2D69A"/>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93.33</w:t>
            </w:r>
          </w:p>
        </w:tc>
        <w:tc>
          <w:tcPr>
            <w:tcW w:w="1170" w:type="dxa"/>
            <w:gridSpan w:val="2"/>
            <w:tcBorders>
              <w:top w:val="nil"/>
              <w:left w:val="nil"/>
              <w:bottom w:val="single" w:sz="4" w:space="0" w:color="auto"/>
              <w:right w:val="single" w:sz="4" w:space="0" w:color="auto"/>
            </w:tcBorders>
            <w:shd w:val="clear" w:color="000000" w:fill="FDE9D9"/>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66.15</w:t>
            </w:r>
          </w:p>
        </w:tc>
        <w:tc>
          <w:tcPr>
            <w:tcW w:w="1080" w:type="dxa"/>
            <w:tcBorders>
              <w:top w:val="nil"/>
              <w:left w:val="nil"/>
              <w:bottom w:val="single" w:sz="4" w:space="0" w:color="auto"/>
              <w:right w:val="single" w:sz="4" w:space="0" w:color="auto"/>
            </w:tcBorders>
            <w:shd w:val="clear" w:color="000000" w:fill="FCD5B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65.97</w:t>
            </w:r>
          </w:p>
        </w:tc>
        <w:tc>
          <w:tcPr>
            <w:tcW w:w="1080" w:type="dxa"/>
            <w:gridSpan w:val="2"/>
            <w:tcBorders>
              <w:top w:val="nil"/>
              <w:left w:val="nil"/>
              <w:bottom w:val="single" w:sz="4" w:space="0" w:color="auto"/>
              <w:right w:val="single" w:sz="4" w:space="0" w:color="auto"/>
            </w:tcBorders>
            <w:shd w:val="clear" w:color="000000" w:fill="FAC090"/>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99.73</w:t>
            </w:r>
          </w:p>
        </w:tc>
        <w:tc>
          <w:tcPr>
            <w:tcW w:w="1350" w:type="dxa"/>
            <w:tcBorders>
              <w:top w:val="nil"/>
              <w:left w:val="nil"/>
              <w:bottom w:val="single" w:sz="4" w:space="0" w:color="auto"/>
              <w:right w:val="single" w:sz="4" w:space="0" w:color="auto"/>
            </w:tcBorders>
            <w:shd w:val="clear" w:color="000000" w:fill="FFFF66"/>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110.74</w:t>
            </w:r>
          </w:p>
        </w:tc>
      </w:tr>
      <w:tr w:rsidR="008A38C7" w:rsidRPr="007F7959" w:rsidTr="00D3239F">
        <w:trPr>
          <w:trHeight w:val="300"/>
        </w:trPr>
        <w:tc>
          <w:tcPr>
            <w:tcW w:w="2085" w:type="dxa"/>
            <w:tcBorders>
              <w:top w:val="nil"/>
              <w:left w:val="single" w:sz="4" w:space="0" w:color="auto"/>
              <w:bottom w:val="single" w:sz="4" w:space="0" w:color="auto"/>
              <w:right w:val="single" w:sz="4" w:space="0" w:color="auto"/>
            </w:tcBorders>
            <w:shd w:val="clear" w:color="000000" w:fill="DDD9C3"/>
            <w:noWrap/>
            <w:vAlign w:val="bottom"/>
            <w:hideMark/>
          </w:tcPr>
          <w:p w:rsidR="008A38C7" w:rsidRPr="007F7959" w:rsidRDefault="008A38C7" w:rsidP="00D3239F">
            <w:pPr>
              <w:spacing w:after="0" w:line="240" w:lineRule="auto"/>
              <w:jc w:val="lef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carina</w:t>
            </w:r>
          </w:p>
        </w:tc>
        <w:tc>
          <w:tcPr>
            <w:tcW w:w="1080" w:type="dxa"/>
            <w:tcBorders>
              <w:top w:val="nil"/>
              <w:left w:val="nil"/>
              <w:bottom w:val="single" w:sz="4" w:space="0" w:color="auto"/>
              <w:right w:val="single" w:sz="4" w:space="0" w:color="auto"/>
            </w:tcBorders>
            <w:shd w:val="clear" w:color="000000" w:fill="DBE5F1"/>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23.14</w:t>
            </w:r>
          </w:p>
        </w:tc>
        <w:tc>
          <w:tcPr>
            <w:tcW w:w="1080" w:type="dxa"/>
            <w:tcBorders>
              <w:top w:val="nil"/>
              <w:left w:val="nil"/>
              <w:bottom w:val="single" w:sz="4" w:space="0" w:color="auto"/>
              <w:right w:val="single" w:sz="4" w:space="0" w:color="auto"/>
            </w:tcBorders>
            <w:shd w:val="clear" w:color="000000" w:fill="B8CCE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20.93</w:t>
            </w:r>
          </w:p>
        </w:tc>
        <w:tc>
          <w:tcPr>
            <w:tcW w:w="1080" w:type="dxa"/>
            <w:tcBorders>
              <w:top w:val="nil"/>
              <w:left w:val="nil"/>
              <w:bottom w:val="single" w:sz="4" w:space="0" w:color="auto"/>
              <w:right w:val="single" w:sz="4" w:space="0" w:color="auto"/>
            </w:tcBorders>
            <w:shd w:val="clear" w:color="000000" w:fill="95B3D7"/>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90.45</w:t>
            </w:r>
          </w:p>
        </w:tc>
        <w:tc>
          <w:tcPr>
            <w:tcW w:w="1080" w:type="dxa"/>
            <w:tcBorders>
              <w:top w:val="nil"/>
              <w:left w:val="nil"/>
              <w:bottom w:val="single" w:sz="4" w:space="0" w:color="auto"/>
              <w:right w:val="single" w:sz="4" w:space="0" w:color="auto"/>
            </w:tcBorders>
            <w:shd w:val="clear" w:color="000000" w:fill="EAF1DD"/>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20.63</w:t>
            </w:r>
          </w:p>
        </w:tc>
        <w:tc>
          <w:tcPr>
            <w:tcW w:w="1080" w:type="dxa"/>
            <w:tcBorders>
              <w:top w:val="nil"/>
              <w:left w:val="nil"/>
              <w:bottom w:val="single" w:sz="4" w:space="0" w:color="auto"/>
              <w:right w:val="single" w:sz="4" w:space="0" w:color="auto"/>
            </w:tcBorders>
            <w:shd w:val="clear" w:color="000000" w:fill="D7E4BC"/>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16.39</w:t>
            </w:r>
          </w:p>
        </w:tc>
        <w:tc>
          <w:tcPr>
            <w:tcW w:w="1080" w:type="dxa"/>
            <w:gridSpan w:val="2"/>
            <w:tcBorders>
              <w:top w:val="nil"/>
              <w:left w:val="nil"/>
              <w:bottom w:val="single" w:sz="4" w:space="0" w:color="auto"/>
              <w:right w:val="single" w:sz="4" w:space="0" w:color="auto"/>
            </w:tcBorders>
            <w:shd w:val="clear" w:color="000000" w:fill="C2D69A"/>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79.45</w:t>
            </w:r>
          </w:p>
        </w:tc>
        <w:tc>
          <w:tcPr>
            <w:tcW w:w="1170" w:type="dxa"/>
            <w:gridSpan w:val="2"/>
            <w:tcBorders>
              <w:top w:val="nil"/>
              <w:left w:val="nil"/>
              <w:bottom w:val="single" w:sz="4" w:space="0" w:color="auto"/>
              <w:right w:val="single" w:sz="4" w:space="0" w:color="auto"/>
            </w:tcBorders>
            <w:shd w:val="clear" w:color="000000" w:fill="FDE9D9"/>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17.6</w:t>
            </w:r>
          </w:p>
        </w:tc>
        <w:tc>
          <w:tcPr>
            <w:tcW w:w="1080" w:type="dxa"/>
            <w:tcBorders>
              <w:top w:val="nil"/>
              <w:left w:val="nil"/>
              <w:bottom w:val="single" w:sz="4" w:space="0" w:color="auto"/>
              <w:right w:val="single" w:sz="4" w:space="0" w:color="auto"/>
            </w:tcBorders>
            <w:shd w:val="clear" w:color="000000" w:fill="FCD5B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10.35</w:t>
            </w:r>
          </w:p>
        </w:tc>
        <w:tc>
          <w:tcPr>
            <w:tcW w:w="1080" w:type="dxa"/>
            <w:gridSpan w:val="2"/>
            <w:tcBorders>
              <w:top w:val="nil"/>
              <w:left w:val="nil"/>
              <w:bottom w:val="single" w:sz="4" w:space="0" w:color="auto"/>
              <w:right w:val="single" w:sz="4" w:space="0" w:color="auto"/>
            </w:tcBorders>
            <w:shd w:val="clear" w:color="000000" w:fill="FAC090"/>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58.81</w:t>
            </w:r>
          </w:p>
        </w:tc>
        <w:tc>
          <w:tcPr>
            <w:tcW w:w="1350" w:type="dxa"/>
            <w:tcBorders>
              <w:top w:val="nil"/>
              <w:left w:val="nil"/>
              <w:bottom w:val="single" w:sz="4" w:space="0" w:color="auto"/>
              <w:right w:val="single" w:sz="4" w:space="0" w:color="auto"/>
            </w:tcBorders>
            <w:shd w:val="clear" w:color="000000" w:fill="FFFF66"/>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63.15</w:t>
            </w:r>
          </w:p>
        </w:tc>
      </w:tr>
      <w:tr w:rsidR="008A38C7" w:rsidRPr="007F7959" w:rsidTr="00D3239F">
        <w:trPr>
          <w:trHeight w:val="300"/>
        </w:trPr>
        <w:tc>
          <w:tcPr>
            <w:tcW w:w="2085" w:type="dxa"/>
            <w:tcBorders>
              <w:top w:val="nil"/>
              <w:left w:val="single" w:sz="4" w:space="0" w:color="auto"/>
              <w:bottom w:val="single" w:sz="4" w:space="0" w:color="auto"/>
              <w:right w:val="single" w:sz="4" w:space="0" w:color="auto"/>
            </w:tcBorders>
            <w:shd w:val="clear" w:color="000000" w:fill="DDD9C3"/>
            <w:noWrap/>
            <w:vAlign w:val="bottom"/>
            <w:hideMark/>
          </w:tcPr>
          <w:p w:rsidR="008A38C7" w:rsidRPr="007F7959" w:rsidRDefault="008A38C7" w:rsidP="00D3239F">
            <w:pPr>
              <w:spacing w:after="0" w:line="240" w:lineRule="auto"/>
              <w:jc w:val="lef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promet nepokret</w:t>
            </w:r>
          </w:p>
        </w:tc>
        <w:tc>
          <w:tcPr>
            <w:tcW w:w="1080" w:type="dxa"/>
            <w:tcBorders>
              <w:top w:val="nil"/>
              <w:left w:val="nil"/>
              <w:bottom w:val="single" w:sz="4" w:space="0" w:color="auto"/>
              <w:right w:val="single" w:sz="4" w:space="0" w:color="auto"/>
            </w:tcBorders>
            <w:shd w:val="clear" w:color="000000" w:fill="DBE5F1"/>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0.83</w:t>
            </w:r>
          </w:p>
        </w:tc>
        <w:tc>
          <w:tcPr>
            <w:tcW w:w="1080" w:type="dxa"/>
            <w:tcBorders>
              <w:top w:val="nil"/>
              <w:left w:val="nil"/>
              <w:bottom w:val="single" w:sz="4" w:space="0" w:color="auto"/>
              <w:right w:val="single" w:sz="4" w:space="0" w:color="auto"/>
            </w:tcBorders>
            <w:shd w:val="clear" w:color="000000" w:fill="B8CCE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0.55</w:t>
            </w:r>
          </w:p>
        </w:tc>
        <w:tc>
          <w:tcPr>
            <w:tcW w:w="1080" w:type="dxa"/>
            <w:tcBorders>
              <w:top w:val="nil"/>
              <w:left w:val="nil"/>
              <w:bottom w:val="single" w:sz="4" w:space="0" w:color="auto"/>
              <w:right w:val="single" w:sz="4" w:space="0" w:color="auto"/>
            </w:tcBorders>
            <w:shd w:val="clear" w:color="000000" w:fill="95B3D7"/>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66.27</w:t>
            </w:r>
          </w:p>
        </w:tc>
        <w:tc>
          <w:tcPr>
            <w:tcW w:w="1080" w:type="dxa"/>
            <w:tcBorders>
              <w:top w:val="nil"/>
              <w:left w:val="nil"/>
              <w:bottom w:val="single" w:sz="4" w:space="0" w:color="auto"/>
              <w:right w:val="single" w:sz="4" w:space="0" w:color="auto"/>
            </w:tcBorders>
            <w:shd w:val="clear" w:color="000000" w:fill="EAF1DD"/>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0.69</w:t>
            </w:r>
          </w:p>
        </w:tc>
        <w:tc>
          <w:tcPr>
            <w:tcW w:w="1080" w:type="dxa"/>
            <w:tcBorders>
              <w:top w:val="nil"/>
              <w:left w:val="nil"/>
              <w:bottom w:val="single" w:sz="4" w:space="0" w:color="auto"/>
              <w:right w:val="single" w:sz="4" w:space="0" w:color="auto"/>
            </w:tcBorders>
            <w:shd w:val="clear" w:color="000000" w:fill="D7E4BC"/>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0.67</w:t>
            </w:r>
          </w:p>
        </w:tc>
        <w:tc>
          <w:tcPr>
            <w:tcW w:w="1080" w:type="dxa"/>
            <w:gridSpan w:val="2"/>
            <w:tcBorders>
              <w:top w:val="nil"/>
              <w:left w:val="nil"/>
              <w:bottom w:val="single" w:sz="4" w:space="0" w:color="auto"/>
              <w:right w:val="single" w:sz="4" w:space="0" w:color="auto"/>
            </w:tcBorders>
            <w:shd w:val="clear" w:color="000000" w:fill="C2D69A"/>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97.10</w:t>
            </w:r>
          </w:p>
        </w:tc>
        <w:tc>
          <w:tcPr>
            <w:tcW w:w="1170" w:type="dxa"/>
            <w:gridSpan w:val="2"/>
            <w:tcBorders>
              <w:top w:val="nil"/>
              <w:left w:val="nil"/>
              <w:bottom w:val="single" w:sz="4" w:space="0" w:color="auto"/>
              <w:right w:val="single" w:sz="4" w:space="0" w:color="auto"/>
            </w:tcBorders>
            <w:shd w:val="clear" w:color="000000" w:fill="FDE9D9"/>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0.71</w:t>
            </w:r>
          </w:p>
        </w:tc>
        <w:tc>
          <w:tcPr>
            <w:tcW w:w="1080" w:type="dxa"/>
            <w:tcBorders>
              <w:top w:val="nil"/>
              <w:left w:val="nil"/>
              <w:bottom w:val="single" w:sz="4" w:space="0" w:color="auto"/>
              <w:right w:val="single" w:sz="4" w:space="0" w:color="auto"/>
            </w:tcBorders>
            <w:shd w:val="clear" w:color="000000" w:fill="FCD5B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0.63</w:t>
            </w:r>
          </w:p>
        </w:tc>
        <w:tc>
          <w:tcPr>
            <w:tcW w:w="1080" w:type="dxa"/>
            <w:gridSpan w:val="2"/>
            <w:tcBorders>
              <w:top w:val="nil"/>
              <w:left w:val="nil"/>
              <w:bottom w:val="single" w:sz="4" w:space="0" w:color="auto"/>
              <w:right w:val="single" w:sz="4" w:space="0" w:color="auto"/>
            </w:tcBorders>
            <w:shd w:val="clear" w:color="000000" w:fill="FAC090"/>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88.73</w:t>
            </w:r>
          </w:p>
        </w:tc>
        <w:tc>
          <w:tcPr>
            <w:tcW w:w="1350" w:type="dxa"/>
            <w:tcBorders>
              <w:top w:val="nil"/>
              <w:left w:val="nil"/>
              <w:bottom w:val="single" w:sz="4" w:space="0" w:color="auto"/>
              <w:right w:val="single" w:sz="4" w:space="0" w:color="auto"/>
            </w:tcBorders>
            <w:shd w:val="clear" w:color="000000" w:fill="FFFF66"/>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94.03</w:t>
            </w:r>
          </w:p>
        </w:tc>
      </w:tr>
      <w:tr w:rsidR="008A38C7" w:rsidRPr="007F7959" w:rsidTr="00D3239F">
        <w:trPr>
          <w:trHeight w:val="300"/>
        </w:trPr>
        <w:tc>
          <w:tcPr>
            <w:tcW w:w="2085" w:type="dxa"/>
            <w:tcBorders>
              <w:top w:val="nil"/>
              <w:left w:val="single" w:sz="4" w:space="0" w:color="auto"/>
              <w:bottom w:val="single" w:sz="4" w:space="0" w:color="auto"/>
              <w:right w:val="single" w:sz="4" w:space="0" w:color="auto"/>
            </w:tcBorders>
            <w:shd w:val="clear" w:color="000000" w:fill="DDD9C3"/>
            <w:noWrap/>
            <w:vAlign w:val="bottom"/>
            <w:hideMark/>
          </w:tcPr>
          <w:p w:rsidR="008A38C7" w:rsidRPr="007F7959" w:rsidRDefault="008A38C7" w:rsidP="00D3239F">
            <w:pPr>
              <w:spacing w:after="0" w:line="240" w:lineRule="auto"/>
              <w:jc w:val="lef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ostali porezi</w:t>
            </w:r>
          </w:p>
        </w:tc>
        <w:tc>
          <w:tcPr>
            <w:tcW w:w="1080" w:type="dxa"/>
            <w:tcBorders>
              <w:top w:val="nil"/>
              <w:left w:val="nil"/>
              <w:bottom w:val="single" w:sz="4" w:space="0" w:color="auto"/>
              <w:right w:val="single" w:sz="4" w:space="0" w:color="auto"/>
            </w:tcBorders>
            <w:shd w:val="clear" w:color="000000" w:fill="DBE5F1"/>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1.58</w:t>
            </w:r>
          </w:p>
        </w:tc>
        <w:tc>
          <w:tcPr>
            <w:tcW w:w="1080" w:type="dxa"/>
            <w:tcBorders>
              <w:top w:val="nil"/>
              <w:left w:val="nil"/>
              <w:bottom w:val="single" w:sz="4" w:space="0" w:color="auto"/>
              <w:right w:val="single" w:sz="4" w:space="0" w:color="auto"/>
            </w:tcBorders>
            <w:shd w:val="clear" w:color="000000" w:fill="B8CCE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2.02</w:t>
            </w:r>
          </w:p>
        </w:tc>
        <w:tc>
          <w:tcPr>
            <w:tcW w:w="1080" w:type="dxa"/>
            <w:tcBorders>
              <w:top w:val="nil"/>
              <w:left w:val="nil"/>
              <w:bottom w:val="single" w:sz="4" w:space="0" w:color="auto"/>
              <w:right w:val="single" w:sz="4" w:space="0" w:color="auto"/>
            </w:tcBorders>
            <w:shd w:val="clear" w:color="000000" w:fill="95B3D7"/>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127.85</w:t>
            </w:r>
          </w:p>
        </w:tc>
        <w:tc>
          <w:tcPr>
            <w:tcW w:w="1080" w:type="dxa"/>
            <w:tcBorders>
              <w:top w:val="nil"/>
              <w:left w:val="nil"/>
              <w:bottom w:val="single" w:sz="4" w:space="0" w:color="auto"/>
              <w:right w:val="single" w:sz="4" w:space="0" w:color="auto"/>
            </w:tcBorders>
            <w:shd w:val="clear" w:color="000000" w:fill="EAF1DD"/>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1.96</w:t>
            </w:r>
          </w:p>
        </w:tc>
        <w:tc>
          <w:tcPr>
            <w:tcW w:w="1080" w:type="dxa"/>
            <w:tcBorders>
              <w:top w:val="nil"/>
              <w:left w:val="nil"/>
              <w:bottom w:val="single" w:sz="4" w:space="0" w:color="auto"/>
              <w:right w:val="single" w:sz="4" w:space="0" w:color="auto"/>
            </w:tcBorders>
            <w:shd w:val="clear" w:color="000000" w:fill="D7E4BC"/>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2</w:t>
            </w:r>
          </w:p>
        </w:tc>
        <w:tc>
          <w:tcPr>
            <w:tcW w:w="1080" w:type="dxa"/>
            <w:gridSpan w:val="2"/>
            <w:tcBorders>
              <w:top w:val="nil"/>
              <w:left w:val="nil"/>
              <w:bottom w:val="single" w:sz="4" w:space="0" w:color="auto"/>
              <w:right w:val="single" w:sz="4" w:space="0" w:color="auto"/>
            </w:tcBorders>
            <w:shd w:val="clear" w:color="000000" w:fill="C2D69A"/>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102.04</w:t>
            </w:r>
          </w:p>
        </w:tc>
        <w:tc>
          <w:tcPr>
            <w:tcW w:w="1170" w:type="dxa"/>
            <w:gridSpan w:val="2"/>
            <w:tcBorders>
              <w:top w:val="nil"/>
              <w:left w:val="nil"/>
              <w:bottom w:val="single" w:sz="4" w:space="0" w:color="auto"/>
              <w:right w:val="single" w:sz="4" w:space="0" w:color="auto"/>
            </w:tcBorders>
            <w:shd w:val="clear" w:color="000000" w:fill="FDE9D9"/>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2.06</w:t>
            </w:r>
          </w:p>
        </w:tc>
        <w:tc>
          <w:tcPr>
            <w:tcW w:w="1080" w:type="dxa"/>
            <w:tcBorders>
              <w:top w:val="nil"/>
              <w:left w:val="nil"/>
              <w:bottom w:val="single" w:sz="4" w:space="0" w:color="auto"/>
              <w:right w:val="single" w:sz="4" w:space="0" w:color="auto"/>
            </w:tcBorders>
            <w:shd w:val="clear" w:color="000000" w:fill="FCD5B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2.3</w:t>
            </w:r>
          </w:p>
        </w:tc>
        <w:tc>
          <w:tcPr>
            <w:tcW w:w="1080" w:type="dxa"/>
            <w:gridSpan w:val="2"/>
            <w:tcBorders>
              <w:top w:val="nil"/>
              <w:left w:val="nil"/>
              <w:bottom w:val="single" w:sz="4" w:space="0" w:color="auto"/>
              <w:right w:val="single" w:sz="4" w:space="0" w:color="auto"/>
            </w:tcBorders>
            <w:shd w:val="clear" w:color="000000" w:fill="FAC090"/>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111.65</w:t>
            </w:r>
          </w:p>
        </w:tc>
        <w:tc>
          <w:tcPr>
            <w:tcW w:w="1350" w:type="dxa"/>
            <w:tcBorders>
              <w:top w:val="nil"/>
              <w:left w:val="nil"/>
              <w:bottom w:val="single" w:sz="4" w:space="0" w:color="auto"/>
              <w:right w:val="single" w:sz="4" w:space="0" w:color="auto"/>
            </w:tcBorders>
            <w:shd w:val="clear" w:color="000000" w:fill="FFFF66"/>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115.00</w:t>
            </w:r>
          </w:p>
        </w:tc>
      </w:tr>
      <w:tr w:rsidR="008A38C7" w:rsidRPr="007F7959" w:rsidTr="00D3239F">
        <w:trPr>
          <w:trHeight w:val="300"/>
        </w:trPr>
        <w:tc>
          <w:tcPr>
            <w:tcW w:w="2085" w:type="dxa"/>
            <w:tcBorders>
              <w:top w:val="nil"/>
              <w:left w:val="single" w:sz="4" w:space="0" w:color="auto"/>
              <w:bottom w:val="single" w:sz="4" w:space="0" w:color="auto"/>
              <w:right w:val="single" w:sz="4" w:space="0" w:color="auto"/>
            </w:tcBorders>
            <w:shd w:val="clear" w:color="000000" w:fill="DDD9C3"/>
            <w:noWrap/>
            <w:vAlign w:val="bottom"/>
            <w:hideMark/>
          </w:tcPr>
          <w:p w:rsidR="008A38C7" w:rsidRPr="007F7959" w:rsidRDefault="008A38C7" w:rsidP="00D3239F">
            <w:pPr>
              <w:spacing w:after="0" w:line="240" w:lineRule="auto"/>
              <w:jc w:val="lef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administ.takse</w:t>
            </w:r>
          </w:p>
        </w:tc>
        <w:tc>
          <w:tcPr>
            <w:tcW w:w="1080" w:type="dxa"/>
            <w:tcBorders>
              <w:top w:val="nil"/>
              <w:left w:val="nil"/>
              <w:bottom w:val="single" w:sz="4" w:space="0" w:color="auto"/>
              <w:right w:val="single" w:sz="4" w:space="0" w:color="auto"/>
            </w:tcBorders>
            <w:shd w:val="clear" w:color="000000" w:fill="DBE5F1"/>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6.42</w:t>
            </w:r>
          </w:p>
        </w:tc>
        <w:tc>
          <w:tcPr>
            <w:tcW w:w="1080" w:type="dxa"/>
            <w:tcBorders>
              <w:top w:val="nil"/>
              <w:left w:val="nil"/>
              <w:bottom w:val="single" w:sz="4" w:space="0" w:color="auto"/>
              <w:right w:val="single" w:sz="4" w:space="0" w:color="auto"/>
            </w:tcBorders>
            <w:shd w:val="clear" w:color="000000" w:fill="B8CCE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5.41</w:t>
            </w:r>
          </w:p>
        </w:tc>
        <w:tc>
          <w:tcPr>
            <w:tcW w:w="1080" w:type="dxa"/>
            <w:tcBorders>
              <w:top w:val="nil"/>
              <w:left w:val="nil"/>
              <w:bottom w:val="single" w:sz="4" w:space="0" w:color="auto"/>
              <w:right w:val="single" w:sz="4" w:space="0" w:color="auto"/>
            </w:tcBorders>
            <w:shd w:val="clear" w:color="000000" w:fill="95B3D7"/>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84.27</w:t>
            </w:r>
          </w:p>
        </w:tc>
        <w:tc>
          <w:tcPr>
            <w:tcW w:w="1080" w:type="dxa"/>
            <w:tcBorders>
              <w:top w:val="nil"/>
              <w:left w:val="nil"/>
              <w:bottom w:val="single" w:sz="4" w:space="0" w:color="auto"/>
              <w:right w:val="single" w:sz="4" w:space="0" w:color="auto"/>
            </w:tcBorders>
            <w:shd w:val="clear" w:color="000000" w:fill="EAF1DD"/>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5.4</w:t>
            </w:r>
          </w:p>
        </w:tc>
        <w:tc>
          <w:tcPr>
            <w:tcW w:w="1080" w:type="dxa"/>
            <w:tcBorders>
              <w:top w:val="nil"/>
              <w:left w:val="nil"/>
              <w:bottom w:val="single" w:sz="4" w:space="0" w:color="auto"/>
              <w:right w:val="single" w:sz="4" w:space="0" w:color="auto"/>
            </w:tcBorders>
            <w:shd w:val="clear" w:color="000000" w:fill="D7E4BC"/>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4.16</w:t>
            </w:r>
          </w:p>
        </w:tc>
        <w:tc>
          <w:tcPr>
            <w:tcW w:w="1080" w:type="dxa"/>
            <w:gridSpan w:val="2"/>
            <w:tcBorders>
              <w:top w:val="nil"/>
              <w:left w:val="nil"/>
              <w:bottom w:val="single" w:sz="4" w:space="0" w:color="auto"/>
              <w:right w:val="single" w:sz="4" w:space="0" w:color="auto"/>
            </w:tcBorders>
            <w:shd w:val="clear" w:color="000000" w:fill="C2D69A"/>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77.04</w:t>
            </w:r>
          </w:p>
        </w:tc>
        <w:tc>
          <w:tcPr>
            <w:tcW w:w="1170" w:type="dxa"/>
            <w:gridSpan w:val="2"/>
            <w:tcBorders>
              <w:top w:val="nil"/>
              <w:left w:val="nil"/>
              <w:bottom w:val="single" w:sz="4" w:space="0" w:color="auto"/>
              <w:right w:val="single" w:sz="4" w:space="0" w:color="auto"/>
            </w:tcBorders>
            <w:shd w:val="clear" w:color="000000" w:fill="FDE9D9"/>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4.25</w:t>
            </w:r>
          </w:p>
        </w:tc>
        <w:tc>
          <w:tcPr>
            <w:tcW w:w="1080" w:type="dxa"/>
            <w:tcBorders>
              <w:top w:val="nil"/>
              <w:left w:val="nil"/>
              <w:bottom w:val="single" w:sz="4" w:space="0" w:color="auto"/>
              <w:right w:val="single" w:sz="4" w:space="0" w:color="auto"/>
            </w:tcBorders>
            <w:shd w:val="clear" w:color="000000" w:fill="FCD5B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3.6</w:t>
            </w:r>
          </w:p>
        </w:tc>
        <w:tc>
          <w:tcPr>
            <w:tcW w:w="1080" w:type="dxa"/>
            <w:gridSpan w:val="2"/>
            <w:tcBorders>
              <w:top w:val="nil"/>
              <w:left w:val="nil"/>
              <w:bottom w:val="single" w:sz="4" w:space="0" w:color="auto"/>
              <w:right w:val="single" w:sz="4" w:space="0" w:color="auto"/>
            </w:tcBorders>
            <w:shd w:val="clear" w:color="000000" w:fill="FAC090"/>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84.71</w:t>
            </w:r>
          </w:p>
        </w:tc>
        <w:tc>
          <w:tcPr>
            <w:tcW w:w="1350" w:type="dxa"/>
            <w:tcBorders>
              <w:top w:val="nil"/>
              <w:left w:val="nil"/>
              <w:bottom w:val="single" w:sz="4" w:space="0" w:color="auto"/>
              <w:right w:val="single" w:sz="4" w:space="0" w:color="auto"/>
            </w:tcBorders>
            <w:shd w:val="clear" w:color="000000" w:fill="FFFF66"/>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86.54</w:t>
            </w:r>
          </w:p>
        </w:tc>
      </w:tr>
      <w:tr w:rsidR="008A38C7" w:rsidRPr="007F7959" w:rsidTr="00D3239F">
        <w:trPr>
          <w:trHeight w:val="300"/>
        </w:trPr>
        <w:tc>
          <w:tcPr>
            <w:tcW w:w="2085" w:type="dxa"/>
            <w:tcBorders>
              <w:top w:val="nil"/>
              <w:left w:val="single" w:sz="4" w:space="0" w:color="auto"/>
              <w:bottom w:val="single" w:sz="4" w:space="0" w:color="auto"/>
              <w:right w:val="single" w:sz="4" w:space="0" w:color="auto"/>
            </w:tcBorders>
            <w:shd w:val="clear" w:color="000000" w:fill="DDD9C3"/>
            <w:noWrap/>
            <w:vAlign w:val="bottom"/>
            <w:hideMark/>
          </w:tcPr>
          <w:p w:rsidR="008A38C7" w:rsidRPr="007F7959" w:rsidRDefault="008A38C7" w:rsidP="00D3239F">
            <w:pPr>
              <w:spacing w:after="0" w:line="240" w:lineRule="auto"/>
              <w:jc w:val="lef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sudske takse</w:t>
            </w:r>
          </w:p>
        </w:tc>
        <w:tc>
          <w:tcPr>
            <w:tcW w:w="1080" w:type="dxa"/>
            <w:tcBorders>
              <w:top w:val="nil"/>
              <w:left w:val="nil"/>
              <w:bottom w:val="single" w:sz="4" w:space="0" w:color="auto"/>
              <w:right w:val="single" w:sz="4" w:space="0" w:color="auto"/>
            </w:tcBorders>
            <w:shd w:val="clear" w:color="000000" w:fill="DBE5F1"/>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3.76</w:t>
            </w:r>
          </w:p>
        </w:tc>
        <w:tc>
          <w:tcPr>
            <w:tcW w:w="1080" w:type="dxa"/>
            <w:tcBorders>
              <w:top w:val="nil"/>
              <w:left w:val="nil"/>
              <w:bottom w:val="single" w:sz="4" w:space="0" w:color="auto"/>
              <w:right w:val="single" w:sz="4" w:space="0" w:color="auto"/>
            </w:tcBorders>
            <w:shd w:val="clear" w:color="000000" w:fill="B8CCE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2.09</w:t>
            </w:r>
          </w:p>
        </w:tc>
        <w:tc>
          <w:tcPr>
            <w:tcW w:w="1080" w:type="dxa"/>
            <w:tcBorders>
              <w:top w:val="nil"/>
              <w:left w:val="nil"/>
              <w:bottom w:val="single" w:sz="4" w:space="0" w:color="auto"/>
              <w:right w:val="single" w:sz="4" w:space="0" w:color="auto"/>
            </w:tcBorders>
            <w:shd w:val="clear" w:color="000000" w:fill="95B3D7"/>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55.59</w:t>
            </w:r>
          </w:p>
        </w:tc>
        <w:tc>
          <w:tcPr>
            <w:tcW w:w="1080" w:type="dxa"/>
            <w:tcBorders>
              <w:top w:val="nil"/>
              <w:left w:val="nil"/>
              <w:bottom w:val="single" w:sz="4" w:space="0" w:color="auto"/>
              <w:right w:val="single" w:sz="4" w:space="0" w:color="auto"/>
            </w:tcBorders>
            <w:shd w:val="clear" w:color="000000" w:fill="EAF1DD"/>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2.3</w:t>
            </w:r>
          </w:p>
        </w:tc>
        <w:tc>
          <w:tcPr>
            <w:tcW w:w="1080" w:type="dxa"/>
            <w:tcBorders>
              <w:top w:val="nil"/>
              <w:left w:val="nil"/>
              <w:bottom w:val="single" w:sz="4" w:space="0" w:color="auto"/>
              <w:right w:val="single" w:sz="4" w:space="0" w:color="auto"/>
            </w:tcBorders>
            <w:shd w:val="clear" w:color="000000" w:fill="D7E4BC"/>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1.75</w:t>
            </w:r>
          </w:p>
        </w:tc>
        <w:tc>
          <w:tcPr>
            <w:tcW w:w="1080" w:type="dxa"/>
            <w:gridSpan w:val="2"/>
            <w:tcBorders>
              <w:top w:val="nil"/>
              <w:left w:val="nil"/>
              <w:bottom w:val="single" w:sz="4" w:space="0" w:color="auto"/>
              <w:right w:val="single" w:sz="4" w:space="0" w:color="auto"/>
            </w:tcBorders>
            <w:shd w:val="clear" w:color="000000" w:fill="C2D69A"/>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76.09</w:t>
            </w:r>
          </w:p>
        </w:tc>
        <w:tc>
          <w:tcPr>
            <w:tcW w:w="1170" w:type="dxa"/>
            <w:gridSpan w:val="2"/>
            <w:tcBorders>
              <w:top w:val="nil"/>
              <w:left w:val="nil"/>
              <w:bottom w:val="single" w:sz="4" w:space="0" w:color="auto"/>
              <w:right w:val="single" w:sz="4" w:space="0" w:color="auto"/>
            </w:tcBorders>
            <w:shd w:val="clear" w:color="000000" w:fill="FDE9D9"/>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1.78</w:t>
            </w:r>
          </w:p>
        </w:tc>
        <w:tc>
          <w:tcPr>
            <w:tcW w:w="1080" w:type="dxa"/>
            <w:tcBorders>
              <w:top w:val="nil"/>
              <w:left w:val="nil"/>
              <w:bottom w:val="single" w:sz="4" w:space="0" w:color="auto"/>
              <w:right w:val="single" w:sz="4" w:space="0" w:color="auto"/>
            </w:tcBorders>
            <w:shd w:val="clear" w:color="000000" w:fill="FCD5B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1.75</w:t>
            </w:r>
          </w:p>
        </w:tc>
        <w:tc>
          <w:tcPr>
            <w:tcW w:w="1080" w:type="dxa"/>
            <w:gridSpan w:val="2"/>
            <w:tcBorders>
              <w:top w:val="nil"/>
              <w:left w:val="nil"/>
              <w:bottom w:val="single" w:sz="4" w:space="0" w:color="auto"/>
              <w:right w:val="single" w:sz="4" w:space="0" w:color="auto"/>
            </w:tcBorders>
            <w:shd w:val="clear" w:color="000000" w:fill="FAC090"/>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98.31</w:t>
            </w:r>
          </w:p>
        </w:tc>
        <w:tc>
          <w:tcPr>
            <w:tcW w:w="1350" w:type="dxa"/>
            <w:tcBorders>
              <w:top w:val="nil"/>
              <w:left w:val="nil"/>
              <w:bottom w:val="single" w:sz="4" w:space="0" w:color="auto"/>
              <w:right w:val="single" w:sz="4" w:space="0" w:color="auto"/>
            </w:tcBorders>
            <w:shd w:val="clear" w:color="000000" w:fill="FFFF66"/>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100.00</w:t>
            </w:r>
          </w:p>
        </w:tc>
      </w:tr>
      <w:tr w:rsidR="008A38C7" w:rsidRPr="007F7959" w:rsidTr="00D3239F">
        <w:trPr>
          <w:trHeight w:val="300"/>
        </w:trPr>
        <w:tc>
          <w:tcPr>
            <w:tcW w:w="2085" w:type="dxa"/>
            <w:tcBorders>
              <w:top w:val="nil"/>
              <w:left w:val="single" w:sz="4" w:space="0" w:color="auto"/>
              <w:bottom w:val="single" w:sz="4" w:space="0" w:color="auto"/>
              <w:right w:val="single" w:sz="4" w:space="0" w:color="auto"/>
            </w:tcBorders>
            <w:shd w:val="clear" w:color="000000" w:fill="DDD9C3"/>
            <w:noWrap/>
            <w:vAlign w:val="bottom"/>
            <w:hideMark/>
          </w:tcPr>
          <w:p w:rsidR="008A38C7" w:rsidRPr="007F7959" w:rsidRDefault="008A38C7" w:rsidP="00D3239F">
            <w:pPr>
              <w:spacing w:after="0" w:line="240" w:lineRule="auto"/>
              <w:jc w:val="lef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ostale takse</w:t>
            </w:r>
          </w:p>
        </w:tc>
        <w:tc>
          <w:tcPr>
            <w:tcW w:w="1080" w:type="dxa"/>
            <w:tcBorders>
              <w:top w:val="nil"/>
              <w:left w:val="nil"/>
              <w:bottom w:val="single" w:sz="4" w:space="0" w:color="auto"/>
              <w:right w:val="single" w:sz="4" w:space="0" w:color="auto"/>
            </w:tcBorders>
            <w:shd w:val="clear" w:color="000000" w:fill="DBE5F1"/>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0.21</w:t>
            </w:r>
          </w:p>
        </w:tc>
        <w:tc>
          <w:tcPr>
            <w:tcW w:w="1080" w:type="dxa"/>
            <w:tcBorders>
              <w:top w:val="nil"/>
              <w:left w:val="nil"/>
              <w:bottom w:val="single" w:sz="4" w:space="0" w:color="auto"/>
              <w:right w:val="single" w:sz="4" w:space="0" w:color="auto"/>
            </w:tcBorders>
            <w:shd w:val="clear" w:color="000000" w:fill="B8CCE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0.22</w:t>
            </w:r>
          </w:p>
        </w:tc>
        <w:tc>
          <w:tcPr>
            <w:tcW w:w="1080" w:type="dxa"/>
            <w:tcBorders>
              <w:top w:val="nil"/>
              <w:left w:val="nil"/>
              <w:bottom w:val="single" w:sz="4" w:space="0" w:color="auto"/>
              <w:right w:val="single" w:sz="4" w:space="0" w:color="auto"/>
            </w:tcBorders>
            <w:shd w:val="clear" w:color="000000" w:fill="95B3D7"/>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104.76</w:t>
            </w:r>
          </w:p>
        </w:tc>
        <w:tc>
          <w:tcPr>
            <w:tcW w:w="1080" w:type="dxa"/>
            <w:tcBorders>
              <w:top w:val="nil"/>
              <w:left w:val="nil"/>
              <w:bottom w:val="single" w:sz="4" w:space="0" w:color="auto"/>
              <w:right w:val="single" w:sz="4" w:space="0" w:color="auto"/>
            </w:tcBorders>
            <w:shd w:val="clear" w:color="000000" w:fill="EAF1DD"/>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2.73</w:t>
            </w:r>
          </w:p>
        </w:tc>
        <w:tc>
          <w:tcPr>
            <w:tcW w:w="1080" w:type="dxa"/>
            <w:tcBorders>
              <w:top w:val="nil"/>
              <w:left w:val="nil"/>
              <w:bottom w:val="single" w:sz="4" w:space="0" w:color="auto"/>
              <w:right w:val="single" w:sz="4" w:space="0" w:color="auto"/>
            </w:tcBorders>
            <w:shd w:val="clear" w:color="000000" w:fill="D7E4BC"/>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0.26</w:t>
            </w:r>
          </w:p>
        </w:tc>
        <w:tc>
          <w:tcPr>
            <w:tcW w:w="1080" w:type="dxa"/>
            <w:gridSpan w:val="2"/>
            <w:tcBorders>
              <w:top w:val="nil"/>
              <w:left w:val="nil"/>
              <w:bottom w:val="single" w:sz="4" w:space="0" w:color="auto"/>
              <w:right w:val="single" w:sz="4" w:space="0" w:color="auto"/>
            </w:tcBorders>
            <w:shd w:val="clear" w:color="000000" w:fill="C2D69A"/>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9.52</w:t>
            </w:r>
          </w:p>
        </w:tc>
        <w:tc>
          <w:tcPr>
            <w:tcW w:w="1170" w:type="dxa"/>
            <w:gridSpan w:val="2"/>
            <w:tcBorders>
              <w:top w:val="nil"/>
              <w:left w:val="nil"/>
              <w:bottom w:val="single" w:sz="4" w:space="0" w:color="auto"/>
              <w:right w:val="single" w:sz="4" w:space="0" w:color="auto"/>
            </w:tcBorders>
            <w:shd w:val="clear" w:color="000000" w:fill="FDE9D9"/>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7.92</w:t>
            </w:r>
          </w:p>
        </w:tc>
        <w:tc>
          <w:tcPr>
            <w:tcW w:w="1080" w:type="dxa"/>
            <w:tcBorders>
              <w:top w:val="nil"/>
              <w:left w:val="nil"/>
              <w:bottom w:val="single" w:sz="4" w:space="0" w:color="auto"/>
              <w:right w:val="single" w:sz="4" w:space="0" w:color="auto"/>
            </w:tcBorders>
            <w:shd w:val="clear" w:color="000000" w:fill="FCD5B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5.86</w:t>
            </w:r>
          </w:p>
        </w:tc>
        <w:tc>
          <w:tcPr>
            <w:tcW w:w="1080" w:type="dxa"/>
            <w:gridSpan w:val="2"/>
            <w:tcBorders>
              <w:top w:val="nil"/>
              <w:left w:val="nil"/>
              <w:bottom w:val="single" w:sz="4" w:space="0" w:color="auto"/>
              <w:right w:val="single" w:sz="4" w:space="0" w:color="auto"/>
            </w:tcBorders>
            <w:shd w:val="clear" w:color="000000" w:fill="FAC090"/>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73.99</w:t>
            </w:r>
          </w:p>
        </w:tc>
        <w:tc>
          <w:tcPr>
            <w:tcW w:w="1350" w:type="dxa"/>
            <w:tcBorders>
              <w:top w:val="nil"/>
              <w:left w:val="nil"/>
              <w:bottom w:val="single" w:sz="4" w:space="0" w:color="auto"/>
              <w:right w:val="single" w:sz="4" w:space="0" w:color="auto"/>
            </w:tcBorders>
            <w:shd w:val="clear" w:color="000000" w:fill="FFFF66"/>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2253.85</w:t>
            </w:r>
          </w:p>
        </w:tc>
      </w:tr>
      <w:tr w:rsidR="008A38C7" w:rsidRPr="007F7959" w:rsidTr="00D3239F">
        <w:trPr>
          <w:trHeight w:val="300"/>
        </w:trPr>
        <w:tc>
          <w:tcPr>
            <w:tcW w:w="2085" w:type="dxa"/>
            <w:tcBorders>
              <w:top w:val="nil"/>
              <w:left w:val="single" w:sz="4" w:space="0" w:color="auto"/>
              <w:bottom w:val="single" w:sz="4" w:space="0" w:color="auto"/>
              <w:right w:val="single" w:sz="4" w:space="0" w:color="auto"/>
            </w:tcBorders>
            <w:shd w:val="clear" w:color="000000" w:fill="DDD9C3"/>
            <w:noWrap/>
            <w:vAlign w:val="bottom"/>
            <w:hideMark/>
          </w:tcPr>
          <w:p w:rsidR="008A38C7" w:rsidRPr="007F7959" w:rsidRDefault="008A38C7" w:rsidP="00D3239F">
            <w:pPr>
              <w:spacing w:after="0" w:line="240" w:lineRule="auto"/>
              <w:jc w:val="lef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koncesije i naknade</w:t>
            </w:r>
          </w:p>
        </w:tc>
        <w:tc>
          <w:tcPr>
            <w:tcW w:w="1080" w:type="dxa"/>
            <w:tcBorders>
              <w:top w:val="nil"/>
              <w:left w:val="nil"/>
              <w:bottom w:val="single" w:sz="4" w:space="0" w:color="auto"/>
              <w:right w:val="single" w:sz="4" w:space="0" w:color="auto"/>
            </w:tcBorders>
            <w:shd w:val="clear" w:color="000000" w:fill="DBE5F1"/>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9.35</w:t>
            </w:r>
          </w:p>
        </w:tc>
        <w:tc>
          <w:tcPr>
            <w:tcW w:w="1080" w:type="dxa"/>
            <w:tcBorders>
              <w:top w:val="nil"/>
              <w:left w:val="nil"/>
              <w:bottom w:val="single" w:sz="4" w:space="0" w:color="auto"/>
              <w:right w:val="single" w:sz="4" w:space="0" w:color="auto"/>
            </w:tcBorders>
            <w:shd w:val="clear" w:color="000000" w:fill="B8CCE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10.8</w:t>
            </w:r>
          </w:p>
        </w:tc>
        <w:tc>
          <w:tcPr>
            <w:tcW w:w="1080" w:type="dxa"/>
            <w:tcBorders>
              <w:top w:val="nil"/>
              <w:left w:val="nil"/>
              <w:bottom w:val="single" w:sz="4" w:space="0" w:color="auto"/>
              <w:right w:val="single" w:sz="4" w:space="0" w:color="auto"/>
            </w:tcBorders>
            <w:shd w:val="clear" w:color="000000" w:fill="95B3D7"/>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115.51</w:t>
            </w:r>
          </w:p>
        </w:tc>
        <w:tc>
          <w:tcPr>
            <w:tcW w:w="1080" w:type="dxa"/>
            <w:tcBorders>
              <w:top w:val="nil"/>
              <w:left w:val="nil"/>
              <w:bottom w:val="single" w:sz="4" w:space="0" w:color="auto"/>
              <w:right w:val="single" w:sz="4" w:space="0" w:color="auto"/>
            </w:tcBorders>
            <w:shd w:val="clear" w:color="000000" w:fill="EAF1DD"/>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7.11</w:t>
            </w:r>
          </w:p>
        </w:tc>
        <w:tc>
          <w:tcPr>
            <w:tcW w:w="1080" w:type="dxa"/>
            <w:tcBorders>
              <w:top w:val="nil"/>
              <w:left w:val="nil"/>
              <w:bottom w:val="single" w:sz="4" w:space="0" w:color="auto"/>
              <w:right w:val="single" w:sz="4" w:space="0" w:color="auto"/>
            </w:tcBorders>
            <w:shd w:val="clear" w:color="000000" w:fill="D7E4BC"/>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5.56</w:t>
            </w:r>
          </w:p>
        </w:tc>
        <w:tc>
          <w:tcPr>
            <w:tcW w:w="1080" w:type="dxa"/>
            <w:gridSpan w:val="2"/>
            <w:tcBorders>
              <w:top w:val="nil"/>
              <w:left w:val="nil"/>
              <w:bottom w:val="single" w:sz="4" w:space="0" w:color="auto"/>
              <w:right w:val="single" w:sz="4" w:space="0" w:color="auto"/>
            </w:tcBorders>
            <w:shd w:val="clear" w:color="000000" w:fill="C2D69A"/>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78.20</w:t>
            </w:r>
          </w:p>
        </w:tc>
        <w:tc>
          <w:tcPr>
            <w:tcW w:w="1170" w:type="dxa"/>
            <w:gridSpan w:val="2"/>
            <w:tcBorders>
              <w:top w:val="nil"/>
              <w:left w:val="nil"/>
              <w:bottom w:val="single" w:sz="4" w:space="0" w:color="auto"/>
              <w:right w:val="single" w:sz="4" w:space="0" w:color="auto"/>
            </w:tcBorders>
            <w:shd w:val="clear" w:color="000000" w:fill="FDE9D9"/>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6.29</w:t>
            </w:r>
          </w:p>
        </w:tc>
        <w:tc>
          <w:tcPr>
            <w:tcW w:w="1080" w:type="dxa"/>
            <w:tcBorders>
              <w:top w:val="nil"/>
              <w:left w:val="nil"/>
              <w:bottom w:val="single" w:sz="4" w:space="0" w:color="auto"/>
              <w:right w:val="single" w:sz="4" w:space="0" w:color="auto"/>
            </w:tcBorders>
            <w:shd w:val="clear" w:color="000000" w:fill="FCD5B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6.09</w:t>
            </w:r>
          </w:p>
        </w:tc>
        <w:tc>
          <w:tcPr>
            <w:tcW w:w="1080" w:type="dxa"/>
            <w:gridSpan w:val="2"/>
            <w:tcBorders>
              <w:top w:val="nil"/>
              <w:left w:val="nil"/>
              <w:bottom w:val="single" w:sz="4" w:space="0" w:color="auto"/>
              <w:right w:val="single" w:sz="4" w:space="0" w:color="auto"/>
            </w:tcBorders>
            <w:shd w:val="clear" w:color="000000" w:fill="FAC090"/>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96.82</w:t>
            </w:r>
          </w:p>
        </w:tc>
        <w:tc>
          <w:tcPr>
            <w:tcW w:w="1350" w:type="dxa"/>
            <w:tcBorders>
              <w:top w:val="nil"/>
              <w:left w:val="nil"/>
              <w:bottom w:val="single" w:sz="4" w:space="0" w:color="auto"/>
              <w:right w:val="single" w:sz="4" w:space="0" w:color="auto"/>
            </w:tcBorders>
            <w:shd w:val="clear" w:color="000000" w:fill="FFFF66"/>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109.53</w:t>
            </w:r>
          </w:p>
        </w:tc>
      </w:tr>
      <w:tr w:rsidR="008A38C7" w:rsidRPr="007F7959" w:rsidTr="00D3239F">
        <w:trPr>
          <w:trHeight w:val="300"/>
        </w:trPr>
        <w:tc>
          <w:tcPr>
            <w:tcW w:w="2085" w:type="dxa"/>
            <w:tcBorders>
              <w:top w:val="nil"/>
              <w:left w:val="single" w:sz="4" w:space="0" w:color="auto"/>
              <w:bottom w:val="single" w:sz="4" w:space="0" w:color="auto"/>
              <w:right w:val="single" w:sz="4" w:space="0" w:color="auto"/>
            </w:tcBorders>
            <w:shd w:val="clear" w:color="000000" w:fill="DDD9C3"/>
            <w:noWrap/>
            <w:vAlign w:val="bottom"/>
            <w:hideMark/>
          </w:tcPr>
          <w:p w:rsidR="008A38C7" w:rsidRPr="007F7959" w:rsidRDefault="008A38C7" w:rsidP="00D3239F">
            <w:pPr>
              <w:spacing w:after="0" w:line="240" w:lineRule="auto"/>
              <w:jc w:val="left"/>
              <w:rPr>
                <w:rFonts w:ascii="Calibri" w:eastAsia="Times New Roman" w:hAnsi="Calibri" w:cs="Calibri"/>
                <w:b/>
                <w:bCs/>
                <w:color w:val="000000"/>
                <w:sz w:val="22"/>
                <w:szCs w:val="22"/>
                <w:lang w:bidi="ar-SA"/>
              </w:rPr>
            </w:pPr>
            <w:r w:rsidRPr="007F7959">
              <w:rPr>
                <w:rFonts w:ascii="Calibri" w:eastAsia="Times New Roman" w:hAnsi="Calibri" w:cs="Calibri"/>
                <w:b/>
                <w:bCs/>
                <w:color w:val="000000"/>
                <w:sz w:val="22"/>
                <w:szCs w:val="22"/>
                <w:lang w:bidi="ar-SA"/>
              </w:rPr>
              <w:t>UKUPNO:</w:t>
            </w:r>
          </w:p>
        </w:tc>
        <w:tc>
          <w:tcPr>
            <w:tcW w:w="1080" w:type="dxa"/>
            <w:tcBorders>
              <w:top w:val="nil"/>
              <w:left w:val="nil"/>
              <w:bottom w:val="single" w:sz="4" w:space="0" w:color="auto"/>
              <w:right w:val="single" w:sz="4" w:space="0" w:color="auto"/>
            </w:tcBorders>
            <w:shd w:val="clear" w:color="000000" w:fill="DBE5F1"/>
            <w:noWrap/>
            <w:vAlign w:val="bottom"/>
            <w:hideMark/>
          </w:tcPr>
          <w:p w:rsidR="008A38C7" w:rsidRPr="007F7959" w:rsidRDefault="008A38C7" w:rsidP="00D3239F">
            <w:pPr>
              <w:spacing w:after="0" w:line="240" w:lineRule="auto"/>
              <w:jc w:val="right"/>
              <w:rPr>
                <w:rFonts w:ascii="Calibri" w:eastAsia="Times New Roman" w:hAnsi="Calibri" w:cs="Calibri"/>
                <w:b/>
                <w:bCs/>
                <w:color w:val="000000"/>
                <w:sz w:val="22"/>
                <w:szCs w:val="22"/>
                <w:lang w:bidi="ar-SA"/>
              </w:rPr>
            </w:pPr>
            <w:r w:rsidRPr="007F7959">
              <w:rPr>
                <w:rFonts w:ascii="Calibri" w:eastAsia="Times New Roman" w:hAnsi="Calibri" w:cs="Calibri"/>
                <w:b/>
                <w:bCs/>
                <w:color w:val="000000"/>
                <w:sz w:val="22"/>
                <w:szCs w:val="22"/>
                <w:lang w:bidi="ar-SA"/>
              </w:rPr>
              <w:t>496.29</w:t>
            </w:r>
          </w:p>
        </w:tc>
        <w:tc>
          <w:tcPr>
            <w:tcW w:w="1080" w:type="dxa"/>
            <w:tcBorders>
              <w:top w:val="nil"/>
              <w:left w:val="nil"/>
              <w:bottom w:val="single" w:sz="4" w:space="0" w:color="auto"/>
              <w:right w:val="single" w:sz="4" w:space="0" w:color="auto"/>
            </w:tcBorders>
            <w:shd w:val="clear" w:color="000000" w:fill="B8CCE4"/>
            <w:noWrap/>
            <w:vAlign w:val="bottom"/>
            <w:hideMark/>
          </w:tcPr>
          <w:p w:rsidR="008A38C7" w:rsidRPr="007F7959" w:rsidRDefault="008A38C7" w:rsidP="00D3239F">
            <w:pPr>
              <w:spacing w:after="0" w:line="240" w:lineRule="auto"/>
              <w:jc w:val="right"/>
              <w:rPr>
                <w:rFonts w:ascii="Calibri" w:eastAsia="Times New Roman" w:hAnsi="Calibri" w:cs="Calibri"/>
                <w:b/>
                <w:bCs/>
                <w:color w:val="000000"/>
                <w:sz w:val="22"/>
                <w:szCs w:val="22"/>
                <w:lang w:bidi="ar-SA"/>
              </w:rPr>
            </w:pPr>
            <w:r w:rsidRPr="007F7959">
              <w:rPr>
                <w:rFonts w:ascii="Calibri" w:eastAsia="Times New Roman" w:hAnsi="Calibri" w:cs="Calibri"/>
                <w:b/>
                <w:bCs/>
                <w:color w:val="000000"/>
                <w:sz w:val="22"/>
                <w:szCs w:val="22"/>
                <w:lang w:bidi="ar-SA"/>
              </w:rPr>
              <w:t>486.71</w:t>
            </w:r>
          </w:p>
        </w:tc>
        <w:tc>
          <w:tcPr>
            <w:tcW w:w="1080" w:type="dxa"/>
            <w:tcBorders>
              <w:top w:val="nil"/>
              <w:left w:val="nil"/>
              <w:bottom w:val="single" w:sz="4" w:space="0" w:color="auto"/>
              <w:right w:val="single" w:sz="4" w:space="0" w:color="auto"/>
            </w:tcBorders>
            <w:shd w:val="clear" w:color="000000" w:fill="95B3D7"/>
            <w:noWrap/>
            <w:vAlign w:val="bottom"/>
            <w:hideMark/>
          </w:tcPr>
          <w:p w:rsidR="008A38C7" w:rsidRPr="008D5684" w:rsidRDefault="008A38C7" w:rsidP="00D3239F">
            <w:pPr>
              <w:spacing w:after="0" w:line="240" w:lineRule="auto"/>
              <w:jc w:val="right"/>
              <w:rPr>
                <w:rFonts w:ascii="Calibri" w:eastAsia="Times New Roman" w:hAnsi="Calibri" w:cs="Calibri"/>
                <w:b/>
                <w:color w:val="000000"/>
                <w:sz w:val="22"/>
                <w:szCs w:val="22"/>
                <w:lang w:bidi="ar-SA"/>
              </w:rPr>
            </w:pPr>
            <w:r w:rsidRPr="008D5684">
              <w:rPr>
                <w:rFonts w:ascii="Calibri" w:eastAsia="Times New Roman" w:hAnsi="Calibri" w:cs="Calibri"/>
                <w:b/>
                <w:color w:val="000000"/>
                <w:sz w:val="22"/>
                <w:szCs w:val="22"/>
                <w:lang w:bidi="ar-SA"/>
              </w:rPr>
              <w:t>98.07</w:t>
            </w:r>
          </w:p>
        </w:tc>
        <w:tc>
          <w:tcPr>
            <w:tcW w:w="1080" w:type="dxa"/>
            <w:tcBorders>
              <w:top w:val="nil"/>
              <w:left w:val="nil"/>
              <w:bottom w:val="single" w:sz="4" w:space="0" w:color="auto"/>
              <w:right w:val="single" w:sz="4" w:space="0" w:color="auto"/>
            </w:tcBorders>
            <w:shd w:val="clear" w:color="000000" w:fill="EAF1DD"/>
            <w:noWrap/>
            <w:vAlign w:val="bottom"/>
            <w:hideMark/>
          </w:tcPr>
          <w:p w:rsidR="008A38C7" w:rsidRPr="007F7959" w:rsidRDefault="008A38C7" w:rsidP="00D3239F">
            <w:pPr>
              <w:spacing w:after="0" w:line="240" w:lineRule="auto"/>
              <w:jc w:val="right"/>
              <w:rPr>
                <w:rFonts w:ascii="Calibri" w:eastAsia="Times New Roman" w:hAnsi="Calibri" w:cs="Calibri"/>
                <w:b/>
                <w:bCs/>
                <w:color w:val="000000"/>
                <w:sz w:val="22"/>
                <w:szCs w:val="22"/>
                <w:lang w:bidi="ar-SA"/>
              </w:rPr>
            </w:pPr>
            <w:r w:rsidRPr="007F7959">
              <w:rPr>
                <w:rFonts w:ascii="Calibri" w:eastAsia="Times New Roman" w:hAnsi="Calibri" w:cs="Calibri"/>
                <w:b/>
                <w:bCs/>
                <w:color w:val="000000"/>
                <w:sz w:val="22"/>
                <w:szCs w:val="22"/>
                <w:lang w:bidi="ar-SA"/>
              </w:rPr>
              <w:t>474.81</w:t>
            </w:r>
          </w:p>
        </w:tc>
        <w:tc>
          <w:tcPr>
            <w:tcW w:w="1080" w:type="dxa"/>
            <w:tcBorders>
              <w:top w:val="nil"/>
              <w:left w:val="nil"/>
              <w:bottom w:val="single" w:sz="4" w:space="0" w:color="auto"/>
              <w:right w:val="single" w:sz="4" w:space="0" w:color="auto"/>
            </w:tcBorders>
            <w:shd w:val="clear" w:color="000000" w:fill="D7E4BC"/>
            <w:noWrap/>
            <w:vAlign w:val="bottom"/>
            <w:hideMark/>
          </w:tcPr>
          <w:p w:rsidR="008A38C7" w:rsidRPr="007F7959" w:rsidRDefault="008A38C7" w:rsidP="00D3239F">
            <w:pPr>
              <w:spacing w:after="0" w:line="240" w:lineRule="auto"/>
              <w:jc w:val="right"/>
              <w:rPr>
                <w:rFonts w:ascii="Calibri" w:eastAsia="Times New Roman" w:hAnsi="Calibri" w:cs="Calibri"/>
                <w:b/>
                <w:bCs/>
                <w:color w:val="000000"/>
                <w:sz w:val="22"/>
                <w:szCs w:val="22"/>
                <w:lang w:bidi="ar-SA"/>
              </w:rPr>
            </w:pPr>
            <w:r w:rsidRPr="007F7959">
              <w:rPr>
                <w:rFonts w:ascii="Calibri" w:eastAsia="Times New Roman" w:hAnsi="Calibri" w:cs="Calibri"/>
                <w:b/>
                <w:bCs/>
                <w:color w:val="000000"/>
                <w:sz w:val="22"/>
                <w:szCs w:val="22"/>
                <w:lang w:bidi="ar-SA"/>
              </w:rPr>
              <w:t>461.67</w:t>
            </w:r>
          </w:p>
        </w:tc>
        <w:tc>
          <w:tcPr>
            <w:tcW w:w="1080" w:type="dxa"/>
            <w:gridSpan w:val="2"/>
            <w:tcBorders>
              <w:top w:val="nil"/>
              <w:left w:val="nil"/>
              <w:bottom w:val="single" w:sz="4" w:space="0" w:color="auto"/>
              <w:right w:val="single" w:sz="4" w:space="0" w:color="auto"/>
            </w:tcBorders>
            <w:shd w:val="clear" w:color="000000" w:fill="C2D69A"/>
            <w:noWrap/>
            <w:vAlign w:val="bottom"/>
            <w:hideMark/>
          </w:tcPr>
          <w:p w:rsidR="008A38C7" w:rsidRPr="008D5684" w:rsidRDefault="008A38C7" w:rsidP="00D3239F">
            <w:pPr>
              <w:spacing w:after="0" w:line="240" w:lineRule="auto"/>
              <w:jc w:val="right"/>
              <w:rPr>
                <w:rFonts w:ascii="Calibri" w:eastAsia="Times New Roman" w:hAnsi="Calibri" w:cs="Calibri"/>
                <w:b/>
                <w:color w:val="000000"/>
                <w:sz w:val="22"/>
                <w:szCs w:val="22"/>
                <w:lang w:bidi="ar-SA"/>
              </w:rPr>
            </w:pPr>
            <w:r w:rsidRPr="008D5684">
              <w:rPr>
                <w:rFonts w:ascii="Calibri" w:eastAsia="Times New Roman" w:hAnsi="Calibri" w:cs="Calibri"/>
                <w:b/>
                <w:color w:val="000000"/>
                <w:sz w:val="22"/>
                <w:szCs w:val="22"/>
                <w:lang w:bidi="ar-SA"/>
              </w:rPr>
              <w:t>97.23</w:t>
            </w:r>
          </w:p>
        </w:tc>
        <w:tc>
          <w:tcPr>
            <w:tcW w:w="1170" w:type="dxa"/>
            <w:gridSpan w:val="2"/>
            <w:tcBorders>
              <w:top w:val="nil"/>
              <w:left w:val="nil"/>
              <w:bottom w:val="single" w:sz="4" w:space="0" w:color="auto"/>
              <w:right w:val="single" w:sz="4" w:space="0" w:color="auto"/>
            </w:tcBorders>
            <w:shd w:val="clear" w:color="000000" w:fill="FDE9D9"/>
            <w:noWrap/>
            <w:vAlign w:val="bottom"/>
            <w:hideMark/>
          </w:tcPr>
          <w:p w:rsidR="008A38C7" w:rsidRPr="008D5684" w:rsidRDefault="008A38C7" w:rsidP="00D3239F">
            <w:pPr>
              <w:spacing w:after="0" w:line="240" w:lineRule="auto"/>
              <w:jc w:val="right"/>
              <w:rPr>
                <w:rFonts w:ascii="Calibri" w:eastAsia="Times New Roman" w:hAnsi="Calibri" w:cs="Calibri"/>
                <w:b/>
                <w:bCs/>
                <w:color w:val="000000"/>
                <w:sz w:val="22"/>
                <w:szCs w:val="22"/>
                <w:lang w:bidi="ar-SA"/>
              </w:rPr>
            </w:pPr>
            <w:r w:rsidRPr="008D5684">
              <w:rPr>
                <w:rFonts w:ascii="Calibri" w:eastAsia="Times New Roman" w:hAnsi="Calibri" w:cs="Calibri"/>
                <w:b/>
                <w:bCs/>
                <w:color w:val="000000"/>
                <w:sz w:val="22"/>
                <w:szCs w:val="22"/>
                <w:lang w:bidi="ar-SA"/>
              </w:rPr>
              <w:t>496.51</w:t>
            </w:r>
          </w:p>
        </w:tc>
        <w:tc>
          <w:tcPr>
            <w:tcW w:w="1080" w:type="dxa"/>
            <w:tcBorders>
              <w:top w:val="nil"/>
              <w:left w:val="nil"/>
              <w:bottom w:val="single" w:sz="4" w:space="0" w:color="auto"/>
              <w:right w:val="single" w:sz="4" w:space="0" w:color="auto"/>
            </w:tcBorders>
            <w:shd w:val="clear" w:color="000000" w:fill="FCD5B4"/>
            <w:noWrap/>
            <w:vAlign w:val="bottom"/>
            <w:hideMark/>
          </w:tcPr>
          <w:p w:rsidR="008A38C7" w:rsidRPr="008D5684" w:rsidRDefault="008A38C7" w:rsidP="00D3239F">
            <w:pPr>
              <w:spacing w:after="0" w:line="240" w:lineRule="auto"/>
              <w:jc w:val="right"/>
              <w:rPr>
                <w:rFonts w:ascii="Calibri" w:eastAsia="Times New Roman" w:hAnsi="Calibri" w:cs="Calibri"/>
                <w:b/>
                <w:bCs/>
                <w:color w:val="000000"/>
                <w:sz w:val="22"/>
                <w:szCs w:val="22"/>
                <w:lang w:bidi="ar-SA"/>
              </w:rPr>
            </w:pPr>
            <w:r w:rsidRPr="008D5684">
              <w:rPr>
                <w:rFonts w:ascii="Calibri" w:eastAsia="Times New Roman" w:hAnsi="Calibri" w:cs="Calibri"/>
                <w:b/>
                <w:bCs/>
                <w:color w:val="000000"/>
                <w:sz w:val="22"/>
                <w:szCs w:val="22"/>
                <w:lang w:bidi="ar-SA"/>
              </w:rPr>
              <w:t>501.56</w:t>
            </w:r>
          </w:p>
        </w:tc>
        <w:tc>
          <w:tcPr>
            <w:tcW w:w="1080" w:type="dxa"/>
            <w:gridSpan w:val="2"/>
            <w:tcBorders>
              <w:top w:val="nil"/>
              <w:left w:val="nil"/>
              <w:bottom w:val="single" w:sz="4" w:space="0" w:color="auto"/>
              <w:right w:val="single" w:sz="4" w:space="0" w:color="auto"/>
            </w:tcBorders>
            <w:shd w:val="clear" w:color="000000" w:fill="FAC090"/>
            <w:noWrap/>
            <w:vAlign w:val="bottom"/>
            <w:hideMark/>
          </w:tcPr>
          <w:p w:rsidR="008A38C7" w:rsidRPr="008D5684" w:rsidRDefault="008A38C7" w:rsidP="00D3239F">
            <w:pPr>
              <w:spacing w:after="0" w:line="240" w:lineRule="auto"/>
              <w:jc w:val="right"/>
              <w:rPr>
                <w:rFonts w:ascii="Calibri" w:eastAsia="Times New Roman" w:hAnsi="Calibri" w:cs="Calibri"/>
                <w:b/>
                <w:color w:val="000000"/>
                <w:sz w:val="22"/>
                <w:szCs w:val="22"/>
                <w:lang w:bidi="ar-SA"/>
              </w:rPr>
            </w:pPr>
            <w:r w:rsidRPr="008D5684">
              <w:rPr>
                <w:rFonts w:ascii="Calibri" w:eastAsia="Times New Roman" w:hAnsi="Calibri" w:cs="Calibri"/>
                <w:b/>
                <w:color w:val="000000"/>
                <w:sz w:val="22"/>
                <w:szCs w:val="22"/>
                <w:lang w:bidi="ar-SA"/>
              </w:rPr>
              <w:t>101.02</w:t>
            </w:r>
          </w:p>
        </w:tc>
        <w:tc>
          <w:tcPr>
            <w:tcW w:w="1350" w:type="dxa"/>
            <w:tcBorders>
              <w:top w:val="nil"/>
              <w:left w:val="nil"/>
              <w:bottom w:val="single" w:sz="4" w:space="0" w:color="auto"/>
              <w:right w:val="single" w:sz="4" w:space="0" w:color="auto"/>
            </w:tcBorders>
            <w:shd w:val="clear" w:color="000000" w:fill="FFFF66"/>
            <w:noWrap/>
            <w:vAlign w:val="bottom"/>
            <w:hideMark/>
          </w:tcPr>
          <w:p w:rsidR="008A38C7" w:rsidRPr="008D5684" w:rsidRDefault="008A38C7" w:rsidP="00D3239F">
            <w:pPr>
              <w:spacing w:after="0" w:line="240" w:lineRule="auto"/>
              <w:jc w:val="right"/>
              <w:rPr>
                <w:rFonts w:ascii="Calibri" w:eastAsia="Times New Roman" w:hAnsi="Calibri" w:cs="Calibri"/>
                <w:b/>
                <w:color w:val="000000"/>
                <w:sz w:val="22"/>
                <w:szCs w:val="22"/>
                <w:lang w:bidi="ar-SA"/>
              </w:rPr>
            </w:pPr>
            <w:r w:rsidRPr="008D5684">
              <w:rPr>
                <w:rFonts w:ascii="Calibri" w:eastAsia="Times New Roman" w:hAnsi="Calibri" w:cs="Calibri"/>
                <w:b/>
                <w:color w:val="000000"/>
                <w:sz w:val="22"/>
                <w:szCs w:val="22"/>
                <w:lang w:bidi="ar-SA"/>
              </w:rPr>
              <w:t>108.64</w:t>
            </w:r>
          </w:p>
        </w:tc>
      </w:tr>
    </w:tbl>
    <w:p w:rsidR="008A38C7" w:rsidRDefault="008A38C7" w:rsidP="008A38C7"/>
    <w:p w:rsidR="008A38C7" w:rsidRDefault="008A38C7" w:rsidP="008A38C7"/>
    <w:p w:rsidR="008A38C7" w:rsidRDefault="008A38C7" w:rsidP="008A38C7"/>
    <w:p w:rsidR="008A38C7" w:rsidRDefault="008A38C7" w:rsidP="008A38C7"/>
    <w:p w:rsidR="008A38C7" w:rsidRDefault="008A38C7"/>
    <w:tbl>
      <w:tblPr>
        <w:tblpPr w:leftFromText="180" w:rightFromText="180" w:horzAnchor="margin" w:tblpY="1813"/>
        <w:tblW w:w="13245" w:type="dxa"/>
        <w:tblLayout w:type="fixed"/>
        <w:tblLook w:val="04A0"/>
      </w:tblPr>
      <w:tblGrid>
        <w:gridCol w:w="2085"/>
        <w:gridCol w:w="1080"/>
        <w:gridCol w:w="1080"/>
        <w:gridCol w:w="1080"/>
        <w:gridCol w:w="1080"/>
        <w:gridCol w:w="1080"/>
        <w:gridCol w:w="965"/>
        <w:gridCol w:w="115"/>
        <w:gridCol w:w="121"/>
        <w:gridCol w:w="1049"/>
        <w:gridCol w:w="1080"/>
        <w:gridCol w:w="270"/>
        <w:gridCol w:w="810"/>
        <w:gridCol w:w="1350"/>
      </w:tblGrid>
      <w:tr w:rsidR="008A38C7" w:rsidRPr="007F7959" w:rsidTr="00D3239F">
        <w:trPr>
          <w:gridAfter w:val="2"/>
          <w:wAfter w:w="2160" w:type="dxa"/>
          <w:trHeight w:val="300"/>
        </w:trPr>
        <w:tc>
          <w:tcPr>
            <w:tcW w:w="2085" w:type="dxa"/>
            <w:tcBorders>
              <w:top w:val="nil"/>
              <w:left w:val="nil"/>
              <w:bottom w:val="nil"/>
              <w:right w:val="nil"/>
            </w:tcBorders>
            <w:shd w:val="clear" w:color="auto" w:fill="auto"/>
            <w:noWrap/>
            <w:vAlign w:val="bottom"/>
            <w:hideMark/>
          </w:tcPr>
          <w:p w:rsidR="008A38C7" w:rsidRPr="007F7959" w:rsidRDefault="008A38C7" w:rsidP="00D3239F">
            <w:pPr>
              <w:spacing w:after="0" w:line="240" w:lineRule="auto"/>
              <w:jc w:val="left"/>
              <w:rPr>
                <w:rFonts w:ascii="Calibri" w:eastAsia="Times New Roman" w:hAnsi="Calibri" w:cs="Calibri"/>
                <w:color w:val="000000"/>
                <w:sz w:val="22"/>
                <w:szCs w:val="22"/>
                <w:lang w:bidi="ar-SA"/>
              </w:rPr>
            </w:pPr>
          </w:p>
        </w:tc>
        <w:tc>
          <w:tcPr>
            <w:tcW w:w="1080" w:type="dxa"/>
            <w:tcBorders>
              <w:top w:val="nil"/>
              <w:left w:val="nil"/>
              <w:bottom w:val="nil"/>
              <w:right w:val="nil"/>
            </w:tcBorders>
            <w:shd w:val="clear" w:color="auto" w:fill="auto"/>
            <w:noWrap/>
            <w:vAlign w:val="bottom"/>
            <w:hideMark/>
          </w:tcPr>
          <w:p w:rsidR="008A38C7" w:rsidRPr="007F7959" w:rsidRDefault="008A38C7" w:rsidP="00D3239F">
            <w:pPr>
              <w:spacing w:after="0" w:line="240" w:lineRule="auto"/>
              <w:jc w:val="left"/>
              <w:rPr>
                <w:rFonts w:ascii="Calibri" w:eastAsia="Times New Roman" w:hAnsi="Calibri" w:cs="Calibri"/>
                <w:color w:val="000000"/>
                <w:sz w:val="22"/>
                <w:szCs w:val="22"/>
                <w:lang w:bidi="ar-SA"/>
              </w:rPr>
            </w:pPr>
          </w:p>
        </w:tc>
        <w:tc>
          <w:tcPr>
            <w:tcW w:w="2160" w:type="dxa"/>
            <w:gridSpan w:val="2"/>
            <w:tcBorders>
              <w:top w:val="nil"/>
              <w:left w:val="nil"/>
              <w:bottom w:val="nil"/>
              <w:right w:val="nil"/>
            </w:tcBorders>
            <w:shd w:val="clear" w:color="auto" w:fill="auto"/>
            <w:noWrap/>
            <w:vAlign w:val="bottom"/>
            <w:hideMark/>
          </w:tcPr>
          <w:p w:rsidR="008A38C7" w:rsidRPr="007F7959" w:rsidRDefault="008A38C7" w:rsidP="00D3239F">
            <w:pPr>
              <w:spacing w:after="0" w:line="240" w:lineRule="auto"/>
              <w:jc w:val="left"/>
              <w:rPr>
                <w:rFonts w:ascii="Calibri" w:eastAsia="Times New Roman" w:hAnsi="Calibri" w:cs="Calibri"/>
                <w:b/>
                <w:bCs/>
                <w:color w:val="000000"/>
                <w:sz w:val="22"/>
                <w:szCs w:val="22"/>
                <w:lang w:bidi="ar-SA"/>
              </w:rPr>
            </w:pPr>
          </w:p>
        </w:tc>
        <w:tc>
          <w:tcPr>
            <w:tcW w:w="1080" w:type="dxa"/>
            <w:tcBorders>
              <w:top w:val="nil"/>
              <w:left w:val="nil"/>
              <w:bottom w:val="nil"/>
              <w:right w:val="nil"/>
            </w:tcBorders>
            <w:shd w:val="clear" w:color="auto" w:fill="auto"/>
            <w:noWrap/>
            <w:vAlign w:val="bottom"/>
            <w:hideMark/>
          </w:tcPr>
          <w:p w:rsidR="008A38C7" w:rsidRPr="007F7959" w:rsidRDefault="008A38C7" w:rsidP="00D3239F">
            <w:pPr>
              <w:spacing w:after="0" w:line="240" w:lineRule="auto"/>
              <w:jc w:val="left"/>
              <w:rPr>
                <w:rFonts w:ascii="Calibri" w:eastAsia="Times New Roman" w:hAnsi="Calibri" w:cs="Calibri"/>
                <w:color w:val="000000"/>
                <w:sz w:val="22"/>
                <w:szCs w:val="22"/>
                <w:lang w:bidi="ar-SA"/>
              </w:rPr>
            </w:pPr>
          </w:p>
        </w:tc>
        <w:tc>
          <w:tcPr>
            <w:tcW w:w="2045" w:type="dxa"/>
            <w:gridSpan w:val="2"/>
            <w:tcBorders>
              <w:top w:val="nil"/>
              <w:left w:val="nil"/>
              <w:bottom w:val="nil"/>
              <w:right w:val="nil"/>
            </w:tcBorders>
            <w:shd w:val="clear" w:color="auto" w:fill="auto"/>
            <w:noWrap/>
            <w:vAlign w:val="bottom"/>
            <w:hideMark/>
          </w:tcPr>
          <w:p w:rsidR="008A38C7" w:rsidRPr="007F7959" w:rsidRDefault="008A38C7" w:rsidP="00D3239F">
            <w:pPr>
              <w:spacing w:after="0" w:line="240" w:lineRule="auto"/>
              <w:jc w:val="left"/>
              <w:rPr>
                <w:rFonts w:ascii="Calibri" w:eastAsia="Times New Roman" w:hAnsi="Calibri" w:cs="Calibri"/>
                <w:color w:val="000000"/>
                <w:sz w:val="22"/>
                <w:szCs w:val="22"/>
                <w:lang w:bidi="ar-SA"/>
              </w:rPr>
            </w:pPr>
          </w:p>
        </w:tc>
        <w:tc>
          <w:tcPr>
            <w:tcW w:w="236" w:type="dxa"/>
            <w:gridSpan w:val="2"/>
            <w:tcBorders>
              <w:top w:val="nil"/>
              <w:left w:val="nil"/>
              <w:bottom w:val="nil"/>
              <w:right w:val="nil"/>
            </w:tcBorders>
            <w:shd w:val="clear" w:color="auto" w:fill="auto"/>
            <w:noWrap/>
            <w:vAlign w:val="bottom"/>
            <w:hideMark/>
          </w:tcPr>
          <w:p w:rsidR="008A38C7" w:rsidRPr="007F7959" w:rsidRDefault="008A38C7" w:rsidP="00D3239F">
            <w:pPr>
              <w:spacing w:after="0" w:line="240" w:lineRule="auto"/>
              <w:jc w:val="left"/>
              <w:rPr>
                <w:rFonts w:ascii="Calibri" w:eastAsia="Times New Roman" w:hAnsi="Calibri" w:cs="Calibri"/>
                <w:color w:val="000000"/>
                <w:sz w:val="22"/>
                <w:szCs w:val="22"/>
                <w:lang w:bidi="ar-SA"/>
              </w:rPr>
            </w:pPr>
          </w:p>
        </w:tc>
        <w:tc>
          <w:tcPr>
            <w:tcW w:w="1049" w:type="dxa"/>
            <w:tcBorders>
              <w:top w:val="nil"/>
              <w:left w:val="nil"/>
              <w:bottom w:val="nil"/>
              <w:right w:val="nil"/>
            </w:tcBorders>
            <w:shd w:val="clear" w:color="auto" w:fill="auto"/>
            <w:noWrap/>
            <w:vAlign w:val="bottom"/>
            <w:hideMark/>
          </w:tcPr>
          <w:p w:rsidR="008A38C7" w:rsidRPr="007F7959" w:rsidRDefault="008A38C7" w:rsidP="00D3239F">
            <w:pPr>
              <w:spacing w:after="0" w:line="240" w:lineRule="auto"/>
              <w:jc w:val="left"/>
              <w:rPr>
                <w:rFonts w:ascii="Calibri" w:eastAsia="Times New Roman" w:hAnsi="Calibri" w:cs="Calibri"/>
                <w:color w:val="000000"/>
                <w:sz w:val="22"/>
                <w:szCs w:val="22"/>
                <w:lang w:bidi="ar-SA"/>
              </w:rPr>
            </w:pPr>
          </w:p>
        </w:tc>
        <w:tc>
          <w:tcPr>
            <w:tcW w:w="1350" w:type="dxa"/>
            <w:gridSpan w:val="2"/>
            <w:tcBorders>
              <w:top w:val="nil"/>
              <w:left w:val="nil"/>
              <w:bottom w:val="nil"/>
              <w:right w:val="nil"/>
            </w:tcBorders>
            <w:shd w:val="clear" w:color="auto" w:fill="auto"/>
            <w:noWrap/>
            <w:vAlign w:val="bottom"/>
            <w:hideMark/>
          </w:tcPr>
          <w:p w:rsidR="008A38C7" w:rsidRPr="007F7959" w:rsidRDefault="008A38C7" w:rsidP="00D3239F">
            <w:pPr>
              <w:spacing w:after="0" w:line="240" w:lineRule="auto"/>
              <w:jc w:val="left"/>
              <w:rPr>
                <w:rFonts w:ascii="Calibri" w:eastAsia="Times New Roman" w:hAnsi="Calibri" w:cs="Calibri"/>
                <w:color w:val="000000"/>
                <w:sz w:val="22"/>
                <w:szCs w:val="22"/>
                <w:lang w:bidi="ar-SA"/>
              </w:rPr>
            </w:pPr>
          </w:p>
        </w:tc>
      </w:tr>
      <w:tr w:rsidR="008A38C7" w:rsidRPr="007F7959" w:rsidTr="00D3239F">
        <w:trPr>
          <w:trHeight w:val="1500"/>
        </w:trPr>
        <w:tc>
          <w:tcPr>
            <w:tcW w:w="2085" w:type="dxa"/>
            <w:tcBorders>
              <w:top w:val="single" w:sz="4" w:space="0" w:color="auto"/>
              <w:left w:val="single" w:sz="4" w:space="0" w:color="auto"/>
              <w:bottom w:val="single" w:sz="4" w:space="0" w:color="auto"/>
              <w:right w:val="single" w:sz="4" w:space="0" w:color="auto"/>
            </w:tcBorders>
            <w:shd w:val="clear" w:color="000000" w:fill="DDD9C3"/>
            <w:noWrap/>
            <w:vAlign w:val="bottom"/>
            <w:hideMark/>
          </w:tcPr>
          <w:p w:rsidR="008A38C7" w:rsidRPr="007F7959" w:rsidRDefault="008A38C7" w:rsidP="00D3239F">
            <w:pPr>
              <w:spacing w:after="0" w:line="240" w:lineRule="auto"/>
              <w:jc w:val="left"/>
              <w:rPr>
                <w:rFonts w:ascii="Calibri" w:eastAsia="Times New Roman" w:hAnsi="Calibri" w:cs="Calibri"/>
                <w:b/>
                <w:bCs/>
                <w:color w:val="000000"/>
                <w:sz w:val="22"/>
                <w:szCs w:val="22"/>
                <w:lang w:bidi="ar-SA"/>
              </w:rPr>
            </w:pPr>
            <w:r w:rsidRPr="007F7959">
              <w:rPr>
                <w:rFonts w:ascii="Calibri" w:eastAsia="Times New Roman" w:hAnsi="Calibri" w:cs="Calibri"/>
                <w:b/>
                <w:bCs/>
                <w:color w:val="000000"/>
                <w:sz w:val="22"/>
                <w:szCs w:val="22"/>
                <w:lang w:bidi="ar-SA"/>
              </w:rPr>
              <w:t>poreski oblici</w:t>
            </w:r>
          </w:p>
        </w:tc>
        <w:tc>
          <w:tcPr>
            <w:tcW w:w="1080" w:type="dxa"/>
            <w:tcBorders>
              <w:top w:val="single" w:sz="4" w:space="0" w:color="auto"/>
              <w:left w:val="nil"/>
              <w:bottom w:val="single" w:sz="4" w:space="0" w:color="auto"/>
              <w:right w:val="single" w:sz="4" w:space="0" w:color="auto"/>
            </w:tcBorders>
            <w:shd w:val="clear" w:color="000000" w:fill="DBE5F1"/>
            <w:vAlign w:val="bottom"/>
            <w:hideMark/>
          </w:tcPr>
          <w:p w:rsidR="008A38C7" w:rsidRPr="007F7959" w:rsidRDefault="008A38C7" w:rsidP="00D3239F">
            <w:pPr>
              <w:spacing w:after="0" w:line="240" w:lineRule="auto"/>
              <w:jc w:val="left"/>
              <w:rPr>
                <w:rFonts w:ascii="Calibri" w:eastAsia="Times New Roman" w:hAnsi="Calibri" w:cs="Calibri"/>
                <w:b/>
                <w:bCs/>
                <w:color w:val="000000"/>
                <w:sz w:val="22"/>
                <w:szCs w:val="22"/>
                <w:lang w:bidi="ar-SA"/>
              </w:rPr>
            </w:pPr>
            <w:r w:rsidRPr="007F7959">
              <w:rPr>
                <w:rFonts w:ascii="Calibri" w:eastAsia="Times New Roman" w:hAnsi="Calibri" w:cs="Calibri"/>
                <w:b/>
                <w:bCs/>
                <w:color w:val="000000"/>
                <w:sz w:val="22"/>
                <w:szCs w:val="22"/>
                <w:lang w:bidi="ar-SA"/>
              </w:rPr>
              <w:t>planirani priho</w:t>
            </w:r>
            <w:r w:rsidR="00A144B4">
              <w:rPr>
                <w:rFonts w:ascii="Calibri" w:eastAsia="Times New Roman" w:hAnsi="Calibri" w:cs="Calibri"/>
                <w:b/>
                <w:bCs/>
                <w:color w:val="000000"/>
                <w:sz w:val="22"/>
                <w:szCs w:val="22"/>
                <w:lang w:bidi="ar-SA"/>
              </w:rPr>
              <w:t>di                         1.1-30.6</w:t>
            </w:r>
            <w:r w:rsidRPr="007F7959">
              <w:rPr>
                <w:rFonts w:ascii="Calibri" w:eastAsia="Times New Roman" w:hAnsi="Calibri" w:cs="Calibri"/>
                <w:b/>
                <w:bCs/>
                <w:color w:val="000000"/>
                <w:sz w:val="22"/>
                <w:szCs w:val="22"/>
                <w:lang w:bidi="ar-SA"/>
              </w:rPr>
              <w:t>. 2011.</w:t>
            </w:r>
          </w:p>
        </w:tc>
        <w:tc>
          <w:tcPr>
            <w:tcW w:w="1080" w:type="dxa"/>
            <w:tcBorders>
              <w:top w:val="single" w:sz="4" w:space="0" w:color="auto"/>
              <w:left w:val="nil"/>
              <w:bottom w:val="single" w:sz="4" w:space="0" w:color="auto"/>
              <w:right w:val="single" w:sz="4" w:space="0" w:color="auto"/>
            </w:tcBorders>
            <w:shd w:val="clear" w:color="000000" w:fill="B8CCE4"/>
            <w:vAlign w:val="bottom"/>
            <w:hideMark/>
          </w:tcPr>
          <w:p w:rsidR="008A38C7" w:rsidRPr="007F7959" w:rsidRDefault="008A38C7" w:rsidP="00D3239F">
            <w:pPr>
              <w:spacing w:after="0" w:line="240" w:lineRule="auto"/>
              <w:jc w:val="left"/>
              <w:rPr>
                <w:rFonts w:ascii="Calibri" w:eastAsia="Times New Roman" w:hAnsi="Calibri" w:cs="Calibri"/>
                <w:b/>
                <w:bCs/>
                <w:color w:val="000000"/>
                <w:sz w:val="22"/>
                <w:szCs w:val="22"/>
                <w:lang w:bidi="ar-SA"/>
              </w:rPr>
            </w:pPr>
            <w:r w:rsidRPr="007F7959">
              <w:rPr>
                <w:rFonts w:ascii="Calibri" w:eastAsia="Times New Roman" w:hAnsi="Calibri" w:cs="Calibri"/>
                <w:b/>
                <w:bCs/>
                <w:color w:val="000000"/>
                <w:sz w:val="22"/>
                <w:szCs w:val="22"/>
                <w:lang w:bidi="ar-SA"/>
              </w:rPr>
              <w:t>ostvareni prihodi                      1.1-</w:t>
            </w:r>
            <w:r w:rsidR="00A144B4">
              <w:rPr>
                <w:rFonts w:ascii="Calibri" w:eastAsia="Times New Roman" w:hAnsi="Calibri" w:cs="Calibri"/>
                <w:b/>
                <w:bCs/>
                <w:color w:val="000000"/>
                <w:sz w:val="22"/>
                <w:szCs w:val="22"/>
                <w:lang w:bidi="ar-SA"/>
              </w:rPr>
              <w:t>30.6</w:t>
            </w:r>
            <w:r w:rsidR="00A144B4" w:rsidRPr="007F7959">
              <w:rPr>
                <w:rFonts w:ascii="Calibri" w:eastAsia="Times New Roman" w:hAnsi="Calibri" w:cs="Calibri"/>
                <w:b/>
                <w:bCs/>
                <w:color w:val="000000"/>
                <w:sz w:val="22"/>
                <w:szCs w:val="22"/>
                <w:lang w:bidi="ar-SA"/>
              </w:rPr>
              <w:t xml:space="preserve">. </w:t>
            </w:r>
            <w:r w:rsidRPr="007F7959">
              <w:rPr>
                <w:rFonts w:ascii="Calibri" w:eastAsia="Times New Roman" w:hAnsi="Calibri" w:cs="Calibri"/>
                <w:b/>
                <w:bCs/>
                <w:color w:val="000000"/>
                <w:sz w:val="22"/>
                <w:szCs w:val="22"/>
                <w:lang w:bidi="ar-SA"/>
              </w:rPr>
              <w:t>2011.</w:t>
            </w:r>
          </w:p>
        </w:tc>
        <w:tc>
          <w:tcPr>
            <w:tcW w:w="1080" w:type="dxa"/>
            <w:tcBorders>
              <w:top w:val="single" w:sz="4" w:space="0" w:color="auto"/>
              <w:left w:val="nil"/>
              <w:bottom w:val="single" w:sz="4" w:space="0" w:color="auto"/>
              <w:right w:val="single" w:sz="4" w:space="0" w:color="auto"/>
            </w:tcBorders>
            <w:shd w:val="clear" w:color="000000" w:fill="95B3D7"/>
            <w:vAlign w:val="bottom"/>
            <w:hideMark/>
          </w:tcPr>
          <w:p w:rsidR="008A38C7" w:rsidRPr="007F7959" w:rsidRDefault="008A38C7" w:rsidP="00D3239F">
            <w:pPr>
              <w:spacing w:after="0" w:line="240" w:lineRule="auto"/>
              <w:jc w:val="left"/>
              <w:rPr>
                <w:rFonts w:ascii="Calibri" w:eastAsia="Times New Roman" w:hAnsi="Calibri" w:cs="Calibri"/>
                <w:b/>
                <w:bCs/>
                <w:color w:val="000000"/>
                <w:sz w:val="22"/>
                <w:szCs w:val="22"/>
                <w:lang w:bidi="ar-SA"/>
              </w:rPr>
            </w:pPr>
            <w:r w:rsidRPr="007F7959">
              <w:rPr>
                <w:rFonts w:ascii="Calibri" w:eastAsia="Times New Roman" w:hAnsi="Calibri" w:cs="Calibri"/>
                <w:b/>
                <w:bCs/>
                <w:color w:val="000000"/>
                <w:sz w:val="22"/>
                <w:szCs w:val="22"/>
                <w:lang w:bidi="ar-SA"/>
              </w:rPr>
              <w:t>index (ost/plan 2011)</w:t>
            </w:r>
          </w:p>
        </w:tc>
        <w:tc>
          <w:tcPr>
            <w:tcW w:w="1080" w:type="dxa"/>
            <w:tcBorders>
              <w:top w:val="single" w:sz="4" w:space="0" w:color="auto"/>
              <w:left w:val="nil"/>
              <w:bottom w:val="single" w:sz="4" w:space="0" w:color="auto"/>
              <w:right w:val="single" w:sz="4" w:space="0" w:color="auto"/>
            </w:tcBorders>
            <w:shd w:val="clear" w:color="000000" w:fill="EAF1DD"/>
            <w:vAlign w:val="bottom"/>
            <w:hideMark/>
          </w:tcPr>
          <w:p w:rsidR="008A38C7" w:rsidRPr="007F7959" w:rsidRDefault="008A38C7" w:rsidP="00D3239F">
            <w:pPr>
              <w:spacing w:after="0" w:line="240" w:lineRule="auto"/>
              <w:jc w:val="left"/>
              <w:rPr>
                <w:rFonts w:ascii="Calibri" w:eastAsia="Times New Roman" w:hAnsi="Calibri" w:cs="Calibri"/>
                <w:b/>
                <w:bCs/>
                <w:color w:val="000000"/>
                <w:sz w:val="22"/>
                <w:szCs w:val="22"/>
                <w:lang w:bidi="ar-SA"/>
              </w:rPr>
            </w:pPr>
            <w:r>
              <w:rPr>
                <w:rFonts w:ascii="Calibri" w:eastAsia="Times New Roman" w:hAnsi="Calibri" w:cs="Calibri"/>
                <w:b/>
                <w:bCs/>
                <w:color w:val="000000"/>
                <w:sz w:val="22"/>
                <w:szCs w:val="22"/>
                <w:lang w:bidi="ar-SA"/>
              </w:rPr>
              <w:t xml:space="preserve">planirani </w:t>
            </w:r>
            <w:r w:rsidRPr="007F7959">
              <w:rPr>
                <w:rFonts w:ascii="Calibri" w:eastAsia="Times New Roman" w:hAnsi="Calibri" w:cs="Calibri"/>
                <w:b/>
                <w:bCs/>
                <w:color w:val="000000"/>
                <w:sz w:val="22"/>
                <w:szCs w:val="22"/>
                <w:lang w:bidi="ar-SA"/>
              </w:rPr>
              <w:t>prihodi                     1.1-</w:t>
            </w:r>
            <w:r w:rsidR="00A144B4">
              <w:rPr>
                <w:rFonts w:ascii="Calibri" w:eastAsia="Times New Roman" w:hAnsi="Calibri" w:cs="Calibri"/>
                <w:b/>
                <w:bCs/>
                <w:color w:val="000000"/>
                <w:sz w:val="22"/>
                <w:szCs w:val="22"/>
                <w:lang w:bidi="ar-SA"/>
              </w:rPr>
              <w:t>30.6</w:t>
            </w:r>
            <w:r w:rsidR="00A144B4" w:rsidRPr="007F7959">
              <w:rPr>
                <w:rFonts w:ascii="Calibri" w:eastAsia="Times New Roman" w:hAnsi="Calibri" w:cs="Calibri"/>
                <w:b/>
                <w:bCs/>
                <w:color w:val="000000"/>
                <w:sz w:val="22"/>
                <w:szCs w:val="22"/>
                <w:lang w:bidi="ar-SA"/>
              </w:rPr>
              <w:t xml:space="preserve">. </w:t>
            </w:r>
            <w:r w:rsidRPr="007F7959">
              <w:rPr>
                <w:rFonts w:ascii="Calibri" w:eastAsia="Times New Roman" w:hAnsi="Calibri" w:cs="Calibri"/>
                <w:b/>
                <w:bCs/>
                <w:color w:val="000000"/>
                <w:sz w:val="22"/>
                <w:szCs w:val="22"/>
                <w:lang w:bidi="ar-SA"/>
              </w:rPr>
              <w:t>2012.</w:t>
            </w:r>
          </w:p>
        </w:tc>
        <w:tc>
          <w:tcPr>
            <w:tcW w:w="1080" w:type="dxa"/>
            <w:tcBorders>
              <w:top w:val="single" w:sz="4" w:space="0" w:color="auto"/>
              <w:left w:val="nil"/>
              <w:bottom w:val="single" w:sz="4" w:space="0" w:color="auto"/>
              <w:right w:val="single" w:sz="4" w:space="0" w:color="auto"/>
            </w:tcBorders>
            <w:shd w:val="clear" w:color="000000" w:fill="D7E4BC"/>
            <w:vAlign w:val="bottom"/>
            <w:hideMark/>
          </w:tcPr>
          <w:p w:rsidR="008A38C7" w:rsidRPr="007F7959" w:rsidRDefault="008A38C7" w:rsidP="00D3239F">
            <w:pPr>
              <w:spacing w:after="0" w:line="240" w:lineRule="auto"/>
              <w:jc w:val="left"/>
              <w:rPr>
                <w:rFonts w:ascii="Calibri" w:eastAsia="Times New Roman" w:hAnsi="Calibri" w:cs="Calibri"/>
                <w:b/>
                <w:bCs/>
                <w:color w:val="000000"/>
                <w:sz w:val="22"/>
                <w:szCs w:val="22"/>
                <w:lang w:bidi="ar-SA"/>
              </w:rPr>
            </w:pPr>
            <w:r w:rsidRPr="007F7959">
              <w:rPr>
                <w:rFonts w:ascii="Calibri" w:eastAsia="Times New Roman" w:hAnsi="Calibri" w:cs="Calibri"/>
                <w:b/>
                <w:bCs/>
                <w:color w:val="000000"/>
                <w:sz w:val="22"/>
                <w:szCs w:val="22"/>
                <w:lang w:bidi="ar-SA"/>
              </w:rPr>
              <w:t xml:space="preserve"> ostvareni prihodi 1.1-</w:t>
            </w:r>
            <w:r w:rsidR="00A144B4">
              <w:rPr>
                <w:rFonts w:ascii="Calibri" w:eastAsia="Times New Roman" w:hAnsi="Calibri" w:cs="Calibri"/>
                <w:b/>
                <w:bCs/>
                <w:color w:val="000000"/>
                <w:sz w:val="22"/>
                <w:szCs w:val="22"/>
                <w:lang w:bidi="ar-SA"/>
              </w:rPr>
              <w:t>30.6</w:t>
            </w:r>
            <w:r w:rsidR="00A144B4" w:rsidRPr="007F7959">
              <w:rPr>
                <w:rFonts w:ascii="Calibri" w:eastAsia="Times New Roman" w:hAnsi="Calibri" w:cs="Calibri"/>
                <w:b/>
                <w:bCs/>
                <w:color w:val="000000"/>
                <w:sz w:val="22"/>
                <w:szCs w:val="22"/>
                <w:lang w:bidi="ar-SA"/>
              </w:rPr>
              <w:t xml:space="preserve">. </w:t>
            </w:r>
            <w:r w:rsidRPr="007F7959">
              <w:rPr>
                <w:rFonts w:ascii="Calibri" w:eastAsia="Times New Roman" w:hAnsi="Calibri" w:cs="Calibri"/>
                <w:b/>
                <w:bCs/>
                <w:color w:val="000000"/>
                <w:sz w:val="22"/>
                <w:szCs w:val="22"/>
                <w:lang w:bidi="ar-SA"/>
              </w:rPr>
              <w:t xml:space="preserve">2012.        </w:t>
            </w:r>
          </w:p>
        </w:tc>
        <w:tc>
          <w:tcPr>
            <w:tcW w:w="1080" w:type="dxa"/>
            <w:gridSpan w:val="2"/>
            <w:tcBorders>
              <w:top w:val="single" w:sz="4" w:space="0" w:color="auto"/>
              <w:left w:val="nil"/>
              <w:bottom w:val="single" w:sz="4" w:space="0" w:color="auto"/>
              <w:right w:val="single" w:sz="4" w:space="0" w:color="auto"/>
            </w:tcBorders>
            <w:shd w:val="clear" w:color="000000" w:fill="C2D69A"/>
            <w:vAlign w:val="bottom"/>
            <w:hideMark/>
          </w:tcPr>
          <w:p w:rsidR="008A38C7" w:rsidRPr="007F7959" w:rsidRDefault="008A38C7" w:rsidP="00D3239F">
            <w:pPr>
              <w:spacing w:after="0" w:line="240" w:lineRule="auto"/>
              <w:jc w:val="left"/>
              <w:rPr>
                <w:rFonts w:ascii="Calibri" w:eastAsia="Times New Roman" w:hAnsi="Calibri" w:cs="Calibri"/>
                <w:b/>
                <w:bCs/>
                <w:color w:val="000000"/>
                <w:sz w:val="22"/>
                <w:szCs w:val="22"/>
                <w:lang w:bidi="ar-SA"/>
              </w:rPr>
            </w:pPr>
            <w:r w:rsidRPr="007F7959">
              <w:rPr>
                <w:rFonts w:ascii="Calibri" w:eastAsia="Times New Roman" w:hAnsi="Calibri" w:cs="Calibri"/>
                <w:b/>
                <w:bCs/>
                <w:color w:val="000000"/>
                <w:sz w:val="22"/>
                <w:szCs w:val="22"/>
                <w:lang w:bidi="ar-SA"/>
              </w:rPr>
              <w:t>index (ost/plan 2012)</w:t>
            </w:r>
          </w:p>
        </w:tc>
        <w:tc>
          <w:tcPr>
            <w:tcW w:w="1170" w:type="dxa"/>
            <w:gridSpan w:val="2"/>
            <w:tcBorders>
              <w:top w:val="single" w:sz="4" w:space="0" w:color="auto"/>
              <w:left w:val="nil"/>
              <w:bottom w:val="single" w:sz="4" w:space="0" w:color="auto"/>
              <w:right w:val="single" w:sz="4" w:space="0" w:color="auto"/>
            </w:tcBorders>
            <w:shd w:val="clear" w:color="000000" w:fill="FDE9D9"/>
            <w:vAlign w:val="bottom"/>
            <w:hideMark/>
          </w:tcPr>
          <w:p w:rsidR="008A38C7" w:rsidRPr="007F7959" w:rsidRDefault="008A38C7" w:rsidP="00D3239F">
            <w:pPr>
              <w:spacing w:after="0" w:line="240" w:lineRule="auto"/>
              <w:jc w:val="left"/>
              <w:rPr>
                <w:rFonts w:ascii="Calibri" w:eastAsia="Times New Roman" w:hAnsi="Calibri" w:cs="Calibri"/>
                <w:b/>
                <w:bCs/>
                <w:color w:val="000000"/>
                <w:sz w:val="22"/>
                <w:szCs w:val="22"/>
                <w:lang w:bidi="ar-SA"/>
              </w:rPr>
            </w:pPr>
            <w:r>
              <w:rPr>
                <w:rFonts w:ascii="Calibri" w:eastAsia="Times New Roman" w:hAnsi="Calibri" w:cs="Calibri"/>
                <w:b/>
                <w:bCs/>
                <w:color w:val="000000"/>
                <w:sz w:val="22"/>
                <w:szCs w:val="22"/>
                <w:lang w:bidi="ar-SA"/>
              </w:rPr>
              <w:t xml:space="preserve">planirani </w:t>
            </w:r>
            <w:r w:rsidRPr="007F7959">
              <w:rPr>
                <w:rFonts w:ascii="Calibri" w:eastAsia="Times New Roman" w:hAnsi="Calibri" w:cs="Calibri"/>
                <w:b/>
                <w:bCs/>
                <w:color w:val="000000"/>
                <w:sz w:val="22"/>
                <w:szCs w:val="22"/>
                <w:lang w:bidi="ar-SA"/>
              </w:rPr>
              <w:t>prihodi                     1.1-</w:t>
            </w:r>
            <w:r w:rsidR="00A144B4">
              <w:rPr>
                <w:rFonts w:ascii="Calibri" w:eastAsia="Times New Roman" w:hAnsi="Calibri" w:cs="Calibri"/>
                <w:b/>
                <w:bCs/>
                <w:color w:val="000000"/>
                <w:sz w:val="22"/>
                <w:szCs w:val="22"/>
                <w:lang w:bidi="ar-SA"/>
              </w:rPr>
              <w:t>30.6</w:t>
            </w:r>
            <w:r w:rsidR="00A144B4" w:rsidRPr="007F7959">
              <w:rPr>
                <w:rFonts w:ascii="Calibri" w:eastAsia="Times New Roman" w:hAnsi="Calibri" w:cs="Calibri"/>
                <w:b/>
                <w:bCs/>
                <w:color w:val="000000"/>
                <w:sz w:val="22"/>
                <w:szCs w:val="22"/>
                <w:lang w:bidi="ar-SA"/>
              </w:rPr>
              <w:t xml:space="preserve">. </w:t>
            </w:r>
            <w:r w:rsidRPr="007F7959">
              <w:rPr>
                <w:rFonts w:ascii="Calibri" w:eastAsia="Times New Roman" w:hAnsi="Calibri" w:cs="Calibri"/>
                <w:b/>
                <w:bCs/>
                <w:color w:val="000000"/>
                <w:sz w:val="22"/>
                <w:szCs w:val="22"/>
                <w:lang w:bidi="ar-SA"/>
              </w:rPr>
              <w:t>2013.</w:t>
            </w:r>
          </w:p>
        </w:tc>
        <w:tc>
          <w:tcPr>
            <w:tcW w:w="1080" w:type="dxa"/>
            <w:tcBorders>
              <w:top w:val="single" w:sz="4" w:space="0" w:color="auto"/>
              <w:left w:val="nil"/>
              <w:bottom w:val="single" w:sz="4" w:space="0" w:color="auto"/>
              <w:right w:val="single" w:sz="4" w:space="0" w:color="auto"/>
            </w:tcBorders>
            <w:shd w:val="clear" w:color="000000" w:fill="FCD5B4"/>
            <w:vAlign w:val="bottom"/>
            <w:hideMark/>
          </w:tcPr>
          <w:p w:rsidR="008A38C7" w:rsidRPr="007F7959" w:rsidRDefault="008A38C7" w:rsidP="00D3239F">
            <w:pPr>
              <w:spacing w:after="0" w:line="240" w:lineRule="auto"/>
              <w:jc w:val="left"/>
              <w:rPr>
                <w:rFonts w:ascii="Calibri" w:eastAsia="Times New Roman" w:hAnsi="Calibri" w:cs="Calibri"/>
                <w:b/>
                <w:bCs/>
                <w:color w:val="000000"/>
                <w:sz w:val="22"/>
                <w:szCs w:val="22"/>
                <w:lang w:bidi="ar-SA"/>
              </w:rPr>
            </w:pPr>
            <w:r>
              <w:rPr>
                <w:rFonts w:ascii="Calibri" w:eastAsia="Times New Roman" w:hAnsi="Calibri" w:cs="Calibri"/>
                <w:b/>
                <w:bCs/>
                <w:color w:val="000000"/>
                <w:sz w:val="22"/>
                <w:szCs w:val="22"/>
                <w:lang w:bidi="ar-SA"/>
              </w:rPr>
              <w:t xml:space="preserve">ostvareni </w:t>
            </w:r>
            <w:r w:rsidRPr="007F7959">
              <w:rPr>
                <w:rFonts w:ascii="Calibri" w:eastAsia="Times New Roman" w:hAnsi="Calibri" w:cs="Calibri"/>
                <w:b/>
                <w:bCs/>
                <w:color w:val="000000"/>
                <w:sz w:val="22"/>
                <w:szCs w:val="22"/>
                <w:lang w:bidi="ar-SA"/>
              </w:rPr>
              <w:t>prihodi                        1.1-</w:t>
            </w:r>
            <w:r w:rsidR="00A144B4">
              <w:rPr>
                <w:rFonts w:ascii="Calibri" w:eastAsia="Times New Roman" w:hAnsi="Calibri" w:cs="Calibri"/>
                <w:b/>
                <w:bCs/>
                <w:color w:val="000000"/>
                <w:sz w:val="22"/>
                <w:szCs w:val="22"/>
                <w:lang w:bidi="ar-SA"/>
              </w:rPr>
              <w:t>30.6</w:t>
            </w:r>
            <w:r w:rsidR="00A144B4" w:rsidRPr="007F7959">
              <w:rPr>
                <w:rFonts w:ascii="Calibri" w:eastAsia="Times New Roman" w:hAnsi="Calibri" w:cs="Calibri"/>
                <w:b/>
                <w:bCs/>
                <w:color w:val="000000"/>
                <w:sz w:val="22"/>
                <w:szCs w:val="22"/>
                <w:lang w:bidi="ar-SA"/>
              </w:rPr>
              <w:t xml:space="preserve">. </w:t>
            </w:r>
            <w:r w:rsidRPr="007F7959">
              <w:rPr>
                <w:rFonts w:ascii="Calibri" w:eastAsia="Times New Roman" w:hAnsi="Calibri" w:cs="Calibri"/>
                <w:b/>
                <w:bCs/>
                <w:color w:val="000000"/>
                <w:sz w:val="22"/>
                <w:szCs w:val="22"/>
                <w:lang w:bidi="ar-SA"/>
              </w:rPr>
              <w:t>2013.</w:t>
            </w:r>
          </w:p>
        </w:tc>
        <w:tc>
          <w:tcPr>
            <w:tcW w:w="1080" w:type="dxa"/>
            <w:gridSpan w:val="2"/>
            <w:tcBorders>
              <w:top w:val="single" w:sz="4" w:space="0" w:color="auto"/>
              <w:left w:val="nil"/>
              <w:bottom w:val="single" w:sz="4" w:space="0" w:color="auto"/>
              <w:right w:val="single" w:sz="4" w:space="0" w:color="auto"/>
            </w:tcBorders>
            <w:shd w:val="clear" w:color="000000" w:fill="FAC090"/>
            <w:vAlign w:val="bottom"/>
            <w:hideMark/>
          </w:tcPr>
          <w:p w:rsidR="008A38C7" w:rsidRPr="007F7959" w:rsidRDefault="008A38C7" w:rsidP="00D3239F">
            <w:pPr>
              <w:spacing w:after="0" w:line="240" w:lineRule="auto"/>
              <w:jc w:val="left"/>
              <w:rPr>
                <w:rFonts w:ascii="Calibri" w:eastAsia="Times New Roman" w:hAnsi="Calibri" w:cs="Calibri"/>
                <w:b/>
                <w:bCs/>
                <w:color w:val="000000"/>
                <w:sz w:val="22"/>
                <w:szCs w:val="22"/>
                <w:lang w:bidi="ar-SA"/>
              </w:rPr>
            </w:pPr>
            <w:r w:rsidRPr="007F7959">
              <w:rPr>
                <w:rFonts w:ascii="Calibri" w:eastAsia="Times New Roman" w:hAnsi="Calibri" w:cs="Calibri"/>
                <w:b/>
                <w:bCs/>
                <w:color w:val="000000"/>
                <w:sz w:val="22"/>
                <w:szCs w:val="22"/>
                <w:lang w:bidi="ar-SA"/>
              </w:rPr>
              <w:t>index (ost/plan 2013)</w:t>
            </w:r>
          </w:p>
        </w:tc>
        <w:tc>
          <w:tcPr>
            <w:tcW w:w="1350" w:type="dxa"/>
            <w:tcBorders>
              <w:top w:val="single" w:sz="4" w:space="0" w:color="auto"/>
              <w:left w:val="nil"/>
              <w:bottom w:val="single" w:sz="4" w:space="0" w:color="auto"/>
              <w:right w:val="single" w:sz="4" w:space="0" w:color="auto"/>
            </w:tcBorders>
            <w:shd w:val="clear" w:color="000000" w:fill="FFFF66"/>
            <w:vAlign w:val="bottom"/>
            <w:hideMark/>
          </w:tcPr>
          <w:p w:rsidR="008A38C7" w:rsidRDefault="008A38C7" w:rsidP="00D3239F">
            <w:pPr>
              <w:spacing w:after="0" w:line="240" w:lineRule="auto"/>
              <w:jc w:val="left"/>
              <w:rPr>
                <w:rFonts w:ascii="Calibri" w:eastAsia="Times New Roman" w:hAnsi="Calibri" w:cs="Calibri"/>
                <w:b/>
                <w:bCs/>
                <w:color w:val="000000"/>
                <w:sz w:val="22"/>
                <w:szCs w:val="22"/>
                <w:lang w:bidi="ar-SA"/>
              </w:rPr>
            </w:pPr>
            <w:r w:rsidRPr="007F7959">
              <w:rPr>
                <w:rFonts w:ascii="Calibri" w:eastAsia="Times New Roman" w:hAnsi="Calibri" w:cs="Calibri"/>
                <w:b/>
                <w:bCs/>
                <w:color w:val="000000"/>
                <w:sz w:val="22"/>
                <w:szCs w:val="22"/>
                <w:lang w:bidi="ar-SA"/>
              </w:rPr>
              <w:t>Index</w:t>
            </w:r>
          </w:p>
          <w:p w:rsidR="008A38C7" w:rsidRPr="007F7959" w:rsidRDefault="008A38C7" w:rsidP="00D3239F">
            <w:pPr>
              <w:spacing w:after="0" w:line="240" w:lineRule="auto"/>
              <w:jc w:val="left"/>
              <w:rPr>
                <w:rFonts w:ascii="Calibri" w:eastAsia="Times New Roman" w:hAnsi="Calibri" w:cs="Calibri"/>
                <w:b/>
                <w:bCs/>
                <w:color w:val="000000"/>
                <w:sz w:val="22"/>
                <w:szCs w:val="22"/>
                <w:lang w:bidi="ar-SA"/>
              </w:rPr>
            </w:pPr>
            <w:r w:rsidRPr="007F7959">
              <w:rPr>
                <w:rFonts w:ascii="Calibri" w:eastAsia="Times New Roman" w:hAnsi="Calibri" w:cs="Calibri"/>
                <w:b/>
                <w:bCs/>
                <w:color w:val="000000"/>
                <w:sz w:val="22"/>
                <w:szCs w:val="22"/>
                <w:lang w:bidi="ar-SA"/>
              </w:rPr>
              <w:t xml:space="preserve"> (ost. prih 2013/2012)</w:t>
            </w:r>
          </w:p>
        </w:tc>
      </w:tr>
      <w:tr w:rsidR="008A38C7" w:rsidRPr="007F7959" w:rsidTr="00D3239F">
        <w:trPr>
          <w:trHeight w:val="300"/>
        </w:trPr>
        <w:tc>
          <w:tcPr>
            <w:tcW w:w="2085" w:type="dxa"/>
            <w:tcBorders>
              <w:top w:val="nil"/>
              <w:left w:val="single" w:sz="4" w:space="0" w:color="auto"/>
              <w:bottom w:val="single" w:sz="4" w:space="0" w:color="auto"/>
              <w:right w:val="single" w:sz="4" w:space="0" w:color="auto"/>
            </w:tcBorders>
            <w:shd w:val="clear" w:color="000000" w:fill="DDD9C3"/>
            <w:noWrap/>
            <w:vAlign w:val="bottom"/>
            <w:hideMark/>
          </w:tcPr>
          <w:p w:rsidR="008A38C7" w:rsidRPr="007F7959" w:rsidRDefault="008A38C7" w:rsidP="00D3239F">
            <w:pPr>
              <w:spacing w:after="0" w:line="240" w:lineRule="auto"/>
              <w:jc w:val="lef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dohodak</w:t>
            </w:r>
          </w:p>
        </w:tc>
        <w:tc>
          <w:tcPr>
            <w:tcW w:w="1080" w:type="dxa"/>
            <w:tcBorders>
              <w:top w:val="nil"/>
              <w:left w:val="nil"/>
              <w:bottom w:val="single" w:sz="4" w:space="0" w:color="auto"/>
              <w:right w:val="single" w:sz="4" w:space="0" w:color="auto"/>
            </w:tcBorders>
            <w:shd w:val="clear" w:color="000000" w:fill="DBE5F1"/>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37.71</w:t>
            </w:r>
          </w:p>
        </w:tc>
        <w:tc>
          <w:tcPr>
            <w:tcW w:w="1080" w:type="dxa"/>
            <w:tcBorders>
              <w:top w:val="nil"/>
              <w:left w:val="nil"/>
              <w:bottom w:val="single" w:sz="4" w:space="0" w:color="auto"/>
              <w:right w:val="single" w:sz="4" w:space="0" w:color="auto"/>
            </w:tcBorders>
            <w:shd w:val="clear" w:color="000000" w:fill="B8CCE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36.14</w:t>
            </w:r>
          </w:p>
        </w:tc>
        <w:tc>
          <w:tcPr>
            <w:tcW w:w="1080" w:type="dxa"/>
            <w:tcBorders>
              <w:top w:val="nil"/>
              <w:left w:val="nil"/>
              <w:bottom w:val="single" w:sz="4" w:space="0" w:color="auto"/>
              <w:right w:val="single" w:sz="4" w:space="0" w:color="auto"/>
            </w:tcBorders>
            <w:shd w:val="clear" w:color="000000" w:fill="95B3D7"/>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95.84</w:t>
            </w:r>
          </w:p>
        </w:tc>
        <w:tc>
          <w:tcPr>
            <w:tcW w:w="1080" w:type="dxa"/>
            <w:tcBorders>
              <w:top w:val="nil"/>
              <w:left w:val="nil"/>
              <w:bottom w:val="single" w:sz="4" w:space="0" w:color="auto"/>
              <w:right w:val="single" w:sz="4" w:space="0" w:color="auto"/>
            </w:tcBorders>
            <w:shd w:val="clear" w:color="000000" w:fill="EAF1DD"/>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34.86</w:t>
            </w:r>
          </w:p>
        </w:tc>
        <w:tc>
          <w:tcPr>
            <w:tcW w:w="1080" w:type="dxa"/>
            <w:tcBorders>
              <w:top w:val="nil"/>
              <w:left w:val="nil"/>
              <w:bottom w:val="single" w:sz="4" w:space="0" w:color="auto"/>
              <w:right w:val="single" w:sz="4" w:space="0" w:color="auto"/>
            </w:tcBorders>
            <w:shd w:val="clear" w:color="000000" w:fill="D7E4BC"/>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33.57</w:t>
            </w:r>
          </w:p>
        </w:tc>
        <w:tc>
          <w:tcPr>
            <w:tcW w:w="1080" w:type="dxa"/>
            <w:gridSpan w:val="2"/>
            <w:tcBorders>
              <w:top w:val="nil"/>
              <w:left w:val="nil"/>
              <w:bottom w:val="single" w:sz="4" w:space="0" w:color="auto"/>
              <w:right w:val="single" w:sz="4" w:space="0" w:color="auto"/>
            </w:tcBorders>
            <w:shd w:val="clear" w:color="000000" w:fill="C2D69A"/>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96.30</w:t>
            </w:r>
          </w:p>
        </w:tc>
        <w:tc>
          <w:tcPr>
            <w:tcW w:w="1170" w:type="dxa"/>
            <w:gridSpan w:val="2"/>
            <w:tcBorders>
              <w:top w:val="nil"/>
              <w:left w:val="nil"/>
              <w:bottom w:val="single" w:sz="4" w:space="0" w:color="auto"/>
              <w:right w:val="single" w:sz="4" w:space="0" w:color="auto"/>
            </w:tcBorders>
            <w:shd w:val="clear" w:color="000000" w:fill="FDE9D9"/>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36.64</w:t>
            </w:r>
          </w:p>
        </w:tc>
        <w:tc>
          <w:tcPr>
            <w:tcW w:w="1080" w:type="dxa"/>
            <w:tcBorders>
              <w:top w:val="nil"/>
              <w:left w:val="nil"/>
              <w:bottom w:val="single" w:sz="4" w:space="0" w:color="auto"/>
              <w:right w:val="single" w:sz="4" w:space="0" w:color="auto"/>
            </w:tcBorders>
            <w:shd w:val="clear" w:color="000000" w:fill="FCD5B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37.25</w:t>
            </w:r>
          </w:p>
        </w:tc>
        <w:tc>
          <w:tcPr>
            <w:tcW w:w="1080" w:type="dxa"/>
            <w:gridSpan w:val="2"/>
            <w:tcBorders>
              <w:top w:val="nil"/>
              <w:left w:val="nil"/>
              <w:bottom w:val="single" w:sz="4" w:space="0" w:color="auto"/>
              <w:right w:val="single" w:sz="4" w:space="0" w:color="auto"/>
            </w:tcBorders>
            <w:shd w:val="clear" w:color="000000" w:fill="FAC090"/>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101.66</w:t>
            </w:r>
          </w:p>
        </w:tc>
        <w:tc>
          <w:tcPr>
            <w:tcW w:w="1350" w:type="dxa"/>
            <w:tcBorders>
              <w:top w:val="nil"/>
              <w:left w:val="nil"/>
              <w:bottom w:val="nil"/>
              <w:right w:val="single" w:sz="4" w:space="0" w:color="auto"/>
            </w:tcBorders>
            <w:shd w:val="clear" w:color="000000" w:fill="FFFF66"/>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110.96</w:t>
            </w:r>
          </w:p>
        </w:tc>
      </w:tr>
      <w:tr w:rsidR="008A38C7" w:rsidRPr="007F7959" w:rsidTr="00D3239F">
        <w:trPr>
          <w:trHeight w:val="300"/>
        </w:trPr>
        <w:tc>
          <w:tcPr>
            <w:tcW w:w="2085" w:type="dxa"/>
            <w:tcBorders>
              <w:top w:val="nil"/>
              <w:left w:val="single" w:sz="4" w:space="0" w:color="auto"/>
              <w:bottom w:val="single" w:sz="4" w:space="0" w:color="auto"/>
              <w:right w:val="single" w:sz="4" w:space="0" w:color="auto"/>
            </w:tcBorders>
            <w:shd w:val="clear" w:color="000000" w:fill="DDD9C3"/>
            <w:noWrap/>
            <w:vAlign w:val="bottom"/>
            <w:hideMark/>
          </w:tcPr>
          <w:p w:rsidR="008A38C7" w:rsidRPr="007F7959" w:rsidRDefault="008A38C7" w:rsidP="00D3239F">
            <w:pPr>
              <w:spacing w:after="0" w:line="240" w:lineRule="auto"/>
              <w:jc w:val="lef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Doprinosi</w:t>
            </w:r>
          </w:p>
        </w:tc>
        <w:tc>
          <w:tcPr>
            <w:tcW w:w="1080" w:type="dxa"/>
            <w:tcBorders>
              <w:top w:val="nil"/>
              <w:left w:val="nil"/>
              <w:bottom w:val="single" w:sz="4" w:space="0" w:color="auto"/>
              <w:right w:val="single" w:sz="4" w:space="0" w:color="auto"/>
            </w:tcBorders>
            <w:shd w:val="clear" w:color="000000" w:fill="DBE5F1"/>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150.01</w:t>
            </w:r>
          </w:p>
        </w:tc>
        <w:tc>
          <w:tcPr>
            <w:tcW w:w="1080" w:type="dxa"/>
            <w:tcBorders>
              <w:top w:val="nil"/>
              <w:left w:val="nil"/>
              <w:bottom w:val="single" w:sz="4" w:space="0" w:color="auto"/>
              <w:right w:val="single" w:sz="4" w:space="0" w:color="auto"/>
            </w:tcBorders>
            <w:shd w:val="clear" w:color="000000" w:fill="B8CCE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155.66</w:t>
            </w:r>
          </w:p>
        </w:tc>
        <w:tc>
          <w:tcPr>
            <w:tcW w:w="1080" w:type="dxa"/>
            <w:tcBorders>
              <w:top w:val="nil"/>
              <w:left w:val="nil"/>
              <w:bottom w:val="single" w:sz="4" w:space="0" w:color="auto"/>
              <w:right w:val="single" w:sz="4" w:space="0" w:color="auto"/>
            </w:tcBorders>
            <w:shd w:val="clear" w:color="000000" w:fill="95B3D7"/>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103.77</w:t>
            </w:r>
          </w:p>
        </w:tc>
        <w:tc>
          <w:tcPr>
            <w:tcW w:w="1080" w:type="dxa"/>
            <w:tcBorders>
              <w:top w:val="nil"/>
              <w:left w:val="nil"/>
              <w:bottom w:val="single" w:sz="4" w:space="0" w:color="auto"/>
              <w:right w:val="single" w:sz="4" w:space="0" w:color="auto"/>
            </w:tcBorders>
            <w:shd w:val="clear" w:color="000000" w:fill="EAF1DD"/>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151.5</w:t>
            </w:r>
          </w:p>
        </w:tc>
        <w:tc>
          <w:tcPr>
            <w:tcW w:w="1080" w:type="dxa"/>
            <w:tcBorders>
              <w:top w:val="nil"/>
              <w:left w:val="nil"/>
              <w:bottom w:val="single" w:sz="4" w:space="0" w:color="auto"/>
              <w:right w:val="single" w:sz="4" w:space="0" w:color="auto"/>
            </w:tcBorders>
            <w:shd w:val="clear" w:color="000000" w:fill="D7E4BC"/>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149.2</w:t>
            </w:r>
          </w:p>
        </w:tc>
        <w:tc>
          <w:tcPr>
            <w:tcW w:w="1080" w:type="dxa"/>
            <w:gridSpan w:val="2"/>
            <w:tcBorders>
              <w:top w:val="nil"/>
              <w:left w:val="nil"/>
              <w:bottom w:val="single" w:sz="4" w:space="0" w:color="auto"/>
              <w:right w:val="single" w:sz="4" w:space="0" w:color="auto"/>
            </w:tcBorders>
            <w:shd w:val="clear" w:color="000000" w:fill="C2D69A"/>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98.48</w:t>
            </w:r>
          </w:p>
        </w:tc>
        <w:tc>
          <w:tcPr>
            <w:tcW w:w="1170" w:type="dxa"/>
            <w:gridSpan w:val="2"/>
            <w:tcBorders>
              <w:top w:val="nil"/>
              <w:left w:val="nil"/>
              <w:bottom w:val="single" w:sz="4" w:space="0" w:color="auto"/>
              <w:right w:val="single" w:sz="4" w:space="0" w:color="auto"/>
            </w:tcBorders>
            <w:shd w:val="clear" w:color="000000" w:fill="FDE9D9"/>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156.44</w:t>
            </w:r>
          </w:p>
        </w:tc>
        <w:tc>
          <w:tcPr>
            <w:tcW w:w="1080" w:type="dxa"/>
            <w:tcBorders>
              <w:top w:val="nil"/>
              <w:left w:val="nil"/>
              <w:bottom w:val="single" w:sz="4" w:space="0" w:color="auto"/>
              <w:right w:val="single" w:sz="4" w:space="0" w:color="auto"/>
            </w:tcBorders>
            <w:shd w:val="clear" w:color="000000" w:fill="FCD5B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156.72</w:t>
            </w:r>
          </w:p>
        </w:tc>
        <w:tc>
          <w:tcPr>
            <w:tcW w:w="1080" w:type="dxa"/>
            <w:gridSpan w:val="2"/>
            <w:tcBorders>
              <w:top w:val="nil"/>
              <w:left w:val="nil"/>
              <w:bottom w:val="single" w:sz="4" w:space="0" w:color="auto"/>
              <w:right w:val="single" w:sz="4" w:space="0" w:color="auto"/>
            </w:tcBorders>
            <w:shd w:val="clear" w:color="000000" w:fill="FAC090"/>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100.18</w:t>
            </w:r>
          </w:p>
        </w:tc>
        <w:tc>
          <w:tcPr>
            <w:tcW w:w="1350" w:type="dxa"/>
            <w:tcBorders>
              <w:top w:val="single" w:sz="4" w:space="0" w:color="auto"/>
              <w:left w:val="nil"/>
              <w:bottom w:val="single" w:sz="4" w:space="0" w:color="auto"/>
              <w:right w:val="single" w:sz="4" w:space="0" w:color="auto"/>
            </w:tcBorders>
            <w:shd w:val="clear" w:color="000000" w:fill="FFFF66"/>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105.04</w:t>
            </w:r>
          </w:p>
        </w:tc>
      </w:tr>
      <w:tr w:rsidR="008A38C7" w:rsidRPr="007F7959" w:rsidTr="00D3239F">
        <w:trPr>
          <w:trHeight w:val="300"/>
        </w:trPr>
        <w:tc>
          <w:tcPr>
            <w:tcW w:w="2085" w:type="dxa"/>
            <w:tcBorders>
              <w:top w:val="nil"/>
              <w:left w:val="single" w:sz="4" w:space="0" w:color="auto"/>
              <w:bottom w:val="single" w:sz="4" w:space="0" w:color="auto"/>
              <w:right w:val="single" w:sz="4" w:space="0" w:color="auto"/>
            </w:tcBorders>
            <w:shd w:val="clear" w:color="000000" w:fill="DDD9C3"/>
            <w:noWrap/>
            <w:vAlign w:val="bottom"/>
            <w:hideMark/>
          </w:tcPr>
          <w:p w:rsidR="008A38C7" w:rsidRPr="007F7959" w:rsidRDefault="008A38C7" w:rsidP="00D3239F">
            <w:pPr>
              <w:spacing w:after="0" w:line="240" w:lineRule="auto"/>
              <w:jc w:val="lef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PDV</w:t>
            </w:r>
          </w:p>
        </w:tc>
        <w:tc>
          <w:tcPr>
            <w:tcW w:w="1080" w:type="dxa"/>
            <w:tcBorders>
              <w:top w:val="nil"/>
              <w:left w:val="nil"/>
              <w:bottom w:val="single" w:sz="4" w:space="0" w:color="auto"/>
              <w:right w:val="single" w:sz="4" w:space="0" w:color="auto"/>
            </w:tcBorders>
            <w:shd w:val="clear" w:color="000000" w:fill="DBE5F1"/>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176.71</w:t>
            </w:r>
          </w:p>
        </w:tc>
        <w:tc>
          <w:tcPr>
            <w:tcW w:w="1080" w:type="dxa"/>
            <w:tcBorders>
              <w:top w:val="nil"/>
              <w:left w:val="nil"/>
              <w:bottom w:val="single" w:sz="4" w:space="0" w:color="auto"/>
              <w:right w:val="single" w:sz="4" w:space="0" w:color="auto"/>
            </w:tcBorders>
            <w:shd w:val="clear" w:color="000000" w:fill="B8CCE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170.25</w:t>
            </w:r>
          </w:p>
        </w:tc>
        <w:tc>
          <w:tcPr>
            <w:tcW w:w="1080" w:type="dxa"/>
            <w:tcBorders>
              <w:top w:val="nil"/>
              <w:left w:val="nil"/>
              <w:bottom w:val="single" w:sz="4" w:space="0" w:color="auto"/>
              <w:right w:val="single" w:sz="4" w:space="0" w:color="auto"/>
            </w:tcBorders>
            <w:shd w:val="clear" w:color="000000" w:fill="95B3D7"/>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96.34</w:t>
            </w:r>
          </w:p>
        </w:tc>
        <w:tc>
          <w:tcPr>
            <w:tcW w:w="1080" w:type="dxa"/>
            <w:tcBorders>
              <w:top w:val="nil"/>
              <w:left w:val="nil"/>
              <w:bottom w:val="single" w:sz="4" w:space="0" w:color="auto"/>
              <w:right w:val="single" w:sz="4" w:space="0" w:color="auto"/>
            </w:tcBorders>
            <w:shd w:val="clear" w:color="000000" w:fill="EAF1DD"/>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157.56</w:t>
            </w:r>
          </w:p>
        </w:tc>
        <w:tc>
          <w:tcPr>
            <w:tcW w:w="1080" w:type="dxa"/>
            <w:tcBorders>
              <w:top w:val="nil"/>
              <w:left w:val="nil"/>
              <w:bottom w:val="single" w:sz="4" w:space="0" w:color="auto"/>
              <w:right w:val="single" w:sz="4" w:space="0" w:color="auto"/>
            </w:tcBorders>
            <w:shd w:val="clear" w:color="000000" w:fill="D7E4BC"/>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162.81</w:t>
            </w:r>
          </w:p>
        </w:tc>
        <w:tc>
          <w:tcPr>
            <w:tcW w:w="1080" w:type="dxa"/>
            <w:gridSpan w:val="2"/>
            <w:tcBorders>
              <w:top w:val="nil"/>
              <w:left w:val="nil"/>
              <w:bottom w:val="single" w:sz="4" w:space="0" w:color="auto"/>
              <w:right w:val="single" w:sz="4" w:space="0" w:color="auto"/>
            </w:tcBorders>
            <w:shd w:val="clear" w:color="000000" w:fill="C2D69A"/>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103.33</w:t>
            </w:r>
          </w:p>
        </w:tc>
        <w:tc>
          <w:tcPr>
            <w:tcW w:w="1170" w:type="dxa"/>
            <w:gridSpan w:val="2"/>
            <w:tcBorders>
              <w:top w:val="nil"/>
              <w:left w:val="nil"/>
              <w:bottom w:val="single" w:sz="4" w:space="0" w:color="auto"/>
              <w:right w:val="single" w:sz="4" w:space="0" w:color="auto"/>
            </w:tcBorders>
            <w:shd w:val="clear" w:color="000000" w:fill="FDE9D9"/>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170.65</w:t>
            </w:r>
          </w:p>
        </w:tc>
        <w:tc>
          <w:tcPr>
            <w:tcW w:w="1080" w:type="dxa"/>
            <w:tcBorders>
              <w:top w:val="nil"/>
              <w:left w:val="nil"/>
              <w:bottom w:val="single" w:sz="4" w:space="0" w:color="auto"/>
              <w:right w:val="single" w:sz="4" w:space="0" w:color="auto"/>
            </w:tcBorders>
            <w:shd w:val="clear" w:color="000000" w:fill="FCD5B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182.9</w:t>
            </w:r>
          </w:p>
        </w:tc>
        <w:tc>
          <w:tcPr>
            <w:tcW w:w="1080" w:type="dxa"/>
            <w:gridSpan w:val="2"/>
            <w:tcBorders>
              <w:top w:val="nil"/>
              <w:left w:val="nil"/>
              <w:bottom w:val="single" w:sz="4" w:space="0" w:color="auto"/>
              <w:right w:val="single" w:sz="4" w:space="0" w:color="auto"/>
            </w:tcBorders>
            <w:shd w:val="clear" w:color="000000" w:fill="FAC090"/>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107.18</w:t>
            </w:r>
          </w:p>
        </w:tc>
        <w:tc>
          <w:tcPr>
            <w:tcW w:w="1350" w:type="dxa"/>
            <w:tcBorders>
              <w:top w:val="nil"/>
              <w:left w:val="nil"/>
              <w:bottom w:val="single" w:sz="4" w:space="0" w:color="auto"/>
              <w:right w:val="single" w:sz="4" w:space="0" w:color="auto"/>
            </w:tcBorders>
            <w:shd w:val="clear" w:color="000000" w:fill="FFFF66"/>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112.34</w:t>
            </w:r>
          </w:p>
        </w:tc>
      </w:tr>
      <w:tr w:rsidR="008A38C7" w:rsidRPr="007F7959" w:rsidTr="00D3239F">
        <w:trPr>
          <w:trHeight w:val="300"/>
        </w:trPr>
        <w:tc>
          <w:tcPr>
            <w:tcW w:w="2085" w:type="dxa"/>
            <w:tcBorders>
              <w:top w:val="nil"/>
              <w:left w:val="single" w:sz="4" w:space="0" w:color="auto"/>
              <w:bottom w:val="single" w:sz="4" w:space="0" w:color="auto"/>
              <w:right w:val="single" w:sz="4" w:space="0" w:color="auto"/>
            </w:tcBorders>
            <w:shd w:val="clear" w:color="000000" w:fill="DDD9C3"/>
            <w:noWrap/>
            <w:vAlign w:val="bottom"/>
            <w:hideMark/>
          </w:tcPr>
          <w:p w:rsidR="008A38C7" w:rsidRPr="007F7959" w:rsidRDefault="008A38C7" w:rsidP="00D3239F">
            <w:pPr>
              <w:spacing w:after="0" w:line="240" w:lineRule="auto"/>
              <w:jc w:val="lef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Dobit</w:t>
            </w:r>
          </w:p>
        </w:tc>
        <w:tc>
          <w:tcPr>
            <w:tcW w:w="1080" w:type="dxa"/>
            <w:tcBorders>
              <w:top w:val="nil"/>
              <w:left w:val="nil"/>
              <w:bottom w:val="single" w:sz="4" w:space="0" w:color="auto"/>
              <w:right w:val="single" w:sz="4" w:space="0" w:color="auto"/>
            </w:tcBorders>
            <w:shd w:val="clear" w:color="000000" w:fill="DBE5F1"/>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19.76</w:t>
            </w:r>
          </w:p>
        </w:tc>
        <w:tc>
          <w:tcPr>
            <w:tcW w:w="1080" w:type="dxa"/>
            <w:tcBorders>
              <w:top w:val="nil"/>
              <w:left w:val="nil"/>
              <w:bottom w:val="single" w:sz="4" w:space="0" w:color="auto"/>
              <w:right w:val="single" w:sz="4" w:space="0" w:color="auto"/>
            </w:tcBorders>
            <w:shd w:val="clear" w:color="000000" w:fill="B8CCE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22.4</w:t>
            </w:r>
          </w:p>
        </w:tc>
        <w:tc>
          <w:tcPr>
            <w:tcW w:w="1080" w:type="dxa"/>
            <w:tcBorders>
              <w:top w:val="nil"/>
              <w:left w:val="nil"/>
              <w:bottom w:val="single" w:sz="4" w:space="0" w:color="auto"/>
              <w:right w:val="single" w:sz="4" w:space="0" w:color="auto"/>
            </w:tcBorders>
            <w:shd w:val="clear" w:color="000000" w:fill="95B3D7"/>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113.36</w:t>
            </w:r>
          </w:p>
        </w:tc>
        <w:tc>
          <w:tcPr>
            <w:tcW w:w="1080" w:type="dxa"/>
            <w:tcBorders>
              <w:top w:val="nil"/>
              <w:left w:val="nil"/>
              <w:bottom w:val="single" w:sz="4" w:space="0" w:color="auto"/>
              <w:right w:val="single" w:sz="4" w:space="0" w:color="auto"/>
            </w:tcBorders>
            <w:shd w:val="clear" w:color="000000" w:fill="EAF1DD"/>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26.24</w:t>
            </w:r>
          </w:p>
        </w:tc>
        <w:tc>
          <w:tcPr>
            <w:tcW w:w="1080" w:type="dxa"/>
            <w:tcBorders>
              <w:top w:val="nil"/>
              <w:left w:val="nil"/>
              <w:bottom w:val="single" w:sz="4" w:space="0" w:color="auto"/>
              <w:right w:val="single" w:sz="4" w:space="0" w:color="auto"/>
            </w:tcBorders>
            <w:shd w:val="clear" w:color="000000" w:fill="D7E4BC"/>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25.73</w:t>
            </w:r>
          </w:p>
        </w:tc>
        <w:tc>
          <w:tcPr>
            <w:tcW w:w="1080" w:type="dxa"/>
            <w:gridSpan w:val="2"/>
            <w:tcBorders>
              <w:top w:val="nil"/>
              <w:left w:val="nil"/>
              <w:bottom w:val="single" w:sz="4" w:space="0" w:color="auto"/>
              <w:right w:val="single" w:sz="4" w:space="0" w:color="auto"/>
            </w:tcBorders>
            <w:shd w:val="clear" w:color="000000" w:fill="C2D69A"/>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98.06</w:t>
            </w:r>
          </w:p>
        </w:tc>
        <w:tc>
          <w:tcPr>
            <w:tcW w:w="1170" w:type="dxa"/>
            <w:gridSpan w:val="2"/>
            <w:tcBorders>
              <w:top w:val="nil"/>
              <w:left w:val="nil"/>
              <w:bottom w:val="single" w:sz="4" w:space="0" w:color="auto"/>
              <w:right w:val="single" w:sz="4" w:space="0" w:color="auto"/>
            </w:tcBorders>
            <w:shd w:val="clear" w:color="000000" w:fill="FDE9D9"/>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26.02</w:t>
            </w:r>
          </w:p>
        </w:tc>
        <w:tc>
          <w:tcPr>
            <w:tcW w:w="1080" w:type="dxa"/>
            <w:tcBorders>
              <w:top w:val="nil"/>
              <w:left w:val="nil"/>
              <w:bottom w:val="single" w:sz="4" w:space="0" w:color="auto"/>
              <w:right w:val="single" w:sz="4" w:space="0" w:color="auto"/>
            </w:tcBorders>
            <w:shd w:val="clear" w:color="000000" w:fill="FCD5B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28.14</w:t>
            </w:r>
          </w:p>
        </w:tc>
        <w:tc>
          <w:tcPr>
            <w:tcW w:w="1080" w:type="dxa"/>
            <w:gridSpan w:val="2"/>
            <w:tcBorders>
              <w:top w:val="nil"/>
              <w:left w:val="nil"/>
              <w:bottom w:val="single" w:sz="4" w:space="0" w:color="auto"/>
              <w:right w:val="single" w:sz="4" w:space="0" w:color="auto"/>
            </w:tcBorders>
            <w:shd w:val="clear" w:color="000000" w:fill="FAC090"/>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108.15</w:t>
            </w:r>
          </w:p>
        </w:tc>
        <w:tc>
          <w:tcPr>
            <w:tcW w:w="1350" w:type="dxa"/>
            <w:tcBorders>
              <w:top w:val="nil"/>
              <w:left w:val="nil"/>
              <w:bottom w:val="single" w:sz="4" w:space="0" w:color="auto"/>
              <w:right w:val="single" w:sz="4" w:space="0" w:color="auto"/>
            </w:tcBorders>
            <w:shd w:val="clear" w:color="000000" w:fill="FFFF66"/>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109.37</w:t>
            </w:r>
          </w:p>
        </w:tc>
      </w:tr>
      <w:tr w:rsidR="008A38C7" w:rsidRPr="007F7959" w:rsidTr="00D3239F">
        <w:trPr>
          <w:trHeight w:val="300"/>
        </w:trPr>
        <w:tc>
          <w:tcPr>
            <w:tcW w:w="2085" w:type="dxa"/>
            <w:tcBorders>
              <w:top w:val="nil"/>
              <w:left w:val="single" w:sz="4" w:space="0" w:color="auto"/>
              <w:bottom w:val="single" w:sz="4" w:space="0" w:color="auto"/>
              <w:right w:val="single" w:sz="4" w:space="0" w:color="auto"/>
            </w:tcBorders>
            <w:shd w:val="clear" w:color="000000" w:fill="DDD9C3"/>
            <w:noWrap/>
            <w:vAlign w:val="bottom"/>
            <w:hideMark/>
          </w:tcPr>
          <w:p w:rsidR="008A38C7" w:rsidRPr="007F7959" w:rsidRDefault="008A38C7" w:rsidP="00D3239F">
            <w:pPr>
              <w:spacing w:after="0" w:line="240" w:lineRule="auto"/>
              <w:jc w:val="lef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akcize</w:t>
            </w:r>
          </w:p>
        </w:tc>
        <w:tc>
          <w:tcPr>
            <w:tcW w:w="1080" w:type="dxa"/>
            <w:tcBorders>
              <w:top w:val="nil"/>
              <w:left w:val="nil"/>
              <w:bottom w:val="single" w:sz="4" w:space="0" w:color="auto"/>
              <w:right w:val="single" w:sz="4" w:space="0" w:color="auto"/>
            </w:tcBorders>
            <w:shd w:val="clear" w:color="000000" w:fill="DBE5F1"/>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66.81</w:t>
            </w:r>
          </w:p>
        </w:tc>
        <w:tc>
          <w:tcPr>
            <w:tcW w:w="1080" w:type="dxa"/>
            <w:tcBorders>
              <w:top w:val="nil"/>
              <w:left w:val="nil"/>
              <w:bottom w:val="single" w:sz="4" w:space="0" w:color="auto"/>
              <w:right w:val="single" w:sz="4" w:space="0" w:color="auto"/>
            </w:tcBorders>
            <w:shd w:val="clear" w:color="000000" w:fill="B8CCE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60.24</w:t>
            </w:r>
          </w:p>
        </w:tc>
        <w:tc>
          <w:tcPr>
            <w:tcW w:w="1080" w:type="dxa"/>
            <w:tcBorders>
              <w:top w:val="nil"/>
              <w:left w:val="nil"/>
              <w:bottom w:val="single" w:sz="4" w:space="0" w:color="auto"/>
              <w:right w:val="single" w:sz="4" w:space="0" w:color="auto"/>
            </w:tcBorders>
            <w:shd w:val="clear" w:color="000000" w:fill="95B3D7"/>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90.17</w:t>
            </w:r>
          </w:p>
        </w:tc>
        <w:tc>
          <w:tcPr>
            <w:tcW w:w="1080" w:type="dxa"/>
            <w:tcBorders>
              <w:top w:val="nil"/>
              <w:left w:val="nil"/>
              <w:bottom w:val="single" w:sz="4" w:space="0" w:color="auto"/>
              <w:right w:val="single" w:sz="4" w:space="0" w:color="auto"/>
            </w:tcBorders>
            <w:shd w:val="clear" w:color="000000" w:fill="EAF1DD"/>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63.83</w:t>
            </w:r>
          </w:p>
        </w:tc>
        <w:tc>
          <w:tcPr>
            <w:tcW w:w="1080" w:type="dxa"/>
            <w:tcBorders>
              <w:top w:val="nil"/>
              <w:left w:val="nil"/>
              <w:bottom w:val="single" w:sz="4" w:space="0" w:color="auto"/>
              <w:right w:val="single" w:sz="4" w:space="0" w:color="auto"/>
            </w:tcBorders>
            <w:shd w:val="clear" w:color="000000" w:fill="D7E4BC"/>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59.57</w:t>
            </w:r>
          </w:p>
        </w:tc>
        <w:tc>
          <w:tcPr>
            <w:tcW w:w="1080" w:type="dxa"/>
            <w:gridSpan w:val="2"/>
            <w:tcBorders>
              <w:top w:val="nil"/>
              <w:left w:val="nil"/>
              <w:bottom w:val="single" w:sz="4" w:space="0" w:color="auto"/>
              <w:right w:val="single" w:sz="4" w:space="0" w:color="auto"/>
            </w:tcBorders>
            <w:shd w:val="clear" w:color="000000" w:fill="C2D69A"/>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93.33</w:t>
            </w:r>
          </w:p>
        </w:tc>
        <w:tc>
          <w:tcPr>
            <w:tcW w:w="1170" w:type="dxa"/>
            <w:gridSpan w:val="2"/>
            <w:tcBorders>
              <w:top w:val="nil"/>
              <w:left w:val="nil"/>
              <w:bottom w:val="single" w:sz="4" w:space="0" w:color="auto"/>
              <w:right w:val="single" w:sz="4" w:space="0" w:color="auto"/>
            </w:tcBorders>
            <w:shd w:val="clear" w:color="000000" w:fill="FDE9D9"/>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66.15</w:t>
            </w:r>
          </w:p>
        </w:tc>
        <w:tc>
          <w:tcPr>
            <w:tcW w:w="1080" w:type="dxa"/>
            <w:tcBorders>
              <w:top w:val="nil"/>
              <w:left w:val="nil"/>
              <w:bottom w:val="single" w:sz="4" w:space="0" w:color="auto"/>
              <w:right w:val="single" w:sz="4" w:space="0" w:color="auto"/>
            </w:tcBorders>
            <w:shd w:val="clear" w:color="000000" w:fill="FCD5B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65.97</w:t>
            </w:r>
          </w:p>
        </w:tc>
        <w:tc>
          <w:tcPr>
            <w:tcW w:w="1080" w:type="dxa"/>
            <w:gridSpan w:val="2"/>
            <w:tcBorders>
              <w:top w:val="nil"/>
              <w:left w:val="nil"/>
              <w:bottom w:val="single" w:sz="4" w:space="0" w:color="auto"/>
              <w:right w:val="single" w:sz="4" w:space="0" w:color="auto"/>
            </w:tcBorders>
            <w:shd w:val="clear" w:color="000000" w:fill="FAC090"/>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99.73</w:t>
            </w:r>
          </w:p>
        </w:tc>
        <w:tc>
          <w:tcPr>
            <w:tcW w:w="1350" w:type="dxa"/>
            <w:tcBorders>
              <w:top w:val="nil"/>
              <w:left w:val="nil"/>
              <w:bottom w:val="single" w:sz="4" w:space="0" w:color="auto"/>
              <w:right w:val="single" w:sz="4" w:space="0" w:color="auto"/>
            </w:tcBorders>
            <w:shd w:val="clear" w:color="000000" w:fill="FFFF66"/>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110.74</w:t>
            </w:r>
          </w:p>
        </w:tc>
      </w:tr>
      <w:tr w:rsidR="008A38C7" w:rsidRPr="007F7959" w:rsidTr="00D3239F">
        <w:trPr>
          <w:trHeight w:val="300"/>
        </w:trPr>
        <w:tc>
          <w:tcPr>
            <w:tcW w:w="2085" w:type="dxa"/>
            <w:tcBorders>
              <w:top w:val="nil"/>
              <w:left w:val="single" w:sz="4" w:space="0" w:color="auto"/>
              <w:bottom w:val="single" w:sz="4" w:space="0" w:color="auto"/>
              <w:right w:val="single" w:sz="4" w:space="0" w:color="auto"/>
            </w:tcBorders>
            <w:shd w:val="clear" w:color="000000" w:fill="DDD9C3"/>
            <w:noWrap/>
            <w:vAlign w:val="bottom"/>
            <w:hideMark/>
          </w:tcPr>
          <w:p w:rsidR="008A38C7" w:rsidRPr="007F7959" w:rsidRDefault="008A38C7" w:rsidP="00D3239F">
            <w:pPr>
              <w:spacing w:after="0" w:line="240" w:lineRule="auto"/>
              <w:jc w:val="lef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carina</w:t>
            </w:r>
          </w:p>
        </w:tc>
        <w:tc>
          <w:tcPr>
            <w:tcW w:w="1080" w:type="dxa"/>
            <w:tcBorders>
              <w:top w:val="nil"/>
              <w:left w:val="nil"/>
              <w:bottom w:val="single" w:sz="4" w:space="0" w:color="auto"/>
              <w:right w:val="single" w:sz="4" w:space="0" w:color="auto"/>
            </w:tcBorders>
            <w:shd w:val="clear" w:color="000000" w:fill="DBE5F1"/>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23.14</w:t>
            </w:r>
          </w:p>
        </w:tc>
        <w:tc>
          <w:tcPr>
            <w:tcW w:w="1080" w:type="dxa"/>
            <w:tcBorders>
              <w:top w:val="nil"/>
              <w:left w:val="nil"/>
              <w:bottom w:val="single" w:sz="4" w:space="0" w:color="auto"/>
              <w:right w:val="single" w:sz="4" w:space="0" w:color="auto"/>
            </w:tcBorders>
            <w:shd w:val="clear" w:color="000000" w:fill="B8CCE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20.93</w:t>
            </w:r>
          </w:p>
        </w:tc>
        <w:tc>
          <w:tcPr>
            <w:tcW w:w="1080" w:type="dxa"/>
            <w:tcBorders>
              <w:top w:val="nil"/>
              <w:left w:val="nil"/>
              <w:bottom w:val="single" w:sz="4" w:space="0" w:color="auto"/>
              <w:right w:val="single" w:sz="4" w:space="0" w:color="auto"/>
            </w:tcBorders>
            <w:shd w:val="clear" w:color="000000" w:fill="95B3D7"/>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90.45</w:t>
            </w:r>
          </w:p>
        </w:tc>
        <w:tc>
          <w:tcPr>
            <w:tcW w:w="1080" w:type="dxa"/>
            <w:tcBorders>
              <w:top w:val="nil"/>
              <w:left w:val="nil"/>
              <w:bottom w:val="single" w:sz="4" w:space="0" w:color="auto"/>
              <w:right w:val="single" w:sz="4" w:space="0" w:color="auto"/>
            </w:tcBorders>
            <w:shd w:val="clear" w:color="000000" w:fill="EAF1DD"/>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20.63</w:t>
            </w:r>
          </w:p>
        </w:tc>
        <w:tc>
          <w:tcPr>
            <w:tcW w:w="1080" w:type="dxa"/>
            <w:tcBorders>
              <w:top w:val="nil"/>
              <w:left w:val="nil"/>
              <w:bottom w:val="single" w:sz="4" w:space="0" w:color="auto"/>
              <w:right w:val="single" w:sz="4" w:space="0" w:color="auto"/>
            </w:tcBorders>
            <w:shd w:val="clear" w:color="000000" w:fill="D7E4BC"/>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16.39</w:t>
            </w:r>
          </w:p>
        </w:tc>
        <w:tc>
          <w:tcPr>
            <w:tcW w:w="1080" w:type="dxa"/>
            <w:gridSpan w:val="2"/>
            <w:tcBorders>
              <w:top w:val="nil"/>
              <w:left w:val="nil"/>
              <w:bottom w:val="single" w:sz="4" w:space="0" w:color="auto"/>
              <w:right w:val="single" w:sz="4" w:space="0" w:color="auto"/>
            </w:tcBorders>
            <w:shd w:val="clear" w:color="000000" w:fill="C2D69A"/>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79.45</w:t>
            </w:r>
          </w:p>
        </w:tc>
        <w:tc>
          <w:tcPr>
            <w:tcW w:w="1170" w:type="dxa"/>
            <w:gridSpan w:val="2"/>
            <w:tcBorders>
              <w:top w:val="nil"/>
              <w:left w:val="nil"/>
              <w:bottom w:val="single" w:sz="4" w:space="0" w:color="auto"/>
              <w:right w:val="single" w:sz="4" w:space="0" w:color="auto"/>
            </w:tcBorders>
            <w:shd w:val="clear" w:color="000000" w:fill="FDE9D9"/>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17.6</w:t>
            </w:r>
          </w:p>
        </w:tc>
        <w:tc>
          <w:tcPr>
            <w:tcW w:w="1080" w:type="dxa"/>
            <w:tcBorders>
              <w:top w:val="nil"/>
              <w:left w:val="nil"/>
              <w:bottom w:val="single" w:sz="4" w:space="0" w:color="auto"/>
              <w:right w:val="single" w:sz="4" w:space="0" w:color="auto"/>
            </w:tcBorders>
            <w:shd w:val="clear" w:color="000000" w:fill="FCD5B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10.35</w:t>
            </w:r>
          </w:p>
        </w:tc>
        <w:tc>
          <w:tcPr>
            <w:tcW w:w="1080" w:type="dxa"/>
            <w:gridSpan w:val="2"/>
            <w:tcBorders>
              <w:top w:val="nil"/>
              <w:left w:val="nil"/>
              <w:bottom w:val="single" w:sz="4" w:space="0" w:color="auto"/>
              <w:right w:val="single" w:sz="4" w:space="0" w:color="auto"/>
            </w:tcBorders>
            <w:shd w:val="clear" w:color="000000" w:fill="FAC090"/>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58.81</w:t>
            </w:r>
          </w:p>
        </w:tc>
        <w:tc>
          <w:tcPr>
            <w:tcW w:w="1350" w:type="dxa"/>
            <w:tcBorders>
              <w:top w:val="nil"/>
              <w:left w:val="nil"/>
              <w:bottom w:val="single" w:sz="4" w:space="0" w:color="auto"/>
              <w:right w:val="single" w:sz="4" w:space="0" w:color="auto"/>
            </w:tcBorders>
            <w:shd w:val="clear" w:color="000000" w:fill="FFFF66"/>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63.15</w:t>
            </w:r>
          </w:p>
        </w:tc>
      </w:tr>
      <w:tr w:rsidR="008A38C7" w:rsidRPr="007F7959" w:rsidTr="00D3239F">
        <w:trPr>
          <w:trHeight w:val="300"/>
        </w:trPr>
        <w:tc>
          <w:tcPr>
            <w:tcW w:w="2085" w:type="dxa"/>
            <w:tcBorders>
              <w:top w:val="nil"/>
              <w:left w:val="single" w:sz="4" w:space="0" w:color="auto"/>
              <w:bottom w:val="single" w:sz="4" w:space="0" w:color="auto"/>
              <w:right w:val="single" w:sz="4" w:space="0" w:color="auto"/>
            </w:tcBorders>
            <w:shd w:val="clear" w:color="000000" w:fill="DDD9C3"/>
            <w:noWrap/>
            <w:vAlign w:val="bottom"/>
            <w:hideMark/>
          </w:tcPr>
          <w:p w:rsidR="008A38C7" w:rsidRPr="007F7959" w:rsidRDefault="008A38C7" w:rsidP="00D3239F">
            <w:pPr>
              <w:spacing w:after="0" w:line="240" w:lineRule="auto"/>
              <w:jc w:val="lef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promet nepokret</w:t>
            </w:r>
          </w:p>
        </w:tc>
        <w:tc>
          <w:tcPr>
            <w:tcW w:w="1080" w:type="dxa"/>
            <w:tcBorders>
              <w:top w:val="nil"/>
              <w:left w:val="nil"/>
              <w:bottom w:val="single" w:sz="4" w:space="0" w:color="auto"/>
              <w:right w:val="single" w:sz="4" w:space="0" w:color="auto"/>
            </w:tcBorders>
            <w:shd w:val="clear" w:color="000000" w:fill="DBE5F1"/>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0.83</w:t>
            </w:r>
          </w:p>
        </w:tc>
        <w:tc>
          <w:tcPr>
            <w:tcW w:w="1080" w:type="dxa"/>
            <w:tcBorders>
              <w:top w:val="nil"/>
              <w:left w:val="nil"/>
              <w:bottom w:val="single" w:sz="4" w:space="0" w:color="auto"/>
              <w:right w:val="single" w:sz="4" w:space="0" w:color="auto"/>
            </w:tcBorders>
            <w:shd w:val="clear" w:color="000000" w:fill="B8CCE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0.55</w:t>
            </w:r>
          </w:p>
        </w:tc>
        <w:tc>
          <w:tcPr>
            <w:tcW w:w="1080" w:type="dxa"/>
            <w:tcBorders>
              <w:top w:val="nil"/>
              <w:left w:val="nil"/>
              <w:bottom w:val="single" w:sz="4" w:space="0" w:color="auto"/>
              <w:right w:val="single" w:sz="4" w:space="0" w:color="auto"/>
            </w:tcBorders>
            <w:shd w:val="clear" w:color="000000" w:fill="95B3D7"/>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66.27</w:t>
            </w:r>
          </w:p>
        </w:tc>
        <w:tc>
          <w:tcPr>
            <w:tcW w:w="1080" w:type="dxa"/>
            <w:tcBorders>
              <w:top w:val="nil"/>
              <w:left w:val="nil"/>
              <w:bottom w:val="single" w:sz="4" w:space="0" w:color="auto"/>
              <w:right w:val="single" w:sz="4" w:space="0" w:color="auto"/>
            </w:tcBorders>
            <w:shd w:val="clear" w:color="000000" w:fill="EAF1DD"/>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0.69</w:t>
            </w:r>
          </w:p>
        </w:tc>
        <w:tc>
          <w:tcPr>
            <w:tcW w:w="1080" w:type="dxa"/>
            <w:tcBorders>
              <w:top w:val="nil"/>
              <w:left w:val="nil"/>
              <w:bottom w:val="single" w:sz="4" w:space="0" w:color="auto"/>
              <w:right w:val="single" w:sz="4" w:space="0" w:color="auto"/>
            </w:tcBorders>
            <w:shd w:val="clear" w:color="000000" w:fill="D7E4BC"/>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0.67</w:t>
            </w:r>
          </w:p>
        </w:tc>
        <w:tc>
          <w:tcPr>
            <w:tcW w:w="1080" w:type="dxa"/>
            <w:gridSpan w:val="2"/>
            <w:tcBorders>
              <w:top w:val="nil"/>
              <w:left w:val="nil"/>
              <w:bottom w:val="single" w:sz="4" w:space="0" w:color="auto"/>
              <w:right w:val="single" w:sz="4" w:space="0" w:color="auto"/>
            </w:tcBorders>
            <w:shd w:val="clear" w:color="000000" w:fill="C2D69A"/>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97.10</w:t>
            </w:r>
          </w:p>
        </w:tc>
        <w:tc>
          <w:tcPr>
            <w:tcW w:w="1170" w:type="dxa"/>
            <w:gridSpan w:val="2"/>
            <w:tcBorders>
              <w:top w:val="nil"/>
              <w:left w:val="nil"/>
              <w:bottom w:val="single" w:sz="4" w:space="0" w:color="auto"/>
              <w:right w:val="single" w:sz="4" w:space="0" w:color="auto"/>
            </w:tcBorders>
            <w:shd w:val="clear" w:color="000000" w:fill="FDE9D9"/>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0.71</w:t>
            </w:r>
          </w:p>
        </w:tc>
        <w:tc>
          <w:tcPr>
            <w:tcW w:w="1080" w:type="dxa"/>
            <w:tcBorders>
              <w:top w:val="nil"/>
              <w:left w:val="nil"/>
              <w:bottom w:val="single" w:sz="4" w:space="0" w:color="auto"/>
              <w:right w:val="single" w:sz="4" w:space="0" w:color="auto"/>
            </w:tcBorders>
            <w:shd w:val="clear" w:color="000000" w:fill="FCD5B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0.63</w:t>
            </w:r>
          </w:p>
        </w:tc>
        <w:tc>
          <w:tcPr>
            <w:tcW w:w="1080" w:type="dxa"/>
            <w:gridSpan w:val="2"/>
            <w:tcBorders>
              <w:top w:val="nil"/>
              <w:left w:val="nil"/>
              <w:bottom w:val="single" w:sz="4" w:space="0" w:color="auto"/>
              <w:right w:val="single" w:sz="4" w:space="0" w:color="auto"/>
            </w:tcBorders>
            <w:shd w:val="clear" w:color="000000" w:fill="FAC090"/>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88.73</w:t>
            </w:r>
          </w:p>
        </w:tc>
        <w:tc>
          <w:tcPr>
            <w:tcW w:w="1350" w:type="dxa"/>
            <w:tcBorders>
              <w:top w:val="nil"/>
              <w:left w:val="nil"/>
              <w:bottom w:val="single" w:sz="4" w:space="0" w:color="auto"/>
              <w:right w:val="single" w:sz="4" w:space="0" w:color="auto"/>
            </w:tcBorders>
            <w:shd w:val="clear" w:color="000000" w:fill="FFFF66"/>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94.03</w:t>
            </w:r>
          </w:p>
        </w:tc>
      </w:tr>
      <w:tr w:rsidR="008A38C7" w:rsidRPr="007F7959" w:rsidTr="00D3239F">
        <w:trPr>
          <w:trHeight w:val="300"/>
        </w:trPr>
        <w:tc>
          <w:tcPr>
            <w:tcW w:w="2085" w:type="dxa"/>
            <w:tcBorders>
              <w:top w:val="nil"/>
              <w:left w:val="single" w:sz="4" w:space="0" w:color="auto"/>
              <w:bottom w:val="single" w:sz="4" w:space="0" w:color="auto"/>
              <w:right w:val="single" w:sz="4" w:space="0" w:color="auto"/>
            </w:tcBorders>
            <w:shd w:val="clear" w:color="000000" w:fill="DDD9C3"/>
            <w:noWrap/>
            <w:vAlign w:val="bottom"/>
            <w:hideMark/>
          </w:tcPr>
          <w:p w:rsidR="008A38C7" w:rsidRPr="007F7959" w:rsidRDefault="008A38C7" w:rsidP="00D3239F">
            <w:pPr>
              <w:spacing w:after="0" w:line="240" w:lineRule="auto"/>
              <w:jc w:val="lef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ostali porezi</w:t>
            </w:r>
          </w:p>
        </w:tc>
        <w:tc>
          <w:tcPr>
            <w:tcW w:w="1080" w:type="dxa"/>
            <w:tcBorders>
              <w:top w:val="nil"/>
              <w:left w:val="nil"/>
              <w:bottom w:val="single" w:sz="4" w:space="0" w:color="auto"/>
              <w:right w:val="single" w:sz="4" w:space="0" w:color="auto"/>
            </w:tcBorders>
            <w:shd w:val="clear" w:color="000000" w:fill="DBE5F1"/>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1.58</w:t>
            </w:r>
          </w:p>
        </w:tc>
        <w:tc>
          <w:tcPr>
            <w:tcW w:w="1080" w:type="dxa"/>
            <w:tcBorders>
              <w:top w:val="nil"/>
              <w:left w:val="nil"/>
              <w:bottom w:val="single" w:sz="4" w:space="0" w:color="auto"/>
              <w:right w:val="single" w:sz="4" w:space="0" w:color="auto"/>
            </w:tcBorders>
            <w:shd w:val="clear" w:color="000000" w:fill="B8CCE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2.02</w:t>
            </w:r>
          </w:p>
        </w:tc>
        <w:tc>
          <w:tcPr>
            <w:tcW w:w="1080" w:type="dxa"/>
            <w:tcBorders>
              <w:top w:val="nil"/>
              <w:left w:val="nil"/>
              <w:bottom w:val="single" w:sz="4" w:space="0" w:color="auto"/>
              <w:right w:val="single" w:sz="4" w:space="0" w:color="auto"/>
            </w:tcBorders>
            <w:shd w:val="clear" w:color="000000" w:fill="95B3D7"/>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127.85</w:t>
            </w:r>
          </w:p>
        </w:tc>
        <w:tc>
          <w:tcPr>
            <w:tcW w:w="1080" w:type="dxa"/>
            <w:tcBorders>
              <w:top w:val="nil"/>
              <w:left w:val="nil"/>
              <w:bottom w:val="single" w:sz="4" w:space="0" w:color="auto"/>
              <w:right w:val="single" w:sz="4" w:space="0" w:color="auto"/>
            </w:tcBorders>
            <w:shd w:val="clear" w:color="000000" w:fill="EAF1DD"/>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1.96</w:t>
            </w:r>
          </w:p>
        </w:tc>
        <w:tc>
          <w:tcPr>
            <w:tcW w:w="1080" w:type="dxa"/>
            <w:tcBorders>
              <w:top w:val="nil"/>
              <w:left w:val="nil"/>
              <w:bottom w:val="single" w:sz="4" w:space="0" w:color="auto"/>
              <w:right w:val="single" w:sz="4" w:space="0" w:color="auto"/>
            </w:tcBorders>
            <w:shd w:val="clear" w:color="000000" w:fill="D7E4BC"/>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2</w:t>
            </w:r>
          </w:p>
        </w:tc>
        <w:tc>
          <w:tcPr>
            <w:tcW w:w="1080" w:type="dxa"/>
            <w:gridSpan w:val="2"/>
            <w:tcBorders>
              <w:top w:val="nil"/>
              <w:left w:val="nil"/>
              <w:bottom w:val="single" w:sz="4" w:space="0" w:color="auto"/>
              <w:right w:val="single" w:sz="4" w:space="0" w:color="auto"/>
            </w:tcBorders>
            <w:shd w:val="clear" w:color="000000" w:fill="C2D69A"/>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102.04</w:t>
            </w:r>
          </w:p>
        </w:tc>
        <w:tc>
          <w:tcPr>
            <w:tcW w:w="1170" w:type="dxa"/>
            <w:gridSpan w:val="2"/>
            <w:tcBorders>
              <w:top w:val="nil"/>
              <w:left w:val="nil"/>
              <w:bottom w:val="single" w:sz="4" w:space="0" w:color="auto"/>
              <w:right w:val="single" w:sz="4" w:space="0" w:color="auto"/>
            </w:tcBorders>
            <w:shd w:val="clear" w:color="000000" w:fill="FDE9D9"/>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2.06</w:t>
            </w:r>
          </w:p>
        </w:tc>
        <w:tc>
          <w:tcPr>
            <w:tcW w:w="1080" w:type="dxa"/>
            <w:tcBorders>
              <w:top w:val="nil"/>
              <w:left w:val="nil"/>
              <w:bottom w:val="single" w:sz="4" w:space="0" w:color="auto"/>
              <w:right w:val="single" w:sz="4" w:space="0" w:color="auto"/>
            </w:tcBorders>
            <w:shd w:val="clear" w:color="000000" w:fill="FCD5B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2.3</w:t>
            </w:r>
          </w:p>
        </w:tc>
        <w:tc>
          <w:tcPr>
            <w:tcW w:w="1080" w:type="dxa"/>
            <w:gridSpan w:val="2"/>
            <w:tcBorders>
              <w:top w:val="nil"/>
              <w:left w:val="nil"/>
              <w:bottom w:val="single" w:sz="4" w:space="0" w:color="auto"/>
              <w:right w:val="single" w:sz="4" w:space="0" w:color="auto"/>
            </w:tcBorders>
            <w:shd w:val="clear" w:color="000000" w:fill="FAC090"/>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111.65</w:t>
            </w:r>
          </w:p>
        </w:tc>
        <w:tc>
          <w:tcPr>
            <w:tcW w:w="1350" w:type="dxa"/>
            <w:tcBorders>
              <w:top w:val="nil"/>
              <w:left w:val="nil"/>
              <w:bottom w:val="single" w:sz="4" w:space="0" w:color="auto"/>
              <w:right w:val="single" w:sz="4" w:space="0" w:color="auto"/>
            </w:tcBorders>
            <w:shd w:val="clear" w:color="000000" w:fill="FFFF66"/>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115.00</w:t>
            </w:r>
          </w:p>
        </w:tc>
      </w:tr>
      <w:tr w:rsidR="008A38C7" w:rsidRPr="007F7959" w:rsidTr="00D3239F">
        <w:trPr>
          <w:trHeight w:val="300"/>
        </w:trPr>
        <w:tc>
          <w:tcPr>
            <w:tcW w:w="2085" w:type="dxa"/>
            <w:tcBorders>
              <w:top w:val="nil"/>
              <w:left w:val="single" w:sz="4" w:space="0" w:color="auto"/>
              <w:bottom w:val="single" w:sz="4" w:space="0" w:color="auto"/>
              <w:right w:val="single" w:sz="4" w:space="0" w:color="auto"/>
            </w:tcBorders>
            <w:shd w:val="clear" w:color="000000" w:fill="DDD9C3"/>
            <w:noWrap/>
            <w:vAlign w:val="bottom"/>
            <w:hideMark/>
          </w:tcPr>
          <w:p w:rsidR="008A38C7" w:rsidRPr="007F7959" w:rsidRDefault="008A38C7" w:rsidP="00D3239F">
            <w:pPr>
              <w:spacing w:after="0" w:line="240" w:lineRule="auto"/>
              <w:jc w:val="lef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administ.takse</w:t>
            </w:r>
          </w:p>
        </w:tc>
        <w:tc>
          <w:tcPr>
            <w:tcW w:w="1080" w:type="dxa"/>
            <w:tcBorders>
              <w:top w:val="nil"/>
              <w:left w:val="nil"/>
              <w:bottom w:val="single" w:sz="4" w:space="0" w:color="auto"/>
              <w:right w:val="single" w:sz="4" w:space="0" w:color="auto"/>
            </w:tcBorders>
            <w:shd w:val="clear" w:color="000000" w:fill="DBE5F1"/>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6.42</w:t>
            </w:r>
          </w:p>
        </w:tc>
        <w:tc>
          <w:tcPr>
            <w:tcW w:w="1080" w:type="dxa"/>
            <w:tcBorders>
              <w:top w:val="nil"/>
              <w:left w:val="nil"/>
              <w:bottom w:val="single" w:sz="4" w:space="0" w:color="auto"/>
              <w:right w:val="single" w:sz="4" w:space="0" w:color="auto"/>
            </w:tcBorders>
            <w:shd w:val="clear" w:color="000000" w:fill="B8CCE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5.41</w:t>
            </w:r>
          </w:p>
        </w:tc>
        <w:tc>
          <w:tcPr>
            <w:tcW w:w="1080" w:type="dxa"/>
            <w:tcBorders>
              <w:top w:val="nil"/>
              <w:left w:val="nil"/>
              <w:bottom w:val="single" w:sz="4" w:space="0" w:color="auto"/>
              <w:right w:val="single" w:sz="4" w:space="0" w:color="auto"/>
            </w:tcBorders>
            <w:shd w:val="clear" w:color="000000" w:fill="95B3D7"/>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84.27</w:t>
            </w:r>
          </w:p>
        </w:tc>
        <w:tc>
          <w:tcPr>
            <w:tcW w:w="1080" w:type="dxa"/>
            <w:tcBorders>
              <w:top w:val="nil"/>
              <w:left w:val="nil"/>
              <w:bottom w:val="single" w:sz="4" w:space="0" w:color="auto"/>
              <w:right w:val="single" w:sz="4" w:space="0" w:color="auto"/>
            </w:tcBorders>
            <w:shd w:val="clear" w:color="000000" w:fill="EAF1DD"/>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5.4</w:t>
            </w:r>
          </w:p>
        </w:tc>
        <w:tc>
          <w:tcPr>
            <w:tcW w:w="1080" w:type="dxa"/>
            <w:tcBorders>
              <w:top w:val="nil"/>
              <w:left w:val="nil"/>
              <w:bottom w:val="single" w:sz="4" w:space="0" w:color="auto"/>
              <w:right w:val="single" w:sz="4" w:space="0" w:color="auto"/>
            </w:tcBorders>
            <w:shd w:val="clear" w:color="000000" w:fill="D7E4BC"/>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4.16</w:t>
            </w:r>
          </w:p>
        </w:tc>
        <w:tc>
          <w:tcPr>
            <w:tcW w:w="1080" w:type="dxa"/>
            <w:gridSpan w:val="2"/>
            <w:tcBorders>
              <w:top w:val="nil"/>
              <w:left w:val="nil"/>
              <w:bottom w:val="single" w:sz="4" w:space="0" w:color="auto"/>
              <w:right w:val="single" w:sz="4" w:space="0" w:color="auto"/>
            </w:tcBorders>
            <w:shd w:val="clear" w:color="000000" w:fill="C2D69A"/>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77.04</w:t>
            </w:r>
          </w:p>
        </w:tc>
        <w:tc>
          <w:tcPr>
            <w:tcW w:w="1170" w:type="dxa"/>
            <w:gridSpan w:val="2"/>
            <w:tcBorders>
              <w:top w:val="nil"/>
              <w:left w:val="nil"/>
              <w:bottom w:val="single" w:sz="4" w:space="0" w:color="auto"/>
              <w:right w:val="single" w:sz="4" w:space="0" w:color="auto"/>
            </w:tcBorders>
            <w:shd w:val="clear" w:color="000000" w:fill="FDE9D9"/>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4.25</w:t>
            </w:r>
          </w:p>
        </w:tc>
        <w:tc>
          <w:tcPr>
            <w:tcW w:w="1080" w:type="dxa"/>
            <w:tcBorders>
              <w:top w:val="nil"/>
              <w:left w:val="nil"/>
              <w:bottom w:val="single" w:sz="4" w:space="0" w:color="auto"/>
              <w:right w:val="single" w:sz="4" w:space="0" w:color="auto"/>
            </w:tcBorders>
            <w:shd w:val="clear" w:color="000000" w:fill="FCD5B4"/>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3.6</w:t>
            </w:r>
          </w:p>
        </w:tc>
        <w:tc>
          <w:tcPr>
            <w:tcW w:w="1080" w:type="dxa"/>
            <w:gridSpan w:val="2"/>
            <w:tcBorders>
              <w:top w:val="nil"/>
              <w:left w:val="nil"/>
              <w:bottom w:val="single" w:sz="4" w:space="0" w:color="auto"/>
              <w:right w:val="single" w:sz="4" w:space="0" w:color="auto"/>
            </w:tcBorders>
            <w:shd w:val="clear" w:color="000000" w:fill="FAC090"/>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84.71</w:t>
            </w:r>
          </w:p>
        </w:tc>
        <w:tc>
          <w:tcPr>
            <w:tcW w:w="1350" w:type="dxa"/>
            <w:tcBorders>
              <w:top w:val="nil"/>
              <w:left w:val="nil"/>
              <w:bottom w:val="single" w:sz="4" w:space="0" w:color="auto"/>
              <w:right w:val="single" w:sz="4" w:space="0" w:color="auto"/>
            </w:tcBorders>
            <w:shd w:val="clear" w:color="000000" w:fill="FFFF66"/>
            <w:noWrap/>
            <w:vAlign w:val="bottom"/>
            <w:hideMark/>
          </w:tcPr>
          <w:p w:rsidR="008A38C7" w:rsidRPr="007F7959" w:rsidRDefault="008A38C7" w:rsidP="00D3239F">
            <w:pPr>
              <w:spacing w:after="0" w:line="240" w:lineRule="auto"/>
              <w:jc w:val="right"/>
              <w:rPr>
                <w:rFonts w:ascii="Calibri" w:eastAsia="Times New Roman" w:hAnsi="Calibri" w:cs="Calibri"/>
                <w:color w:val="000000"/>
                <w:sz w:val="22"/>
                <w:szCs w:val="22"/>
                <w:lang w:bidi="ar-SA"/>
              </w:rPr>
            </w:pPr>
            <w:r w:rsidRPr="007F7959">
              <w:rPr>
                <w:rFonts w:ascii="Calibri" w:eastAsia="Times New Roman" w:hAnsi="Calibri" w:cs="Calibri"/>
                <w:color w:val="000000"/>
                <w:sz w:val="22"/>
                <w:szCs w:val="22"/>
                <w:lang w:bidi="ar-SA"/>
              </w:rPr>
              <w:t>86.54</w:t>
            </w:r>
          </w:p>
        </w:tc>
      </w:tr>
    </w:tbl>
    <w:p w:rsidR="008A38C7" w:rsidRDefault="008A38C7" w:rsidP="008A38C7"/>
    <w:p w:rsidR="008A38C7" w:rsidRDefault="008A38C7" w:rsidP="008A38C7"/>
    <w:p w:rsidR="008A38C7" w:rsidRDefault="008A38C7" w:rsidP="008A38C7"/>
    <w:p w:rsidR="008A38C7" w:rsidRDefault="008A38C7" w:rsidP="008A38C7"/>
    <w:p w:rsidR="008A38C7" w:rsidRDefault="008A38C7" w:rsidP="00650403">
      <w:pPr>
        <w:sectPr w:rsidR="008A38C7" w:rsidSect="008A38C7">
          <w:headerReference w:type="default" r:id="rId8"/>
          <w:pgSz w:w="15840" w:h="12240" w:orient="landscape"/>
          <w:pgMar w:top="567" w:right="567" w:bottom="567" w:left="1350" w:header="720" w:footer="720" w:gutter="0"/>
          <w:cols w:space="720"/>
          <w:docGrid w:linePitch="360"/>
        </w:sectPr>
      </w:pPr>
    </w:p>
    <w:p w:rsidR="00E26D93" w:rsidRPr="00892D1F" w:rsidRDefault="00E26D93" w:rsidP="00245DF0">
      <w:pPr>
        <w:rPr>
          <w:rFonts w:ascii="Tahoma" w:hAnsi="Tahoma" w:cs="Tahoma"/>
          <w:b/>
          <w:bCs/>
          <w:sz w:val="22"/>
          <w:szCs w:val="22"/>
        </w:rPr>
      </w:pPr>
    </w:p>
    <w:sectPr w:rsidR="00E26D93" w:rsidRPr="00892D1F" w:rsidSect="00892D1F">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412" w:rsidRDefault="00927412" w:rsidP="007936F1">
      <w:pPr>
        <w:spacing w:after="0" w:line="240" w:lineRule="auto"/>
      </w:pPr>
      <w:r>
        <w:separator/>
      </w:r>
    </w:p>
  </w:endnote>
  <w:endnote w:type="continuationSeparator" w:id="1">
    <w:p w:rsidR="00927412" w:rsidRDefault="00927412" w:rsidP="007936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412" w:rsidRDefault="00927412" w:rsidP="007936F1">
      <w:pPr>
        <w:spacing w:after="0" w:line="240" w:lineRule="auto"/>
      </w:pPr>
      <w:r>
        <w:separator/>
      </w:r>
    </w:p>
  </w:footnote>
  <w:footnote w:type="continuationSeparator" w:id="1">
    <w:p w:rsidR="00927412" w:rsidRDefault="00927412" w:rsidP="007936F1">
      <w:pPr>
        <w:spacing w:after="0" w:line="240" w:lineRule="auto"/>
      </w:pPr>
      <w:r>
        <w:continuationSeparator/>
      </w:r>
    </w:p>
  </w:footnote>
  <w:footnote w:id="2">
    <w:p w:rsidR="004E2784" w:rsidRPr="000978DE" w:rsidRDefault="004E2784" w:rsidP="004E2784">
      <w:pPr>
        <w:pStyle w:val="NormalWeb"/>
        <w:rPr>
          <w:rFonts w:ascii="Arial" w:hAnsi="Arial" w:cs="Arial"/>
        </w:rPr>
      </w:pPr>
      <w:r>
        <w:rPr>
          <w:rStyle w:val="FootnoteReference"/>
        </w:rPr>
        <w:footnoteRef/>
      </w:r>
      <w:r>
        <w:t xml:space="preserve"> </w:t>
      </w:r>
      <w:r w:rsidRPr="00182027">
        <w:rPr>
          <w:rFonts w:ascii="Arial" w:hAnsi="Arial" w:cs="Arial"/>
          <w:sz w:val="20"/>
          <w:szCs w:val="20"/>
        </w:rPr>
        <w:t>Operativni tim u Podgorici u maju nije dostavljao numeričke pokazatelje rada.</w:t>
      </w:r>
    </w:p>
    <w:p w:rsidR="004E2784" w:rsidRPr="00182027" w:rsidRDefault="004E2784" w:rsidP="004E2784">
      <w:pPr>
        <w:pStyle w:val="FootnoteText"/>
        <w:rPr>
          <w:lang w:val="sr-Latn-C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424" w:rsidRPr="008A38C7" w:rsidRDefault="00C11424" w:rsidP="008A38C7">
    <w:pPr>
      <w:pStyle w:val="Header"/>
      <w:rPr>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82F46"/>
    <w:multiLevelType w:val="hybridMultilevel"/>
    <w:tmpl w:val="6A4A1842"/>
    <w:lvl w:ilvl="0" w:tplc="065EA092">
      <w:start w:val="9"/>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D4661A"/>
    <w:multiLevelType w:val="hybridMultilevel"/>
    <w:tmpl w:val="25A0F1B8"/>
    <w:lvl w:ilvl="0" w:tplc="E9888F32">
      <w:start w:val="1"/>
      <w:numFmt w:val="decimal"/>
      <w:lvlText w:val="%1."/>
      <w:lvlJc w:val="left"/>
      <w:pPr>
        <w:ind w:left="720" w:hanging="360"/>
      </w:pPr>
      <w:rPr>
        <w:i/>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
    <w:nsid w:val="29F274B8"/>
    <w:multiLevelType w:val="hybridMultilevel"/>
    <w:tmpl w:val="F3780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A40136"/>
    <w:multiLevelType w:val="hybridMultilevel"/>
    <w:tmpl w:val="264A5C16"/>
    <w:lvl w:ilvl="0" w:tplc="B4BADAA6">
      <w:start w:val="1"/>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7142718"/>
    <w:multiLevelType w:val="hybridMultilevel"/>
    <w:tmpl w:val="4F747796"/>
    <w:lvl w:ilvl="0" w:tplc="0409000F">
      <w:start w:val="1"/>
      <w:numFmt w:val="decimal"/>
      <w:lvlText w:val="%1."/>
      <w:lvlJc w:val="left"/>
      <w:pPr>
        <w:ind w:left="90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96E75AD"/>
    <w:multiLevelType w:val="hybridMultilevel"/>
    <w:tmpl w:val="56E64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DA29F0"/>
    <w:multiLevelType w:val="hybridMultilevel"/>
    <w:tmpl w:val="35461A52"/>
    <w:lvl w:ilvl="0" w:tplc="B4BADAA6">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3830AB"/>
    <w:multiLevelType w:val="hybridMultilevel"/>
    <w:tmpl w:val="7684138E"/>
    <w:lvl w:ilvl="0" w:tplc="081A000F">
      <w:start w:val="1"/>
      <w:numFmt w:val="decimal"/>
      <w:lvlText w:val="%1."/>
      <w:lvlJc w:val="left"/>
      <w:pPr>
        <w:ind w:left="1470" w:hanging="360"/>
      </w:pPr>
    </w:lvl>
    <w:lvl w:ilvl="1" w:tplc="081A0019" w:tentative="1">
      <w:start w:val="1"/>
      <w:numFmt w:val="lowerLetter"/>
      <w:lvlText w:val="%2."/>
      <w:lvlJc w:val="left"/>
      <w:pPr>
        <w:ind w:left="2190" w:hanging="360"/>
      </w:pPr>
    </w:lvl>
    <w:lvl w:ilvl="2" w:tplc="081A001B" w:tentative="1">
      <w:start w:val="1"/>
      <w:numFmt w:val="lowerRoman"/>
      <w:lvlText w:val="%3."/>
      <w:lvlJc w:val="right"/>
      <w:pPr>
        <w:ind w:left="2910" w:hanging="180"/>
      </w:pPr>
    </w:lvl>
    <w:lvl w:ilvl="3" w:tplc="081A000F" w:tentative="1">
      <w:start w:val="1"/>
      <w:numFmt w:val="decimal"/>
      <w:lvlText w:val="%4."/>
      <w:lvlJc w:val="left"/>
      <w:pPr>
        <w:ind w:left="3630" w:hanging="360"/>
      </w:pPr>
    </w:lvl>
    <w:lvl w:ilvl="4" w:tplc="081A0019" w:tentative="1">
      <w:start w:val="1"/>
      <w:numFmt w:val="lowerLetter"/>
      <w:lvlText w:val="%5."/>
      <w:lvlJc w:val="left"/>
      <w:pPr>
        <w:ind w:left="4350" w:hanging="360"/>
      </w:pPr>
    </w:lvl>
    <w:lvl w:ilvl="5" w:tplc="081A001B" w:tentative="1">
      <w:start w:val="1"/>
      <w:numFmt w:val="lowerRoman"/>
      <w:lvlText w:val="%6."/>
      <w:lvlJc w:val="right"/>
      <w:pPr>
        <w:ind w:left="5070" w:hanging="180"/>
      </w:pPr>
    </w:lvl>
    <w:lvl w:ilvl="6" w:tplc="081A000F" w:tentative="1">
      <w:start w:val="1"/>
      <w:numFmt w:val="decimal"/>
      <w:lvlText w:val="%7."/>
      <w:lvlJc w:val="left"/>
      <w:pPr>
        <w:ind w:left="5790" w:hanging="360"/>
      </w:pPr>
    </w:lvl>
    <w:lvl w:ilvl="7" w:tplc="081A0019" w:tentative="1">
      <w:start w:val="1"/>
      <w:numFmt w:val="lowerLetter"/>
      <w:lvlText w:val="%8."/>
      <w:lvlJc w:val="left"/>
      <w:pPr>
        <w:ind w:left="6510" w:hanging="360"/>
      </w:pPr>
    </w:lvl>
    <w:lvl w:ilvl="8" w:tplc="081A001B" w:tentative="1">
      <w:start w:val="1"/>
      <w:numFmt w:val="lowerRoman"/>
      <w:lvlText w:val="%9."/>
      <w:lvlJc w:val="right"/>
      <w:pPr>
        <w:ind w:left="7230" w:hanging="180"/>
      </w:pPr>
    </w:lvl>
  </w:abstractNum>
  <w:abstractNum w:abstractNumId="8">
    <w:nsid w:val="4CA64F73"/>
    <w:multiLevelType w:val="hybridMultilevel"/>
    <w:tmpl w:val="4F642FC2"/>
    <w:lvl w:ilvl="0" w:tplc="58D8D6F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0F04DF"/>
    <w:multiLevelType w:val="hybridMultilevel"/>
    <w:tmpl w:val="6C3479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4DA74EB"/>
    <w:multiLevelType w:val="hybridMultilevel"/>
    <w:tmpl w:val="FD6844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462C4C"/>
    <w:multiLevelType w:val="hybridMultilevel"/>
    <w:tmpl w:val="331AF842"/>
    <w:lvl w:ilvl="0" w:tplc="0409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5CCD7FEC"/>
    <w:multiLevelType w:val="hybridMultilevel"/>
    <w:tmpl w:val="C4E4E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EB3494"/>
    <w:multiLevelType w:val="hybridMultilevel"/>
    <w:tmpl w:val="331AF842"/>
    <w:lvl w:ilvl="0" w:tplc="0409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64154516"/>
    <w:multiLevelType w:val="hybridMultilevel"/>
    <w:tmpl w:val="5F34A6D6"/>
    <w:lvl w:ilvl="0" w:tplc="0409000F">
      <w:start w:val="1"/>
      <w:numFmt w:val="decimal"/>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5">
    <w:nsid w:val="671E4514"/>
    <w:multiLevelType w:val="hybridMultilevel"/>
    <w:tmpl w:val="9F226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4C3C0B"/>
    <w:multiLevelType w:val="hybridMultilevel"/>
    <w:tmpl w:val="41D27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796EC7"/>
    <w:multiLevelType w:val="hybridMultilevel"/>
    <w:tmpl w:val="50680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0253BE"/>
    <w:multiLevelType w:val="hybridMultilevel"/>
    <w:tmpl w:val="0ED8EBAA"/>
    <w:lvl w:ilvl="0" w:tplc="A0D0CB6C">
      <w:start w:val="1"/>
      <w:numFmt w:val="decimal"/>
      <w:lvlText w:val="%1."/>
      <w:lvlJc w:val="left"/>
      <w:pPr>
        <w:ind w:left="720" w:hanging="360"/>
      </w:pPr>
      <w:rPr>
        <w:i/>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7C300DCA"/>
    <w:multiLevelType w:val="hybridMultilevel"/>
    <w:tmpl w:val="E49A9176"/>
    <w:lvl w:ilvl="0" w:tplc="F45C0506">
      <w:start w:val="1"/>
      <w:numFmt w:val="decimal"/>
      <w:lvlText w:val="%1."/>
      <w:lvlJc w:val="left"/>
      <w:pPr>
        <w:ind w:left="810" w:hanging="360"/>
      </w:pPr>
      <w:rPr>
        <w:i/>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7E171639"/>
    <w:multiLevelType w:val="hybridMultilevel"/>
    <w:tmpl w:val="9B94184C"/>
    <w:lvl w:ilvl="0" w:tplc="B4BADAA6">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1"/>
  </w:num>
  <w:num w:numId="4">
    <w:abstractNumId w:val="13"/>
  </w:num>
  <w:num w:numId="5">
    <w:abstractNumId w:val="7"/>
  </w:num>
  <w:num w:numId="6">
    <w:abstractNumId w:val="0"/>
  </w:num>
  <w:num w:numId="7">
    <w:abstractNumId w:val="14"/>
  </w:num>
  <w:num w:numId="8">
    <w:abstractNumId w:val="19"/>
  </w:num>
  <w:num w:numId="9">
    <w:abstractNumId w:val="1"/>
  </w:num>
  <w:num w:numId="10">
    <w:abstractNumId w:val="1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
  </w:num>
  <w:num w:numId="14">
    <w:abstractNumId w:val="17"/>
  </w:num>
  <w:num w:numId="15">
    <w:abstractNumId w:val="15"/>
  </w:num>
  <w:num w:numId="16">
    <w:abstractNumId w:val="16"/>
  </w:num>
  <w:num w:numId="17">
    <w:abstractNumId w:val="5"/>
  </w:num>
  <w:num w:numId="18">
    <w:abstractNumId w:val="3"/>
  </w:num>
  <w:num w:numId="19">
    <w:abstractNumId w:val="6"/>
  </w:num>
  <w:num w:numId="20">
    <w:abstractNumId w:val="20"/>
  </w:num>
  <w:num w:numId="21">
    <w:abstractNumId w:val="10"/>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drawingGridHorizontalSpacing w:val="100"/>
  <w:displayHorizontalDrawingGridEvery w:val="2"/>
  <w:characterSpacingControl w:val="doNotCompress"/>
  <w:footnotePr>
    <w:footnote w:id="0"/>
    <w:footnote w:id="1"/>
  </w:footnotePr>
  <w:endnotePr>
    <w:endnote w:id="0"/>
    <w:endnote w:id="1"/>
  </w:endnotePr>
  <w:compat/>
  <w:rsids>
    <w:rsidRoot w:val="007B123E"/>
    <w:rsid w:val="00004EFB"/>
    <w:rsid w:val="000104D7"/>
    <w:rsid w:val="00015AF9"/>
    <w:rsid w:val="00022665"/>
    <w:rsid w:val="00045C7E"/>
    <w:rsid w:val="00051899"/>
    <w:rsid w:val="00060A7E"/>
    <w:rsid w:val="00067D7E"/>
    <w:rsid w:val="00072913"/>
    <w:rsid w:val="000871E2"/>
    <w:rsid w:val="0009535C"/>
    <w:rsid w:val="000A393F"/>
    <w:rsid w:val="000A4471"/>
    <w:rsid w:val="000B7175"/>
    <w:rsid w:val="000C4989"/>
    <w:rsid w:val="000C4F13"/>
    <w:rsid w:val="000E6978"/>
    <w:rsid w:val="000F42E7"/>
    <w:rsid w:val="000F540E"/>
    <w:rsid w:val="000F5FA7"/>
    <w:rsid w:val="0010788F"/>
    <w:rsid w:val="00113D6C"/>
    <w:rsid w:val="00124849"/>
    <w:rsid w:val="00124E09"/>
    <w:rsid w:val="0013299C"/>
    <w:rsid w:val="0014448C"/>
    <w:rsid w:val="0014716F"/>
    <w:rsid w:val="001515C5"/>
    <w:rsid w:val="00162F04"/>
    <w:rsid w:val="00177F5D"/>
    <w:rsid w:val="00180854"/>
    <w:rsid w:val="001A0912"/>
    <w:rsid w:val="001A79E3"/>
    <w:rsid w:val="001C570A"/>
    <w:rsid w:val="001D35FA"/>
    <w:rsid w:val="001F556E"/>
    <w:rsid w:val="001F68C3"/>
    <w:rsid w:val="00204B32"/>
    <w:rsid w:val="002171E9"/>
    <w:rsid w:val="0023116A"/>
    <w:rsid w:val="00236175"/>
    <w:rsid w:val="00237861"/>
    <w:rsid w:val="002435A2"/>
    <w:rsid w:val="00245DF0"/>
    <w:rsid w:val="0025257B"/>
    <w:rsid w:val="00255E30"/>
    <w:rsid w:val="00256CC4"/>
    <w:rsid w:val="00263BCA"/>
    <w:rsid w:val="002720ED"/>
    <w:rsid w:val="002778C5"/>
    <w:rsid w:val="00277D4C"/>
    <w:rsid w:val="002D2396"/>
    <w:rsid w:val="002E5983"/>
    <w:rsid w:val="002E7B1C"/>
    <w:rsid w:val="00317676"/>
    <w:rsid w:val="0032238B"/>
    <w:rsid w:val="00327CCB"/>
    <w:rsid w:val="003318F8"/>
    <w:rsid w:val="00333C87"/>
    <w:rsid w:val="00333E0E"/>
    <w:rsid w:val="0034162B"/>
    <w:rsid w:val="0034725A"/>
    <w:rsid w:val="00350237"/>
    <w:rsid w:val="00366649"/>
    <w:rsid w:val="00366AB3"/>
    <w:rsid w:val="00374C30"/>
    <w:rsid w:val="00382F0C"/>
    <w:rsid w:val="00392893"/>
    <w:rsid w:val="003A6D14"/>
    <w:rsid w:val="003F0478"/>
    <w:rsid w:val="00403419"/>
    <w:rsid w:val="004034F1"/>
    <w:rsid w:val="00403CD1"/>
    <w:rsid w:val="00446E0B"/>
    <w:rsid w:val="00455E15"/>
    <w:rsid w:val="00475880"/>
    <w:rsid w:val="004B3017"/>
    <w:rsid w:val="004D46C8"/>
    <w:rsid w:val="004E2784"/>
    <w:rsid w:val="00500DB5"/>
    <w:rsid w:val="00522F0A"/>
    <w:rsid w:val="005269D5"/>
    <w:rsid w:val="00554948"/>
    <w:rsid w:val="00554CD7"/>
    <w:rsid w:val="00560668"/>
    <w:rsid w:val="005645D0"/>
    <w:rsid w:val="005652E7"/>
    <w:rsid w:val="00566270"/>
    <w:rsid w:val="005B0F6F"/>
    <w:rsid w:val="005C139B"/>
    <w:rsid w:val="005C6410"/>
    <w:rsid w:val="005D60AD"/>
    <w:rsid w:val="005F2B4F"/>
    <w:rsid w:val="005F5A04"/>
    <w:rsid w:val="006031FF"/>
    <w:rsid w:val="0060424F"/>
    <w:rsid w:val="006273B1"/>
    <w:rsid w:val="00634385"/>
    <w:rsid w:val="006359F0"/>
    <w:rsid w:val="00650403"/>
    <w:rsid w:val="0065427C"/>
    <w:rsid w:val="00660EF6"/>
    <w:rsid w:val="006638C7"/>
    <w:rsid w:val="006642A9"/>
    <w:rsid w:val="00675E1B"/>
    <w:rsid w:val="00683AD0"/>
    <w:rsid w:val="00686DE0"/>
    <w:rsid w:val="006A681A"/>
    <w:rsid w:val="006B107D"/>
    <w:rsid w:val="006B68E6"/>
    <w:rsid w:val="006C4A13"/>
    <w:rsid w:val="0071341E"/>
    <w:rsid w:val="007210D6"/>
    <w:rsid w:val="00722CDB"/>
    <w:rsid w:val="0073073E"/>
    <w:rsid w:val="00737A27"/>
    <w:rsid w:val="00741640"/>
    <w:rsid w:val="00750306"/>
    <w:rsid w:val="00763D35"/>
    <w:rsid w:val="00780C80"/>
    <w:rsid w:val="007936F1"/>
    <w:rsid w:val="007A2D22"/>
    <w:rsid w:val="007B123E"/>
    <w:rsid w:val="007B46F9"/>
    <w:rsid w:val="007E45B9"/>
    <w:rsid w:val="007F7959"/>
    <w:rsid w:val="00805013"/>
    <w:rsid w:val="00815600"/>
    <w:rsid w:val="00816EED"/>
    <w:rsid w:val="00840D6A"/>
    <w:rsid w:val="00844436"/>
    <w:rsid w:val="00847DC0"/>
    <w:rsid w:val="0085584E"/>
    <w:rsid w:val="008603D7"/>
    <w:rsid w:val="00892D1F"/>
    <w:rsid w:val="008A38C7"/>
    <w:rsid w:val="008B2194"/>
    <w:rsid w:val="008C19A0"/>
    <w:rsid w:val="008C7A43"/>
    <w:rsid w:val="008D2893"/>
    <w:rsid w:val="008D3B41"/>
    <w:rsid w:val="008D5684"/>
    <w:rsid w:val="008E238A"/>
    <w:rsid w:val="008E25C8"/>
    <w:rsid w:val="008E687B"/>
    <w:rsid w:val="008E7913"/>
    <w:rsid w:val="008F1CE5"/>
    <w:rsid w:val="00927412"/>
    <w:rsid w:val="009332A8"/>
    <w:rsid w:val="009520D4"/>
    <w:rsid w:val="009522D0"/>
    <w:rsid w:val="00966CBF"/>
    <w:rsid w:val="00967C1D"/>
    <w:rsid w:val="00987053"/>
    <w:rsid w:val="0099314B"/>
    <w:rsid w:val="0099328B"/>
    <w:rsid w:val="00994078"/>
    <w:rsid w:val="009A22F8"/>
    <w:rsid w:val="009B4AE9"/>
    <w:rsid w:val="009B4C2E"/>
    <w:rsid w:val="009C1311"/>
    <w:rsid w:val="009C50A7"/>
    <w:rsid w:val="009C542D"/>
    <w:rsid w:val="009D0917"/>
    <w:rsid w:val="009E5494"/>
    <w:rsid w:val="009F7479"/>
    <w:rsid w:val="00A02928"/>
    <w:rsid w:val="00A04A14"/>
    <w:rsid w:val="00A144B4"/>
    <w:rsid w:val="00A2037D"/>
    <w:rsid w:val="00A3522B"/>
    <w:rsid w:val="00A413B1"/>
    <w:rsid w:val="00A417CC"/>
    <w:rsid w:val="00A41981"/>
    <w:rsid w:val="00A463FF"/>
    <w:rsid w:val="00A46AD4"/>
    <w:rsid w:val="00A47DD7"/>
    <w:rsid w:val="00A53A69"/>
    <w:rsid w:val="00A541F6"/>
    <w:rsid w:val="00A714E8"/>
    <w:rsid w:val="00A75809"/>
    <w:rsid w:val="00A75ADB"/>
    <w:rsid w:val="00A800B4"/>
    <w:rsid w:val="00A821D9"/>
    <w:rsid w:val="00AA3170"/>
    <w:rsid w:val="00AB39C5"/>
    <w:rsid w:val="00AB66C8"/>
    <w:rsid w:val="00AD737C"/>
    <w:rsid w:val="00AF0EAC"/>
    <w:rsid w:val="00AF4B27"/>
    <w:rsid w:val="00B02781"/>
    <w:rsid w:val="00B15326"/>
    <w:rsid w:val="00B20BFE"/>
    <w:rsid w:val="00B26D25"/>
    <w:rsid w:val="00B333E2"/>
    <w:rsid w:val="00B3349E"/>
    <w:rsid w:val="00B55817"/>
    <w:rsid w:val="00B61425"/>
    <w:rsid w:val="00B62085"/>
    <w:rsid w:val="00B638E7"/>
    <w:rsid w:val="00B70488"/>
    <w:rsid w:val="00B72431"/>
    <w:rsid w:val="00B86CB2"/>
    <w:rsid w:val="00B94619"/>
    <w:rsid w:val="00BC7024"/>
    <w:rsid w:val="00BE273F"/>
    <w:rsid w:val="00BF6096"/>
    <w:rsid w:val="00C05834"/>
    <w:rsid w:val="00C11424"/>
    <w:rsid w:val="00C23ED3"/>
    <w:rsid w:val="00C265DA"/>
    <w:rsid w:val="00C27213"/>
    <w:rsid w:val="00C44B69"/>
    <w:rsid w:val="00C46D37"/>
    <w:rsid w:val="00C46FB0"/>
    <w:rsid w:val="00C6030A"/>
    <w:rsid w:val="00C606D3"/>
    <w:rsid w:val="00C616AE"/>
    <w:rsid w:val="00C616E9"/>
    <w:rsid w:val="00C76C4E"/>
    <w:rsid w:val="00C77365"/>
    <w:rsid w:val="00C808D5"/>
    <w:rsid w:val="00CC051B"/>
    <w:rsid w:val="00CC2EF8"/>
    <w:rsid w:val="00CF436C"/>
    <w:rsid w:val="00D061EB"/>
    <w:rsid w:val="00D108CF"/>
    <w:rsid w:val="00D149F9"/>
    <w:rsid w:val="00D153D9"/>
    <w:rsid w:val="00D3685A"/>
    <w:rsid w:val="00D43628"/>
    <w:rsid w:val="00D44CCD"/>
    <w:rsid w:val="00D639B3"/>
    <w:rsid w:val="00D73618"/>
    <w:rsid w:val="00D823B4"/>
    <w:rsid w:val="00D82B45"/>
    <w:rsid w:val="00D85881"/>
    <w:rsid w:val="00DA01A2"/>
    <w:rsid w:val="00DA151A"/>
    <w:rsid w:val="00DD3C36"/>
    <w:rsid w:val="00DD738F"/>
    <w:rsid w:val="00DF09E1"/>
    <w:rsid w:val="00DF2720"/>
    <w:rsid w:val="00DF6890"/>
    <w:rsid w:val="00E06B4C"/>
    <w:rsid w:val="00E21848"/>
    <w:rsid w:val="00E26D93"/>
    <w:rsid w:val="00E26FC5"/>
    <w:rsid w:val="00E54944"/>
    <w:rsid w:val="00E57427"/>
    <w:rsid w:val="00E70300"/>
    <w:rsid w:val="00E7648C"/>
    <w:rsid w:val="00E81403"/>
    <w:rsid w:val="00E82CFC"/>
    <w:rsid w:val="00E934CA"/>
    <w:rsid w:val="00E95688"/>
    <w:rsid w:val="00E96159"/>
    <w:rsid w:val="00E977A4"/>
    <w:rsid w:val="00EA3140"/>
    <w:rsid w:val="00EA6E16"/>
    <w:rsid w:val="00EA7A5F"/>
    <w:rsid w:val="00EC4B5B"/>
    <w:rsid w:val="00ED4C55"/>
    <w:rsid w:val="00EF4804"/>
    <w:rsid w:val="00F07506"/>
    <w:rsid w:val="00F167AE"/>
    <w:rsid w:val="00F30015"/>
    <w:rsid w:val="00F371FC"/>
    <w:rsid w:val="00F479AA"/>
    <w:rsid w:val="00F7210C"/>
    <w:rsid w:val="00F8433E"/>
    <w:rsid w:val="00FA5478"/>
    <w:rsid w:val="00FD7734"/>
    <w:rsid w:val="00FF71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39B"/>
  </w:style>
  <w:style w:type="paragraph" w:styleId="Heading1">
    <w:name w:val="heading 1"/>
    <w:basedOn w:val="Normal"/>
    <w:next w:val="Normal"/>
    <w:link w:val="Heading1Char"/>
    <w:uiPriority w:val="9"/>
    <w:qFormat/>
    <w:rsid w:val="005C139B"/>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5C139B"/>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5C139B"/>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5C139B"/>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5C139B"/>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5C139B"/>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5C139B"/>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5C139B"/>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5C139B"/>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39B"/>
    <w:rPr>
      <w:smallCaps/>
      <w:spacing w:val="5"/>
      <w:sz w:val="32"/>
      <w:szCs w:val="32"/>
    </w:rPr>
  </w:style>
  <w:style w:type="character" w:customStyle="1" w:styleId="Heading2Char">
    <w:name w:val="Heading 2 Char"/>
    <w:basedOn w:val="DefaultParagraphFont"/>
    <w:link w:val="Heading2"/>
    <w:uiPriority w:val="9"/>
    <w:rsid w:val="005C139B"/>
    <w:rPr>
      <w:smallCaps/>
      <w:spacing w:val="5"/>
      <w:sz w:val="28"/>
      <w:szCs w:val="28"/>
    </w:rPr>
  </w:style>
  <w:style w:type="character" w:customStyle="1" w:styleId="Heading3Char">
    <w:name w:val="Heading 3 Char"/>
    <w:basedOn w:val="DefaultParagraphFont"/>
    <w:link w:val="Heading3"/>
    <w:uiPriority w:val="9"/>
    <w:rsid w:val="005C139B"/>
    <w:rPr>
      <w:smallCaps/>
      <w:spacing w:val="5"/>
      <w:sz w:val="24"/>
      <w:szCs w:val="24"/>
    </w:rPr>
  </w:style>
  <w:style w:type="character" w:customStyle="1" w:styleId="Heading4Char">
    <w:name w:val="Heading 4 Char"/>
    <w:basedOn w:val="DefaultParagraphFont"/>
    <w:link w:val="Heading4"/>
    <w:uiPriority w:val="9"/>
    <w:semiHidden/>
    <w:rsid w:val="005C139B"/>
    <w:rPr>
      <w:smallCaps/>
      <w:spacing w:val="10"/>
      <w:sz w:val="22"/>
      <w:szCs w:val="22"/>
    </w:rPr>
  </w:style>
  <w:style w:type="character" w:customStyle="1" w:styleId="Heading5Char">
    <w:name w:val="Heading 5 Char"/>
    <w:basedOn w:val="DefaultParagraphFont"/>
    <w:link w:val="Heading5"/>
    <w:uiPriority w:val="9"/>
    <w:semiHidden/>
    <w:rsid w:val="005C139B"/>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5C139B"/>
    <w:rPr>
      <w:smallCaps/>
      <w:color w:val="C0504D" w:themeColor="accent2"/>
      <w:spacing w:val="5"/>
      <w:sz w:val="22"/>
    </w:rPr>
  </w:style>
  <w:style w:type="character" w:customStyle="1" w:styleId="Heading7Char">
    <w:name w:val="Heading 7 Char"/>
    <w:basedOn w:val="DefaultParagraphFont"/>
    <w:link w:val="Heading7"/>
    <w:uiPriority w:val="9"/>
    <w:semiHidden/>
    <w:rsid w:val="005C139B"/>
    <w:rPr>
      <w:b/>
      <w:smallCaps/>
      <w:color w:val="C0504D" w:themeColor="accent2"/>
      <w:spacing w:val="10"/>
    </w:rPr>
  </w:style>
  <w:style w:type="character" w:customStyle="1" w:styleId="Heading8Char">
    <w:name w:val="Heading 8 Char"/>
    <w:basedOn w:val="DefaultParagraphFont"/>
    <w:link w:val="Heading8"/>
    <w:uiPriority w:val="9"/>
    <w:semiHidden/>
    <w:rsid w:val="005C139B"/>
    <w:rPr>
      <w:b/>
      <w:i/>
      <w:smallCaps/>
      <w:color w:val="943634" w:themeColor="accent2" w:themeShade="BF"/>
    </w:rPr>
  </w:style>
  <w:style w:type="character" w:customStyle="1" w:styleId="Heading9Char">
    <w:name w:val="Heading 9 Char"/>
    <w:basedOn w:val="DefaultParagraphFont"/>
    <w:link w:val="Heading9"/>
    <w:uiPriority w:val="9"/>
    <w:semiHidden/>
    <w:rsid w:val="005C139B"/>
    <w:rPr>
      <w:b/>
      <w:i/>
      <w:smallCaps/>
      <w:color w:val="622423" w:themeColor="accent2" w:themeShade="7F"/>
    </w:rPr>
  </w:style>
  <w:style w:type="paragraph" w:styleId="Caption">
    <w:name w:val="caption"/>
    <w:basedOn w:val="Normal"/>
    <w:next w:val="Normal"/>
    <w:uiPriority w:val="35"/>
    <w:semiHidden/>
    <w:unhideWhenUsed/>
    <w:qFormat/>
    <w:rsid w:val="005C139B"/>
    <w:rPr>
      <w:b/>
      <w:bCs/>
      <w:caps/>
      <w:sz w:val="16"/>
      <w:szCs w:val="18"/>
    </w:rPr>
  </w:style>
  <w:style w:type="paragraph" w:styleId="Title">
    <w:name w:val="Title"/>
    <w:basedOn w:val="Normal"/>
    <w:next w:val="Normal"/>
    <w:link w:val="TitleChar"/>
    <w:uiPriority w:val="10"/>
    <w:qFormat/>
    <w:rsid w:val="005C139B"/>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5C139B"/>
    <w:rPr>
      <w:smallCaps/>
      <w:sz w:val="48"/>
      <w:szCs w:val="48"/>
    </w:rPr>
  </w:style>
  <w:style w:type="paragraph" w:styleId="Subtitle">
    <w:name w:val="Subtitle"/>
    <w:basedOn w:val="Normal"/>
    <w:next w:val="Normal"/>
    <w:link w:val="SubtitleChar"/>
    <w:uiPriority w:val="11"/>
    <w:qFormat/>
    <w:rsid w:val="005C139B"/>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5C139B"/>
    <w:rPr>
      <w:rFonts w:asciiTheme="majorHAnsi" w:eastAsiaTheme="majorEastAsia" w:hAnsiTheme="majorHAnsi" w:cstheme="majorBidi"/>
      <w:szCs w:val="22"/>
    </w:rPr>
  </w:style>
  <w:style w:type="character" w:styleId="Strong">
    <w:name w:val="Strong"/>
    <w:uiPriority w:val="22"/>
    <w:qFormat/>
    <w:rsid w:val="005C139B"/>
    <w:rPr>
      <w:b/>
      <w:color w:val="C0504D" w:themeColor="accent2"/>
    </w:rPr>
  </w:style>
  <w:style w:type="character" w:styleId="Emphasis">
    <w:name w:val="Emphasis"/>
    <w:uiPriority w:val="20"/>
    <w:qFormat/>
    <w:rsid w:val="005C139B"/>
    <w:rPr>
      <w:b/>
      <w:i/>
      <w:spacing w:val="10"/>
    </w:rPr>
  </w:style>
  <w:style w:type="paragraph" w:styleId="NoSpacing">
    <w:name w:val="No Spacing"/>
    <w:basedOn w:val="Normal"/>
    <w:link w:val="NoSpacingChar"/>
    <w:uiPriority w:val="1"/>
    <w:qFormat/>
    <w:rsid w:val="005C139B"/>
    <w:pPr>
      <w:spacing w:after="0" w:line="240" w:lineRule="auto"/>
    </w:pPr>
  </w:style>
  <w:style w:type="character" w:customStyle="1" w:styleId="NoSpacingChar">
    <w:name w:val="No Spacing Char"/>
    <w:basedOn w:val="DefaultParagraphFont"/>
    <w:link w:val="NoSpacing"/>
    <w:uiPriority w:val="1"/>
    <w:rsid w:val="005C139B"/>
  </w:style>
  <w:style w:type="paragraph" w:styleId="ListParagraph">
    <w:name w:val="List Paragraph"/>
    <w:basedOn w:val="Normal"/>
    <w:uiPriority w:val="34"/>
    <w:qFormat/>
    <w:rsid w:val="005C139B"/>
    <w:pPr>
      <w:ind w:left="720"/>
      <w:contextualSpacing/>
    </w:pPr>
  </w:style>
  <w:style w:type="paragraph" w:styleId="Quote">
    <w:name w:val="Quote"/>
    <w:basedOn w:val="Normal"/>
    <w:next w:val="Normal"/>
    <w:link w:val="QuoteChar"/>
    <w:uiPriority w:val="29"/>
    <w:qFormat/>
    <w:rsid w:val="005C139B"/>
    <w:rPr>
      <w:i/>
    </w:rPr>
  </w:style>
  <w:style w:type="character" w:customStyle="1" w:styleId="QuoteChar">
    <w:name w:val="Quote Char"/>
    <w:basedOn w:val="DefaultParagraphFont"/>
    <w:link w:val="Quote"/>
    <w:uiPriority w:val="29"/>
    <w:rsid w:val="005C139B"/>
    <w:rPr>
      <w:i/>
    </w:rPr>
  </w:style>
  <w:style w:type="paragraph" w:styleId="IntenseQuote">
    <w:name w:val="Intense Quote"/>
    <w:basedOn w:val="Normal"/>
    <w:next w:val="Normal"/>
    <w:link w:val="IntenseQuoteChar"/>
    <w:uiPriority w:val="30"/>
    <w:qFormat/>
    <w:rsid w:val="005C139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5C139B"/>
    <w:rPr>
      <w:b/>
      <w:i/>
      <w:color w:val="FFFFFF" w:themeColor="background1"/>
      <w:shd w:val="clear" w:color="auto" w:fill="C0504D" w:themeFill="accent2"/>
    </w:rPr>
  </w:style>
  <w:style w:type="character" w:styleId="SubtleEmphasis">
    <w:name w:val="Subtle Emphasis"/>
    <w:uiPriority w:val="19"/>
    <w:qFormat/>
    <w:rsid w:val="005C139B"/>
    <w:rPr>
      <w:i/>
    </w:rPr>
  </w:style>
  <w:style w:type="character" w:styleId="IntenseEmphasis">
    <w:name w:val="Intense Emphasis"/>
    <w:uiPriority w:val="21"/>
    <w:qFormat/>
    <w:rsid w:val="005C139B"/>
    <w:rPr>
      <w:b/>
      <w:i/>
      <w:color w:val="C0504D" w:themeColor="accent2"/>
      <w:spacing w:val="10"/>
    </w:rPr>
  </w:style>
  <w:style w:type="character" w:styleId="SubtleReference">
    <w:name w:val="Subtle Reference"/>
    <w:uiPriority w:val="31"/>
    <w:qFormat/>
    <w:rsid w:val="005C139B"/>
    <w:rPr>
      <w:b/>
    </w:rPr>
  </w:style>
  <w:style w:type="character" w:styleId="IntenseReference">
    <w:name w:val="Intense Reference"/>
    <w:uiPriority w:val="32"/>
    <w:qFormat/>
    <w:rsid w:val="005C139B"/>
    <w:rPr>
      <w:b/>
      <w:bCs/>
      <w:smallCaps/>
      <w:spacing w:val="5"/>
      <w:sz w:val="22"/>
      <w:szCs w:val="22"/>
      <w:u w:val="single"/>
    </w:rPr>
  </w:style>
  <w:style w:type="character" w:styleId="BookTitle">
    <w:name w:val="Book Title"/>
    <w:uiPriority w:val="33"/>
    <w:qFormat/>
    <w:rsid w:val="005C139B"/>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C139B"/>
    <w:pPr>
      <w:outlineLvl w:val="9"/>
    </w:pPr>
  </w:style>
  <w:style w:type="character" w:styleId="Hyperlink">
    <w:name w:val="Hyperlink"/>
    <w:basedOn w:val="DefaultParagraphFont"/>
    <w:rsid w:val="0099314B"/>
    <w:rPr>
      <w:color w:val="0000FF"/>
      <w:u w:val="single"/>
    </w:rPr>
  </w:style>
  <w:style w:type="paragraph" w:styleId="Header">
    <w:name w:val="header"/>
    <w:basedOn w:val="Normal"/>
    <w:link w:val="HeaderChar"/>
    <w:uiPriority w:val="99"/>
    <w:rsid w:val="0099314B"/>
    <w:pPr>
      <w:tabs>
        <w:tab w:val="center" w:pos="4320"/>
        <w:tab w:val="right" w:pos="8640"/>
      </w:tabs>
      <w:spacing w:after="0" w:line="240" w:lineRule="auto"/>
      <w:jc w:val="left"/>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uiPriority w:val="99"/>
    <w:rsid w:val="0099314B"/>
    <w:rPr>
      <w:rFonts w:ascii="Times New Roman" w:eastAsia="Times New Roman" w:hAnsi="Times New Roman" w:cs="Times New Roman"/>
      <w:sz w:val="24"/>
      <w:szCs w:val="24"/>
      <w:lang w:bidi="ar-SA"/>
    </w:rPr>
  </w:style>
  <w:style w:type="paragraph" w:styleId="Footer">
    <w:name w:val="footer"/>
    <w:basedOn w:val="Normal"/>
    <w:link w:val="FooterChar"/>
    <w:rsid w:val="0099314B"/>
    <w:pPr>
      <w:tabs>
        <w:tab w:val="center" w:pos="4320"/>
        <w:tab w:val="right" w:pos="8640"/>
      </w:tabs>
      <w:spacing w:after="0" w:line="240" w:lineRule="auto"/>
      <w:jc w:val="left"/>
    </w:pPr>
    <w:rPr>
      <w:rFonts w:ascii="Times New Roman" w:eastAsia="Times New Roman" w:hAnsi="Times New Roman" w:cs="Times New Roman"/>
      <w:sz w:val="24"/>
      <w:szCs w:val="24"/>
      <w:lang w:bidi="ar-SA"/>
    </w:rPr>
  </w:style>
  <w:style w:type="character" w:customStyle="1" w:styleId="FooterChar">
    <w:name w:val="Footer Char"/>
    <w:basedOn w:val="DefaultParagraphFont"/>
    <w:link w:val="Footer"/>
    <w:rsid w:val="0099314B"/>
    <w:rPr>
      <w:rFonts w:ascii="Times New Roman" w:eastAsia="Times New Roman" w:hAnsi="Times New Roman" w:cs="Times New Roman"/>
      <w:sz w:val="24"/>
      <w:szCs w:val="24"/>
      <w:lang w:bidi="ar-SA"/>
    </w:rPr>
  </w:style>
  <w:style w:type="paragraph" w:customStyle="1" w:styleId="xmsonormal">
    <w:name w:val="x_msonormal"/>
    <w:basedOn w:val="Normal"/>
    <w:rsid w:val="0099314B"/>
    <w:pPr>
      <w:spacing w:before="100" w:beforeAutospacing="1" w:after="100" w:afterAutospacing="1" w:line="240" w:lineRule="auto"/>
      <w:jc w:val="left"/>
    </w:pPr>
    <w:rPr>
      <w:rFonts w:ascii="Times New Roman" w:eastAsia="Times New Roman" w:hAnsi="Times New Roman" w:cs="Times New Roman"/>
      <w:sz w:val="24"/>
      <w:szCs w:val="24"/>
      <w:lang w:bidi="ar-SA"/>
    </w:rPr>
  </w:style>
  <w:style w:type="character" w:customStyle="1" w:styleId="apple-converted-space">
    <w:name w:val="apple-converted-space"/>
    <w:basedOn w:val="DefaultParagraphFont"/>
    <w:rsid w:val="0099314B"/>
  </w:style>
  <w:style w:type="paragraph" w:styleId="BalloonText">
    <w:name w:val="Balloon Text"/>
    <w:basedOn w:val="Normal"/>
    <w:link w:val="BalloonTextChar"/>
    <w:uiPriority w:val="99"/>
    <w:semiHidden/>
    <w:unhideWhenUsed/>
    <w:rsid w:val="00993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14B"/>
    <w:rPr>
      <w:rFonts w:ascii="Tahoma" w:hAnsi="Tahoma" w:cs="Tahoma"/>
      <w:sz w:val="16"/>
      <w:szCs w:val="16"/>
    </w:rPr>
  </w:style>
  <w:style w:type="table" w:styleId="MediumGrid3-Accent1">
    <w:name w:val="Medium Grid 3 Accent 1"/>
    <w:basedOn w:val="TableNormal"/>
    <w:uiPriority w:val="69"/>
    <w:rsid w:val="007936F1"/>
    <w:pPr>
      <w:spacing w:after="0" w:line="240" w:lineRule="auto"/>
    </w:pPr>
    <w:rPr>
      <w:sz w:val="22"/>
      <w:szCs w:val="22"/>
      <w:lang w:val="sr-Latn-CS" w:bidi="ar-S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TableGrid">
    <w:name w:val="Table Grid"/>
    <w:basedOn w:val="TableNormal"/>
    <w:uiPriority w:val="59"/>
    <w:rsid w:val="007936F1"/>
    <w:pPr>
      <w:spacing w:after="0" w:line="240" w:lineRule="auto"/>
    </w:pPr>
    <w:rPr>
      <w:sz w:val="22"/>
      <w:szCs w:val="22"/>
      <w:lang w:val="sr-Latn-C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istparagraph0">
    <w:name w:val="listparagraph"/>
    <w:basedOn w:val="Normal"/>
    <w:rsid w:val="00A144B4"/>
    <w:pPr>
      <w:spacing w:after="0" w:line="240" w:lineRule="auto"/>
      <w:jc w:val="left"/>
    </w:pPr>
    <w:rPr>
      <w:rFonts w:ascii="Times New Roman" w:hAnsi="Times New Roman" w:cs="Times New Roman"/>
      <w:sz w:val="24"/>
      <w:szCs w:val="24"/>
      <w:lang w:bidi="ar-SA"/>
    </w:rPr>
  </w:style>
  <w:style w:type="paragraph" w:styleId="NormalWeb">
    <w:name w:val="Normal (Web)"/>
    <w:basedOn w:val="Normal"/>
    <w:uiPriority w:val="99"/>
    <w:semiHidden/>
    <w:unhideWhenUsed/>
    <w:rsid w:val="004E2784"/>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4E2784"/>
    <w:pPr>
      <w:spacing w:after="0" w:line="240" w:lineRule="auto"/>
      <w:jc w:val="left"/>
    </w:pPr>
    <w:rPr>
      <w:lang w:bidi="ar-SA"/>
    </w:rPr>
  </w:style>
  <w:style w:type="character" w:customStyle="1" w:styleId="FootnoteTextChar">
    <w:name w:val="Footnote Text Char"/>
    <w:basedOn w:val="DefaultParagraphFont"/>
    <w:link w:val="FootnoteText"/>
    <w:uiPriority w:val="99"/>
    <w:semiHidden/>
    <w:rsid w:val="004E2784"/>
    <w:rPr>
      <w:lang w:bidi="ar-SA"/>
    </w:rPr>
  </w:style>
  <w:style w:type="character" w:styleId="FootnoteReference">
    <w:name w:val="footnote reference"/>
    <w:basedOn w:val="DefaultParagraphFont"/>
    <w:uiPriority w:val="99"/>
    <w:semiHidden/>
    <w:unhideWhenUsed/>
    <w:rsid w:val="004E2784"/>
    <w:rPr>
      <w:vertAlign w:val="superscript"/>
    </w:rPr>
  </w:style>
  <w:style w:type="paragraph" w:customStyle="1" w:styleId="msonospacing0">
    <w:name w:val="msonospacing"/>
    <w:basedOn w:val="Normal"/>
    <w:rsid w:val="00045C7E"/>
    <w:pPr>
      <w:spacing w:before="100" w:beforeAutospacing="1" w:after="100" w:afterAutospacing="1" w:line="240" w:lineRule="auto"/>
      <w:jc w:val="left"/>
    </w:pPr>
    <w:rPr>
      <w:rFonts w:ascii="Times New Roman" w:eastAsia="Times New Roman" w:hAnsi="Times New Roman" w:cs="Times New Roman"/>
      <w:sz w:val="24"/>
      <w:szCs w:val="24"/>
      <w:lang w:val="sl-SI" w:eastAsia="sl-SI" w:bidi="ar-SA"/>
    </w:rPr>
  </w:style>
</w:styles>
</file>

<file path=word/webSettings.xml><?xml version="1.0" encoding="utf-8"?>
<w:webSettings xmlns:r="http://schemas.openxmlformats.org/officeDocument/2006/relationships" xmlns:w="http://schemas.openxmlformats.org/wordprocessingml/2006/main">
  <w:divs>
    <w:div w:id="56822173">
      <w:bodyDiv w:val="1"/>
      <w:marLeft w:val="0"/>
      <w:marRight w:val="0"/>
      <w:marTop w:val="0"/>
      <w:marBottom w:val="0"/>
      <w:divBdr>
        <w:top w:val="none" w:sz="0" w:space="0" w:color="auto"/>
        <w:left w:val="none" w:sz="0" w:space="0" w:color="auto"/>
        <w:bottom w:val="none" w:sz="0" w:space="0" w:color="auto"/>
        <w:right w:val="none" w:sz="0" w:space="0" w:color="auto"/>
      </w:divBdr>
    </w:div>
    <w:div w:id="290719789">
      <w:bodyDiv w:val="1"/>
      <w:marLeft w:val="0"/>
      <w:marRight w:val="0"/>
      <w:marTop w:val="0"/>
      <w:marBottom w:val="0"/>
      <w:divBdr>
        <w:top w:val="none" w:sz="0" w:space="0" w:color="auto"/>
        <w:left w:val="none" w:sz="0" w:space="0" w:color="auto"/>
        <w:bottom w:val="none" w:sz="0" w:space="0" w:color="auto"/>
        <w:right w:val="none" w:sz="0" w:space="0" w:color="auto"/>
      </w:divBdr>
    </w:div>
    <w:div w:id="297759565">
      <w:bodyDiv w:val="1"/>
      <w:marLeft w:val="0"/>
      <w:marRight w:val="0"/>
      <w:marTop w:val="0"/>
      <w:marBottom w:val="0"/>
      <w:divBdr>
        <w:top w:val="none" w:sz="0" w:space="0" w:color="auto"/>
        <w:left w:val="none" w:sz="0" w:space="0" w:color="auto"/>
        <w:bottom w:val="none" w:sz="0" w:space="0" w:color="auto"/>
        <w:right w:val="none" w:sz="0" w:space="0" w:color="auto"/>
      </w:divBdr>
    </w:div>
    <w:div w:id="1311715971">
      <w:bodyDiv w:val="1"/>
      <w:marLeft w:val="0"/>
      <w:marRight w:val="0"/>
      <w:marTop w:val="0"/>
      <w:marBottom w:val="0"/>
      <w:divBdr>
        <w:top w:val="none" w:sz="0" w:space="0" w:color="auto"/>
        <w:left w:val="none" w:sz="0" w:space="0" w:color="auto"/>
        <w:bottom w:val="none" w:sz="0" w:space="0" w:color="auto"/>
        <w:right w:val="none" w:sz="0" w:space="0" w:color="auto"/>
      </w:divBdr>
    </w:div>
    <w:div w:id="1763526507">
      <w:bodyDiv w:val="1"/>
      <w:marLeft w:val="0"/>
      <w:marRight w:val="0"/>
      <w:marTop w:val="0"/>
      <w:marBottom w:val="0"/>
      <w:divBdr>
        <w:top w:val="none" w:sz="0" w:space="0" w:color="auto"/>
        <w:left w:val="none" w:sz="0" w:space="0" w:color="auto"/>
        <w:bottom w:val="none" w:sz="0" w:space="0" w:color="auto"/>
        <w:right w:val="none" w:sz="0" w:space="0" w:color="auto"/>
      </w:divBdr>
    </w:div>
    <w:div w:id="204826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8C359-4760-4BA4-B278-61CCB2767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4402</Words>
  <Characters>25097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snezana.masonicic</dc:creator>
  <cp:lastModifiedBy>ivona.mihajlovic</cp:lastModifiedBy>
  <cp:revision>2</cp:revision>
  <cp:lastPrinted>2013-07-19T15:08:00Z</cp:lastPrinted>
  <dcterms:created xsi:type="dcterms:W3CDTF">2013-09-11T10:05:00Z</dcterms:created>
  <dcterms:modified xsi:type="dcterms:W3CDTF">2013-09-11T10:05:00Z</dcterms:modified>
</cp:coreProperties>
</file>