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6BBB" w14:textId="77777777" w:rsidR="00A07773" w:rsidRPr="00D76A91" w:rsidRDefault="00A07773" w:rsidP="00A07773">
      <w:pPr>
        <w:autoSpaceDE w:val="0"/>
        <w:autoSpaceDN w:val="0"/>
        <w:adjustRightInd w:val="0"/>
        <w:jc w:val="right"/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</w:pPr>
      <w:r w:rsidRPr="00D76A91"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  <w:t>OBRAZAC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84"/>
        <w:gridCol w:w="5456"/>
      </w:tblGrid>
      <w:tr w:rsidR="00C72668" w:rsidRPr="00D76A91" w14:paraId="1B957B62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304D613" w14:textId="77777777" w:rsidR="00C72668" w:rsidRPr="00D76A91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IZVJEŠTAJ</w:t>
            </w:r>
            <w:r w:rsidR="005F6D49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O SPROVEDENOJ ANALIZI PROCJENE UTICAJA PROPISA</w:t>
            </w:r>
          </w:p>
        </w:tc>
      </w:tr>
      <w:tr w:rsidR="008322D4" w:rsidRPr="00D76A91" w14:paraId="3761C5F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50AB2868" w14:textId="77777777" w:rsidR="008322D4" w:rsidRPr="00D76A91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PREDLAGA</w:t>
            </w:r>
            <w:r w:rsidR="005F6D49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Č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5139F466" w14:textId="77777777" w:rsidR="008322D4" w:rsidRPr="00D76A91" w:rsidRDefault="004607E9" w:rsidP="0005064C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/>
                <w:noProof/>
                <w:szCs w:val="24"/>
              </w:rPr>
              <w:t xml:space="preserve">MINISTARSTVO FINANSIJA </w:t>
            </w:r>
          </w:p>
        </w:tc>
      </w:tr>
      <w:tr w:rsidR="008322D4" w:rsidRPr="00D76A91" w14:paraId="25C3BA3B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3CF5926A" w14:textId="77777777" w:rsidR="008322D4" w:rsidRPr="00D76A91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NA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ZIV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33FED0FD" w14:textId="77777777" w:rsidR="00524EA7" w:rsidRPr="00D76A91" w:rsidRDefault="004607E9" w:rsidP="00416FDB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/>
                <w:noProof/>
                <w:szCs w:val="24"/>
              </w:rPr>
              <w:t>Nacrt</w:t>
            </w:r>
            <w:r w:rsidR="008C5B9A" w:rsidRPr="00D76A91">
              <w:rPr>
                <w:rFonts w:asciiTheme="majorHAnsi" w:hAnsiTheme="majorHAnsi" w:cstheme="minorHAnsi"/>
                <w:b/>
                <w:noProof/>
                <w:szCs w:val="24"/>
              </w:rPr>
              <w:t xml:space="preserve"> z</w:t>
            </w:r>
            <w:r w:rsidR="0048284D" w:rsidRPr="00D76A91">
              <w:rPr>
                <w:rFonts w:asciiTheme="majorHAnsi" w:hAnsiTheme="majorHAnsi" w:cstheme="minorHAnsi"/>
                <w:b/>
                <w:noProof/>
                <w:szCs w:val="24"/>
              </w:rPr>
              <w:t>akon</w:t>
            </w:r>
            <w:r w:rsidR="008C5B9A" w:rsidRPr="00D76A91">
              <w:rPr>
                <w:rFonts w:asciiTheme="majorHAnsi" w:hAnsiTheme="majorHAnsi" w:cstheme="minorHAnsi"/>
                <w:b/>
                <w:noProof/>
                <w:szCs w:val="24"/>
              </w:rPr>
              <w:t>a</w:t>
            </w:r>
            <w:r w:rsidR="0048284D" w:rsidRPr="00D76A91">
              <w:rPr>
                <w:rFonts w:asciiTheme="majorHAnsi" w:hAnsiTheme="majorHAnsi" w:cstheme="minorHAnsi"/>
                <w:b/>
                <w:noProof/>
                <w:szCs w:val="24"/>
              </w:rPr>
              <w:t xml:space="preserve"> o </w:t>
            </w:r>
            <w:r w:rsidR="005F5923" w:rsidRPr="00D76A91">
              <w:rPr>
                <w:rFonts w:asciiTheme="majorHAnsi" w:hAnsiTheme="majorHAnsi" w:cstheme="minorHAnsi"/>
                <w:b/>
                <w:noProof/>
                <w:szCs w:val="24"/>
              </w:rPr>
              <w:t>izmjenama i dopunama</w:t>
            </w:r>
          </w:p>
          <w:p w14:paraId="51A443A4" w14:textId="77777777" w:rsidR="008322D4" w:rsidRPr="00D76A91" w:rsidRDefault="0005064C" w:rsidP="00416FDB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noProof/>
                <w:szCs w:val="24"/>
                <w:lang w:val="sr-Latn-ME"/>
              </w:rPr>
            </w:pPr>
            <w:r w:rsidRPr="00D76A91">
              <w:rPr>
                <w:rFonts w:asciiTheme="majorHAnsi" w:hAnsiTheme="majorHAnsi" w:cstheme="minorHAnsi"/>
                <w:b/>
                <w:noProof/>
                <w:szCs w:val="24"/>
              </w:rPr>
              <w:t>Z</w:t>
            </w:r>
            <w:r w:rsidR="005F5923" w:rsidRPr="00D76A91">
              <w:rPr>
                <w:rFonts w:asciiTheme="majorHAnsi" w:hAnsiTheme="majorHAnsi" w:cstheme="minorHAnsi"/>
                <w:b/>
                <w:noProof/>
                <w:szCs w:val="24"/>
              </w:rPr>
              <w:t>akona o platnom prometu</w:t>
            </w:r>
          </w:p>
        </w:tc>
      </w:tr>
      <w:tr w:rsidR="008322D4" w:rsidRPr="00D76A91" w14:paraId="54CE3162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0CC2021" w14:textId="77777777" w:rsidR="008322D4" w:rsidRPr="00D76A91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1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Definisanje problema</w:t>
            </w:r>
          </w:p>
          <w:p w14:paraId="11F982C2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probleme  treba da r</w:t>
            </w:r>
            <w:r w:rsidR="006A1B2C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i</w:t>
            </w:r>
            <w:r w:rsidR="005F03ED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ješi predloženi akt?</w:t>
            </w:r>
          </w:p>
          <w:p w14:paraId="2C1A0E1E" w14:textId="77777777" w:rsidR="00A07773" w:rsidRPr="00D76A91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oji </w:t>
            </w:r>
            <w:r w:rsidR="008322D4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su uzroci problema?</w:t>
            </w:r>
          </w:p>
          <w:p w14:paraId="7E9C4CDE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su posljedice problema?</w:t>
            </w:r>
          </w:p>
          <w:p w14:paraId="4D3DD4C9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8322D4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j</w:t>
            </w:r>
            <w:r w:rsidR="00972845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i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su subjekti</w:t>
            </w:r>
            <w:r w:rsidR="008322D4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oštećen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i</w:t>
            </w:r>
            <w:r w:rsidR="008322D4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, na koji način i 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u kojoj mjeri</w:t>
            </w:r>
            <w:r w:rsidR="008322D4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?</w:t>
            </w:r>
          </w:p>
          <w:p w14:paraId="581911D6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ako </w:t>
            </w:r>
            <w:r w:rsidR="008322D4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bi problem evoluirao bez promjene propisa (</w:t>
            </w:r>
            <w:r w:rsidR="005F03ED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“status quo” </w:t>
            </w:r>
            <w:r w:rsidR="008322D4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opcija)?</w:t>
            </w:r>
          </w:p>
        </w:tc>
      </w:tr>
      <w:tr w:rsidR="008322D4" w:rsidRPr="00D76A91" w14:paraId="2B5008A4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54952FF" w14:textId="77777777" w:rsidR="0005064C" w:rsidRPr="00D76A91" w:rsidRDefault="0005064C" w:rsidP="0005064C">
            <w:pPr>
              <w:pStyle w:val="msolistparagraph0"/>
              <w:ind w:left="90"/>
              <w:jc w:val="both"/>
              <w:rPr>
                <w:rFonts w:asciiTheme="majorHAnsi" w:hAnsiTheme="majorHAnsi" w:cstheme="minorHAnsi"/>
                <w:bCs w:val="0"/>
                <w:lang w:val="pl-PL"/>
              </w:rPr>
            </w:pPr>
          </w:p>
          <w:p w14:paraId="6901C4AB" w14:textId="3DA6D014" w:rsidR="00416FDB" w:rsidRPr="00D76A91" w:rsidRDefault="0005064C" w:rsidP="0005064C">
            <w:pPr>
              <w:pStyle w:val="Default"/>
              <w:numPr>
                <w:ilvl w:val="0"/>
                <w:numId w:val="22"/>
              </w:numPr>
              <w:tabs>
                <w:tab w:val="left" w:pos="270"/>
              </w:tabs>
              <w:ind w:left="0" w:firstLine="0"/>
              <w:jc w:val="both"/>
              <w:rPr>
                <w:rFonts w:asciiTheme="majorHAnsi" w:hAnsiTheme="majorHAnsi" w:cstheme="minorHAnsi"/>
                <w:b w:val="0"/>
              </w:rPr>
            </w:pPr>
            <w:r w:rsidRPr="00D76A91">
              <w:rPr>
                <w:rFonts w:asciiTheme="majorHAnsi" w:hAnsiTheme="majorHAnsi" w:cstheme="minorHAnsi"/>
                <w:b w:val="0"/>
              </w:rPr>
              <w:t xml:space="preserve">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Crnoj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Gori se od 9.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januara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2015.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godine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primjenjuje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Zakon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prometu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kojim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uređene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naročito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: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pružaoci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obaveze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informisanj</w:t>
            </w:r>
            <w:r w:rsidR="00FE3A1A" w:rsidRPr="00D76A91">
              <w:rPr>
                <w:rFonts w:asciiTheme="majorHAnsi" w:hAnsiTheme="majorHAnsi" w:cstheme="minorHAnsi"/>
                <w:b w:val="0"/>
              </w:rPr>
              <w:t>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korisnika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prava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obaveze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vezi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pružanjem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transakcioni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računi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izvršenje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transakcija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izdavanje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odobrenja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za rad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kontrola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institucija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institucija za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elektronski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novac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izdavanje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dozvole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za rad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kontrola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sistema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.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Takođe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ovim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zakonom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utvrđeni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su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osnovi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za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postupno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uklanjanje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razlika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između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nacionalnih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prekograničnih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plaćanja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sa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ciljem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da se, u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procesu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pristupanja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Crne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Gore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Evropskoj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uniji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olakša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uključivanje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u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jedinstveno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evropsko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tržište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plaćanja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>.</w:t>
            </w:r>
          </w:p>
          <w:p w14:paraId="03E2D1A1" w14:textId="77777777" w:rsidR="00EB64F0" w:rsidRPr="00D76A91" w:rsidRDefault="00EB64F0" w:rsidP="00416FDB">
            <w:pPr>
              <w:rPr>
                <w:rFonts w:asciiTheme="majorHAnsi" w:hAnsiTheme="majorHAnsi" w:cstheme="minorHAnsi"/>
                <w:b w:val="0"/>
                <w:bCs/>
                <w:szCs w:val="24"/>
              </w:rPr>
            </w:pPr>
          </w:p>
          <w:p w14:paraId="2F90CA7B" w14:textId="2F19A00D" w:rsidR="00EB64F0" w:rsidRPr="00D76A91" w:rsidRDefault="00416FDB" w:rsidP="00EB64F0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</w:rPr>
            </w:pPr>
            <w:r w:rsidRPr="00D76A91">
              <w:rPr>
                <w:rFonts w:asciiTheme="majorHAnsi" w:hAnsiTheme="majorHAnsi" w:cstheme="minorHAnsi"/>
                <w:b w:val="0"/>
              </w:rPr>
              <w:t xml:space="preserve">Tim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zakonom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je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crnogorsko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zakonodavstvo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implementirana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Direktiva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2007/64/EZ 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unutrašnjem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tržištu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(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tzv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. PSD1 – Payment Service Directive 1).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Donošenjem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ovog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zakona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njegovih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podzakonskih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akata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crnogorski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regulatorni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okvir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prometu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je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potpunosti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usklađen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pravnom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tekovinom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Evropske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unije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iz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ove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oblasti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koja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je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bila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snazi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do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kraja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2014.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godine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. </w:t>
            </w:r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Na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osnovu</w:t>
            </w:r>
            <w:proofErr w:type="spellEnd"/>
            <w:r w:rsidR="002E223D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tog</w:t>
            </w:r>
            <w:proofErr w:type="spellEnd"/>
            <w:r w:rsidR="002E223D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Zakona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Centralna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banka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Crne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Gore (u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daljem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tekstu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: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Centralna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banka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)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donijela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je 12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podzakonskih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akata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kojima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se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bliže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uređuju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pojedina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pitanja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iz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oblasti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platnog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EB64F0" w:rsidRPr="00D76A91">
              <w:rPr>
                <w:rFonts w:asciiTheme="majorHAnsi" w:hAnsiTheme="majorHAnsi" w:cstheme="minorHAnsi"/>
                <w:b w:val="0"/>
              </w:rPr>
              <w:t>prometa</w:t>
            </w:r>
            <w:proofErr w:type="spellEnd"/>
            <w:r w:rsidR="00EB64F0" w:rsidRPr="00D76A91">
              <w:rPr>
                <w:rFonts w:asciiTheme="majorHAnsi" w:hAnsiTheme="majorHAnsi" w:cstheme="minorHAnsi"/>
                <w:b w:val="0"/>
              </w:rPr>
              <w:t>.</w:t>
            </w:r>
          </w:p>
          <w:p w14:paraId="60B4A4FA" w14:textId="77777777" w:rsidR="00416FDB" w:rsidRPr="00D76A91" w:rsidRDefault="00416FDB" w:rsidP="00416FD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 w:val="0"/>
                <w:szCs w:val="24"/>
              </w:rPr>
            </w:pPr>
          </w:p>
          <w:p w14:paraId="5129D16E" w14:textId="190D2D8E" w:rsidR="00461470" w:rsidRPr="00D76A91" w:rsidRDefault="00416FDB" w:rsidP="00461470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</w:rPr>
            </w:pP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Nakon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što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je</w:t>
            </w:r>
            <w:r w:rsidRPr="00D76A91">
              <w:rPr>
                <w:rFonts w:asciiTheme="majorHAnsi" w:hAnsiTheme="majorHAnsi" w:cstheme="minorHAnsi"/>
                <w:b w:val="0"/>
              </w:rPr>
              <w:t xml:space="preserve"> 2015.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godine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u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Evropskoj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uniji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donijeta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i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počela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da se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primjenjuje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nova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Direktiva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(EU) 2015/2366 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unutrašnjem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tržištu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(PSD2),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donijet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je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Zakon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izmjenama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dopunama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Zakona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prometu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("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Službeni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list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Crne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Gore",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broj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111/22)</w:t>
            </w:r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. Tim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propisom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je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postavljen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je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regulatorni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okvir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za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pružanje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teritoriji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Crne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Gore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skladu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zahtjevima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iz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PSD2</w:t>
            </w:r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a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primjena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je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počela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u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oktobru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 2023.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Godine</w:t>
            </w:r>
            <w:proofErr w:type="spellEnd"/>
            <w:r w:rsidR="003A38A9" w:rsidRPr="00D76A91">
              <w:rPr>
                <w:rFonts w:asciiTheme="majorHAnsi" w:hAnsiTheme="majorHAnsi" w:cstheme="minorHAnsi"/>
                <w:b w:val="0"/>
              </w:rPr>
              <w:t xml:space="preserve">. </w:t>
            </w:r>
            <w:proofErr w:type="spellStart"/>
            <w:r w:rsidR="003A38A9" w:rsidRPr="00D76A91">
              <w:rPr>
                <w:rFonts w:asciiTheme="majorHAnsi" w:hAnsiTheme="majorHAnsi" w:cstheme="minorHAnsi"/>
                <w:b w:val="0"/>
              </w:rPr>
              <w:t>N</w:t>
            </w:r>
            <w:r w:rsidR="00461470" w:rsidRPr="00D76A91">
              <w:rPr>
                <w:rFonts w:asciiTheme="majorHAnsi" w:hAnsiTheme="majorHAnsi" w:cstheme="minorHAnsi"/>
                <w:b w:val="0"/>
              </w:rPr>
              <w:t>akon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njegovog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usvajanja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Centralna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banka</w:t>
            </w:r>
            <w:proofErr w:type="spellEnd"/>
            <w:r w:rsidR="00950EFB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donijela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je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još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6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podzakonskih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akata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kojima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su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dodatno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precizirana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pravila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za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pružanje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="00461470" w:rsidRPr="00D76A91">
              <w:rPr>
                <w:rFonts w:asciiTheme="majorHAnsi" w:hAnsiTheme="majorHAnsi" w:cstheme="minorHAnsi"/>
                <w:b w:val="0"/>
              </w:rPr>
              <w:t>usluga</w:t>
            </w:r>
            <w:proofErr w:type="spellEnd"/>
            <w:r w:rsidR="00461470" w:rsidRPr="00D76A91">
              <w:rPr>
                <w:rFonts w:asciiTheme="majorHAnsi" w:hAnsiTheme="majorHAnsi" w:cstheme="minorHAnsi"/>
                <w:b w:val="0"/>
              </w:rPr>
              <w:t xml:space="preserve">. </w:t>
            </w:r>
          </w:p>
          <w:p w14:paraId="0D83C71F" w14:textId="77777777" w:rsidR="00461470" w:rsidRPr="00D76A91" w:rsidRDefault="00461470" w:rsidP="00461470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</w:rPr>
            </w:pPr>
          </w:p>
          <w:p w14:paraId="371A9008" w14:textId="4400D193" w:rsidR="00461470" w:rsidRPr="00D76A91" w:rsidRDefault="00461470" w:rsidP="00461470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Cs w:val="0"/>
              </w:rPr>
            </w:pP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Drugi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značajan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set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izmjena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Zakona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prometu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donijet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je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februaru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2025.godine,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cilju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otklanjanja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preostalih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prepreka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za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funkcionisanje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crnogorskih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pružalaca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Jedinstvenom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području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plaćanja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eurima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(SEPA).</w:t>
            </w:r>
          </w:p>
          <w:p w14:paraId="6E74BCDB" w14:textId="0F7E1034" w:rsidR="00755C8C" w:rsidRPr="00D76A91" w:rsidRDefault="00755C8C" w:rsidP="00461470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Cs w:val="0"/>
              </w:rPr>
            </w:pPr>
          </w:p>
          <w:p w14:paraId="278CC383" w14:textId="77777777" w:rsidR="00755C8C" w:rsidRPr="00D76A91" w:rsidRDefault="00755C8C" w:rsidP="00755C8C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</w:rPr>
            </w:pP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lastRenderedPageBreak/>
              <w:t>Postojeći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Zakon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prometu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potpunosti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je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usklađen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zahtjevima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Direktive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(EU) 2015/2366 o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(PSD2),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čime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nacionalni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pravni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okvir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prenesene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ključne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odredbe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koje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se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odnose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regulisanje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sigurnost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transakcija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zaštitu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korisnika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uvođenje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novih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platnih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usluga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>.</w:t>
            </w:r>
          </w:p>
          <w:p w14:paraId="38A29CB8" w14:textId="77777777" w:rsidR="00015F71" w:rsidRPr="00D76A91" w:rsidRDefault="00015F71" w:rsidP="00015F71">
            <w:pPr>
              <w:rPr>
                <w:rFonts w:asciiTheme="majorHAnsi" w:hAnsiTheme="majorHAnsi" w:cstheme="minorHAnsi"/>
                <w:b w:val="0"/>
                <w:bCs/>
                <w:szCs w:val="24"/>
                <w:lang w:val="en-US"/>
              </w:rPr>
            </w:pPr>
          </w:p>
          <w:p w14:paraId="4B1D647C" w14:textId="701BBE5B" w:rsidR="00F60A3E" w:rsidRPr="00D76A91" w:rsidRDefault="00BD30EC" w:rsidP="00BD30EC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Cs w:val="0"/>
                <w:noProof/>
              </w:rPr>
            </w:pPr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Pored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navedenog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treba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ista</w:t>
            </w:r>
            <w:r w:rsidRPr="00D76A91">
              <w:rPr>
                <w:rFonts w:asciiTheme="majorHAnsi" w:hAnsiTheme="majorHAnsi" w:cstheme="minorHAnsi"/>
                <w:b w:val="0"/>
                <w:color w:val="auto"/>
                <w:lang w:val="sr-Latn-ME"/>
              </w:rPr>
              <w:t>ći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  <w:lang w:val="sr-Latn-ME"/>
              </w:rPr>
              <w:t xml:space="preserve"> i da je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Crna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Gora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počev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od 07.10.2025.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godine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operativno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postala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dio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SEPA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sistema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plaćanja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čime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je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je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građanima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privredi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u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Crnoj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Gori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omogućeno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da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primaju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šalju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novac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unutar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SEPA zone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značajno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brže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jeftinije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>sigurnije</w:t>
            </w:r>
            <w:proofErr w:type="spellEnd"/>
            <w:r w:rsidR="00BA7E51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.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Tako</w:t>
            </w:r>
            <w:r w:rsidR="006D7105" w:rsidRPr="00D76A91">
              <w:rPr>
                <w:rFonts w:asciiTheme="majorHAnsi" w:hAnsiTheme="majorHAnsi" w:cstheme="minorHAnsi"/>
                <w:b w:val="0"/>
                <w:color w:val="auto"/>
              </w:rPr>
              <w:t>đ</w:t>
            </w:r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kroz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zajednički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projekat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sa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Bankom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Italije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Centralna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banka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Crne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Gore je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učesnik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regionalnom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projektu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r w:rsidR="00F60A3E" w:rsidRPr="00D76A91">
              <w:rPr>
                <w:rFonts w:asciiTheme="majorHAnsi" w:hAnsiTheme="majorHAnsi" w:cstheme="minorHAnsi"/>
                <w:b w:val="0"/>
                <w:noProof/>
              </w:rPr>
              <w:t>TIPS Clone</w:t>
            </w:r>
            <w:r w:rsidR="00A36EEC">
              <w:rPr>
                <w:rFonts w:asciiTheme="majorHAnsi" w:hAnsiTheme="majorHAnsi" w:cstheme="minorHAnsi"/>
                <w:b w:val="0"/>
                <w:noProof/>
              </w:rPr>
              <w:t>, koji podrazumijeva</w:t>
            </w:r>
            <w:r w:rsidR="00F60A3E" w:rsidRPr="00D76A91">
              <w:rPr>
                <w:rFonts w:asciiTheme="majorHAnsi" w:hAnsiTheme="majorHAnsi" w:cstheme="minorHAnsi"/>
                <w:b w:val="0"/>
                <w:noProof/>
              </w:rPr>
              <w:t xml:space="preserve"> implementacij</w:t>
            </w:r>
            <w:r w:rsidR="00A36EEC">
              <w:rPr>
                <w:rFonts w:asciiTheme="majorHAnsi" w:hAnsiTheme="majorHAnsi" w:cstheme="minorHAnsi"/>
                <w:b w:val="0"/>
                <w:noProof/>
              </w:rPr>
              <w:t>u</w:t>
            </w:r>
            <w:r w:rsidR="00F60A3E" w:rsidRPr="00D76A91">
              <w:rPr>
                <w:rFonts w:asciiTheme="majorHAnsi" w:hAnsiTheme="majorHAnsi" w:cstheme="minorHAnsi"/>
                <w:b w:val="0"/>
                <w:noProof/>
              </w:rPr>
              <w:t xml:space="preserve"> platnog sistema za instant plaćanja, </w:t>
            </w:r>
            <w:r w:rsidR="00580726" w:rsidRPr="00D76A91">
              <w:rPr>
                <w:rFonts w:asciiTheme="majorHAnsi" w:hAnsiTheme="majorHAnsi" w:cstheme="minorHAnsi"/>
                <w:b w:val="0"/>
                <w:noProof/>
              </w:rPr>
              <w:t xml:space="preserve">po modelu istog sistema koji se primjenjuje u EU. Početak rada tog novog platnog sistema predviđen je za drugu polovinu 2026.godine. </w:t>
            </w:r>
            <w:r w:rsidRPr="00D76A91">
              <w:rPr>
                <w:rFonts w:asciiTheme="majorHAnsi" w:hAnsiTheme="majorHAnsi" w:cstheme="minorHAnsi"/>
                <w:b w:val="0"/>
                <w:noProof/>
              </w:rPr>
              <w:t>Taj</w:t>
            </w:r>
            <w:r w:rsidR="00F60A3E" w:rsidRPr="00D76A91">
              <w:rPr>
                <w:rFonts w:asciiTheme="majorHAnsi" w:hAnsiTheme="majorHAnsi" w:cstheme="minorHAnsi"/>
                <w:b w:val="0"/>
                <w:noProof/>
              </w:rPr>
              <w:t xml:space="preserve"> novi platni sistem funkcionisao</w:t>
            </w:r>
            <w:r w:rsidRPr="00D76A91">
              <w:rPr>
                <w:rFonts w:asciiTheme="majorHAnsi" w:hAnsiTheme="majorHAnsi" w:cstheme="minorHAnsi"/>
                <w:b w:val="0"/>
                <w:noProof/>
              </w:rPr>
              <w:t xml:space="preserve"> bi</w:t>
            </w:r>
            <w:r w:rsidR="00F60A3E" w:rsidRPr="00D76A91">
              <w:rPr>
                <w:rFonts w:asciiTheme="majorHAnsi" w:hAnsiTheme="majorHAnsi" w:cstheme="minorHAnsi"/>
                <w:b w:val="0"/>
                <w:noProof/>
              </w:rPr>
              <w:t xml:space="preserve"> na način usklađen sa EU standardima i tehničkom dokumentacijom koja je na bazi tih standarda u pripremi, </w:t>
            </w:r>
            <w:r w:rsidRPr="00D76A91">
              <w:rPr>
                <w:rFonts w:asciiTheme="majorHAnsi" w:hAnsiTheme="majorHAnsi" w:cstheme="minorHAnsi"/>
                <w:b w:val="0"/>
                <w:noProof/>
              </w:rPr>
              <w:t>što zahtijeva</w:t>
            </w:r>
            <w:r w:rsidR="00A36EEC">
              <w:rPr>
                <w:rFonts w:asciiTheme="majorHAnsi" w:hAnsiTheme="majorHAnsi" w:cstheme="minorHAnsi"/>
                <w:b w:val="0"/>
                <w:noProof/>
              </w:rPr>
              <w:t xml:space="preserve"> </w:t>
            </w:r>
            <w:r w:rsidRPr="00D76A91">
              <w:rPr>
                <w:rFonts w:asciiTheme="majorHAnsi" w:hAnsiTheme="majorHAnsi" w:cstheme="minorHAnsi"/>
                <w:b w:val="0"/>
                <w:noProof/>
              </w:rPr>
              <w:t xml:space="preserve">i </w:t>
            </w:r>
            <w:r w:rsidR="00A36EEC">
              <w:rPr>
                <w:rFonts w:asciiTheme="majorHAnsi" w:hAnsiTheme="majorHAnsi" w:cstheme="minorHAnsi"/>
                <w:b w:val="0"/>
                <w:noProof/>
              </w:rPr>
              <w:t>odgovarajući</w:t>
            </w:r>
            <w:r w:rsidR="00F60A3E" w:rsidRPr="00D76A91">
              <w:rPr>
                <w:rFonts w:asciiTheme="majorHAnsi" w:hAnsiTheme="majorHAnsi" w:cstheme="minorHAnsi"/>
                <w:b w:val="0"/>
                <w:noProof/>
              </w:rPr>
              <w:t xml:space="preserve"> regulatorn</w:t>
            </w:r>
            <w:r w:rsidR="00A36EEC">
              <w:rPr>
                <w:rFonts w:asciiTheme="majorHAnsi" w:hAnsiTheme="majorHAnsi" w:cstheme="minorHAnsi"/>
                <w:b w:val="0"/>
                <w:noProof/>
              </w:rPr>
              <w:t>i okvir</w:t>
            </w:r>
            <w:r w:rsidR="00F60A3E" w:rsidRPr="00D76A91">
              <w:rPr>
                <w:rFonts w:asciiTheme="majorHAnsi" w:hAnsiTheme="majorHAnsi" w:cstheme="minorHAnsi"/>
                <w:b w:val="0"/>
                <w:noProof/>
              </w:rPr>
              <w:t xml:space="preserve"> </w:t>
            </w:r>
            <w:r w:rsidR="00A36EEC">
              <w:rPr>
                <w:rFonts w:asciiTheme="majorHAnsi" w:hAnsiTheme="majorHAnsi" w:cstheme="minorHAnsi"/>
                <w:b w:val="0"/>
                <w:noProof/>
              </w:rPr>
              <w:t>kao pred</w:t>
            </w:r>
            <w:r w:rsidR="00F60A3E" w:rsidRPr="00D76A91">
              <w:rPr>
                <w:rFonts w:asciiTheme="majorHAnsi" w:hAnsiTheme="majorHAnsi" w:cstheme="minorHAnsi"/>
                <w:b w:val="0"/>
                <w:noProof/>
              </w:rPr>
              <w:t>uslov</w:t>
            </w:r>
            <w:r w:rsidRPr="00D76A91">
              <w:rPr>
                <w:rFonts w:asciiTheme="majorHAnsi" w:hAnsiTheme="majorHAnsi" w:cstheme="minorHAnsi"/>
                <w:b w:val="0"/>
                <w:noProof/>
              </w:rPr>
              <w:t>.</w:t>
            </w:r>
          </w:p>
          <w:p w14:paraId="2E37F4B2" w14:textId="77777777" w:rsidR="00E01AC7" w:rsidRPr="00D76A91" w:rsidRDefault="00E01AC7" w:rsidP="00BD30EC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Cs w:val="0"/>
                <w:noProof/>
              </w:rPr>
            </w:pPr>
          </w:p>
          <w:p w14:paraId="393E75FB" w14:textId="537AB772" w:rsidR="00864E5F" w:rsidRPr="00D76A91" w:rsidRDefault="007D6383" w:rsidP="007D6383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  <w:color w:val="auto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</w:rPr>
              <w:t xml:space="preserve">2.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Glavni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uzrok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problema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leži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u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činjenici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da</w:t>
            </w:r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očekivan</w:t>
            </w:r>
            <w:r w:rsidR="0062449D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početak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rada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TIPS Clone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platnog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sistema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mora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biti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sinhronizovan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sa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uspostavlj</w:t>
            </w:r>
            <w:r w:rsidR="00A36EEC">
              <w:rPr>
                <w:rFonts w:asciiTheme="majorHAnsi" w:hAnsiTheme="majorHAnsi" w:cstheme="minorHAnsi"/>
                <w:b w:val="0"/>
                <w:color w:val="auto"/>
              </w:rPr>
              <w:t>anjem</w:t>
            </w:r>
            <w:proofErr w:type="spellEnd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t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ransparentnog</w:t>
            </w:r>
            <w:proofErr w:type="spellEnd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precizno</w:t>
            </w:r>
            <w:proofErr w:type="spellEnd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uređenog</w:t>
            </w:r>
            <w:proofErr w:type="spellEnd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regulatornog</w:t>
            </w:r>
            <w:proofErr w:type="spellEnd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okvira</w:t>
            </w:r>
            <w:proofErr w:type="spellEnd"/>
            <w:r w:rsidR="001B176C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kako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bi se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izbjegao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raskorak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između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d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omaćeg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pravnog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poretka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sa</w:t>
            </w:r>
            <w:proofErr w:type="spellEnd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pravn</w:t>
            </w:r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om</w:t>
            </w:r>
            <w:proofErr w:type="spellEnd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>tekovin</w:t>
            </w:r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om</w:t>
            </w:r>
            <w:proofErr w:type="spellEnd"/>
            <w:r w:rsidR="00864E5F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EU</w:t>
            </w:r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koja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se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odnosi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na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uvođenje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obaveze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izvršavanja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instant kreditnih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transfera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pravila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po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kojima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se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ti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kreditni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transferi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izvršavaju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odnosno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sa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Uredbom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(EU) 2024/886</w:t>
            </w:r>
            <w:r w:rsidR="00A131E6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o izmjeni uredbi (EU) 260/2012 i (EU) 2021/1230 i direktiva 98/26/EZ i (EU) 2015/2366 u pogledu instant kreditnih transfera.</w:t>
            </w:r>
          </w:p>
          <w:p w14:paraId="7B0AED30" w14:textId="77777777" w:rsidR="00E01AC7" w:rsidRPr="00D76A91" w:rsidRDefault="00E01AC7" w:rsidP="007D6383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  <w:color w:val="auto"/>
              </w:rPr>
            </w:pPr>
          </w:p>
          <w:p w14:paraId="5D028D9F" w14:textId="1A94C4F1" w:rsidR="00107645" w:rsidRPr="00D76A91" w:rsidRDefault="00864E5F" w:rsidP="007D6383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  <w:color w:val="auto"/>
              </w:rPr>
            </w:pPr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3.</w:t>
            </w:r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Direktna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posljedica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navedenog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stanja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bilo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bi</w:t>
            </w:r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tehnološko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zaostajanj</w:t>
            </w:r>
            <w:r w:rsidR="0062449D">
              <w:rPr>
                <w:rFonts w:asciiTheme="majorHAnsi" w:hAnsiTheme="majorHAnsi" w:cstheme="minorHAnsi"/>
                <w:b w:val="0"/>
                <w:color w:val="auto"/>
              </w:rPr>
              <w:t>e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87F27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vjerovatn</w:t>
            </w:r>
            <w:r w:rsidR="0062449D">
              <w:rPr>
                <w:rFonts w:asciiTheme="majorHAnsi" w:hAnsiTheme="majorHAnsi" w:cstheme="minorHAnsi"/>
                <w:b w:val="0"/>
                <w:color w:val="auto"/>
              </w:rPr>
              <w:t>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neefikasnost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uvođenja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platnog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sistema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za instant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plaćanja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što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bi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direktno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ugrozilo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očekivane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efekte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instant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platnog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sistema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.</w:t>
            </w:r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Takođe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, ne bi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bilo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riješeno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pitanje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neusklađenosti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sa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pravnom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tekovinom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EU,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što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bi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svakako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moralo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biti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riješeno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odgovorajućom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izmjenom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ovog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zakona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u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periodu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do dana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pristupanja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EU.</w:t>
            </w:r>
          </w:p>
          <w:p w14:paraId="08C7EAE2" w14:textId="77777777" w:rsidR="00107645" w:rsidRPr="00D76A91" w:rsidRDefault="00107645" w:rsidP="007D6383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Cs w:val="0"/>
                <w:color w:val="auto"/>
              </w:rPr>
            </w:pPr>
          </w:p>
          <w:p w14:paraId="79BC815D" w14:textId="4E8B944A" w:rsidR="00864E5F" w:rsidRPr="00D76A91" w:rsidRDefault="00107645" w:rsidP="00311395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  <w:color w:val="auto"/>
              </w:rPr>
            </w:pPr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4.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Primarni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subjekti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pogođeni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ovim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stanjem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su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građani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privreda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kojima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je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neophodno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obezbijediti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korišćenje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platnih</w:t>
            </w:r>
            <w:proofErr w:type="spellEnd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25E92" w:rsidRPr="00D76A91">
              <w:rPr>
                <w:rFonts w:asciiTheme="majorHAnsi" w:hAnsiTheme="majorHAnsi" w:cstheme="minorHAnsi"/>
                <w:b w:val="0"/>
                <w:color w:val="auto"/>
              </w:rPr>
              <w:t>usluga</w:t>
            </w:r>
            <w:proofErr w:type="spellEnd"/>
            <w:r w:rsidR="00487F2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pod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identičnim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uslovima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sa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istim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funkcionalnostima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koje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uživaju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korisnici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unutar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Evropske</w:t>
            </w:r>
            <w:proofErr w:type="spellEnd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34D47" w:rsidRPr="00D76A91">
              <w:rPr>
                <w:rFonts w:asciiTheme="majorHAnsi" w:hAnsiTheme="majorHAnsi" w:cstheme="minorHAnsi"/>
                <w:b w:val="0"/>
                <w:color w:val="auto"/>
              </w:rPr>
              <w:t>unije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.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Dodatno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trenutno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ograničenje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direktnog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pristupa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 w:rsidRPr="00D76A91">
              <w:rPr>
                <w:rFonts w:asciiTheme="majorHAnsi" w:hAnsiTheme="majorHAnsi" w:cstheme="minorHAnsi"/>
                <w:b w:val="0"/>
                <w:color w:val="auto"/>
              </w:rPr>
              <w:t>platnih</w:t>
            </w:r>
            <w:proofErr w:type="spellEnd"/>
            <w:r w:rsidR="00A36EEC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institucij</w:t>
            </w:r>
            <w:r w:rsidR="00A36EEC">
              <w:rPr>
                <w:rFonts w:asciiTheme="majorHAnsi" w:hAnsiTheme="majorHAnsi" w:cstheme="minorHAnsi"/>
                <w:b w:val="0"/>
                <w:color w:val="auto"/>
              </w:rPr>
              <w:t>a</w:t>
            </w:r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platnim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sistemima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u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Crnoj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Gori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predstavlja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ograničavajući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faktor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poslovanj</w:t>
            </w:r>
            <w:r w:rsidR="00A36EEC">
              <w:rPr>
                <w:rFonts w:asciiTheme="majorHAnsi" w:hAnsiTheme="majorHAnsi" w:cstheme="minorHAnsi"/>
                <w:b w:val="0"/>
                <w:color w:val="auto"/>
              </w:rPr>
              <w:t>a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tih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subjekata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čime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se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sputava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tržišna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konkurencija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87F27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onemogućava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puni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efekat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primjene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pravila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PSD2 u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dijelu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ravnopravnosti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svih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učesnika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na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tržištu</w:t>
            </w:r>
            <w:proofErr w:type="spellEnd"/>
            <w:r w:rsidR="00311395" w:rsidRPr="00D76A91">
              <w:rPr>
                <w:rFonts w:asciiTheme="majorHAnsi" w:hAnsiTheme="majorHAnsi" w:cstheme="minorHAnsi"/>
                <w:b w:val="0"/>
                <w:color w:val="auto"/>
              </w:rPr>
              <w:t>.</w:t>
            </w:r>
          </w:p>
          <w:p w14:paraId="3206EBA3" w14:textId="77777777" w:rsidR="00E01AC7" w:rsidRPr="00D76A91" w:rsidRDefault="00E01AC7" w:rsidP="007D6383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  <w:color w:val="auto"/>
              </w:rPr>
            </w:pPr>
          </w:p>
          <w:p w14:paraId="0B649BD0" w14:textId="377DF480" w:rsidR="000C1014" w:rsidRPr="00D76A91" w:rsidRDefault="00864E5F" w:rsidP="00D76A91">
            <w:pPr>
              <w:pStyle w:val="Default"/>
              <w:tabs>
                <w:tab w:val="left" w:pos="270"/>
              </w:tabs>
              <w:jc w:val="both"/>
              <w:rPr>
                <w:rFonts w:asciiTheme="majorHAnsi" w:hAnsiTheme="majorHAnsi" w:cstheme="minorHAnsi"/>
                <w:b w:val="0"/>
                <w:color w:val="auto"/>
              </w:rPr>
            </w:pPr>
            <w:r w:rsidRPr="00D76A91">
              <w:rPr>
                <w:rFonts w:asciiTheme="majorHAnsi" w:hAnsiTheme="majorHAnsi" w:cstheme="minorHAnsi"/>
                <w:b w:val="0"/>
                <w:color w:val="auto"/>
              </w:rPr>
              <w:t>5.</w:t>
            </w:r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D3226" w:rsidRPr="00D76A91">
              <w:rPr>
                <w:rFonts w:asciiTheme="majorHAnsi" w:hAnsiTheme="majorHAnsi" w:cstheme="minorHAnsi"/>
                <w:b w:val="0"/>
                <w:color w:val="auto"/>
              </w:rPr>
              <w:t>Z</w:t>
            </w:r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adržavanje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„status </w:t>
            </w:r>
            <w:proofErr w:type="gramStart"/>
            <w:r w:rsidR="004C3B77">
              <w:rPr>
                <w:rFonts w:asciiTheme="majorHAnsi" w:hAnsiTheme="majorHAnsi" w:cstheme="minorHAnsi"/>
                <w:b w:val="0"/>
                <w:color w:val="auto"/>
              </w:rPr>
              <w:t>q</w:t>
            </w:r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uo“</w:t>
            </w:r>
            <w:r w:rsidR="004C3B77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stanja</w:t>
            </w:r>
            <w:proofErr w:type="spellEnd"/>
            <w:proofErr w:type="gram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negativno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bi se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odrazilo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na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tehničko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funkcionisanje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novog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platnog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sistema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za instant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plaćanja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a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posredno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bi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otežalo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položaj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domaćih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učesnika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na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tržištu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plaćanja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u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posljednjoj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>fazi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pred</w:t>
            </w:r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pristupanj</w:t>
            </w:r>
            <w:r w:rsidR="00A36EEC">
              <w:rPr>
                <w:rFonts w:asciiTheme="majorHAnsi" w:hAnsiTheme="majorHAnsi" w:cstheme="minorHAnsi"/>
                <w:b w:val="0"/>
                <w:color w:val="auto"/>
              </w:rPr>
              <w:t>e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Crne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Gore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Evropskoj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uniji.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Naime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ukoliko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se ne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obezbijede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D3226" w:rsidRPr="00D76A91">
              <w:rPr>
                <w:rFonts w:asciiTheme="majorHAnsi" w:hAnsiTheme="majorHAnsi" w:cstheme="minorHAnsi"/>
                <w:b w:val="0"/>
                <w:color w:val="auto"/>
              </w:rPr>
              <w:t>adekvatni</w:t>
            </w:r>
            <w:proofErr w:type="spellEnd"/>
            <w:r w:rsidR="004D3226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tehnički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regulatorni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D3226" w:rsidRPr="00D76A91">
              <w:rPr>
                <w:rFonts w:asciiTheme="majorHAnsi" w:hAnsiTheme="majorHAnsi" w:cstheme="minorHAnsi"/>
                <w:b w:val="0"/>
                <w:color w:val="auto"/>
              </w:rPr>
              <w:t>uslovi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,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pružaoci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platnih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usluga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neće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moći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blagovremeno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4D3226" w:rsidRPr="00D76A91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na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adekvatan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način</w:t>
            </w:r>
            <w:proofErr w:type="spellEnd"/>
            <w:r w:rsidR="004D3226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da </w:t>
            </w:r>
            <w:proofErr w:type="spellStart"/>
            <w:r w:rsidR="004D3226" w:rsidRPr="00D76A91">
              <w:rPr>
                <w:rFonts w:asciiTheme="majorHAnsi" w:hAnsiTheme="majorHAnsi" w:cstheme="minorHAnsi"/>
                <w:b w:val="0"/>
                <w:color w:val="auto"/>
              </w:rPr>
              <w:t>odgovore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zahtjevima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modernog</w:t>
            </w:r>
            <w:proofErr w:type="spellEnd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i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jednistvenog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tržišta</w:t>
            </w:r>
            <w:proofErr w:type="spellEnd"/>
            <w:r w:rsidR="00A36EEC">
              <w:rPr>
                <w:rFonts w:asciiTheme="majorHAnsi" w:hAnsiTheme="majorHAnsi" w:cstheme="minorHAnsi"/>
                <w:b w:val="0"/>
                <w:color w:val="auto"/>
              </w:rPr>
              <w:t xml:space="preserve"> </w:t>
            </w:r>
            <w:proofErr w:type="spellStart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>unutar</w:t>
            </w:r>
            <w:proofErr w:type="spellEnd"/>
            <w:r w:rsidR="0062449D">
              <w:rPr>
                <w:rFonts w:asciiTheme="majorHAnsi" w:hAnsiTheme="majorHAnsi" w:cstheme="minorHAnsi"/>
                <w:b w:val="0"/>
                <w:color w:val="auto"/>
              </w:rPr>
              <w:t xml:space="preserve"> EU</w:t>
            </w:r>
            <w:r w:rsidR="00107645" w:rsidRPr="00D76A91">
              <w:rPr>
                <w:rFonts w:asciiTheme="majorHAnsi" w:hAnsiTheme="majorHAnsi" w:cstheme="minorHAnsi"/>
                <w:b w:val="0"/>
                <w:color w:val="auto"/>
              </w:rPr>
              <w:t>.</w:t>
            </w:r>
          </w:p>
          <w:p w14:paraId="5E4C2C65" w14:textId="7CDDAE29" w:rsidR="008845C7" w:rsidRPr="00D76A91" w:rsidRDefault="008845C7" w:rsidP="00F60A3E">
            <w:pPr>
              <w:rPr>
                <w:rFonts w:asciiTheme="majorHAnsi" w:hAnsiTheme="majorHAnsi" w:cstheme="minorHAnsi"/>
                <w:bCs/>
                <w:noProof/>
                <w:color w:val="FF0000"/>
                <w:szCs w:val="24"/>
              </w:rPr>
            </w:pPr>
          </w:p>
        </w:tc>
      </w:tr>
      <w:tr w:rsidR="008322D4" w:rsidRPr="00D76A91" w14:paraId="4FB1CE10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8684F46" w14:textId="77777777" w:rsidR="008322D4" w:rsidRPr="00D76A91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lastRenderedPageBreak/>
              <w:t>2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Ciljevi</w:t>
            </w:r>
          </w:p>
          <w:p w14:paraId="14B60627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oji ciljevi se postižu predloženim propisom?</w:t>
            </w:r>
          </w:p>
          <w:p w14:paraId="2616B1DA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N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avesti 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usklađenost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ovih ciljeva sa postojećim strategijama ili programima Vlade, ako je primjenljivo.</w:t>
            </w:r>
          </w:p>
        </w:tc>
      </w:tr>
      <w:tr w:rsidR="008322D4" w:rsidRPr="00D76A91" w14:paraId="2E9B4217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A7AF9EF" w14:textId="6BB5F539" w:rsidR="00FA4DC5" w:rsidRPr="00D76A91" w:rsidRDefault="000C1014" w:rsidP="00FA4DC5">
            <w:pPr>
              <w:rPr>
                <w:rFonts w:asciiTheme="majorHAnsi" w:hAnsiTheme="majorHAnsi" w:cstheme="minorHAnsi"/>
                <w:b w:val="0"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Cilj</w:t>
            </w:r>
            <w:r w:rsidR="00FA4DC5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predloženi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h</w:t>
            </w:r>
            <w:r w:rsidR="00FA4DC5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izmjena i dopuna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je,</w:t>
            </w:r>
            <w:r w:rsidR="00447220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između ostalog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, da se</w:t>
            </w:r>
            <w:r w:rsidR="00FA4DC5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:</w:t>
            </w:r>
          </w:p>
          <w:p w14:paraId="4F587452" w14:textId="08BADA8D" w:rsidR="0062449D" w:rsidRPr="0062449D" w:rsidRDefault="0062449D" w:rsidP="00FA4D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</w:pPr>
            <w:proofErr w:type="spellStart"/>
            <w:r>
              <w:rPr>
                <w:rFonts w:asciiTheme="majorHAnsi" w:hAnsiTheme="majorHAnsi" w:cstheme="minorHAnsi"/>
                <w:b w:val="0"/>
              </w:rPr>
              <w:t>omogući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početak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rada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TIPS Clone </w:t>
            </w:r>
            <w:proofErr w:type="spellStart"/>
            <w:r>
              <w:rPr>
                <w:rFonts w:asciiTheme="majorHAnsi" w:hAnsiTheme="majorHAnsi" w:cstheme="minorHAnsi"/>
                <w:b w:val="0"/>
              </w:rPr>
              <w:t>platnog</w:t>
            </w:r>
            <w:proofErr w:type="spellEnd"/>
            <w:r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sistema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 w:val="0"/>
              </w:rPr>
              <w:t>usklađen</w:t>
            </w:r>
            <w:proofErr w:type="spellEnd"/>
            <w:r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 w:val="0"/>
              </w:rPr>
              <w:t>sa</w:t>
            </w:r>
            <w:proofErr w:type="spellEnd"/>
            <w:r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transparentno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i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precizno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 w:val="0"/>
              </w:rPr>
              <w:t>definisanim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regulatorn</w:t>
            </w:r>
            <w:r>
              <w:rPr>
                <w:rFonts w:asciiTheme="majorHAnsi" w:hAnsiTheme="majorHAnsi" w:cstheme="minorHAnsi"/>
                <w:b w:val="0"/>
              </w:rPr>
              <w:t>im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</w:rPr>
              <w:t xml:space="preserve">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</w:rPr>
              <w:t>okvir</w:t>
            </w:r>
            <w:r>
              <w:rPr>
                <w:rFonts w:asciiTheme="majorHAnsi" w:hAnsiTheme="majorHAnsi" w:cstheme="minorHAnsi"/>
                <w:b w:val="0"/>
              </w:rPr>
              <w:t>om</w:t>
            </w:r>
            <w:proofErr w:type="spellEnd"/>
            <w:r>
              <w:rPr>
                <w:rFonts w:asciiTheme="majorHAnsi" w:hAnsiTheme="majorHAnsi" w:cstheme="minorHAnsi"/>
                <w:b w:val="0"/>
              </w:rPr>
              <w:t>,</w:t>
            </w:r>
          </w:p>
          <w:p w14:paraId="1AD319AC" w14:textId="52E537B8" w:rsidR="00FA4DC5" w:rsidRPr="00D76A91" w:rsidRDefault="0062449D" w:rsidP="00FA4D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precizno </w:t>
            </w:r>
            <w:r w:rsidR="000C1014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definišu </w:t>
            </w:r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pravila za </w:t>
            </w:r>
            <w:proofErr w:type="spellStart"/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izvršavanje</w:t>
            </w:r>
            <w:proofErr w:type="spellEnd"/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instant kreditnih transfera</w:t>
            </w:r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, sa svim obaveznim provjerama (</w:t>
            </w:r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provjer</w:t>
            </w:r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a</w:t>
            </w:r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primaoca plaćanja </w:t>
            </w:r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- </w:t>
            </w:r>
            <w:proofErr w:type="spellStart"/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v</w:t>
            </w:r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erification</w:t>
            </w:r>
            <w:proofErr w:type="spellEnd"/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</w:t>
            </w:r>
            <w:proofErr w:type="spellStart"/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of</w:t>
            </w:r>
            <w:proofErr w:type="spellEnd"/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p</w:t>
            </w:r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ayee</w:t>
            </w:r>
            <w:proofErr w:type="spellEnd"/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i provjera baze korisnika platnih usluga za primjenu ciljanih finansijskih sankcija</w:t>
            </w:r>
            <w:r w:rsidR="00FA4DC5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)</w:t>
            </w:r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, sve</w:t>
            </w:r>
            <w:r w:rsidR="000C1014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u skladu sa </w:t>
            </w:r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zahtjevima </w:t>
            </w:r>
            <w:r w:rsidR="000C1014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Uredb</w:t>
            </w:r>
            <w:r>
              <w:rPr>
                <w:rFonts w:asciiTheme="majorHAnsi" w:hAnsiTheme="majorHAnsi" w:cstheme="minorHAnsi"/>
                <w:b w:val="0"/>
                <w:noProof/>
                <w:szCs w:val="24"/>
              </w:rPr>
              <w:t>e</w:t>
            </w:r>
            <w:r w:rsidR="000C1014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(EU) 2024/886,</w:t>
            </w:r>
          </w:p>
          <w:p w14:paraId="2F8C98C7" w14:textId="75065536" w:rsidR="00FA4DC5" w:rsidRPr="00D76A91" w:rsidRDefault="00FA4DC5" w:rsidP="00FA4D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</w:pPr>
            <w:proofErr w:type="spellStart"/>
            <w:r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omog</w:t>
            </w:r>
            <w:r w:rsidR="000C1014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ući</w:t>
            </w:r>
            <w:proofErr w:type="spellEnd"/>
            <w:r w:rsidR="000C1014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</w:t>
            </w:r>
            <w:r w:rsidR="0062449D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domaćim </w:t>
            </w:r>
            <w:r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platnim institucijama i institucijama za elektronski novac </w:t>
            </w:r>
            <w:r w:rsidR="000C1014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direktno</w:t>
            </w:r>
            <w:r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učešće u platnom sistemu u kome se vrši </w:t>
            </w:r>
            <w:proofErr w:type="spellStart"/>
            <w:r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konačnost</w:t>
            </w:r>
            <w:proofErr w:type="spellEnd"/>
            <w:r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poravnanja,</w:t>
            </w:r>
          </w:p>
          <w:p w14:paraId="7E4DB8B1" w14:textId="4CF9E660" w:rsidR="000C1014" w:rsidRPr="00D76A91" w:rsidRDefault="0062449D" w:rsidP="00FA4D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u nacionalno zakonodavstvo </w:t>
            </w:r>
            <w:r w:rsidR="00851594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prenesu </w:t>
            </w:r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i </w:t>
            </w:r>
            <w:proofErr w:type="spellStart"/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pružaocima</w:t>
            </w:r>
            <w:proofErr w:type="spellEnd"/>
            <w:r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platnih usluga učine jasnim buduća </w:t>
            </w:r>
            <w:r w:rsidR="00851594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pravila za </w:t>
            </w:r>
            <w:proofErr w:type="spellStart"/>
            <w:r w:rsidR="00851594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>izvršavanje</w:t>
            </w:r>
            <w:proofErr w:type="spellEnd"/>
            <w:r w:rsidR="00851594" w:rsidRPr="00D76A91">
              <w:rPr>
                <w:rFonts w:asciiTheme="majorHAnsi" w:hAnsiTheme="majorHAnsi" w:cstheme="minorHAnsi"/>
                <w:b w:val="0"/>
                <w:bCs/>
                <w:szCs w:val="24"/>
                <w:lang w:val="bs-Latn-BA"/>
              </w:rPr>
              <w:t xml:space="preserve"> SEPA plaćanja i prekogranična plaćanja, koja će se primjenjivati danom pristupanja Crne Gore Evropskoj uniji.</w:t>
            </w:r>
          </w:p>
          <w:p w14:paraId="3DDAA85E" w14:textId="228E2DC0" w:rsidR="006D2834" w:rsidRPr="00D76A91" w:rsidRDefault="00D33BDF" w:rsidP="000C1014">
            <w:pPr>
              <w:rPr>
                <w:rFonts w:asciiTheme="majorHAnsi" w:hAnsiTheme="majorHAnsi" w:cstheme="minorHAnsi"/>
                <w:b w:val="0"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Takođe</w:t>
            </w:r>
            <w:r w:rsidR="00E91ED2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, 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vrši se</w:t>
            </w:r>
            <w:r w:rsidR="00E91ED2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usklađivanje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</w:t>
            </w:r>
            <w:r w:rsidR="00E91ED2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sa Direktivom (EU) 2022/</w:t>
            </w:r>
            <w:r w:rsidR="003A16CF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2556</w:t>
            </w:r>
            <w:r w:rsidR="00E91ED2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u pogledu digitalne operativne otpornosti za finansijski sektor</w:t>
            </w:r>
            <w:r w:rsidR="000A7DFB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,</w:t>
            </w:r>
            <w:r w:rsidR="00FA4DC5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u dijelu koji se odnosi na upravljanje rizicima informaciono-komunikacionih tehnologija (IKT), sigurnosti informacionih sistema, prijave incidenata, a posljedično tome i u pogledu licenciranja nebankarskih pružalaca platnih usluga</w:t>
            </w:r>
            <w:r w:rsidR="00005C24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. Pomenuta direktiva je </w:t>
            </w:r>
            <w:r w:rsidR="003A16CF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već implementirana u domaće zakonodavstvo kroz Zakon o digitalnoj operativnoj otpornosti finansijskog sektora</w:t>
            </w:r>
            <w:r w:rsidR="00005C24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(“Službeni list CG”, broj 14/26)</w:t>
            </w:r>
            <w:r w:rsidR="003A16CF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, te se ovim izmjenama i dopunama obezbjeđuje </w:t>
            </w:r>
            <w:r w:rsidR="00005C24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međusobna</w:t>
            </w:r>
            <w:r w:rsidR="003A16CF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usaglašenost domaćeg pravnog okvira i jedinstvena primjena IKT standarda na pružaoce platnih usluga. </w:t>
            </w:r>
          </w:p>
          <w:p w14:paraId="437DED6D" w14:textId="510A3DCC" w:rsidR="00202070" w:rsidRPr="00D76A91" w:rsidRDefault="00202070" w:rsidP="000C1014">
            <w:pPr>
              <w:rPr>
                <w:rFonts w:asciiTheme="majorHAnsi" w:hAnsiTheme="majorHAnsi" w:cstheme="minorHAnsi"/>
                <w:b w:val="0"/>
                <w:noProof/>
                <w:szCs w:val="24"/>
              </w:rPr>
            </w:pPr>
          </w:p>
          <w:p w14:paraId="3E391303" w14:textId="283FE073" w:rsidR="000C1014" w:rsidRPr="00D76A91" w:rsidRDefault="00202070" w:rsidP="000C1014">
            <w:pPr>
              <w:rPr>
                <w:rFonts w:asciiTheme="majorHAnsi" w:hAnsiTheme="majorHAnsi" w:cstheme="minorHAnsi"/>
                <w:b w:val="0"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Donošenje ovog propisa predviđeno je Programom rada Vlade za 2026. godinu.</w:t>
            </w:r>
          </w:p>
        </w:tc>
      </w:tr>
      <w:tr w:rsidR="008322D4" w:rsidRPr="00D76A91" w14:paraId="486D76B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5434AB1" w14:textId="77777777" w:rsidR="008322D4" w:rsidRPr="00D76A91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3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Opcije</w:t>
            </w:r>
          </w:p>
          <w:p w14:paraId="51953613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donošenja predloženog propisa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)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</w:p>
          <w:p w14:paraId="64486592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brazložiti preferiranu opciju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?</w:t>
            </w:r>
          </w:p>
        </w:tc>
      </w:tr>
      <w:tr w:rsidR="008322D4" w:rsidRPr="00D76A91" w14:paraId="3BBBF5BD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A7135A9" w14:textId="400F5093" w:rsidR="00877DAC" w:rsidRPr="00D76A91" w:rsidRDefault="00877DAC" w:rsidP="006D4CA1">
            <w:pPr>
              <w:rPr>
                <w:rFonts w:asciiTheme="majorHAnsi" w:hAnsiTheme="majorHAnsi" w:cstheme="minorHAnsi"/>
                <w:bCs/>
                <w:noProof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Zadržavanje “status quo” nije razmatrano kao opcija, iz razloga </w:t>
            </w:r>
            <w:r w:rsidR="007B70A4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što bi </w:t>
            </w:r>
            <w:r w:rsidR="006D7105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nepostojanje adekvatnog regulatornog okvira </w:t>
            </w:r>
            <w:r w:rsidR="007B4ACA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onemogućilo adekvatno funkcionisanje sistema za instant plaćanja i </w:t>
            </w:r>
            <w:r w:rsidR="006D7105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onemogućilo p</w:t>
            </w:r>
            <w:r w:rsidR="006D7105" w:rsidRPr="00D76A91">
              <w:rPr>
                <w:rFonts w:asciiTheme="majorHAnsi" w:hAnsiTheme="majorHAnsi" w:cstheme="minorHAnsi"/>
                <w:b w:val="0"/>
                <w:noProof/>
              </w:rPr>
              <w:t xml:space="preserve">ružaoce platnih usluga da se blagovremeno i na adekvatan način pripreme za ravnopravno učešće na evropskom tržištu plaćanja. </w:t>
            </w:r>
          </w:p>
          <w:p w14:paraId="26A12F3D" w14:textId="77777777" w:rsidR="006D4CA1" w:rsidRPr="00D76A91" w:rsidRDefault="006D4CA1" w:rsidP="006D4CA1">
            <w:pPr>
              <w:rPr>
                <w:rFonts w:asciiTheme="majorHAnsi" w:hAnsiTheme="majorHAnsi" w:cstheme="minorHAnsi"/>
                <w:b w:val="0"/>
                <w:noProof/>
                <w:szCs w:val="24"/>
              </w:rPr>
            </w:pPr>
          </w:p>
          <w:p w14:paraId="542457AE" w14:textId="109E0CE2" w:rsidR="00877DAC" w:rsidRPr="00D76A91" w:rsidRDefault="00EF08CC" w:rsidP="006D4CA1">
            <w:pPr>
              <w:rPr>
                <w:rFonts w:asciiTheme="majorHAnsi" w:hAnsiTheme="majorHAnsi" w:cstheme="minorHAnsi"/>
                <w:bCs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Donošenje novog </w:t>
            </w:r>
            <w:r w:rsidR="007903F3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zakona </w:t>
            </w:r>
            <w:r w:rsidR="00877DAC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takođe nije bilo opcija, imajući u vidu </w:t>
            </w:r>
            <w:r w:rsidR="00523F46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više elemenata: potrebu hitne izrade ovog propisa, </w:t>
            </w:r>
            <w:r w:rsidR="00877DAC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broj potrebnih korekcija, jer u skladu sa tehničkim pravilima za izradu propisa nije bila potrebna i moguća izrada novog propisa. </w:t>
            </w:r>
          </w:p>
          <w:p w14:paraId="1A60E5CA" w14:textId="77777777" w:rsidR="006D4CA1" w:rsidRPr="00D76A91" w:rsidRDefault="006D4CA1" w:rsidP="006D4CA1">
            <w:pPr>
              <w:rPr>
                <w:rFonts w:asciiTheme="majorHAnsi" w:hAnsiTheme="majorHAnsi" w:cstheme="minorHAnsi"/>
                <w:b w:val="0"/>
                <w:noProof/>
                <w:szCs w:val="24"/>
              </w:rPr>
            </w:pPr>
          </w:p>
          <w:p w14:paraId="0DCAE4E6" w14:textId="5FD9C62D" w:rsidR="00BE70C5" w:rsidRPr="00D76A91" w:rsidRDefault="00877DAC" w:rsidP="006D4CA1">
            <w:pPr>
              <w:rPr>
                <w:rFonts w:asciiTheme="majorHAnsi" w:hAnsiTheme="majorHAnsi" w:cstheme="minorHAnsi"/>
                <w:bCs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lastRenderedPageBreak/>
              <w:t>Kako je u pitanju materija koja se može tretirati isključivo zakonom, adekvatan</w:t>
            </w:r>
            <w:r w:rsidR="007903F3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</w:t>
            </w:r>
            <w:r w:rsidR="00EF08CC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način za rješavanje problema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je bila izrada zakona o izmjenama i dopunama</w:t>
            </w:r>
            <w:r w:rsidR="00EF08CC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, 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kojom se na najefikasniji način postiže cilj. </w:t>
            </w:r>
          </w:p>
        </w:tc>
      </w:tr>
      <w:tr w:rsidR="00282840" w:rsidRPr="00D76A91" w14:paraId="4FCA6D4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4CF379E" w14:textId="77777777" w:rsidR="00282840" w:rsidRPr="00D76A91" w:rsidRDefault="00282840" w:rsidP="00282840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lastRenderedPageBreak/>
              <w:t>4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Analiza uticaja</w:t>
            </w:r>
          </w:p>
          <w:p w14:paraId="0C9567B7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N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a koga će i kako će najvjerovatnije uticati rješenja u propisu - 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n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abrojati pozitivne i negativne uticaje, direktne i indirektne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</w:p>
          <w:p w14:paraId="5AB89D9D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oje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troškove će primjena propisa </w:t>
            </w:r>
            <w:r w:rsidR="00067FC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izazvati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građanima i privredi (naročito malim i srednjim preduzećima)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</w:p>
          <w:p w14:paraId="77836A78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 li pozitivne posljedice donošenja propisa opravdava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ju troškove koje će on stvoriti.</w:t>
            </w:r>
          </w:p>
          <w:p w14:paraId="07988704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a li se propisom podržava stvaranje novih privrednih subjekata na tržištu i tržišna 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konkurencija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</w:p>
          <w:p w14:paraId="01805D07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U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ključiti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procjenu administrativnih opterećenja i biznis barijera.</w:t>
            </w:r>
          </w:p>
          <w:p w14:paraId="347D8E57" w14:textId="77777777" w:rsidR="00D27C82" w:rsidRPr="00D76A91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</w:p>
        </w:tc>
      </w:tr>
      <w:tr w:rsidR="00282840" w:rsidRPr="00D76A91" w14:paraId="04D8FA79" w14:textId="77777777" w:rsidTr="00950E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B6486A6" w14:textId="04DC659D" w:rsidR="00EC3953" w:rsidRPr="00D76A91" w:rsidRDefault="00972388" w:rsidP="00972388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Cs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Predlože</w:t>
            </w:r>
            <w:r w:rsidR="00EC3953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ne izmjene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i dopun</w:t>
            </w:r>
            <w:r w:rsidR="00EC3953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e imaće značajan uticaj kako na korisnike, tako i na pružaoce platnih usluga.</w:t>
            </w:r>
          </w:p>
          <w:p w14:paraId="39E0D981" w14:textId="0C284168" w:rsidR="00EC3953" w:rsidRPr="00D76A91" w:rsidRDefault="00EC3953" w:rsidP="00EC3953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 w:val="0"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Naime, uvođenje novog modela plaćanja, koji podrazumijeva izvršavanje instant kreditnih transfera imaće direktan i pozitivan uticaj  na korisnike platnih usluga. Dakle, na ovaj način korisnicima platnih usluga omogućava se raspolaganje sredstvima u realnom vremenu, 24 sata dnevno, sedam dana u nedjelji, te pruža visok stepen zaštite od prevara i pogrešnih uplata</w:t>
            </w:r>
            <w:r w:rsidR="0092247A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uvođenjem </w:t>
            </w:r>
            <w:r w:rsidR="0092247A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obavezn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e</w:t>
            </w:r>
            <w:r w:rsidR="0092247A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provjer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e</w:t>
            </w:r>
            <w:r w:rsidR="0092247A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primaoca plaćanja (Verification of Payee – VoP),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uz adekvatnu primjenu provjera u dijelu primjene restriktivnih mjera (sanction screening)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. Primjena ovog propisa neće donijeti dodatne troškove ni građanima, ni privredi.</w:t>
            </w:r>
          </w:p>
          <w:p w14:paraId="020503DB" w14:textId="761994E2" w:rsidR="00EC3953" w:rsidRDefault="00EC3953" w:rsidP="00EC3953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Cs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Sa druge strane, na pružaoce platnih usluga propis će uticati dvojako. Naime, stvaranje transparentnog i stabilnog regulatornog okvira omogućava pružaocima platnih usluga da efikasnije pruža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ju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platne usluge, 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modernizuju svoju ponudu i stimulativno se djeluje na razvoj novih proizvoda u vezi sa budućim funkcionalnostima ovih plaćanja. Platnim institucijama i institucijama elektronskog novca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obezbjeđuje </w:t>
            </w:r>
            <w:r w:rsidR="00EF2F6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se 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direktan pristup platnim sistemima. Međutim,</w:t>
            </w:r>
            <w:r w:rsidR="001B176C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pružaoci platnih usluga će se </w:t>
            </w:r>
            <w:r w:rsidR="001B176C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neminovno 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suočiti sa 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određenim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operativni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m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troškov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im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a za prilagođavanje IT infrastukture za priključenje platnom sistemu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i implementaciju p</w:t>
            </w:r>
            <w:r w:rsid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rovjere primaoca plaćanja</w:t>
            </w:r>
            <w:r w:rsidR="00EF2F61">
              <w:rPr>
                <w:rFonts w:asciiTheme="majorHAnsi" w:hAnsiTheme="majorHAnsi" w:cstheme="minorHAnsi"/>
                <w:b w:val="0"/>
                <w:noProof/>
                <w:szCs w:val="24"/>
              </w:rPr>
              <w:t>, koji troškovi su opravdani s obzirom na to da ova investicija predstavlja n</w:t>
            </w:r>
            <w:r w:rsidR="00EF2F61" w:rsidRPr="00EF2F61">
              <w:rPr>
                <w:rFonts w:asciiTheme="majorHAnsi" w:hAnsiTheme="majorHAnsi" w:cstheme="minorHAnsi"/>
                <w:b w:val="0"/>
                <w:noProof/>
                <w:szCs w:val="24"/>
              </w:rPr>
              <w:t>užan korak ka punoj interoperabilnosti sa evropskim platnim prostorom.</w:t>
            </w:r>
          </w:p>
          <w:p w14:paraId="6C5E9DCF" w14:textId="3C03F3CE" w:rsidR="00716A9E" w:rsidRPr="0092247A" w:rsidRDefault="0092247A" w:rsidP="00EC3953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 w:val="0"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Norme predložene ovim zakonom ne uvode nove biznis barijere, već doprinose stvaranju </w:t>
            </w:r>
            <w:r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stimulativnog, 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ravnopravnog i predvidivog poslovnog okruženja, koji je ključni faktor za dalje unapređenje tržišta i privlačenje novih investicija u sektor platnih usluga. </w:t>
            </w:r>
            <w:r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Naime, očekivanje je da će ovaj </w:t>
            </w:r>
            <w:r w:rsidRP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propis podrža</w:t>
            </w:r>
            <w:r>
              <w:rPr>
                <w:rFonts w:asciiTheme="majorHAnsi" w:hAnsiTheme="majorHAnsi" w:cstheme="minorHAnsi"/>
                <w:b w:val="0"/>
                <w:noProof/>
                <w:szCs w:val="24"/>
              </w:rPr>
              <w:t>ti</w:t>
            </w:r>
            <w:r w:rsidRPr="0092247A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b w:val="0"/>
                <w:noProof/>
                <w:szCs w:val="24"/>
              </w:rPr>
              <w:t>dolazak novih učesnika na tržišt</w:t>
            </w:r>
            <w:r w:rsidR="004C3B77">
              <w:rPr>
                <w:rFonts w:asciiTheme="majorHAnsi" w:hAnsiTheme="majorHAnsi" w:cstheme="minorHAnsi"/>
                <w:b w:val="0"/>
                <w:noProof/>
                <w:szCs w:val="24"/>
              </w:rPr>
              <w:t>e</w:t>
            </w:r>
            <w:r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plaćanja u Crnoj Gori, a da će se među postojećim učesnicima stimulisati </w:t>
            </w:r>
            <w:r w:rsidRPr="0092247A">
              <w:rPr>
                <w:rFonts w:asciiTheme="majorHAnsi" w:hAnsiTheme="majorHAnsi" w:cstheme="minorHAnsi"/>
                <w:b w:val="0"/>
                <w:noProof/>
                <w:szCs w:val="24"/>
              </w:rPr>
              <w:t>tržišna konkurencija</w:t>
            </w:r>
            <w:r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, imajući u vidu buduće funkcionalnosti sistema za instant plaćanja (npr. plaćanje preko QR koda, </w:t>
            </w:r>
            <w:r w:rsidR="004C3B77">
              <w:rPr>
                <w:rFonts w:asciiTheme="majorHAnsi" w:hAnsiTheme="majorHAnsi" w:cstheme="minorHAnsi"/>
                <w:b w:val="0"/>
                <w:noProof/>
                <w:szCs w:val="24"/>
              </w:rPr>
              <w:t>request-to-pay opcija, proxy registar i sl.</w:t>
            </w:r>
            <w:r>
              <w:rPr>
                <w:rFonts w:asciiTheme="majorHAnsi" w:hAnsiTheme="majorHAnsi" w:cstheme="minorHAnsi"/>
                <w:b w:val="0"/>
                <w:noProof/>
                <w:szCs w:val="24"/>
              </w:rPr>
              <w:t>).</w:t>
            </w:r>
          </w:p>
        </w:tc>
      </w:tr>
      <w:tr w:rsidR="00702CFF" w:rsidRPr="00D76A91" w14:paraId="5EAC898A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30DB992" w14:textId="74F4B34B" w:rsidR="00673F68" w:rsidRPr="00D76A91" w:rsidRDefault="00673F68" w:rsidP="00673F6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5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  <w:r w:rsidR="00702CF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Procjena fiskalnog uticaja</w:t>
            </w:r>
          </w:p>
          <w:p w14:paraId="1094BFB4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lastRenderedPageBreak/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 li je potrebno obezbjeđenje finansijskih sredstava</w:t>
            </w:r>
            <w:r w:rsidR="00972845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iz budžeta Crne Gore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za impleme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ntaciju propisa i u kom iznosu?</w:t>
            </w:r>
          </w:p>
          <w:p w14:paraId="358B0F91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a li je obezbjeđenje finansijskih sredstava jednokratno, ili tokom određenog vremenskog perioda? </w:t>
            </w:r>
            <w:r w:rsidR="00673F68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</w:p>
          <w:p w14:paraId="32E109D7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 li implementacijom propisa proizilaze međunarodne finansijske obaveze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? Obrazložiti.</w:t>
            </w:r>
          </w:p>
          <w:p w14:paraId="7E43409D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 li su neophodna finansijska sredstva obezbijeđena u budžetu za tekuću fiskalnu godinu, odnosno da li su planirana u bud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žetu za narednu fiskanu godinu?</w:t>
            </w:r>
          </w:p>
          <w:p w14:paraId="7512BA1F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 li je usvajanjem propisa predviđeno donošenje podzakonskih akata iz kojih će proisteći finansijske obaveze?</w:t>
            </w:r>
          </w:p>
          <w:p w14:paraId="6A7B3776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 li će se implementacijom propisa ostvariti prihod za budžet Crne Gore?</w:t>
            </w:r>
          </w:p>
          <w:p w14:paraId="140BA1FB" w14:textId="77777777" w:rsidR="00A07773" w:rsidRPr="00D76A91" w:rsidRDefault="00745B74" w:rsidP="00A0777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brazložiti metodologiju koja je korišćenja prilikom obračun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 finansijskih izdataka/prihoda.</w:t>
            </w:r>
          </w:p>
          <w:p w14:paraId="1D51D42E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 li su postojali problemi u preciznom obračunu finansijskih izdataka/prihoda? Obrazložiti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</w:p>
          <w:p w14:paraId="6745B2D0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a li su postojale sugestije Ministarstva finansija </w:t>
            </w:r>
            <w:r w:rsidR="00A265F9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na nac</w:t>
            </w:r>
            <w:r w:rsidR="00736E8D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r</w:t>
            </w:r>
            <w:r w:rsidR="00A265F9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t/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predlog propisa?</w:t>
            </w:r>
          </w:p>
          <w:p w14:paraId="77E9C80D" w14:textId="77777777" w:rsidR="00A07773" w:rsidRPr="00D76A91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D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a li su dobijene primjedbe 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uključene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u tekst propisa? Obrazložiti.</w:t>
            </w:r>
          </w:p>
        </w:tc>
      </w:tr>
      <w:tr w:rsidR="00702CFF" w:rsidRPr="00D76A91" w14:paraId="3F47D88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C2565DA" w14:textId="77777777" w:rsidR="00745B74" w:rsidRPr="00D76A91" w:rsidRDefault="00E811AB" w:rsidP="00E54D7F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lastRenderedPageBreak/>
              <w:t xml:space="preserve">Zа </w:t>
            </w:r>
            <w:r w:rsidR="00C80735"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implementaciju ovog propisa</w:t>
            </w:r>
            <w:r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 xml:space="preserve"> nije potrebno obezbijediti dodаtnа finаnsijs</w:t>
            </w:r>
            <w:r w:rsidR="00C80735"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kа sredstvа u budžetu Crne Gore</w:t>
            </w:r>
            <w:r w:rsidR="00745B74"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.</w:t>
            </w:r>
          </w:p>
          <w:p w14:paraId="61C11331" w14:textId="77777777" w:rsidR="00745B74" w:rsidRPr="00D76A91" w:rsidRDefault="00E86CD6" w:rsidP="00E54D7F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Takođe, i</w:t>
            </w:r>
            <w:r w:rsidR="00745B74"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mplementacijom ovog propisa ne proizilaze međunarodne finansijske obaveze.</w:t>
            </w:r>
          </w:p>
          <w:p w14:paraId="470A2514" w14:textId="77777777" w:rsidR="00745B74" w:rsidRPr="00D76A91" w:rsidRDefault="00745B74" w:rsidP="00E54D7F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 xml:space="preserve">Usvajanjem propisa je predviđeno donošenje podzakonskih akata iz kojih </w:t>
            </w:r>
            <w:r w:rsidR="00E86CD6"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ne</w:t>
            </w:r>
            <w:r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će proisteći finansijske obaveze.</w:t>
            </w:r>
          </w:p>
          <w:p w14:paraId="6B3D47C8" w14:textId="77777777" w:rsidR="00702CFF" w:rsidRPr="00D76A91" w:rsidRDefault="00293B9E" w:rsidP="00E54D7F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Implementacijom propisa ne</w:t>
            </w:r>
            <w:r w:rsidR="00071756"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će se direktno ostvariti prihod</w:t>
            </w:r>
            <w:r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 xml:space="preserve"> za budžet Crne Gore</w:t>
            </w:r>
            <w:r w:rsidR="00CD2A63"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.</w:t>
            </w:r>
          </w:p>
          <w:p w14:paraId="28F7A37E" w14:textId="557C4767" w:rsidR="00745B74" w:rsidRPr="00D76A91" w:rsidRDefault="00AA0158" w:rsidP="00E54D7F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U dosadašnjem procesu nije bilo sugestija Ministarstva finansija</w:t>
            </w:r>
            <w:r w:rsidR="00EA0B57" w:rsidRPr="00D76A91">
              <w:rPr>
                <w:rFonts w:asciiTheme="majorHAnsi" w:hAnsiTheme="majorHAnsi" w:cstheme="minorHAnsi"/>
                <w:b w:val="0"/>
                <w:iCs/>
                <w:noProof/>
                <w:szCs w:val="24"/>
              </w:rPr>
              <w:t>.</w:t>
            </w:r>
          </w:p>
        </w:tc>
      </w:tr>
      <w:tr w:rsidR="00282840" w:rsidRPr="00D76A91" w14:paraId="21D5E8EA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24AEFB6" w14:textId="77777777" w:rsidR="00282840" w:rsidRPr="00D76A91" w:rsidRDefault="00673F68" w:rsidP="00282840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6</w:t>
            </w:r>
            <w:r w:rsidR="001D0BF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. </w:t>
            </w:r>
            <w:r w:rsidR="00282840" w:rsidRPr="00D76A91"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  <w:t>K</w:t>
            </w:r>
            <w:r w:rsidR="0028284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onsultacije zainteresovanih strana</w:t>
            </w:r>
          </w:p>
          <w:p w14:paraId="4FDB0131" w14:textId="77777777" w:rsidR="00A07773" w:rsidRPr="00D76A91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Naznačiti da li je korišćena eksterna 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ekspertska podrška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i ako da, kako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</w:p>
          <w:p w14:paraId="1FC99A1B" w14:textId="77777777" w:rsidR="00A07773" w:rsidRPr="00D76A91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N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aznačiti koje su grupe zainteresovanih strana konsultovane, u kojoj fazi RIA procesa i kako (javne ili ciljane konsultacije)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</w:p>
          <w:p w14:paraId="1429C777" w14:textId="77777777" w:rsidR="00A07773" w:rsidRPr="00D76A91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N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aznačiti glavne rezultate</w:t>
            </w:r>
            <w:r w:rsidR="00D4308A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konsultacija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, i </w:t>
            </w:r>
            <w:r w:rsidR="00D4308A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koji su predlozi i sugestije zainteresovanih strana prihv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aćeni odnosno nijesu prihvaćeni.</w:t>
            </w:r>
            <w:r w:rsidR="00D4308A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.</w:t>
            </w:r>
          </w:p>
        </w:tc>
      </w:tr>
      <w:tr w:rsidR="00282840" w:rsidRPr="00D76A91" w14:paraId="2C4B6F85" w14:textId="77777777" w:rsidTr="00891C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28E6760C" w14:textId="03C3CC02" w:rsidR="00502F1C" w:rsidRPr="00D76A91" w:rsidRDefault="0098114E" w:rsidP="00BF4F22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 w:val="0"/>
                <w:noProof/>
                <w:szCs w:val="24"/>
              </w:rPr>
            </w:pP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U </w:t>
            </w:r>
            <w:r w:rsidR="00502F1C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toku procesa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izrade ovog propisa</w:t>
            </w:r>
            <w:r w:rsidR="00502F1C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,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</w:t>
            </w:r>
            <w:r w:rsidR="00F77E00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korišćena je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 eksterna podrška eksperata Hrvatske narodne banke</w:t>
            </w:r>
            <w:r w:rsidR="00502F1C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, </w:t>
            </w:r>
            <w:r w:rsidR="00D3684A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a </w:t>
            </w:r>
            <w:r w:rsidR="00502F1C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u sklopu 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 xml:space="preserve">Twinning </w:t>
            </w:r>
            <w:r w:rsidR="00502F1C"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projekta</w:t>
            </w:r>
            <w:r w:rsidRPr="00D76A91">
              <w:rPr>
                <w:rFonts w:asciiTheme="majorHAnsi" w:hAnsiTheme="majorHAnsi" w:cstheme="minorHAnsi"/>
                <w:b w:val="0"/>
                <w:noProof/>
                <w:szCs w:val="24"/>
              </w:rPr>
              <w:t>, koji je počeo u novembru 2025. godine.</w:t>
            </w:r>
          </w:p>
        </w:tc>
      </w:tr>
      <w:tr w:rsidR="00282840" w:rsidRPr="00D76A91" w14:paraId="7ABF168A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5020DE4" w14:textId="77777777" w:rsidR="00282840" w:rsidRPr="00D76A91" w:rsidRDefault="00673F68" w:rsidP="00282840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7</w:t>
            </w:r>
            <w:r w:rsidR="00282840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: Monitoring i evaluacija</w:t>
            </w:r>
          </w:p>
          <w:p w14:paraId="1ADBD619" w14:textId="77777777" w:rsidR="0000426F" w:rsidRPr="00D76A91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 xml:space="preserve">oje su potencijalne prepreke za implementaciju propisa? </w:t>
            </w:r>
          </w:p>
          <w:p w14:paraId="7EB130A1" w14:textId="77777777" w:rsidR="00A07773" w:rsidRPr="00D76A91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oje će mjere biti preduzete tokom primjene propisa da bi se ispunili ciljevi</w:t>
            </w: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?</w:t>
            </w:r>
          </w:p>
          <w:p w14:paraId="6EA38F7D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oji su glavni indikatori prema kojima će se mjeriti ispunjenje ciljeva?</w:t>
            </w:r>
          </w:p>
          <w:p w14:paraId="13C4AA1F" w14:textId="77777777" w:rsidR="00A07773" w:rsidRPr="00D76A91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ajorHAnsi" w:hAnsiTheme="majorHAnsi" w:cstheme="minorHAnsi"/>
                <w:b w:val="0"/>
                <w:noProof/>
                <w:color w:val="365F91" w:themeColor="accent1" w:themeShade="BF"/>
                <w:szCs w:val="24"/>
              </w:rPr>
            </w:pPr>
            <w:r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K</w:t>
            </w:r>
            <w:r w:rsidR="00A07773" w:rsidRPr="00D76A91">
              <w:rPr>
                <w:rFonts w:asciiTheme="majorHAnsi" w:hAnsiTheme="majorHAnsi" w:cstheme="minorHAnsi"/>
                <w:noProof/>
                <w:color w:val="365F91" w:themeColor="accent1" w:themeShade="BF"/>
                <w:szCs w:val="24"/>
              </w:rPr>
              <w:t>o će biti zadužen za sprovođenje monitoringa i evaluacije primjene propisa?</w:t>
            </w:r>
          </w:p>
        </w:tc>
      </w:tr>
      <w:tr w:rsidR="00282840" w:rsidRPr="00D76A91" w14:paraId="2F5648EB" w14:textId="77777777" w:rsidTr="00891C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24C7CC4F" w14:textId="662C89A4" w:rsidR="00007CBB" w:rsidRPr="00D76A91" w:rsidRDefault="00EB6C74" w:rsidP="00007CBB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>Kako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 su prelaznim</w:t>
            </w:r>
            <w:r w:rsidR="00D3684A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 i završn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>im</w:t>
            </w:r>
            <w:r w:rsidR="00D3684A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 odredb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>ama</w:t>
            </w:r>
            <w:r w:rsidR="00D3684A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>precizno</w:t>
            </w:r>
            <w:r w:rsidR="00D3684A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 definisan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>i rokovi i</w:t>
            </w:r>
            <w:r w:rsidR="00D3684A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 obaveze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D3684A" w:rsidRPr="00D76A91">
              <w:rPr>
                <w:rFonts w:ascii="Cambria" w:hAnsi="Cambria" w:cs="Arial"/>
                <w:b w:val="0"/>
                <w:noProof/>
                <w:szCs w:val="24"/>
              </w:rPr>
              <w:t>za usklađivanje poslovanja pružalaca platnih usluga</w:t>
            </w:r>
            <w:r w:rsidR="001144BD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to </w:t>
            </w:r>
            <w:r w:rsidR="001144BD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nijesu 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>identifikovane</w:t>
            </w:r>
            <w:r w:rsidR="00D3684A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 potencijalne prepreke za implementaciju propisa</w:t>
            </w:r>
            <w:r w:rsidR="001144BD" w:rsidRPr="00D76A91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1FF5AA73" w14:textId="6A997994" w:rsidR="00007CBB" w:rsidRPr="00D76A91" w:rsidRDefault="00EB6C74" w:rsidP="00007CBB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Radi ostvarivanja postavljenih </w:t>
            </w:r>
            <w:r w:rsidR="00007CBB" w:rsidRPr="00D76A91">
              <w:rPr>
                <w:rFonts w:ascii="Cambria" w:hAnsi="Cambria" w:cs="Arial"/>
                <w:b w:val="0"/>
                <w:noProof/>
                <w:szCs w:val="24"/>
              </w:rPr>
              <w:t>cilj</w:t>
            </w: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>eva</w:t>
            </w:r>
            <w:r w:rsidR="00007CBB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>preduzeće se</w:t>
            </w:r>
            <w:r w:rsidR="00007CBB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 niz mjera i aktivnosti, a posebno:</w:t>
            </w:r>
          </w:p>
          <w:p w14:paraId="2E98B6A6" w14:textId="73BC40F5" w:rsidR="00007CBB" w:rsidRPr="00D76A91" w:rsidRDefault="00EB6C74" w:rsidP="00007C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>d</w:t>
            </w:r>
            <w:r w:rsidR="00007CBB" w:rsidRPr="00D76A91">
              <w:rPr>
                <w:rFonts w:ascii="Cambria" w:hAnsi="Cambria" w:cs="Arial"/>
                <w:b w:val="0"/>
                <w:noProof/>
                <w:szCs w:val="24"/>
              </w:rPr>
              <w:t>odatne regulatorne aktivnosti, radi donošenja najmanje jednog podzakonskog akta za implementaciju zakona,</w:t>
            </w:r>
          </w:p>
          <w:p w14:paraId="2EE17E0A" w14:textId="3159A2BC" w:rsidR="00007CBB" w:rsidRPr="00D76A91" w:rsidRDefault="00EB6C74" w:rsidP="00007C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>a</w:t>
            </w:r>
            <w:r w:rsidR="00007CBB" w:rsidRPr="00D76A91">
              <w:rPr>
                <w:rFonts w:ascii="Cambria" w:hAnsi="Cambria" w:cs="Arial"/>
                <w:b w:val="0"/>
                <w:noProof/>
                <w:szCs w:val="24"/>
              </w:rPr>
              <w:t>ktivnosti vezano za provjeru usklađenosti postojećih pružalaca platnih usluga</w:t>
            </w: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08E140C7" w14:textId="7447E96F" w:rsidR="00007CBB" w:rsidRPr="00D76A91" w:rsidRDefault="00007CBB" w:rsidP="00007CBB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Cs/>
                <w:noProof/>
                <w:szCs w:val="24"/>
              </w:rPr>
            </w:pP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>Glavni indikatori za mjerenje ispunjenja ciljeva biće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: </w:t>
            </w:r>
            <w:r w:rsidR="0092247A" w:rsidRPr="00D76A91">
              <w:rPr>
                <w:rFonts w:ascii="Cambria" w:hAnsi="Cambria" w:cs="Arial"/>
                <w:b w:val="0"/>
                <w:noProof/>
                <w:szCs w:val="24"/>
              </w:rPr>
              <w:t>broj kreditnih institucija uključenih u domaći instant platni sistem, podaci o dostupnosti platnog sistema, čije je operater CBCG</w:t>
            </w:r>
            <w:r w:rsidR="0092247A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 w:rsidR="001144BD" w:rsidRPr="00D76A91">
              <w:rPr>
                <w:rFonts w:ascii="Cambria" w:hAnsi="Cambria" w:cs="Arial"/>
                <w:b w:val="0"/>
                <w:noProof/>
                <w:szCs w:val="24"/>
              </w:rPr>
              <w:t>b</w:t>
            </w:r>
            <w:r w:rsidR="00D3684A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roj 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pristiglih </w:t>
            </w:r>
            <w:r w:rsidR="00D3684A" w:rsidRPr="00D76A91">
              <w:rPr>
                <w:rFonts w:ascii="Cambria" w:hAnsi="Cambria" w:cs="Arial"/>
                <w:b w:val="0"/>
                <w:noProof/>
                <w:szCs w:val="24"/>
              </w:rPr>
              <w:t>prigovora korisnika platnih usluga</w:t>
            </w:r>
            <w:r w:rsidR="001144BD" w:rsidRPr="00D76A91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 w:rsidR="003F5747" w:rsidRPr="00D76A91">
              <w:rPr>
                <w:rFonts w:ascii="Cambria" w:hAnsi="Cambria" w:cs="Arial"/>
                <w:b w:val="0"/>
                <w:noProof/>
                <w:szCs w:val="24"/>
              </w:rPr>
              <w:t>b</w:t>
            </w: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>roj platnih institucija koje su ostvarile direktan pristup platnom sistemu</w:t>
            </w:r>
            <w:r w:rsidR="0092247A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2DBC6408" w14:textId="582ABE55" w:rsidR="00FB6BD5" w:rsidRPr="00D76A91" w:rsidRDefault="00007CBB" w:rsidP="00007CBB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 w:val="0"/>
                <w:strike/>
                <w:noProof/>
                <w:color w:val="FF0000"/>
                <w:szCs w:val="24"/>
              </w:rPr>
            </w:pPr>
            <w:r w:rsidRPr="00D76A91">
              <w:rPr>
                <w:rFonts w:ascii="Cambria" w:hAnsi="Cambria" w:cs="Arial"/>
                <w:b w:val="0"/>
                <w:noProof/>
                <w:szCs w:val="24"/>
              </w:rPr>
              <w:t>Za monitoring i evaluaciju primjene propisa zadužena je CBCG.</w:t>
            </w:r>
          </w:p>
        </w:tc>
      </w:tr>
    </w:tbl>
    <w:p w14:paraId="1C383A30" w14:textId="77777777" w:rsidR="004A4396" w:rsidRPr="00D76A91" w:rsidRDefault="004A4396">
      <w:pPr>
        <w:rPr>
          <w:rFonts w:asciiTheme="majorHAnsi" w:hAnsiTheme="majorHAnsi" w:cstheme="minorHAnsi"/>
          <w:noProof/>
          <w:color w:val="365F91" w:themeColor="accent1" w:themeShade="BF"/>
          <w:szCs w:val="24"/>
        </w:rPr>
      </w:pPr>
    </w:p>
    <w:p w14:paraId="341CFC9C" w14:textId="77777777" w:rsidR="00972845" w:rsidRPr="00D76A91" w:rsidRDefault="00BD4282">
      <w:pPr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</w:pPr>
      <w:r w:rsidRPr="00D76A91"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  <w:t>Datum i mjesto</w:t>
      </w:r>
      <w:r w:rsidR="00972845" w:rsidRPr="00D76A91"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  <w:tab/>
      </w:r>
      <w:r w:rsidR="00972845" w:rsidRPr="00D76A91"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  <w:tab/>
      </w:r>
      <w:r w:rsidR="00972845" w:rsidRPr="00D76A91"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  <w:tab/>
      </w:r>
      <w:r w:rsidR="00972845" w:rsidRPr="00D76A91"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  <w:tab/>
      </w:r>
      <w:r w:rsidR="00972845" w:rsidRPr="00D76A91"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  <w:tab/>
      </w:r>
      <w:r w:rsidR="00972845" w:rsidRPr="00D76A91">
        <w:rPr>
          <w:rFonts w:asciiTheme="majorHAnsi" w:hAnsiTheme="majorHAnsi" w:cstheme="minorHAnsi"/>
          <w:b/>
          <w:noProof/>
          <w:color w:val="365F91" w:themeColor="accent1" w:themeShade="BF"/>
          <w:szCs w:val="24"/>
        </w:rPr>
        <w:tab/>
        <w:t xml:space="preserve">Starješina </w:t>
      </w:r>
    </w:p>
    <w:p w14:paraId="5713B6DA" w14:textId="77777777" w:rsidR="00E54D7F" w:rsidRPr="00D76A91" w:rsidRDefault="00E54D7F">
      <w:pPr>
        <w:rPr>
          <w:rFonts w:asciiTheme="majorHAnsi" w:hAnsiTheme="majorHAnsi" w:cstheme="minorHAnsi"/>
          <w:noProof/>
          <w:color w:val="365F91" w:themeColor="accent1" w:themeShade="BF"/>
          <w:szCs w:val="24"/>
        </w:rPr>
      </w:pPr>
    </w:p>
    <w:p w14:paraId="2A5A9C4B" w14:textId="074E030B" w:rsidR="00972845" w:rsidRPr="00E81151" w:rsidRDefault="00686B0B">
      <w:pPr>
        <w:rPr>
          <w:rFonts w:asciiTheme="majorHAnsi" w:hAnsiTheme="majorHAnsi" w:cstheme="minorHAnsi"/>
          <w:noProof/>
          <w:color w:val="365F91" w:themeColor="accent1" w:themeShade="BF"/>
          <w:szCs w:val="24"/>
        </w:rPr>
      </w:pPr>
      <w:r w:rsidRPr="00D76A91">
        <w:rPr>
          <w:rFonts w:asciiTheme="majorHAnsi" w:hAnsiTheme="majorHAnsi" w:cstheme="minorHAnsi"/>
          <w:noProof/>
          <w:color w:val="365F91" w:themeColor="accent1" w:themeShade="BF"/>
          <w:szCs w:val="24"/>
        </w:rPr>
        <w:t>U Podgorici, __.</w:t>
      </w:r>
      <w:r w:rsidR="000124FD" w:rsidRPr="00D76A91">
        <w:rPr>
          <w:rFonts w:asciiTheme="majorHAnsi" w:hAnsiTheme="majorHAnsi" w:cstheme="minorHAnsi"/>
          <w:noProof/>
          <w:color w:val="365F91" w:themeColor="accent1" w:themeShade="BF"/>
          <w:szCs w:val="24"/>
        </w:rPr>
        <w:t>____</w:t>
      </w:r>
      <w:r w:rsidRPr="00D76A91">
        <w:rPr>
          <w:rFonts w:asciiTheme="majorHAnsi" w:hAnsiTheme="majorHAnsi" w:cstheme="minorHAnsi"/>
          <w:noProof/>
          <w:color w:val="365F91" w:themeColor="accent1" w:themeShade="BF"/>
          <w:szCs w:val="24"/>
        </w:rPr>
        <w:t xml:space="preserve">. </w:t>
      </w:r>
      <w:r w:rsidR="000124FD" w:rsidRPr="00D76A91">
        <w:rPr>
          <w:rFonts w:asciiTheme="majorHAnsi" w:hAnsiTheme="majorHAnsi" w:cstheme="minorHAnsi"/>
          <w:noProof/>
          <w:color w:val="365F91" w:themeColor="accent1" w:themeShade="BF"/>
          <w:szCs w:val="24"/>
        </w:rPr>
        <w:t>2026</w:t>
      </w:r>
      <w:r w:rsidR="00E54D7F" w:rsidRPr="00D76A91">
        <w:rPr>
          <w:rFonts w:asciiTheme="majorHAnsi" w:hAnsiTheme="majorHAnsi" w:cstheme="minorHAnsi"/>
          <w:noProof/>
          <w:color w:val="365F91" w:themeColor="accent1" w:themeShade="BF"/>
          <w:szCs w:val="24"/>
        </w:rPr>
        <w:t>. godine</w:t>
      </w:r>
    </w:p>
    <w:sectPr w:rsidR="00972845" w:rsidRPr="00E81151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9800" w14:textId="77777777" w:rsidR="009B5B1E" w:rsidRDefault="009B5B1E" w:rsidP="00BA7396">
      <w:r>
        <w:separator/>
      </w:r>
    </w:p>
  </w:endnote>
  <w:endnote w:type="continuationSeparator" w:id="0">
    <w:p w14:paraId="64F2FDF2" w14:textId="77777777" w:rsidR="009B5B1E" w:rsidRDefault="009B5B1E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F159" w14:textId="77777777" w:rsidR="009B5B1E" w:rsidRDefault="009B5B1E" w:rsidP="00BA7396">
      <w:r>
        <w:separator/>
      </w:r>
    </w:p>
  </w:footnote>
  <w:footnote w:type="continuationSeparator" w:id="0">
    <w:p w14:paraId="4BE98BEE" w14:textId="77777777" w:rsidR="009B5B1E" w:rsidRDefault="009B5B1E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1701"/>
    <w:multiLevelType w:val="hybridMultilevel"/>
    <w:tmpl w:val="E1D2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6A73"/>
    <w:multiLevelType w:val="hybridMultilevel"/>
    <w:tmpl w:val="03D0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9187C"/>
    <w:multiLevelType w:val="hybridMultilevel"/>
    <w:tmpl w:val="1BAE453A"/>
    <w:lvl w:ilvl="0" w:tplc="464C5CBC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271D8"/>
    <w:multiLevelType w:val="hybridMultilevel"/>
    <w:tmpl w:val="7A08E12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2584"/>
    <w:multiLevelType w:val="hybridMultilevel"/>
    <w:tmpl w:val="D5CA206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B024E"/>
    <w:multiLevelType w:val="hybridMultilevel"/>
    <w:tmpl w:val="39A0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91EE8"/>
    <w:multiLevelType w:val="hybridMultilevel"/>
    <w:tmpl w:val="03EA8630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439"/>
    <w:multiLevelType w:val="hybridMultilevel"/>
    <w:tmpl w:val="EA8E0EB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5D96"/>
    <w:multiLevelType w:val="hybridMultilevel"/>
    <w:tmpl w:val="35CAEA58"/>
    <w:lvl w:ilvl="0" w:tplc="75908C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60ABD"/>
    <w:multiLevelType w:val="hybridMultilevel"/>
    <w:tmpl w:val="A488A210"/>
    <w:lvl w:ilvl="0" w:tplc="E9A2740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E6EC0"/>
    <w:multiLevelType w:val="hybridMultilevel"/>
    <w:tmpl w:val="C46AA454"/>
    <w:lvl w:ilvl="0" w:tplc="3F5E4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71C7D"/>
    <w:multiLevelType w:val="hybridMultilevel"/>
    <w:tmpl w:val="27C8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35F6D"/>
    <w:multiLevelType w:val="hybridMultilevel"/>
    <w:tmpl w:val="4328B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21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23"/>
  </w:num>
  <w:num w:numId="10">
    <w:abstractNumId w:val="16"/>
  </w:num>
  <w:num w:numId="11">
    <w:abstractNumId w:val="4"/>
  </w:num>
  <w:num w:numId="12">
    <w:abstractNumId w:val="6"/>
  </w:num>
  <w:num w:numId="13">
    <w:abstractNumId w:val="15"/>
  </w:num>
  <w:num w:numId="14">
    <w:abstractNumId w:val="14"/>
  </w:num>
  <w:num w:numId="15">
    <w:abstractNumId w:val="20"/>
  </w:num>
  <w:num w:numId="16">
    <w:abstractNumId w:val="5"/>
  </w:num>
  <w:num w:numId="17">
    <w:abstractNumId w:val="22"/>
  </w:num>
  <w:num w:numId="18">
    <w:abstractNumId w:val="19"/>
  </w:num>
  <w:num w:numId="19">
    <w:abstractNumId w:val="12"/>
  </w:num>
  <w:num w:numId="20">
    <w:abstractNumId w:val="13"/>
  </w:num>
  <w:num w:numId="21">
    <w:abstractNumId w:val="17"/>
  </w:num>
  <w:num w:numId="22">
    <w:abstractNumId w:val="10"/>
  </w:num>
  <w:num w:numId="23">
    <w:abstractNumId w:val="18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1714"/>
    <w:rsid w:val="0000426F"/>
    <w:rsid w:val="00005C24"/>
    <w:rsid w:val="00007CBB"/>
    <w:rsid w:val="00011508"/>
    <w:rsid w:val="000124FD"/>
    <w:rsid w:val="00015F71"/>
    <w:rsid w:val="0005064C"/>
    <w:rsid w:val="000511F0"/>
    <w:rsid w:val="000608F4"/>
    <w:rsid w:val="0006566A"/>
    <w:rsid w:val="00067FCF"/>
    <w:rsid w:val="000716AC"/>
    <w:rsid w:val="00071756"/>
    <w:rsid w:val="000741F9"/>
    <w:rsid w:val="00075306"/>
    <w:rsid w:val="00080C23"/>
    <w:rsid w:val="00086600"/>
    <w:rsid w:val="00092BE3"/>
    <w:rsid w:val="000A7DFB"/>
    <w:rsid w:val="000B673A"/>
    <w:rsid w:val="000B7EB0"/>
    <w:rsid w:val="000C1014"/>
    <w:rsid w:val="000C23C6"/>
    <w:rsid w:val="000D0A61"/>
    <w:rsid w:val="000E0473"/>
    <w:rsid w:val="000E3B14"/>
    <w:rsid w:val="000E3CD6"/>
    <w:rsid w:val="000E5392"/>
    <w:rsid w:val="000E5CDD"/>
    <w:rsid w:val="000F04EB"/>
    <w:rsid w:val="00104AC5"/>
    <w:rsid w:val="00107645"/>
    <w:rsid w:val="00112230"/>
    <w:rsid w:val="001144BD"/>
    <w:rsid w:val="00125F67"/>
    <w:rsid w:val="001308AF"/>
    <w:rsid w:val="00152349"/>
    <w:rsid w:val="001562C2"/>
    <w:rsid w:val="00157CED"/>
    <w:rsid w:val="00162BB1"/>
    <w:rsid w:val="00187C39"/>
    <w:rsid w:val="001A107D"/>
    <w:rsid w:val="001A5C59"/>
    <w:rsid w:val="001B176C"/>
    <w:rsid w:val="001C29BF"/>
    <w:rsid w:val="001C7348"/>
    <w:rsid w:val="001D0BF0"/>
    <w:rsid w:val="001D660B"/>
    <w:rsid w:val="001D7B16"/>
    <w:rsid w:val="001E1794"/>
    <w:rsid w:val="001E5BE5"/>
    <w:rsid w:val="001E684D"/>
    <w:rsid w:val="002009F2"/>
    <w:rsid w:val="00202070"/>
    <w:rsid w:val="00213F9B"/>
    <w:rsid w:val="00222409"/>
    <w:rsid w:val="00222D11"/>
    <w:rsid w:val="002238EB"/>
    <w:rsid w:val="002245FC"/>
    <w:rsid w:val="0022604C"/>
    <w:rsid w:val="002325C2"/>
    <w:rsid w:val="00261039"/>
    <w:rsid w:val="00282840"/>
    <w:rsid w:val="00284327"/>
    <w:rsid w:val="00284A91"/>
    <w:rsid w:val="00293B9E"/>
    <w:rsid w:val="00294662"/>
    <w:rsid w:val="00295023"/>
    <w:rsid w:val="002A6058"/>
    <w:rsid w:val="002B088A"/>
    <w:rsid w:val="002B5C62"/>
    <w:rsid w:val="002B6DC1"/>
    <w:rsid w:val="002D0AAD"/>
    <w:rsid w:val="002D762E"/>
    <w:rsid w:val="002E1311"/>
    <w:rsid w:val="002E223D"/>
    <w:rsid w:val="002E7569"/>
    <w:rsid w:val="002F07A8"/>
    <w:rsid w:val="002F188C"/>
    <w:rsid w:val="00303470"/>
    <w:rsid w:val="00305506"/>
    <w:rsid w:val="00310915"/>
    <w:rsid w:val="00311395"/>
    <w:rsid w:val="0031143F"/>
    <w:rsid w:val="00312074"/>
    <w:rsid w:val="00317E52"/>
    <w:rsid w:val="003230E5"/>
    <w:rsid w:val="00332343"/>
    <w:rsid w:val="00342321"/>
    <w:rsid w:val="003452A3"/>
    <w:rsid w:val="00355FAD"/>
    <w:rsid w:val="00357476"/>
    <w:rsid w:val="00360A30"/>
    <w:rsid w:val="003619B3"/>
    <w:rsid w:val="00373A49"/>
    <w:rsid w:val="00382399"/>
    <w:rsid w:val="003831C0"/>
    <w:rsid w:val="003878F3"/>
    <w:rsid w:val="00392F99"/>
    <w:rsid w:val="00395587"/>
    <w:rsid w:val="00395AA4"/>
    <w:rsid w:val="00396A0C"/>
    <w:rsid w:val="003A16CF"/>
    <w:rsid w:val="003A38A9"/>
    <w:rsid w:val="003D2436"/>
    <w:rsid w:val="003E2052"/>
    <w:rsid w:val="003E324F"/>
    <w:rsid w:val="003F334E"/>
    <w:rsid w:val="003F5586"/>
    <w:rsid w:val="003F5747"/>
    <w:rsid w:val="0040522C"/>
    <w:rsid w:val="00416FDB"/>
    <w:rsid w:val="00425E92"/>
    <w:rsid w:val="00433AB8"/>
    <w:rsid w:val="00434D47"/>
    <w:rsid w:val="0043705D"/>
    <w:rsid w:val="00447220"/>
    <w:rsid w:val="00457CF9"/>
    <w:rsid w:val="004607E9"/>
    <w:rsid w:val="00461470"/>
    <w:rsid w:val="004621D0"/>
    <w:rsid w:val="00476ED1"/>
    <w:rsid w:val="004804BE"/>
    <w:rsid w:val="0048284D"/>
    <w:rsid w:val="00483377"/>
    <w:rsid w:val="00487F27"/>
    <w:rsid w:val="004A249B"/>
    <w:rsid w:val="004A2C4F"/>
    <w:rsid w:val="004A4396"/>
    <w:rsid w:val="004B67E2"/>
    <w:rsid w:val="004C3B77"/>
    <w:rsid w:val="004C5CA9"/>
    <w:rsid w:val="004C7157"/>
    <w:rsid w:val="004D3226"/>
    <w:rsid w:val="004D66F4"/>
    <w:rsid w:val="004D7791"/>
    <w:rsid w:val="004E4BF4"/>
    <w:rsid w:val="004F36CC"/>
    <w:rsid w:val="004F4344"/>
    <w:rsid w:val="00502F1C"/>
    <w:rsid w:val="005153ED"/>
    <w:rsid w:val="00523ECE"/>
    <w:rsid w:val="00523F46"/>
    <w:rsid w:val="00524EA7"/>
    <w:rsid w:val="00536F9B"/>
    <w:rsid w:val="00540267"/>
    <w:rsid w:val="00542040"/>
    <w:rsid w:val="00544376"/>
    <w:rsid w:val="0054756C"/>
    <w:rsid w:val="005732E1"/>
    <w:rsid w:val="005805F3"/>
    <w:rsid w:val="00580726"/>
    <w:rsid w:val="00592816"/>
    <w:rsid w:val="00596AAF"/>
    <w:rsid w:val="005C4266"/>
    <w:rsid w:val="005D5EF7"/>
    <w:rsid w:val="005F03ED"/>
    <w:rsid w:val="005F181D"/>
    <w:rsid w:val="005F4B8D"/>
    <w:rsid w:val="005F5923"/>
    <w:rsid w:val="005F6304"/>
    <w:rsid w:val="005F6D49"/>
    <w:rsid w:val="005F7CD6"/>
    <w:rsid w:val="00601210"/>
    <w:rsid w:val="00602A71"/>
    <w:rsid w:val="006038B9"/>
    <w:rsid w:val="006125D2"/>
    <w:rsid w:val="006129CD"/>
    <w:rsid w:val="0062449D"/>
    <w:rsid w:val="00624535"/>
    <w:rsid w:val="0063002C"/>
    <w:rsid w:val="00646DFB"/>
    <w:rsid w:val="00654FD3"/>
    <w:rsid w:val="006600C4"/>
    <w:rsid w:val="00670195"/>
    <w:rsid w:val="00673F68"/>
    <w:rsid w:val="00681DE1"/>
    <w:rsid w:val="00684009"/>
    <w:rsid w:val="00686B0B"/>
    <w:rsid w:val="006A1B2C"/>
    <w:rsid w:val="006A3B25"/>
    <w:rsid w:val="006B2D60"/>
    <w:rsid w:val="006C0907"/>
    <w:rsid w:val="006D05A7"/>
    <w:rsid w:val="006D2834"/>
    <w:rsid w:val="006D3654"/>
    <w:rsid w:val="006D4CA1"/>
    <w:rsid w:val="006D7081"/>
    <w:rsid w:val="006D7105"/>
    <w:rsid w:val="006E4E97"/>
    <w:rsid w:val="00702CFF"/>
    <w:rsid w:val="00716A9E"/>
    <w:rsid w:val="00721DB9"/>
    <w:rsid w:val="00724EC2"/>
    <w:rsid w:val="00733149"/>
    <w:rsid w:val="00736E8D"/>
    <w:rsid w:val="007454AF"/>
    <w:rsid w:val="00745B74"/>
    <w:rsid w:val="00753CDE"/>
    <w:rsid w:val="00755C8C"/>
    <w:rsid w:val="00783515"/>
    <w:rsid w:val="00785623"/>
    <w:rsid w:val="007903F3"/>
    <w:rsid w:val="00794462"/>
    <w:rsid w:val="007962E5"/>
    <w:rsid w:val="007A1C7D"/>
    <w:rsid w:val="007A50BD"/>
    <w:rsid w:val="007B3046"/>
    <w:rsid w:val="007B4ACA"/>
    <w:rsid w:val="007B620B"/>
    <w:rsid w:val="007B70A4"/>
    <w:rsid w:val="007C12EB"/>
    <w:rsid w:val="007C4158"/>
    <w:rsid w:val="007D22D1"/>
    <w:rsid w:val="007D6383"/>
    <w:rsid w:val="007D74D6"/>
    <w:rsid w:val="007E4DF8"/>
    <w:rsid w:val="007E51EB"/>
    <w:rsid w:val="007F2214"/>
    <w:rsid w:val="00812B40"/>
    <w:rsid w:val="008301C9"/>
    <w:rsid w:val="008322D4"/>
    <w:rsid w:val="00833765"/>
    <w:rsid w:val="00834157"/>
    <w:rsid w:val="00851145"/>
    <w:rsid w:val="00851594"/>
    <w:rsid w:val="0085327D"/>
    <w:rsid w:val="00864E5F"/>
    <w:rsid w:val="00871235"/>
    <w:rsid w:val="00872028"/>
    <w:rsid w:val="00874300"/>
    <w:rsid w:val="00877192"/>
    <w:rsid w:val="00877DAC"/>
    <w:rsid w:val="008845C7"/>
    <w:rsid w:val="00887EEE"/>
    <w:rsid w:val="00890F86"/>
    <w:rsid w:val="00891C4C"/>
    <w:rsid w:val="0089472A"/>
    <w:rsid w:val="008A7D2D"/>
    <w:rsid w:val="008B09E9"/>
    <w:rsid w:val="008C1BDD"/>
    <w:rsid w:val="008C5B9A"/>
    <w:rsid w:val="008E168D"/>
    <w:rsid w:val="0091118A"/>
    <w:rsid w:val="0092247A"/>
    <w:rsid w:val="009252B3"/>
    <w:rsid w:val="00927894"/>
    <w:rsid w:val="0093301D"/>
    <w:rsid w:val="0093682D"/>
    <w:rsid w:val="0094023B"/>
    <w:rsid w:val="00947EDD"/>
    <w:rsid w:val="00950EFB"/>
    <w:rsid w:val="00960A46"/>
    <w:rsid w:val="00972388"/>
    <w:rsid w:val="00972845"/>
    <w:rsid w:val="00973205"/>
    <w:rsid w:val="0098114E"/>
    <w:rsid w:val="009A4FAB"/>
    <w:rsid w:val="009B3BBA"/>
    <w:rsid w:val="009B46B5"/>
    <w:rsid w:val="009B5B1E"/>
    <w:rsid w:val="009B5FE5"/>
    <w:rsid w:val="009C29C1"/>
    <w:rsid w:val="009C77F6"/>
    <w:rsid w:val="009C7F20"/>
    <w:rsid w:val="009D63F0"/>
    <w:rsid w:val="009E3439"/>
    <w:rsid w:val="009F4D04"/>
    <w:rsid w:val="009F6C61"/>
    <w:rsid w:val="00A053BC"/>
    <w:rsid w:val="00A07773"/>
    <w:rsid w:val="00A127E2"/>
    <w:rsid w:val="00A131E6"/>
    <w:rsid w:val="00A265F9"/>
    <w:rsid w:val="00A36EEC"/>
    <w:rsid w:val="00A52544"/>
    <w:rsid w:val="00A5308A"/>
    <w:rsid w:val="00A55C74"/>
    <w:rsid w:val="00A576F0"/>
    <w:rsid w:val="00A6568C"/>
    <w:rsid w:val="00A71595"/>
    <w:rsid w:val="00A731D6"/>
    <w:rsid w:val="00A741B9"/>
    <w:rsid w:val="00A76F6F"/>
    <w:rsid w:val="00A77CF5"/>
    <w:rsid w:val="00AA0158"/>
    <w:rsid w:val="00AA117E"/>
    <w:rsid w:val="00AA1E92"/>
    <w:rsid w:val="00AA4D54"/>
    <w:rsid w:val="00AA5D5E"/>
    <w:rsid w:val="00AA60FD"/>
    <w:rsid w:val="00AC1063"/>
    <w:rsid w:val="00AD100C"/>
    <w:rsid w:val="00AD108A"/>
    <w:rsid w:val="00AD4371"/>
    <w:rsid w:val="00AE2350"/>
    <w:rsid w:val="00AE39E1"/>
    <w:rsid w:val="00AF3D1B"/>
    <w:rsid w:val="00AF4788"/>
    <w:rsid w:val="00B01705"/>
    <w:rsid w:val="00B02E9A"/>
    <w:rsid w:val="00B04F71"/>
    <w:rsid w:val="00B05493"/>
    <w:rsid w:val="00B122C5"/>
    <w:rsid w:val="00B2103F"/>
    <w:rsid w:val="00B23C5D"/>
    <w:rsid w:val="00B25EEA"/>
    <w:rsid w:val="00B2646E"/>
    <w:rsid w:val="00B35387"/>
    <w:rsid w:val="00B5306E"/>
    <w:rsid w:val="00B622C1"/>
    <w:rsid w:val="00B65FC6"/>
    <w:rsid w:val="00B71C33"/>
    <w:rsid w:val="00B75D01"/>
    <w:rsid w:val="00B857C9"/>
    <w:rsid w:val="00B9016B"/>
    <w:rsid w:val="00B91197"/>
    <w:rsid w:val="00B95EDD"/>
    <w:rsid w:val="00B9649F"/>
    <w:rsid w:val="00BA246D"/>
    <w:rsid w:val="00BA7396"/>
    <w:rsid w:val="00BA794C"/>
    <w:rsid w:val="00BA7E51"/>
    <w:rsid w:val="00BB053A"/>
    <w:rsid w:val="00BB128C"/>
    <w:rsid w:val="00BC3ECB"/>
    <w:rsid w:val="00BC63D5"/>
    <w:rsid w:val="00BD30EC"/>
    <w:rsid w:val="00BD4282"/>
    <w:rsid w:val="00BD6224"/>
    <w:rsid w:val="00BD6FBF"/>
    <w:rsid w:val="00BE70C5"/>
    <w:rsid w:val="00BF4F22"/>
    <w:rsid w:val="00C1712E"/>
    <w:rsid w:val="00C179F9"/>
    <w:rsid w:val="00C24D48"/>
    <w:rsid w:val="00C35ECD"/>
    <w:rsid w:val="00C40E19"/>
    <w:rsid w:val="00C41CD7"/>
    <w:rsid w:val="00C45DE8"/>
    <w:rsid w:val="00C47859"/>
    <w:rsid w:val="00C5148C"/>
    <w:rsid w:val="00C619A5"/>
    <w:rsid w:val="00C72668"/>
    <w:rsid w:val="00C80735"/>
    <w:rsid w:val="00C87DA2"/>
    <w:rsid w:val="00CC032D"/>
    <w:rsid w:val="00CD2A63"/>
    <w:rsid w:val="00CD3AF0"/>
    <w:rsid w:val="00CD41A6"/>
    <w:rsid w:val="00CD75CF"/>
    <w:rsid w:val="00CD7B75"/>
    <w:rsid w:val="00CF02C0"/>
    <w:rsid w:val="00CF755B"/>
    <w:rsid w:val="00D06D2A"/>
    <w:rsid w:val="00D105F1"/>
    <w:rsid w:val="00D27C82"/>
    <w:rsid w:val="00D33BDF"/>
    <w:rsid w:val="00D34B56"/>
    <w:rsid w:val="00D34EE9"/>
    <w:rsid w:val="00D3684A"/>
    <w:rsid w:val="00D419B0"/>
    <w:rsid w:val="00D4308A"/>
    <w:rsid w:val="00D45F5E"/>
    <w:rsid w:val="00D76A91"/>
    <w:rsid w:val="00D84003"/>
    <w:rsid w:val="00D85000"/>
    <w:rsid w:val="00DA0063"/>
    <w:rsid w:val="00DB7AAE"/>
    <w:rsid w:val="00DC57E7"/>
    <w:rsid w:val="00DE0651"/>
    <w:rsid w:val="00DE6385"/>
    <w:rsid w:val="00DF0591"/>
    <w:rsid w:val="00DF41FB"/>
    <w:rsid w:val="00E01AC7"/>
    <w:rsid w:val="00E01D21"/>
    <w:rsid w:val="00E042EA"/>
    <w:rsid w:val="00E16629"/>
    <w:rsid w:val="00E31D65"/>
    <w:rsid w:val="00E33D1A"/>
    <w:rsid w:val="00E34341"/>
    <w:rsid w:val="00E3478E"/>
    <w:rsid w:val="00E54D7F"/>
    <w:rsid w:val="00E62640"/>
    <w:rsid w:val="00E672A8"/>
    <w:rsid w:val="00E672E3"/>
    <w:rsid w:val="00E721E9"/>
    <w:rsid w:val="00E7680F"/>
    <w:rsid w:val="00E81151"/>
    <w:rsid w:val="00E811AB"/>
    <w:rsid w:val="00E81308"/>
    <w:rsid w:val="00E8187D"/>
    <w:rsid w:val="00E86CD6"/>
    <w:rsid w:val="00E91ED2"/>
    <w:rsid w:val="00EA03B0"/>
    <w:rsid w:val="00EA0B57"/>
    <w:rsid w:val="00EB64F0"/>
    <w:rsid w:val="00EB6C74"/>
    <w:rsid w:val="00EC2888"/>
    <w:rsid w:val="00EC3953"/>
    <w:rsid w:val="00EC7466"/>
    <w:rsid w:val="00ED0AF4"/>
    <w:rsid w:val="00ED4228"/>
    <w:rsid w:val="00ED4766"/>
    <w:rsid w:val="00EE7574"/>
    <w:rsid w:val="00EF08CC"/>
    <w:rsid w:val="00EF2F61"/>
    <w:rsid w:val="00EF399D"/>
    <w:rsid w:val="00F00BC2"/>
    <w:rsid w:val="00F00F10"/>
    <w:rsid w:val="00F010C7"/>
    <w:rsid w:val="00F11296"/>
    <w:rsid w:val="00F401A7"/>
    <w:rsid w:val="00F461B4"/>
    <w:rsid w:val="00F50A16"/>
    <w:rsid w:val="00F5764F"/>
    <w:rsid w:val="00F60A3E"/>
    <w:rsid w:val="00F628E6"/>
    <w:rsid w:val="00F7433F"/>
    <w:rsid w:val="00F77E00"/>
    <w:rsid w:val="00F81EF1"/>
    <w:rsid w:val="00FA43F2"/>
    <w:rsid w:val="00FA4DC5"/>
    <w:rsid w:val="00FA79E8"/>
    <w:rsid w:val="00FB6BD5"/>
    <w:rsid w:val="00FB7CBA"/>
    <w:rsid w:val="00FD468A"/>
    <w:rsid w:val="00FD5AD9"/>
    <w:rsid w:val="00FE3A1A"/>
    <w:rsid w:val="00FE4AA5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429F3"/>
  <w15:docId w15:val="{C549D9B1-1B7C-486F-8858-5D63B3D9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customStyle="1" w:styleId="msolistparagraph0">
    <w:name w:val="msolistparagraph"/>
    <w:basedOn w:val="Normal"/>
    <w:uiPriority w:val="99"/>
    <w:rsid w:val="0005064C"/>
    <w:pPr>
      <w:ind w:left="720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customStyle="1" w:styleId="Default">
    <w:name w:val="Default"/>
    <w:rsid w:val="000506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stkn">
    <w:name w:val="gs_tkn"/>
    <w:basedOn w:val="DefaultParagraphFont"/>
    <w:rsid w:val="004A2C4F"/>
  </w:style>
  <w:style w:type="paragraph" w:styleId="NormalWeb">
    <w:name w:val="Normal (Web)"/>
    <w:basedOn w:val="Normal"/>
    <w:uiPriority w:val="99"/>
    <w:semiHidden/>
    <w:unhideWhenUsed/>
    <w:rsid w:val="0089472A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customStyle="1" w:styleId="T30X">
    <w:name w:val="T30X"/>
    <w:basedOn w:val="Normal"/>
    <w:uiPriority w:val="99"/>
    <w:rsid w:val="001144BD"/>
    <w:pPr>
      <w:autoSpaceDE w:val="0"/>
      <w:autoSpaceDN w:val="0"/>
      <w:adjustRightInd w:val="0"/>
      <w:spacing w:before="60" w:after="60"/>
      <w:ind w:firstLine="283"/>
    </w:pPr>
    <w:rPr>
      <w:rFonts w:ascii="Times New Roman" w:eastAsiaTheme="minorEastAsia" w:hAnsi="Times New Roman"/>
      <w:bCs w:val="0"/>
      <w:color w:val="00000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85D2-1DF0-41DC-BF64-1DCD24AF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1996</Words>
  <Characters>12265</Characters>
  <Application>Microsoft Office Word</Application>
  <DocSecurity>0</DocSecurity>
  <Lines>224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Marusic</dc:creator>
  <cp:keywords>[SEC=BEZ OZNAKE TAJNOSTI]</cp:keywords>
  <cp:lastModifiedBy>Natasa Raicevic</cp:lastModifiedBy>
  <cp:revision>2</cp:revision>
  <cp:lastPrinted>2026-04-01T09:46:00Z</cp:lastPrinted>
  <dcterms:created xsi:type="dcterms:W3CDTF">2026-04-02T10:46:00Z</dcterms:created>
  <dcterms:modified xsi:type="dcterms:W3CDTF">2026-04-02T10:46:00Z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B5DE8783994A4EF596F6089B770A6DB9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7E4AE12BF0A7BB803220B27E78F50CE1806E2157</vt:lpwstr>
  </property>
  <property fmtid="{D5CDD505-2E9C-101B-9397-08002B2CF9AE}" pid="11" name="PM_OriginationTimeStamp">
    <vt:lpwstr>2026-04-02T10:39:58Z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35BDBBF25A75A6309B71A1006A393204</vt:lpwstr>
  </property>
  <property fmtid="{D5CDD505-2E9C-101B-9397-08002B2CF9AE}" pid="20" name="PM_Hash_Salt">
    <vt:lpwstr>7C662E0CA85E51B750E1CE4AFB17C5B9</vt:lpwstr>
  </property>
  <property fmtid="{D5CDD505-2E9C-101B-9397-08002B2CF9AE}" pid="21" name="PM_Hash_SHA1">
    <vt:lpwstr>A87260A48429E61D7E1B7B821B29DF0DD9BBC99A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