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F508E">
      <w:pPr>
        <w:pStyle w:val="N01Y"/>
      </w:pPr>
      <w:bookmarkStart w:id="0" w:name="_GoBack"/>
      <w:bookmarkEnd w:id="0"/>
      <w:r>
        <w:t>664.</w:t>
      </w:r>
    </w:p>
    <w:p w:rsidR="00000000" w:rsidRDefault="00DF508E">
      <w:pPr>
        <w:pStyle w:val="N02Y"/>
      </w:pPr>
      <w:r>
        <w:t xml:space="preserve">Na osnovu </w:t>
      </w:r>
      <w:r>
        <w:t>č</w:t>
      </w:r>
      <w:r>
        <w:t>lana 29 stav 5 Zakona o poreskoj administraciji ("Službeni list RCG", br. 65/01 i 80/04</w:t>
      </w:r>
      <w:r>
        <w:t xml:space="preserve"> i "Službeni list CG", br. 20/11, 28/12 i 8/15), Ministarstvo finansija donijelo je</w:t>
      </w:r>
    </w:p>
    <w:p w:rsidR="00000000" w:rsidRDefault="00DF508E">
      <w:pPr>
        <w:pStyle w:val="N03Y"/>
      </w:pPr>
      <w:r>
        <w:t>PRAVILNIK</w:t>
      </w:r>
    </w:p>
    <w:p w:rsidR="00000000" w:rsidRDefault="00DF508E">
      <w:pPr>
        <w:pStyle w:val="N03Y"/>
      </w:pPr>
      <w:r>
        <w:t>O KRITERIJUMIMA ZA ODRE</w:t>
      </w:r>
      <w:r>
        <w:t>Đ</w:t>
      </w:r>
      <w:r>
        <w:t>IVANJE VELIKIH PORESKIH OBVEZNIKA</w:t>
      </w:r>
    </w:p>
    <w:p w:rsidR="00000000" w:rsidRDefault="00DF508E">
      <w:pPr>
        <w:pStyle w:val="N05Y"/>
      </w:pPr>
      <w:r>
        <w:t>("Službeni list Crne Gore", br. 031/17 od 12.05.2017)</w:t>
      </w:r>
    </w:p>
    <w:p w:rsidR="00000000" w:rsidRDefault="00DF508E">
      <w:pPr>
        <w:pStyle w:val="C30X"/>
      </w:pPr>
      <w:r>
        <w:t>Č</w:t>
      </w:r>
      <w:r>
        <w:t>lan 1</w:t>
      </w:r>
    </w:p>
    <w:p w:rsidR="00000000" w:rsidRDefault="00DF508E">
      <w:pPr>
        <w:pStyle w:val="T30X"/>
      </w:pPr>
      <w:r>
        <w:t>Odre</w:t>
      </w:r>
      <w:r>
        <w:t>đ</w:t>
      </w:r>
      <w:r>
        <w:t>ivanje velikih poreskih obv</w:t>
      </w:r>
      <w:r>
        <w:t>eznika vrši se u skladu sa kriterijumima propisanim ovim pravilnikom.</w:t>
      </w:r>
    </w:p>
    <w:p w:rsidR="00000000" w:rsidRDefault="00DF508E">
      <w:pPr>
        <w:pStyle w:val="C30X"/>
      </w:pPr>
      <w:r>
        <w:t>Č</w:t>
      </w:r>
      <w:r>
        <w:t>lan 2</w:t>
      </w:r>
    </w:p>
    <w:p w:rsidR="00000000" w:rsidRDefault="00DF508E">
      <w:pPr>
        <w:pStyle w:val="T30X"/>
      </w:pPr>
      <w:r>
        <w:t>Kriterijumi za odre</w:t>
      </w:r>
      <w:r>
        <w:t>đ</w:t>
      </w:r>
      <w:r>
        <w:t>ivanje velikih poreskih obveznika su:</w:t>
      </w:r>
    </w:p>
    <w:p w:rsidR="00000000" w:rsidRDefault="00DF508E">
      <w:pPr>
        <w:pStyle w:val="T30X"/>
        <w:ind w:left="567" w:hanging="283"/>
      </w:pPr>
      <w:r>
        <w:t xml:space="preserve">   1) fiskalni kapacitet;</w:t>
      </w:r>
    </w:p>
    <w:p w:rsidR="00000000" w:rsidRDefault="00DF508E">
      <w:pPr>
        <w:pStyle w:val="T30X"/>
        <w:ind w:left="567" w:hanging="283"/>
      </w:pPr>
      <w:r>
        <w:t xml:space="preserve">   2) promet dobara i usluga preko 10 000 000,00 €; i</w:t>
      </w:r>
    </w:p>
    <w:p w:rsidR="00000000" w:rsidRDefault="00DF508E">
      <w:pPr>
        <w:pStyle w:val="T30X"/>
        <w:ind w:left="567" w:hanging="283"/>
      </w:pPr>
      <w:r>
        <w:t xml:space="preserve">   3) broj zaposlenih ve</w:t>
      </w:r>
      <w:r>
        <w:t>ć</w:t>
      </w:r>
      <w:r>
        <w:t>i od 50.</w:t>
      </w:r>
    </w:p>
    <w:p w:rsidR="00000000" w:rsidRDefault="00DF508E">
      <w:pPr>
        <w:pStyle w:val="T30X"/>
      </w:pPr>
      <w:r>
        <w:t>Fiskaln</w:t>
      </w:r>
      <w:r>
        <w:t>i kapacitet u smislu stava 1 ta</w:t>
      </w:r>
      <w:r>
        <w:t>č</w:t>
      </w:r>
      <w:r>
        <w:t xml:space="preserve">ka 1 ovog </w:t>
      </w:r>
      <w:r>
        <w:t>č</w:t>
      </w:r>
      <w:r>
        <w:t>lana, je ukupan iznos poreskih obaveza po osnovu javnih prihoda u dvije poslovne godine koje prethode godini u kojoj se vrši odre</w:t>
      </w:r>
      <w:r>
        <w:t>đ</w:t>
      </w:r>
      <w:r>
        <w:t>ivanje poreskih obveznika i koje iznose više od 600 000,00 €.</w:t>
      </w:r>
    </w:p>
    <w:p w:rsidR="00000000" w:rsidRDefault="00DF508E">
      <w:pPr>
        <w:pStyle w:val="T30X"/>
      </w:pPr>
      <w:r>
        <w:t>Promet dobara i uslug</w:t>
      </w:r>
      <w:r>
        <w:t>a preko 10 000 000,00 € u smislu stava 1 ta</w:t>
      </w:r>
      <w:r>
        <w:t>č</w:t>
      </w:r>
      <w:r>
        <w:t xml:space="preserve">ka 2 ovog </w:t>
      </w:r>
      <w:r>
        <w:t>č</w:t>
      </w:r>
      <w:r>
        <w:t>lana, je ukupan promet dobara i usluga koje pravno lice ostvari po osnovu obavljanja poslovne djelatnosti u dvije poslovne godine koje prethode godini u kojoj se odre</w:t>
      </w:r>
      <w:r>
        <w:t>đ</w:t>
      </w:r>
      <w:r>
        <w:t>uje status velikog poreskog obvazn</w:t>
      </w:r>
      <w:r>
        <w:t>ika.</w:t>
      </w:r>
    </w:p>
    <w:p w:rsidR="00000000" w:rsidRDefault="00DF508E">
      <w:pPr>
        <w:pStyle w:val="C30X"/>
      </w:pPr>
      <w:r>
        <w:t>Č</w:t>
      </w:r>
      <w:r>
        <w:t>lan 3</w:t>
      </w:r>
    </w:p>
    <w:p w:rsidR="00000000" w:rsidRDefault="00DF508E">
      <w:pPr>
        <w:pStyle w:val="T30X"/>
      </w:pPr>
      <w:r>
        <w:t xml:space="preserve">Velikim poreskim obveznikom smatra se pravno lice koje ispunjava najmanje dva kriterijuma iz </w:t>
      </w:r>
      <w:r>
        <w:t>č</w:t>
      </w:r>
      <w:r>
        <w:t>lana 2 ovog pravilnika.</w:t>
      </w:r>
    </w:p>
    <w:p w:rsidR="00000000" w:rsidRDefault="00DF508E">
      <w:pPr>
        <w:pStyle w:val="C30X"/>
      </w:pPr>
      <w:r>
        <w:t>Č</w:t>
      </w:r>
      <w:r>
        <w:t>lan 4</w:t>
      </w:r>
    </w:p>
    <w:p w:rsidR="00000000" w:rsidRDefault="00DF508E">
      <w:pPr>
        <w:pStyle w:val="T30X"/>
      </w:pPr>
      <w:r>
        <w:t xml:space="preserve">Izuzetno od </w:t>
      </w:r>
      <w:r>
        <w:t>č</w:t>
      </w:r>
      <w:r>
        <w:t>lana 2 ovog pravilnika, status velikog poreskog obveznika može da se odredi i pravnom licu koje se, u skla</w:t>
      </w:r>
      <w:r>
        <w:t>du sa zakonom kojim se ure</w:t>
      </w:r>
      <w:r>
        <w:t>đ</w:t>
      </w:r>
      <w:r>
        <w:t>uje porez na dobit pravnih lica, smatra licem povezanim sa velikim poreskim obveznikom, ako se njegov ukupan promet ili njegov pretežni dio ostvaruje po osnovu transakcija sa tim velikim poreskim obveznikom.</w:t>
      </w:r>
    </w:p>
    <w:p w:rsidR="00000000" w:rsidRDefault="00DF508E">
      <w:pPr>
        <w:pStyle w:val="C30X"/>
      </w:pPr>
      <w:r>
        <w:t>Č</w:t>
      </w:r>
      <w:r>
        <w:t>lan 5</w:t>
      </w:r>
    </w:p>
    <w:p w:rsidR="00000000" w:rsidRDefault="00DF508E">
      <w:pPr>
        <w:pStyle w:val="T30X"/>
      </w:pPr>
      <w:r>
        <w:t>Banke i osigur</w:t>
      </w:r>
      <w:r>
        <w:t>avaju</w:t>
      </w:r>
      <w:r>
        <w:t>ć</w:t>
      </w:r>
      <w:r>
        <w:t xml:space="preserve">a društva imaju status velikog poreskog obveznika, bez obzira da li ispunjavaju kriterijume iz </w:t>
      </w:r>
      <w:r>
        <w:t>č</w:t>
      </w:r>
      <w:r>
        <w:t>lana 2 ovog pravilnika.</w:t>
      </w:r>
    </w:p>
    <w:p w:rsidR="00000000" w:rsidRDefault="00DF508E">
      <w:pPr>
        <w:pStyle w:val="C30X"/>
      </w:pPr>
      <w:r>
        <w:t>Č</w:t>
      </w:r>
      <w:r>
        <w:t>lan 6</w:t>
      </w:r>
    </w:p>
    <w:p w:rsidR="00000000" w:rsidRDefault="00DF508E">
      <w:pPr>
        <w:pStyle w:val="T30X"/>
      </w:pPr>
      <w:r>
        <w:t>Poreske obveznike koji ispunjavaju kriterijume utvr</w:t>
      </w:r>
      <w:r>
        <w:t>đ</w:t>
      </w:r>
      <w:r>
        <w:t xml:space="preserve">ene ovim pravilnikom organ uprave nadležan za poslove poreza (u daljem </w:t>
      </w:r>
      <w:r>
        <w:t>tekstu: Poreska uprava), pisanim putem obavještava o odre</w:t>
      </w:r>
      <w:r>
        <w:t>đ</w:t>
      </w:r>
      <w:r>
        <w:t>ivanju statusa velikog poreskog obveznika.</w:t>
      </w:r>
    </w:p>
    <w:p w:rsidR="00000000" w:rsidRDefault="00DF508E">
      <w:pPr>
        <w:pStyle w:val="T30X"/>
      </w:pPr>
      <w:r>
        <w:t xml:space="preserve">Ako veliki poreski obveznik prestane da ispunjava kriterijume iz </w:t>
      </w:r>
      <w:r>
        <w:t>č</w:t>
      </w:r>
      <w:r>
        <w:t xml:space="preserve">lana 2 ovog pravilnika, Poreska uprava pisanim putem obavještava tog obveznika o gubitku </w:t>
      </w:r>
      <w:r>
        <w:t>statusa velikog poreskog obveznika.</w:t>
      </w:r>
    </w:p>
    <w:p w:rsidR="00000000" w:rsidRDefault="00DF508E">
      <w:pPr>
        <w:pStyle w:val="C30X"/>
      </w:pPr>
      <w:r>
        <w:t>Č</w:t>
      </w:r>
      <w:r>
        <w:t>lan 7</w:t>
      </w:r>
    </w:p>
    <w:p w:rsidR="00000000" w:rsidRDefault="00DF508E">
      <w:pPr>
        <w:pStyle w:val="T30X"/>
      </w:pPr>
      <w:r>
        <w:t>Danom stupanja na snagu ovog pravilnika prestaje da važi Pravilnik o kriterijumima za odre</w:t>
      </w:r>
      <w:r>
        <w:t>đ</w:t>
      </w:r>
      <w:r>
        <w:t>ivanje velikih poreskih obveznika ("Službeni list CG", broj 16/05).</w:t>
      </w:r>
    </w:p>
    <w:p w:rsidR="00000000" w:rsidRDefault="00DF508E">
      <w:pPr>
        <w:pStyle w:val="C30X"/>
      </w:pPr>
      <w:r>
        <w:t>Č</w:t>
      </w:r>
      <w:r>
        <w:t>lan 8</w:t>
      </w:r>
    </w:p>
    <w:p w:rsidR="00000000" w:rsidRDefault="00DF508E">
      <w:pPr>
        <w:pStyle w:val="T30X"/>
      </w:pPr>
      <w:r>
        <w:t>Ovaj pravilnik stupa na snagu osmog dana od dan</w:t>
      </w:r>
      <w:r>
        <w:t>a objavljivanja u "Službenom listu Crne Gore".</w:t>
      </w:r>
    </w:p>
    <w:p w:rsidR="00000000" w:rsidRDefault="00DF508E">
      <w:pPr>
        <w:pStyle w:val="N01Z"/>
      </w:pPr>
      <w:r>
        <w:t>Broj: 04-7144/1</w:t>
      </w:r>
    </w:p>
    <w:p w:rsidR="00000000" w:rsidRDefault="00DF508E">
      <w:pPr>
        <w:pStyle w:val="N01Z"/>
      </w:pPr>
      <w:r>
        <w:t>Podgorica, 5. maja 2017. godine</w:t>
      </w:r>
    </w:p>
    <w:p w:rsidR="00000000" w:rsidRDefault="00DF508E">
      <w:pPr>
        <w:pStyle w:val="N01Z"/>
      </w:pPr>
      <w:r>
        <w:t>Ministar,</w:t>
      </w:r>
    </w:p>
    <w:p w:rsidR="00DF508E" w:rsidRDefault="00DF508E">
      <w:pPr>
        <w:pStyle w:val="N01Z"/>
      </w:pPr>
      <w:r>
        <w:lastRenderedPageBreak/>
        <w:t>Darko Radunovi</w:t>
      </w:r>
      <w:r>
        <w:t>ć</w:t>
      </w:r>
      <w:r>
        <w:t>, s.r.</w:t>
      </w:r>
    </w:p>
    <w:sectPr w:rsidR="00DF508E">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08E" w:rsidRDefault="00DF508E">
      <w:r>
        <w:separator/>
      </w:r>
    </w:p>
  </w:endnote>
  <w:endnote w:type="continuationSeparator" w:id="0">
    <w:p w:rsidR="00DF508E" w:rsidRDefault="00DF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00000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000000" w:rsidRDefault="00DF508E">
          <w:pPr>
            <w:pStyle w:val="Fotter"/>
          </w:pPr>
          <w:hyperlink w:anchor="http___www_katalogpropisa_me" w:history="1">
            <w:r>
              <w:rPr>
                <w:rStyle w:val="Hyperlink"/>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000000" w:rsidRDefault="00DF508E">
          <w:pPr>
            <w:pStyle w:val="Fotter"/>
            <w:jc w:val="right"/>
          </w:pPr>
          <w:r>
            <w:fldChar w:fldCharType="begin"/>
          </w:r>
          <w:r>
            <w:instrText>PAGE</w:instrText>
          </w:r>
          <w:r>
            <w:fldChar w:fldCharType="separate"/>
          </w:r>
          <w:r w:rsidR="00F55CAB">
            <w:rPr>
              <w:noProof/>
            </w:rPr>
            <w:t>2</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00000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000000" w:rsidRDefault="00DF508E">
          <w:pPr>
            <w:pStyle w:val="Fotter"/>
          </w:pPr>
          <w:hyperlink w:anchor="http___www_katalogpropisa_me" w:history="1">
            <w:r>
              <w:rPr>
                <w:rStyle w:val="Hyperlink"/>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000000" w:rsidRDefault="00DF508E">
          <w:pPr>
            <w:pStyle w:val="Fotter"/>
            <w:jc w:val="right"/>
          </w:pPr>
          <w:r>
            <w:fldChar w:fldCharType="begin"/>
          </w:r>
          <w:r>
            <w:instrText>PAGE</w:instrText>
          </w:r>
          <w:r>
            <w:fldChar w:fldCharType="separate"/>
          </w:r>
          <w:r w:rsidR="00F55CAB">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08E" w:rsidRDefault="00DF508E">
      <w:r>
        <w:separator/>
      </w:r>
    </w:p>
  </w:footnote>
  <w:footnote w:type="continuationSeparator" w:id="0">
    <w:p w:rsidR="00DF508E" w:rsidRDefault="00DF5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F508E">
    <w:pPr>
      <w:pStyle w:val="Header"/>
    </w:pPr>
    <w:r>
      <w:t>Katalog propisa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F508E">
    <w:pPr>
      <w:pStyle w:val="Header"/>
    </w:pPr>
    <w:r>
      <w:t>Katalog propisa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02"/>
    <w:rsid w:val="00782802"/>
    <w:rsid w:val="00DF508E"/>
    <w:rsid w:val="00F55C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3CF41F-610C-4189-BACF-E0DB98A8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sz w:val="20"/>
      <w:szCs w:val="20"/>
    </w:rPr>
  </w:style>
  <w:style w:type="character" w:styleId="Hyperlink">
    <w:name w:val="Hyperlink"/>
    <w:basedOn w:val="DefaultParagraphFont0"/>
    <w:uiPriority w:val="99"/>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Irina Bulatovic</cp:lastModifiedBy>
  <cp:revision>2</cp:revision>
  <dcterms:created xsi:type="dcterms:W3CDTF">2023-02-23T13:29:00Z</dcterms:created>
  <dcterms:modified xsi:type="dcterms:W3CDTF">2023-02-23T13:29:00Z</dcterms:modified>
</cp:coreProperties>
</file>