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C2" w:rsidRPr="003D02C2" w:rsidRDefault="003D02C2" w:rsidP="003D02C2">
      <w:pPr>
        <w:tabs>
          <w:tab w:val="left" w:pos="195"/>
        </w:tabs>
        <w:spacing w:line="240" w:lineRule="auto"/>
        <w:ind w:left="195"/>
        <w:rPr>
          <w:rFonts w:ascii="Arial" w:hAnsi="Arial" w:cs="Arial"/>
          <w:color w:val="000000"/>
          <w:sz w:val="22"/>
          <w:lang w:val="hr-HR"/>
        </w:rPr>
      </w:pPr>
      <w:r w:rsidRPr="003D02C2">
        <w:rPr>
          <w:rFonts w:ascii="Arial" w:hAnsi="Arial" w:cs="Arial"/>
          <w:color w:val="000000"/>
          <w:sz w:val="22"/>
          <w:lang w:val="hr-HR"/>
        </w:rPr>
        <w:t>PJ Carinarnicama</w:t>
      </w:r>
    </w:p>
    <w:p w:rsidR="003D02C2" w:rsidRDefault="003D02C2" w:rsidP="003D02C2">
      <w:pPr>
        <w:tabs>
          <w:tab w:val="left" w:pos="195"/>
        </w:tabs>
        <w:spacing w:line="240" w:lineRule="auto"/>
        <w:ind w:left="195"/>
        <w:rPr>
          <w:rFonts w:ascii="Arial" w:hAnsi="Arial" w:cs="Arial"/>
          <w:b/>
          <w:color w:val="000000"/>
          <w:sz w:val="22"/>
          <w:lang w:val="hr-HR"/>
        </w:rPr>
      </w:pPr>
    </w:p>
    <w:p w:rsidR="003D02C2" w:rsidRDefault="003D02C2" w:rsidP="003D02C2">
      <w:pPr>
        <w:tabs>
          <w:tab w:val="left" w:pos="195"/>
        </w:tabs>
        <w:spacing w:line="240" w:lineRule="auto"/>
        <w:ind w:left="195"/>
        <w:rPr>
          <w:rFonts w:ascii="Arial" w:hAnsi="Arial" w:cs="Arial"/>
          <w:lang w:val="en-US" w:eastAsia="sr-Latn-ME"/>
        </w:rPr>
      </w:pPr>
      <w:r>
        <w:rPr>
          <w:rFonts w:ascii="Arial" w:hAnsi="Arial" w:cs="Arial"/>
          <w:b/>
          <w:color w:val="000000"/>
          <w:sz w:val="22"/>
          <w:lang w:val="hr-HR"/>
        </w:rPr>
        <w:t xml:space="preserve">Predmet: </w:t>
      </w:r>
      <w:proofErr w:type="spellStart"/>
      <w:r>
        <w:rPr>
          <w:rFonts w:ascii="Arial" w:hAnsi="Arial" w:cs="Arial"/>
          <w:lang w:val="en-US" w:eastAsia="sr-Latn-ME"/>
        </w:rPr>
        <w:t>Primjena</w:t>
      </w:r>
      <w:proofErr w:type="spellEnd"/>
      <w:r>
        <w:rPr>
          <w:rFonts w:ascii="Arial" w:hAnsi="Arial" w:cs="Arial"/>
          <w:lang w:val="en-US" w:eastAsia="sr-Latn-ME"/>
        </w:rPr>
        <w:t xml:space="preserve"> </w:t>
      </w:r>
      <w:proofErr w:type="spellStart"/>
      <w:r>
        <w:rPr>
          <w:rFonts w:ascii="Arial" w:hAnsi="Arial" w:cs="Arial"/>
          <w:lang w:val="en-US" w:eastAsia="sr-Latn-ME"/>
        </w:rPr>
        <w:t>Aneksa</w:t>
      </w:r>
      <w:proofErr w:type="spellEnd"/>
      <w:r>
        <w:rPr>
          <w:rFonts w:ascii="Arial" w:hAnsi="Arial" w:cs="Arial"/>
          <w:lang w:val="en-US" w:eastAsia="sr-Latn-ME"/>
        </w:rPr>
        <w:t xml:space="preserve"> I </w:t>
      </w:r>
      <w:proofErr w:type="spellStart"/>
      <w:r>
        <w:rPr>
          <w:rFonts w:ascii="Arial" w:hAnsi="Arial" w:cs="Arial"/>
          <w:lang w:val="en-US" w:eastAsia="sr-Latn-ME"/>
        </w:rPr>
        <w:t>i</w:t>
      </w:r>
      <w:proofErr w:type="spellEnd"/>
      <w:r>
        <w:rPr>
          <w:rFonts w:ascii="Arial" w:hAnsi="Arial" w:cs="Arial"/>
          <w:lang w:val="en-US" w:eastAsia="sr-Latn-ME"/>
        </w:rPr>
        <w:t xml:space="preserve"> </w:t>
      </w:r>
      <w:proofErr w:type="spellStart"/>
      <w:r>
        <w:rPr>
          <w:rFonts w:ascii="Arial" w:hAnsi="Arial" w:cs="Arial"/>
          <w:lang w:val="en-US" w:eastAsia="sr-Latn-ME"/>
        </w:rPr>
        <w:t>Aneksa</w:t>
      </w:r>
      <w:proofErr w:type="spellEnd"/>
      <w:r>
        <w:rPr>
          <w:rFonts w:ascii="Arial" w:hAnsi="Arial" w:cs="Arial"/>
          <w:lang w:val="en-US" w:eastAsia="sr-Latn-ME"/>
        </w:rPr>
        <w:t xml:space="preserve"> V </w:t>
      </w:r>
      <w:proofErr w:type="spellStart"/>
      <w:r>
        <w:rPr>
          <w:rFonts w:ascii="Arial" w:hAnsi="Arial" w:cs="Arial"/>
          <w:lang w:val="en-US" w:eastAsia="sr-Latn-ME"/>
        </w:rPr>
        <w:t>Priloga</w:t>
      </w:r>
      <w:proofErr w:type="spellEnd"/>
      <w:r>
        <w:rPr>
          <w:rFonts w:ascii="Arial" w:hAnsi="Arial" w:cs="Arial"/>
          <w:lang w:val="en-US" w:eastAsia="sr-Latn-ME"/>
        </w:rPr>
        <w:t xml:space="preserve"> II </w:t>
      </w:r>
      <w:proofErr w:type="spellStart"/>
      <w:r>
        <w:rPr>
          <w:rFonts w:ascii="Arial" w:hAnsi="Arial" w:cs="Arial"/>
          <w:lang w:val="en-US" w:eastAsia="sr-Latn-ME"/>
        </w:rPr>
        <w:t>Regionalne</w:t>
      </w:r>
      <w:proofErr w:type="spellEnd"/>
      <w:r>
        <w:rPr>
          <w:rFonts w:ascii="Arial" w:hAnsi="Arial" w:cs="Arial"/>
          <w:lang w:val="en-US" w:eastAsia="sr-Latn-ME"/>
        </w:rPr>
        <w:t xml:space="preserve"> </w:t>
      </w:r>
      <w:proofErr w:type="spellStart"/>
      <w:r>
        <w:rPr>
          <w:rFonts w:ascii="Arial" w:hAnsi="Arial" w:cs="Arial"/>
          <w:lang w:val="en-US" w:eastAsia="sr-Latn-ME"/>
        </w:rPr>
        <w:t>konvencije</w:t>
      </w:r>
      <w:proofErr w:type="spellEnd"/>
      <w:r>
        <w:rPr>
          <w:rFonts w:ascii="Arial" w:hAnsi="Arial" w:cs="Arial"/>
          <w:lang w:val="en-US" w:eastAsia="sr-Latn-ME"/>
        </w:rPr>
        <w:t xml:space="preserve">  o Pan-Euro-</w:t>
      </w:r>
      <w:proofErr w:type="spellStart"/>
      <w:r>
        <w:rPr>
          <w:rFonts w:ascii="Arial" w:hAnsi="Arial" w:cs="Arial"/>
          <w:lang w:val="en-US" w:eastAsia="sr-Latn-ME"/>
        </w:rPr>
        <w:t>Mediteranskim</w:t>
      </w:r>
      <w:proofErr w:type="spellEnd"/>
      <w:r>
        <w:rPr>
          <w:rFonts w:ascii="Arial" w:hAnsi="Arial" w:cs="Arial"/>
          <w:lang w:val="en-US" w:eastAsia="sr-Latn-ME"/>
        </w:rPr>
        <w:t xml:space="preserve"> </w:t>
      </w:r>
      <w:proofErr w:type="spellStart"/>
      <w:r>
        <w:rPr>
          <w:rFonts w:ascii="Arial" w:hAnsi="Arial" w:cs="Arial"/>
          <w:lang w:val="en-US" w:eastAsia="sr-Latn-ME"/>
        </w:rPr>
        <w:t>preferencijalnim</w:t>
      </w:r>
      <w:proofErr w:type="spellEnd"/>
      <w:r>
        <w:rPr>
          <w:rFonts w:ascii="Arial" w:hAnsi="Arial" w:cs="Arial"/>
          <w:lang w:val="en-US" w:eastAsia="sr-Latn-ME"/>
        </w:rPr>
        <w:t xml:space="preserve"> </w:t>
      </w:r>
      <w:proofErr w:type="spellStart"/>
      <w:r>
        <w:rPr>
          <w:rFonts w:ascii="Arial" w:hAnsi="Arial" w:cs="Arial"/>
          <w:lang w:val="en-US" w:eastAsia="sr-Latn-ME"/>
        </w:rPr>
        <w:t>pravilima</w:t>
      </w:r>
      <w:proofErr w:type="spellEnd"/>
      <w:r>
        <w:rPr>
          <w:rFonts w:ascii="Arial" w:hAnsi="Arial" w:cs="Arial"/>
          <w:lang w:val="en-US" w:eastAsia="sr-Latn-ME"/>
        </w:rPr>
        <w:t xml:space="preserve"> </w:t>
      </w:r>
      <w:proofErr w:type="spellStart"/>
      <w:r>
        <w:rPr>
          <w:rFonts w:ascii="Arial" w:hAnsi="Arial" w:cs="Arial"/>
          <w:lang w:val="en-US" w:eastAsia="sr-Latn-ME"/>
        </w:rPr>
        <w:t>porijekla</w:t>
      </w:r>
      <w:proofErr w:type="spellEnd"/>
    </w:p>
    <w:p w:rsidR="003D02C2" w:rsidRDefault="003D02C2" w:rsidP="003D02C2">
      <w:pPr>
        <w:spacing w:before="0" w:after="0"/>
        <w:rPr>
          <w:rFonts w:ascii="Arial" w:hAnsi="Arial" w:cs="Arial"/>
          <w:i/>
          <w:sz w:val="22"/>
          <w:u w:val="single"/>
        </w:rPr>
      </w:pPr>
    </w:p>
    <w:p w:rsidR="003D02C2" w:rsidRDefault="003D02C2" w:rsidP="003D02C2">
      <w:pPr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 cilju pravilnog i jednoobraznog postupanja u odnosu na</w:t>
      </w:r>
      <w:r>
        <w:rPr>
          <w:rFonts w:ascii="Arial" w:hAnsi="Arial" w:cs="Arial"/>
          <w:color w:val="212121"/>
          <w:sz w:val="22"/>
        </w:rPr>
        <w:t xml:space="preserve"> tumačenje odredaba Aneksa I (Trgovina između Evropske unije i zemalja učesnica u procesu stabilizacije i pridruživanja) i Aneksa V (Trgovina između Republike Turske i zemalja učesnica u procesu stabilizacije i pridruživanja) sadržanih u Prilogu II Regionalne konvencije o Pan-Euro-Mediteranskim preferencijalnim pravilima porijekla („Sl.list CG- Međunarodni ugovori“, br.8/25), u kojima su navedene tarifne oznake i naimenovanja proizvoda koji su isključeni iz kumulacije propisane članom 7 Priloga I PEM Konvencije</w:t>
      </w:r>
      <w:r>
        <w:rPr>
          <w:rFonts w:ascii="Arial" w:hAnsi="Arial" w:cs="Arial"/>
          <w:sz w:val="22"/>
        </w:rPr>
        <w:t>, podsjećate se na sledeće obavezno postupanje:</w:t>
      </w:r>
    </w:p>
    <w:p w:rsidR="003D02C2" w:rsidRDefault="003D02C2" w:rsidP="003D02C2">
      <w:pPr>
        <w:pStyle w:val="xmsonormal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Fonts w:ascii="Arial" w:hAnsi="Arial" w:cs="Arial"/>
          <w:color w:val="212121"/>
          <w:sz w:val="22"/>
          <w:szCs w:val="22"/>
        </w:rPr>
        <w:t>Aneks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Aneks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Priloga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II PEM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Konvencije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odnose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na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postupak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proizvodnje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navedenih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proizvoda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u EU,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Turskoj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ili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nekoj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od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učesnica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procesu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stabilizacije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pridruživanja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EU (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Crna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Gora,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Albanija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BiH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Sjeverna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Makedonija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Srbija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Kosovo).</w:t>
      </w:r>
    </w:p>
    <w:p w:rsidR="003D02C2" w:rsidRDefault="003D02C2" w:rsidP="003D02C2">
      <w:pPr>
        <w:pStyle w:val="xmsonormal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Za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potrebe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utvrđivanja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statusa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robe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porijeklom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materijali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koji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koriste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procesu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proizvodnje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proizvoda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navedenih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Aneksu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Aneksu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Priloga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II PEM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Konvencije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razmatraju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na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način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koji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odstupa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od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odredbi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propisanih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članom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212121"/>
          <w:sz w:val="22"/>
          <w:szCs w:val="22"/>
        </w:rPr>
        <w:t>7  (</w:t>
      </w:r>
      <w:proofErr w:type="spellStart"/>
      <w:proofErr w:type="gramEnd"/>
      <w:r>
        <w:rPr>
          <w:rFonts w:ascii="Arial" w:hAnsi="Arial" w:cs="Arial"/>
          <w:color w:val="212121"/>
          <w:sz w:val="22"/>
          <w:szCs w:val="22"/>
        </w:rPr>
        <w:t>kumulacija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porijekla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Priloga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I PEM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Konvencije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Ovo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znači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da se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ti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materijali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uvezeni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uz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dokaz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porijeklu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bilo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koju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stranu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navedenu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Aneksu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ili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Aneksu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V,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toj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strani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koriste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procesu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proizvodnje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212121"/>
          <w:sz w:val="22"/>
          <w:szCs w:val="22"/>
        </w:rPr>
        <w:t>proizvoda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 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navedenih</w:t>
      </w:r>
      <w:proofErr w:type="spellEnd"/>
      <w:proofErr w:type="gramEnd"/>
      <w:r>
        <w:rPr>
          <w:rFonts w:ascii="Arial" w:hAnsi="Arial" w:cs="Arial"/>
          <w:color w:val="21212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ovim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aneksima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isključuju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iz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kumulacije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odnosno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smatraju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materijalima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bez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porijekla</w:t>
      </w:r>
      <w:proofErr w:type="spellEnd"/>
      <w:r>
        <w:rPr>
          <w:rFonts w:ascii="Arial" w:hAnsi="Arial" w:cs="Arial"/>
          <w:color w:val="212121"/>
          <w:sz w:val="22"/>
          <w:szCs w:val="22"/>
        </w:rPr>
        <w:t>.</w:t>
      </w:r>
    </w:p>
    <w:p w:rsidR="003D02C2" w:rsidRDefault="003D02C2" w:rsidP="003D02C2">
      <w:pPr>
        <w:pStyle w:val="xmsonormal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212121"/>
          <w:sz w:val="22"/>
          <w:szCs w:val="22"/>
        </w:rPr>
      </w:pPr>
    </w:p>
    <w:p w:rsidR="003D02C2" w:rsidRDefault="003D02C2" w:rsidP="003D02C2">
      <w:pPr>
        <w:pStyle w:val="xmsonormal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skladu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naprijed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navedenim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hAnsi="Arial" w:cs="Arial"/>
          <w:color w:val="212121"/>
          <w:sz w:val="22"/>
          <w:szCs w:val="22"/>
        </w:rPr>
        <w:t>proizvodi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 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iz</w:t>
      </w:r>
      <w:proofErr w:type="spellEnd"/>
      <w:proofErr w:type="gram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Aneksa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Aneksa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Priloga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II PEM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Konvencije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imaju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preferencijalni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status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ako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radi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o:</w:t>
      </w:r>
    </w:p>
    <w:p w:rsidR="003D02C2" w:rsidRDefault="003D02C2" w:rsidP="003D02C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1.u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potpunosti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dobijenim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proizvodima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član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3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Priloga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I PEM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Konvencije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ili</w:t>
      </w:r>
      <w:proofErr w:type="spellEnd"/>
    </w:p>
    <w:p w:rsidR="003D02C2" w:rsidRDefault="003D02C2" w:rsidP="003D02C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2.dovoljno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obrađenim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ili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212121"/>
          <w:sz w:val="22"/>
          <w:szCs w:val="22"/>
        </w:rPr>
        <w:t>prerađenim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 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proizvodima</w:t>
      </w:r>
      <w:proofErr w:type="spellEnd"/>
      <w:proofErr w:type="gramEnd"/>
      <w:r>
        <w:rPr>
          <w:rFonts w:ascii="Arial" w:hAnsi="Arial" w:cs="Arial"/>
          <w:color w:val="212121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član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4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Priloga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I PEM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Konvencije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), bez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primjene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kumulacije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porijekla</w:t>
      </w:r>
      <w:proofErr w:type="spellEnd"/>
      <w:r>
        <w:rPr>
          <w:rFonts w:ascii="Arial" w:hAnsi="Arial" w:cs="Arial"/>
          <w:color w:val="212121"/>
          <w:sz w:val="22"/>
          <w:szCs w:val="22"/>
        </w:rPr>
        <w:t>.</w:t>
      </w:r>
    </w:p>
    <w:p w:rsidR="003D02C2" w:rsidRDefault="003D02C2" w:rsidP="003D02C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</w:p>
    <w:p w:rsidR="003D02C2" w:rsidRDefault="003D02C2" w:rsidP="003D02C2">
      <w:pPr>
        <w:pStyle w:val="xmsonormal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Fonts w:ascii="Arial" w:hAnsi="Arial" w:cs="Arial"/>
          <w:color w:val="212121"/>
          <w:sz w:val="22"/>
          <w:szCs w:val="22"/>
        </w:rPr>
        <w:t>Znači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ukoliko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proizvodi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iz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Aneksa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ili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Aneksa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Priloga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II PEM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Konvencije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stekli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preferencijalni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status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na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jedan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od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navedenih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načina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carinski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organ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će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izdati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dokaz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porijeklu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radi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primjene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preferencijalnog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statusa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zemljama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učesnicama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procesu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stabilizacije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pridruživanja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EU </w:t>
      </w:r>
      <w:proofErr w:type="gramStart"/>
      <w:r>
        <w:rPr>
          <w:rFonts w:ascii="Arial" w:hAnsi="Arial" w:cs="Arial"/>
          <w:color w:val="212121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znači</w:t>
      </w:r>
      <w:proofErr w:type="spellEnd"/>
      <w:proofErr w:type="gramEnd"/>
      <w:r>
        <w:rPr>
          <w:rFonts w:ascii="Arial" w:hAnsi="Arial" w:cs="Arial"/>
          <w:color w:val="212121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Albaniju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BiH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Sjevernu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Makedoniju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Srbiju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Kosovo),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Evropskoj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uniji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ili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Turskoj</w:t>
      </w:r>
      <w:proofErr w:type="spellEnd"/>
      <w:r>
        <w:rPr>
          <w:rFonts w:ascii="Arial" w:hAnsi="Arial" w:cs="Arial"/>
          <w:color w:val="212121"/>
          <w:sz w:val="22"/>
          <w:szCs w:val="22"/>
        </w:rPr>
        <w:t>.</w:t>
      </w:r>
    </w:p>
    <w:p w:rsidR="003D02C2" w:rsidRDefault="003D02C2" w:rsidP="003D02C2">
      <w:pPr>
        <w:pStyle w:val="xmsonormal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Fonts w:ascii="Arial" w:hAnsi="Arial" w:cs="Arial"/>
          <w:color w:val="212121"/>
          <w:sz w:val="22"/>
          <w:szCs w:val="22"/>
        </w:rPr>
        <w:t>Ovo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dalje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podrazumijeva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da se za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proizvode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iz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Aneksa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ili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Aneksa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Priloga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II PEM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Konvencije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može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potvrđivati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njihovo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porijeklo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ukoliko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ponovo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izvoze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nepromijenjenom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stanju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zemlje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učesnice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procesu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stabilizacije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pridruživanja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EU </w:t>
      </w:r>
      <w:proofErr w:type="gramStart"/>
      <w:r>
        <w:rPr>
          <w:rFonts w:ascii="Arial" w:hAnsi="Arial" w:cs="Arial"/>
          <w:color w:val="212121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znači</w:t>
      </w:r>
      <w:proofErr w:type="spellEnd"/>
      <w:proofErr w:type="gramEnd"/>
      <w:r>
        <w:rPr>
          <w:rFonts w:ascii="Arial" w:hAnsi="Arial" w:cs="Arial"/>
          <w:color w:val="21212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Albaniju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BiH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Sjevernu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Makedoniju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Srbiju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Kosovo),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Evropsku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uniju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ili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Tursku</w:t>
      </w:r>
      <w:proofErr w:type="spellEnd"/>
      <w:r>
        <w:rPr>
          <w:rFonts w:ascii="Arial" w:hAnsi="Arial" w:cs="Arial"/>
          <w:color w:val="212121"/>
          <w:sz w:val="22"/>
          <w:szCs w:val="22"/>
        </w:rPr>
        <w:t>.</w:t>
      </w:r>
    </w:p>
    <w:p w:rsidR="003D02C2" w:rsidRDefault="003D02C2" w:rsidP="003D02C2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3D02C2" w:rsidRDefault="003D02C2" w:rsidP="003D02C2">
      <w:pPr>
        <w:spacing w:before="0" w:after="0" w:line="240" w:lineRule="auto"/>
        <w:ind w:left="3540" w:firstLine="708"/>
        <w:rPr>
          <w:rFonts w:ascii="Arial" w:eastAsia="Times New Roman" w:hAnsi="Arial" w:cs="Arial"/>
          <w:b/>
          <w:sz w:val="22"/>
          <w:lang w:val="hr-HR" w:eastAsia="hr-HR"/>
        </w:rPr>
      </w:pPr>
    </w:p>
    <w:p w:rsidR="003D02C2" w:rsidRDefault="003D02C2" w:rsidP="003D02C2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>
        <w:rPr>
          <w:rFonts w:ascii="Arial" w:eastAsia="Times New Roman" w:hAnsi="Arial" w:cs="Arial"/>
          <w:sz w:val="22"/>
          <w:lang w:val="hr-HR" w:eastAsia="hr-HR"/>
        </w:rPr>
        <w:t>Prilog: Lista proizvoda iz Aneksa I i Aneksa V</w:t>
      </w:r>
      <w:r>
        <w:rPr>
          <w:rFonts w:ascii="Arial" w:eastAsia="Times New Roman" w:hAnsi="Arial" w:cs="Arial"/>
          <w:sz w:val="22"/>
          <w:lang w:val="hr-HR" w:eastAsia="hr-HR"/>
        </w:rPr>
        <w:t xml:space="preserve"> </w:t>
      </w:r>
    </w:p>
    <w:p w:rsidR="003D02C2" w:rsidRDefault="003D02C2" w:rsidP="003D02C2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</w:p>
    <w:p w:rsidR="003D02C2" w:rsidRDefault="003D02C2" w:rsidP="003D02C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(Akt </w:t>
      </w:r>
      <w:r>
        <w:rPr>
          <w:rFonts w:ascii="Arial" w:hAnsi="Arial" w:cs="Arial"/>
          <w:b/>
          <w:sz w:val="22"/>
        </w:rPr>
        <w:t>Uprave carina 01/03 broj D-14483</w:t>
      </w:r>
      <w:r>
        <w:rPr>
          <w:rFonts w:ascii="Arial" w:hAnsi="Arial" w:cs="Arial"/>
          <w:b/>
          <w:sz w:val="22"/>
        </w:rPr>
        <w:t xml:space="preserve">/1-25 od </w:t>
      </w:r>
      <w:r>
        <w:rPr>
          <w:rFonts w:ascii="Arial" w:hAnsi="Arial" w:cs="Arial"/>
          <w:b/>
          <w:sz w:val="22"/>
        </w:rPr>
        <w:t>04</w:t>
      </w:r>
      <w:r>
        <w:rPr>
          <w:rFonts w:ascii="Arial" w:hAnsi="Arial" w:cs="Arial"/>
          <w:b/>
          <w:sz w:val="22"/>
        </w:rPr>
        <w:t>.1</w:t>
      </w:r>
      <w:r>
        <w:rPr>
          <w:rFonts w:ascii="Arial" w:hAnsi="Arial" w:cs="Arial"/>
          <w:b/>
          <w:sz w:val="22"/>
        </w:rPr>
        <w:t>1</w:t>
      </w:r>
      <w:r>
        <w:rPr>
          <w:rFonts w:ascii="Arial" w:hAnsi="Arial" w:cs="Arial"/>
          <w:b/>
          <w:sz w:val="22"/>
        </w:rPr>
        <w:t>.2025.)</w:t>
      </w:r>
    </w:p>
    <w:p w:rsidR="003D02C2" w:rsidRDefault="003D02C2" w:rsidP="003D02C2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</w:t>
      </w:r>
      <w:r>
        <w:rPr>
          <w:rFonts w:ascii="Arial" w:hAnsi="Arial" w:cs="Arial"/>
          <w:color w:val="FF0000"/>
          <w:sz w:val="22"/>
        </w:rPr>
        <w:tab/>
      </w:r>
      <w:r>
        <w:rPr>
          <w:rFonts w:ascii="Arial" w:hAnsi="Arial" w:cs="Arial"/>
          <w:color w:val="FF0000"/>
          <w:sz w:val="22"/>
        </w:rPr>
        <w:tab/>
      </w:r>
      <w:r>
        <w:rPr>
          <w:rFonts w:ascii="Arial" w:hAnsi="Arial" w:cs="Arial"/>
          <w:color w:val="FF0000"/>
          <w:sz w:val="22"/>
        </w:rPr>
        <w:tab/>
      </w:r>
      <w:r>
        <w:rPr>
          <w:rFonts w:ascii="Arial" w:hAnsi="Arial" w:cs="Arial"/>
          <w:color w:val="FF0000"/>
          <w:sz w:val="22"/>
        </w:rPr>
        <w:tab/>
      </w:r>
      <w:r>
        <w:rPr>
          <w:rFonts w:ascii="Arial" w:hAnsi="Arial" w:cs="Arial"/>
          <w:color w:val="FF0000"/>
          <w:sz w:val="22"/>
        </w:rPr>
        <w:tab/>
      </w:r>
    </w:p>
    <w:p w:rsidR="006D5B26" w:rsidRDefault="006D5B26"/>
    <w:p w:rsidR="003D02C2" w:rsidRDefault="003D02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74"/>
      </w:tblGrid>
      <w:tr w:rsidR="003D02C2" w:rsidTr="008A5C2C">
        <w:tc>
          <w:tcPr>
            <w:tcW w:w="2122" w:type="dxa"/>
          </w:tcPr>
          <w:p w:rsidR="003D02C2" w:rsidRDefault="003D02C2" w:rsidP="008A5C2C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7"/>
            </w:tblGrid>
            <w:tr w:rsidR="003D02C2" w:rsidTr="008A5C2C">
              <w:trPr>
                <w:trHeight w:val="420"/>
                <w:jc w:val="center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Tarifna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oznaka</w:t>
                  </w:r>
                  <w:proofErr w:type="spellEnd"/>
                </w:p>
              </w:tc>
            </w:tr>
          </w:tbl>
          <w:p w:rsidR="003D02C2" w:rsidRDefault="003D02C2" w:rsidP="008A5C2C"/>
        </w:tc>
        <w:tc>
          <w:tcPr>
            <w:tcW w:w="7274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9"/>
            </w:tblGrid>
            <w:tr w:rsidR="003D02C2" w:rsidTr="008A5C2C">
              <w:trPr>
                <w:trHeight w:val="420"/>
                <w:jc w:val="center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                </w:t>
                  </w:r>
                </w:p>
                <w:p w:rsidR="003D02C2" w:rsidRDefault="003D02C2" w:rsidP="008A5C2C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                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Naimenovanje</w:t>
                  </w:r>
                  <w:proofErr w:type="spellEnd"/>
                </w:p>
              </w:tc>
            </w:tr>
          </w:tbl>
          <w:p w:rsidR="003D02C2" w:rsidRDefault="003D02C2" w:rsidP="008A5C2C"/>
        </w:tc>
      </w:tr>
      <w:tr w:rsidR="003D02C2" w:rsidTr="008A5C2C">
        <w:tc>
          <w:tcPr>
            <w:tcW w:w="2122" w:type="dxa"/>
          </w:tcPr>
          <w:p w:rsidR="003D02C2" w:rsidRDefault="003D02C2" w:rsidP="008A5C2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7"/>
            </w:tblGrid>
            <w:tr w:rsidR="003D02C2" w:rsidTr="008A5C2C">
              <w:trPr>
                <w:trHeight w:val="189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1704 90 99 </w:t>
                  </w:r>
                </w:p>
              </w:tc>
            </w:tr>
          </w:tbl>
          <w:p w:rsidR="003D02C2" w:rsidRDefault="003D02C2" w:rsidP="008A5C2C"/>
        </w:tc>
        <w:tc>
          <w:tcPr>
            <w:tcW w:w="7274" w:type="dxa"/>
          </w:tcPr>
          <w:p w:rsidR="003D02C2" w:rsidRDefault="003D02C2" w:rsidP="008A5C2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2"/>
            </w:tblGrid>
            <w:tr w:rsidR="003D02C2" w:rsidTr="008A5C2C">
              <w:trPr>
                <w:trHeight w:val="189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Ostali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proizvodi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od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šećera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koji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ne </w:t>
                  </w:r>
                  <w:proofErr w:type="spellStart"/>
                  <w:r>
                    <w:rPr>
                      <w:sz w:val="20"/>
                      <w:szCs w:val="20"/>
                    </w:rPr>
                    <w:t>sadrže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kakao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D02C2" w:rsidRDefault="003D02C2" w:rsidP="008A5C2C"/>
        </w:tc>
      </w:tr>
      <w:tr w:rsidR="003D02C2" w:rsidTr="008A5C2C">
        <w:tc>
          <w:tcPr>
            <w:tcW w:w="2122" w:type="dxa"/>
          </w:tcPr>
          <w:p w:rsidR="003D02C2" w:rsidRDefault="003D02C2" w:rsidP="008A5C2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7"/>
            </w:tblGrid>
            <w:tr w:rsidR="003D02C2" w:rsidTr="008A5C2C">
              <w:trPr>
                <w:trHeight w:val="414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1806 10 30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1806 10 90 </w:t>
                  </w:r>
                </w:p>
              </w:tc>
            </w:tr>
          </w:tbl>
          <w:p w:rsidR="003D02C2" w:rsidRDefault="003D02C2" w:rsidP="008A5C2C"/>
        </w:tc>
        <w:tc>
          <w:tcPr>
            <w:tcW w:w="7274" w:type="dxa"/>
          </w:tcPr>
          <w:p w:rsidR="003D02C2" w:rsidRDefault="003D02C2" w:rsidP="008A5C2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58"/>
            </w:tblGrid>
            <w:tr w:rsidR="003D02C2" w:rsidTr="008A5C2C">
              <w:trPr>
                <w:trHeight w:val="1336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Ĉokolada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ostali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prehrambeni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proizvodi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koji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sadrže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kakao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sz w:val="20"/>
                      <w:szCs w:val="20"/>
                    </w:rPr>
                    <w:t>Kakao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u </w:t>
                  </w:r>
                  <w:proofErr w:type="spellStart"/>
                  <w:r>
                    <w:rPr>
                      <w:sz w:val="20"/>
                      <w:szCs w:val="20"/>
                    </w:rPr>
                    <w:t>prahu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dodatkom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šećera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drugih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materijala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za </w:t>
                  </w:r>
                  <w:proofErr w:type="spellStart"/>
                  <w:r>
                    <w:rPr>
                      <w:sz w:val="20"/>
                      <w:szCs w:val="20"/>
                    </w:rPr>
                    <w:t>zaslađivanje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: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-- Koji </w:t>
                  </w:r>
                  <w:proofErr w:type="spellStart"/>
                  <w:r>
                    <w:rPr>
                      <w:sz w:val="20"/>
                      <w:szCs w:val="20"/>
                    </w:rPr>
                    <w:t>sadrži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od 65% do 80% </w:t>
                  </w:r>
                  <w:proofErr w:type="spellStart"/>
                  <w:r>
                    <w:rPr>
                      <w:sz w:val="20"/>
                      <w:szCs w:val="20"/>
                    </w:rPr>
                    <w:t>saharoze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masi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sz w:val="20"/>
                      <w:szCs w:val="20"/>
                    </w:rPr>
                    <w:t>ukljuĉujući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invertovani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šećer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izražen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kao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saharoza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) </w:t>
                  </w:r>
                  <w:proofErr w:type="spellStart"/>
                  <w:r>
                    <w:rPr>
                      <w:sz w:val="20"/>
                      <w:szCs w:val="20"/>
                    </w:rPr>
                    <w:t>ili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izoglukozu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izraženu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kao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saharozu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-- Koji </w:t>
                  </w:r>
                  <w:proofErr w:type="spellStart"/>
                  <w:r>
                    <w:rPr>
                      <w:sz w:val="20"/>
                      <w:szCs w:val="20"/>
                    </w:rPr>
                    <w:t>sadrži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80% </w:t>
                  </w:r>
                  <w:proofErr w:type="spellStart"/>
                  <w:r>
                    <w:rPr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više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masi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saharoze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sz w:val="20"/>
                      <w:szCs w:val="20"/>
                    </w:rPr>
                    <w:t>ukljuĉujući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invertovani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šećer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izražen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kao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saharoza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) </w:t>
                  </w:r>
                  <w:proofErr w:type="spellStart"/>
                  <w:r>
                    <w:rPr>
                      <w:sz w:val="20"/>
                      <w:szCs w:val="20"/>
                    </w:rPr>
                    <w:t>ili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izoglukozu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izraženu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kao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saharozu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D02C2" w:rsidRDefault="003D02C2" w:rsidP="008A5C2C"/>
        </w:tc>
      </w:tr>
      <w:tr w:rsidR="003D02C2" w:rsidTr="008A5C2C">
        <w:tc>
          <w:tcPr>
            <w:tcW w:w="2122" w:type="dxa"/>
          </w:tcPr>
          <w:p w:rsidR="003D02C2" w:rsidRDefault="003D02C2" w:rsidP="008A5C2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7"/>
            </w:tblGrid>
            <w:tr w:rsidR="003D02C2" w:rsidTr="008A5C2C">
              <w:trPr>
                <w:trHeight w:val="189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1806 20 95 </w:t>
                  </w:r>
                </w:p>
              </w:tc>
            </w:tr>
          </w:tbl>
          <w:p w:rsidR="003D02C2" w:rsidRDefault="003D02C2" w:rsidP="008A5C2C"/>
        </w:tc>
        <w:tc>
          <w:tcPr>
            <w:tcW w:w="7274" w:type="dxa"/>
          </w:tcPr>
          <w:p w:rsidR="003D02C2" w:rsidRDefault="003D02C2" w:rsidP="008A5C2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58"/>
            </w:tblGrid>
            <w:tr w:rsidR="003D02C2" w:rsidTr="008A5C2C">
              <w:trPr>
                <w:trHeight w:val="1110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sz w:val="20"/>
                      <w:szCs w:val="20"/>
                    </w:rPr>
                    <w:t>Ostali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prehrambeni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proizvodi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koji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sadrže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kakao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u </w:t>
                  </w:r>
                  <w:proofErr w:type="spellStart"/>
                  <w:r>
                    <w:rPr>
                      <w:sz w:val="20"/>
                      <w:szCs w:val="20"/>
                    </w:rPr>
                    <w:t>blokovima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tablama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šipkamamase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veće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2 kg </w:t>
                  </w:r>
                  <w:proofErr w:type="spellStart"/>
                  <w:r>
                    <w:rPr>
                      <w:sz w:val="20"/>
                      <w:szCs w:val="20"/>
                    </w:rPr>
                    <w:t>ili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u </w:t>
                  </w:r>
                  <w:proofErr w:type="spellStart"/>
                  <w:r>
                    <w:rPr>
                      <w:sz w:val="20"/>
                      <w:szCs w:val="20"/>
                    </w:rPr>
                    <w:t>teĉnom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stanju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pasti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prahu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granulama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u </w:t>
                  </w:r>
                  <w:proofErr w:type="spellStart"/>
                  <w:r>
                    <w:rPr>
                      <w:sz w:val="20"/>
                      <w:szCs w:val="20"/>
                    </w:rPr>
                    <w:t>drugim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oblicima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u </w:t>
                  </w:r>
                  <w:proofErr w:type="spellStart"/>
                  <w:r>
                    <w:rPr>
                      <w:sz w:val="20"/>
                      <w:szCs w:val="20"/>
                    </w:rPr>
                    <w:t>rasutom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stanju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u </w:t>
                  </w:r>
                  <w:proofErr w:type="spellStart"/>
                  <w:r>
                    <w:rPr>
                      <w:sz w:val="20"/>
                      <w:szCs w:val="20"/>
                    </w:rPr>
                    <w:t>sudovima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neposrednim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pakovanjima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sa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sadržajem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preko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2 kg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--</w:t>
                  </w:r>
                  <w:proofErr w:type="spellStart"/>
                  <w:r>
                    <w:rPr>
                      <w:sz w:val="20"/>
                      <w:szCs w:val="20"/>
                    </w:rPr>
                    <w:t>Ostalo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---</w:t>
                  </w:r>
                  <w:proofErr w:type="spellStart"/>
                  <w:r>
                    <w:rPr>
                      <w:sz w:val="20"/>
                      <w:szCs w:val="20"/>
                    </w:rPr>
                    <w:t>Ostalo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D02C2" w:rsidRDefault="003D02C2" w:rsidP="008A5C2C"/>
        </w:tc>
      </w:tr>
      <w:tr w:rsidR="003D02C2" w:rsidTr="008A5C2C">
        <w:tc>
          <w:tcPr>
            <w:tcW w:w="2122" w:type="dxa"/>
          </w:tcPr>
          <w:p w:rsidR="003D02C2" w:rsidRDefault="003D02C2" w:rsidP="008A5C2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7"/>
            </w:tblGrid>
            <w:tr w:rsidR="003D02C2" w:rsidTr="008A5C2C">
              <w:trPr>
                <w:trHeight w:val="189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1901 90 99 </w:t>
                  </w:r>
                </w:p>
              </w:tc>
            </w:tr>
          </w:tbl>
          <w:p w:rsidR="003D02C2" w:rsidRDefault="003D02C2" w:rsidP="008A5C2C"/>
        </w:tc>
        <w:tc>
          <w:tcPr>
            <w:tcW w:w="7274" w:type="dxa"/>
          </w:tcPr>
          <w:p w:rsidR="003D02C2" w:rsidRDefault="003D02C2" w:rsidP="008A5C2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58"/>
            </w:tblGrid>
            <w:tr w:rsidR="003D02C2" w:rsidTr="008A5C2C">
              <w:trPr>
                <w:trHeight w:val="1792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Ekstrakt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slada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prehrambeni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proizvodi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od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brašna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prekrupe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griza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skroba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ekstrakta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slada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bez </w:t>
                  </w:r>
                  <w:proofErr w:type="spellStart"/>
                  <w:r>
                    <w:rPr>
                      <w:sz w:val="20"/>
                      <w:szCs w:val="20"/>
                    </w:rPr>
                    <w:t>dodatka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kakaa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dodatkom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kakaa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u </w:t>
                  </w:r>
                  <w:proofErr w:type="spellStart"/>
                  <w:r>
                    <w:rPr>
                      <w:sz w:val="20"/>
                      <w:szCs w:val="20"/>
                    </w:rPr>
                    <w:t>koliĉini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manjoj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od 40% </w:t>
                  </w:r>
                  <w:proofErr w:type="spellStart"/>
                  <w:r>
                    <w:rPr>
                      <w:sz w:val="20"/>
                      <w:szCs w:val="20"/>
                    </w:rPr>
                    <w:t>po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masi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kakaa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raĉunato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potpuno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odmašćenu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osnovu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drugom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mjestu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nepomenuti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niti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obuhvaćeni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prehrambeni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proizvodi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od robe </w:t>
                  </w:r>
                  <w:proofErr w:type="spellStart"/>
                  <w:r>
                    <w:rPr>
                      <w:sz w:val="20"/>
                      <w:szCs w:val="20"/>
                    </w:rPr>
                    <w:t>iz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tar. br. 0401 do 0404 bez </w:t>
                  </w:r>
                  <w:proofErr w:type="spellStart"/>
                  <w:r>
                    <w:rPr>
                      <w:sz w:val="20"/>
                      <w:szCs w:val="20"/>
                    </w:rPr>
                    <w:t>dodatka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kakaa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sadržajem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kakaa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manjim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od 5% </w:t>
                  </w:r>
                  <w:proofErr w:type="spellStart"/>
                  <w:r>
                    <w:rPr>
                      <w:sz w:val="20"/>
                      <w:szCs w:val="20"/>
                    </w:rPr>
                    <w:t>po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masi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raĉunato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potpuno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odmašćenu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osnovu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drugom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mjestu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nepomenuti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niti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obuhvaćeni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sz w:val="20"/>
                      <w:szCs w:val="20"/>
                    </w:rPr>
                    <w:t>Ostalo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-- </w:t>
                  </w:r>
                  <w:proofErr w:type="spellStart"/>
                  <w:r>
                    <w:rPr>
                      <w:sz w:val="20"/>
                      <w:szCs w:val="20"/>
                    </w:rPr>
                    <w:t>Ostalo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sz w:val="20"/>
                      <w:szCs w:val="20"/>
                    </w:rPr>
                    <w:t>osim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ekstrakta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slada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)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--- </w:t>
                  </w:r>
                  <w:proofErr w:type="spellStart"/>
                  <w:r>
                    <w:rPr>
                      <w:sz w:val="20"/>
                      <w:szCs w:val="20"/>
                    </w:rPr>
                    <w:t>Ostalo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D02C2" w:rsidRDefault="003D02C2" w:rsidP="008A5C2C"/>
        </w:tc>
      </w:tr>
      <w:tr w:rsidR="003D02C2" w:rsidTr="008A5C2C">
        <w:tc>
          <w:tcPr>
            <w:tcW w:w="2122" w:type="dxa"/>
          </w:tcPr>
          <w:p w:rsidR="003D02C2" w:rsidRDefault="003D02C2" w:rsidP="008A5C2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7"/>
            </w:tblGrid>
            <w:tr w:rsidR="003D02C2" w:rsidTr="008A5C2C">
              <w:trPr>
                <w:trHeight w:val="189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2101 12 98 </w:t>
                  </w:r>
                </w:p>
              </w:tc>
            </w:tr>
          </w:tbl>
          <w:p w:rsidR="003D02C2" w:rsidRDefault="003D02C2" w:rsidP="008A5C2C"/>
        </w:tc>
        <w:tc>
          <w:tcPr>
            <w:tcW w:w="7274" w:type="dxa"/>
          </w:tcPr>
          <w:p w:rsidR="003D02C2" w:rsidRDefault="003D02C2" w:rsidP="008A5C2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8"/>
            </w:tblGrid>
            <w:tr w:rsidR="003D02C2" w:rsidTr="008A5C2C">
              <w:trPr>
                <w:trHeight w:val="189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Ostali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proizvodi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bazi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kafe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D02C2" w:rsidRDefault="003D02C2" w:rsidP="008A5C2C"/>
        </w:tc>
      </w:tr>
      <w:tr w:rsidR="003D02C2" w:rsidTr="008A5C2C">
        <w:tc>
          <w:tcPr>
            <w:tcW w:w="2122" w:type="dxa"/>
          </w:tcPr>
          <w:p w:rsidR="003D02C2" w:rsidRDefault="003D02C2" w:rsidP="008A5C2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7"/>
            </w:tblGrid>
            <w:tr w:rsidR="003D02C2" w:rsidTr="008A5C2C">
              <w:trPr>
                <w:trHeight w:val="189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2101 20 98 </w:t>
                  </w:r>
                </w:p>
              </w:tc>
            </w:tr>
          </w:tbl>
          <w:p w:rsidR="003D02C2" w:rsidRDefault="003D02C2" w:rsidP="008A5C2C"/>
        </w:tc>
        <w:tc>
          <w:tcPr>
            <w:tcW w:w="7274" w:type="dxa"/>
          </w:tcPr>
          <w:p w:rsidR="003D02C2" w:rsidRDefault="003D02C2" w:rsidP="008A5C2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18"/>
            </w:tblGrid>
            <w:tr w:rsidR="003D02C2" w:rsidTr="008A5C2C">
              <w:trPr>
                <w:trHeight w:val="189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Ostali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proizvodi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bazi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ĉaja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mate </w:t>
                  </w:r>
                  <w:proofErr w:type="spellStart"/>
                  <w:r>
                    <w:rPr>
                      <w:sz w:val="20"/>
                      <w:szCs w:val="20"/>
                    </w:rPr>
                    <w:t>ĉaja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D02C2" w:rsidRDefault="003D02C2" w:rsidP="008A5C2C"/>
        </w:tc>
      </w:tr>
      <w:tr w:rsidR="003D02C2" w:rsidTr="008A5C2C">
        <w:tc>
          <w:tcPr>
            <w:tcW w:w="2122" w:type="dxa"/>
          </w:tcPr>
          <w:p w:rsidR="003D02C2" w:rsidRDefault="003D02C2" w:rsidP="008A5C2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7"/>
            </w:tblGrid>
            <w:tr w:rsidR="003D02C2" w:rsidTr="008A5C2C">
              <w:trPr>
                <w:trHeight w:val="189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2106 90 59 </w:t>
                  </w:r>
                </w:p>
              </w:tc>
            </w:tr>
          </w:tbl>
          <w:p w:rsidR="003D02C2" w:rsidRDefault="003D02C2" w:rsidP="008A5C2C"/>
        </w:tc>
        <w:tc>
          <w:tcPr>
            <w:tcW w:w="7274" w:type="dxa"/>
          </w:tcPr>
          <w:p w:rsidR="003D02C2" w:rsidRDefault="003D02C2" w:rsidP="008A5C2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64"/>
            </w:tblGrid>
            <w:tr w:rsidR="003D02C2" w:rsidTr="008A5C2C">
              <w:trPr>
                <w:trHeight w:val="649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Prehrambeni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proizvodi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drugom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mjestu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nepomenuti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niti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obuhvaćeni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sz w:val="20"/>
                      <w:szCs w:val="20"/>
                    </w:rPr>
                    <w:t>Ostalo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- </w:t>
                  </w:r>
                  <w:proofErr w:type="spellStart"/>
                  <w:r>
                    <w:rPr>
                      <w:sz w:val="20"/>
                      <w:szCs w:val="20"/>
                    </w:rPr>
                    <w:t>Ostalo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D02C2" w:rsidRDefault="003D02C2" w:rsidP="008A5C2C"/>
        </w:tc>
      </w:tr>
      <w:tr w:rsidR="003D02C2" w:rsidTr="008A5C2C">
        <w:tc>
          <w:tcPr>
            <w:tcW w:w="2122" w:type="dxa"/>
          </w:tcPr>
          <w:p w:rsidR="003D02C2" w:rsidRDefault="003D02C2" w:rsidP="008A5C2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7"/>
            </w:tblGrid>
            <w:tr w:rsidR="003D02C2" w:rsidTr="008A5C2C">
              <w:trPr>
                <w:trHeight w:val="189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2106 90 98 </w:t>
                  </w:r>
                </w:p>
              </w:tc>
            </w:tr>
          </w:tbl>
          <w:p w:rsidR="003D02C2" w:rsidRDefault="003D02C2" w:rsidP="008A5C2C"/>
        </w:tc>
        <w:tc>
          <w:tcPr>
            <w:tcW w:w="7274" w:type="dxa"/>
          </w:tcPr>
          <w:p w:rsidR="003D02C2" w:rsidRDefault="003D02C2" w:rsidP="008A5C2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86"/>
            </w:tblGrid>
            <w:tr w:rsidR="003D02C2" w:rsidTr="008A5C2C">
              <w:trPr>
                <w:trHeight w:val="880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Prehrambeni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proizvodi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drugom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mjestu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nepomenuti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niti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obuhvaćeni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sz w:val="20"/>
                      <w:szCs w:val="20"/>
                    </w:rPr>
                    <w:t>Ostalo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sz w:val="20"/>
                      <w:szCs w:val="20"/>
                    </w:rPr>
                    <w:t>osim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koncentrata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proteina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supstanci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teksturom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proteina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)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-</w:t>
                  </w:r>
                  <w:proofErr w:type="spellStart"/>
                  <w:r>
                    <w:rPr>
                      <w:sz w:val="20"/>
                      <w:szCs w:val="20"/>
                    </w:rPr>
                    <w:t>Ostalo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--- </w:t>
                  </w:r>
                  <w:proofErr w:type="spellStart"/>
                  <w:r>
                    <w:rPr>
                      <w:sz w:val="20"/>
                      <w:szCs w:val="20"/>
                    </w:rPr>
                    <w:t>Ostalo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D02C2" w:rsidRDefault="003D02C2" w:rsidP="008A5C2C"/>
        </w:tc>
      </w:tr>
      <w:tr w:rsidR="003D02C2" w:rsidTr="008A5C2C">
        <w:tc>
          <w:tcPr>
            <w:tcW w:w="2122" w:type="dxa"/>
          </w:tcPr>
          <w:p w:rsidR="003D02C2" w:rsidRDefault="003D02C2" w:rsidP="008A5C2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7"/>
            </w:tblGrid>
            <w:tr w:rsidR="003D02C2" w:rsidTr="008A5C2C">
              <w:trPr>
                <w:trHeight w:val="189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3302 10 29 </w:t>
                  </w:r>
                </w:p>
              </w:tc>
            </w:tr>
          </w:tbl>
          <w:p w:rsidR="003D02C2" w:rsidRDefault="003D02C2" w:rsidP="008A5C2C"/>
        </w:tc>
        <w:tc>
          <w:tcPr>
            <w:tcW w:w="7274" w:type="dxa"/>
          </w:tcPr>
          <w:p w:rsidR="003D02C2" w:rsidRDefault="003D02C2" w:rsidP="008A5C2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58"/>
            </w:tblGrid>
            <w:tr w:rsidR="003D02C2" w:rsidTr="008A5C2C">
              <w:trPr>
                <w:trHeight w:val="2253"/>
              </w:trPr>
              <w:tc>
                <w:tcPr>
                  <w:tcW w:w="0" w:type="auto"/>
                </w:tcPr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Mješavine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mirisnihmaterijala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mješavine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sz w:val="20"/>
                      <w:szCs w:val="20"/>
                    </w:rPr>
                    <w:t>ukljuĉujući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alkoholne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rastvore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) </w:t>
                  </w:r>
                  <w:proofErr w:type="spellStart"/>
                  <w:r>
                    <w:rPr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bazi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jedne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više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tih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materija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koje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se </w:t>
                  </w:r>
                  <w:proofErr w:type="spellStart"/>
                  <w:r>
                    <w:rPr>
                      <w:sz w:val="20"/>
                      <w:szCs w:val="20"/>
                    </w:rPr>
                    <w:t>upotrebljavaju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kao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sirovine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u </w:t>
                  </w:r>
                  <w:proofErr w:type="spellStart"/>
                  <w:r>
                    <w:rPr>
                      <w:sz w:val="20"/>
                      <w:szCs w:val="20"/>
                    </w:rPr>
                    <w:t>industriji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>
                    <w:rPr>
                      <w:sz w:val="20"/>
                      <w:szCs w:val="20"/>
                    </w:rPr>
                    <w:t>ostali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preparati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bazi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mirisnihmaterija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koji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se </w:t>
                  </w:r>
                  <w:proofErr w:type="spellStart"/>
                  <w:r>
                    <w:rPr>
                      <w:sz w:val="20"/>
                      <w:szCs w:val="20"/>
                    </w:rPr>
                    <w:t>upotrebljavaju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u </w:t>
                  </w:r>
                  <w:proofErr w:type="spellStart"/>
                  <w:r>
                    <w:rPr>
                      <w:sz w:val="20"/>
                      <w:szCs w:val="20"/>
                    </w:rPr>
                    <w:t>proizvodnji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pića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: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Koji se </w:t>
                  </w:r>
                  <w:proofErr w:type="spellStart"/>
                  <w:r>
                    <w:rPr>
                      <w:sz w:val="20"/>
                      <w:szCs w:val="20"/>
                    </w:rPr>
                    <w:t>upotrebljavaju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u </w:t>
                  </w:r>
                  <w:proofErr w:type="spellStart"/>
                  <w:r>
                    <w:rPr>
                      <w:sz w:val="20"/>
                      <w:szCs w:val="20"/>
                    </w:rPr>
                    <w:t>industriji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hrane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pića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-- Za </w:t>
                  </w:r>
                  <w:proofErr w:type="spellStart"/>
                  <w:r>
                    <w:rPr>
                      <w:sz w:val="20"/>
                      <w:szCs w:val="20"/>
                    </w:rPr>
                    <w:t>upotrebu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u </w:t>
                  </w:r>
                  <w:proofErr w:type="spellStart"/>
                  <w:r>
                    <w:rPr>
                      <w:sz w:val="20"/>
                      <w:szCs w:val="20"/>
                    </w:rPr>
                    <w:t>industriji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pića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: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- - </w:t>
                  </w:r>
                  <w:proofErr w:type="spellStart"/>
                  <w:r>
                    <w:rPr>
                      <w:sz w:val="20"/>
                      <w:szCs w:val="20"/>
                    </w:rPr>
                    <w:t>Preparati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koji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sadže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sva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aromatiĉna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sredstva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karakteristiĉna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za </w:t>
                  </w:r>
                  <w:proofErr w:type="spellStart"/>
                  <w:r>
                    <w:rPr>
                      <w:sz w:val="20"/>
                      <w:szCs w:val="20"/>
                    </w:rPr>
                    <w:t>pića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: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---- </w:t>
                  </w:r>
                  <w:proofErr w:type="spellStart"/>
                  <w:r>
                    <w:rPr>
                      <w:sz w:val="20"/>
                      <w:szCs w:val="20"/>
                    </w:rPr>
                    <w:t>Stvarne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alkoholne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jaĉine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po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zapremini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preko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0,5%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- - - - </w:t>
                  </w:r>
                  <w:proofErr w:type="spellStart"/>
                  <w:r>
                    <w:rPr>
                      <w:sz w:val="20"/>
                      <w:szCs w:val="20"/>
                    </w:rPr>
                    <w:t>Ostalo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: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------ Koji ne </w:t>
                  </w:r>
                  <w:proofErr w:type="spellStart"/>
                  <w:r>
                    <w:rPr>
                      <w:sz w:val="20"/>
                      <w:szCs w:val="20"/>
                    </w:rPr>
                    <w:t>sadrže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mlijeĉne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masti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saharozu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izoglukozu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glukozu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skrob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koji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sadrţe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po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masi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manje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od 1.5% </w:t>
                  </w:r>
                  <w:proofErr w:type="spellStart"/>
                  <w:r>
                    <w:rPr>
                      <w:sz w:val="20"/>
                      <w:szCs w:val="20"/>
                    </w:rPr>
                    <w:t>mlijeĉne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masti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5% </w:t>
                  </w:r>
                  <w:proofErr w:type="spellStart"/>
                  <w:r>
                    <w:rPr>
                      <w:sz w:val="20"/>
                      <w:szCs w:val="20"/>
                    </w:rPr>
                    <w:t>saharoze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izoglukoze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5% </w:t>
                  </w:r>
                  <w:proofErr w:type="spellStart"/>
                  <w:r>
                    <w:rPr>
                      <w:sz w:val="20"/>
                      <w:szCs w:val="20"/>
                    </w:rPr>
                    <w:t>glukoze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ili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skroba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3D02C2" w:rsidRDefault="003D02C2" w:rsidP="008A5C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------- </w:t>
                  </w:r>
                  <w:proofErr w:type="spellStart"/>
                  <w:r>
                    <w:rPr>
                      <w:sz w:val="20"/>
                      <w:szCs w:val="20"/>
                    </w:rPr>
                    <w:t>Ostalo</w:t>
                  </w:r>
                  <w:proofErr w:type="spellEnd"/>
                </w:p>
              </w:tc>
            </w:tr>
          </w:tbl>
          <w:p w:rsidR="003D02C2" w:rsidRDefault="003D02C2" w:rsidP="008A5C2C"/>
        </w:tc>
      </w:tr>
    </w:tbl>
    <w:p w:rsidR="003D02C2" w:rsidRDefault="003D02C2" w:rsidP="003D02C2"/>
    <w:p w:rsidR="003D02C2" w:rsidRDefault="003D02C2">
      <w:bookmarkStart w:id="0" w:name="_GoBack"/>
      <w:bookmarkEnd w:id="0"/>
    </w:p>
    <w:sectPr w:rsidR="003D02C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22"/>
    <w:rsid w:val="003D02C2"/>
    <w:rsid w:val="006D5B26"/>
    <w:rsid w:val="00D0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D944"/>
  <w15:chartTrackingRefBased/>
  <w15:docId w15:val="{ABB5953C-A0F0-4A7B-8561-7A1D9E94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2C2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D0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table" w:styleId="TableGrid">
    <w:name w:val="Table Grid"/>
    <w:basedOn w:val="TableNormal"/>
    <w:uiPriority w:val="39"/>
    <w:rsid w:val="003D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02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3</cp:revision>
  <dcterms:created xsi:type="dcterms:W3CDTF">2025-11-05T07:56:00Z</dcterms:created>
  <dcterms:modified xsi:type="dcterms:W3CDTF">2025-11-05T07:59:00Z</dcterms:modified>
</cp:coreProperties>
</file>