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32B9" w:rsidRDefault="00AD0BB0">
      <w:pPr>
        <w:pStyle w:val="Header"/>
        <w:jc w:val="center"/>
        <w:rPr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  <w:lang w:val="en-GB" w:eastAsia="en-GB"/>
        </w:rPr>
        <w:drawing>
          <wp:inline distT="0" distB="0" distL="0" distR="0">
            <wp:extent cx="819150" cy="866775"/>
            <wp:effectExtent l="0" t="0" r="0" b="9525"/>
            <wp:docPr id="8" name="Picture 8" descr="1095339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109533937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2B9" w:rsidRDefault="00AD0BB0">
      <w:pPr>
        <w:pStyle w:val="Header"/>
        <w:jc w:val="center"/>
        <w:rPr>
          <w:rFonts w:ascii="Garamond" w:hAnsi="Garamond"/>
          <w:b/>
          <w:sz w:val="26"/>
          <w:szCs w:val="26"/>
        </w:rPr>
      </w:pPr>
      <w:r>
        <w:rPr>
          <w:rFonts w:ascii="Garamond" w:hAnsi="Garamond"/>
          <w:b/>
          <w:sz w:val="26"/>
          <w:szCs w:val="26"/>
        </w:rPr>
        <w:t>Crna Gora</w:t>
      </w:r>
    </w:p>
    <w:p w:rsidR="003132B9" w:rsidRDefault="00AD0BB0">
      <w:pPr>
        <w:pStyle w:val="Header"/>
        <w:jc w:val="center"/>
        <w:rPr>
          <w:rFonts w:ascii="Garamond" w:hAnsi="Garamond"/>
          <w:b/>
          <w:sz w:val="26"/>
          <w:szCs w:val="26"/>
        </w:rPr>
      </w:pPr>
      <w:r>
        <w:rPr>
          <w:rFonts w:ascii="Garamond" w:hAnsi="Garamond"/>
          <w:b/>
          <w:sz w:val="26"/>
          <w:szCs w:val="26"/>
        </w:rPr>
        <w:t xml:space="preserve">Ministarstvo finansija </w:t>
      </w:r>
    </w:p>
    <w:p w:rsidR="003132B9" w:rsidRDefault="003132B9">
      <w:pPr>
        <w:jc w:val="cen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:rsidR="003132B9" w:rsidRDefault="003132B9">
      <w:pPr>
        <w:jc w:val="cen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:rsidR="003132B9" w:rsidRDefault="003132B9">
      <w:pPr>
        <w:jc w:val="cen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:rsidR="003132B9" w:rsidRDefault="003132B9">
      <w:pPr>
        <w:jc w:val="cen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:rsidR="003132B9" w:rsidRDefault="003132B9">
      <w:pPr>
        <w:jc w:val="cen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:rsidR="003132B9" w:rsidRDefault="003132B9">
      <w:pPr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:rsidR="003132B9" w:rsidRDefault="003132B9">
      <w:pPr>
        <w:pStyle w:val="Footer"/>
        <w:jc w:val="cen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:rsidR="003132B9" w:rsidRDefault="003132B9">
      <w:pPr>
        <w:pStyle w:val="Footer"/>
        <w:jc w:val="center"/>
        <w:rPr>
          <w:rFonts w:ascii="Garamond" w:hAnsi="Garamond"/>
          <w:sz w:val="28"/>
          <w:szCs w:val="28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:rsidR="003132B9" w:rsidRDefault="003132B9">
      <w:pPr>
        <w:pStyle w:val="Footer"/>
        <w:jc w:val="center"/>
        <w:rPr>
          <w:rFonts w:ascii="Garamond" w:hAnsi="Garamond"/>
          <w:sz w:val="28"/>
          <w:szCs w:val="28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:rsidR="003132B9" w:rsidRDefault="00AD0BB0">
      <w:pPr>
        <w:pStyle w:val="Footer"/>
        <w:jc w:val="center"/>
        <w:rPr>
          <w:rFonts w:ascii="Garamond" w:hAnsi="Garamond"/>
          <w:sz w:val="28"/>
          <w:szCs w:val="28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>
        <w:rPr>
          <w:rFonts w:ascii="Garamond" w:hAnsi="Garamond"/>
          <w:sz w:val="28"/>
          <w:szCs w:val="28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IZVJEŠTAJ O PRELIMINARNIM NIVOIMA BUDŽETSKOG GOTOVINSKOG DEFICITA, JAVNOG DUGA I NETO ZADUŽENJA ZA 202</w:t>
      </w:r>
      <w:r>
        <w:rPr>
          <w:rFonts w:ascii="Garamond" w:hAnsi="Garamond"/>
          <w:sz w:val="28"/>
          <w:szCs w:val="28"/>
          <w:lang w:val="en-US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5</w:t>
      </w:r>
      <w:r>
        <w:rPr>
          <w:rFonts w:ascii="Garamond" w:hAnsi="Garamond"/>
          <w:sz w:val="28"/>
          <w:szCs w:val="28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. GODINU</w:t>
      </w:r>
    </w:p>
    <w:p w:rsidR="003132B9" w:rsidRDefault="003132B9">
      <w:pPr>
        <w:pStyle w:val="Footer"/>
        <w:rPr>
          <w:rFonts w:ascii="Garamond" w:hAnsi="Garamond"/>
          <w:sz w:val="28"/>
          <w:szCs w:val="28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:rsidR="003132B9" w:rsidRDefault="003132B9">
      <w:pPr>
        <w:pStyle w:val="Foo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:rsidR="003132B9" w:rsidRDefault="003132B9">
      <w:pPr>
        <w:pStyle w:val="Foo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:rsidR="003132B9" w:rsidRDefault="003132B9">
      <w:pPr>
        <w:pStyle w:val="Foo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:rsidR="003132B9" w:rsidRDefault="003132B9">
      <w:pPr>
        <w:pStyle w:val="Foo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:rsidR="003132B9" w:rsidRDefault="003132B9">
      <w:pPr>
        <w:pStyle w:val="Foo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:rsidR="003132B9" w:rsidRDefault="003132B9">
      <w:pPr>
        <w:pStyle w:val="Foo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:rsidR="003132B9" w:rsidRDefault="003132B9">
      <w:pPr>
        <w:pStyle w:val="Foo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:rsidR="003132B9" w:rsidRDefault="003132B9">
      <w:pPr>
        <w:pStyle w:val="Footer"/>
        <w:rPr>
          <w:rFonts w:ascii="Garamond" w:hAnsi="Garamond"/>
          <w:b/>
          <w:sz w:val="24"/>
          <w:szCs w:val="24"/>
        </w:rPr>
      </w:pPr>
    </w:p>
    <w:p w:rsidR="003132B9" w:rsidRDefault="003132B9">
      <w:pPr>
        <w:pStyle w:val="Footer"/>
        <w:rPr>
          <w:rFonts w:ascii="Garamond" w:hAnsi="Garamond"/>
          <w:b/>
          <w:sz w:val="24"/>
          <w:szCs w:val="24"/>
        </w:rPr>
      </w:pPr>
    </w:p>
    <w:p w:rsidR="003132B9" w:rsidRDefault="003132B9">
      <w:pPr>
        <w:pStyle w:val="Footer"/>
        <w:rPr>
          <w:rFonts w:ascii="Garamond" w:hAnsi="Garamond"/>
          <w:b/>
          <w:sz w:val="24"/>
          <w:szCs w:val="24"/>
        </w:rPr>
      </w:pPr>
    </w:p>
    <w:p w:rsidR="003132B9" w:rsidRDefault="003132B9">
      <w:pPr>
        <w:pStyle w:val="Footer"/>
        <w:rPr>
          <w:rFonts w:ascii="Garamond" w:hAnsi="Garamond"/>
          <w:b/>
          <w:sz w:val="24"/>
          <w:szCs w:val="24"/>
        </w:rPr>
      </w:pPr>
    </w:p>
    <w:p w:rsidR="003132B9" w:rsidRDefault="003132B9">
      <w:pPr>
        <w:pStyle w:val="Footer"/>
        <w:rPr>
          <w:rFonts w:ascii="Garamond" w:hAnsi="Garamond"/>
          <w:b/>
          <w:sz w:val="24"/>
          <w:szCs w:val="24"/>
        </w:rPr>
      </w:pPr>
    </w:p>
    <w:p w:rsidR="003132B9" w:rsidRDefault="003132B9">
      <w:pPr>
        <w:pStyle w:val="Footer"/>
        <w:rPr>
          <w:rFonts w:ascii="Garamond" w:hAnsi="Garamond"/>
          <w:b/>
          <w:sz w:val="24"/>
          <w:szCs w:val="24"/>
        </w:rPr>
      </w:pPr>
    </w:p>
    <w:p w:rsidR="003132B9" w:rsidRDefault="003132B9">
      <w:pPr>
        <w:pStyle w:val="Footer"/>
        <w:rPr>
          <w:rFonts w:ascii="Garamond" w:hAnsi="Garamond"/>
          <w:b/>
          <w:sz w:val="24"/>
          <w:szCs w:val="24"/>
        </w:rPr>
      </w:pPr>
    </w:p>
    <w:p w:rsidR="003132B9" w:rsidRDefault="003132B9">
      <w:pPr>
        <w:pStyle w:val="Footer"/>
        <w:rPr>
          <w:rFonts w:ascii="Garamond" w:hAnsi="Garamond"/>
          <w:b/>
          <w:sz w:val="24"/>
          <w:szCs w:val="24"/>
        </w:rPr>
      </w:pPr>
    </w:p>
    <w:p w:rsidR="003132B9" w:rsidRDefault="003132B9">
      <w:pPr>
        <w:pStyle w:val="Footer"/>
        <w:rPr>
          <w:rFonts w:ascii="Garamond" w:hAnsi="Garamond"/>
          <w:b/>
          <w:sz w:val="24"/>
          <w:szCs w:val="24"/>
        </w:rPr>
      </w:pPr>
    </w:p>
    <w:p w:rsidR="003132B9" w:rsidRDefault="003132B9">
      <w:pPr>
        <w:pStyle w:val="Footer"/>
        <w:suppressAutoHyphens/>
        <w:jc w:val="center"/>
        <w:rPr>
          <w:rFonts w:ascii="Garamond" w:hAnsi="Garamond"/>
          <w:b/>
          <w:sz w:val="24"/>
          <w:szCs w:val="24"/>
        </w:rPr>
      </w:pPr>
    </w:p>
    <w:p w:rsidR="003132B9" w:rsidRDefault="003132B9">
      <w:pPr>
        <w:pStyle w:val="Footer"/>
        <w:suppressAutoHyphens/>
        <w:jc w:val="center"/>
        <w:rPr>
          <w:rFonts w:ascii="Garamond" w:hAnsi="Garamond"/>
          <w:b/>
          <w:sz w:val="24"/>
          <w:szCs w:val="24"/>
        </w:rPr>
      </w:pPr>
    </w:p>
    <w:p w:rsidR="003132B9" w:rsidRDefault="003132B9">
      <w:pPr>
        <w:pStyle w:val="Footer"/>
        <w:suppressAutoHyphens/>
        <w:jc w:val="center"/>
        <w:rPr>
          <w:rFonts w:ascii="Garamond" w:hAnsi="Garamond"/>
          <w:b/>
          <w:sz w:val="24"/>
          <w:szCs w:val="24"/>
        </w:rPr>
      </w:pPr>
    </w:p>
    <w:p w:rsidR="003132B9" w:rsidRDefault="003132B9">
      <w:pPr>
        <w:pStyle w:val="Footer"/>
        <w:suppressAutoHyphens/>
        <w:jc w:val="center"/>
        <w:rPr>
          <w:rFonts w:ascii="Garamond" w:hAnsi="Garamond"/>
          <w:b/>
          <w:sz w:val="24"/>
          <w:szCs w:val="24"/>
        </w:rPr>
      </w:pPr>
    </w:p>
    <w:p w:rsidR="003132B9" w:rsidRDefault="003132B9">
      <w:pPr>
        <w:pStyle w:val="Footer"/>
        <w:suppressAutoHyphens/>
        <w:jc w:val="center"/>
        <w:rPr>
          <w:rFonts w:ascii="Garamond" w:hAnsi="Garamond"/>
          <w:b/>
          <w:sz w:val="24"/>
          <w:szCs w:val="24"/>
        </w:rPr>
      </w:pPr>
    </w:p>
    <w:p w:rsidR="003132B9" w:rsidRDefault="003132B9">
      <w:pPr>
        <w:pStyle w:val="Footer"/>
        <w:suppressAutoHyphens/>
        <w:jc w:val="center"/>
        <w:rPr>
          <w:rFonts w:ascii="Garamond" w:hAnsi="Garamond"/>
          <w:b/>
          <w:sz w:val="24"/>
          <w:szCs w:val="24"/>
        </w:rPr>
      </w:pPr>
    </w:p>
    <w:p w:rsidR="003132B9" w:rsidRDefault="003132B9">
      <w:pPr>
        <w:pStyle w:val="Footer"/>
        <w:suppressAutoHyphens/>
        <w:jc w:val="center"/>
        <w:rPr>
          <w:rFonts w:ascii="Garamond" w:hAnsi="Garamond"/>
          <w:b/>
          <w:sz w:val="24"/>
          <w:szCs w:val="24"/>
        </w:rPr>
      </w:pPr>
    </w:p>
    <w:p w:rsidR="003132B9" w:rsidRDefault="003132B9">
      <w:pPr>
        <w:pStyle w:val="Footer"/>
        <w:suppressAutoHyphens/>
        <w:jc w:val="center"/>
        <w:rPr>
          <w:rFonts w:ascii="Garamond" w:hAnsi="Garamond"/>
          <w:b/>
          <w:sz w:val="24"/>
          <w:szCs w:val="24"/>
        </w:rPr>
      </w:pPr>
    </w:p>
    <w:p w:rsidR="003132B9" w:rsidRDefault="003132B9">
      <w:pPr>
        <w:pStyle w:val="Footer"/>
        <w:suppressAutoHyphens/>
        <w:jc w:val="center"/>
        <w:rPr>
          <w:rFonts w:ascii="Garamond" w:hAnsi="Garamond"/>
          <w:b/>
          <w:sz w:val="24"/>
          <w:szCs w:val="24"/>
        </w:rPr>
      </w:pPr>
    </w:p>
    <w:p w:rsidR="003132B9" w:rsidRDefault="00AD0BB0">
      <w:pPr>
        <w:pStyle w:val="Footer"/>
        <w:suppressAutoHyphens/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Mart, 202</w:t>
      </w:r>
      <w:r>
        <w:rPr>
          <w:rFonts w:ascii="Garamond" w:hAnsi="Garamond"/>
          <w:b/>
          <w:sz w:val="24"/>
          <w:szCs w:val="24"/>
          <w:lang w:val="en-US"/>
        </w:rPr>
        <w:t>6</w:t>
      </w:r>
      <w:r>
        <w:rPr>
          <w:rFonts w:ascii="Garamond" w:hAnsi="Garamond"/>
          <w:b/>
          <w:sz w:val="24"/>
          <w:szCs w:val="24"/>
        </w:rPr>
        <w:t>. godine</w:t>
      </w:r>
    </w:p>
    <w:p w:rsidR="003132B9" w:rsidRDefault="00AD0BB0">
      <w:pPr>
        <w:pStyle w:val="Footer"/>
        <w:suppressAutoHyphens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lastRenderedPageBreak/>
        <w:t>Shodno članu 25 Zakona o budžetu i fiskalnoj odgovornosti, Ministarstvo finansija priprema i objavljuje Izvještaj o preliminarnim nivoima budžetskog gotovinskog suficita, odnosno deficita, javnog duga i neto zaduženja iz člana 20 stav 2 ovog zakona u roku od 90 dana, od isteka fiskalne godine na svojoj internet stranici.</w:t>
      </w:r>
    </w:p>
    <w:p w:rsidR="003132B9" w:rsidRDefault="003132B9">
      <w:pPr>
        <w:pStyle w:val="Footer"/>
        <w:suppressAutoHyphens/>
        <w:jc w:val="both"/>
        <w:rPr>
          <w:rFonts w:ascii="Garamond" w:hAnsi="Garamond"/>
          <w:b/>
          <w:sz w:val="28"/>
          <w:szCs w:val="24"/>
        </w:rPr>
      </w:pPr>
    </w:p>
    <w:p w:rsidR="003132B9" w:rsidRDefault="00AD0BB0">
      <w:pPr>
        <w:pStyle w:val="Footer"/>
        <w:suppressAutoHyphens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Podaci su preliminarni, dok će konačni podaci za 202</w:t>
      </w:r>
      <w:r>
        <w:rPr>
          <w:rFonts w:ascii="Garamond" w:hAnsi="Garamond"/>
          <w:b/>
          <w:sz w:val="24"/>
          <w:szCs w:val="24"/>
          <w:lang w:val="en-US"/>
        </w:rPr>
        <w:t>5</w:t>
      </w:r>
      <w:r>
        <w:rPr>
          <w:rFonts w:ascii="Garamond" w:hAnsi="Garamond"/>
          <w:b/>
          <w:sz w:val="24"/>
          <w:szCs w:val="24"/>
        </w:rPr>
        <w:t>. godinu biti sastavni dio Zakona o završnom računu budžeta Crne Gore za 202</w:t>
      </w:r>
      <w:r>
        <w:rPr>
          <w:rFonts w:ascii="Garamond" w:hAnsi="Garamond"/>
          <w:b/>
          <w:sz w:val="24"/>
          <w:szCs w:val="24"/>
          <w:lang w:val="en-US"/>
        </w:rPr>
        <w:t>5</w:t>
      </w:r>
      <w:r>
        <w:rPr>
          <w:rFonts w:ascii="Garamond" w:hAnsi="Garamond"/>
          <w:b/>
          <w:sz w:val="24"/>
          <w:szCs w:val="24"/>
        </w:rPr>
        <w:t>. godinu.</w:t>
      </w:r>
    </w:p>
    <w:p w:rsidR="003132B9" w:rsidRDefault="003132B9">
      <w:pPr>
        <w:jc w:val="both"/>
        <w:rPr>
          <w:rFonts w:ascii="Garamond" w:eastAsia="Times New Roman" w:hAnsi="Garamond" w:cs="Arial"/>
          <w:sz w:val="24"/>
          <w:szCs w:val="24"/>
          <w:lang w:eastAsia="sr-Latn-RS"/>
        </w:rPr>
      </w:pPr>
    </w:p>
    <w:p w:rsidR="003132B9" w:rsidRDefault="00AD0BB0">
      <w:pPr>
        <w:numPr>
          <w:ilvl w:val="1"/>
          <w:numId w:val="0"/>
        </w:numPr>
        <w:spacing w:after="200" w:line="240" w:lineRule="auto"/>
        <w:jc w:val="both"/>
        <w:rPr>
          <w:rFonts w:ascii="Garamond" w:eastAsia="Times New Roman" w:hAnsi="Garamond" w:cs="Times New Roman"/>
          <w:iCs/>
          <w:color w:val="548DD4"/>
          <w:spacing w:val="15"/>
          <w:sz w:val="24"/>
          <w:szCs w:val="24"/>
        </w:rPr>
      </w:pPr>
      <w:r>
        <w:rPr>
          <w:rFonts w:ascii="Garamond" w:eastAsia="Times New Roman" w:hAnsi="Garamond" w:cs="Times New Roman"/>
          <w:iCs/>
          <w:color w:val="548DD4"/>
          <w:spacing w:val="15"/>
          <w:sz w:val="24"/>
          <w:szCs w:val="24"/>
        </w:rPr>
        <w:t>JAVNE FINANSIJE</w:t>
      </w:r>
    </w:p>
    <w:p w:rsidR="003132B9" w:rsidRDefault="00AD0BB0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Prema preliminarnim podacima,</w:t>
      </w:r>
      <w:r>
        <w:rPr>
          <w:rFonts w:ascii="Garamond" w:hAnsi="Garamond"/>
          <w:b/>
          <w:sz w:val="24"/>
          <w:szCs w:val="24"/>
        </w:rPr>
        <w:t xml:space="preserve"> javni prihodi</w:t>
      </w:r>
      <w:r>
        <w:rPr>
          <w:rFonts w:ascii="Garamond" w:hAnsi="Garamond"/>
          <w:sz w:val="24"/>
          <w:szCs w:val="24"/>
        </w:rPr>
        <w:t xml:space="preserve"> u periodu januar - decembar 2025. godine iznosili su 3.358 mil. € ili 41.1 % procijenjenog BDP-a (</w:t>
      </w:r>
      <w:r w:rsidR="00271251" w:rsidRPr="00271251">
        <w:rPr>
          <w:rFonts w:ascii="Garamond" w:hAnsi="Garamond"/>
          <w:sz w:val="24"/>
          <w:szCs w:val="24"/>
        </w:rPr>
        <w:t>8.170,7 mil. €</w:t>
      </w:r>
      <w:r>
        <w:rPr>
          <w:rFonts w:ascii="Garamond" w:hAnsi="Garamond"/>
          <w:sz w:val="24"/>
          <w:szCs w:val="24"/>
        </w:rPr>
        <w:t>) i u odnosu na planirane niži su za 1.3 mil. € ili 0.04%. U odnosu na 2024. godinu, javni prihodi su veći za 169.6 mil. € ili 5.3%.</w:t>
      </w:r>
    </w:p>
    <w:p w:rsidR="003132B9" w:rsidRDefault="00AD0BB0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Javna potrošnja </w:t>
      </w:r>
      <w:r>
        <w:rPr>
          <w:rFonts w:ascii="Garamond" w:hAnsi="Garamond"/>
          <w:sz w:val="24"/>
          <w:szCs w:val="24"/>
        </w:rPr>
        <w:t>u periodu januar - decembar 2025. godine iznosila je 3.704,8 mil. € ili 45.3 % BDP-a i viša je za 44 mil. € ili 1.2% u odnosu na planiranu, a u odnosu na prethodnu godinu veća je za 267.1 mil. € ili 7.8%.</w:t>
      </w:r>
    </w:p>
    <w:p w:rsidR="003132B9" w:rsidRDefault="00AD0BB0">
      <w:pPr>
        <w:jc w:val="both"/>
        <w:rPr>
          <w:rFonts w:ascii="Garamond" w:eastAsia="Times New Roman" w:hAnsi="Garamond" w:cs="Arial"/>
          <w:bCs/>
          <w:sz w:val="24"/>
          <w:szCs w:val="24"/>
          <w:lang w:eastAsia="sr-Latn-RS"/>
        </w:rPr>
      </w:pPr>
      <w:r>
        <w:rPr>
          <w:rFonts w:ascii="Garamond" w:eastAsia="Times New Roman" w:hAnsi="Garamond" w:cs="Arial"/>
          <w:b/>
          <w:bCs/>
          <w:sz w:val="24"/>
          <w:szCs w:val="24"/>
          <w:lang w:eastAsia="sr-Latn-RS"/>
        </w:rPr>
        <w:t xml:space="preserve">Prema preliminarnim podacima, </w:t>
      </w:r>
      <w:r>
        <w:rPr>
          <w:rFonts w:ascii="Garamond" w:eastAsia="Times New Roman" w:hAnsi="Garamond" w:cs="Arial"/>
          <w:bCs/>
          <w:sz w:val="24"/>
          <w:szCs w:val="24"/>
          <w:lang w:eastAsia="sr-Latn-RS"/>
        </w:rPr>
        <w:t>deficit budžeta države iznosi 319,1 mil. €, odnosno na nivou je od 3,91% procijenjenog BDP-a, dok deficit lokalne samouprave iznosi 27,7 mil. €. ili 0,3% BDP-a.</w:t>
      </w:r>
    </w:p>
    <w:p w:rsidR="006D5032" w:rsidRDefault="006D5032">
      <w:pPr>
        <w:jc w:val="both"/>
        <w:rPr>
          <w:rFonts w:ascii="Garamond" w:hAnsi="Garamond"/>
          <w:sz w:val="24"/>
          <w:szCs w:val="24"/>
        </w:rPr>
      </w:pPr>
    </w:p>
    <w:p w:rsidR="003132B9" w:rsidRDefault="00AD0BB0">
      <w:pPr>
        <w:spacing w:after="0"/>
        <w:jc w:val="both"/>
        <w:rPr>
          <w:rFonts w:ascii="Garamond" w:hAnsi="Garamond"/>
          <w:color w:val="548DD4"/>
          <w:spacing w:val="15"/>
          <w:sz w:val="24"/>
          <w:szCs w:val="24"/>
          <w:shd w:val="clear" w:color="auto" w:fill="FFFFFF"/>
        </w:rPr>
      </w:pPr>
      <w:r>
        <w:rPr>
          <w:rFonts w:ascii="Garamond" w:hAnsi="Garamond"/>
          <w:color w:val="548DD4"/>
          <w:spacing w:val="15"/>
          <w:sz w:val="24"/>
          <w:szCs w:val="24"/>
          <w:shd w:val="clear" w:color="auto" w:fill="FFFFFF"/>
        </w:rPr>
        <w:t>BUDŽET CRNE GORE</w:t>
      </w:r>
      <w:bookmarkStart w:id="0" w:name="_Hlk156198262"/>
    </w:p>
    <w:p w:rsidR="003132B9" w:rsidRDefault="003132B9">
      <w:pPr>
        <w:spacing w:after="0"/>
        <w:jc w:val="both"/>
        <w:rPr>
          <w:rFonts w:ascii="Garamond" w:hAnsi="Garamond"/>
          <w:color w:val="548DD4"/>
          <w:spacing w:val="15"/>
          <w:sz w:val="24"/>
          <w:szCs w:val="24"/>
          <w:shd w:val="clear" w:color="auto" w:fill="FFFFFF"/>
        </w:rPr>
      </w:pPr>
    </w:p>
    <w:p w:rsidR="003132B9" w:rsidRDefault="00AD0BB0">
      <w:pPr>
        <w:shd w:val="clear" w:color="auto" w:fill="FFFFFF"/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Prema preliminarnim podacima</w:t>
      </w:r>
      <w:r>
        <w:rPr>
          <w:rStyle w:val="FootnoteReference"/>
          <w:rFonts w:ascii="Garamond" w:hAnsi="Garamond"/>
          <w:b/>
          <w:sz w:val="24"/>
          <w:szCs w:val="24"/>
        </w:rPr>
        <w:footnoteReference w:id="1"/>
      </w:r>
      <w:r>
        <w:rPr>
          <w:rFonts w:ascii="Garamond" w:hAnsi="Garamond"/>
          <w:b/>
          <w:sz w:val="24"/>
          <w:szCs w:val="24"/>
        </w:rPr>
        <w:t>, prihodi budžeta</w:t>
      </w:r>
      <w:bookmarkStart w:id="1" w:name="_Hlk171580505"/>
      <w:r>
        <w:rPr>
          <w:rFonts w:ascii="Garamond" w:hAnsi="Garamond"/>
          <w:b/>
          <w:sz w:val="24"/>
          <w:szCs w:val="24"/>
        </w:rPr>
        <w:t xml:space="preserve"> na kraju 2025. godine iznosili su 2.874,1 mil. € ili 35,2% preliminarnog BDP-a (8.170,7 mil. €) i premašili su prošlogodišnju naplatu  za značajnih 118,4 mil. € ili 4,3%</w:t>
      </w:r>
      <w:bookmarkEnd w:id="1"/>
      <w:r>
        <w:rPr>
          <w:rFonts w:ascii="Garamond" w:hAnsi="Garamond"/>
          <w:b/>
          <w:sz w:val="24"/>
          <w:szCs w:val="24"/>
        </w:rPr>
        <w:t xml:space="preserve">, a u istom periodu realizovano je 99,6% plana. </w:t>
      </w:r>
    </w:p>
    <w:p w:rsidR="003132B9" w:rsidRDefault="00AD0BB0">
      <w:pPr>
        <w:spacing w:after="0"/>
        <w:jc w:val="both"/>
        <w:rPr>
          <w:rFonts w:ascii="Garamond" w:hAnsi="Garamon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43815</wp:posOffset>
            </wp:positionV>
            <wp:extent cx="3459480" cy="2499360"/>
            <wp:effectExtent l="0" t="0" r="7620" b="15240"/>
            <wp:wrapThrough wrapText="bothSides">
              <wp:wrapPolygon edited="0">
                <wp:start x="0" y="0"/>
                <wp:lineTo x="0" y="21402"/>
                <wp:lineTo x="21529" y="21402"/>
                <wp:lineTo x="21529" y="0"/>
                <wp:lineTo x="0" y="0"/>
              </wp:wrapPolygon>
            </wp:wrapThrough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:rsidR="003132B9" w:rsidRDefault="00AD0BB0">
      <w:pPr>
        <w:spacing w:after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Snažna sezona i povoljni makroekonomski uslovi u potpunosti su ispunili očekivanja, što se direktno odrazilo na izuzetno uspješnu naplatu budžetskih prihoda. Već u prvoj godini primjene, mjere iz Fiskalne strategije proizvele su vidljive i mjerljive efekte u kontekstu povećanja prihoda, unapređenja fiskalne discipline i jačanja stabilnosti javnih finansija. Navedenim je dodatno potvrđen jasan i održiv pravac fiskalne politike.</w:t>
      </w:r>
    </w:p>
    <w:bookmarkEnd w:id="0"/>
    <w:p w:rsidR="003132B9" w:rsidRDefault="003132B9">
      <w:pPr>
        <w:shd w:val="clear" w:color="auto" w:fill="FFFFFF"/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</w:p>
    <w:p w:rsidR="003132B9" w:rsidRDefault="00AD0BB0">
      <w:pPr>
        <w:shd w:val="clear" w:color="auto" w:fill="FFFFFF"/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Glavne poreske kategorije ostvarile su rast kako u odnosu na prethodnu godinu, tako i u odnosu na plan za 2025. godinu, potvrđujući rastuće trendove u naplati budžetskih prihoda. </w:t>
      </w:r>
      <w:r>
        <w:rPr>
          <w:rFonts w:ascii="Garamond" w:hAnsi="Garamond"/>
          <w:b/>
          <w:sz w:val="24"/>
          <w:szCs w:val="24"/>
        </w:rPr>
        <w:t xml:space="preserve">Ukupan rast </w:t>
      </w:r>
      <w:r>
        <w:rPr>
          <w:rFonts w:ascii="Garamond" w:hAnsi="Garamond"/>
          <w:b/>
          <w:sz w:val="24"/>
          <w:szCs w:val="24"/>
        </w:rPr>
        <w:lastRenderedPageBreak/>
        <w:t>naplate poreskih kategorija iznosio je 55,0 mil. € ili 2,5% u odnosu na plan, kao i 270,0 mil. € ili 13,7% u odnosu na prošlu godinu.</w:t>
      </w:r>
    </w:p>
    <w:p w:rsidR="003132B9" w:rsidRDefault="003132B9">
      <w:pPr>
        <w:shd w:val="clear" w:color="auto" w:fill="FFFFFF"/>
        <w:spacing w:after="0" w:line="240" w:lineRule="auto"/>
        <w:jc w:val="both"/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n-GB"/>
        </w:rPr>
      </w:pPr>
    </w:p>
    <w:p w:rsidR="003132B9" w:rsidRDefault="00AD0BB0">
      <w:pPr>
        <w:spacing w:line="256" w:lineRule="auto"/>
        <w:jc w:val="both"/>
        <w:rPr>
          <w:rFonts w:ascii="Garamond" w:eastAsia="Times New Roman" w:hAnsi="Garamond" w:cstheme="minorHAnsi"/>
          <w:sz w:val="24"/>
          <w:szCs w:val="24"/>
          <w:lang w:eastAsia="en-GB"/>
        </w:rPr>
      </w:pPr>
      <w:r>
        <w:rPr>
          <w:rFonts w:ascii="Garamond" w:eastAsia="Times New Roman" w:hAnsi="Garamond" w:cstheme="minorHAnsi"/>
          <w:sz w:val="24"/>
          <w:szCs w:val="24"/>
          <w:lang w:eastAsia="en-GB"/>
        </w:rPr>
        <w:t>Na kraju 2025. godine</w:t>
      </w:r>
      <w:r>
        <w:rPr>
          <w:rFonts w:ascii="Garamond" w:eastAsia="Times New Roman" w:hAnsi="Garamond" w:cstheme="minorHAnsi"/>
          <w:b/>
          <w:sz w:val="24"/>
          <w:szCs w:val="24"/>
          <w:lang w:eastAsia="en-GB"/>
        </w:rPr>
        <w:t xml:space="preserve"> porez na dobit pravnih lica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iznosio je 233,4 mil. €, što predstavlja snažan rast, i to u iznosu od 19,5 mil. € ili 9,1% u odnosu na isti period 2024. godine, što je  i za 13,6 mil. € ili 6,2% više u odnosu na plan za 2025. godinu.</w:t>
      </w:r>
    </w:p>
    <w:p w:rsidR="003132B9" w:rsidRDefault="00AD0BB0">
      <w:pPr>
        <w:spacing w:line="256" w:lineRule="auto"/>
        <w:jc w:val="both"/>
        <w:rPr>
          <w:rFonts w:ascii="Garamond" w:eastAsia="Times New Roman" w:hAnsi="Garamond" w:cstheme="minorHAnsi"/>
          <w:sz w:val="24"/>
          <w:szCs w:val="24"/>
          <w:lang w:eastAsia="en-GB"/>
        </w:rPr>
      </w:pPr>
      <w:r>
        <w:rPr>
          <w:rFonts w:ascii="Garamond" w:eastAsia="Times New Roman" w:hAnsi="Garamond" w:cstheme="minorHAnsi"/>
          <w:sz w:val="24"/>
          <w:szCs w:val="24"/>
          <w:lang w:eastAsia="en-GB"/>
        </w:rPr>
        <w:t>U istom periodu</w:t>
      </w:r>
      <w:r>
        <w:rPr>
          <w:rFonts w:ascii="Garamond" w:eastAsia="Times New Roman" w:hAnsi="Garamond" w:cstheme="minorHAnsi"/>
          <w:b/>
          <w:sz w:val="24"/>
          <w:szCs w:val="24"/>
          <w:lang w:eastAsia="en-GB"/>
        </w:rPr>
        <w:t xml:space="preserve"> porez na dohodak fizičkih lica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ostvaren je u iznosu od 112,0 mil. €, što je za 23,9 mil. € ili 27,1% veće u odnosu na 2024. godinu i iznad je godišnjeg plana za 3,7 mil. € ili 3,4%.</w:t>
      </w:r>
    </w:p>
    <w:p w:rsidR="003132B9" w:rsidRDefault="00AD0BB0">
      <w:pPr>
        <w:spacing w:line="256" w:lineRule="auto"/>
        <w:jc w:val="both"/>
        <w:rPr>
          <w:rFonts w:eastAsia="Times New Roman" w:cstheme="minorHAnsi"/>
          <w:sz w:val="24"/>
          <w:szCs w:val="24"/>
          <w:lang w:eastAsia="en-GB"/>
        </w:rPr>
      </w:pPr>
      <w:r>
        <w:rPr>
          <w:rFonts w:ascii="Garamond" w:eastAsia="Times New Roman" w:hAnsi="Garamond" w:cstheme="minorHAnsi"/>
          <w:sz w:val="24"/>
          <w:szCs w:val="24"/>
          <w:lang w:eastAsia="en-GB"/>
        </w:rPr>
        <w:t>Snažan rast bilježi i</w:t>
      </w:r>
      <w:r>
        <w:rPr>
          <w:rFonts w:ascii="Garamond" w:eastAsia="Times New Roman" w:hAnsi="Garamond" w:cstheme="minorHAnsi"/>
          <w:b/>
          <w:sz w:val="24"/>
          <w:szCs w:val="24"/>
          <w:lang w:eastAsia="en-GB"/>
        </w:rPr>
        <w:t xml:space="preserve"> porez na dodatu vrijednost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>koji je</w:t>
      </w:r>
      <w:r>
        <w:rPr>
          <w:rFonts w:ascii="Garamond" w:eastAsia="Times New Roman" w:hAnsi="Garamond" w:cstheme="minorHAnsi"/>
          <w:b/>
          <w:sz w:val="24"/>
          <w:szCs w:val="24"/>
          <w:lang w:eastAsia="en-GB"/>
        </w:rPr>
        <w:t xml:space="preserve">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>ostvaren u iznosu od 1.403,7 mil. €. Ova kategorija prihoda budžeta veća je u odnosu na prethodnu godinu za čak 181,1 mil. € ili 14,8% i za značajnih 31,1 mil. € ili 2,3% veća je u odnosu na plan za 2025. godinu. U navedenom periodu, snažna naplata PDV-a ostvarena je uz istovremeno značajan rast povraćaja PDV-a (bez transfera) koji je u istom periodu iznosio 105,6 mil. € i veći je u poređenju sa prethodnom godinom za 12,8 mil. € ili 13,8%.</w:t>
      </w:r>
    </w:p>
    <w:p w:rsidR="003132B9" w:rsidRDefault="00AD0BB0">
      <w:pPr>
        <w:spacing w:after="0" w:line="256" w:lineRule="auto"/>
        <w:jc w:val="both"/>
        <w:rPr>
          <w:rFonts w:ascii="Garamond" w:eastAsia="Times New Roman" w:hAnsi="Garamond" w:cstheme="minorHAnsi"/>
          <w:sz w:val="24"/>
          <w:szCs w:val="24"/>
          <w:lang w:eastAsia="en-GB"/>
        </w:rPr>
      </w:pPr>
      <w:r>
        <w:rPr>
          <w:rFonts w:ascii="Garamond" w:eastAsia="Times New Roman" w:hAnsi="Garamond" w:cstheme="minorHAnsi"/>
          <w:sz w:val="24"/>
          <w:szCs w:val="24"/>
          <w:lang w:eastAsia="en-GB"/>
        </w:rPr>
        <w:t>Prihodi budžeta po osnovu</w:t>
      </w:r>
      <w:r>
        <w:rPr>
          <w:rFonts w:ascii="Garamond" w:eastAsia="Times New Roman" w:hAnsi="Garamond" w:cstheme="minorHAnsi"/>
          <w:b/>
          <w:sz w:val="24"/>
          <w:szCs w:val="24"/>
          <w:lang w:eastAsia="en-GB"/>
        </w:rPr>
        <w:t xml:space="preserve"> akciza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>su ostvareni u iznosu od 403,2 mil. €, što je za 34,6 mil. € ili 9,4% veće u odnosu na 2024. godinu, što je i na nivou planiranog za 2025. godinu. Posmatrano po strukturi akciza, najveći rast bilježe akcize na mineralna ulja i njihove derivate, i to za 11,1 mil. € ili 5,6% u odnosu na 2024. godinu i akcize na duvan i duvanske proizvode, za čak 20,5 mil. € ili 17,2% u odnosu na prethodnu godinu.</w:t>
      </w:r>
    </w:p>
    <w:p w:rsidR="003132B9" w:rsidRDefault="003132B9">
      <w:pPr>
        <w:spacing w:after="0" w:line="256" w:lineRule="auto"/>
        <w:jc w:val="both"/>
        <w:rPr>
          <w:rFonts w:ascii="Garamond" w:eastAsia="Times New Roman" w:hAnsi="Garamond" w:cstheme="minorHAnsi"/>
          <w:sz w:val="24"/>
          <w:szCs w:val="24"/>
          <w:lang w:eastAsia="en-GB"/>
        </w:rPr>
      </w:pPr>
    </w:p>
    <w:p w:rsidR="003132B9" w:rsidRDefault="00AD0BB0">
      <w:pPr>
        <w:spacing w:after="0" w:line="256" w:lineRule="auto"/>
        <w:jc w:val="both"/>
        <w:rPr>
          <w:rFonts w:ascii="Garamond" w:eastAsia="Times New Roman" w:hAnsi="Garamond" w:cstheme="minorHAnsi"/>
          <w:sz w:val="24"/>
          <w:szCs w:val="24"/>
          <w:lang w:eastAsia="en-GB"/>
        </w:rPr>
      </w:pPr>
      <w:r>
        <w:rPr>
          <w:rFonts w:ascii="Garamond" w:eastAsia="Times New Roman" w:hAnsi="Garamond" w:cstheme="minorHAnsi"/>
          <w:b/>
          <w:sz w:val="24"/>
          <w:szCs w:val="24"/>
          <w:lang w:eastAsia="en-GB"/>
        </w:rPr>
        <w:t xml:space="preserve">Ostali prihodi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>u posmatranom periodu ostvareni su u iznosu od 54,5 mil. €, što je za 2,2 mil. € ili 4,2% veće u odnosu na plan, dok je navedena kategorija prihoda manja u odnosu na posmatrani period 2024. godine za 37,7 mil. € ili 40,9%. Razlog odstupanja je prvenstveno izvršenje ove kategorije prihoda budžeta u 2024. godini po osnovu jednokratnih prihoda.</w:t>
      </w:r>
    </w:p>
    <w:p w:rsidR="003132B9" w:rsidRDefault="003132B9">
      <w:pPr>
        <w:spacing w:after="0" w:line="256" w:lineRule="auto"/>
        <w:jc w:val="both"/>
        <w:rPr>
          <w:rFonts w:ascii="Garamond" w:eastAsia="Times New Roman" w:hAnsi="Garamond" w:cstheme="minorHAnsi"/>
          <w:b/>
          <w:bCs/>
          <w:sz w:val="24"/>
          <w:szCs w:val="24"/>
          <w:lang w:eastAsia="en-GB"/>
        </w:rPr>
      </w:pPr>
    </w:p>
    <w:p w:rsidR="003132B9" w:rsidRDefault="00AD0BB0">
      <w:pPr>
        <w:spacing w:after="0" w:line="256" w:lineRule="auto"/>
        <w:jc w:val="both"/>
        <w:rPr>
          <w:rFonts w:ascii="Garamond" w:eastAsia="Times New Roman" w:hAnsi="Garamond" w:cstheme="minorHAnsi"/>
          <w:sz w:val="24"/>
          <w:szCs w:val="24"/>
          <w:lang w:eastAsia="en-GB"/>
        </w:rPr>
      </w:pPr>
      <w:r>
        <w:rPr>
          <w:rFonts w:ascii="Garamond" w:eastAsia="Times New Roman" w:hAnsi="Garamond" w:cstheme="minorHAnsi"/>
          <w:sz w:val="24"/>
          <w:szCs w:val="24"/>
          <w:lang w:eastAsia="en-GB"/>
        </w:rPr>
        <w:t>Sa druge strane, u 2025. godini</w:t>
      </w:r>
      <w:r>
        <w:rPr>
          <w:rFonts w:ascii="Garamond" w:eastAsia="Times New Roman" w:hAnsi="Garamond" w:cstheme="minorHAnsi"/>
          <w:b/>
          <w:sz w:val="24"/>
          <w:szCs w:val="24"/>
          <w:lang w:eastAsia="en-GB"/>
        </w:rPr>
        <w:t xml:space="preserve"> doprinosi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>su ostvareni u iznosu od 420,4 mil. € što je za 164,3 mil. € ili 28,1% manje posmatrano u odnosu na 2024. godinu i 28,7 mil. € ili 6,4% manje u odnosu na plan.</w:t>
      </w:r>
    </w:p>
    <w:p w:rsidR="003132B9" w:rsidRDefault="003132B9">
      <w:pPr>
        <w:spacing w:after="0" w:line="256" w:lineRule="auto"/>
        <w:jc w:val="both"/>
        <w:rPr>
          <w:rFonts w:ascii="Garamond" w:eastAsia="Times New Roman" w:hAnsi="Garamond" w:cstheme="minorHAnsi"/>
          <w:sz w:val="24"/>
          <w:szCs w:val="24"/>
          <w:lang w:eastAsia="en-GB"/>
        </w:rPr>
      </w:pPr>
    </w:p>
    <w:p w:rsidR="003132B9" w:rsidRDefault="00AD0BB0">
      <w:pPr>
        <w:spacing w:after="0" w:line="256" w:lineRule="auto"/>
        <w:jc w:val="both"/>
        <w:rPr>
          <w:rFonts w:ascii="Garamond" w:eastAsia="Times New Roman" w:hAnsi="Garamond" w:cstheme="minorHAnsi"/>
          <w:sz w:val="24"/>
          <w:szCs w:val="24"/>
          <w:lang w:eastAsia="en-GB"/>
        </w:rPr>
      </w:pPr>
      <w:r>
        <w:rPr>
          <w:rFonts w:ascii="Garamond" w:eastAsia="Times New Roman" w:hAnsi="Garamond" w:cstheme="minorHAnsi"/>
          <w:sz w:val="24"/>
          <w:szCs w:val="24"/>
          <w:lang w:eastAsia="en-GB"/>
        </w:rPr>
        <w:t>Rast naplate u okviru poreskih kategorija tokom 2025. godine u potpunosti je nadomjestio pad prihoda po osnovu doprinosa. Istovremeno, pojedine mjere predviđene Fiskalnom strategijom Vlade premašile su planirane efekte, zahvaljujući unaprijeđenoj efikasnosti poreske administracije, jačanju fiskalne discipline i smanjenju obima neformalne ekonomije.</w:t>
      </w:r>
    </w:p>
    <w:p w:rsidR="003132B9" w:rsidRDefault="003132B9">
      <w:pPr>
        <w:spacing w:after="0" w:line="256" w:lineRule="auto"/>
        <w:jc w:val="both"/>
        <w:rPr>
          <w:rFonts w:ascii="Garamond" w:eastAsia="Times New Roman" w:hAnsi="Garamond" w:cstheme="minorHAnsi"/>
          <w:sz w:val="24"/>
          <w:szCs w:val="24"/>
          <w:lang w:eastAsia="en-GB"/>
        </w:rPr>
      </w:pPr>
    </w:p>
    <w:p w:rsidR="003132B9" w:rsidRDefault="00AD0BB0">
      <w:pPr>
        <w:spacing w:line="256" w:lineRule="auto"/>
        <w:jc w:val="both"/>
        <w:rPr>
          <w:rFonts w:ascii="Garamond" w:eastAsia="Times New Roman" w:hAnsi="Garamond" w:cstheme="minorHAnsi"/>
          <w:sz w:val="24"/>
          <w:szCs w:val="24"/>
          <w:lang w:eastAsia="en-GB"/>
        </w:rPr>
      </w:pP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Takođe, negativno odstupanje u 2025. godini u odnosu na plan bilježi i kategorija </w:t>
      </w:r>
      <w:r>
        <w:rPr>
          <w:rFonts w:ascii="Garamond" w:eastAsia="Times New Roman" w:hAnsi="Garamond" w:cstheme="minorHAnsi"/>
          <w:b/>
          <w:sz w:val="24"/>
          <w:szCs w:val="24"/>
          <w:lang w:eastAsia="en-GB"/>
        </w:rPr>
        <w:t>donacija,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što je ujedno i glavni razlog nižeg ostvarenja prihoda budžeta u odnosu na plan. Donacije su realizovane na nižem nivou dominantno kao rezultat priliva sredstava u okviru Plana rasta, koja su isplaćena drugim mehanizmom Crnoj Gori, kao i po osnovu sredstava granta za drugu dionicu autoputa koja su prenesena za 2026. godinu.</w:t>
      </w:r>
    </w:p>
    <w:p w:rsidR="003132B9" w:rsidRDefault="00AD0BB0">
      <w:pPr>
        <w:spacing w:line="256" w:lineRule="auto"/>
        <w:jc w:val="both"/>
        <w:rPr>
          <w:rFonts w:ascii="Garamond" w:eastAsia="Times New Roman" w:hAnsi="Garamond" w:cstheme="minorHAnsi"/>
          <w:sz w:val="24"/>
          <w:szCs w:val="24"/>
          <w:lang w:eastAsia="en-GB"/>
        </w:rPr>
      </w:pPr>
      <w:r>
        <w:rPr>
          <w:rFonts w:ascii="Garamond" w:eastAsia="Times New Roman" w:hAnsi="Garamond" w:cstheme="minorHAnsi"/>
          <w:b/>
          <w:sz w:val="24"/>
          <w:szCs w:val="24"/>
          <w:lang w:eastAsia="en-GB"/>
        </w:rPr>
        <w:t>Izdaci budžeta prema preliminarnim podacima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za period januar-decembar 2025. godine iznosili su 3.193,2 mil. € ili 39,1% procijenjenog BDP-a. </w:t>
      </w:r>
    </w:p>
    <w:p w:rsidR="003132B9" w:rsidRDefault="00AD0BB0">
      <w:pPr>
        <w:spacing w:line="256" w:lineRule="auto"/>
        <w:jc w:val="both"/>
        <w:rPr>
          <w:rFonts w:ascii="Garamond" w:eastAsia="Times New Roman" w:hAnsi="Garamond" w:cstheme="minorHAnsi"/>
          <w:sz w:val="24"/>
          <w:szCs w:val="24"/>
          <w:lang w:eastAsia="en-GB"/>
        </w:rPr>
      </w:pP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Tekući izdaci u posmatranom periodu ostvareni su u iznosu od 1.250,3 mil. €, što predstavlja 99,1% plana. Manje ostvarenje zabilježeno je dominantno na pozicijima Rashoda za tekuće održavanje i Rashoda za materijal. Razlika u ostvarenju u odnosu na plan za 27,3 mil. € ili 3,8% zabilježena je i kod Bruto zarada i doprinosa na teret poslodavca koji su ostvareni u iznosu od 687.1 mil. € što predstavlja 96,2% plana i kod Subvencija koja se ostvarene u iznosu od 91,1 mil. € što predstavlja </w:t>
      </w:r>
      <w:r w:rsidR="0052112A">
        <w:rPr>
          <w:rFonts w:ascii="Garamond" w:eastAsia="Times New Roman" w:hAnsi="Garamond" w:cstheme="minorHAnsi"/>
          <w:sz w:val="24"/>
          <w:szCs w:val="24"/>
          <w:lang w:eastAsia="en-GB"/>
        </w:rPr>
        <w:lastRenderedPageBreak/>
        <w:t>128,9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% plana dominantno kod Zavoda za zapošljavanje za Subvencije poslodavcima koji zaposle lica sa invaliditetom. </w:t>
      </w:r>
    </w:p>
    <w:p w:rsidR="003132B9" w:rsidRDefault="003132B9">
      <w:pPr>
        <w:spacing w:line="256" w:lineRule="auto"/>
        <w:jc w:val="both"/>
        <w:rPr>
          <w:rFonts w:ascii="Garamond" w:eastAsia="Times New Roman" w:hAnsi="Garamond" w:cstheme="minorHAnsi"/>
          <w:sz w:val="24"/>
          <w:szCs w:val="24"/>
          <w:lang w:eastAsia="en-GB"/>
        </w:rPr>
      </w:pPr>
    </w:p>
    <w:p w:rsidR="003132B9" w:rsidRDefault="00AD0BB0">
      <w:pPr>
        <w:spacing w:line="256" w:lineRule="auto"/>
        <w:jc w:val="both"/>
        <w:rPr>
          <w:rFonts w:ascii="Garamond" w:eastAsia="Times New Roman" w:hAnsi="Garamond" w:cstheme="minorHAnsi"/>
          <w:sz w:val="24"/>
          <w:szCs w:val="24"/>
          <w:lang w:eastAsia="en-GB"/>
        </w:rPr>
      </w:pPr>
      <w:r>
        <w:rPr>
          <w:noProof/>
        </w:rPr>
        <w:drawing>
          <wp:inline distT="0" distB="0" distL="114300" distR="114300">
            <wp:extent cx="5055235" cy="3315970"/>
            <wp:effectExtent l="4445" t="4445" r="7620" b="13335"/>
            <wp:docPr id="5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132B9" w:rsidRDefault="00AD0BB0">
      <w:pPr>
        <w:spacing w:line="256" w:lineRule="auto"/>
        <w:jc w:val="both"/>
        <w:rPr>
          <w:rFonts w:ascii="Garamond" w:eastAsia="Times New Roman" w:hAnsi="Garamond" w:cstheme="minorHAnsi"/>
          <w:sz w:val="24"/>
          <w:szCs w:val="24"/>
          <w:lang w:eastAsia="en-GB"/>
        </w:rPr>
      </w:pP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Transferi za socijalnu zaštitu ostvareni su u iznosu od 1.107,2 mil. € što predstavlja 103,9% plana, odnosno za 41,5 mil.€ više od planiranog. U odnosu na isti period prethodne godine ostvarenje je veće za 99 mil. € ili 9,8%. Transferi institucijama, pojedincima, nevladinom i javnom sektoru za period januar-decembar iznosili su 467,9 mil. € i odstupaju od plana za 12 mil. € ili 2,6%. </w:t>
      </w:r>
    </w:p>
    <w:p w:rsidR="003132B9" w:rsidRDefault="00AD0BB0">
      <w:pPr>
        <w:spacing w:line="256" w:lineRule="auto"/>
        <w:jc w:val="both"/>
        <w:rPr>
          <w:rFonts w:ascii="Garamond" w:eastAsia="Times New Roman" w:hAnsi="Garamond" w:cstheme="minorHAnsi"/>
          <w:sz w:val="24"/>
          <w:szCs w:val="24"/>
          <w:lang w:eastAsia="en-GB"/>
        </w:rPr>
      </w:pPr>
      <w:r>
        <w:rPr>
          <w:rFonts w:ascii="Garamond" w:eastAsia="Times New Roman" w:hAnsi="Garamond" w:cstheme="minorHAnsi"/>
          <w:sz w:val="24"/>
          <w:szCs w:val="24"/>
          <w:lang w:eastAsia="en-GB"/>
        </w:rPr>
        <w:t>Kapitalni izdaci u posmatranom periodu ostvareni su u iznosu od 330 mil. € što predstavlja ostvarenje 97,2% plana. U odnosu na isti period prethodne godine izvršenje kapitalnih izdataka veće je za 30,8 mil. € ili 10,3%. Najznačajnije izdvajanje u okviru ove kategorije izdataka odnosi se na Kapitalni budžet u iznosu od 223,52 mil. €, dok se preostali iznos odnosi na kapitalne izdatke u okviru Tekućeg budžeta i budžeta fondova.</w:t>
      </w:r>
    </w:p>
    <w:p w:rsidR="003132B9" w:rsidRDefault="00AD0BB0">
      <w:pPr>
        <w:spacing w:line="256" w:lineRule="auto"/>
        <w:jc w:val="both"/>
        <w:rPr>
          <w:rFonts w:ascii="Garamond" w:eastAsia="Times New Roman" w:hAnsi="Garamond" w:cstheme="minorHAnsi"/>
          <w:b/>
          <w:sz w:val="24"/>
          <w:szCs w:val="24"/>
          <w:lang w:eastAsia="en-GB"/>
        </w:rPr>
      </w:pPr>
      <w:r>
        <w:rPr>
          <w:rFonts w:ascii="Garamond" w:eastAsia="Times New Roman" w:hAnsi="Garamond" w:cstheme="minorHAnsi"/>
          <w:b/>
          <w:sz w:val="24"/>
          <w:szCs w:val="24"/>
          <w:lang w:eastAsia="en-GB"/>
        </w:rPr>
        <w:t>Uzimajući u obzir ostvarene prihode i rashode, prema preliminarnim podacima za period januar-decembar 2025. godine ostvaren je deficit budžeta u iznosu od 319,1 mil. €, odnosno na nivou je od 3,91% procijenjenog BDP-a, dok je suficit tekuće potrošnje u ostvaren u iznosu od 10,8 mil. €.</w:t>
      </w:r>
    </w:p>
    <w:p w:rsidR="003132B9" w:rsidRDefault="00AD0BB0">
      <w:pPr>
        <w:shd w:val="clear" w:color="auto" w:fill="FFFFFF"/>
        <w:jc w:val="both"/>
        <w:rPr>
          <w:rFonts w:ascii="Garamond" w:hAnsi="Garamond"/>
          <w:color w:val="548DD4"/>
          <w:spacing w:val="15"/>
          <w:sz w:val="24"/>
          <w:szCs w:val="24"/>
          <w:shd w:val="clear" w:color="auto" w:fill="FFFFFF"/>
        </w:rPr>
      </w:pPr>
      <w:r>
        <w:rPr>
          <w:rFonts w:ascii="Garamond" w:hAnsi="Garamond"/>
          <w:color w:val="548DD4"/>
          <w:spacing w:val="15"/>
          <w:sz w:val="24"/>
          <w:szCs w:val="24"/>
          <w:shd w:val="clear" w:color="auto" w:fill="FFFFFF"/>
        </w:rPr>
        <w:t>LOKALNA SAMOUPRAVA</w:t>
      </w:r>
    </w:p>
    <w:p w:rsidR="003132B9" w:rsidRDefault="00AD0BB0">
      <w:pPr>
        <w:jc w:val="both"/>
        <w:rPr>
          <w:rFonts w:ascii="Garamond" w:hAnsi="Garamond" w:cstheme="minorHAnsi"/>
          <w:sz w:val="24"/>
          <w:szCs w:val="24"/>
          <w:lang w:val="sr-Latn-RS"/>
        </w:rPr>
      </w:pPr>
      <w:r>
        <w:rPr>
          <w:rFonts w:ascii="Garamond" w:hAnsi="Garamond" w:cstheme="minorHAnsi"/>
          <w:sz w:val="24"/>
          <w:szCs w:val="24"/>
          <w:lang w:val="sr-Latn-RS"/>
        </w:rPr>
        <w:t xml:space="preserve">Prema preliminarnim podacima, </w:t>
      </w:r>
      <w:r>
        <w:rPr>
          <w:rFonts w:ascii="Garamond" w:hAnsi="Garamond" w:cstheme="minorHAnsi"/>
          <w:b/>
          <w:sz w:val="24"/>
          <w:szCs w:val="24"/>
          <w:lang w:val="sr-Latn-RS"/>
        </w:rPr>
        <w:t>izvorni prihodi budžeta jedinica lokalne samouprave</w:t>
      </w:r>
      <w:r>
        <w:rPr>
          <w:rFonts w:ascii="Garamond" w:hAnsi="Garamond" w:cstheme="minorHAnsi"/>
          <w:sz w:val="24"/>
          <w:szCs w:val="24"/>
          <w:lang w:val="sr-Latn-RS"/>
        </w:rPr>
        <w:t xml:space="preserve"> u periodu januar - decembar 2025. godine iznosili su 483,9 mil. € ili </w:t>
      </w:r>
      <w:r w:rsidR="00BD5892">
        <w:rPr>
          <w:rFonts w:ascii="Garamond" w:hAnsi="Garamond" w:cstheme="minorHAnsi"/>
          <w:sz w:val="24"/>
          <w:szCs w:val="24"/>
          <w:lang w:val="sr-Latn-RS"/>
        </w:rPr>
        <w:t>5,9</w:t>
      </w:r>
      <w:r>
        <w:rPr>
          <w:rFonts w:ascii="Garamond" w:hAnsi="Garamond" w:cstheme="minorHAnsi"/>
          <w:sz w:val="24"/>
          <w:szCs w:val="24"/>
          <w:lang w:val="sr-Latn-RS"/>
        </w:rPr>
        <w:t xml:space="preserve">% BDP-a i odnosu na ostvarene u istom periodu 2024. veći su za 51,2 mil. € ili 11,8%, dok su u odnosu na planirane veći za 10,7 mil. € ili 2,3%. Prihodi od poreza iznosili su 302,0 mil.€ ili 3,7% BDP-a, a u odnosu na uporedni period prethodne godine veći su za 50,7 mil. €. </w:t>
      </w:r>
    </w:p>
    <w:p w:rsidR="003132B9" w:rsidRDefault="00AD0BB0">
      <w:pPr>
        <w:jc w:val="both"/>
        <w:rPr>
          <w:rFonts w:ascii="Garamond" w:hAnsi="Garamond" w:cstheme="minorHAnsi"/>
          <w:sz w:val="24"/>
          <w:szCs w:val="24"/>
          <w:lang w:val="sr-Latn-RS"/>
        </w:rPr>
      </w:pPr>
      <w:r>
        <w:rPr>
          <w:rFonts w:ascii="Garamond" w:hAnsi="Garamond" w:cstheme="minorHAnsi"/>
          <w:b/>
          <w:sz w:val="24"/>
          <w:szCs w:val="24"/>
          <w:lang w:val="sr-Latn-RS"/>
        </w:rPr>
        <w:t>Izdaci budžeta lokalne samouprave</w:t>
      </w:r>
      <w:r>
        <w:rPr>
          <w:rFonts w:ascii="Garamond" w:hAnsi="Garamond" w:cstheme="minorHAnsi"/>
          <w:sz w:val="24"/>
          <w:szCs w:val="24"/>
          <w:lang w:val="sr-Latn-RS"/>
        </w:rPr>
        <w:t xml:space="preserve"> u periodu januar-decembar 2025. godine iznosili su 511,6 mil. €, što je za 15,0 mil. € ili 3,0% više u odnosu na planirane, dok su u odnosu na uporedni period </w:t>
      </w:r>
      <w:r>
        <w:rPr>
          <w:rFonts w:ascii="Garamond" w:hAnsi="Garamond" w:cstheme="minorHAnsi"/>
          <w:sz w:val="24"/>
          <w:szCs w:val="24"/>
          <w:lang w:val="sr-Latn-RS"/>
        </w:rPr>
        <w:lastRenderedPageBreak/>
        <w:t xml:space="preserve">2024. godine izdaci veći za 77,1 mil. € ili 17,7%. Kapitalni izdaci su iznosili 179,2 mil. € ili 2,2% BDP-a. U odnosu na izvršenje od prethodne godine, ovi izdaci su veći za 33,8 mil. €. </w:t>
      </w:r>
    </w:p>
    <w:p w:rsidR="003132B9" w:rsidRDefault="00AD0BB0">
      <w:pPr>
        <w:jc w:val="both"/>
        <w:rPr>
          <w:rFonts w:ascii="Garamond" w:hAnsi="Garamond" w:cstheme="minorHAnsi"/>
          <w:sz w:val="24"/>
          <w:szCs w:val="24"/>
          <w:lang w:val="sr-Latn-RS"/>
        </w:rPr>
      </w:pPr>
      <w:r>
        <w:rPr>
          <w:rFonts w:ascii="Garamond" w:hAnsi="Garamond" w:cstheme="minorHAnsi"/>
          <w:sz w:val="24"/>
          <w:szCs w:val="24"/>
          <w:lang w:val="sr-Latn-RS"/>
        </w:rPr>
        <w:t xml:space="preserve">Na kraju 2025. godine zabilježen </w:t>
      </w:r>
      <w:r>
        <w:rPr>
          <w:rFonts w:ascii="Garamond" w:hAnsi="Garamond" w:cstheme="minorHAnsi"/>
          <w:b/>
          <w:sz w:val="24"/>
          <w:szCs w:val="24"/>
          <w:lang w:val="sr-Latn-RS"/>
        </w:rPr>
        <w:t>je gotovinski deficit lokalne samouprave</w:t>
      </w:r>
      <w:r>
        <w:rPr>
          <w:rFonts w:ascii="Garamond" w:hAnsi="Garamond" w:cstheme="minorHAnsi"/>
          <w:sz w:val="24"/>
          <w:szCs w:val="24"/>
          <w:lang w:val="sr-Latn-RS"/>
        </w:rPr>
        <w:t xml:space="preserve"> u iznosu od 27,7 mil. €.</w:t>
      </w:r>
    </w:p>
    <w:p w:rsidR="003132B9" w:rsidRDefault="00AD0BB0">
      <w:pPr>
        <w:jc w:val="both"/>
        <w:rPr>
          <w:rFonts w:ascii="Garamond" w:hAnsi="Garamond" w:cstheme="minorHAnsi"/>
          <w:sz w:val="24"/>
          <w:szCs w:val="24"/>
          <w:lang w:val="sr-Latn-RS"/>
        </w:rPr>
      </w:pPr>
      <w:r>
        <w:rPr>
          <w:rFonts w:ascii="Garamond" w:hAnsi="Garamond" w:cstheme="minorHAnsi"/>
          <w:sz w:val="24"/>
          <w:szCs w:val="24"/>
          <w:lang w:val="sr-Latn-RS"/>
        </w:rPr>
        <w:t>U posmatranom periodu došlo je do smanjenja depozita lokalnih samouprava u iznosu od 2,9 mil. € što je 0,04% procijenjenog BDP-a za 2025. godinu.</w:t>
      </w:r>
    </w:p>
    <w:p w:rsidR="006D5032" w:rsidRDefault="006D5032">
      <w:pPr>
        <w:jc w:val="both"/>
        <w:rPr>
          <w:rFonts w:ascii="Garamond" w:hAnsi="Garamond" w:cstheme="minorHAnsi"/>
          <w:sz w:val="24"/>
          <w:szCs w:val="24"/>
          <w:lang w:val="sr-Latn-RS"/>
        </w:rPr>
      </w:pPr>
    </w:p>
    <w:p w:rsidR="003132B9" w:rsidRPr="00A256AA" w:rsidRDefault="00AD0BB0">
      <w:pPr>
        <w:numPr>
          <w:ilvl w:val="1"/>
          <w:numId w:val="0"/>
        </w:numPr>
        <w:spacing w:before="240" w:after="120"/>
        <w:jc w:val="both"/>
        <w:rPr>
          <w:rFonts w:ascii="Garamond" w:hAnsi="Garamond"/>
          <w:color w:val="548DD4"/>
          <w:spacing w:val="15"/>
          <w:sz w:val="24"/>
          <w:shd w:val="clear" w:color="auto" w:fill="FFFFFF"/>
        </w:rPr>
      </w:pPr>
      <w:r w:rsidRPr="00A256AA">
        <w:rPr>
          <w:rFonts w:ascii="Garamond" w:hAnsi="Garamond"/>
          <w:color w:val="548DD4"/>
          <w:spacing w:val="15"/>
          <w:sz w:val="24"/>
          <w:shd w:val="clear" w:color="auto" w:fill="FFFFFF"/>
        </w:rPr>
        <w:t>JAVNI DUG U 202</w:t>
      </w:r>
      <w:r w:rsidR="00A256AA" w:rsidRPr="00A256AA">
        <w:rPr>
          <w:rFonts w:ascii="Garamond" w:hAnsi="Garamond"/>
          <w:color w:val="548DD4"/>
          <w:spacing w:val="15"/>
          <w:sz w:val="24"/>
          <w:shd w:val="clear" w:color="auto" w:fill="FFFFFF"/>
        </w:rPr>
        <w:t>5</w:t>
      </w:r>
      <w:r w:rsidRPr="00A256AA">
        <w:rPr>
          <w:rFonts w:ascii="Garamond" w:hAnsi="Garamond"/>
          <w:color w:val="548DD4"/>
          <w:spacing w:val="15"/>
          <w:sz w:val="24"/>
          <w:shd w:val="clear" w:color="auto" w:fill="FFFFFF"/>
        </w:rPr>
        <w:t>. GODINI</w:t>
      </w:r>
    </w:p>
    <w:p w:rsidR="00A256AA" w:rsidRDefault="00A256AA" w:rsidP="00A256AA">
      <w:pPr>
        <w:pStyle w:val="Footer"/>
        <w:suppressAutoHyphens/>
        <w:jc w:val="both"/>
        <w:rPr>
          <w:rFonts w:ascii="Garamond" w:hAnsi="Garamond"/>
          <w:color w:val="000000" w:themeColor="text1"/>
          <w:sz w:val="24"/>
        </w:rPr>
      </w:pPr>
    </w:p>
    <w:p w:rsidR="0006006F" w:rsidRPr="00D11368" w:rsidRDefault="0006006F" w:rsidP="0006006F">
      <w:pPr>
        <w:jc w:val="both"/>
        <w:rPr>
          <w:rFonts w:ascii="Garamond" w:hAnsi="Garamond" w:cstheme="minorHAnsi"/>
          <w:b/>
          <w:sz w:val="24"/>
          <w:szCs w:val="24"/>
          <w:lang w:val="sr-Latn-RS"/>
        </w:rPr>
      </w:pPr>
      <w:r w:rsidRPr="00D11368">
        <w:rPr>
          <w:rFonts w:ascii="Garamond" w:hAnsi="Garamond" w:cstheme="minorHAnsi"/>
          <w:sz w:val="24"/>
          <w:szCs w:val="24"/>
          <w:lang w:val="sr-Latn-RS"/>
        </w:rPr>
        <w:t xml:space="preserve">Uzimajući u obzir depozite Ministarstva finansija, uključujući i 38.477 unci zlata, koji su na kraju 2025. godine iznosili 804,68 miliona eura, </w:t>
      </w:r>
      <w:r w:rsidRPr="00D11368">
        <w:rPr>
          <w:rFonts w:ascii="Garamond" w:hAnsi="Garamond" w:cstheme="minorHAnsi"/>
          <w:b/>
          <w:sz w:val="24"/>
          <w:szCs w:val="24"/>
          <w:lang w:val="sr-Latn-RS"/>
        </w:rPr>
        <w:t>neto javni dug Crne Gore na dan 31.12.2025. godine iznosio je 4.383,72 miliona eura, odnosno 53,65% BDP-a, što je za 1,14 procentnih poena manje u odnosu na kraj 2024. godine. Na taj način dodatno je unaprijeđena neto pozicija Crne Gore u pogledu zaduženosti.</w:t>
      </w:r>
    </w:p>
    <w:p w:rsidR="0006006F" w:rsidRPr="00D11368" w:rsidRDefault="0006006F" w:rsidP="0006006F">
      <w:pPr>
        <w:jc w:val="both"/>
        <w:rPr>
          <w:rFonts w:ascii="Garamond" w:hAnsi="Garamond" w:cstheme="minorHAnsi"/>
          <w:sz w:val="24"/>
          <w:szCs w:val="24"/>
          <w:lang w:val="sr-Latn-RS"/>
        </w:rPr>
      </w:pPr>
      <w:r w:rsidRPr="00D11368">
        <w:rPr>
          <w:rFonts w:ascii="Garamond" w:hAnsi="Garamond" w:cstheme="minorHAnsi"/>
          <w:sz w:val="24"/>
          <w:szCs w:val="24"/>
          <w:lang w:val="sr-Latn-RS"/>
        </w:rPr>
        <w:t>Ukupan javni dug na kraju 2025. godine odražava strateško i plansko upravljanje javnim finansijama, usmjereno na jačanje fiskalne stabilnosti i podršku razvojnim prioritetima i na dan 31.12.2025. godine, iznosio je 5.188,41 miliona eura, odnosno 63,50% BDP-a</w:t>
      </w:r>
      <w:r w:rsidRPr="00D11368">
        <w:rPr>
          <w:rFonts w:ascii="Garamond" w:hAnsi="Garamond" w:cstheme="minorHAnsi"/>
          <w:sz w:val="24"/>
          <w:szCs w:val="24"/>
          <w:lang w:val="sr-Latn-RS"/>
        </w:rPr>
        <w:footnoteReference w:id="2"/>
      </w:r>
      <w:r w:rsidRPr="00D11368">
        <w:rPr>
          <w:rFonts w:ascii="Garamond" w:hAnsi="Garamond" w:cstheme="minorHAnsi"/>
          <w:sz w:val="24"/>
          <w:szCs w:val="24"/>
          <w:lang w:val="sr-Latn-RS"/>
        </w:rPr>
        <w:t xml:space="preserve">. </w:t>
      </w:r>
    </w:p>
    <w:p w:rsidR="0006006F" w:rsidRPr="00D11368" w:rsidRDefault="0006006F" w:rsidP="0006006F">
      <w:pPr>
        <w:jc w:val="both"/>
        <w:rPr>
          <w:rFonts w:ascii="Garamond" w:hAnsi="Garamond" w:cstheme="minorHAnsi"/>
          <w:b/>
          <w:sz w:val="24"/>
          <w:szCs w:val="24"/>
          <w:lang w:val="sr-Latn-RS"/>
        </w:rPr>
      </w:pPr>
      <w:r w:rsidRPr="00D11368">
        <w:rPr>
          <w:rFonts w:ascii="Garamond" w:hAnsi="Garamond" w:cstheme="minorHAnsi"/>
          <w:sz w:val="24"/>
          <w:szCs w:val="24"/>
          <w:lang w:val="sr-Latn-RS"/>
        </w:rPr>
        <w:t>Tokom 2025. godine država se primarno zaduživala radi redovne otplate duga i formiranja fiskalne rezerve za 2026. i 2027. godinu. Zahvaljujući tome,</w:t>
      </w:r>
      <w:r w:rsidRPr="00D11368">
        <w:rPr>
          <w:rFonts w:ascii="Garamond" w:hAnsi="Garamond" w:cstheme="minorHAnsi"/>
          <w:b/>
          <w:sz w:val="24"/>
          <w:szCs w:val="24"/>
          <w:lang w:val="sr-Latn-RS"/>
        </w:rPr>
        <w:t xml:space="preserve"> ukupno raspoloživa sredstva na kraju 2025. godine iznosila su 661,74 miliona eura, što predstavlja snažnu finansijsku osnovu za naredni period.</w:t>
      </w:r>
    </w:p>
    <w:p w:rsidR="0006006F" w:rsidRPr="00D11368" w:rsidRDefault="0006006F" w:rsidP="0006006F">
      <w:pPr>
        <w:jc w:val="both"/>
        <w:rPr>
          <w:rFonts w:ascii="Garamond" w:hAnsi="Garamond" w:cstheme="minorHAnsi"/>
          <w:sz w:val="24"/>
          <w:szCs w:val="24"/>
          <w:lang w:val="sr-Latn-RS"/>
        </w:rPr>
      </w:pPr>
      <w:r w:rsidRPr="00D11368">
        <w:rPr>
          <w:rFonts w:ascii="Garamond" w:hAnsi="Garamond" w:cstheme="minorHAnsi"/>
          <w:sz w:val="24"/>
          <w:szCs w:val="24"/>
          <w:lang w:val="sr-Latn-RS"/>
        </w:rPr>
        <w:t xml:space="preserve">Tokom 2025. godine država je emitovala obveznicu na međunarodnom tržištu u iznosu od 850 miliona eura, kao i domaće obveznice namijenjene fizičkim i pravnim licima u iznosu od 49,87 miliona eura. Pored toga, zaključen je i kreditni aranžman za obezbjeđenje fiskalne rezerve za 2026. i 2027. godinu u iznosu od 450 miliona eura. U istom periodu, zaključen je i kreditni aranžman sa Evropskom komisijom za realizaciju Instrumenta za reforme i rast (Plan rasta), a realizovana su i povlačenja kreditnih sredstava iz aranžmana zaključenih tokom 2025. godine, kao i iz ranijih ugovora, namijenjenih finansiranju razvojnih i infrastrukturnih projekata. </w:t>
      </w:r>
    </w:p>
    <w:p w:rsidR="0006006F" w:rsidRPr="00D11368" w:rsidRDefault="0006006F" w:rsidP="0006006F">
      <w:pPr>
        <w:jc w:val="both"/>
        <w:rPr>
          <w:rFonts w:ascii="Garamond" w:hAnsi="Garamond" w:cstheme="minorHAnsi"/>
          <w:sz w:val="24"/>
          <w:szCs w:val="24"/>
          <w:lang w:val="sr-Latn-RS"/>
        </w:rPr>
      </w:pPr>
      <w:r w:rsidRPr="00D11368">
        <w:rPr>
          <w:rFonts w:ascii="Garamond" w:hAnsi="Garamond" w:cstheme="minorHAnsi"/>
          <w:sz w:val="24"/>
          <w:szCs w:val="24"/>
          <w:lang w:val="sr-Latn-RS"/>
        </w:rPr>
        <w:t>Uporedo, tokom 2025. godine, izvršena je redovna otplata duga po osnovu postojećih zaduženja u iznosu od 803,7</w:t>
      </w:r>
      <w:r>
        <w:rPr>
          <w:rFonts w:ascii="Garamond" w:hAnsi="Garamond" w:cstheme="minorHAnsi"/>
          <w:sz w:val="24"/>
          <w:szCs w:val="24"/>
          <w:lang w:val="sr-Latn-RS"/>
        </w:rPr>
        <w:t>1</w:t>
      </w:r>
      <w:r w:rsidRPr="00D11368">
        <w:rPr>
          <w:rFonts w:ascii="Garamond" w:hAnsi="Garamond" w:cstheme="minorHAnsi"/>
          <w:sz w:val="24"/>
          <w:szCs w:val="24"/>
          <w:lang w:val="sr-Latn-RS"/>
        </w:rPr>
        <w:t xml:space="preserve"> miliona eura. </w:t>
      </w:r>
    </w:p>
    <w:p w:rsidR="0006006F" w:rsidRPr="00D11368" w:rsidRDefault="0006006F" w:rsidP="0006006F">
      <w:pPr>
        <w:jc w:val="both"/>
        <w:rPr>
          <w:rFonts w:ascii="Garamond" w:hAnsi="Garamond" w:cstheme="minorHAnsi"/>
          <w:b/>
          <w:sz w:val="24"/>
          <w:szCs w:val="24"/>
          <w:lang w:val="sr-Latn-RS"/>
        </w:rPr>
      </w:pPr>
      <w:r w:rsidRPr="00D11368">
        <w:rPr>
          <w:rFonts w:ascii="Garamond" w:hAnsi="Garamond" w:cstheme="minorHAnsi"/>
          <w:b/>
          <w:sz w:val="24"/>
          <w:szCs w:val="24"/>
          <w:lang w:val="sr-Latn-RS"/>
        </w:rPr>
        <w:t xml:space="preserve">Na kraju 2025. godine, javni dug rezultat je unaprijed planiranog finansiranja budućih obaveza i realizacije kapitalnih ulaganja. </w:t>
      </w:r>
    </w:p>
    <w:p w:rsidR="0006006F" w:rsidRPr="00D11368" w:rsidRDefault="0006006F" w:rsidP="0006006F">
      <w:pPr>
        <w:jc w:val="both"/>
        <w:rPr>
          <w:rFonts w:ascii="Garamond" w:hAnsi="Garamond" w:cstheme="minorHAnsi"/>
          <w:sz w:val="24"/>
          <w:szCs w:val="24"/>
          <w:lang w:val="sr-Latn-RS"/>
        </w:rPr>
      </w:pPr>
    </w:p>
    <w:p w:rsidR="0006006F" w:rsidRPr="00D11368" w:rsidRDefault="0006006F" w:rsidP="0006006F">
      <w:pPr>
        <w:jc w:val="both"/>
        <w:rPr>
          <w:rFonts w:ascii="Garamond" w:hAnsi="Garamond" w:cstheme="minorHAnsi"/>
          <w:sz w:val="24"/>
          <w:szCs w:val="24"/>
          <w:lang w:val="sr-Latn-RS"/>
        </w:rPr>
      </w:pPr>
    </w:p>
    <w:p w:rsidR="0006006F" w:rsidRDefault="0006006F" w:rsidP="0006006F">
      <w:pPr>
        <w:pStyle w:val="Footer"/>
        <w:suppressAutoHyphens/>
        <w:jc w:val="both"/>
        <w:rPr>
          <w:rFonts w:ascii="Garamond" w:hAnsi="Garamond"/>
          <w:color w:val="000000" w:themeColor="text1"/>
          <w:sz w:val="24"/>
        </w:rPr>
      </w:pPr>
    </w:p>
    <w:p w:rsidR="0006006F" w:rsidRDefault="0006006F" w:rsidP="0006006F">
      <w:pPr>
        <w:pStyle w:val="Footer"/>
        <w:suppressAutoHyphens/>
        <w:jc w:val="both"/>
        <w:rPr>
          <w:rFonts w:ascii="Garamond" w:hAnsi="Garamond"/>
          <w:color w:val="000000" w:themeColor="text1"/>
          <w:sz w:val="24"/>
        </w:rPr>
      </w:pPr>
    </w:p>
    <w:p w:rsidR="0006006F" w:rsidRDefault="0006006F" w:rsidP="0006006F">
      <w:pPr>
        <w:pStyle w:val="Footer"/>
        <w:suppressAutoHyphens/>
        <w:jc w:val="both"/>
        <w:rPr>
          <w:rFonts w:ascii="Garamond" w:hAnsi="Garamond"/>
          <w:color w:val="000000" w:themeColor="text1"/>
          <w:sz w:val="24"/>
        </w:rPr>
      </w:pPr>
    </w:p>
    <w:p w:rsidR="0006006F" w:rsidRDefault="0006006F" w:rsidP="0006006F">
      <w:pPr>
        <w:pStyle w:val="Footer"/>
        <w:suppressAutoHyphens/>
        <w:jc w:val="both"/>
        <w:rPr>
          <w:rFonts w:ascii="Garamond" w:hAnsi="Garamond"/>
          <w:color w:val="000000" w:themeColor="text1"/>
          <w:sz w:val="24"/>
        </w:rPr>
      </w:pPr>
    </w:p>
    <w:p w:rsidR="0006006F" w:rsidRDefault="0006006F" w:rsidP="0006006F">
      <w:pPr>
        <w:pStyle w:val="Footer"/>
        <w:suppressAutoHyphens/>
        <w:jc w:val="both"/>
        <w:rPr>
          <w:rFonts w:ascii="Garamond" w:hAnsi="Garamond"/>
          <w:color w:val="000000" w:themeColor="text1"/>
          <w:sz w:val="24"/>
        </w:rPr>
      </w:pPr>
      <w:r w:rsidRPr="00782096">
        <w:rPr>
          <w:rFonts w:ascii="Garamond" w:hAnsi="Garamond"/>
          <w:color w:val="000000" w:themeColor="text1"/>
          <w:sz w:val="24"/>
        </w:rPr>
        <w:lastRenderedPageBreak/>
        <w:t>Uporedni prikaz kretanja bruto i neto javnog duga na kraju 2024. i 2025. godine može se vidjeti na graficima 1 i 2.</w:t>
      </w:r>
    </w:p>
    <w:p w:rsidR="0006006F" w:rsidRDefault="0006006F" w:rsidP="0006006F">
      <w:pPr>
        <w:pStyle w:val="Footer"/>
        <w:suppressAutoHyphens/>
        <w:jc w:val="both"/>
        <w:rPr>
          <w:rFonts w:ascii="Garamond" w:hAnsi="Garamond"/>
          <w:color w:val="000000" w:themeColor="text1"/>
          <w:sz w:val="24"/>
        </w:rPr>
      </w:pPr>
    </w:p>
    <w:p w:rsidR="0006006F" w:rsidRPr="00D11368" w:rsidRDefault="0006006F" w:rsidP="0006006F">
      <w:pPr>
        <w:jc w:val="both"/>
        <w:rPr>
          <w:rFonts w:ascii="Garamond" w:hAnsi="Garamond" w:cstheme="minorHAnsi"/>
          <w:sz w:val="24"/>
          <w:szCs w:val="24"/>
          <w:lang w:val="sr-Latn-RS"/>
        </w:rPr>
      </w:pPr>
      <w:r w:rsidRPr="00D11368">
        <w:rPr>
          <w:rFonts w:ascii="Garamond" w:hAnsi="Garamond" w:cstheme="minorHAnsi"/>
          <w:sz w:val="24"/>
          <w:szCs w:val="24"/>
          <w:lang w:val="sr-Latn-RS"/>
        </w:rPr>
        <w:t>Grafik 1: Kretanje državnog duga                                       Grafik 2: Kretanje javnog duga</w:t>
      </w:r>
    </w:p>
    <w:p w:rsidR="0006006F" w:rsidRPr="00D11368" w:rsidRDefault="0006006F" w:rsidP="0006006F">
      <w:pPr>
        <w:jc w:val="both"/>
        <w:rPr>
          <w:rFonts w:ascii="Garamond" w:hAnsi="Garamond" w:cstheme="minorHAnsi"/>
          <w:sz w:val="24"/>
          <w:szCs w:val="24"/>
          <w:lang w:val="sr-Latn-RS"/>
        </w:rPr>
      </w:pPr>
      <w:r w:rsidRPr="00D11368">
        <w:rPr>
          <w:rFonts w:ascii="Garamond" w:hAnsi="Garamond" w:cstheme="minorHAnsi"/>
          <w:sz w:val="24"/>
          <w:szCs w:val="24"/>
          <w:lang w:val="sr-Latn-RS"/>
        </w:rPr>
        <w:t xml:space="preserve"> </w:t>
      </w:r>
      <w:r w:rsidRPr="00D11368">
        <w:rPr>
          <w:rFonts w:ascii="Garamond" w:hAnsi="Garamond" w:cstheme="minorHAnsi"/>
          <w:noProof/>
          <w:sz w:val="24"/>
          <w:szCs w:val="24"/>
          <w:lang w:val="sr-Latn-RS"/>
        </w:rPr>
        <w:drawing>
          <wp:inline distT="0" distB="0" distL="0" distR="0" wp14:anchorId="180B6C80" wp14:editId="094E3090">
            <wp:extent cx="2619375" cy="1835150"/>
            <wp:effectExtent l="0" t="0" r="0" b="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7AF516DA-1D04-4D6D-9669-7FA53681B4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Pr="00D11368">
        <w:rPr>
          <w:rFonts w:ascii="Garamond" w:hAnsi="Garamond" w:cstheme="minorHAnsi"/>
          <w:sz w:val="24"/>
          <w:szCs w:val="24"/>
          <w:lang w:val="sr-Latn-RS"/>
        </w:rPr>
        <w:t xml:space="preserve"> </w:t>
      </w:r>
      <w:r w:rsidRPr="00D11368">
        <w:rPr>
          <w:rFonts w:ascii="Garamond" w:hAnsi="Garamond" w:cstheme="minorHAnsi"/>
          <w:noProof/>
          <w:sz w:val="24"/>
          <w:szCs w:val="24"/>
          <w:lang w:val="sr-Latn-RS"/>
        </w:rPr>
        <w:drawing>
          <wp:inline distT="0" distB="0" distL="0" distR="0" wp14:anchorId="17A9B16C" wp14:editId="64083D0C">
            <wp:extent cx="2851785" cy="1831037"/>
            <wp:effectExtent l="0" t="0" r="5715" b="0"/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id="{DDB3C3D0-284C-462F-AAEF-A38611E304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Pr="00D11368">
        <w:rPr>
          <w:rFonts w:ascii="Garamond" w:hAnsi="Garamond" w:cstheme="minorHAnsi"/>
          <w:sz w:val="24"/>
          <w:szCs w:val="24"/>
          <w:lang w:val="sr-Latn-RS"/>
        </w:rPr>
        <w:t xml:space="preserve">     </w:t>
      </w:r>
    </w:p>
    <w:p w:rsidR="0006006F" w:rsidRDefault="0006006F" w:rsidP="0006006F">
      <w:pPr>
        <w:spacing w:after="0" w:line="240" w:lineRule="auto"/>
        <w:jc w:val="right"/>
        <w:rPr>
          <w:rFonts w:ascii="Cambria" w:eastAsia="Times New Roman" w:hAnsi="Cambria" w:cs="Times New Roman"/>
          <w:b/>
          <w:color w:val="000000"/>
          <w:sz w:val="20"/>
        </w:rPr>
      </w:pPr>
    </w:p>
    <w:p w:rsidR="0006006F" w:rsidRPr="0064248B" w:rsidRDefault="0006006F" w:rsidP="0006006F">
      <w:pPr>
        <w:numPr>
          <w:ilvl w:val="1"/>
          <w:numId w:val="0"/>
        </w:numPr>
        <w:spacing w:before="240" w:after="120"/>
        <w:jc w:val="both"/>
        <w:rPr>
          <w:rFonts w:ascii="Garamond" w:hAnsi="Garamond"/>
          <w:color w:val="548DD4"/>
          <w:spacing w:val="15"/>
          <w:sz w:val="24"/>
          <w:shd w:val="clear" w:color="auto" w:fill="FFFFFF"/>
        </w:rPr>
      </w:pPr>
      <w:bookmarkStart w:id="2" w:name="_Toc225417608"/>
      <w:r w:rsidRPr="0064248B">
        <w:rPr>
          <w:rFonts w:ascii="Garamond" w:hAnsi="Garamond"/>
          <w:color w:val="548DD4"/>
          <w:spacing w:val="15"/>
          <w:sz w:val="24"/>
          <w:shd w:val="clear" w:color="auto" w:fill="FFFFFF"/>
        </w:rPr>
        <w:t>Parametri kvaliteta državnog duga</w:t>
      </w:r>
      <w:bookmarkStart w:id="3" w:name="_Toc41286676"/>
      <w:bookmarkEnd w:id="2"/>
    </w:p>
    <w:p w:rsidR="0006006F" w:rsidRPr="0064248B" w:rsidRDefault="0006006F" w:rsidP="0006006F">
      <w:pPr>
        <w:jc w:val="both"/>
        <w:rPr>
          <w:rFonts w:ascii="Garamond" w:hAnsi="Garamond" w:cstheme="minorHAnsi"/>
          <w:sz w:val="24"/>
          <w:szCs w:val="24"/>
          <w:lang w:val="sr-Latn-RS"/>
        </w:rPr>
      </w:pPr>
    </w:p>
    <w:p w:rsidR="0006006F" w:rsidRPr="0064248B" w:rsidRDefault="0006006F" w:rsidP="0006006F">
      <w:pPr>
        <w:jc w:val="both"/>
        <w:rPr>
          <w:rFonts w:ascii="Garamond" w:hAnsi="Garamond" w:cstheme="minorHAnsi"/>
          <w:sz w:val="24"/>
          <w:szCs w:val="24"/>
          <w:lang w:val="sr-Latn-RS"/>
        </w:rPr>
      </w:pPr>
      <w:bookmarkStart w:id="4" w:name="_Hlk193449105"/>
      <w:r>
        <w:rPr>
          <w:rFonts w:ascii="Garamond" w:hAnsi="Garamond" w:cstheme="minorHAnsi"/>
          <w:sz w:val="24"/>
          <w:szCs w:val="24"/>
          <w:lang w:val="sr-Latn-RS"/>
        </w:rPr>
        <w:t>V</w:t>
      </w:r>
      <w:r w:rsidRPr="0064248B">
        <w:rPr>
          <w:rFonts w:ascii="Garamond" w:hAnsi="Garamond" w:cstheme="minorHAnsi"/>
          <w:sz w:val="24"/>
          <w:szCs w:val="24"/>
          <w:lang w:val="sr-Latn-RS"/>
        </w:rPr>
        <w:t>alutna struktura državnog duga na 31.12.2025. godine</w:t>
      </w:r>
    </w:p>
    <w:p w:rsidR="0006006F" w:rsidRPr="0064248B" w:rsidRDefault="0006006F" w:rsidP="0006006F">
      <w:pPr>
        <w:jc w:val="both"/>
        <w:rPr>
          <w:rFonts w:ascii="Garamond" w:hAnsi="Garamond" w:cstheme="minorHAnsi"/>
          <w:sz w:val="24"/>
          <w:szCs w:val="24"/>
          <w:lang w:val="sr-Latn-RS"/>
        </w:rPr>
      </w:pPr>
      <w:r w:rsidRPr="0064248B">
        <w:rPr>
          <w:rFonts w:ascii="Garamond" w:hAnsi="Garamond" w:cstheme="minorHAnsi"/>
          <w:noProof/>
          <w:sz w:val="24"/>
          <w:szCs w:val="24"/>
          <w:lang w:val="sr-Latn-RS"/>
        </w:rPr>
        <w:drawing>
          <wp:anchor distT="0" distB="0" distL="114300" distR="114300" simplePos="0" relativeHeight="251662336" behindDoc="0" locked="0" layoutInCell="1" allowOverlap="1" wp14:anchorId="2B1AD3C5" wp14:editId="3F3B0150">
            <wp:simplePos x="0" y="0"/>
            <wp:positionH relativeFrom="margin">
              <wp:posOffset>-4445</wp:posOffset>
            </wp:positionH>
            <wp:positionV relativeFrom="paragraph">
              <wp:posOffset>147955</wp:posOffset>
            </wp:positionV>
            <wp:extent cx="2435860" cy="2114550"/>
            <wp:effectExtent l="0" t="0" r="40640" b="0"/>
            <wp:wrapSquare wrapText="bothSides"/>
            <wp:docPr id="24" name="Chart 24">
              <a:extLst xmlns:a="http://schemas.openxmlformats.org/drawingml/2006/main">
                <a:ext uri="{FF2B5EF4-FFF2-40B4-BE49-F238E27FC236}">
                  <a16:creationId xmlns:a16="http://schemas.microsoft.com/office/drawing/2014/main" id="{47E77130-BAE7-4B51-BCED-0F358A34B2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248B">
        <w:rPr>
          <w:rFonts w:ascii="Garamond" w:hAnsi="Garamond" w:cstheme="minorHAnsi"/>
          <w:sz w:val="24"/>
          <w:szCs w:val="24"/>
          <w:lang w:val="sr-Latn-RS"/>
        </w:rPr>
        <w:t xml:space="preserve">            </w:t>
      </w:r>
    </w:p>
    <w:bookmarkEnd w:id="3"/>
    <w:bookmarkEnd w:id="4"/>
    <w:p w:rsidR="0006006F" w:rsidRPr="0064248B" w:rsidRDefault="0006006F" w:rsidP="0006006F">
      <w:pPr>
        <w:jc w:val="both"/>
        <w:rPr>
          <w:rFonts w:ascii="Garamond" w:hAnsi="Garamond" w:cstheme="minorHAnsi"/>
          <w:sz w:val="24"/>
          <w:szCs w:val="24"/>
          <w:lang w:val="sr-Latn-RS"/>
        </w:rPr>
      </w:pPr>
      <w:r w:rsidRPr="0064248B">
        <w:rPr>
          <w:rFonts w:ascii="Garamond" w:hAnsi="Garamond" w:cstheme="minorHAnsi"/>
          <w:sz w:val="24"/>
          <w:szCs w:val="24"/>
          <w:lang w:val="sr-Latn-RS"/>
        </w:rPr>
        <w:t xml:space="preserve">Valutna struktura državnog duga, na kraju 2025. godine u odnosu na kraj 2024. godine je ostala gotovo nepromijenjena. Zahvaljujući realizovanim hedžing aranžmanima, učešće eurskog duga u ukupnom državnom dugu iznosi 99,75%, dok je svega 0,25% državnog duga izraženo u drugim valutama. </w:t>
      </w:r>
    </w:p>
    <w:p w:rsidR="0006006F" w:rsidRDefault="0006006F" w:rsidP="0006006F">
      <w:pPr>
        <w:jc w:val="both"/>
        <w:rPr>
          <w:rFonts w:ascii="Garamond" w:hAnsi="Garamond" w:cstheme="minorHAnsi"/>
          <w:sz w:val="24"/>
          <w:szCs w:val="24"/>
          <w:lang w:val="sr-Latn-RS"/>
        </w:rPr>
      </w:pPr>
      <w:bookmarkStart w:id="5" w:name="_Hlk193449929"/>
      <w:bookmarkStart w:id="6" w:name="_Toc3474460"/>
      <w:bookmarkStart w:id="7" w:name="_Toc35253506"/>
    </w:p>
    <w:p w:rsidR="0006006F" w:rsidRDefault="0006006F" w:rsidP="0006006F">
      <w:pPr>
        <w:jc w:val="both"/>
        <w:rPr>
          <w:rFonts w:ascii="Garamond" w:hAnsi="Garamond" w:cstheme="minorHAnsi"/>
          <w:sz w:val="24"/>
          <w:szCs w:val="24"/>
          <w:lang w:val="sr-Latn-RS"/>
        </w:rPr>
      </w:pPr>
    </w:p>
    <w:p w:rsidR="0006006F" w:rsidRDefault="0006006F" w:rsidP="0006006F">
      <w:pPr>
        <w:jc w:val="both"/>
        <w:rPr>
          <w:rFonts w:ascii="Garamond" w:hAnsi="Garamond" w:cstheme="minorHAnsi"/>
          <w:sz w:val="24"/>
          <w:szCs w:val="24"/>
          <w:lang w:val="sr-Latn-RS"/>
        </w:rPr>
      </w:pPr>
    </w:p>
    <w:p w:rsidR="0006006F" w:rsidRPr="0064248B" w:rsidRDefault="0006006F" w:rsidP="0006006F">
      <w:pPr>
        <w:jc w:val="both"/>
        <w:rPr>
          <w:rFonts w:ascii="Garamond" w:hAnsi="Garamond" w:cstheme="minorHAnsi"/>
          <w:sz w:val="24"/>
          <w:szCs w:val="24"/>
          <w:lang w:val="sr-Latn-RS"/>
        </w:rPr>
      </w:pPr>
      <w:bookmarkStart w:id="8" w:name="_Toc41286677"/>
      <w:r w:rsidRPr="0064248B">
        <w:rPr>
          <w:rFonts w:ascii="Garamond" w:hAnsi="Garamond" w:cstheme="minorHAnsi"/>
          <w:sz w:val="24"/>
          <w:szCs w:val="24"/>
          <w:lang w:val="sr-Latn-RS"/>
        </w:rPr>
        <w:t>Kamatna struktura državnog duga</w:t>
      </w:r>
      <w:bookmarkEnd w:id="8"/>
      <w:r w:rsidRPr="0064248B">
        <w:rPr>
          <w:rFonts w:ascii="Garamond" w:hAnsi="Garamond" w:cstheme="minorHAnsi"/>
          <w:sz w:val="24"/>
          <w:szCs w:val="24"/>
          <w:lang w:val="sr-Latn-RS"/>
        </w:rPr>
        <w:t xml:space="preserve"> na 31.12.2025. godine</w:t>
      </w:r>
    </w:p>
    <w:bookmarkEnd w:id="5"/>
    <w:bookmarkEnd w:id="6"/>
    <w:bookmarkEnd w:id="7"/>
    <w:p w:rsidR="0006006F" w:rsidRPr="0064248B" w:rsidRDefault="0006006F" w:rsidP="0006006F">
      <w:pPr>
        <w:jc w:val="both"/>
        <w:rPr>
          <w:rFonts w:ascii="Garamond" w:hAnsi="Garamond" w:cstheme="minorHAnsi"/>
          <w:sz w:val="24"/>
          <w:szCs w:val="24"/>
          <w:lang w:val="sr-Latn-RS"/>
        </w:rPr>
      </w:pPr>
      <w:r w:rsidRPr="0064248B">
        <w:rPr>
          <w:rFonts w:ascii="Garamond" w:hAnsi="Garamond" w:cstheme="minorHAnsi"/>
          <w:noProof/>
          <w:sz w:val="24"/>
          <w:szCs w:val="24"/>
          <w:lang w:val="sr-Latn-RS"/>
        </w:rPr>
        <w:drawing>
          <wp:anchor distT="0" distB="0" distL="114300" distR="114300" simplePos="0" relativeHeight="251663360" behindDoc="0" locked="0" layoutInCell="1" allowOverlap="1" wp14:anchorId="55AE1E3F" wp14:editId="13CB3BF8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2578735" cy="2277110"/>
            <wp:effectExtent l="0" t="0" r="31115" b="8890"/>
            <wp:wrapSquare wrapText="bothSides"/>
            <wp:docPr id="30" name="Chart 30">
              <a:extLst xmlns:a="http://schemas.openxmlformats.org/drawingml/2006/main">
                <a:ext uri="{FF2B5EF4-FFF2-40B4-BE49-F238E27FC236}">
                  <a16:creationId xmlns:a16="http://schemas.microsoft.com/office/drawing/2014/main" id="{EE74380D-94E2-4699-AD8B-73EE9DAC55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248B">
        <w:rPr>
          <w:rFonts w:ascii="Garamond" w:hAnsi="Garamond" w:cstheme="minorHAnsi"/>
          <w:sz w:val="24"/>
          <w:szCs w:val="24"/>
          <w:lang w:val="sr-Latn-RS"/>
        </w:rPr>
        <w:t xml:space="preserve">Kada govorimo o kamatnoj strukturi državnog duga, došlo je do povećanja učešća duga sa varijabilnom kamatnom stopom za oko 4,2 procentna poena u odnosu na kraj 2024. godine. I pored navedenog, ukupan dug sa fiksnom kamatnom stopom i dalje preovladava sa 78,8% učešća u ukupnom državnom dugu. </w:t>
      </w:r>
    </w:p>
    <w:p w:rsidR="0006006F" w:rsidRPr="0064248B" w:rsidRDefault="0006006F" w:rsidP="0006006F">
      <w:pPr>
        <w:jc w:val="both"/>
        <w:rPr>
          <w:rFonts w:ascii="Garamond" w:hAnsi="Garamond" w:cstheme="minorHAnsi"/>
          <w:sz w:val="24"/>
          <w:szCs w:val="24"/>
          <w:lang w:val="sr-Latn-RS"/>
        </w:rPr>
      </w:pPr>
    </w:p>
    <w:p w:rsidR="0006006F" w:rsidRPr="0064248B" w:rsidRDefault="0006006F" w:rsidP="0006006F">
      <w:pPr>
        <w:jc w:val="both"/>
        <w:rPr>
          <w:rFonts w:ascii="Garamond" w:hAnsi="Garamond" w:cstheme="minorHAnsi"/>
          <w:sz w:val="24"/>
          <w:szCs w:val="24"/>
          <w:lang w:val="sr-Latn-RS"/>
        </w:rPr>
      </w:pPr>
    </w:p>
    <w:p w:rsidR="00A256AA" w:rsidRDefault="0006006F" w:rsidP="0006006F">
      <w:pPr>
        <w:jc w:val="both"/>
        <w:rPr>
          <w:rFonts w:ascii="Garamond" w:hAnsi="Garamond" w:cstheme="minorHAnsi"/>
          <w:sz w:val="24"/>
          <w:szCs w:val="24"/>
        </w:rPr>
      </w:pPr>
      <w:r w:rsidRPr="0064248B">
        <w:rPr>
          <w:rFonts w:ascii="Garamond" w:hAnsi="Garamond" w:cstheme="minorHAnsi"/>
          <w:sz w:val="24"/>
          <w:szCs w:val="24"/>
          <w:lang w:val="sr-Latn-RS"/>
        </w:rPr>
        <w:t xml:space="preserve">                                                   </w:t>
      </w:r>
      <w:r w:rsidRPr="0064248B">
        <w:rPr>
          <w:rFonts w:ascii="Garamond" w:hAnsi="Garamond" w:cstheme="minorHAnsi"/>
          <w:sz w:val="24"/>
          <w:szCs w:val="24"/>
          <w:lang w:val="sr-Latn-RS"/>
        </w:rPr>
        <w:tab/>
      </w:r>
      <w:bookmarkStart w:id="9" w:name="_GoBack"/>
      <w:bookmarkEnd w:id="9"/>
    </w:p>
    <w:sectPr w:rsidR="00A256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45E7" w:rsidRDefault="000045E7">
      <w:pPr>
        <w:spacing w:line="240" w:lineRule="auto"/>
      </w:pPr>
      <w:r>
        <w:separator/>
      </w:r>
    </w:p>
  </w:endnote>
  <w:endnote w:type="continuationSeparator" w:id="0">
    <w:p w:rsidR="000045E7" w:rsidRDefault="000045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45E7" w:rsidRDefault="000045E7">
      <w:pPr>
        <w:spacing w:after="0"/>
      </w:pPr>
      <w:r>
        <w:separator/>
      </w:r>
    </w:p>
  </w:footnote>
  <w:footnote w:type="continuationSeparator" w:id="0">
    <w:p w:rsidR="000045E7" w:rsidRDefault="000045E7">
      <w:pPr>
        <w:spacing w:after="0"/>
      </w:pPr>
      <w:r>
        <w:continuationSeparator/>
      </w:r>
    </w:p>
  </w:footnote>
  <w:footnote w:id="1">
    <w:p w:rsidR="003132B9" w:rsidRDefault="00AD0BB0">
      <w:pPr>
        <w:pStyle w:val="Footer"/>
        <w:suppressAutoHyphens/>
        <w:jc w:val="both"/>
        <w:rPr>
          <w:rFonts w:ascii="Garamond" w:hAnsi="Garamond"/>
          <w:b/>
          <w:sz w:val="24"/>
          <w:szCs w:val="24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Garamond" w:hAnsi="Garamond"/>
          <w:b/>
          <w:sz w:val="18"/>
          <w:szCs w:val="18"/>
        </w:rPr>
        <w:t>Konačni podaci za 2025. godinu biće sastavni dio Zakona o završnom računu budžeta Crne Gore za 2025. godinu</w:t>
      </w:r>
    </w:p>
    <w:p w:rsidR="003132B9" w:rsidRDefault="003132B9">
      <w:pPr>
        <w:pStyle w:val="FootnoteText"/>
      </w:pPr>
    </w:p>
  </w:footnote>
  <w:footnote w:id="2">
    <w:p w:rsidR="0006006F" w:rsidRPr="00496F91" w:rsidRDefault="0006006F" w:rsidP="0006006F">
      <w:pPr>
        <w:pStyle w:val="FootnoteText"/>
        <w:jc w:val="both"/>
        <w:rPr>
          <w:rFonts w:ascii="Cambria" w:hAnsi="Cambria"/>
          <w:sz w:val="18"/>
          <w:szCs w:val="18"/>
          <w:lang w:val="sr-Latn-RS"/>
        </w:rPr>
      </w:pPr>
      <w:r w:rsidRPr="00496F91">
        <w:rPr>
          <w:rStyle w:val="FootnoteReference"/>
          <w:rFonts w:ascii="Cambria" w:hAnsi="Cambria"/>
          <w:sz w:val="18"/>
          <w:szCs w:val="18"/>
        </w:rPr>
        <w:footnoteRef/>
      </w:r>
      <w:r w:rsidRPr="00496F91">
        <w:rPr>
          <w:rFonts w:ascii="Cambria" w:hAnsi="Cambria"/>
          <w:sz w:val="18"/>
          <w:szCs w:val="18"/>
        </w:rPr>
        <w:t xml:space="preserve"> </w:t>
      </w:r>
      <w:r w:rsidRPr="00496F91">
        <w:rPr>
          <w:rFonts w:ascii="Cambria" w:hAnsi="Cambria"/>
          <w:sz w:val="18"/>
          <w:szCs w:val="18"/>
          <w:lang w:val="sr-Latn-RS"/>
        </w:rPr>
        <w:t>Prema preliminarnim podacima Monstata, BDP za 2025. godinu iznosi 8.170,74 miliona eura.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9C7"/>
    <w:rsid w:val="00001999"/>
    <w:rsid w:val="000045E7"/>
    <w:rsid w:val="00005D36"/>
    <w:rsid w:val="000063A8"/>
    <w:rsid w:val="000074D7"/>
    <w:rsid w:val="00007DB9"/>
    <w:rsid w:val="00010AB6"/>
    <w:rsid w:val="00010CE2"/>
    <w:rsid w:val="000171F7"/>
    <w:rsid w:val="00017B87"/>
    <w:rsid w:val="0002025C"/>
    <w:rsid w:val="00022F86"/>
    <w:rsid w:val="0002466D"/>
    <w:rsid w:val="00034611"/>
    <w:rsid w:val="000353F1"/>
    <w:rsid w:val="00037238"/>
    <w:rsid w:val="00041116"/>
    <w:rsid w:val="00043279"/>
    <w:rsid w:val="000443B2"/>
    <w:rsid w:val="00047BF5"/>
    <w:rsid w:val="0005016F"/>
    <w:rsid w:val="000501C9"/>
    <w:rsid w:val="00051E94"/>
    <w:rsid w:val="00052525"/>
    <w:rsid w:val="00054CED"/>
    <w:rsid w:val="00056671"/>
    <w:rsid w:val="00056988"/>
    <w:rsid w:val="0006006F"/>
    <w:rsid w:val="00060B94"/>
    <w:rsid w:val="00064179"/>
    <w:rsid w:val="0006455C"/>
    <w:rsid w:val="000651F4"/>
    <w:rsid w:val="00071016"/>
    <w:rsid w:val="00074483"/>
    <w:rsid w:val="00080CAB"/>
    <w:rsid w:val="00081CC3"/>
    <w:rsid w:val="00082F6C"/>
    <w:rsid w:val="00083959"/>
    <w:rsid w:val="0008737F"/>
    <w:rsid w:val="00090721"/>
    <w:rsid w:val="0009129B"/>
    <w:rsid w:val="000A0E81"/>
    <w:rsid w:val="000A212A"/>
    <w:rsid w:val="000B092C"/>
    <w:rsid w:val="000B26F4"/>
    <w:rsid w:val="000B366D"/>
    <w:rsid w:val="000B5A7D"/>
    <w:rsid w:val="000C203F"/>
    <w:rsid w:val="000C7BC4"/>
    <w:rsid w:val="000D02B0"/>
    <w:rsid w:val="000D05F9"/>
    <w:rsid w:val="000D253E"/>
    <w:rsid w:val="000D27F3"/>
    <w:rsid w:val="000D29FB"/>
    <w:rsid w:val="000D6583"/>
    <w:rsid w:val="000D6B3D"/>
    <w:rsid w:val="000E5F6A"/>
    <w:rsid w:val="000F17E9"/>
    <w:rsid w:val="000F2621"/>
    <w:rsid w:val="000F4609"/>
    <w:rsid w:val="000F6011"/>
    <w:rsid w:val="000F7A47"/>
    <w:rsid w:val="001020A6"/>
    <w:rsid w:val="001109BB"/>
    <w:rsid w:val="00111A0F"/>
    <w:rsid w:val="00112D0E"/>
    <w:rsid w:val="00126322"/>
    <w:rsid w:val="00132034"/>
    <w:rsid w:val="001321BB"/>
    <w:rsid w:val="001325F1"/>
    <w:rsid w:val="00133167"/>
    <w:rsid w:val="0013587E"/>
    <w:rsid w:val="001358EF"/>
    <w:rsid w:val="001421B2"/>
    <w:rsid w:val="00142C8A"/>
    <w:rsid w:val="0014798E"/>
    <w:rsid w:val="00147F59"/>
    <w:rsid w:val="001511BA"/>
    <w:rsid w:val="00152005"/>
    <w:rsid w:val="00153E8F"/>
    <w:rsid w:val="00157BCE"/>
    <w:rsid w:val="00162121"/>
    <w:rsid w:val="00162C3F"/>
    <w:rsid w:val="001638EA"/>
    <w:rsid w:val="00164E6D"/>
    <w:rsid w:val="00170760"/>
    <w:rsid w:val="00175484"/>
    <w:rsid w:val="00177592"/>
    <w:rsid w:val="00184E48"/>
    <w:rsid w:val="0018700E"/>
    <w:rsid w:val="00187EC0"/>
    <w:rsid w:val="0019596A"/>
    <w:rsid w:val="00196191"/>
    <w:rsid w:val="0019796A"/>
    <w:rsid w:val="00197BA8"/>
    <w:rsid w:val="001A0301"/>
    <w:rsid w:val="001A2304"/>
    <w:rsid w:val="001A5B3F"/>
    <w:rsid w:val="001B0664"/>
    <w:rsid w:val="001B5492"/>
    <w:rsid w:val="001C12ED"/>
    <w:rsid w:val="001C23C1"/>
    <w:rsid w:val="001D258B"/>
    <w:rsid w:val="001D3F35"/>
    <w:rsid w:val="001D64ED"/>
    <w:rsid w:val="001D6984"/>
    <w:rsid w:val="001D6F34"/>
    <w:rsid w:val="001D785F"/>
    <w:rsid w:val="001E2337"/>
    <w:rsid w:val="001E2C15"/>
    <w:rsid w:val="001E5765"/>
    <w:rsid w:val="001E57F6"/>
    <w:rsid w:val="001E742A"/>
    <w:rsid w:val="001E7E59"/>
    <w:rsid w:val="001F12C2"/>
    <w:rsid w:val="001F27EE"/>
    <w:rsid w:val="001F3D96"/>
    <w:rsid w:val="001F43C2"/>
    <w:rsid w:val="002011D4"/>
    <w:rsid w:val="00207A44"/>
    <w:rsid w:val="00212FB5"/>
    <w:rsid w:val="00215787"/>
    <w:rsid w:val="00221465"/>
    <w:rsid w:val="00227434"/>
    <w:rsid w:val="002329E4"/>
    <w:rsid w:val="0023527C"/>
    <w:rsid w:val="002419C7"/>
    <w:rsid w:val="00241AC3"/>
    <w:rsid w:val="002516E5"/>
    <w:rsid w:val="00257C18"/>
    <w:rsid w:val="00257CD7"/>
    <w:rsid w:val="00261680"/>
    <w:rsid w:val="002624B5"/>
    <w:rsid w:val="00262E17"/>
    <w:rsid w:val="00266D70"/>
    <w:rsid w:val="00271251"/>
    <w:rsid w:val="00274588"/>
    <w:rsid w:val="0028143D"/>
    <w:rsid w:val="002818BD"/>
    <w:rsid w:val="00284477"/>
    <w:rsid w:val="00284AC8"/>
    <w:rsid w:val="00285555"/>
    <w:rsid w:val="002872ED"/>
    <w:rsid w:val="00291EA9"/>
    <w:rsid w:val="00293C86"/>
    <w:rsid w:val="002941A0"/>
    <w:rsid w:val="002971C1"/>
    <w:rsid w:val="002A1882"/>
    <w:rsid w:val="002A37B6"/>
    <w:rsid w:val="002A4AC8"/>
    <w:rsid w:val="002A4D7B"/>
    <w:rsid w:val="002B1BCF"/>
    <w:rsid w:val="002B23C6"/>
    <w:rsid w:val="002B3681"/>
    <w:rsid w:val="002B4224"/>
    <w:rsid w:val="002B6301"/>
    <w:rsid w:val="002C1009"/>
    <w:rsid w:val="002C1960"/>
    <w:rsid w:val="002C414E"/>
    <w:rsid w:val="002D1671"/>
    <w:rsid w:val="002D5E90"/>
    <w:rsid w:val="002D677C"/>
    <w:rsid w:val="002D6EA8"/>
    <w:rsid w:val="002E1E69"/>
    <w:rsid w:val="002E678A"/>
    <w:rsid w:val="002E7A78"/>
    <w:rsid w:val="002F044E"/>
    <w:rsid w:val="002F148D"/>
    <w:rsid w:val="002F29D6"/>
    <w:rsid w:val="002F31DF"/>
    <w:rsid w:val="002F478C"/>
    <w:rsid w:val="002F73DC"/>
    <w:rsid w:val="002F7866"/>
    <w:rsid w:val="002F7EBE"/>
    <w:rsid w:val="00301BCD"/>
    <w:rsid w:val="0030254C"/>
    <w:rsid w:val="003039FE"/>
    <w:rsid w:val="00305A1D"/>
    <w:rsid w:val="00310470"/>
    <w:rsid w:val="003132B9"/>
    <w:rsid w:val="00313D79"/>
    <w:rsid w:val="003154F1"/>
    <w:rsid w:val="00320435"/>
    <w:rsid w:val="00332FE1"/>
    <w:rsid w:val="0033473B"/>
    <w:rsid w:val="00335DD6"/>
    <w:rsid w:val="00336B21"/>
    <w:rsid w:val="003427CF"/>
    <w:rsid w:val="00354B23"/>
    <w:rsid w:val="0036020A"/>
    <w:rsid w:val="0036104E"/>
    <w:rsid w:val="003625AD"/>
    <w:rsid w:val="00364853"/>
    <w:rsid w:val="0037061E"/>
    <w:rsid w:val="003709BB"/>
    <w:rsid w:val="003727FA"/>
    <w:rsid w:val="00381EEC"/>
    <w:rsid w:val="00382C9F"/>
    <w:rsid w:val="003878DD"/>
    <w:rsid w:val="003903BD"/>
    <w:rsid w:val="0039084B"/>
    <w:rsid w:val="0039206C"/>
    <w:rsid w:val="00395619"/>
    <w:rsid w:val="0039591F"/>
    <w:rsid w:val="00397C40"/>
    <w:rsid w:val="003A0C91"/>
    <w:rsid w:val="003A1A73"/>
    <w:rsid w:val="003A2E12"/>
    <w:rsid w:val="003A303F"/>
    <w:rsid w:val="003A4339"/>
    <w:rsid w:val="003A7675"/>
    <w:rsid w:val="003B432B"/>
    <w:rsid w:val="003B5284"/>
    <w:rsid w:val="003B6F6D"/>
    <w:rsid w:val="003B7FF1"/>
    <w:rsid w:val="003C0DC8"/>
    <w:rsid w:val="003C2AD1"/>
    <w:rsid w:val="003C402A"/>
    <w:rsid w:val="003C4F7B"/>
    <w:rsid w:val="003C7D73"/>
    <w:rsid w:val="003D0441"/>
    <w:rsid w:val="003D17B8"/>
    <w:rsid w:val="003D274D"/>
    <w:rsid w:val="003D3937"/>
    <w:rsid w:val="003D3D23"/>
    <w:rsid w:val="003D3D94"/>
    <w:rsid w:val="003D5F1F"/>
    <w:rsid w:val="003D6E25"/>
    <w:rsid w:val="003E1B0F"/>
    <w:rsid w:val="003E209A"/>
    <w:rsid w:val="003E6974"/>
    <w:rsid w:val="003F5AAF"/>
    <w:rsid w:val="003F7829"/>
    <w:rsid w:val="00401070"/>
    <w:rsid w:val="004071D9"/>
    <w:rsid w:val="00410065"/>
    <w:rsid w:val="0041095A"/>
    <w:rsid w:val="00414405"/>
    <w:rsid w:val="004167EA"/>
    <w:rsid w:val="0042055A"/>
    <w:rsid w:val="00422E10"/>
    <w:rsid w:val="00423CD3"/>
    <w:rsid w:val="0042557D"/>
    <w:rsid w:val="00425A3F"/>
    <w:rsid w:val="00433531"/>
    <w:rsid w:val="00436C06"/>
    <w:rsid w:val="00441D18"/>
    <w:rsid w:val="00441DCD"/>
    <w:rsid w:val="00443082"/>
    <w:rsid w:val="0044358A"/>
    <w:rsid w:val="00444B3D"/>
    <w:rsid w:val="00453A21"/>
    <w:rsid w:val="00454F0D"/>
    <w:rsid w:val="00457629"/>
    <w:rsid w:val="00465725"/>
    <w:rsid w:val="00470D7F"/>
    <w:rsid w:val="00473324"/>
    <w:rsid w:val="00473387"/>
    <w:rsid w:val="004752BC"/>
    <w:rsid w:val="0048100D"/>
    <w:rsid w:val="00481335"/>
    <w:rsid w:val="00481641"/>
    <w:rsid w:val="004867A0"/>
    <w:rsid w:val="00490E91"/>
    <w:rsid w:val="00491596"/>
    <w:rsid w:val="00493929"/>
    <w:rsid w:val="004952BF"/>
    <w:rsid w:val="004A0430"/>
    <w:rsid w:val="004A04F9"/>
    <w:rsid w:val="004A3B0C"/>
    <w:rsid w:val="004B0889"/>
    <w:rsid w:val="004B0CFE"/>
    <w:rsid w:val="004B2312"/>
    <w:rsid w:val="004B2A3E"/>
    <w:rsid w:val="004C09F8"/>
    <w:rsid w:val="004C0EE9"/>
    <w:rsid w:val="004C33B9"/>
    <w:rsid w:val="004C42E0"/>
    <w:rsid w:val="004C443A"/>
    <w:rsid w:val="004C5D7A"/>
    <w:rsid w:val="004C791B"/>
    <w:rsid w:val="004D0F8E"/>
    <w:rsid w:val="004D21F0"/>
    <w:rsid w:val="004D7F4F"/>
    <w:rsid w:val="004E4420"/>
    <w:rsid w:val="004E531E"/>
    <w:rsid w:val="004F083D"/>
    <w:rsid w:val="004F719C"/>
    <w:rsid w:val="00501DA6"/>
    <w:rsid w:val="00503A56"/>
    <w:rsid w:val="00506B6B"/>
    <w:rsid w:val="00506CBA"/>
    <w:rsid w:val="00507C64"/>
    <w:rsid w:val="00512C51"/>
    <w:rsid w:val="00514A22"/>
    <w:rsid w:val="00514C05"/>
    <w:rsid w:val="005153A4"/>
    <w:rsid w:val="00515D97"/>
    <w:rsid w:val="0052112A"/>
    <w:rsid w:val="00523064"/>
    <w:rsid w:val="005257C9"/>
    <w:rsid w:val="00527A5D"/>
    <w:rsid w:val="0053153F"/>
    <w:rsid w:val="005332F8"/>
    <w:rsid w:val="00535662"/>
    <w:rsid w:val="00535B9F"/>
    <w:rsid w:val="00547997"/>
    <w:rsid w:val="0055248F"/>
    <w:rsid w:val="005543AF"/>
    <w:rsid w:val="00555C8E"/>
    <w:rsid w:val="005570DF"/>
    <w:rsid w:val="005640B2"/>
    <w:rsid w:val="00565230"/>
    <w:rsid w:val="00566DA0"/>
    <w:rsid w:val="00567898"/>
    <w:rsid w:val="00571345"/>
    <w:rsid w:val="00575B78"/>
    <w:rsid w:val="00580CEC"/>
    <w:rsid w:val="005813BD"/>
    <w:rsid w:val="00581723"/>
    <w:rsid w:val="00581F4F"/>
    <w:rsid w:val="0058275E"/>
    <w:rsid w:val="00583E20"/>
    <w:rsid w:val="00585804"/>
    <w:rsid w:val="0058786E"/>
    <w:rsid w:val="005937C6"/>
    <w:rsid w:val="00594943"/>
    <w:rsid w:val="005974D2"/>
    <w:rsid w:val="00597C48"/>
    <w:rsid w:val="005A14AC"/>
    <w:rsid w:val="005A3172"/>
    <w:rsid w:val="005C480A"/>
    <w:rsid w:val="005C61F1"/>
    <w:rsid w:val="005D279C"/>
    <w:rsid w:val="005D45B9"/>
    <w:rsid w:val="005E0346"/>
    <w:rsid w:val="005E2048"/>
    <w:rsid w:val="005E2552"/>
    <w:rsid w:val="005E2CC7"/>
    <w:rsid w:val="005F01DE"/>
    <w:rsid w:val="005F515F"/>
    <w:rsid w:val="005F5E81"/>
    <w:rsid w:val="005F77D3"/>
    <w:rsid w:val="00607253"/>
    <w:rsid w:val="00607E9D"/>
    <w:rsid w:val="00612480"/>
    <w:rsid w:val="00617866"/>
    <w:rsid w:val="00621EA2"/>
    <w:rsid w:val="00624FBD"/>
    <w:rsid w:val="006276E2"/>
    <w:rsid w:val="00631259"/>
    <w:rsid w:val="00633723"/>
    <w:rsid w:val="006341AF"/>
    <w:rsid w:val="0063617B"/>
    <w:rsid w:val="00637E2D"/>
    <w:rsid w:val="00640165"/>
    <w:rsid w:val="0064042E"/>
    <w:rsid w:val="00653095"/>
    <w:rsid w:val="00656903"/>
    <w:rsid w:val="0066351C"/>
    <w:rsid w:val="006639F2"/>
    <w:rsid w:val="00666234"/>
    <w:rsid w:val="00676B90"/>
    <w:rsid w:val="006805F6"/>
    <w:rsid w:val="006839DD"/>
    <w:rsid w:val="00683BA6"/>
    <w:rsid w:val="0068466F"/>
    <w:rsid w:val="0068481C"/>
    <w:rsid w:val="00685D47"/>
    <w:rsid w:val="00695610"/>
    <w:rsid w:val="00696616"/>
    <w:rsid w:val="006A3D5C"/>
    <w:rsid w:val="006A53DE"/>
    <w:rsid w:val="006A6CDA"/>
    <w:rsid w:val="006C0718"/>
    <w:rsid w:val="006C129A"/>
    <w:rsid w:val="006C2138"/>
    <w:rsid w:val="006C46F7"/>
    <w:rsid w:val="006D5032"/>
    <w:rsid w:val="006D51E6"/>
    <w:rsid w:val="006D6D67"/>
    <w:rsid w:val="006F06B8"/>
    <w:rsid w:val="00701AAC"/>
    <w:rsid w:val="00701AC0"/>
    <w:rsid w:val="00707183"/>
    <w:rsid w:val="0071385B"/>
    <w:rsid w:val="00715A59"/>
    <w:rsid w:val="00720407"/>
    <w:rsid w:val="0072206F"/>
    <w:rsid w:val="00725634"/>
    <w:rsid w:val="007261E0"/>
    <w:rsid w:val="0072749D"/>
    <w:rsid w:val="00730D70"/>
    <w:rsid w:val="00737EC9"/>
    <w:rsid w:val="00740CE2"/>
    <w:rsid w:val="00746EEE"/>
    <w:rsid w:val="00751D37"/>
    <w:rsid w:val="0075204A"/>
    <w:rsid w:val="0075226F"/>
    <w:rsid w:val="00753487"/>
    <w:rsid w:val="007535DC"/>
    <w:rsid w:val="007538BD"/>
    <w:rsid w:val="00753C6F"/>
    <w:rsid w:val="00754599"/>
    <w:rsid w:val="00760C6A"/>
    <w:rsid w:val="00765854"/>
    <w:rsid w:val="007728D0"/>
    <w:rsid w:val="00772D9E"/>
    <w:rsid w:val="00781824"/>
    <w:rsid w:val="00782801"/>
    <w:rsid w:val="007841E8"/>
    <w:rsid w:val="00790E34"/>
    <w:rsid w:val="00793671"/>
    <w:rsid w:val="00794220"/>
    <w:rsid w:val="007967C1"/>
    <w:rsid w:val="00797AB5"/>
    <w:rsid w:val="007A37A2"/>
    <w:rsid w:val="007A5877"/>
    <w:rsid w:val="007A64D9"/>
    <w:rsid w:val="007B049A"/>
    <w:rsid w:val="007B0C04"/>
    <w:rsid w:val="007C0938"/>
    <w:rsid w:val="007D41C9"/>
    <w:rsid w:val="007D56F8"/>
    <w:rsid w:val="007D58DB"/>
    <w:rsid w:val="007D5961"/>
    <w:rsid w:val="007D6209"/>
    <w:rsid w:val="007D6E89"/>
    <w:rsid w:val="007E1883"/>
    <w:rsid w:val="007E3618"/>
    <w:rsid w:val="007E4413"/>
    <w:rsid w:val="007E7CBA"/>
    <w:rsid w:val="007F4B9D"/>
    <w:rsid w:val="00800347"/>
    <w:rsid w:val="00800F54"/>
    <w:rsid w:val="00804915"/>
    <w:rsid w:val="00804C50"/>
    <w:rsid w:val="00810A53"/>
    <w:rsid w:val="00811FE4"/>
    <w:rsid w:val="00812264"/>
    <w:rsid w:val="00813063"/>
    <w:rsid w:val="00816700"/>
    <w:rsid w:val="0082099A"/>
    <w:rsid w:val="00820D76"/>
    <w:rsid w:val="008215A5"/>
    <w:rsid w:val="008221B7"/>
    <w:rsid w:val="00824877"/>
    <w:rsid w:val="00825742"/>
    <w:rsid w:val="00830D51"/>
    <w:rsid w:val="00835BB0"/>
    <w:rsid w:val="00836FAD"/>
    <w:rsid w:val="00837BE0"/>
    <w:rsid w:val="00841DC0"/>
    <w:rsid w:val="00845F62"/>
    <w:rsid w:val="0084674E"/>
    <w:rsid w:val="00846770"/>
    <w:rsid w:val="00847551"/>
    <w:rsid w:val="00850518"/>
    <w:rsid w:val="00853CC4"/>
    <w:rsid w:val="00854F84"/>
    <w:rsid w:val="0085539B"/>
    <w:rsid w:val="008569A8"/>
    <w:rsid w:val="0086065C"/>
    <w:rsid w:val="00861789"/>
    <w:rsid w:val="00861A8D"/>
    <w:rsid w:val="00865AC0"/>
    <w:rsid w:val="00866F7F"/>
    <w:rsid w:val="00870158"/>
    <w:rsid w:val="008718AA"/>
    <w:rsid w:val="00871A21"/>
    <w:rsid w:val="0087342D"/>
    <w:rsid w:val="00876CD8"/>
    <w:rsid w:val="00880F01"/>
    <w:rsid w:val="0088543E"/>
    <w:rsid w:val="0088551A"/>
    <w:rsid w:val="008902AE"/>
    <w:rsid w:val="008921A4"/>
    <w:rsid w:val="00893B55"/>
    <w:rsid w:val="00894CBA"/>
    <w:rsid w:val="00895784"/>
    <w:rsid w:val="0089708C"/>
    <w:rsid w:val="008A265B"/>
    <w:rsid w:val="008A5D01"/>
    <w:rsid w:val="008A647B"/>
    <w:rsid w:val="008B2995"/>
    <w:rsid w:val="008B4376"/>
    <w:rsid w:val="008B5D58"/>
    <w:rsid w:val="008C0C95"/>
    <w:rsid w:val="008C136D"/>
    <w:rsid w:val="008C1550"/>
    <w:rsid w:val="008C6E8E"/>
    <w:rsid w:val="008D1104"/>
    <w:rsid w:val="008D1962"/>
    <w:rsid w:val="008E3A43"/>
    <w:rsid w:val="008E4A63"/>
    <w:rsid w:val="008E51FD"/>
    <w:rsid w:val="008E5B9A"/>
    <w:rsid w:val="008E7CCF"/>
    <w:rsid w:val="008F17DD"/>
    <w:rsid w:val="008F2749"/>
    <w:rsid w:val="008F2C56"/>
    <w:rsid w:val="008F4724"/>
    <w:rsid w:val="008F7C59"/>
    <w:rsid w:val="00902B29"/>
    <w:rsid w:val="0090305A"/>
    <w:rsid w:val="00906880"/>
    <w:rsid w:val="00906DA9"/>
    <w:rsid w:val="00907DD4"/>
    <w:rsid w:val="00907E77"/>
    <w:rsid w:val="00910109"/>
    <w:rsid w:val="00910ED8"/>
    <w:rsid w:val="00911CF4"/>
    <w:rsid w:val="00913910"/>
    <w:rsid w:val="00913AC7"/>
    <w:rsid w:val="00913FE3"/>
    <w:rsid w:val="0091467A"/>
    <w:rsid w:val="00915B04"/>
    <w:rsid w:val="00915CCA"/>
    <w:rsid w:val="009164A5"/>
    <w:rsid w:val="00916C57"/>
    <w:rsid w:val="0091798B"/>
    <w:rsid w:val="009209EA"/>
    <w:rsid w:val="00921A70"/>
    <w:rsid w:val="0092251E"/>
    <w:rsid w:val="00922E37"/>
    <w:rsid w:val="00926475"/>
    <w:rsid w:val="0092733C"/>
    <w:rsid w:val="00932A38"/>
    <w:rsid w:val="00933992"/>
    <w:rsid w:val="009343B2"/>
    <w:rsid w:val="009363B3"/>
    <w:rsid w:val="009402F8"/>
    <w:rsid w:val="00942BF2"/>
    <w:rsid w:val="009436A8"/>
    <w:rsid w:val="00943A0F"/>
    <w:rsid w:val="00944310"/>
    <w:rsid w:val="0094446C"/>
    <w:rsid w:val="009444B3"/>
    <w:rsid w:val="00944889"/>
    <w:rsid w:val="009504E9"/>
    <w:rsid w:val="00951DF6"/>
    <w:rsid w:val="00957CF9"/>
    <w:rsid w:val="0096195C"/>
    <w:rsid w:val="00961B41"/>
    <w:rsid w:val="009623C0"/>
    <w:rsid w:val="00962DDD"/>
    <w:rsid w:val="00967C34"/>
    <w:rsid w:val="00970EF4"/>
    <w:rsid w:val="00971A1A"/>
    <w:rsid w:val="00973979"/>
    <w:rsid w:val="00975405"/>
    <w:rsid w:val="0097652A"/>
    <w:rsid w:val="00976A89"/>
    <w:rsid w:val="00982C17"/>
    <w:rsid w:val="00983DAE"/>
    <w:rsid w:val="0098460A"/>
    <w:rsid w:val="0099295A"/>
    <w:rsid w:val="00993629"/>
    <w:rsid w:val="00996298"/>
    <w:rsid w:val="009A0AEB"/>
    <w:rsid w:val="009A172B"/>
    <w:rsid w:val="009A60A2"/>
    <w:rsid w:val="009A7A42"/>
    <w:rsid w:val="009B270E"/>
    <w:rsid w:val="009B6D37"/>
    <w:rsid w:val="009B7941"/>
    <w:rsid w:val="009C2641"/>
    <w:rsid w:val="009C2B8F"/>
    <w:rsid w:val="009C315A"/>
    <w:rsid w:val="009C4538"/>
    <w:rsid w:val="009C4A87"/>
    <w:rsid w:val="009C4BA5"/>
    <w:rsid w:val="009C768D"/>
    <w:rsid w:val="009D01EA"/>
    <w:rsid w:val="009D17B1"/>
    <w:rsid w:val="009D18F1"/>
    <w:rsid w:val="009D29CF"/>
    <w:rsid w:val="009D3811"/>
    <w:rsid w:val="009D4601"/>
    <w:rsid w:val="009D68F0"/>
    <w:rsid w:val="009E0299"/>
    <w:rsid w:val="009E06B1"/>
    <w:rsid w:val="009E27B6"/>
    <w:rsid w:val="009E406A"/>
    <w:rsid w:val="009E54F8"/>
    <w:rsid w:val="009F0132"/>
    <w:rsid w:val="009F1181"/>
    <w:rsid w:val="009F2001"/>
    <w:rsid w:val="009F29CC"/>
    <w:rsid w:val="009F2A82"/>
    <w:rsid w:val="00A005E0"/>
    <w:rsid w:val="00A04296"/>
    <w:rsid w:val="00A13182"/>
    <w:rsid w:val="00A1563F"/>
    <w:rsid w:val="00A161E8"/>
    <w:rsid w:val="00A17747"/>
    <w:rsid w:val="00A256AA"/>
    <w:rsid w:val="00A25F75"/>
    <w:rsid w:val="00A30193"/>
    <w:rsid w:val="00A3240E"/>
    <w:rsid w:val="00A32558"/>
    <w:rsid w:val="00A327CE"/>
    <w:rsid w:val="00A353C8"/>
    <w:rsid w:val="00A35D90"/>
    <w:rsid w:val="00A3627B"/>
    <w:rsid w:val="00A37C8D"/>
    <w:rsid w:val="00A421C6"/>
    <w:rsid w:val="00A433C0"/>
    <w:rsid w:val="00A45067"/>
    <w:rsid w:val="00A5057F"/>
    <w:rsid w:val="00A528AA"/>
    <w:rsid w:val="00A5347C"/>
    <w:rsid w:val="00A54C57"/>
    <w:rsid w:val="00A647AB"/>
    <w:rsid w:val="00A71BAE"/>
    <w:rsid w:val="00A72A8D"/>
    <w:rsid w:val="00A753BA"/>
    <w:rsid w:val="00A770E6"/>
    <w:rsid w:val="00A77588"/>
    <w:rsid w:val="00A803F3"/>
    <w:rsid w:val="00A807CE"/>
    <w:rsid w:val="00A81339"/>
    <w:rsid w:val="00A90F55"/>
    <w:rsid w:val="00A914D1"/>
    <w:rsid w:val="00A9258B"/>
    <w:rsid w:val="00A94D69"/>
    <w:rsid w:val="00A979A9"/>
    <w:rsid w:val="00AA0079"/>
    <w:rsid w:val="00AA03E4"/>
    <w:rsid w:val="00AA1E9F"/>
    <w:rsid w:val="00AA42EA"/>
    <w:rsid w:val="00AA7FEC"/>
    <w:rsid w:val="00AB0E43"/>
    <w:rsid w:val="00AB2F27"/>
    <w:rsid w:val="00AB613F"/>
    <w:rsid w:val="00AB7468"/>
    <w:rsid w:val="00AC21CD"/>
    <w:rsid w:val="00AC25B5"/>
    <w:rsid w:val="00AC6E08"/>
    <w:rsid w:val="00AC7B3D"/>
    <w:rsid w:val="00AC7D78"/>
    <w:rsid w:val="00AD0BB0"/>
    <w:rsid w:val="00AD181D"/>
    <w:rsid w:val="00AD3854"/>
    <w:rsid w:val="00AD489D"/>
    <w:rsid w:val="00AD5A5D"/>
    <w:rsid w:val="00AE1EA9"/>
    <w:rsid w:val="00AE2AB4"/>
    <w:rsid w:val="00AE3D17"/>
    <w:rsid w:val="00AE54BD"/>
    <w:rsid w:val="00AE6B73"/>
    <w:rsid w:val="00AE7102"/>
    <w:rsid w:val="00AF227D"/>
    <w:rsid w:val="00B018D2"/>
    <w:rsid w:val="00B0381E"/>
    <w:rsid w:val="00B0536F"/>
    <w:rsid w:val="00B06EF6"/>
    <w:rsid w:val="00B1051C"/>
    <w:rsid w:val="00B12A28"/>
    <w:rsid w:val="00B13DB1"/>
    <w:rsid w:val="00B1671F"/>
    <w:rsid w:val="00B224FD"/>
    <w:rsid w:val="00B24188"/>
    <w:rsid w:val="00B24664"/>
    <w:rsid w:val="00B33B02"/>
    <w:rsid w:val="00B36E56"/>
    <w:rsid w:val="00B37050"/>
    <w:rsid w:val="00B373FD"/>
    <w:rsid w:val="00B4179D"/>
    <w:rsid w:val="00B41D66"/>
    <w:rsid w:val="00B42635"/>
    <w:rsid w:val="00B43206"/>
    <w:rsid w:val="00B44237"/>
    <w:rsid w:val="00B44946"/>
    <w:rsid w:val="00B45391"/>
    <w:rsid w:val="00B45FCB"/>
    <w:rsid w:val="00B47B1A"/>
    <w:rsid w:val="00B51444"/>
    <w:rsid w:val="00B51CB5"/>
    <w:rsid w:val="00B530B8"/>
    <w:rsid w:val="00B5499C"/>
    <w:rsid w:val="00B55278"/>
    <w:rsid w:val="00B60C0C"/>
    <w:rsid w:val="00B61221"/>
    <w:rsid w:val="00B61DE7"/>
    <w:rsid w:val="00B64FB5"/>
    <w:rsid w:val="00B66657"/>
    <w:rsid w:val="00B67881"/>
    <w:rsid w:val="00B72A1C"/>
    <w:rsid w:val="00B7388E"/>
    <w:rsid w:val="00B749CD"/>
    <w:rsid w:val="00B753B5"/>
    <w:rsid w:val="00B75B01"/>
    <w:rsid w:val="00B76775"/>
    <w:rsid w:val="00B83178"/>
    <w:rsid w:val="00B858C6"/>
    <w:rsid w:val="00B91FF7"/>
    <w:rsid w:val="00B94359"/>
    <w:rsid w:val="00B97500"/>
    <w:rsid w:val="00B97DDE"/>
    <w:rsid w:val="00BA1CDA"/>
    <w:rsid w:val="00BB0430"/>
    <w:rsid w:val="00BB1A73"/>
    <w:rsid w:val="00BB4CEC"/>
    <w:rsid w:val="00BB5A5B"/>
    <w:rsid w:val="00BC05F0"/>
    <w:rsid w:val="00BC0A6C"/>
    <w:rsid w:val="00BC1A51"/>
    <w:rsid w:val="00BC36DF"/>
    <w:rsid w:val="00BC4D51"/>
    <w:rsid w:val="00BC7B63"/>
    <w:rsid w:val="00BC7E69"/>
    <w:rsid w:val="00BD048A"/>
    <w:rsid w:val="00BD4294"/>
    <w:rsid w:val="00BD5892"/>
    <w:rsid w:val="00BD5AF3"/>
    <w:rsid w:val="00BD7AB5"/>
    <w:rsid w:val="00BE3268"/>
    <w:rsid w:val="00BE6245"/>
    <w:rsid w:val="00BF056B"/>
    <w:rsid w:val="00BF300F"/>
    <w:rsid w:val="00BF455E"/>
    <w:rsid w:val="00BF5F3F"/>
    <w:rsid w:val="00C02F08"/>
    <w:rsid w:val="00C10911"/>
    <w:rsid w:val="00C1221B"/>
    <w:rsid w:val="00C12940"/>
    <w:rsid w:val="00C1329F"/>
    <w:rsid w:val="00C15B05"/>
    <w:rsid w:val="00C169E7"/>
    <w:rsid w:val="00C16EAF"/>
    <w:rsid w:val="00C17BBA"/>
    <w:rsid w:val="00C25516"/>
    <w:rsid w:val="00C26600"/>
    <w:rsid w:val="00C26BC5"/>
    <w:rsid w:val="00C27793"/>
    <w:rsid w:val="00C30609"/>
    <w:rsid w:val="00C339AE"/>
    <w:rsid w:val="00C33E73"/>
    <w:rsid w:val="00C340A9"/>
    <w:rsid w:val="00C35B3E"/>
    <w:rsid w:val="00C36531"/>
    <w:rsid w:val="00C41D0D"/>
    <w:rsid w:val="00C4459A"/>
    <w:rsid w:val="00C44922"/>
    <w:rsid w:val="00C45741"/>
    <w:rsid w:val="00C4773A"/>
    <w:rsid w:val="00C47843"/>
    <w:rsid w:val="00C53D5B"/>
    <w:rsid w:val="00C5486A"/>
    <w:rsid w:val="00C57535"/>
    <w:rsid w:val="00C61204"/>
    <w:rsid w:val="00C61269"/>
    <w:rsid w:val="00C70D02"/>
    <w:rsid w:val="00C72255"/>
    <w:rsid w:val="00C736E2"/>
    <w:rsid w:val="00C73779"/>
    <w:rsid w:val="00C762A5"/>
    <w:rsid w:val="00C7749B"/>
    <w:rsid w:val="00C81567"/>
    <w:rsid w:val="00C829B2"/>
    <w:rsid w:val="00C85AB2"/>
    <w:rsid w:val="00C8724E"/>
    <w:rsid w:val="00C87EA8"/>
    <w:rsid w:val="00C92068"/>
    <w:rsid w:val="00CA1A2E"/>
    <w:rsid w:val="00CB0DE8"/>
    <w:rsid w:val="00CB1212"/>
    <w:rsid w:val="00CB2A8E"/>
    <w:rsid w:val="00CB41E4"/>
    <w:rsid w:val="00CB61EA"/>
    <w:rsid w:val="00CB6204"/>
    <w:rsid w:val="00CB71B7"/>
    <w:rsid w:val="00CB786B"/>
    <w:rsid w:val="00CC3E1D"/>
    <w:rsid w:val="00CC4041"/>
    <w:rsid w:val="00CC434E"/>
    <w:rsid w:val="00CC6066"/>
    <w:rsid w:val="00CC702E"/>
    <w:rsid w:val="00CD10D9"/>
    <w:rsid w:val="00CD3BE9"/>
    <w:rsid w:val="00CD532A"/>
    <w:rsid w:val="00CD6CDC"/>
    <w:rsid w:val="00CE3755"/>
    <w:rsid w:val="00CE437C"/>
    <w:rsid w:val="00CE454F"/>
    <w:rsid w:val="00CE49A3"/>
    <w:rsid w:val="00CE76CF"/>
    <w:rsid w:val="00CF00C4"/>
    <w:rsid w:val="00CF552F"/>
    <w:rsid w:val="00CF595B"/>
    <w:rsid w:val="00CF74C3"/>
    <w:rsid w:val="00D0033C"/>
    <w:rsid w:val="00D03641"/>
    <w:rsid w:val="00D05605"/>
    <w:rsid w:val="00D0691F"/>
    <w:rsid w:val="00D104B7"/>
    <w:rsid w:val="00D14F54"/>
    <w:rsid w:val="00D15444"/>
    <w:rsid w:val="00D2176F"/>
    <w:rsid w:val="00D233A3"/>
    <w:rsid w:val="00D24402"/>
    <w:rsid w:val="00D26A6C"/>
    <w:rsid w:val="00D26C62"/>
    <w:rsid w:val="00D30399"/>
    <w:rsid w:val="00D30B07"/>
    <w:rsid w:val="00D32993"/>
    <w:rsid w:val="00D33B9A"/>
    <w:rsid w:val="00D343CA"/>
    <w:rsid w:val="00D41EA3"/>
    <w:rsid w:val="00D42D42"/>
    <w:rsid w:val="00D45CDB"/>
    <w:rsid w:val="00D46037"/>
    <w:rsid w:val="00D50388"/>
    <w:rsid w:val="00D51634"/>
    <w:rsid w:val="00D550BE"/>
    <w:rsid w:val="00D63E57"/>
    <w:rsid w:val="00D70034"/>
    <w:rsid w:val="00D71503"/>
    <w:rsid w:val="00D7178F"/>
    <w:rsid w:val="00D71F20"/>
    <w:rsid w:val="00D732DC"/>
    <w:rsid w:val="00D76403"/>
    <w:rsid w:val="00D8199C"/>
    <w:rsid w:val="00D81FD8"/>
    <w:rsid w:val="00D8240A"/>
    <w:rsid w:val="00D85461"/>
    <w:rsid w:val="00D8636B"/>
    <w:rsid w:val="00D8660E"/>
    <w:rsid w:val="00D92570"/>
    <w:rsid w:val="00D93FF5"/>
    <w:rsid w:val="00D945F6"/>
    <w:rsid w:val="00D95D1C"/>
    <w:rsid w:val="00D96574"/>
    <w:rsid w:val="00DA2D59"/>
    <w:rsid w:val="00DA3227"/>
    <w:rsid w:val="00DA6222"/>
    <w:rsid w:val="00DA7BEF"/>
    <w:rsid w:val="00DB10F1"/>
    <w:rsid w:val="00DB113B"/>
    <w:rsid w:val="00DB1A4F"/>
    <w:rsid w:val="00DB1B75"/>
    <w:rsid w:val="00DB2250"/>
    <w:rsid w:val="00DC10AD"/>
    <w:rsid w:val="00DC3094"/>
    <w:rsid w:val="00DC59F8"/>
    <w:rsid w:val="00DC5D7F"/>
    <w:rsid w:val="00DD1C83"/>
    <w:rsid w:val="00DD426D"/>
    <w:rsid w:val="00DD7574"/>
    <w:rsid w:val="00DE1796"/>
    <w:rsid w:val="00DE6197"/>
    <w:rsid w:val="00DE6B95"/>
    <w:rsid w:val="00DE6CB6"/>
    <w:rsid w:val="00DF71EF"/>
    <w:rsid w:val="00DF7238"/>
    <w:rsid w:val="00DF7CE1"/>
    <w:rsid w:val="00E01112"/>
    <w:rsid w:val="00E06882"/>
    <w:rsid w:val="00E06925"/>
    <w:rsid w:val="00E10CBA"/>
    <w:rsid w:val="00E128D2"/>
    <w:rsid w:val="00E140BA"/>
    <w:rsid w:val="00E179D8"/>
    <w:rsid w:val="00E23602"/>
    <w:rsid w:val="00E2598D"/>
    <w:rsid w:val="00E26444"/>
    <w:rsid w:val="00E27342"/>
    <w:rsid w:val="00E27F81"/>
    <w:rsid w:val="00E362BB"/>
    <w:rsid w:val="00E36BC9"/>
    <w:rsid w:val="00E40FE2"/>
    <w:rsid w:val="00E437AA"/>
    <w:rsid w:val="00E51EC9"/>
    <w:rsid w:val="00E5253E"/>
    <w:rsid w:val="00E526F5"/>
    <w:rsid w:val="00E5637C"/>
    <w:rsid w:val="00E56D19"/>
    <w:rsid w:val="00E61725"/>
    <w:rsid w:val="00E64DBC"/>
    <w:rsid w:val="00E666D6"/>
    <w:rsid w:val="00E71676"/>
    <w:rsid w:val="00E71734"/>
    <w:rsid w:val="00E74D2B"/>
    <w:rsid w:val="00E75B51"/>
    <w:rsid w:val="00E84D4D"/>
    <w:rsid w:val="00E95006"/>
    <w:rsid w:val="00EA1575"/>
    <w:rsid w:val="00EA5D8E"/>
    <w:rsid w:val="00EB4D07"/>
    <w:rsid w:val="00EC0C17"/>
    <w:rsid w:val="00EC1FAA"/>
    <w:rsid w:val="00EC3566"/>
    <w:rsid w:val="00EC385D"/>
    <w:rsid w:val="00EC5D80"/>
    <w:rsid w:val="00ED0631"/>
    <w:rsid w:val="00ED14FF"/>
    <w:rsid w:val="00ED2433"/>
    <w:rsid w:val="00ED3366"/>
    <w:rsid w:val="00ED412A"/>
    <w:rsid w:val="00ED5190"/>
    <w:rsid w:val="00EE02A8"/>
    <w:rsid w:val="00EE79E6"/>
    <w:rsid w:val="00EF14AB"/>
    <w:rsid w:val="00EF6679"/>
    <w:rsid w:val="00EF67FB"/>
    <w:rsid w:val="00EF6B2E"/>
    <w:rsid w:val="00EF6FB7"/>
    <w:rsid w:val="00EF7549"/>
    <w:rsid w:val="00EF7CE7"/>
    <w:rsid w:val="00F00B3F"/>
    <w:rsid w:val="00F022AF"/>
    <w:rsid w:val="00F024C1"/>
    <w:rsid w:val="00F033E9"/>
    <w:rsid w:val="00F0371F"/>
    <w:rsid w:val="00F03DC9"/>
    <w:rsid w:val="00F06977"/>
    <w:rsid w:val="00F105D8"/>
    <w:rsid w:val="00F1173E"/>
    <w:rsid w:val="00F13E1D"/>
    <w:rsid w:val="00F14CE2"/>
    <w:rsid w:val="00F20123"/>
    <w:rsid w:val="00F21D2B"/>
    <w:rsid w:val="00F24E67"/>
    <w:rsid w:val="00F35D89"/>
    <w:rsid w:val="00F411D3"/>
    <w:rsid w:val="00F41AAB"/>
    <w:rsid w:val="00F42385"/>
    <w:rsid w:val="00F445AC"/>
    <w:rsid w:val="00F46820"/>
    <w:rsid w:val="00F469C0"/>
    <w:rsid w:val="00F46ACE"/>
    <w:rsid w:val="00F4757D"/>
    <w:rsid w:val="00F533E2"/>
    <w:rsid w:val="00F53D10"/>
    <w:rsid w:val="00F553BF"/>
    <w:rsid w:val="00F64322"/>
    <w:rsid w:val="00F64509"/>
    <w:rsid w:val="00F670C9"/>
    <w:rsid w:val="00F714D3"/>
    <w:rsid w:val="00F72DC5"/>
    <w:rsid w:val="00F7390E"/>
    <w:rsid w:val="00F76F21"/>
    <w:rsid w:val="00F77A93"/>
    <w:rsid w:val="00F77D11"/>
    <w:rsid w:val="00F80B14"/>
    <w:rsid w:val="00F81D9B"/>
    <w:rsid w:val="00F82114"/>
    <w:rsid w:val="00F83329"/>
    <w:rsid w:val="00F85E20"/>
    <w:rsid w:val="00F936D3"/>
    <w:rsid w:val="00F97A11"/>
    <w:rsid w:val="00FA1365"/>
    <w:rsid w:val="00FA1E06"/>
    <w:rsid w:val="00FA2693"/>
    <w:rsid w:val="00FA3522"/>
    <w:rsid w:val="00FA36DF"/>
    <w:rsid w:val="00FB0B9E"/>
    <w:rsid w:val="00FB3958"/>
    <w:rsid w:val="00FB4290"/>
    <w:rsid w:val="00FB5825"/>
    <w:rsid w:val="00FB6424"/>
    <w:rsid w:val="00FB65DF"/>
    <w:rsid w:val="00FB7339"/>
    <w:rsid w:val="00FC0232"/>
    <w:rsid w:val="00FC6B2A"/>
    <w:rsid w:val="00FD14ED"/>
    <w:rsid w:val="00FD2987"/>
    <w:rsid w:val="00FD7AB3"/>
    <w:rsid w:val="00FE07E9"/>
    <w:rsid w:val="00FE1631"/>
    <w:rsid w:val="00FE1A84"/>
    <w:rsid w:val="00FE2D4A"/>
    <w:rsid w:val="00FE2FF2"/>
    <w:rsid w:val="00FE6249"/>
    <w:rsid w:val="00FF1FB6"/>
    <w:rsid w:val="00FF32D3"/>
    <w:rsid w:val="00FF4C42"/>
    <w:rsid w:val="04C23462"/>
    <w:rsid w:val="0B671C2A"/>
    <w:rsid w:val="0DE75017"/>
    <w:rsid w:val="1445100F"/>
    <w:rsid w:val="19602CF6"/>
    <w:rsid w:val="1C5473F0"/>
    <w:rsid w:val="389F12ED"/>
    <w:rsid w:val="3B58020A"/>
    <w:rsid w:val="46967D9E"/>
    <w:rsid w:val="5E702D1B"/>
    <w:rsid w:val="6E197EB5"/>
    <w:rsid w:val="71102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D1DBE09A-06DC-4083-A948-489A7B984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uiPriority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sr-Latn-M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val="hr-HR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character" w:styleId="FootnoteReference">
    <w:name w:val="footnote reference"/>
    <w:aliases w:val="BVI fnr,Footnote symbol,16 Point,Superscript 6 Point,nota pié di pagina,ftref,Footnote text,Ref. de nota al pie1,Times 10 Point,Exposant 3 Point,Footnote reference number,EN Footnote Reference,note TESI,Footnotes re"/>
    <w:basedOn w:val="DefaultParagraphFont"/>
    <w:uiPriority w:val="99"/>
    <w:unhideWhenUsed/>
    <w:qFormat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qFormat/>
    <w:pPr>
      <w:spacing w:after="0" w:line="240" w:lineRule="auto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paragraph" w:styleId="TOC3">
    <w:name w:val="toc 3"/>
    <w:basedOn w:val="Normal"/>
    <w:uiPriority w:val="1"/>
    <w:qFormat/>
    <w:pPr>
      <w:widowControl w:val="0"/>
      <w:autoSpaceDE w:val="0"/>
      <w:autoSpaceDN w:val="0"/>
      <w:spacing w:before="121" w:after="0" w:line="240" w:lineRule="auto"/>
      <w:ind w:left="1577" w:hanging="661"/>
    </w:pPr>
    <w:rPr>
      <w:rFonts w:ascii="Cambria" w:eastAsia="Cambria" w:hAnsi="Cambria" w:cs="Cambria"/>
      <w:b/>
      <w:bCs/>
      <w:lang w:val="hr-HR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lang w:val="sr-Latn-ME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lang w:val="sr-Latn-M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  <w:lang w:val="sr-Latn-M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  <w:sz w:val="20"/>
      <w:szCs w:val="20"/>
      <w:lang w:val="sr-Latn-ME"/>
    </w:rPr>
  </w:style>
  <w:style w:type="character" w:customStyle="1" w:styleId="FootnoteTextChar">
    <w:name w:val="Footnote Text Char"/>
    <w:basedOn w:val="DefaultParagraphFont"/>
    <w:link w:val="FootnoteText"/>
    <w:uiPriority w:val="99"/>
    <w:qFormat/>
    <w:rPr>
      <w:sz w:val="20"/>
      <w:szCs w:val="20"/>
      <w:lang w:val="sr-Latn-ME"/>
    </w:rPr>
  </w:style>
  <w:style w:type="character" w:customStyle="1" w:styleId="BodyTextChar">
    <w:name w:val="Body Text Char"/>
    <w:basedOn w:val="DefaultParagraphFont"/>
    <w:link w:val="BodyText"/>
    <w:uiPriority w:val="1"/>
    <w:rPr>
      <w:rFonts w:ascii="Cambria" w:eastAsia="Cambria" w:hAnsi="Cambria" w:cs="Cambria"/>
      <w:lang w:val="hr-H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hart" Target="charts/chart5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chart" Target="charts/chart3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C\Desktop\izvjestaj-o-preliminarnim-nivoima-deficita-i-duga-za-2025%20godinu\GRAFIK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C\Downloads\IZVJESTAJ%202025\PITA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.zivkovic\Desktop\Javni%20dug\Izvje&#353;taj%20o%20javnom%20i%20dr&#382;avnom%20dugu,%20plan%20otplate\Izvje&#353;taj%20o%20dr&#382;avnom%20i%20javnom%20dugu\2025\31.12.2025\Kona&#269;no\Tabela%20i%20grafici%20za%20kvartalni%20izvje&#353;taj%20o%20dugu%20%2031.12.2025.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800" b="1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sr-Latn-ME" sz="800" b="1"/>
              <a:t>Uporedni prikaz izvorni prihodi i ukupni porezi (mil. €) </a:t>
            </a:r>
            <a:endParaRPr lang="en-US" sz="8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800" b="1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'Centralna država-ek klas'!$G$18</c:f>
              <c:strCache>
                <c:ptCount val="1"/>
                <c:pt idx="0">
                  <c:v>Q1-Q4 2025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solidFill>
                <a:srgbClr val="FF000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'Centralna država-ek klas'!$F$19:$F$20</c:f>
              <c:strCache>
                <c:ptCount val="2"/>
                <c:pt idx="0">
                  <c:v>Izvorni prihodi</c:v>
                </c:pt>
                <c:pt idx="1">
                  <c:v>Ukupni porezi</c:v>
                </c:pt>
              </c:strCache>
            </c:strRef>
          </c:cat>
          <c:val>
            <c:numRef>
              <c:f>'Centralna država-ek klas'!$G$19:$G$20</c:f>
              <c:numCache>
                <c:formatCode>0.0,,</c:formatCode>
                <c:ptCount val="2"/>
                <c:pt idx="0">
                  <c:v>2874088753.3899999</c:v>
                </c:pt>
                <c:pt idx="1">
                  <c:v>2238598161.0300002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2F-474B-B10B-A07771DF5F40}"/>
            </c:ext>
          </c:extLst>
        </c:ser>
        <c:ser>
          <c:idx val="1"/>
          <c:order val="1"/>
          <c:tx>
            <c:strRef>
              <c:f>'Centralna država-ek klas'!$H$18</c:f>
              <c:strCache>
                <c:ptCount val="1"/>
                <c:pt idx="0">
                  <c:v>Q1-Q4 2024</c:v>
                </c:pt>
              </c:strCache>
            </c:strRef>
          </c:tx>
          <c:spPr>
            <a:solidFill>
              <a:schemeClr val="accent4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'Centralna država-ek klas'!$F$19:$F$20</c:f>
              <c:strCache>
                <c:ptCount val="2"/>
                <c:pt idx="0">
                  <c:v>Izvorni prihodi</c:v>
                </c:pt>
                <c:pt idx="1">
                  <c:v>Ukupni porezi</c:v>
                </c:pt>
              </c:strCache>
            </c:strRef>
          </c:cat>
          <c:val>
            <c:numRef>
              <c:f>'Centralna država-ek klas'!$H$19:$H$20</c:f>
              <c:numCache>
                <c:formatCode>0.0,,</c:formatCode>
                <c:ptCount val="2"/>
                <c:pt idx="0">
                  <c:v>2755717266.8699999</c:v>
                </c:pt>
                <c:pt idx="1">
                  <c:v>1968599583.26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22F-474B-B10B-A07771DF5F4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25"/>
        <c:axId val="339551183"/>
        <c:axId val="231492751"/>
      </c:barChart>
      <c:catAx>
        <c:axId val="339551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1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1492751"/>
        <c:crosses val="autoZero"/>
        <c:auto val="1"/>
        <c:lblAlgn val="ctr"/>
        <c:lblOffset val="100"/>
        <c:noMultiLvlLbl val="0"/>
      </c:catAx>
      <c:valAx>
        <c:axId val="231492751"/>
        <c:scaling>
          <c:orientation val="minMax"/>
        </c:scaling>
        <c:delete val="1"/>
        <c:axPos val="l"/>
        <c:numFmt formatCode="0.0,," sourceLinked="1"/>
        <c:majorTickMark val="none"/>
        <c:minorTickMark val="none"/>
        <c:tickLblPos val="nextTo"/>
        <c:crossAx val="339551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b3486b60-5200-4b78-9299-0811f916d14a}"/>
      </c:ext>
    </c:extLst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 lang="en-US"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defTabSz="914400">
              <a:defRPr lang="en-US"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Ostvareno januar-</a:t>
            </a:r>
            <a:r>
              <a:rPr lang="en-US" altLang="en-US"/>
              <a:t>dec</a:t>
            </a:r>
            <a:r>
              <a:rPr lang="en-US"/>
              <a:t>embar 2025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defTabSz="914400">
            <a:defRPr lang="en-US"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[PITA.xlsx]Sheet1!$B$1</c:f>
              <c:strCache>
                <c:ptCount val="1"/>
                <c:pt idx="0">
                  <c:v>Ostvareno januar-novembar 2025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756-4F2A-8158-0C3B718FE18C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756-4F2A-8158-0C3B718FE18C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756-4F2A-8158-0C3B718FE18C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C756-4F2A-8158-0C3B718FE18C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C756-4F2A-8158-0C3B718FE18C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C756-4F2A-8158-0C3B718FE18C}"/>
              </c:ext>
            </c:extLst>
          </c:dPt>
          <c:dLbls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[PITA.xlsx]Sheet1!$A$2:$A$7</c:f>
              <c:strCache>
                <c:ptCount val="6"/>
                <c:pt idx="0">
                  <c:v>Kapitalni izdaci</c:v>
                </c:pt>
                <c:pt idx="1">
                  <c:v>Otplata dugova</c:v>
                </c:pt>
                <c:pt idx="2">
                  <c:v>Pozajmice i krediti</c:v>
                </c:pt>
                <c:pt idx="3">
                  <c:v>Tekući izdaci</c:v>
                </c:pt>
                <c:pt idx="4">
                  <c:v>Transferi institucijama, pojedincima, nevladinom i javnom sektoru</c:v>
                </c:pt>
                <c:pt idx="5">
                  <c:v>Transferi za socijalnu zaštitu</c:v>
                </c:pt>
              </c:strCache>
            </c:strRef>
          </c:cat>
          <c:val>
            <c:numRef>
              <c:f>[PITA.xlsx]Sheet1!$B$2:$B$7</c:f>
              <c:numCache>
                <c:formatCode>_(* #,##0.00_);_(* \(#,##0.00\);_(* "-"??_);_(@_)</c:formatCode>
                <c:ptCount val="6"/>
                <c:pt idx="0">
                  <c:v>329966587.49000001</c:v>
                </c:pt>
                <c:pt idx="1">
                  <c:v>803793986.27999997</c:v>
                </c:pt>
                <c:pt idx="2">
                  <c:v>8988807.3900000006</c:v>
                </c:pt>
                <c:pt idx="3">
                  <c:v>1250300725.6500001</c:v>
                </c:pt>
                <c:pt idx="4">
                  <c:v>467876804.86000001</c:v>
                </c:pt>
                <c:pt idx="5">
                  <c:v>1107198702.95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C756-4F2A-8158-0C3B718FE18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b481cca8-04cf-42db-9f7d-fb1cfb096b05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en-US"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'Graf. za godiš. izvještaj'!$A$66</c:f>
              <c:strCache>
                <c:ptCount val="1"/>
                <c:pt idx="0">
                  <c:v>Bruto državni dug u % BDP-a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76000"/>
                    <a:lumMod val="110000"/>
                    <a:satMod val="105000"/>
                    <a:tint val="67000"/>
                  </a:schemeClr>
                </a:gs>
                <a:gs pos="50000">
                  <a:schemeClr val="accent5">
                    <a:shade val="76000"/>
                    <a:lumMod val="105000"/>
                    <a:satMod val="103000"/>
                    <a:tint val="73000"/>
                  </a:schemeClr>
                </a:gs>
                <a:gs pos="100000">
                  <a:schemeClr val="accent5">
                    <a:shade val="76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5">
                  <a:shade val="76000"/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'Graf. za godiš. izvještaj'!$B$65:$C$65</c:f>
              <c:strCache>
                <c:ptCount val="2"/>
                <c:pt idx="0">
                  <c:v>31.12.2024.</c:v>
                </c:pt>
                <c:pt idx="1">
                  <c:v>31.12.2025.</c:v>
                </c:pt>
              </c:strCache>
            </c:strRef>
          </c:cat>
          <c:val>
            <c:numRef>
              <c:f>'Graf. za godiš. izvještaj'!$B$66:$C$66</c:f>
              <c:numCache>
                <c:formatCode>0.0%</c:formatCode>
                <c:ptCount val="2"/>
                <c:pt idx="0">
                  <c:v>0.59058882372582588</c:v>
                </c:pt>
                <c:pt idx="1">
                  <c:v>0.63139458755565547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7D-4E5B-BA3D-BE33106769ED}"/>
            </c:ext>
          </c:extLst>
        </c:ser>
        <c:ser>
          <c:idx val="1"/>
          <c:order val="1"/>
          <c:tx>
            <c:strRef>
              <c:f>'Graf. za godiš. izvještaj'!$A$67</c:f>
              <c:strCache>
                <c:ptCount val="1"/>
                <c:pt idx="0">
                  <c:v>Neto državni dug u % BDP-a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77000"/>
                    <a:lumMod val="110000"/>
                    <a:satMod val="105000"/>
                    <a:tint val="67000"/>
                  </a:schemeClr>
                </a:gs>
                <a:gs pos="50000">
                  <a:schemeClr val="accent5">
                    <a:tint val="77000"/>
                    <a:lumMod val="105000"/>
                    <a:satMod val="103000"/>
                    <a:tint val="73000"/>
                  </a:schemeClr>
                </a:gs>
                <a:gs pos="100000">
                  <a:schemeClr val="accent5">
                    <a:tint val="77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5">
                  <a:tint val="77000"/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'Graf. za godiš. izvještaj'!$B$65:$C$65</c:f>
              <c:strCache>
                <c:ptCount val="2"/>
                <c:pt idx="0">
                  <c:v>31.12.2024.</c:v>
                </c:pt>
                <c:pt idx="1">
                  <c:v>31.12.2025.</c:v>
                </c:pt>
              </c:strCache>
            </c:strRef>
          </c:cat>
          <c:val>
            <c:numRef>
              <c:f>'Graf. za godiš. izvještaj'!$B$67:$C$67</c:f>
              <c:numCache>
                <c:formatCode>0.0%</c:formatCode>
                <c:ptCount val="2"/>
                <c:pt idx="0">
                  <c:v>0.54017915262766802</c:v>
                </c:pt>
                <c:pt idx="1">
                  <c:v>0.53291096152723005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87D-4E5B-BA3D-BE33106769E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031020383"/>
        <c:axId val="1929884831"/>
      </c:barChart>
      <c:catAx>
        <c:axId val="20310203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29884831"/>
        <c:crosses val="autoZero"/>
        <c:auto val="1"/>
        <c:lblAlgn val="ctr"/>
        <c:lblOffset val="100"/>
        <c:noMultiLvlLbl val="0"/>
      </c:catAx>
      <c:valAx>
        <c:axId val="1929884831"/>
        <c:scaling>
          <c:orientation val="minMax"/>
          <c:max val="0.7500000000000001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1020383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120442109065023E-2"/>
          <c:y val="0.7549767817484353"/>
          <c:w val="0.91985791355238911"/>
          <c:h val="0.2039975772259236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581684804429506"/>
          <c:y val="7.4626865671641784E-2"/>
          <c:w val="0.78519628934158781"/>
          <c:h val="0.566719195717902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'Graf. za godiš. izvještaj'!$A$81</c:f>
              <c:strCache>
                <c:ptCount val="1"/>
                <c:pt idx="0">
                  <c:v>Bruto javni dug u % BDP-a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76000"/>
                    <a:lumMod val="110000"/>
                    <a:satMod val="105000"/>
                    <a:tint val="67000"/>
                  </a:schemeClr>
                </a:gs>
                <a:gs pos="50000">
                  <a:schemeClr val="accent5">
                    <a:shade val="76000"/>
                    <a:lumMod val="105000"/>
                    <a:satMod val="103000"/>
                    <a:tint val="73000"/>
                  </a:schemeClr>
                </a:gs>
                <a:gs pos="100000">
                  <a:schemeClr val="accent5">
                    <a:shade val="76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5">
                  <a:shade val="76000"/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'Graf. za godiš. izvještaj'!$B$80:$C$80</c:f>
              <c:strCache>
                <c:ptCount val="2"/>
                <c:pt idx="0">
                  <c:v>31.12.2024.</c:v>
                </c:pt>
                <c:pt idx="1">
                  <c:v>31.12.2025.</c:v>
                </c:pt>
              </c:strCache>
            </c:strRef>
          </c:cat>
          <c:val>
            <c:numRef>
              <c:f>'Graf. za godiš. izvještaj'!$B$81:$C$81</c:f>
              <c:numCache>
                <c:formatCode>0.0%</c:formatCode>
                <c:ptCount val="2"/>
                <c:pt idx="0">
                  <c:v>0.59831456508860414</c:v>
                </c:pt>
                <c:pt idx="1">
                  <c:v>0.63499790396478539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5A-4B11-9B6A-C60D93351747}"/>
            </c:ext>
          </c:extLst>
        </c:ser>
        <c:ser>
          <c:idx val="1"/>
          <c:order val="1"/>
          <c:tx>
            <c:strRef>
              <c:f>'Graf. za godiš. izvještaj'!$A$82</c:f>
              <c:strCache>
                <c:ptCount val="1"/>
                <c:pt idx="0">
                  <c:v>Neto javni dug u % BDP-a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77000"/>
                    <a:lumMod val="110000"/>
                    <a:satMod val="105000"/>
                    <a:tint val="67000"/>
                  </a:schemeClr>
                </a:gs>
                <a:gs pos="50000">
                  <a:schemeClr val="accent5">
                    <a:tint val="77000"/>
                    <a:lumMod val="105000"/>
                    <a:satMod val="103000"/>
                    <a:tint val="73000"/>
                  </a:schemeClr>
                </a:gs>
                <a:gs pos="100000">
                  <a:schemeClr val="accent5">
                    <a:tint val="77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5">
                  <a:tint val="77000"/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'Graf. za godiš. izvještaj'!$B$80:$C$80</c:f>
              <c:strCache>
                <c:ptCount val="2"/>
                <c:pt idx="0">
                  <c:v>31.12.2024.</c:v>
                </c:pt>
                <c:pt idx="1">
                  <c:v>31.12.2025.</c:v>
                </c:pt>
              </c:strCache>
            </c:strRef>
          </c:cat>
          <c:val>
            <c:numRef>
              <c:f>'Graf. za godiš. izvještaj'!$B$82:$C$82</c:f>
              <c:numCache>
                <c:formatCode>0.0%</c:formatCode>
                <c:ptCount val="2"/>
                <c:pt idx="0">
                  <c:v>0.5479048939904464</c:v>
                </c:pt>
                <c:pt idx="1">
                  <c:v>0.53651427793636008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65A-4B11-9B6A-C60D9335174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938650223"/>
        <c:axId val="1929883583"/>
      </c:barChart>
      <c:catAx>
        <c:axId val="19386502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29883583"/>
        <c:crosses val="autoZero"/>
        <c:auto val="1"/>
        <c:lblAlgn val="ctr"/>
        <c:lblOffset val="100"/>
        <c:noMultiLvlLbl val="0"/>
      </c:catAx>
      <c:valAx>
        <c:axId val="1929883583"/>
        <c:scaling>
          <c:orientation val="minMax"/>
          <c:max val="0.70000000000000007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386502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7813316922559028E-2"/>
          <c:y val="0.73629394140508708"/>
          <c:w val="0.76194593912233921"/>
          <c:h val="0.2230004287965565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2588490307324736E-2"/>
          <c:y val="0.18915703104679482"/>
          <c:w val="0.88330469255630606"/>
          <c:h val="0.5581732631679746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1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1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5373-4850-812D-16744B7CCC4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3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3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3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5373-4850-812D-16744B7CCC4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5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5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5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5373-4850-812D-16744B7CCC4A}"/>
              </c:ext>
            </c:extLst>
          </c:dPt>
          <c:dLbls>
            <c:dLbl>
              <c:idx val="1"/>
              <c:layout>
                <c:manualLayout>
                  <c:x val="0.12669221964318289"/>
                  <c:y val="-4.421416715914402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373-4850-812D-16744B7CCC4A}"/>
                </c:ext>
              </c:extLst>
            </c:dLbl>
            <c:dLbl>
              <c:idx val="2"/>
              <c:layout>
                <c:manualLayout>
                  <c:x val="-0.15530014020777266"/>
                  <c:y val="-4.421416715914402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373-4850-812D-16744B7CCC4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'4.kvartal 25'!$A$75:$A$77</c:f>
              <c:strCache>
                <c:ptCount val="3"/>
                <c:pt idx="0">
                  <c:v>EUR</c:v>
                </c:pt>
                <c:pt idx="1">
                  <c:v>USD</c:v>
                </c:pt>
                <c:pt idx="2">
                  <c:v>SDR</c:v>
                </c:pt>
              </c:strCache>
            </c:strRef>
          </c:cat>
          <c:val>
            <c:numRef>
              <c:f>'4.kvartal 25'!$W$75:$W$77</c:f>
              <c:numCache>
                <c:formatCode>0.00%</c:formatCode>
                <c:ptCount val="3"/>
                <c:pt idx="0" formatCode="0.0%">
                  <c:v>0.99746069437013718</c:v>
                </c:pt>
                <c:pt idx="1">
                  <c:v>2.1396289517799792E-3</c:v>
                </c:pt>
                <c:pt idx="2">
                  <c:v>3.9967667808217988E-4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373-4850-812D-16744B7CCC4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06309886446676"/>
          <c:y val="0.87750312412797393"/>
          <c:w val="0.41556247074955044"/>
          <c:h val="9.4098035042916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892449709495469"/>
          <c:y val="0.12288033352131979"/>
          <c:w val="0.83396429126790039"/>
          <c:h val="0.66171524570308127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1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1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1A0C-4E3E-965D-06A4ACB3A7A6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3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3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3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1A0C-4E3E-965D-06A4ACB3A7A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'4.kvartal 25'!$A$80:$A$81</c:f>
              <c:strCache>
                <c:ptCount val="2"/>
                <c:pt idx="0">
                  <c:v>Fix</c:v>
                </c:pt>
                <c:pt idx="1">
                  <c:v>Var</c:v>
                </c:pt>
              </c:strCache>
            </c:strRef>
          </c:cat>
          <c:val>
            <c:numRef>
              <c:f>'4.kvartal 25'!$W$80:$W$81</c:f>
              <c:numCache>
                <c:formatCode>0.0%</c:formatCode>
                <c:ptCount val="2"/>
                <c:pt idx="0">
                  <c:v>0.78771590303481931</c:v>
                </c:pt>
                <c:pt idx="1">
                  <c:v>0.2122840969651808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A0C-4E3E-965D-06A4ACB3A7A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4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65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/>
    <cs:fillRef idx="2">
      <cs:styleClr val="auto"/>
    </cs:fillRef>
    <cs:effectRef idx="1"/>
    <cs:fontRef idx="minor">
      <a:schemeClr val="dk1"/>
    </cs:fontRef>
    <cs:spPr/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65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/>
    <cs:fillRef idx="2">
      <cs:styleClr val="auto"/>
    </cs:fillRef>
    <cs:effectRef idx="1"/>
    <cs:fontRef idx="minor">
      <a:schemeClr val="dk1"/>
    </cs:fontRef>
    <cs:spPr/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DC1DFB-59AC-4E82-989F-0D0E1B077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1641</Words>
  <Characters>9358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Andjela Bulatovic</dc:creator>
  <cp:lastModifiedBy>Dragana Nedic</cp:lastModifiedBy>
  <cp:revision>35</cp:revision>
  <cp:lastPrinted>2024-03-29T12:38:00Z</cp:lastPrinted>
  <dcterms:created xsi:type="dcterms:W3CDTF">2025-03-26T09:33:00Z</dcterms:created>
  <dcterms:modified xsi:type="dcterms:W3CDTF">2026-03-31T12:33:00Z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87AC5C039B444D43BB1BE5DA57761AAC_13</vt:lpwstr>
  </property>
</Properties>
</file>