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5AD1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bookmarkStart w:id="0" w:name="_Hlk169607803"/>
      <w:bookmarkEnd w:id="0"/>
    </w:p>
    <w:p w14:paraId="1340AC9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C387E5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813FD2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DFE2B0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F50373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080BBE8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222222"/>
          <w:sz w:val="32"/>
          <w:szCs w:val="32"/>
          <w:lang w:eastAsia="sr-Latn-CS"/>
        </w:rPr>
      </w:pPr>
      <w:r>
        <w:rPr>
          <w:rFonts w:ascii="Times New Roman" w:hAnsi="Times New Roman" w:eastAsia="Times New Roman" w:cs="Times New Roman"/>
          <w:b/>
          <w:color w:val="222222"/>
          <w:sz w:val="32"/>
          <w:szCs w:val="32"/>
          <w:lang w:eastAsia="sr-Latn-CS"/>
        </w:rPr>
        <w:t>IZVJEŠTAJ O REALIZACIJI  GODIŠNJEG PLANA RADA OBRAZOVANJE ZA DIGITALNO GRADJANSTVO ZA 202</w:t>
      </w:r>
      <w:r>
        <w:rPr>
          <w:rFonts w:hint="default" w:ascii="Times New Roman" w:hAnsi="Times New Roman" w:eastAsia="Times New Roman" w:cs="Times New Roman"/>
          <w:b/>
          <w:color w:val="222222"/>
          <w:sz w:val="32"/>
          <w:szCs w:val="32"/>
          <w:lang w:val="sr-Latn-ME" w:eastAsia="sr-Latn-CS"/>
        </w:rPr>
        <w:t>4</w:t>
      </w:r>
      <w:r>
        <w:rPr>
          <w:rFonts w:ascii="Times New Roman" w:hAnsi="Times New Roman" w:eastAsia="Times New Roman" w:cs="Times New Roman"/>
          <w:b/>
          <w:color w:val="222222"/>
          <w:sz w:val="32"/>
          <w:szCs w:val="32"/>
          <w:lang w:eastAsia="sr-Latn-CS"/>
        </w:rPr>
        <w:t>/202</w:t>
      </w:r>
      <w:r>
        <w:rPr>
          <w:rFonts w:hint="default" w:ascii="Times New Roman" w:hAnsi="Times New Roman" w:eastAsia="Times New Roman" w:cs="Times New Roman"/>
          <w:b/>
          <w:color w:val="222222"/>
          <w:sz w:val="32"/>
          <w:szCs w:val="32"/>
          <w:lang w:val="sr-Latn-ME" w:eastAsia="sr-Latn-CS"/>
        </w:rPr>
        <w:t>5</w:t>
      </w:r>
      <w:r>
        <w:rPr>
          <w:rFonts w:ascii="Times New Roman" w:hAnsi="Times New Roman" w:eastAsia="Times New Roman" w:cs="Times New Roman"/>
          <w:b/>
          <w:color w:val="222222"/>
          <w:sz w:val="32"/>
          <w:szCs w:val="32"/>
          <w:lang w:eastAsia="sr-Latn-CS"/>
        </w:rPr>
        <w:t>.GODINU</w:t>
      </w:r>
    </w:p>
    <w:p w14:paraId="3B65F49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50D4818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6E11C1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CECCEE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FFA947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drawing>
          <wp:inline distT="0" distB="0" distL="0" distR="0">
            <wp:extent cx="5760085" cy="3254375"/>
            <wp:effectExtent l="0" t="0" r="635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FD3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drawing>
          <wp:inline distT="0" distB="0" distL="114300" distR="114300">
            <wp:extent cx="5755640" cy="8618220"/>
            <wp:effectExtent l="0" t="0" r="5080" b="762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62E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876E1B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B3CC53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715FF71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373654B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Tim za Obrazovaje za digitalno građanstvo realizovao je godišnjim pla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  <w:t>n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om sve planirane aktivnosti. </w:t>
      </w:r>
    </w:p>
    <w:p w14:paraId="5D2C9B7C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Detaljno analizirajući priručnik </w:t>
      </w: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"https://www.coe.int/en/web/education/-/priru%C4%8Dnik-za-obrazovanje-za-digitalno-gra%C4%91anstvo"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9"/>
          <w:rFonts w:ascii="SimSun" w:hAnsi="SimSun" w:eastAsia="SimSun" w:cs="SimSun"/>
          <w:sz w:val="24"/>
          <w:szCs w:val="24"/>
        </w:rPr>
        <w:t>Priručnik za Obrazovanje za Digitalno Građanstvo - Education</w:t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sr-Latn-ME"/>
        </w:rPr>
        <w:t xml:space="preserve">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pored planiranih aktivnosti u okviru ovog projekta  otvorile su se nove mogućnosti i saradnje sa lokalnom zajednicom i saradnjom sa osnovnim školama iz drugih opština koje smo takođe ralizovali a na redovnim sastancima sa upravom škole i dogovorili. </w:t>
      </w:r>
    </w:p>
    <w:p w14:paraId="3C0B1ACE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636952BE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“</w:t>
      </w: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Odrasli snose odgovornost da pripreme mlade ljude za sva iskušenja koja im neminovno predstoje. </w:t>
      </w: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 xml:space="preserve">Sada odrasli imaju i dodatni zadatak da pripreme djecu ne samo za fizički svet nego i za digitalni svijet: potrebno je da ih obrazuju za život onlajn, kao i za život oflajn. </w:t>
      </w:r>
    </w:p>
    <w:p w14:paraId="08312759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Iz perspektive odraslih mnogo toga je već urađeno da bi se ustanovile </w:t>
      </w:r>
    </w:p>
    <w:p w14:paraId="2FC0E684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sektorske politike za zaštitu djece kada su onlajn. Taj rad je koristan i zaista je </w:t>
      </w:r>
    </w:p>
    <w:p w14:paraId="348C372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apsolutno neophodan, ali je nastupio trenutak da pređemo sa mjera za zaštitu </w:t>
      </w:r>
    </w:p>
    <w:p w14:paraId="24C6B9D7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djece na mjere koje će ih aktivno osnažiti. Dosad je na tom planu preduzeto mnogo </w:t>
      </w:r>
    </w:p>
    <w:p w14:paraId="7D8C63DD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neformalnih napora. </w:t>
      </w: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 xml:space="preserve">Sada je potreban strukturisan pristup koji će omogućiti djeci </w:t>
      </w:r>
    </w:p>
    <w:p w14:paraId="3CC39990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 xml:space="preserve">i mladima da steknu kompetencije koje su im neophodne kako bi postali zdravi i </w:t>
      </w:r>
    </w:p>
    <w:p w14:paraId="15C4B513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>odgovorni građani u onlajn okruženju.</w:t>
      </w:r>
    </w:p>
    <w:p w14:paraId="0A201D96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Gde djeca treba da steknu te kompetencije? Savet Evrope veruje da je </w:t>
      </w:r>
    </w:p>
    <w:p w14:paraId="3BFA3ED9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formalno obrazovanje dužno da sagledava onlajn i oflajn detinji život kao djelove </w:t>
      </w:r>
    </w:p>
    <w:p w14:paraId="55DFFA9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jedne iste cijeline. Digitalna revolucija nije toliko razbila koliko je izbrisala fizičke </w:t>
      </w:r>
    </w:p>
    <w:p w14:paraId="631AAF3A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u w:val="single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barijere. </w:t>
      </w: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u w:val="single"/>
          <w:lang w:val="sr-Latn-ME" w:eastAsia="sr-Latn-CS"/>
        </w:rPr>
        <w:t xml:space="preserve">Onlajn svijet ne vodi računa ni o kakvim granicama odjeljenja niti o školskim zidovima, isto onako kao što ignoriše lokalne, regionalne ili nacionalne granice. </w:t>
      </w:r>
    </w:p>
    <w:p w14:paraId="26773D7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u w:val="single"/>
          <w:lang w:val="sr-Latn-ME" w:eastAsia="sr-Latn-CS"/>
        </w:rPr>
      </w:pP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u w:val="single"/>
          <w:lang w:val="sr-Latn-ME" w:eastAsia="sr-Latn-CS"/>
        </w:rPr>
        <w:t xml:space="preserve">Djeca svoje digitalne živote i iskustva nose sa sobom u školu i naša je dužnost da </w:t>
      </w:r>
    </w:p>
    <w:p w14:paraId="252F1313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u w:val="single"/>
          <w:lang w:val="sr-Latn-ME" w:eastAsia="sr-Latn-CS"/>
        </w:rPr>
      </w:pP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u w:val="single"/>
          <w:lang w:val="sr-Latn-ME" w:eastAsia="sr-Latn-CS"/>
        </w:rPr>
        <w:t>asimilujemo tu novu realnost i inkorporiramo je u obrazovne sisteme.</w:t>
      </w:r>
    </w:p>
    <w:p w14:paraId="5A5EEAF9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 Upravo to razmatranje poslužilo je kao polazište za Projekat digitalnog </w:t>
      </w:r>
    </w:p>
    <w:p w14:paraId="1B0517B3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građanstva, koji je pokrenulo Odeljenje za obrazovanje. Kako bi rukovodilo tim </w:t>
      </w:r>
    </w:p>
    <w:p w14:paraId="48E0E86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projektom, Odeljenje je identifikovalo tri aspekta onlajn života – </w:t>
      </w: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 xml:space="preserve">biti onlajn, dobrobit </w:t>
      </w:r>
    </w:p>
    <w:p w14:paraId="05C96B7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 xml:space="preserve">onlajn i prava onlajn </w:t>
      </w: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– u kojima može da promoviše osnovna načela Saveta Evrope: </w:t>
      </w:r>
    </w:p>
    <w:p w14:paraId="6F473135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b/>
          <w:bCs/>
          <w:color w:val="222222"/>
          <w:sz w:val="26"/>
          <w:szCs w:val="26"/>
          <w:lang w:val="sr-Latn-ME" w:eastAsia="sr-Latn-CS"/>
        </w:rPr>
        <w:t xml:space="preserve">demokratiju, ljudska prava i vladavinu prava. </w:t>
      </w: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Ta načela važe za ljudske odnose i </w:t>
      </w:r>
    </w:p>
    <w:p w14:paraId="3711EDBA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ponašanje u digitalnom okruženju isto onoliko koliko važe i u fizičkom svetu. Svaki </w:t>
      </w:r>
    </w:p>
    <w:p w14:paraId="4C37514D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>čovek snosi istovetnu odgovornost kao građanin.”~Iz Priručnika za Obrazovanje za digitalno građanstvo.</w:t>
      </w:r>
    </w:p>
    <w:p w14:paraId="0D2404BC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2E032765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06A79E7D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18A2D3B5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7B75FCCB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11FCC29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01C8AD1F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482CCDB3">
      <w:pPr>
        <w:shd w:val="clear" w:color="auto" w:fill="FFFFFF"/>
        <w:spacing w:after="0" w:line="240" w:lineRule="auto"/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</w:pPr>
    </w:p>
    <w:p w14:paraId="6B920D5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Rukovodeći se gore navedenim,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 na sastancima je dogovoreno da se uspostavi saradnja sa učenicima koji redovno pohađaju sekciju Bezbjedno surfovanje internetom kod nastavnice informatike sa tehnikom Andrijanom Pavićević koja je ujedno i koordinatorka Tima za Obrazovanje za digitalno građanstvo.</w:t>
      </w:r>
    </w:p>
    <w:p w14:paraId="3B660E3B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Saradnja Tima za ODG i Tima Bezbjedno surfovanje internetom rezultiralo je velikim uspjehom i interensovanjem lokalne zajednice za saradnju osnovnih škola iz Podgorice ali i  osnovnih škola iz drugih opština.</w:t>
      </w:r>
    </w:p>
    <w:p w14:paraId="5B8B3052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240F7568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Članovi ova dva Tima su udruženo, temeljno i odgovorno pristupali ovim aktivnostima i ostvarili sjajnu saradnju sa učenicima i nastavicima iz drugih škola. </w:t>
      </w:r>
    </w:p>
    <w:p w14:paraId="0D39EB85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31E7A7D3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Kako je fokus Savjeta Evrope upravo na BITI ONLAJN~DOBROBIT ONLAJN~PRAVA ONLAJN članovi Tima su u okviru ovog projekta članovi Tima imali i jedan poseban dio koji se tiče i tiče goruće teme današnjice  “Biti odgooran onlajn i uživo” ~ “Sajber buling”. </w:t>
      </w:r>
    </w:p>
    <w:p w14:paraId="70E81D2D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51195" cy="9336405"/>
            <wp:effectExtent l="0" t="0" r="9525" b="5715"/>
            <wp:docPr id="1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933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66F8D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2305" cy="7671435"/>
            <wp:effectExtent l="0" t="0" r="3175" b="9525"/>
            <wp:docPr id="38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869C52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55E91780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Svaka saradnja imala je poseban prisup i izazove odnosno zahtjevala je vanredne sastane sa članovima Tima učenika i koordinatorke kako bi se razradile uloge, prilagodila prezentacija i program potrebama, uslovima i mogućnostima škola koje su domaćini. Važno je napomenuti da su ova gostovanja otvorenog tipa i da su u školama bili upućeni pozivi za sve nastavnike, roditelje i učenike uzrasta od V do IX razreda.</w:t>
      </w:r>
    </w:p>
    <w:p w14:paraId="21E178BD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298315"/>
            <wp:effectExtent l="0" t="0" r="0" b="14605"/>
            <wp:docPr id="39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8C0972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1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BCFF8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49E879B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0672F7CF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Ovakav vid saradnje je veoma značajan za sve aktere u obrazovnom sistemu. Iskustva koja učenici razmijenjuju kao i fantastičan odziv roditelja koji učestvuju u diskusiji i pohvaljuju ovakav inovativan pristup nastavi samo je pojačala motivaciju za većim angažovanjem. Ostvaren je sjajan odnos sa članovima uprave i nastavnika iz škola sa kojima je ostvarena saradnja i otvorene su nove mogućnosti za dalju saradnjau koja će se u narednoj godini realizovati.</w:t>
      </w:r>
    </w:p>
    <w:p w14:paraId="63BB10C3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61A6A9A5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298315"/>
            <wp:effectExtent l="0" t="0" r="0" b="14605"/>
            <wp:docPr id="35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E60CDC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34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C8FD4E">
      <w:pPr>
        <w:shd w:val="clear" w:color="auto" w:fill="FFFFFF"/>
        <w:spacing w:after="0" w:line="240" w:lineRule="auto"/>
      </w:pPr>
    </w:p>
    <w:p w14:paraId="05F4593D">
      <w:pPr>
        <w:shd w:val="clear" w:color="auto" w:fill="FFFFFF"/>
        <w:spacing w:after="0" w:line="240" w:lineRule="auto"/>
        <w:rPr>
          <w:rFonts w:hint="default"/>
          <w:lang w:val="sr-Latn-ME" w:eastAsia="sr-Latn-CS"/>
        </w:rPr>
      </w:pPr>
    </w:p>
    <w:p w14:paraId="44D058A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722D1C44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553EFB78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Takođe, treba pomenuti da nakon svakog gostovanja u školi dobili smo pohvalu pa  smo po preporuci škola dobili pozive za saradnju, što govori u prilog tome da je naša praksa pokazala da je ono što piše u pripučniku za Obrazovanje za digitalno građanstvo prepoznato kao dobar primjer i da je potrebno za poboljšanje kvaliteta vaspitno~obrazovnog rada.</w:t>
      </w:r>
    </w:p>
    <w:p w14:paraId="0D3E6E2C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33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CFAD9E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2086A47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Ovaj projekat je vrlo izazovan u svakom smislu. </w:t>
      </w:r>
    </w:p>
    <w:p w14:paraId="7387C47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Selekcija članova učenika i članova nastavnika prema njihovim interesovanjima, pripreme prilagođenih prezentacija i programa do uslova u školama, podrške i razumijevanja uprave škole i roditelja.</w:t>
      </w:r>
    </w:p>
    <w:p w14:paraId="13295DA9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</w:p>
    <w:p w14:paraId="61D1A0FB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Potrebno je ukazati i na specifičnosti procesa rada ovog Tima.</w:t>
      </w:r>
    </w:p>
    <w:p w14:paraId="108DEDF9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 </w:t>
      </w:r>
    </w:p>
    <w:p w14:paraId="2EAB560C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Obzirom da je potreban koontinuiran rad sa učenicima i po sat ipo vremena nedjeljno učenici nisu gubili motivaciju već je ona samo rasla. Praksa je pokazala da su potrebne i do dvije godine da bi učenici stekli kompetencije da bi mogli i oni da zauzmu ulogu edukatora. Ovo je vrlo bitan faktor jer učenici sa najviše iskustva IX razred odlaze iz škole i zato potrebno je kontinuirano uvođenje novih članova učenika koje je potrebno obučiti. Ove godine koordinatorka ODG i članovi učenici su različitih razreda i smjena pa kada imaju aktivnosti one se realizuju nakon nastave pa je potrebno imati i saglasnost roditelja i obezbijediti sredstva za putne troškove kao i užinu koja se do sada svodila na teret koordinatorke projekta. Sve gore navedeno nije uticalo na motivaciju i uspješnost projekta koji će se i dalje realizovati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  <w:t>.</w:t>
      </w:r>
    </w:p>
    <w:p w14:paraId="2A5D2897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</w:p>
    <w:p w14:paraId="27CD0532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298315"/>
            <wp:effectExtent l="0" t="0" r="0" b="14605"/>
            <wp:docPr id="36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E13F10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</w:p>
    <w:p w14:paraId="62443AD9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9290" cy="7665720"/>
            <wp:effectExtent l="0" t="0" r="11430" b="0"/>
            <wp:docPr id="1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EFA431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</w:p>
    <w:p w14:paraId="68961A30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</w:p>
    <w:p w14:paraId="59C3E820">
      <w:pPr>
        <w:shd w:val="clear" w:color="auto" w:fill="FFFFFF"/>
        <w:spacing w:after="0" w:line="240" w:lineRule="auto"/>
        <w:rPr>
          <w:rFonts w:hint="default" w:ascii="Aptos" w:hAnsi="Aptos" w:eastAsia="Times New Roman" w:cs="Aptos"/>
          <w:color w:val="000000"/>
          <w:sz w:val="24"/>
          <w:szCs w:val="24"/>
          <w:lang w:val="en-US" w:eastAsia="en-US" w:bidi="ar"/>
        </w:rPr>
      </w:pPr>
      <w:r>
        <w:rPr>
          <w:rFonts w:hint="default" w:ascii="Aptos" w:hAnsi="Aptos" w:eastAsia="Times New Roman" w:cs="Aptos"/>
          <w:color w:val="000000"/>
          <w:sz w:val="24"/>
          <w:szCs w:val="24"/>
          <w:lang w:val="en-US" w:eastAsia="en-US" w:bidi="ar"/>
        </w:rPr>
        <w:t xml:space="preserve">Tim za Obrazovanje za digitalno građanstvo realizovao je predavanja i razne radionice, čime na najljepši način afirmišemo našu školu i to znanjem.  U prethodnom periodu posjetili smo JU OŠ"Niko Maraš"- Zeta, </w:t>
      </w:r>
      <w:r>
        <w:rPr>
          <w:rFonts w:hint="default" w:ascii="Aptos" w:hAnsi="Aptos" w:eastAsia="Times New Roman" w:cs="Aptos"/>
          <w:color w:val="000000"/>
          <w:sz w:val="24"/>
          <w:szCs w:val="24"/>
          <w:lang w:val="sr-Latn-ME" w:eastAsia="en-US" w:bidi="ar"/>
        </w:rPr>
        <w:t xml:space="preserve">JU OŠ “Savo Pejanović”, </w:t>
      </w:r>
      <w:r>
        <w:rPr>
          <w:rFonts w:hint="default" w:ascii="Aptos" w:hAnsi="Aptos" w:eastAsia="Times New Roman" w:cs="Aptos"/>
          <w:color w:val="000000"/>
          <w:sz w:val="24"/>
          <w:szCs w:val="24"/>
          <w:lang w:val="en-US" w:eastAsia="en-US" w:bidi="ar"/>
        </w:rPr>
        <w:t>JU OŠ " Radojica Perović" Podgorica,</w:t>
      </w:r>
      <w:r>
        <w:rPr>
          <w:rFonts w:hint="default" w:ascii="Aptos" w:hAnsi="Aptos" w:eastAsia="Times New Roman" w:cs="Aptos"/>
          <w:color w:val="000000"/>
          <w:sz w:val="24"/>
          <w:szCs w:val="24"/>
          <w:lang w:val="sr-Latn-ME" w:eastAsia="en-US" w:bidi="ar"/>
        </w:rPr>
        <w:t xml:space="preserve"> JU OŠ ”Novka Ubović” Podgorica,</w:t>
      </w:r>
      <w:r>
        <w:rPr>
          <w:rFonts w:hint="default" w:ascii="Aptos" w:hAnsi="Aptos" w:eastAsia="Times New Roman" w:cs="Aptos"/>
          <w:color w:val="000000"/>
          <w:sz w:val="24"/>
          <w:szCs w:val="24"/>
          <w:lang w:val="en-US" w:eastAsia="en-US" w:bidi="ar"/>
        </w:rPr>
        <w:t xml:space="preserve"> JU OŠ" Dr Dragiša Ivanović" Podgorica , JU OŠ"Vladika Danilo"- Zeta i druge, a pozvani smo i iz drugih škola čije posjete  planiramo radionice sljede</w:t>
      </w:r>
      <w:r>
        <w:rPr>
          <w:rFonts w:hint="default" w:ascii="Aptos" w:hAnsi="Aptos" w:eastAsia="Times New Roman" w:cs="Aptos"/>
          <w:color w:val="000000"/>
          <w:sz w:val="24"/>
          <w:szCs w:val="24"/>
          <w:lang w:val="sr-Latn-ME" w:eastAsia="en-US" w:bidi="ar"/>
        </w:rPr>
        <w:t>će</w:t>
      </w:r>
      <w:r>
        <w:rPr>
          <w:rFonts w:hint="default" w:ascii="Aptos" w:hAnsi="Aptos" w:eastAsia="Times New Roman" w:cs="Aptos"/>
          <w:color w:val="000000"/>
          <w:sz w:val="24"/>
          <w:szCs w:val="24"/>
          <w:lang w:val="en-US" w:eastAsia="en-US" w:bidi="ar"/>
        </w:rPr>
        <w:t xml:space="preserve"> nastavne godine.</w:t>
      </w:r>
    </w:p>
    <w:p w14:paraId="27CEA0ED">
      <w:pPr>
        <w:shd w:val="clear" w:color="auto" w:fill="FFFFFF"/>
        <w:spacing w:after="0" w:line="240" w:lineRule="auto"/>
        <w:rPr>
          <w:rFonts w:hint="default" w:ascii="Aptos" w:hAnsi="Aptos" w:eastAsia="Times New Roman" w:cs="Aptos"/>
          <w:color w:val="000000"/>
          <w:sz w:val="24"/>
          <w:szCs w:val="24"/>
          <w:lang w:val="en-US" w:eastAsia="en-US" w:bidi="ar"/>
        </w:rPr>
      </w:pPr>
    </w:p>
    <w:p w14:paraId="114F5D49">
      <w:pPr>
        <w:shd w:val="clear" w:color="auto" w:fill="FFFFFF"/>
        <w:spacing w:after="0" w:line="240" w:lineRule="auto"/>
        <w:rPr>
          <w:rFonts w:hint="default" w:ascii="Aptos" w:hAnsi="Aptos" w:eastAsia="Times New Roman" w:cs="Aptos"/>
          <w:color w:val="000000"/>
          <w:sz w:val="24"/>
          <w:szCs w:val="24"/>
          <w:lang w:val="en-US" w:eastAsia="sr-Latn-CS" w:bidi="ar"/>
        </w:rPr>
      </w:pPr>
      <w:r>
        <w:drawing>
          <wp:inline distT="0" distB="0" distL="114300" distR="114300">
            <wp:extent cx="5756275" cy="5137150"/>
            <wp:effectExtent l="0" t="0" r="4445" b="1397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8085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drawing>
          <wp:inline distT="0" distB="0" distL="114300" distR="114300">
            <wp:extent cx="5758815" cy="4692015"/>
            <wp:effectExtent l="0" t="0" r="1905" b="1905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84A0">
      <w:pPr>
        <w:shd w:val="clear" w:color="auto" w:fill="FFFFFF"/>
        <w:spacing w:after="0" w:line="240" w:lineRule="auto"/>
      </w:pPr>
      <w:r>
        <w:drawing>
          <wp:inline distT="0" distB="0" distL="114300" distR="114300">
            <wp:extent cx="5759450" cy="4037330"/>
            <wp:effectExtent l="0" t="0" r="1270" b="127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513C">
      <w:pPr>
        <w:shd w:val="clear" w:color="auto" w:fill="FFFFFF"/>
        <w:spacing w:after="0" w:line="240" w:lineRule="auto"/>
        <w:rPr>
          <w:rFonts w:hint="default"/>
          <w:lang w:val="sr-Latn-ME" w:eastAsia="sr-Latn-CS"/>
        </w:rPr>
      </w:pPr>
      <w:r>
        <w:drawing>
          <wp:inline distT="0" distB="0" distL="114300" distR="114300">
            <wp:extent cx="5759450" cy="6188075"/>
            <wp:effectExtent l="0" t="0" r="1270" b="14605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BCD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hint="default" w:ascii="Times New Roman" w:hAnsi="Times New Roman" w:eastAsia="Times New Roman"/>
          <w:color w:val="222222"/>
          <w:sz w:val="26"/>
          <w:szCs w:val="26"/>
          <w:lang w:val="sr-Latn-ME" w:eastAsia="sr-Latn-CS"/>
        </w:rPr>
        <w:t xml:space="preserve"> </w:t>
      </w:r>
    </w:p>
    <w:p w14:paraId="05BE814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6E96035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en-US" w:eastAsia="sr-Latn-CS"/>
        </w:rPr>
      </w:pPr>
    </w:p>
    <w:p w14:paraId="290AF78E">
      <w:pPr>
        <w:shd w:val="clear" w:color="auto" w:fill="FFFFFF"/>
        <w:spacing w:after="0" w:line="240" w:lineRule="auto"/>
      </w:pPr>
      <w:r>
        <w:drawing>
          <wp:inline distT="0" distB="0" distL="114300" distR="114300">
            <wp:extent cx="5756910" cy="5461635"/>
            <wp:effectExtent l="0" t="0" r="3810" b="9525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D947">
      <w:pPr>
        <w:shd w:val="clear" w:color="auto" w:fill="FFFFFF"/>
        <w:spacing w:after="0" w:line="240" w:lineRule="auto"/>
        <w:rPr>
          <w:lang w:eastAsia="sr-Latn-CS"/>
        </w:rPr>
      </w:pPr>
    </w:p>
    <w:p w14:paraId="1E66810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drawing>
          <wp:inline distT="0" distB="0" distL="114300" distR="114300">
            <wp:extent cx="5753735" cy="6233160"/>
            <wp:effectExtent l="0" t="0" r="698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C38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A00B32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8473E32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2274D66C">
      <w:pPr>
        <w:shd w:val="clear" w:color="auto" w:fill="FFFFFF"/>
        <w:spacing w:after="0" w:line="240" w:lineRule="auto"/>
      </w:pPr>
      <w:r>
        <w:drawing>
          <wp:inline distT="0" distB="0" distL="114300" distR="114300">
            <wp:extent cx="5757545" cy="5345430"/>
            <wp:effectExtent l="0" t="0" r="3175" b="381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42D9">
      <w:pPr>
        <w:shd w:val="clear" w:color="auto" w:fill="FFFFFF"/>
        <w:spacing w:after="0" w:line="240" w:lineRule="auto"/>
        <w:rPr>
          <w:lang w:eastAsia="sr-Latn-CS"/>
        </w:rPr>
      </w:pPr>
      <w:r>
        <w:drawing>
          <wp:inline distT="0" distB="0" distL="114300" distR="114300">
            <wp:extent cx="5755640" cy="5328920"/>
            <wp:effectExtent l="0" t="0" r="5080" b="508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E9A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B55674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E0BFB5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1ACDFF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76E64B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22EFA1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drawing>
          <wp:inline distT="0" distB="0" distL="0" distR="0">
            <wp:extent cx="5760085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1AB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59FDB03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3A9EC6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59380E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F64004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FED79D2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Koordinatorka projekta Obrazovanje za digitalno građanstvo Andrijana Pavi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ćević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 održala je obuke kojoj su pisustvovali roditelji učenika naše škole, učenici tima ODG-a i direkrorica Milica Vuković.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 Ovom prilikom posjetila nas je ekipa iz portala i novine koji su vidjeli naše objave na fejsbuku za koje smo dali i izjave i dobili medijskog prostora kao i u 1. izdanju školskog časopisa povodom 75.godina rada škole “NAŠA PRIČA”.</w:t>
      </w:r>
    </w:p>
    <w:p w14:paraId="228232F3">
      <w:pPr>
        <w:shd w:val="clear" w:color="auto" w:fill="FFFFFF"/>
        <w:spacing w:after="0" w:line="240" w:lineRule="auto"/>
        <w:rPr>
          <w:rFonts w:ascii="SimSun" w:hAnsi="SimSun" w:eastAsia="SimSun" w:cs="SimSun"/>
          <w:sz w:val="24"/>
          <w:szCs w:val="24"/>
        </w:rPr>
      </w:pPr>
    </w:p>
    <w:p w14:paraId="6DD9F1A6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84495" cy="7671435"/>
            <wp:effectExtent l="0" t="0" r="0" b="0"/>
            <wp:docPr id="37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l="449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F737C3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drawing>
          <wp:inline distT="0" distB="0" distL="114300" distR="114300">
            <wp:extent cx="5754370" cy="5964555"/>
            <wp:effectExtent l="0" t="0" r="6350" b="9525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EA50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drawing>
          <wp:inline distT="0" distB="0" distL="114300" distR="114300">
            <wp:extent cx="3895725" cy="6686550"/>
            <wp:effectExtent l="0" t="0" r="5715" b="381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0025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drawing>
          <wp:inline distT="0" distB="0" distL="114300" distR="114300">
            <wp:extent cx="5759450" cy="3785870"/>
            <wp:effectExtent l="0" t="0" r="1270" b="8890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8815" cy="3185795"/>
            <wp:effectExtent l="0" t="0" r="1905" b="14605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ED3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355CEE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D1A36F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Roditelji su pohvalili Tim projekta Obrazovanje za digitalno građanstvo, istakli izuzetan rad, posvećenost i  motivisanost  pro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fesorice informatike 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Andrijane Pavićević i učenika, gdje su roditelji direktno uključeni u aktivnosti. Roditelji su bili motivisani za dalju saradnju i za ovakav vid rada, u kojem učestvuje uprava škole, nastavnici, roditelji i učenici.</w:t>
      </w:r>
    </w:p>
    <w:p w14:paraId="6409966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78B3FA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2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4E33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6F3F5E1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U uvodnom obraćanju koordinatorka zahvalila je učenicima za ogroman trud i rad,  ističući veliki ponos koji osjeća dok ih sluša i gleda kako svake godine postaju kompetentniji informatičari i samouvjereniji predavači. Jedna od poruka koje im je uputila jeste da gledajući ih dok blistaju svaki trud i rad se isplatio.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”Naši putevi se ovdje ne razdvajaju već će se nastaviti saradnja između naše i vaših budućih škola.” </w:t>
      </w:r>
    </w:p>
    <w:p w14:paraId="49A2842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E48AEF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3E2C83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Trener obuke bila je naša koordinatorka sa timom učenika:</w:t>
      </w:r>
    </w:p>
    <w:p w14:paraId="3DEA5C2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2E2734F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1. Marko Maraš V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I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I razred</w:t>
      </w:r>
    </w:p>
    <w:p w14:paraId="31283C9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2. Matea Racković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IX 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razred</w:t>
      </w:r>
    </w:p>
    <w:p w14:paraId="6FA9BB5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3.Maša Milutinović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IX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 razred</w:t>
      </w:r>
    </w:p>
    <w:p w14:paraId="65FE8078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4.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Nađa Dabanović V razred</w:t>
      </w:r>
    </w:p>
    <w:p w14:paraId="6F9358A7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6.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 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Daris Dizdarević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IX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 razred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, pridružili su se i drugi učenici.</w:t>
      </w:r>
    </w:p>
    <w:p w14:paraId="02BCEF7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253A5D6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>Tom prilikom tim je pokazao visok stepen znanja iz oblasti pomenute oblasti i uspjeli su da svojim prezenterskim vještinama sjajnih predavača prenesu znanje roditeljima. Roditelji učenika naše škole aktivno su učestvovali u obuci, radili zadatke, učestvovali u diskusiji, odgovarali na pitanja učenika.</w:t>
      </w:r>
    </w:p>
    <w:p w14:paraId="3365959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B1DF75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D4064D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BDD963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3983DF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4411D2A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01EE3E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drawing>
          <wp:inline distT="0" distB="0" distL="0" distR="0">
            <wp:extent cx="5760085" cy="43091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264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B88220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712FD4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22853BD1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Pored pomenutih aktivnosti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koordinatorka 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 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>Obrazovanja za digitalno građanstvo uz saglasnost uprave škole</w:t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 su kontinuirano radili na promociji Obrazovanja za digitalno građanstvo. Redovno su i objavljivane aktivnosti, obuke, radionice i sastanci na fejsbuk stranici naše škole.</w:t>
      </w:r>
      <w:r>
        <w:rPr>
          <w:rFonts w:hint="default" w:ascii="Times New Roman" w:hAnsi="Times New Roman" w:eastAsia="Times New Roman" w:cs="Times New Roman"/>
          <w:color w:val="222222"/>
          <w:sz w:val="26"/>
          <w:szCs w:val="26"/>
          <w:lang w:val="sr-Latn-ME" w:eastAsia="sr-Latn-CS"/>
        </w:rPr>
        <w:t xml:space="preserve"> Takođe neki od ciljeva jeste da se onlajn prostor preplavi dobrim sadržajem, kako bi se i na taj način dobio pozitivan efekat kod digitalnih građana.</w:t>
      </w:r>
    </w:p>
    <w:p w14:paraId="6C54875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1D9A46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583A329">
      <w:pPr>
        <w:shd w:val="clear" w:color="auto" w:fill="FFFFFF"/>
        <w:spacing w:after="0" w:line="24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16095"/>
            <wp:effectExtent l="0" t="0" r="0" b="12065"/>
            <wp:docPr id="31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DA50C">
      <w:pPr>
        <w:shd w:val="clear" w:color="auto" w:fill="FFFFFF"/>
        <w:spacing w:after="0" w:line="240" w:lineRule="auto"/>
        <w:rPr>
          <w:rFonts w:ascii="SimSun" w:hAnsi="SimSun" w:eastAsia="SimSun" w:cs="SimSun"/>
          <w:sz w:val="24"/>
          <w:szCs w:val="24"/>
        </w:rPr>
      </w:pPr>
    </w:p>
    <w:p w14:paraId="05608A60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 w:eastAsia="sr-Latn-CS"/>
        </w:rPr>
      </w:pPr>
      <w:r>
        <w:rPr>
          <w:rFonts w:hint="default" w:ascii="SimSun" w:hAnsi="SimSun" w:eastAsia="SimSun" w:cs="SimSun"/>
          <w:sz w:val="24"/>
          <w:szCs w:val="24"/>
          <w:lang w:val="sr-Latn-ME" w:eastAsia="sr-Latn-CS"/>
        </w:rPr>
        <w:t>Koordinatorka za Obrazovanje za digitalno građanstvo je i koordinatorka Nedelje globalnog obrazovanja.</w:t>
      </w:r>
    </w:p>
    <w:p w14:paraId="4E0DE498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 w:eastAsia="sr-Latn-CS"/>
        </w:rPr>
      </w:pPr>
    </w:p>
    <w:p w14:paraId="319A4DC7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292929"/>
          <w:spacing w:val="0"/>
        </w:rPr>
      </w:pPr>
      <w:r>
        <w:rPr>
          <w:rStyle w:val="6"/>
          <w:rFonts w:hint="default" w:ascii="sans-serif" w:hAnsi="sans-serif" w:eastAsia="sans-serif" w:cs="sans-serif"/>
          <w:b/>
          <w:bCs/>
          <w:i w:val="0"/>
          <w:iCs w:val="0"/>
          <w:caps w:val="0"/>
          <w:color w:val="292929"/>
          <w:spacing w:val="0"/>
        </w:rPr>
        <w:t>Nedjelja globalnog obrazovanja</w:t>
      </w:r>
      <w:r>
        <w:rPr>
          <w:rStyle w:val="6"/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  <w:t xml:space="preserve"> je jedinstvena kampanja koja podstiče aktivnosti globalnog obrazovanja i učešće pojedinaca i institucija kako bi doprinijeli održivijem i pravednijem svijetu. Ova kampanja se održava svake godine u trećoj sedmici novembra i pruža mnogoborojne mogućnosti učešća u cilju razvijanja zajednica koje uče o aktivnom globalnom građanstvu. Kampanju sprovodi Centar „Sjever-jug” </w:t>
      </w:r>
      <w:r>
        <w:rPr>
          <w:rStyle w:val="6"/>
          <w:rFonts w:hint="default" w:ascii="sans-serif" w:hAnsi="sans-serif" w:eastAsia="sans-serif" w:cs="sans-serif"/>
          <w:b/>
          <w:bCs/>
          <w:i w:val="0"/>
          <w:iCs w:val="0"/>
          <w:caps w:val="0"/>
          <w:color w:val="292929"/>
          <w:spacing w:val="0"/>
        </w:rPr>
        <w:t>Savjeta Evrope</w:t>
      </w:r>
      <w:r>
        <w:rPr>
          <w:rStyle w:val="6"/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  <w:t>, dok je na nacionalnom nivou promoviše Mreža za globalno obrazovanje Centra „Sjever-jug”, u okviru projekta iLEGEND III „Interkulturalna razmjena učenja kroz globalno obrazovanje, umrežavanje i dijalog”.</w:t>
      </w:r>
    </w:p>
    <w:p w14:paraId="2E8D0F42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  <w:t>Moto ovogodišnje kampanje je </w:t>
      </w:r>
      <w:r>
        <w:rPr>
          <w:rStyle w:val="11"/>
          <w:rFonts w:hint="default" w:ascii="sans-serif" w:hAnsi="sans-serif" w:eastAsia="sans-serif" w:cs="sans-serif"/>
          <w:b/>
          <w:bCs/>
          <w:i w:val="0"/>
          <w:iCs w:val="0"/>
          <w:caps w:val="0"/>
          <w:color w:val="292929"/>
          <w:spacing w:val="0"/>
        </w:rPr>
        <w:t>„Povezani ljudi za inkluzivnu planetu“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  <w:t> i obuhvata tematske stubove: </w:t>
      </w:r>
      <w:r>
        <w:rPr>
          <w:rStyle w:val="11"/>
          <w:rFonts w:hint="default" w:ascii="sans-serif" w:hAnsi="sans-serif" w:eastAsia="sans-serif" w:cs="sans-serif"/>
          <w:b/>
          <w:bCs/>
          <w:i w:val="0"/>
          <w:iCs w:val="0"/>
          <w:caps w:val="0"/>
          <w:color w:val="292929"/>
          <w:spacing w:val="0"/>
        </w:rPr>
        <w:t>Planeta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  <w:t> i </w:t>
      </w:r>
      <w:r>
        <w:rPr>
          <w:rStyle w:val="11"/>
          <w:rFonts w:hint="default" w:ascii="sans-serif" w:hAnsi="sans-serif" w:eastAsia="sans-serif" w:cs="sans-serif"/>
          <w:b/>
          <w:bCs/>
          <w:i w:val="0"/>
          <w:iCs w:val="0"/>
          <w:caps w:val="0"/>
          <w:color w:val="292929"/>
          <w:spacing w:val="0"/>
        </w:rPr>
        <w:t>Ljudi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</w:rPr>
        <w:t>.</w:t>
      </w:r>
    </w:p>
    <w:p w14:paraId="46C683C1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  <w:t>Obzirom da je tema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en-US"/>
        </w:rPr>
        <w:t xml:space="preserve"> 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  <w:t>“</w:t>
      </w:r>
      <w:r>
        <w:rPr>
          <w:rStyle w:val="11"/>
          <w:rFonts w:hint="default" w:ascii="sans-serif" w:hAnsi="sans-serif" w:eastAsia="sans-serif" w:cs="sans-serif"/>
          <w:b/>
          <w:bCs/>
          <w:i w:val="0"/>
          <w:iCs w:val="0"/>
          <w:caps w:val="0"/>
          <w:color w:val="292929"/>
          <w:spacing w:val="0"/>
        </w:rPr>
        <w:t>Povezani ljudi za inkluzivnu planetu“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  <w:t xml:space="preserve"> povezana sa svime što je suština Obrayovanja za digitalno građanstvo, ovaj proces u našoj ustanovi je trajao danima.</w:t>
      </w:r>
    </w:p>
    <w:p w14:paraId="51DC6360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DA5F5C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39E547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hint="default" w:ascii="SimSun" w:hAnsi="SimSun" w:eastAsia="SimSun" w:cs="SimSun"/>
          <w:sz w:val="24"/>
          <w:szCs w:val="24"/>
          <w:lang w:val="sr-Latn-M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09110"/>
            <wp:effectExtent l="0" t="0" r="0" b="381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0F548F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  <w:t>Rezultiralo je još jednom pohvalom i sertifikatom koje je našoj koordinatorki uručeno u ime ustanove.</w:t>
      </w:r>
    </w:p>
    <w:p w14:paraId="00FA27B4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292929"/>
          <w:spacing w:val="0"/>
          <w:lang w:val="sr-Latn-M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50560" cy="4312920"/>
            <wp:effectExtent l="0" t="0" r="10160" b="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D9549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</w:pPr>
    </w:p>
    <w:p w14:paraId="6200C84B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</w:pPr>
      <w:r>
        <w:drawing>
          <wp:inline distT="0" distB="0" distL="114300" distR="114300">
            <wp:extent cx="5755005" cy="4255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rcRect b="312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0614">
      <w:pPr>
        <w:pStyle w:val="10"/>
        <w:keepNext w:val="0"/>
        <w:keepLines w:val="0"/>
        <w:widowControl/>
        <w:suppressLineNumbers w:val="0"/>
        <w:spacing w:before="0" w:beforeAutospacing="0" w:after="576" w:afterAutospacing="0"/>
        <w:ind w:left="0" w:right="0" w:firstLine="0"/>
        <w:rPr>
          <w:rFonts w:hint="default"/>
          <w:lang w:val="sr-Latn-M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298315"/>
            <wp:effectExtent l="0" t="0" r="0" b="1460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80389D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/>
        </w:rPr>
      </w:pPr>
      <w:r>
        <w:rPr>
          <w:rFonts w:hint="default" w:ascii="SimSun" w:hAnsi="SimSun" w:eastAsia="SimSun" w:cs="SimSun"/>
          <w:sz w:val="24"/>
          <w:szCs w:val="24"/>
          <w:lang w:val="sr-Latn-ME" w:eastAsia="sr-Latn-CS"/>
        </w:rPr>
        <w:t xml:space="preserve">U nastavku realizacije ovog projekta radiće se više na inkluziji.Koordinatorka je u procesu dobijanja  Youthpass sertikifata </w:t>
      </w: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"https://www.youthpass.eu/en/about-youthpass/about/"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9"/>
          <w:rFonts w:ascii="SimSun" w:hAnsi="SimSun" w:eastAsia="SimSun" w:cs="SimSun"/>
          <w:sz w:val="24"/>
          <w:szCs w:val="24"/>
        </w:rPr>
        <w:t>What is Youthpass? – Youthpass</w:t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sr-Latn-ME"/>
        </w:rPr>
        <w:t>.</w:t>
      </w:r>
    </w:p>
    <w:p w14:paraId="648EE7CC">
      <w:pPr>
        <w:shd w:val="clear" w:color="auto" w:fill="FFFFFF"/>
        <w:spacing w:after="0" w:line="240" w:lineRule="auto"/>
      </w:pPr>
      <w:r>
        <w:drawing>
          <wp:inline distT="0" distB="0" distL="114300" distR="114300">
            <wp:extent cx="5752465" cy="5110480"/>
            <wp:effectExtent l="0" t="0" r="8255" b="1016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C6C8">
      <w:pPr>
        <w:shd w:val="clear" w:color="auto" w:fill="FFFFFF"/>
        <w:spacing w:after="0" w:line="240" w:lineRule="auto"/>
        <w:jc w:val="center"/>
        <w:rPr>
          <w:rFonts w:hint="default"/>
          <w:b/>
          <w:bCs/>
          <w:sz w:val="24"/>
          <w:szCs w:val="24"/>
          <w:lang w:val="sr-Latn-ME" w:eastAsia="sr-Latn-CS"/>
        </w:rPr>
      </w:pPr>
      <w:r>
        <w:rPr>
          <w:rFonts w:hint="default"/>
          <w:b/>
          <w:bCs/>
          <w:sz w:val="24"/>
          <w:szCs w:val="24"/>
          <w:lang w:val="sr-Latn-ME" w:eastAsia="sr-Latn-CS"/>
        </w:rPr>
        <w:t>INKLUZIVNOST JE OBLAST KOJU TREBA POJAČATI U OBRAZOVNOM SISTEMU.</w:t>
      </w:r>
      <w:bookmarkStart w:id="1" w:name="_GoBack"/>
      <w:bookmarkEnd w:id="1"/>
    </w:p>
    <w:p w14:paraId="5ABE240D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 w:eastAsia="sr-Latn-C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57545" cy="7696200"/>
            <wp:effectExtent l="0" t="0" r="3175" b="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BC2B0E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 w:eastAsia="sr-Latn-CS"/>
        </w:rPr>
      </w:pPr>
    </w:p>
    <w:p w14:paraId="4303B286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 w:eastAsia="sr-Latn-CS"/>
        </w:rPr>
      </w:pPr>
      <w:r>
        <w:rPr>
          <w:rFonts w:hint="default" w:ascii="SimSun" w:hAnsi="SimSun" w:eastAsia="SimSun" w:cs="SimSun"/>
          <w:sz w:val="24"/>
          <w:szCs w:val="24"/>
          <w:lang w:val="sr-Latn-ME" w:eastAsia="sr-Latn-CS"/>
        </w:rPr>
        <w:t>Projekat Obrazovanje za digitalno građanstvo obuhvata i Medijsku pismenost pa tim povodom koordinatorka imala aktivnosti.</w:t>
      </w:r>
    </w:p>
    <w:p w14:paraId="1F689B77">
      <w:pPr>
        <w:shd w:val="clear" w:color="auto" w:fill="FFFFFF"/>
        <w:spacing w:after="0" w:line="240" w:lineRule="auto"/>
        <w:rPr>
          <w:rFonts w:hint="default" w:ascii="SimSun" w:hAnsi="SimSun" w:eastAsia="SimSun" w:cs="SimSun"/>
          <w:sz w:val="24"/>
          <w:szCs w:val="24"/>
          <w:lang w:val="sr-Latn-ME" w:eastAsia="sr-Latn-CS"/>
        </w:rPr>
      </w:pPr>
      <w:r>
        <w:drawing>
          <wp:inline distT="0" distB="0" distL="114300" distR="114300">
            <wp:extent cx="5757545" cy="5661025"/>
            <wp:effectExtent l="0" t="0" r="317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F8C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222222"/>
          <w:sz w:val="26"/>
          <w:szCs w:val="26"/>
          <w:lang w:eastAsia="sr-Latn-CS"/>
        </w:rPr>
      </w:pPr>
      <w:r>
        <w:drawing>
          <wp:inline distT="0" distB="0" distL="114300" distR="114300">
            <wp:extent cx="5754370" cy="5274945"/>
            <wp:effectExtent l="0" t="0" r="6350" b="13335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6C6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24A7960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2A8BF13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E55325A">
      <w:pPr>
        <w:shd w:val="clear" w:color="auto" w:fill="FFFFFF"/>
        <w:spacing w:after="0" w:line="24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45480" cy="4316095"/>
            <wp:effectExtent l="0" t="0" r="0" b="12065"/>
            <wp:docPr id="30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9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74C8AC">
      <w:pPr>
        <w:shd w:val="clear" w:color="auto" w:fill="FFFFFF"/>
        <w:spacing w:after="0" w:line="240" w:lineRule="auto"/>
        <w:rPr>
          <w:rFonts w:ascii="SimSun" w:hAnsi="SimSun" w:eastAsia="SimSun" w:cs="SimSun"/>
          <w:sz w:val="24"/>
          <w:szCs w:val="24"/>
        </w:rPr>
      </w:pPr>
    </w:p>
    <w:p w14:paraId="59173FC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Članovi tima Obrazovanja za digitalno građanstvo su bili motivisani za rad i predložili niz različitih aktivnosti koje će se realizovati u narednom periodu. </w:t>
      </w:r>
    </w:p>
    <w:p w14:paraId="1D47DAA9">
      <w:pPr>
        <w:shd w:val="clear" w:color="auto" w:fill="FFFFFF"/>
        <w:spacing w:after="0" w:line="240" w:lineRule="auto"/>
        <w:rPr>
          <w:rFonts w:ascii="SimSun" w:hAnsi="SimSun" w:eastAsia="SimSun" w:cs="SimSun"/>
          <w:sz w:val="24"/>
          <w:szCs w:val="24"/>
          <w:lang w:eastAsia="sr-Latn-CS"/>
        </w:rPr>
      </w:pPr>
    </w:p>
    <w:p w14:paraId="6DA4E4C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A6383E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drawing>
          <wp:inline distT="0" distB="0" distL="0" distR="0">
            <wp:extent cx="5760085" cy="43243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  <w:t xml:space="preserve"> </w:t>
      </w:r>
    </w:p>
    <w:p w14:paraId="091ADBD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C0BCD1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9E9678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222222"/>
          <w:sz w:val="26"/>
          <w:szCs w:val="26"/>
          <w:lang w:eastAsia="sr-Latn-CS"/>
        </w:rPr>
      </w:pPr>
      <w:r>
        <w:rPr>
          <w:rFonts w:hint="default" w:ascii="Times New Roman" w:hAnsi="Times New Roman" w:eastAsia="Times New Roman" w:cs="Times New Roman"/>
          <w:b/>
          <w:bCs/>
          <w:color w:val="222222"/>
          <w:sz w:val="26"/>
          <w:szCs w:val="26"/>
          <w:lang w:val="sr-Latn-ME" w:eastAsia="sr-Latn-CS"/>
        </w:rPr>
        <w:t>N</w:t>
      </w:r>
      <w:r>
        <w:rPr>
          <w:rFonts w:ascii="Times New Roman" w:hAnsi="Times New Roman" w:eastAsia="Times New Roman" w:cs="Times New Roman"/>
          <w:b/>
          <w:bCs/>
          <w:color w:val="222222"/>
          <w:sz w:val="26"/>
          <w:szCs w:val="26"/>
          <w:lang w:eastAsia="sr-Latn-CS"/>
        </w:rPr>
        <w:t>a sastancima Andrijana Pavićević koordinatorka Obrazovanja za digitalno građanstvo, dala je akcenat na važnosti cjeloživotnog digitalnog učenja, kao i kakav efekat ima na društvo u cjelini.</w:t>
      </w:r>
    </w:p>
    <w:p w14:paraId="3A36948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5AEC754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3C5CF3A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54FBF7A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A4FDEC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6CDDA34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0"/>
          <w:szCs w:val="20"/>
          <w:lang w:eastAsia="sr-Latn-CS"/>
        </w:rPr>
      </w:pPr>
      <w:r>
        <w:rPr>
          <w:rFonts w:ascii="Times New Roman" w:hAnsi="Times New Roman" w:eastAsia="Times New Roman" w:cs="Times New Roman"/>
          <w:color w:val="222222"/>
          <w:sz w:val="20"/>
          <w:szCs w:val="20"/>
          <w:lang w:eastAsia="sr-Latn-CS"/>
        </w:rPr>
        <w:t>Godišnji plan rada ODG-a podložan je promjenama pa u skladu sa tim će se odvijati i sljedeća etapa realizacije.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20"/>
          <w:szCs w:val="20"/>
          <w:u w:color="000000"/>
          <w:shd w:val="clear" w:color="000000" w:fill="000000"/>
          <w:lang w:val="zh-CN" w:eastAsia="zh-CN" w:bidi="zh-CN"/>
        </w:rPr>
        <w:t xml:space="preserve"> </w:t>
      </w:r>
    </w:p>
    <w:p w14:paraId="4BDC491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EC9026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006E0C7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8E15CE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109613C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7C11C38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222222"/>
          <w:sz w:val="26"/>
          <w:szCs w:val="26"/>
          <w:lang w:eastAsia="sr-Latn-CS"/>
        </w:rPr>
      </w:pPr>
    </w:p>
    <w:p w14:paraId="5087E9A0">
      <w:pPr>
        <w:shd w:val="clear" w:color="auto" w:fill="FFFFFF"/>
        <w:spacing w:after="0" w:line="240" w:lineRule="auto"/>
        <w:rPr>
          <w:rFonts w:hint="default" w:eastAsia="Times New Roman" w:cs="Aharoni" w:asciiTheme="majorAscii" w:hAnsiTheme="majorAscii"/>
          <w:color w:val="222222"/>
          <w:sz w:val="26"/>
          <w:szCs w:val="26"/>
          <w:lang w:eastAsia="sr-Latn-CS"/>
        </w:rPr>
      </w:pPr>
      <w:r>
        <w:rPr>
          <w:rFonts w:hint="default" w:eastAsia="Times New Roman" w:cs="Aharoni" w:asciiTheme="majorAscii" w:hAnsiTheme="majorAscii"/>
          <w:color w:val="222222"/>
          <w:sz w:val="26"/>
          <w:szCs w:val="26"/>
          <w:lang w:eastAsia="sr-Latn-CS"/>
        </w:rPr>
        <w:t xml:space="preserve">Koordinatorka projekta </w:t>
      </w:r>
    </w:p>
    <w:p w14:paraId="091A88DA">
      <w:pPr>
        <w:shd w:val="clear" w:color="auto" w:fill="FFFFFF"/>
        <w:spacing w:after="0" w:line="240" w:lineRule="auto"/>
        <w:rPr>
          <w:rFonts w:hint="default" w:eastAsia="Times New Roman" w:cs="Aharoni" w:asciiTheme="majorAscii" w:hAnsiTheme="majorAscii"/>
          <w:color w:val="222222"/>
          <w:sz w:val="26"/>
          <w:szCs w:val="26"/>
          <w:lang w:eastAsia="sr-Latn-CS"/>
        </w:rPr>
      </w:pPr>
      <w:r>
        <w:rPr>
          <w:rFonts w:hint="default" w:eastAsia="Times New Roman" w:cs="Aharoni" w:asciiTheme="majorAscii" w:hAnsiTheme="majorAscii"/>
          <w:color w:val="222222"/>
          <w:sz w:val="26"/>
          <w:szCs w:val="26"/>
          <w:lang w:eastAsia="sr-Latn-CS"/>
        </w:rPr>
        <w:t>Obrazovanje za digitalno gra</w:t>
      </w:r>
      <w:r>
        <w:rPr>
          <w:rFonts w:hint="default" w:eastAsia="Times New Roman" w:cs="Times New Roman" w:asciiTheme="majorAscii" w:hAnsiTheme="majorAscii"/>
          <w:color w:val="222222"/>
          <w:sz w:val="26"/>
          <w:szCs w:val="26"/>
          <w:lang w:eastAsia="sr-Latn-CS"/>
        </w:rPr>
        <w:t>đ</w:t>
      </w:r>
      <w:r>
        <w:rPr>
          <w:rFonts w:hint="default" w:eastAsia="Times New Roman" w:cs="Aharoni" w:asciiTheme="majorAscii" w:hAnsiTheme="majorAscii"/>
          <w:color w:val="222222"/>
          <w:sz w:val="26"/>
          <w:szCs w:val="26"/>
          <w:lang w:eastAsia="sr-Latn-CS"/>
        </w:rPr>
        <w:t>anstvo,</w:t>
      </w:r>
    </w:p>
    <w:p w14:paraId="5A00D1FC">
      <w:pPr>
        <w:shd w:val="clear" w:color="auto" w:fill="FFFFFF"/>
        <w:spacing w:after="0" w:line="240" w:lineRule="auto"/>
        <w:rPr>
          <w:rFonts w:hint="default" w:eastAsia="Times New Roman" w:cs="Aharoni" w:asciiTheme="majorAscii" w:hAnsiTheme="majorAscii"/>
          <w:b/>
          <w:color w:val="222222"/>
          <w:sz w:val="26"/>
          <w:szCs w:val="26"/>
          <w:lang w:eastAsia="sr-Latn-CS"/>
        </w:rPr>
      </w:pPr>
    </w:p>
    <w:p w14:paraId="6C8492A0">
      <w:pPr>
        <w:shd w:val="clear" w:color="auto" w:fill="FFFFFF"/>
        <w:spacing w:after="0" w:line="240" w:lineRule="auto"/>
        <w:rPr>
          <w:rFonts w:hint="default" w:cs="Aharoni" w:asciiTheme="majorAscii" w:hAnsiTheme="majorAscii"/>
          <w:b/>
          <w:sz w:val="26"/>
          <w:szCs w:val="26"/>
        </w:rPr>
      </w:pPr>
      <w:r>
        <w:rPr>
          <w:rFonts w:hint="default" w:eastAsia="Times New Roman" w:cs="Aharoni" w:asciiTheme="majorAscii" w:hAnsiTheme="majorAscii"/>
          <w:b/>
          <w:color w:val="222222"/>
          <w:sz w:val="26"/>
          <w:szCs w:val="26"/>
          <w:lang w:eastAsia="sr-Latn-CS"/>
        </w:rPr>
        <w:t>Andrijana Pavi</w:t>
      </w:r>
      <w:r>
        <w:rPr>
          <w:rFonts w:hint="default" w:eastAsia="Times New Roman" w:cs="Times New Roman" w:asciiTheme="majorAscii" w:hAnsiTheme="majorAscii"/>
          <w:b/>
          <w:color w:val="222222"/>
          <w:sz w:val="26"/>
          <w:szCs w:val="26"/>
          <w:lang w:eastAsia="sr-Latn-CS"/>
        </w:rPr>
        <w:t>ć</w:t>
      </w:r>
      <w:r>
        <w:rPr>
          <w:rFonts w:hint="default" w:eastAsia="Times New Roman" w:cs="Aharoni" w:asciiTheme="majorAscii" w:hAnsiTheme="majorAscii"/>
          <w:b/>
          <w:color w:val="222222"/>
          <w:sz w:val="26"/>
          <w:szCs w:val="26"/>
          <w:lang w:eastAsia="sr-Latn-CS"/>
        </w:rPr>
        <w:t>evi</w:t>
      </w:r>
      <w:r>
        <w:rPr>
          <w:rFonts w:hint="default" w:eastAsia="Times New Roman" w:cs="Times New Roman" w:asciiTheme="majorAscii" w:hAnsiTheme="majorAscii"/>
          <w:b/>
          <w:color w:val="222222"/>
          <w:sz w:val="26"/>
          <w:szCs w:val="26"/>
          <w:lang w:eastAsia="sr-Latn-CS"/>
        </w:rPr>
        <w:t>ć</w:t>
      </w:r>
    </w:p>
    <w:sectPr>
      <w:pgSz w:w="11906" w:h="16838"/>
      <w:pgMar w:top="1417" w:right="1134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ptos">
    <w:altName w:val="Courier New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haroni">
    <w:altName w:val="Yu Gothic UI Semibold"/>
    <w:panose1 w:val="02010803020104030203"/>
    <w:charset w:val="B1"/>
    <w:family w:val="auto"/>
    <w:pitch w:val="default"/>
    <w:sig w:usb0="00000000" w:usb1="00000000" w:usb2="00000000" w:usb3="00000000" w:csb0="0000002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D4"/>
    <w:rsid w:val="00002A57"/>
    <w:rsid w:val="00117502"/>
    <w:rsid w:val="001654AF"/>
    <w:rsid w:val="00285CF2"/>
    <w:rsid w:val="002A27E1"/>
    <w:rsid w:val="002A56FF"/>
    <w:rsid w:val="00327B1F"/>
    <w:rsid w:val="003B4659"/>
    <w:rsid w:val="003F14D6"/>
    <w:rsid w:val="0044111C"/>
    <w:rsid w:val="00497912"/>
    <w:rsid w:val="004D6FD4"/>
    <w:rsid w:val="004F718E"/>
    <w:rsid w:val="005834D3"/>
    <w:rsid w:val="006558E2"/>
    <w:rsid w:val="006C57CB"/>
    <w:rsid w:val="006D1F3C"/>
    <w:rsid w:val="006D7135"/>
    <w:rsid w:val="00830A2C"/>
    <w:rsid w:val="0086180C"/>
    <w:rsid w:val="00875F43"/>
    <w:rsid w:val="009D5BC8"/>
    <w:rsid w:val="00B8322C"/>
    <w:rsid w:val="00C352DB"/>
    <w:rsid w:val="00C37706"/>
    <w:rsid w:val="00D61CD4"/>
    <w:rsid w:val="00DD2CB7"/>
    <w:rsid w:val="00E102B7"/>
    <w:rsid w:val="00F74303"/>
    <w:rsid w:val="0AA06BCA"/>
    <w:rsid w:val="1C795B4F"/>
    <w:rsid w:val="2104288E"/>
    <w:rsid w:val="24332BBD"/>
    <w:rsid w:val="28C5146C"/>
    <w:rsid w:val="41265E7C"/>
    <w:rsid w:val="43562A2C"/>
    <w:rsid w:val="5CE77725"/>
    <w:rsid w:val="5E235223"/>
    <w:rsid w:val="65CA22A5"/>
    <w:rsid w:val="6BA24332"/>
    <w:rsid w:val="7D45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sr-Latn-CS" w:eastAsia="en-US" w:bidi="ar-SA"/>
    </w:rPr>
  </w:style>
  <w:style w:type="paragraph" w:styleId="2">
    <w:name w:val="heading 1"/>
    <w:basedOn w:val="1"/>
    <w:link w:val="17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sr-Latn-CS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">
    <w:name w:val="Emphasis"/>
    <w:basedOn w:val="3"/>
    <w:qFormat/>
    <w:uiPriority w:val="20"/>
    <w:rPr>
      <w:i/>
      <w:iCs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535"/>
        <w:tab w:val="right" w:pos="9071"/>
      </w:tabs>
      <w:spacing w:after="0" w:line="240" w:lineRule="auto"/>
    </w:pPr>
  </w:style>
  <w:style w:type="paragraph" w:styleId="8">
    <w:name w:val="header"/>
    <w:basedOn w:val="1"/>
    <w:link w:val="14"/>
    <w:unhideWhenUsed/>
    <w:qFormat/>
    <w:uiPriority w:val="99"/>
    <w:pPr>
      <w:tabs>
        <w:tab w:val="center" w:pos="4535"/>
        <w:tab w:val="right" w:pos="9071"/>
      </w:tabs>
      <w:spacing w:after="0" w:line="240" w:lineRule="auto"/>
    </w:pPr>
  </w:style>
  <w:style w:type="character" w:styleId="9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10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1">
    <w:name w:val="Strong"/>
    <w:basedOn w:val="3"/>
    <w:qFormat/>
    <w:uiPriority w:val="22"/>
    <w:rPr>
      <w:b/>
      <w:bCs/>
    </w:rPr>
  </w:style>
  <w:style w:type="character" w:customStyle="1" w:styleId="12">
    <w:name w:val="ams"/>
    <w:basedOn w:val="3"/>
    <w:qFormat/>
    <w:uiPriority w:val="0"/>
  </w:style>
  <w:style w:type="character" w:customStyle="1" w:styleId="13">
    <w:name w:val="Balloon Text Char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4">
    <w:name w:val="Header Char"/>
    <w:basedOn w:val="3"/>
    <w:link w:val="8"/>
    <w:qFormat/>
    <w:uiPriority w:val="99"/>
  </w:style>
  <w:style w:type="character" w:customStyle="1" w:styleId="15">
    <w:name w:val="Footer Char"/>
    <w:basedOn w:val="3"/>
    <w:link w:val="7"/>
    <w:qFormat/>
    <w:uiPriority w:val="99"/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Heading 1 Char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sr-Latn-C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39</Pages>
  <Words>1144</Words>
  <Characters>6526</Characters>
  <Lines>54</Lines>
  <Paragraphs>15</Paragraphs>
  <TotalTime>13</TotalTime>
  <ScaleCrop>false</ScaleCrop>
  <LinksUpToDate>false</LinksUpToDate>
  <CharactersWithSpaces>7655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2024-06-18T08:17:00Z</dcterms:created>
  <dc:creator>Andrijana</dc:creator>
  <cp:lastModifiedBy>Ivo</cp:lastModifiedBy>
  <dcterms:modified xsi:type="dcterms:W3CDTF">2025-06-21T09:47:16Z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0E3943FB21DB4FB3A5A47F9AE0CAAF9D_13</vt:lpwstr>
  </property>
</Properties>
</file>