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FEC5" w14:textId="77777777" w:rsidR="00A07773" w:rsidRPr="00E54D7F" w:rsidRDefault="00A07773" w:rsidP="00A07773">
      <w:pPr>
        <w:autoSpaceDE w:val="0"/>
        <w:autoSpaceDN w:val="0"/>
        <w:adjustRightInd w:val="0"/>
        <w:jc w:val="right"/>
        <w:rPr>
          <w:rFonts w:ascii="Cambria" w:hAnsi="Cambria" w:cs="Arial"/>
          <w:b/>
          <w:noProof/>
          <w:color w:val="365F91" w:themeColor="accent1" w:themeShade="BF"/>
          <w:szCs w:val="24"/>
        </w:rPr>
      </w:pPr>
      <w:r w:rsidRPr="00E54D7F">
        <w:rPr>
          <w:rFonts w:ascii="Cambria" w:hAnsi="Cambria" w:cs="Arial"/>
          <w:b/>
          <w:noProof/>
          <w:color w:val="365F91" w:themeColor="accent1" w:themeShade="BF"/>
          <w:szCs w:val="24"/>
        </w:rPr>
        <w:t>OBRAZAC</w:t>
      </w:r>
    </w:p>
    <w:p w14:paraId="5E528EDA" w14:textId="77777777" w:rsidR="00067FCF" w:rsidRPr="00E54D7F" w:rsidRDefault="00067FCF" w:rsidP="00BA7396">
      <w:pPr>
        <w:autoSpaceDE w:val="0"/>
        <w:autoSpaceDN w:val="0"/>
        <w:adjustRightInd w:val="0"/>
        <w:rPr>
          <w:rFonts w:ascii="Cambria" w:hAnsi="Cambria" w:cs="Arial"/>
          <w:b/>
          <w:noProof/>
          <w:color w:val="365F91" w:themeColor="accent1" w:themeShade="BF"/>
          <w:szCs w:val="24"/>
        </w:rPr>
      </w:pPr>
    </w:p>
    <w:tbl>
      <w:tblPr>
        <w:tblStyle w:val="LightGrid-Accent5"/>
        <w:tblW w:w="0" w:type="auto"/>
        <w:tblLook w:val="04A0" w:firstRow="1" w:lastRow="0" w:firstColumn="1" w:lastColumn="0" w:noHBand="0" w:noVBand="1"/>
      </w:tblPr>
      <w:tblGrid>
        <w:gridCol w:w="3884"/>
        <w:gridCol w:w="5456"/>
      </w:tblGrid>
      <w:tr w:rsidR="00C72668" w:rsidRPr="00E54D7F" w14:paraId="325CEEA1"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03F2AE2" w14:textId="77777777" w:rsidR="00C72668" w:rsidRPr="00E54D7F" w:rsidRDefault="00067FCF" w:rsidP="00067FCF">
            <w:pPr>
              <w:autoSpaceDE w:val="0"/>
              <w:autoSpaceDN w:val="0"/>
              <w:adjustRightInd w:val="0"/>
              <w:spacing w:before="120" w:after="12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IZVJEŠTAJ</w:t>
            </w:r>
            <w:r w:rsidR="005F6D49" w:rsidRPr="00E54D7F">
              <w:rPr>
                <w:rFonts w:ascii="Cambria" w:hAnsi="Cambria" w:cs="Arial"/>
                <w:noProof/>
                <w:color w:val="365F91" w:themeColor="accent1" w:themeShade="BF"/>
                <w:szCs w:val="24"/>
              </w:rPr>
              <w:t xml:space="preserve"> O SPROVEDENOJ ANALIZI PROCJENE UTICAJA PROPISA</w:t>
            </w:r>
          </w:p>
        </w:tc>
      </w:tr>
      <w:tr w:rsidR="008322D4" w:rsidRPr="00E54D7F" w14:paraId="50E216B0"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323B57C1" w14:textId="77777777" w:rsidR="008322D4" w:rsidRPr="00E54D7F" w:rsidRDefault="008322D4" w:rsidP="0000426F">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PREDLAGA</w:t>
            </w:r>
            <w:r w:rsidR="005F6D49" w:rsidRPr="00E54D7F">
              <w:rPr>
                <w:rFonts w:ascii="Cambria" w:hAnsi="Cambria" w:cs="Arial"/>
                <w:noProof/>
                <w:color w:val="365F91" w:themeColor="accent1" w:themeShade="BF"/>
                <w:szCs w:val="24"/>
              </w:rPr>
              <w:t>Č</w:t>
            </w:r>
            <w:r w:rsidR="0000426F" w:rsidRPr="00E54D7F">
              <w:rPr>
                <w:rFonts w:ascii="Cambria" w:hAnsi="Cambria" w:cs="Arial"/>
                <w:noProof/>
                <w:color w:val="365F91" w:themeColor="accent1" w:themeShade="BF"/>
                <w:szCs w:val="24"/>
              </w:rPr>
              <w:t xml:space="preserve"> PROPISA</w:t>
            </w:r>
          </w:p>
        </w:tc>
        <w:tc>
          <w:tcPr>
            <w:tcW w:w="5598" w:type="dxa"/>
          </w:tcPr>
          <w:p w14:paraId="29A2429C" w14:textId="77777777" w:rsidR="008322D4" w:rsidRPr="00E54D7F" w:rsidRDefault="004607E9" w:rsidP="00540267">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b/>
                <w:noProof/>
                <w:szCs w:val="24"/>
              </w:rPr>
            </w:pPr>
            <w:r w:rsidRPr="00E54D7F">
              <w:rPr>
                <w:rFonts w:ascii="Cambria" w:hAnsi="Cambria" w:cs="Arial"/>
                <w:b/>
                <w:noProof/>
                <w:szCs w:val="24"/>
              </w:rPr>
              <w:t>MINISTARSTVO</w:t>
            </w:r>
            <w:r w:rsidR="009E19CE">
              <w:rPr>
                <w:rFonts w:ascii="Cambria" w:hAnsi="Cambria" w:cs="Arial"/>
                <w:b/>
                <w:noProof/>
                <w:szCs w:val="24"/>
              </w:rPr>
              <w:t xml:space="preserve"> FINANSIJA – KOMISIJA ZA TRŽIŠTE KAPITALA</w:t>
            </w:r>
          </w:p>
        </w:tc>
      </w:tr>
      <w:tr w:rsidR="008322D4" w:rsidRPr="00E54D7F" w14:paraId="6EF2E975"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C8D4ABD" w14:textId="77777777" w:rsidR="008322D4" w:rsidRPr="00E54D7F" w:rsidRDefault="008322D4" w:rsidP="00067FCF">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NA</w:t>
            </w:r>
            <w:r w:rsidR="00067FCF" w:rsidRPr="00E54D7F">
              <w:rPr>
                <w:rFonts w:ascii="Cambria" w:hAnsi="Cambria" w:cs="Arial"/>
                <w:noProof/>
                <w:color w:val="365F91" w:themeColor="accent1" w:themeShade="BF"/>
                <w:szCs w:val="24"/>
              </w:rPr>
              <w:t>ZIV</w:t>
            </w:r>
            <w:r w:rsidRPr="00E54D7F">
              <w:rPr>
                <w:rFonts w:ascii="Cambria" w:hAnsi="Cambria" w:cs="Arial"/>
                <w:noProof/>
                <w:color w:val="365F91" w:themeColor="accent1" w:themeShade="BF"/>
                <w:szCs w:val="24"/>
              </w:rPr>
              <w:t xml:space="preserve"> PROPISA</w:t>
            </w:r>
          </w:p>
        </w:tc>
        <w:tc>
          <w:tcPr>
            <w:tcW w:w="5598" w:type="dxa"/>
          </w:tcPr>
          <w:p w14:paraId="2378DE3F" w14:textId="1B8BE68B" w:rsidR="008322D4" w:rsidRPr="00E54D7F" w:rsidRDefault="003E49F0" w:rsidP="004607E9">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Cambria" w:hAnsi="Cambria" w:cs="Arial"/>
                <w:b/>
                <w:noProof/>
                <w:szCs w:val="24"/>
              </w:rPr>
            </w:pPr>
            <w:r>
              <w:rPr>
                <w:rFonts w:ascii="Cambria" w:hAnsi="Cambria" w:cs="Arial"/>
                <w:b/>
                <w:noProof/>
                <w:szCs w:val="24"/>
              </w:rPr>
              <w:t>Nacrt</w:t>
            </w:r>
            <w:r w:rsidR="008C5B9A" w:rsidRPr="00E54D7F">
              <w:rPr>
                <w:rFonts w:ascii="Cambria" w:hAnsi="Cambria" w:cs="Arial"/>
                <w:b/>
                <w:noProof/>
                <w:szCs w:val="24"/>
              </w:rPr>
              <w:t xml:space="preserve"> z</w:t>
            </w:r>
            <w:r w:rsidR="0048284D" w:rsidRPr="00E54D7F">
              <w:rPr>
                <w:rFonts w:ascii="Cambria" w:hAnsi="Cambria" w:cs="Arial"/>
                <w:b/>
                <w:noProof/>
                <w:szCs w:val="24"/>
              </w:rPr>
              <w:t>akon</w:t>
            </w:r>
            <w:r w:rsidR="008C5B9A" w:rsidRPr="00E54D7F">
              <w:rPr>
                <w:rFonts w:ascii="Cambria" w:hAnsi="Cambria" w:cs="Arial"/>
                <w:b/>
                <w:noProof/>
                <w:szCs w:val="24"/>
              </w:rPr>
              <w:t>a</w:t>
            </w:r>
            <w:r w:rsidR="0048284D" w:rsidRPr="00E54D7F">
              <w:rPr>
                <w:rFonts w:ascii="Cambria" w:hAnsi="Cambria" w:cs="Arial"/>
                <w:b/>
                <w:noProof/>
                <w:szCs w:val="24"/>
              </w:rPr>
              <w:t xml:space="preserve"> o </w:t>
            </w:r>
            <w:r w:rsidR="007C604C">
              <w:rPr>
                <w:rFonts w:ascii="Cambria" w:hAnsi="Cambria" w:cs="Arial"/>
                <w:b/>
                <w:noProof/>
                <w:szCs w:val="24"/>
              </w:rPr>
              <w:t xml:space="preserve">zelenim </w:t>
            </w:r>
            <w:r w:rsidR="00415A83">
              <w:rPr>
                <w:rFonts w:ascii="Cambria" w:hAnsi="Cambria" w:cs="Arial"/>
                <w:b/>
                <w:noProof/>
                <w:szCs w:val="24"/>
              </w:rPr>
              <w:t xml:space="preserve">i održivim </w:t>
            </w:r>
            <w:r w:rsidR="007C604C">
              <w:rPr>
                <w:rFonts w:ascii="Cambria" w:hAnsi="Cambria" w:cs="Arial"/>
                <w:b/>
                <w:noProof/>
                <w:szCs w:val="24"/>
              </w:rPr>
              <w:t>obveznicama</w:t>
            </w:r>
          </w:p>
        </w:tc>
      </w:tr>
      <w:tr w:rsidR="008322D4" w:rsidRPr="00E54D7F" w14:paraId="713DE765"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7F30DC9" w14:textId="77777777" w:rsidR="008322D4" w:rsidRPr="00E54D7F" w:rsidRDefault="008322D4" w:rsidP="008322D4">
            <w:pPr>
              <w:autoSpaceDE w:val="0"/>
              <w:autoSpaceDN w:val="0"/>
              <w:adjustRightInd w:val="0"/>
              <w:spacing w:before="120" w:after="12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1</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Definisanje problema</w:t>
            </w:r>
          </w:p>
          <w:p w14:paraId="4264C198"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1D0BF0" w:rsidRPr="00E54D7F">
              <w:rPr>
                <w:rFonts w:ascii="Cambria" w:hAnsi="Cambria" w:cs="Arial"/>
                <w:noProof/>
                <w:color w:val="365F91" w:themeColor="accent1" w:themeShade="BF"/>
                <w:szCs w:val="24"/>
              </w:rPr>
              <w:t xml:space="preserve">oje </w:t>
            </w:r>
            <w:r w:rsidR="005F03ED" w:rsidRPr="00E54D7F">
              <w:rPr>
                <w:rFonts w:ascii="Cambria" w:hAnsi="Cambria" w:cs="Arial"/>
                <w:noProof/>
                <w:color w:val="365F91" w:themeColor="accent1" w:themeShade="BF"/>
                <w:szCs w:val="24"/>
              </w:rPr>
              <w:t>probleme  treba da r</w:t>
            </w:r>
            <w:r w:rsidR="006A1B2C" w:rsidRPr="00E54D7F">
              <w:rPr>
                <w:rFonts w:ascii="Cambria" w:hAnsi="Cambria" w:cs="Arial"/>
                <w:noProof/>
                <w:color w:val="365F91" w:themeColor="accent1" w:themeShade="BF"/>
                <w:szCs w:val="24"/>
              </w:rPr>
              <w:t>i</w:t>
            </w:r>
            <w:r w:rsidR="005F03ED" w:rsidRPr="00E54D7F">
              <w:rPr>
                <w:rFonts w:ascii="Cambria" w:hAnsi="Cambria" w:cs="Arial"/>
                <w:noProof/>
                <w:color w:val="365F91" w:themeColor="accent1" w:themeShade="BF"/>
                <w:szCs w:val="24"/>
              </w:rPr>
              <w:t>ješi predloženi akt?</w:t>
            </w:r>
          </w:p>
          <w:p w14:paraId="2E63BB83" w14:textId="77777777" w:rsidR="00A07773" w:rsidRPr="00E54D7F" w:rsidRDefault="00D06D2A" w:rsidP="00972845">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 xml:space="preserve">oji </w:t>
            </w:r>
            <w:r w:rsidR="008322D4" w:rsidRPr="00E54D7F">
              <w:rPr>
                <w:rFonts w:ascii="Cambria" w:hAnsi="Cambria" w:cs="Arial"/>
                <w:noProof/>
                <w:color w:val="365F91" w:themeColor="accent1" w:themeShade="BF"/>
                <w:szCs w:val="24"/>
              </w:rPr>
              <w:t>su uzroci problema?</w:t>
            </w:r>
          </w:p>
          <w:p w14:paraId="431D5B85"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 xml:space="preserve">oje </w:t>
            </w:r>
            <w:r w:rsidR="005F03ED" w:rsidRPr="00E54D7F">
              <w:rPr>
                <w:rFonts w:ascii="Cambria" w:hAnsi="Cambria" w:cs="Arial"/>
                <w:noProof/>
                <w:color w:val="365F91" w:themeColor="accent1" w:themeShade="BF"/>
                <w:szCs w:val="24"/>
              </w:rPr>
              <w:t>su posljedice problema?</w:t>
            </w:r>
          </w:p>
          <w:p w14:paraId="584CC95E"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8322D4" w:rsidRPr="00E54D7F">
              <w:rPr>
                <w:rFonts w:ascii="Cambria" w:hAnsi="Cambria" w:cs="Arial"/>
                <w:noProof/>
                <w:color w:val="365F91" w:themeColor="accent1" w:themeShade="BF"/>
                <w:szCs w:val="24"/>
              </w:rPr>
              <w:t>o</w:t>
            </w:r>
            <w:r w:rsidRPr="00E54D7F">
              <w:rPr>
                <w:rFonts w:ascii="Cambria" w:hAnsi="Cambria" w:cs="Arial"/>
                <w:noProof/>
                <w:color w:val="365F91" w:themeColor="accent1" w:themeShade="BF"/>
                <w:szCs w:val="24"/>
              </w:rPr>
              <w:t>j</w:t>
            </w:r>
            <w:r w:rsidR="00972845" w:rsidRPr="00E54D7F">
              <w:rPr>
                <w:rFonts w:ascii="Cambria" w:hAnsi="Cambria" w:cs="Arial"/>
                <w:noProof/>
                <w:color w:val="365F91" w:themeColor="accent1" w:themeShade="BF"/>
                <w:szCs w:val="24"/>
              </w:rPr>
              <w:t>i</w:t>
            </w:r>
            <w:r w:rsidR="00067FCF" w:rsidRPr="00E54D7F">
              <w:rPr>
                <w:rFonts w:ascii="Cambria" w:hAnsi="Cambria" w:cs="Arial"/>
                <w:noProof/>
                <w:color w:val="365F91" w:themeColor="accent1" w:themeShade="BF"/>
                <w:szCs w:val="24"/>
              </w:rPr>
              <w:t xml:space="preserve"> su subjekti</w:t>
            </w:r>
            <w:r w:rsidR="008322D4" w:rsidRPr="00E54D7F">
              <w:rPr>
                <w:rFonts w:ascii="Cambria" w:hAnsi="Cambria" w:cs="Arial"/>
                <w:noProof/>
                <w:color w:val="365F91" w:themeColor="accent1" w:themeShade="BF"/>
                <w:szCs w:val="24"/>
              </w:rPr>
              <w:t xml:space="preserve"> oštećen</w:t>
            </w:r>
            <w:r w:rsidR="00067FCF" w:rsidRPr="00E54D7F">
              <w:rPr>
                <w:rFonts w:ascii="Cambria" w:hAnsi="Cambria" w:cs="Arial"/>
                <w:noProof/>
                <w:color w:val="365F91" w:themeColor="accent1" w:themeShade="BF"/>
                <w:szCs w:val="24"/>
              </w:rPr>
              <w:t>i</w:t>
            </w:r>
            <w:r w:rsidR="008322D4" w:rsidRPr="00E54D7F">
              <w:rPr>
                <w:rFonts w:ascii="Cambria" w:hAnsi="Cambria" w:cs="Arial"/>
                <w:noProof/>
                <w:color w:val="365F91" w:themeColor="accent1" w:themeShade="BF"/>
                <w:szCs w:val="24"/>
              </w:rPr>
              <w:t xml:space="preserve">, na koji način i </w:t>
            </w:r>
            <w:r w:rsidR="00067FCF" w:rsidRPr="00E54D7F">
              <w:rPr>
                <w:rFonts w:ascii="Cambria" w:hAnsi="Cambria" w:cs="Arial"/>
                <w:noProof/>
                <w:color w:val="365F91" w:themeColor="accent1" w:themeShade="BF"/>
                <w:szCs w:val="24"/>
              </w:rPr>
              <w:t>u kojoj mjeri</w:t>
            </w:r>
            <w:r w:rsidR="008322D4" w:rsidRPr="00E54D7F">
              <w:rPr>
                <w:rFonts w:ascii="Cambria" w:hAnsi="Cambria" w:cs="Arial"/>
                <w:noProof/>
                <w:color w:val="365F91" w:themeColor="accent1" w:themeShade="BF"/>
                <w:szCs w:val="24"/>
              </w:rPr>
              <w:t>?</w:t>
            </w:r>
          </w:p>
          <w:p w14:paraId="14D60301"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1D0BF0" w:rsidRPr="00E54D7F">
              <w:rPr>
                <w:rFonts w:ascii="Cambria" w:hAnsi="Cambria" w:cs="Arial"/>
                <w:noProof/>
                <w:color w:val="365F91" w:themeColor="accent1" w:themeShade="BF"/>
                <w:szCs w:val="24"/>
              </w:rPr>
              <w:t xml:space="preserve">ako </w:t>
            </w:r>
            <w:r w:rsidR="008322D4" w:rsidRPr="00E54D7F">
              <w:rPr>
                <w:rFonts w:ascii="Cambria" w:hAnsi="Cambria" w:cs="Arial"/>
                <w:noProof/>
                <w:color w:val="365F91" w:themeColor="accent1" w:themeShade="BF"/>
                <w:szCs w:val="24"/>
              </w:rPr>
              <w:t>bi problem evoluirao bez promjene propisa (</w:t>
            </w:r>
            <w:r w:rsidR="005F03ED" w:rsidRPr="00E54D7F">
              <w:rPr>
                <w:rFonts w:ascii="Cambria" w:hAnsi="Cambria" w:cs="Arial"/>
                <w:noProof/>
                <w:color w:val="365F91" w:themeColor="accent1" w:themeShade="BF"/>
                <w:szCs w:val="24"/>
              </w:rPr>
              <w:t xml:space="preserve">“status quo” </w:t>
            </w:r>
            <w:r w:rsidR="008322D4" w:rsidRPr="00E54D7F">
              <w:rPr>
                <w:rFonts w:ascii="Cambria" w:hAnsi="Cambria" w:cs="Arial"/>
                <w:noProof/>
                <w:color w:val="365F91" w:themeColor="accent1" w:themeShade="BF"/>
                <w:szCs w:val="24"/>
              </w:rPr>
              <w:t>opcija)?</w:t>
            </w:r>
          </w:p>
        </w:tc>
      </w:tr>
      <w:tr w:rsidR="008322D4" w:rsidRPr="00E54D7F" w14:paraId="1B42C1F2"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EE30A12" w14:textId="77777777" w:rsidR="00B23C5D" w:rsidRPr="00BB053A" w:rsidRDefault="00BB053A" w:rsidP="007D74D6">
            <w:pPr>
              <w:autoSpaceDE w:val="0"/>
              <w:autoSpaceDN w:val="0"/>
              <w:adjustRightInd w:val="0"/>
              <w:spacing w:before="120" w:after="120"/>
              <w:rPr>
                <w:rFonts w:ascii="Cambria" w:hAnsi="Cambria" w:cs="Arial"/>
                <w:noProof/>
                <w:szCs w:val="24"/>
              </w:rPr>
            </w:pPr>
            <w:r w:rsidRPr="00BB053A">
              <w:rPr>
                <w:rFonts w:ascii="Cambria" w:hAnsi="Cambria" w:cs="Arial"/>
                <w:noProof/>
                <w:szCs w:val="24"/>
              </w:rPr>
              <w:t>Koje probleme treba da riješi predloženi akt?</w:t>
            </w:r>
          </w:p>
          <w:p w14:paraId="2FCC12B0" w14:textId="16EC4C51" w:rsidR="007C604C" w:rsidRPr="007C604C" w:rsidRDefault="007C604C" w:rsidP="007D74D6">
            <w:pPr>
              <w:autoSpaceDE w:val="0"/>
              <w:autoSpaceDN w:val="0"/>
              <w:adjustRightInd w:val="0"/>
              <w:spacing w:before="120" w:after="120"/>
              <w:rPr>
                <w:rFonts w:ascii="Cambria" w:hAnsi="Cambria" w:cs="Arial"/>
                <w:b w:val="0"/>
                <w:noProof/>
                <w:szCs w:val="24"/>
              </w:rPr>
            </w:pPr>
            <w:bookmarkStart w:id="0" w:name="_Hlk215469113"/>
            <w:r w:rsidRPr="007C604C">
              <w:rPr>
                <w:rFonts w:ascii="Cambria" w:hAnsi="Cambria" w:cs="Arial"/>
                <w:b w:val="0"/>
                <w:noProof/>
                <w:szCs w:val="24"/>
              </w:rPr>
              <w:t xml:space="preserve">Donošenjem Zakona o zelenim </w:t>
            </w:r>
            <w:r w:rsidR="00415A83">
              <w:rPr>
                <w:rFonts w:ascii="Cambria" w:hAnsi="Cambria" w:cs="Arial"/>
                <w:b w:val="0"/>
                <w:noProof/>
                <w:szCs w:val="24"/>
              </w:rPr>
              <w:t>i održivim obveznicama</w:t>
            </w:r>
            <w:r w:rsidRPr="007C604C">
              <w:rPr>
                <w:rFonts w:ascii="Cambria" w:hAnsi="Cambria" w:cs="Arial"/>
                <w:b w:val="0"/>
                <w:noProof/>
                <w:szCs w:val="24"/>
              </w:rPr>
              <w:t xml:space="preserve"> rješava se niz strukturalnih nedostataka u važećem regulatornom okviru Crne Gore u oblasti održivog finansiranja. U Crnoj Gori trenutno ne postoji zakon koji uređuje izdavanje evropskih zelenih obveznica, niti pravila za obveznice povezane sa održivošću. Time domaći izdavaoci nemaju način da koriste oznaku „evropska zelena obveznica“ (EuGB) u skladu sa standardima Evropske unije, što ograničava njihovu konkurentnost i pristup međunarodnim izvorima finansiranja namijenjenih za zelene projekte. Neuređenost ove oblasti povećava rizik od netransparentnog izvještavanja, zloupotreba i takozvanog </w:t>
            </w:r>
            <w:r w:rsidR="003E6335">
              <w:rPr>
                <w:rFonts w:ascii="Cambria" w:hAnsi="Cambria" w:cs="Arial"/>
                <w:b w:val="0"/>
                <w:noProof/>
                <w:szCs w:val="24"/>
              </w:rPr>
              <w:t>"</w:t>
            </w:r>
            <w:r w:rsidRPr="007C604C">
              <w:rPr>
                <w:rFonts w:ascii="Cambria" w:hAnsi="Cambria" w:cs="Arial"/>
                <w:b w:val="0"/>
                <w:noProof/>
                <w:szCs w:val="24"/>
              </w:rPr>
              <w:t>greenwashinga</w:t>
            </w:r>
            <w:r w:rsidR="003E6335">
              <w:rPr>
                <w:rFonts w:ascii="Cambria" w:hAnsi="Cambria" w:cs="Arial"/>
                <w:b w:val="0"/>
                <w:noProof/>
                <w:szCs w:val="24"/>
              </w:rPr>
              <w:t>"</w:t>
            </w:r>
            <w:r w:rsidRPr="007C604C">
              <w:rPr>
                <w:rFonts w:ascii="Cambria" w:hAnsi="Cambria" w:cs="Arial"/>
                <w:b w:val="0"/>
                <w:noProof/>
                <w:szCs w:val="24"/>
              </w:rPr>
              <w:t>, čime se direktno narušava povjerenje investitora i otežava razvoj održivog tržišta kapitala.</w:t>
            </w:r>
          </w:p>
          <w:p w14:paraId="75EF5978" w14:textId="77777777" w:rsidR="007C604C" w:rsidRPr="007C604C" w:rsidRDefault="007C604C" w:rsidP="007C604C">
            <w:pPr>
              <w:autoSpaceDE w:val="0"/>
              <w:autoSpaceDN w:val="0"/>
              <w:adjustRightInd w:val="0"/>
              <w:spacing w:before="120" w:after="120"/>
              <w:rPr>
                <w:rFonts w:ascii="Cambria" w:hAnsi="Cambria" w:cs="Arial"/>
                <w:b w:val="0"/>
                <w:bCs/>
                <w:noProof/>
                <w:szCs w:val="24"/>
                <w:lang w:val="sr-Latn-ME"/>
              </w:rPr>
            </w:pPr>
            <w:r w:rsidRPr="007C604C">
              <w:rPr>
                <w:rFonts w:ascii="Cambria" w:hAnsi="Cambria" w:cs="Arial"/>
                <w:b w:val="0"/>
                <w:bCs/>
                <w:noProof/>
                <w:szCs w:val="24"/>
                <w:lang w:val="sr-Latn-ME"/>
              </w:rPr>
              <w:t>Istovremeno, u važećem zakonodavstvu ne postoje sveobuhvatne obaveze učesnika na finansijskom tržištu koje se odnose na objavljivanje informacija o rizicima održivosti, faktorima održivosti i karakteristikama finansijskih proizvoda. Društva za upravljanje, investiciona društva, društva za osiguranje i druga finansijska društva nijesu obavezana da na standardizovan i provjerljiv način objavljuju informacije o integraciji ESG faktora u svoje politike i proizvode, što dovodi do niske uporedivosti podataka i otežava investitorima donošenje informisanih odluka. Ovakvo stanje nije usklađeno sa zahtjevima iz Uredbe (EU) 2019/2088 (SFDR), koja uvodi stroge standarde transparentnosti za finansijski sektor u državama članicama EU.</w:t>
            </w:r>
          </w:p>
          <w:p w14:paraId="7A483598" w14:textId="77777777" w:rsidR="007C604C" w:rsidRPr="007C604C" w:rsidRDefault="007C604C" w:rsidP="007C604C">
            <w:pPr>
              <w:autoSpaceDE w:val="0"/>
              <w:autoSpaceDN w:val="0"/>
              <w:adjustRightInd w:val="0"/>
              <w:spacing w:before="120" w:after="120"/>
              <w:rPr>
                <w:rFonts w:ascii="Cambria" w:hAnsi="Cambria" w:cs="Arial"/>
                <w:b w:val="0"/>
                <w:bCs/>
                <w:noProof/>
                <w:szCs w:val="24"/>
                <w:lang w:val="sr-Latn-ME"/>
              </w:rPr>
            </w:pPr>
            <w:r w:rsidRPr="007C604C">
              <w:rPr>
                <w:rFonts w:ascii="Cambria" w:hAnsi="Cambria" w:cs="Arial"/>
                <w:b w:val="0"/>
                <w:bCs/>
                <w:noProof/>
                <w:szCs w:val="24"/>
                <w:lang w:val="sr-Latn-ME"/>
              </w:rPr>
              <w:t>Poseban problem predstavlja i činjenica da u Crnoj Gori ne postoji pravni okvir koji uređuje rad eksternih ocjenjivača održivosti. Nedostaju kriterijumi za njihovu registraciju, pravila o nezavisnosti, metodologijama i kvalitetu procjena, kao i nadzor nad njihovim radom. Ovo stvara visok rizik da ESG ocjene, koje su ključne za transparentnost zelenih obveznica i održivih proizvoda, budu neprecizne, neujednačene ili podložne sukobima interesa.</w:t>
            </w:r>
          </w:p>
          <w:p w14:paraId="47143B74" w14:textId="0F0E28C6" w:rsidR="007C604C" w:rsidRPr="007C604C" w:rsidRDefault="007C604C" w:rsidP="007C604C">
            <w:pPr>
              <w:autoSpaceDE w:val="0"/>
              <w:autoSpaceDN w:val="0"/>
              <w:adjustRightInd w:val="0"/>
              <w:spacing w:before="120" w:after="120"/>
              <w:rPr>
                <w:rFonts w:ascii="Cambria" w:hAnsi="Cambria" w:cs="Arial"/>
                <w:b w:val="0"/>
                <w:bCs/>
                <w:noProof/>
                <w:szCs w:val="24"/>
                <w:lang w:val="sr-Latn-ME"/>
              </w:rPr>
            </w:pPr>
            <w:r w:rsidRPr="007C604C">
              <w:rPr>
                <w:rFonts w:ascii="Cambria" w:hAnsi="Cambria" w:cs="Arial"/>
                <w:b w:val="0"/>
                <w:bCs/>
                <w:noProof/>
                <w:szCs w:val="24"/>
                <w:lang w:val="sr-Latn-ME"/>
              </w:rPr>
              <w:t xml:space="preserve">Dodatno, Crna Gora, kao zemlja kandidat za članstvo u Evropskoj uniji, ima obavezu da svoje zakonodavstvo uskladi sa Uredbom (EU) 2023/2631 kojom se uspostavlja Evropski </w:t>
            </w:r>
            <w:r w:rsidRPr="007C604C">
              <w:rPr>
                <w:rFonts w:ascii="Cambria" w:hAnsi="Cambria" w:cs="Arial"/>
                <w:b w:val="0"/>
                <w:bCs/>
                <w:noProof/>
                <w:szCs w:val="24"/>
                <w:lang w:val="sr-Latn-ME"/>
              </w:rPr>
              <w:lastRenderedPageBreak/>
              <w:t>standard za zelene obveznice (EU Green Bond Standard), kao i sa taksonomijskim kriterijumima. Bez ovog zakonodavnog usklađivanja, domaći izdavaoci ne mogu ravnopravno učestvovati na tržištu EU održivog finansiranja, a finansijski sektor ne ispunjava obaveze iz poglavlja 9 (Finansijske usluge) u procesu pristupnih pregovora.</w:t>
            </w:r>
          </w:p>
          <w:p w14:paraId="6698BB2A" w14:textId="18057316" w:rsidR="007C604C" w:rsidRDefault="007C604C" w:rsidP="007D74D6">
            <w:pPr>
              <w:autoSpaceDE w:val="0"/>
              <w:autoSpaceDN w:val="0"/>
              <w:adjustRightInd w:val="0"/>
              <w:spacing w:before="120" w:after="120"/>
              <w:rPr>
                <w:rFonts w:ascii="Cambria" w:hAnsi="Cambria" w:cs="Arial"/>
                <w:noProof/>
                <w:szCs w:val="24"/>
                <w:lang w:val="sr-Latn-ME"/>
              </w:rPr>
            </w:pPr>
            <w:r w:rsidRPr="007C604C">
              <w:rPr>
                <w:rFonts w:ascii="Cambria" w:hAnsi="Cambria" w:cs="Arial"/>
                <w:b w:val="0"/>
                <w:bCs/>
                <w:noProof/>
                <w:szCs w:val="24"/>
                <w:lang w:val="sr-Latn-ME"/>
              </w:rPr>
              <w:t>Predloženi zakon zato ima za cilj da otkloni sve navedene nedostatke i uspostavi potpun, transparentan i provjerljiv okvir za izdavanje evropskih zelenih obveznica, za rad eksternih ocjenjivača i za obaveze finansijskog sektora u vezi sa objavljivanjem informacija o održivosti. Time se jača povjerenje investitora, podstiču zelene investicije, spr</w:t>
            </w:r>
            <w:r w:rsidR="00107E73">
              <w:rPr>
                <w:rFonts w:ascii="Cambria" w:hAnsi="Cambria" w:cs="Arial"/>
                <w:b w:val="0"/>
                <w:bCs/>
                <w:noProof/>
                <w:szCs w:val="24"/>
                <w:lang w:val="sr-Latn-ME"/>
              </w:rPr>
              <w:t>j</w:t>
            </w:r>
            <w:r w:rsidRPr="007C604C">
              <w:rPr>
                <w:rFonts w:ascii="Cambria" w:hAnsi="Cambria" w:cs="Arial"/>
                <w:b w:val="0"/>
                <w:bCs/>
                <w:noProof/>
                <w:szCs w:val="24"/>
                <w:lang w:val="sr-Latn-ME"/>
              </w:rPr>
              <w:t xml:space="preserve">ečava </w:t>
            </w:r>
            <w:r w:rsidR="003E6335">
              <w:rPr>
                <w:rFonts w:ascii="Cambria" w:hAnsi="Cambria" w:cs="Arial"/>
                <w:b w:val="0"/>
                <w:bCs/>
                <w:noProof/>
                <w:szCs w:val="24"/>
                <w:lang w:val="sr-Latn-ME"/>
              </w:rPr>
              <w:t>"</w:t>
            </w:r>
            <w:r w:rsidRPr="007C604C">
              <w:rPr>
                <w:rFonts w:ascii="Cambria" w:hAnsi="Cambria" w:cs="Arial"/>
                <w:b w:val="0"/>
                <w:bCs/>
                <w:noProof/>
                <w:szCs w:val="24"/>
                <w:lang w:val="sr-Latn-ME"/>
              </w:rPr>
              <w:t>greenwashing</w:t>
            </w:r>
            <w:r w:rsidR="003E6335">
              <w:rPr>
                <w:rFonts w:ascii="Cambria" w:hAnsi="Cambria" w:cs="Arial"/>
                <w:b w:val="0"/>
                <w:bCs/>
                <w:noProof/>
                <w:szCs w:val="24"/>
                <w:lang w:val="sr-Latn-ME"/>
              </w:rPr>
              <w:t>"</w:t>
            </w:r>
            <w:r w:rsidRPr="007C604C">
              <w:rPr>
                <w:rFonts w:ascii="Cambria" w:hAnsi="Cambria" w:cs="Arial"/>
                <w:b w:val="0"/>
                <w:bCs/>
                <w:noProof/>
                <w:szCs w:val="24"/>
                <w:lang w:val="sr-Latn-ME"/>
              </w:rPr>
              <w:t xml:space="preserve"> i stvara regulatorno okruženje koje je potpuno usklađeno sa pravnom tekovinom Evropske unije.</w:t>
            </w:r>
          </w:p>
          <w:p w14:paraId="12E06679" w14:textId="7BE6CD76" w:rsidR="007C604C" w:rsidRDefault="007C604C" w:rsidP="007D74D6">
            <w:pPr>
              <w:autoSpaceDE w:val="0"/>
              <w:autoSpaceDN w:val="0"/>
              <w:adjustRightInd w:val="0"/>
              <w:spacing w:before="120" w:after="120"/>
              <w:rPr>
                <w:rFonts w:ascii="Cambria" w:hAnsi="Cambria" w:cs="Arial"/>
                <w:noProof/>
                <w:szCs w:val="24"/>
              </w:rPr>
            </w:pPr>
            <w:r w:rsidRPr="007C604C">
              <w:rPr>
                <w:rFonts w:ascii="Cambria" w:hAnsi="Cambria" w:cs="Arial"/>
                <w:b w:val="0"/>
                <w:bCs/>
                <w:noProof/>
                <w:szCs w:val="24"/>
              </w:rPr>
              <w:t>Crna Gora, kao država kandidat za članstvo u Evropskoj uniji, ima obavezu usklađivanja zakonodavstva sa ključnim propisima Unije u oblasti održivog finansiranja, uključujući UREDBU (EU) 2023/2631 Evropskog parlamenta i Vijeća od 22. novembra 2023. o evropskim zelenim obveznicama i neobaveznim objavama za obveznice koje se stavljaju na tržište kao ekološki održive i za obveznice povezane s</w:t>
            </w:r>
            <w:r w:rsidR="003E6335">
              <w:rPr>
                <w:rFonts w:ascii="Cambria" w:hAnsi="Cambria" w:cs="Arial"/>
                <w:b w:val="0"/>
                <w:bCs/>
                <w:noProof/>
                <w:szCs w:val="24"/>
              </w:rPr>
              <w:t>a</w:t>
            </w:r>
            <w:r w:rsidRPr="007C604C">
              <w:rPr>
                <w:rFonts w:ascii="Cambria" w:hAnsi="Cambria" w:cs="Arial"/>
                <w:b w:val="0"/>
                <w:bCs/>
                <w:noProof/>
                <w:szCs w:val="24"/>
              </w:rPr>
              <w:t xml:space="preserve"> održivošću, UREDBU (EU) 2019/2088 Evropskog parlamenta i Vijeća od 27. novembra 2019. o objavama povezanim s održivošću u sektoru finansijskih usluga (SFDR) i UREDBU (EU) 2020/852 Evropskog parlamenta i Vijeća od 18. juna 2020. o uspostav</w:t>
            </w:r>
            <w:r w:rsidR="003E6335">
              <w:rPr>
                <w:rFonts w:ascii="Cambria" w:hAnsi="Cambria" w:cs="Arial"/>
                <w:b w:val="0"/>
                <w:bCs/>
                <w:noProof/>
                <w:szCs w:val="24"/>
              </w:rPr>
              <w:t>ljanju</w:t>
            </w:r>
            <w:r w:rsidRPr="007C604C">
              <w:rPr>
                <w:rFonts w:ascii="Cambria" w:hAnsi="Cambria" w:cs="Arial"/>
                <w:b w:val="0"/>
                <w:bCs/>
                <w:noProof/>
                <w:szCs w:val="24"/>
              </w:rPr>
              <w:t xml:space="preserve"> okvira za olakšavanje održivih ulaganja i izmjeni Uredbe (EU) 2019/2088 (Taksonomija EU). Usvajanje ovih standarda predstavlja neophodan uslov za ispunjavanje obaveza iz pregovaračkog poglavlja 9 – Finansijske usluge i omogućavanje punog učešća crnogorskih subjekata na tržištu održivog finansiranja Evropske unije.</w:t>
            </w:r>
          </w:p>
          <w:p w14:paraId="76020271" w14:textId="68F9C677" w:rsidR="007C604C" w:rsidRDefault="007C604C" w:rsidP="007D74D6">
            <w:pPr>
              <w:autoSpaceDE w:val="0"/>
              <w:autoSpaceDN w:val="0"/>
              <w:adjustRightInd w:val="0"/>
              <w:spacing w:before="120" w:after="120"/>
              <w:rPr>
                <w:rFonts w:ascii="Cambria" w:hAnsi="Cambria" w:cs="Arial"/>
                <w:bCs/>
                <w:noProof/>
                <w:szCs w:val="24"/>
              </w:rPr>
            </w:pPr>
            <w:r w:rsidRPr="007C604C">
              <w:rPr>
                <w:rFonts w:ascii="Cambria" w:hAnsi="Cambria" w:cs="Arial"/>
                <w:b w:val="0"/>
                <w:bCs/>
                <w:noProof/>
                <w:szCs w:val="24"/>
              </w:rPr>
              <w:t>Iako je primjena ovog zakona u cjelini odložena, njegovo hitno donošenje predstavlja jedini način da se obezbijedi potpuna usklađenost sa pravnom tekovinom EU i omogući nastavak procesa pristupanja u dijelu finansijskih usluga, uključujući stvaranje uslova za zatvaranje poglavlja 9.</w:t>
            </w:r>
          </w:p>
          <w:bookmarkEnd w:id="0"/>
          <w:p w14:paraId="30C3E2F9" w14:textId="77777777" w:rsidR="00BB053A" w:rsidRDefault="00BB053A" w:rsidP="007D74D6">
            <w:pPr>
              <w:autoSpaceDE w:val="0"/>
              <w:autoSpaceDN w:val="0"/>
              <w:adjustRightInd w:val="0"/>
              <w:spacing w:before="120" w:after="120"/>
              <w:rPr>
                <w:rFonts w:ascii="Cambria" w:hAnsi="Cambria" w:cs="Arial"/>
                <w:b w:val="0"/>
                <w:bCs/>
                <w:noProof/>
                <w:szCs w:val="24"/>
              </w:rPr>
            </w:pPr>
            <w:r w:rsidRPr="00BB053A">
              <w:rPr>
                <w:rFonts w:ascii="Cambria" w:hAnsi="Cambria" w:cs="Arial"/>
                <w:noProof/>
                <w:szCs w:val="24"/>
              </w:rPr>
              <w:t>Koji su uzroci problema?</w:t>
            </w:r>
          </w:p>
          <w:p w14:paraId="383EFBCE" w14:textId="3BAE05EC" w:rsidR="00F064EA" w:rsidRPr="00F064EA" w:rsidRDefault="00F064EA" w:rsidP="00F064EA">
            <w:p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Uzroci problema proizilaze iz činjenice da u pravnom poretku Crne Gore ne postoji zakonodavni okvir koji uređuje oblast evropskih zelenih obveznica, neobaveznih objava za obveznice koje se predstavljaju kao održive ili povezane sa održivošću, kao ni objave u sektoru finansijskih usluga vezane za održivost. Time pravni sistem ne obezbjeđuje</w:t>
            </w:r>
            <w:r w:rsidR="008C62C2">
              <w:rPr>
                <w:rFonts w:ascii="Cambria" w:hAnsi="Cambria" w:cs="Arial"/>
                <w:b w:val="0"/>
                <w:bCs/>
                <w:noProof/>
                <w:szCs w:val="24"/>
                <w:lang w:val="sr-Latn-ME"/>
              </w:rPr>
              <w:t xml:space="preserve"> potrebnu </w:t>
            </w:r>
            <w:r w:rsidRPr="00F064EA">
              <w:rPr>
                <w:rFonts w:ascii="Cambria" w:hAnsi="Cambria" w:cs="Arial"/>
                <w:b w:val="0"/>
                <w:bCs/>
                <w:noProof/>
                <w:szCs w:val="24"/>
                <w:lang w:val="sr-Latn-ME"/>
              </w:rPr>
              <w:t>usklađenost sa pravnom tekovinom Evropske unije u ovoj oblasti, posebno sa:</w:t>
            </w:r>
          </w:p>
          <w:p w14:paraId="634EE8CC" w14:textId="77777777" w:rsidR="00F064EA" w:rsidRPr="00F064EA" w:rsidRDefault="00F064EA" w:rsidP="00F064EA">
            <w:pPr>
              <w:numPr>
                <w:ilvl w:val="0"/>
                <w:numId w:val="24"/>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Uredbom (EU) 2023/2631 o evropskim zelenim obveznicama i neobaveznim objavama za obveznice predstavljene kao ekološki održive i obveznice povezane s održivošću,</w:t>
            </w:r>
          </w:p>
          <w:p w14:paraId="6545C794" w14:textId="77777777" w:rsidR="00F064EA" w:rsidRPr="00F064EA" w:rsidRDefault="00F064EA" w:rsidP="00F064EA">
            <w:pPr>
              <w:numPr>
                <w:ilvl w:val="0"/>
                <w:numId w:val="24"/>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Uredbom (EU) 2019/2088 o objavama povezanim s održivošću u sektoru finansijskih usluga, i</w:t>
            </w:r>
          </w:p>
          <w:p w14:paraId="41066111" w14:textId="77777777" w:rsidR="00F064EA" w:rsidRPr="00F064EA" w:rsidRDefault="00F064EA" w:rsidP="00F064EA">
            <w:pPr>
              <w:numPr>
                <w:ilvl w:val="0"/>
                <w:numId w:val="24"/>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Uredbom (EU) 2020/852 o uspostavljanju okvira za olakšavanje održivih ulaganja (taksonomija).</w:t>
            </w:r>
          </w:p>
          <w:p w14:paraId="2CC69D06" w14:textId="3BF4E0E5" w:rsidR="00F064EA" w:rsidRPr="00F064EA" w:rsidRDefault="00F064EA" w:rsidP="00F064EA">
            <w:p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lastRenderedPageBreak/>
              <w:t xml:space="preserve">S obzirom na to da navedene oblasti nisu normativno uređene u postojećim zakonima koji regulišu tržište kapitala, investicione fondove, </w:t>
            </w:r>
            <w:r w:rsidR="00B71E63">
              <w:rPr>
                <w:rFonts w:ascii="Cambria" w:hAnsi="Cambria" w:cs="Arial"/>
                <w:b w:val="0"/>
                <w:bCs/>
                <w:noProof/>
                <w:szCs w:val="24"/>
                <w:lang w:val="sr-Latn-ME"/>
              </w:rPr>
              <w:t xml:space="preserve">dobrovoljne </w:t>
            </w:r>
            <w:r w:rsidRPr="00F064EA">
              <w:rPr>
                <w:rFonts w:ascii="Cambria" w:hAnsi="Cambria" w:cs="Arial"/>
                <w:b w:val="0"/>
                <w:bCs/>
                <w:noProof/>
                <w:szCs w:val="24"/>
                <w:lang w:val="sr-Latn-ME"/>
              </w:rPr>
              <w:t>penzi</w:t>
            </w:r>
            <w:r>
              <w:rPr>
                <w:rFonts w:ascii="Cambria" w:hAnsi="Cambria" w:cs="Arial"/>
                <w:b w:val="0"/>
                <w:bCs/>
                <w:noProof/>
                <w:szCs w:val="24"/>
                <w:lang w:val="sr-Latn-ME"/>
              </w:rPr>
              <w:t>one</w:t>
            </w:r>
            <w:r w:rsidRPr="00F064EA">
              <w:rPr>
                <w:rFonts w:ascii="Cambria" w:hAnsi="Cambria" w:cs="Arial"/>
                <w:b w:val="0"/>
                <w:bCs/>
                <w:noProof/>
                <w:szCs w:val="24"/>
                <w:lang w:val="sr-Latn-ME"/>
              </w:rPr>
              <w:t xml:space="preserve"> fondove ili oblast osiguranja, u praksi postoji:</w:t>
            </w:r>
          </w:p>
          <w:p w14:paraId="5A82AC78" w14:textId="7608DCAA" w:rsidR="00F064EA" w:rsidRPr="00F064EA" w:rsidRDefault="00F064EA" w:rsidP="00F064EA">
            <w:pPr>
              <w:numPr>
                <w:ilvl w:val="0"/>
                <w:numId w:val="25"/>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praznina u regulativi, jer izdavaoci, eksterni ocjenjivači i učesnici na finansijskom tržištu nisu obavezani jasnim pravilima o objavama, klasifikaciji obnovljivosti ili načinu izdavanja zelenih obveznica;</w:t>
            </w:r>
          </w:p>
          <w:p w14:paraId="621F67C2" w14:textId="77777777" w:rsidR="00F064EA" w:rsidRPr="00F064EA" w:rsidRDefault="00F064EA" w:rsidP="00F064EA">
            <w:pPr>
              <w:numPr>
                <w:ilvl w:val="0"/>
                <w:numId w:val="25"/>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nedostatak mehanizama nadzora, jer Komisija za tržište kapitala nema propisana ovlašćenja da kontroliše kvalitet i vjerodostojnost objava u vezi sa održivim finansijskim proizvodima;</w:t>
            </w:r>
          </w:p>
          <w:p w14:paraId="69DC7A74" w14:textId="13298936" w:rsidR="00F064EA" w:rsidRPr="00F064EA" w:rsidRDefault="00F064EA" w:rsidP="00F064EA">
            <w:pPr>
              <w:numPr>
                <w:ilvl w:val="0"/>
                <w:numId w:val="25"/>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 xml:space="preserve">visok rizik </w:t>
            </w:r>
            <w:r w:rsidR="001A284B">
              <w:rPr>
                <w:rFonts w:ascii="Cambria" w:hAnsi="Cambria" w:cs="Arial"/>
                <w:b w:val="0"/>
                <w:bCs/>
                <w:noProof/>
                <w:szCs w:val="24"/>
                <w:lang w:val="sr-Latn-ME"/>
              </w:rPr>
              <w:t>"</w:t>
            </w:r>
            <w:r w:rsidRPr="00F064EA">
              <w:rPr>
                <w:rFonts w:ascii="Cambria" w:hAnsi="Cambria" w:cs="Arial"/>
                <w:b w:val="0"/>
                <w:bCs/>
                <w:noProof/>
                <w:szCs w:val="24"/>
                <w:lang w:val="sr-Latn-ME"/>
              </w:rPr>
              <w:t>greenwashinga</w:t>
            </w:r>
            <w:r w:rsidR="001A284B">
              <w:rPr>
                <w:rFonts w:ascii="Cambria" w:hAnsi="Cambria" w:cs="Arial"/>
                <w:b w:val="0"/>
                <w:bCs/>
                <w:noProof/>
                <w:szCs w:val="24"/>
                <w:lang w:val="sr-Latn-ME"/>
              </w:rPr>
              <w:t>"</w:t>
            </w:r>
            <w:r w:rsidRPr="00F064EA">
              <w:rPr>
                <w:rFonts w:ascii="Cambria" w:hAnsi="Cambria" w:cs="Arial"/>
                <w:b w:val="0"/>
                <w:bCs/>
                <w:noProof/>
                <w:szCs w:val="24"/>
                <w:lang w:val="sr-Latn-ME"/>
              </w:rPr>
              <w:t>, budući da nema standardizovanih obaveza informisanja niti mehanizama provjere da li se ulaganja istinski mogu smatrati ekološki održivim;</w:t>
            </w:r>
          </w:p>
          <w:p w14:paraId="4A52B372" w14:textId="77777777" w:rsidR="00F064EA" w:rsidRPr="00F064EA" w:rsidRDefault="00F064EA" w:rsidP="00F064EA">
            <w:pPr>
              <w:numPr>
                <w:ilvl w:val="0"/>
                <w:numId w:val="25"/>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nemogućnost pristupa tržištu EU, jer izdavaoci iz Crne Gore bez ove regulative ne mogu koristiti oznaku „evropska zelena obveznica“ niti emitovati obveznice prema EU standardima;</w:t>
            </w:r>
          </w:p>
          <w:p w14:paraId="61BAE731" w14:textId="77777777" w:rsidR="00F064EA" w:rsidRPr="00F064EA" w:rsidRDefault="00F064EA" w:rsidP="00F064EA">
            <w:pPr>
              <w:numPr>
                <w:ilvl w:val="0"/>
                <w:numId w:val="25"/>
              </w:num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usporavanje procesa pristupanja EU, jer je usklađivanje sa navedenim uredbama preduslov za ispunjavanje privremenih mjerila u poglavlju 9 – Finansijske usluge.</w:t>
            </w:r>
          </w:p>
          <w:p w14:paraId="5A442747" w14:textId="77777777" w:rsidR="00F064EA" w:rsidRPr="00F064EA" w:rsidRDefault="00F064EA" w:rsidP="00F064EA">
            <w:pPr>
              <w:autoSpaceDE w:val="0"/>
              <w:autoSpaceDN w:val="0"/>
              <w:adjustRightInd w:val="0"/>
              <w:spacing w:before="120" w:after="120"/>
              <w:rPr>
                <w:rFonts w:ascii="Cambria" w:hAnsi="Cambria" w:cs="Arial"/>
                <w:b w:val="0"/>
                <w:bCs/>
                <w:noProof/>
                <w:szCs w:val="24"/>
                <w:lang w:val="sr-Latn-ME"/>
              </w:rPr>
            </w:pPr>
            <w:r w:rsidRPr="00F064EA">
              <w:rPr>
                <w:rFonts w:ascii="Cambria" w:hAnsi="Cambria" w:cs="Arial"/>
                <w:b w:val="0"/>
                <w:bCs/>
                <w:noProof/>
                <w:szCs w:val="24"/>
                <w:lang w:val="sr-Latn-ME"/>
              </w:rPr>
              <w:t>Navedeni problemi proizilaze, prije svega, iz potrebe usklađivanja sa pravnom tekovinom EU, nepostojanja standardizovanih pravila na domaćem tržištu, kao i činjenice da se održivo finansiranje razvija kao ključna oblast finansijskog sektora na nivou EU, dok Crna Gora još nije uspostavila odgovarajući regulatorni okvir.</w:t>
            </w:r>
          </w:p>
          <w:p w14:paraId="51B9DD8A" w14:textId="77777777" w:rsidR="004C7157" w:rsidRDefault="004C7157" w:rsidP="007D74D6">
            <w:pPr>
              <w:autoSpaceDE w:val="0"/>
              <w:autoSpaceDN w:val="0"/>
              <w:adjustRightInd w:val="0"/>
              <w:spacing w:before="120" w:after="120"/>
              <w:rPr>
                <w:rFonts w:ascii="Cambria" w:hAnsi="Cambria" w:cs="Arial"/>
                <w:b w:val="0"/>
                <w:bCs/>
                <w:noProof/>
                <w:szCs w:val="24"/>
              </w:rPr>
            </w:pPr>
            <w:r w:rsidRPr="004C7157">
              <w:rPr>
                <w:rFonts w:ascii="Cambria" w:hAnsi="Cambria" w:cs="Arial"/>
                <w:noProof/>
                <w:szCs w:val="24"/>
              </w:rPr>
              <w:t>Koje su posljedice problema?</w:t>
            </w:r>
          </w:p>
          <w:p w14:paraId="6593B742"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Nepostojanje propisa koji uređuju oblast evropskih zelenih obveznica, objava u vezi sa održivošću i primjenu taksonomije Evropske unije stvara više važnih posljedica u pravnom i finansijskom sistemu Crne Gore.</w:t>
            </w:r>
          </w:p>
          <w:p w14:paraId="6EEA457A"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Prije svega, subjekti na tržištu kapitala u Crnoj Gori nemaju mogućnost da izdaju obveznice u skladu sa standardima EU, uključujući evropske zelene obveznice, niti da koriste oznaku „EuGB“. Time se onemogućava pristup međunarodnim investitorima kojima je usklađenost sa EU standardima uslov za ulaganje, što smanjuje konkurentnost domaćeg tržišta i ograničava razvoj održivog finansiranja.</w:t>
            </w:r>
          </w:p>
          <w:p w14:paraId="2C7845BE"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Dalje, zbog izostanka obaveza objavljivanja informacija o održivosti, učesnici na finansijskom tržištu nemaju jasna, standardizovana pravila o tome kako da izvještavaju o rizicima održivosti, održivim ulaganjima ili uticajima na životnu sredinu. To dovodi do:</w:t>
            </w:r>
          </w:p>
          <w:p w14:paraId="1D185D92" w14:textId="77777777" w:rsidR="009C7D87" w:rsidRPr="009C7D87" w:rsidRDefault="009C7D87" w:rsidP="009C7D87">
            <w:pPr>
              <w:numPr>
                <w:ilvl w:val="0"/>
                <w:numId w:val="27"/>
              </w:num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nedosljednog informisanja potrošača i investitora,</w:t>
            </w:r>
          </w:p>
          <w:p w14:paraId="4ACA71D2" w14:textId="65B3E7C1" w:rsidR="009C7D87" w:rsidRPr="009C7D87" w:rsidRDefault="009C7D87" w:rsidP="009C7D87">
            <w:pPr>
              <w:numPr>
                <w:ilvl w:val="0"/>
                <w:numId w:val="27"/>
              </w:num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 xml:space="preserve">povećanog rizika od </w:t>
            </w:r>
            <w:r w:rsidR="001A284B">
              <w:rPr>
                <w:rFonts w:ascii="Cambria" w:hAnsi="Cambria" w:cs="Arial"/>
                <w:b w:val="0"/>
                <w:bCs/>
                <w:noProof/>
                <w:szCs w:val="24"/>
                <w:lang w:val="sr-Latn-ME"/>
              </w:rPr>
              <w:t>"</w:t>
            </w:r>
            <w:r w:rsidRPr="009C7D87">
              <w:rPr>
                <w:rFonts w:ascii="Cambria" w:hAnsi="Cambria" w:cs="Arial"/>
                <w:b w:val="0"/>
                <w:bCs/>
                <w:noProof/>
                <w:szCs w:val="24"/>
                <w:lang w:val="sr-Latn-ME"/>
              </w:rPr>
              <w:t>greenwashinga</w:t>
            </w:r>
            <w:r w:rsidR="001A284B">
              <w:rPr>
                <w:rFonts w:ascii="Cambria" w:hAnsi="Cambria" w:cs="Arial"/>
                <w:b w:val="0"/>
                <w:bCs/>
                <w:noProof/>
                <w:szCs w:val="24"/>
                <w:lang w:val="sr-Latn-ME"/>
              </w:rPr>
              <w:t>"</w:t>
            </w:r>
            <w:r w:rsidRPr="009C7D87">
              <w:rPr>
                <w:rFonts w:ascii="Cambria" w:hAnsi="Cambria" w:cs="Arial"/>
                <w:b w:val="0"/>
                <w:bCs/>
                <w:noProof/>
                <w:szCs w:val="24"/>
                <w:lang w:val="sr-Latn-ME"/>
              </w:rPr>
              <w:t>,</w:t>
            </w:r>
          </w:p>
          <w:p w14:paraId="537D5F94" w14:textId="77777777" w:rsidR="009C7D87" w:rsidRPr="009C7D87" w:rsidRDefault="009C7D87" w:rsidP="009C7D87">
            <w:pPr>
              <w:numPr>
                <w:ilvl w:val="0"/>
                <w:numId w:val="27"/>
              </w:num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nemogućnosti poređenja domaćih finansijskih proizvoda sa EU standardima.</w:t>
            </w:r>
          </w:p>
          <w:p w14:paraId="0BC885E3"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Komisija za tržište kapitala takođe nema propisana ovlašćenja za nadzor nad ovim oblastima, što ograničava mogućnost kontrole kvaliteta informacija i zaštite investitora.</w:t>
            </w:r>
          </w:p>
          <w:p w14:paraId="26C51621"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lastRenderedPageBreak/>
              <w:t>Sa aspekta evropskih integracija, odsustvo regulative usklađene sa Uredbom (EU) 2023/2631, Uredbom (EU) 2019/2088 i Uredbom (EU) 2020/852 dovodi do neispunjavanja obaveza Crne Gore u procesu pristupanja, posebno u okviru poglavlja 9 – Finansijske usluge. Neusklađenost može odložiti dalju dinamiku pregovora, jer se ove oblasti smatraju ključnim dijelom paketa finansijskih propisa EU.</w:t>
            </w:r>
          </w:p>
          <w:p w14:paraId="71EEC075" w14:textId="77777777" w:rsidR="009C7D87" w:rsidRPr="009C7D87" w:rsidRDefault="009C7D87" w:rsidP="009C7D87">
            <w:pPr>
              <w:autoSpaceDE w:val="0"/>
              <w:autoSpaceDN w:val="0"/>
              <w:adjustRightInd w:val="0"/>
              <w:spacing w:before="120" w:after="120"/>
              <w:rPr>
                <w:rFonts w:ascii="Cambria" w:hAnsi="Cambria" w:cs="Arial"/>
                <w:b w:val="0"/>
                <w:bCs/>
                <w:noProof/>
                <w:szCs w:val="24"/>
                <w:lang w:val="sr-Latn-ME"/>
              </w:rPr>
            </w:pPr>
            <w:r w:rsidRPr="009C7D87">
              <w:rPr>
                <w:rFonts w:ascii="Cambria" w:hAnsi="Cambria" w:cs="Arial"/>
                <w:b w:val="0"/>
                <w:bCs/>
                <w:noProof/>
                <w:szCs w:val="24"/>
                <w:lang w:val="sr-Latn-ME"/>
              </w:rPr>
              <w:t>Uprkos tome, neposredne negativne posljedice za domaće tržište do sada su ograničene, jer održivo finansiranje u Crnoj Gori još nije razvijeno, a standardi za zelene obveznice nijesu primjenjivani. Međutim, bez uspostavljanja jasnih pravila i mehanizama nadzora, Crna Gora ne može učestvovati u rastućem evropskom tržištu održivih finansijskih instrumenata, niti privući investicije usmjerene ka održivim projektima.</w:t>
            </w:r>
          </w:p>
          <w:p w14:paraId="357EFDC5" w14:textId="77777777" w:rsidR="004621D0" w:rsidRPr="004621D0" w:rsidRDefault="004621D0" w:rsidP="007D74D6">
            <w:pPr>
              <w:autoSpaceDE w:val="0"/>
              <w:autoSpaceDN w:val="0"/>
              <w:adjustRightInd w:val="0"/>
              <w:spacing w:before="120" w:after="120"/>
              <w:rPr>
                <w:rFonts w:ascii="Cambria" w:hAnsi="Cambria" w:cs="Arial"/>
                <w:noProof/>
                <w:szCs w:val="24"/>
              </w:rPr>
            </w:pPr>
            <w:r w:rsidRPr="004621D0">
              <w:rPr>
                <w:rFonts w:ascii="Cambria" w:hAnsi="Cambria" w:cs="Arial"/>
                <w:noProof/>
                <w:szCs w:val="24"/>
              </w:rPr>
              <w:t>Koji su subjekti oštećeni, na koji način i u kojoj mjeri?</w:t>
            </w:r>
          </w:p>
          <w:p w14:paraId="3A1B5595" w14:textId="36273B9C" w:rsidR="009C7D87" w:rsidRDefault="009C7D87" w:rsidP="007D74D6">
            <w:pPr>
              <w:autoSpaceDE w:val="0"/>
              <w:autoSpaceDN w:val="0"/>
              <w:adjustRightInd w:val="0"/>
              <w:spacing w:before="120" w:after="120"/>
              <w:rPr>
                <w:rFonts w:ascii="Cambria" w:hAnsi="Cambria" w:cs="Arial"/>
                <w:noProof/>
                <w:szCs w:val="24"/>
              </w:rPr>
            </w:pPr>
            <w:r w:rsidRPr="009C7D87">
              <w:rPr>
                <w:rFonts w:ascii="Cambria" w:hAnsi="Cambria" w:cs="Arial"/>
                <w:b w:val="0"/>
                <w:bCs/>
                <w:noProof/>
                <w:szCs w:val="24"/>
              </w:rPr>
              <w:t>Neusklađenost važećih propisa sa relevantnom pravnom tekovinom Evropske unije u oblasti održivog finansiranja nije do sada prouzrokovala direktnu štetu nijednom subjektu na tržištu kapitala, imajući u vidu da evropske zelene obveznice i objave u vezi sa održivošću nisu bile uređene niti primjenjivane u Crnoj Gori. Međutim, odsustvo propisa ograničava mogućnost izdavalaca i učesnika na finansijskom tržištu da pristupe evropskom tržištu održivih finansijskih instrumenata, ali ne proizvodi neposrednu materijalnu štetu.</w:t>
            </w:r>
          </w:p>
          <w:p w14:paraId="461EA637" w14:textId="45AF1723" w:rsidR="004621D0" w:rsidRPr="004621D0" w:rsidRDefault="004621D0" w:rsidP="007D74D6">
            <w:pPr>
              <w:autoSpaceDE w:val="0"/>
              <w:autoSpaceDN w:val="0"/>
              <w:adjustRightInd w:val="0"/>
              <w:spacing w:before="120" w:after="120"/>
              <w:rPr>
                <w:rFonts w:ascii="Cambria" w:hAnsi="Cambria" w:cs="Arial"/>
                <w:noProof/>
                <w:szCs w:val="24"/>
              </w:rPr>
            </w:pPr>
            <w:r w:rsidRPr="004621D0">
              <w:rPr>
                <w:rFonts w:ascii="Cambria" w:hAnsi="Cambria" w:cs="Arial"/>
                <w:noProof/>
                <w:szCs w:val="24"/>
              </w:rPr>
              <w:t>Kako bi problem evoluirao bez promjene propisa („status quo“ opcija)?</w:t>
            </w:r>
          </w:p>
          <w:p w14:paraId="43DD6BAC" w14:textId="77777777" w:rsidR="00B107A2" w:rsidRDefault="00B107A2" w:rsidP="004621D0">
            <w:pPr>
              <w:autoSpaceDE w:val="0"/>
              <w:autoSpaceDN w:val="0"/>
              <w:adjustRightInd w:val="0"/>
              <w:spacing w:before="120" w:after="120"/>
              <w:rPr>
                <w:rFonts w:ascii="Cambria" w:hAnsi="Cambria" w:cs="Arial"/>
                <w:noProof/>
                <w:szCs w:val="24"/>
              </w:rPr>
            </w:pPr>
            <w:r w:rsidRPr="00B107A2">
              <w:rPr>
                <w:rFonts w:ascii="Cambria" w:hAnsi="Cambria" w:cs="Arial"/>
                <w:b w:val="0"/>
                <w:bCs/>
                <w:noProof/>
                <w:szCs w:val="24"/>
              </w:rPr>
              <w:t>Zadržavanje postojećeg stanja („status quo“) imalo bi negativne implikacije na proces pristupanja Crne Gore Evropskoj uniji. Konkretno, bila bi dovedena u pitanje mogućnost zatvaranja pregovaračkog poglavlja 9 – Finansijske usluge, imajući u vidu da u pravnom sistemu Crne Gore ne postoji zakon usklađen sa Uredbom (EU) 2023/2631 o evropskim zelenim obveznicama i neobaveznim objavama za održive obveznice, Uredbom (EU) 2019/2088 o objavama povezanim sa održivošću u sektoru finansijskih usluga (SFDR) i Uredbom (EU) 2020/852 o uspostavljanju okvira za olakšavanje održivih ulaganja (Taksonomija EU).</w:t>
            </w:r>
          </w:p>
          <w:p w14:paraId="20DB61C7" w14:textId="4A5D48F3" w:rsidR="000B7EB0" w:rsidRPr="00B107A2" w:rsidRDefault="00B107A2" w:rsidP="004621D0">
            <w:pPr>
              <w:autoSpaceDE w:val="0"/>
              <w:autoSpaceDN w:val="0"/>
              <w:adjustRightInd w:val="0"/>
              <w:spacing w:before="120" w:after="120"/>
              <w:rPr>
                <w:rFonts w:ascii="Cambria" w:hAnsi="Cambria" w:cs="Arial"/>
                <w:bCs/>
                <w:noProof/>
                <w:szCs w:val="24"/>
              </w:rPr>
            </w:pPr>
            <w:r w:rsidRPr="00B107A2">
              <w:rPr>
                <w:rFonts w:ascii="Cambria" w:hAnsi="Cambria" w:cs="Arial"/>
                <w:b w:val="0"/>
                <w:bCs/>
                <w:noProof/>
                <w:szCs w:val="24"/>
              </w:rPr>
              <w:t>Bez donošenja ovog akta, usklađivanje sa obavezujućim pravilima EU u oblasti održivog finansiranja bilo bi onemogućeno.</w:t>
            </w:r>
          </w:p>
        </w:tc>
      </w:tr>
      <w:tr w:rsidR="008322D4" w:rsidRPr="00E54D7F" w14:paraId="286F134A"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B1732A9" w14:textId="77777777" w:rsidR="008322D4" w:rsidRPr="00E54D7F" w:rsidRDefault="008322D4" w:rsidP="008322D4">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2</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Ciljevi</w:t>
            </w:r>
          </w:p>
          <w:p w14:paraId="73FF5DC0"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oji ciljevi se postižu predloženim propisom?</w:t>
            </w:r>
          </w:p>
          <w:p w14:paraId="26BC7F5E"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 xml:space="preserve">avesti </w:t>
            </w:r>
            <w:r w:rsidR="00067FCF" w:rsidRPr="00E54D7F">
              <w:rPr>
                <w:rFonts w:ascii="Cambria" w:hAnsi="Cambria" w:cs="Arial"/>
                <w:noProof/>
                <w:color w:val="365F91" w:themeColor="accent1" w:themeShade="BF"/>
                <w:szCs w:val="24"/>
              </w:rPr>
              <w:t>usklađenost</w:t>
            </w:r>
            <w:r w:rsidR="00A07773" w:rsidRPr="00E54D7F">
              <w:rPr>
                <w:rFonts w:ascii="Cambria" w:hAnsi="Cambria" w:cs="Arial"/>
                <w:noProof/>
                <w:color w:val="365F91" w:themeColor="accent1" w:themeShade="BF"/>
                <w:szCs w:val="24"/>
              </w:rPr>
              <w:t xml:space="preserve"> ovih ciljeva sa postojećim strategijama ili programima Vlade, ako je primjenljivo.</w:t>
            </w:r>
          </w:p>
        </w:tc>
      </w:tr>
      <w:tr w:rsidR="008322D4" w:rsidRPr="00E54D7F" w14:paraId="6CEBD81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843C511" w14:textId="77777777" w:rsidR="004621D0" w:rsidRDefault="004621D0" w:rsidP="007D74D6">
            <w:pPr>
              <w:autoSpaceDE w:val="0"/>
              <w:autoSpaceDN w:val="0"/>
              <w:adjustRightInd w:val="0"/>
              <w:spacing w:before="120" w:after="120"/>
              <w:rPr>
                <w:rFonts w:ascii="Cambria" w:hAnsi="Cambria" w:cs="Arial"/>
                <w:b w:val="0"/>
                <w:bCs/>
                <w:noProof/>
                <w:szCs w:val="24"/>
              </w:rPr>
            </w:pPr>
            <w:r w:rsidRPr="004621D0">
              <w:rPr>
                <w:rFonts w:ascii="Cambria" w:hAnsi="Cambria" w:cs="Arial"/>
                <w:noProof/>
                <w:szCs w:val="24"/>
              </w:rPr>
              <w:t>Koji ciljevi se postižu predloženim propisom?</w:t>
            </w:r>
          </w:p>
          <w:p w14:paraId="06597AC8" w14:textId="77777777" w:rsidR="008E36F7" w:rsidRPr="008E36F7" w:rsidRDefault="008E36F7" w:rsidP="008E36F7">
            <w:pPr>
              <w:autoSpaceDE w:val="0"/>
              <w:autoSpaceDN w:val="0"/>
              <w:adjustRightInd w:val="0"/>
              <w:spacing w:before="120" w:after="120"/>
              <w:rPr>
                <w:rFonts w:ascii="Cambria" w:hAnsi="Cambria" w:cs="Arial"/>
                <w:b w:val="0"/>
                <w:bCs/>
                <w:noProof/>
                <w:szCs w:val="24"/>
                <w:lang w:val="sr-Latn-ME"/>
              </w:rPr>
            </w:pPr>
            <w:r w:rsidRPr="008E36F7">
              <w:rPr>
                <w:rFonts w:ascii="Cambria" w:hAnsi="Cambria" w:cs="Arial"/>
                <w:b w:val="0"/>
                <w:bCs/>
                <w:noProof/>
                <w:szCs w:val="24"/>
                <w:lang w:val="sr-Latn-ME"/>
              </w:rPr>
              <w:t>Predloženim zakonom postiže se uspostavljanje potpunog, jasnog i stabilnog regulatornog okvira u oblasti održivog finansiranja u Crnoj Gori, u skladu sa obavezama iz pravne tekovine Evropske unije. Osnovni cilj je obezbjeđivanje pravne sigurnosti za izdavaoce obveznica, finansijske subjekte i investitore, uz istovremeno jačanje transparentnosti i povjerenja na finansijskom tržištu.</w:t>
            </w:r>
          </w:p>
          <w:p w14:paraId="31C7FA76" w14:textId="77777777" w:rsidR="008E36F7" w:rsidRDefault="008E36F7" w:rsidP="008E36F7">
            <w:pPr>
              <w:autoSpaceDE w:val="0"/>
              <w:autoSpaceDN w:val="0"/>
              <w:adjustRightInd w:val="0"/>
              <w:spacing w:before="120" w:after="120"/>
              <w:rPr>
                <w:rFonts w:ascii="Cambria" w:hAnsi="Cambria" w:cs="Arial"/>
                <w:noProof/>
                <w:szCs w:val="24"/>
                <w:lang w:val="sr-Latn-ME"/>
              </w:rPr>
            </w:pPr>
            <w:r w:rsidRPr="008E36F7">
              <w:rPr>
                <w:rFonts w:ascii="Cambria" w:hAnsi="Cambria" w:cs="Arial"/>
                <w:b w:val="0"/>
                <w:bCs/>
                <w:noProof/>
                <w:szCs w:val="24"/>
                <w:lang w:val="sr-Latn-ME"/>
              </w:rPr>
              <w:lastRenderedPageBreak/>
              <w:t>Donošenjem zakona ostvaruju se sljedeći specifični ciljevi:</w:t>
            </w:r>
          </w:p>
          <w:p w14:paraId="2C9F6DA0"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uspostavljanje pravnog okvira za evropske zelene obveznice (EuGB standard), čime se omogućava emitovanje obveznica koje ispunjavaju stroge ekološke kriterijume i usklađene su sa zahtjevima Uredbe (EU) 2023/2631;</w:t>
            </w:r>
          </w:p>
          <w:p w14:paraId="7B3D4DB7"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povećanje transparentnosti finansijskih proizvoda kroz obavezu objavljivanja informacija o održivosti, u skladu sa Uredbom (EU) 2019/2088 (SFDR), čime se investitorima omogućava da donose informisane odluke;</w:t>
            </w:r>
          </w:p>
          <w:p w14:paraId="79DB6754"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usklađivanje ulaganja sa taksonomijom EU, u skladu sa Uredbom (EU) 2020/852, što doprinosi usmjeravanju kapitala ka ekološki održivim aktivnostima;</w:t>
            </w:r>
          </w:p>
          <w:p w14:paraId="7117F979"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uspostavljanje obaveza izdavalaca, uključujući pripremu i objavljivanje sažetka prospekta, izvještaja o raspodjeli prihoda, izvještaja o uticaju i procjena prije i nakon izdavanja;</w:t>
            </w:r>
          </w:p>
          <w:p w14:paraId="3FCA8FD1"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 xml:space="preserve">uspostavljanje obaveza eksternih ocjenjivača, uključujući objavljivanje metodologije, nezavisnost i sprečavanje sukoba interesa, </w:t>
            </w:r>
            <w:r w:rsidRPr="008E36F7">
              <w:rPr>
                <w:rFonts w:ascii="Cambria" w:eastAsiaTheme="majorEastAsia" w:hAnsi="Cambria" w:cs="Arial"/>
                <w:b w:val="0"/>
                <w:bCs/>
                <w:noProof/>
                <w:szCs w:val="24"/>
                <w:lang w:val="sr-Latn-ME"/>
              </w:rPr>
              <w:t>uz jasno razgraničenje nadležnosti: registraciju i nadzor eksternih ocjenjivača vrši isključivo ESMA, dok Komisija nadzire primjenu standarda od strane domaćih izdavalaca</w:t>
            </w:r>
            <w:r w:rsidRPr="008E36F7">
              <w:rPr>
                <w:rFonts w:ascii="Cambria" w:hAnsi="Cambria" w:cs="Arial"/>
                <w:b w:val="0"/>
                <w:bCs/>
                <w:noProof/>
                <w:szCs w:val="24"/>
                <w:lang w:val="sr-Latn-ME"/>
              </w:rPr>
              <w:t>;</w:t>
            </w:r>
          </w:p>
          <w:p w14:paraId="58FC1E50"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uvođenje obaveza učesnika na finansijskom tržištu u dijelu objavljivanja informacija o održivosti finansijskih proizvoda, upravljanju rizicima održivosti i usklađenosti promotivnih materijala;</w:t>
            </w:r>
          </w:p>
          <w:p w14:paraId="5B23D7A6"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uspostavljanje nadzornih ovlašćenja Komisije za tržište kapitala, uključujući zahtijevanje objava, sprovođenje istraga, nadzor i izricanje mjera;</w:t>
            </w:r>
          </w:p>
          <w:p w14:paraId="0914ED6D"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jačanje zaštite investitora kroz obavezno usklađivanje informacija, korišćenje standardizovanih obrazaca i sprječavanje obmanjujućih objava (greenwashing);</w:t>
            </w:r>
          </w:p>
          <w:p w14:paraId="02E51437" w14:textId="77777777" w:rsidR="008E36F7" w:rsidRPr="008E36F7" w:rsidRDefault="008E36F7" w:rsidP="008E36F7">
            <w:pPr>
              <w:pStyle w:val="ListParagraph"/>
              <w:numPr>
                <w:ilvl w:val="0"/>
                <w:numId w:val="28"/>
              </w:numPr>
              <w:autoSpaceDE w:val="0"/>
              <w:autoSpaceDN w:val="0"/>
              <w:adjustRightInd w:val="0"/>
              <w:spacing w:before="120" w:after="120" w:line="259" w:lineRule="auto"/>
              <w:contextualSpacing/>
              <w:rPr>
                <w:rFonts w:ascii="Cambria" w:eastAsiaTheme="minorHAnsi" w:hAnsi="Cambria" w:cs="Arial"/>
                <w:b w:val="0"/>
                <w:bCs/>
                <w:noProof/>
                <w:sz w:val="22"/>
                <w:szCs w:val="24"/>
                <w:lang w:val="sr-Latn-ME" w:eastAsia="en-US"/>
              </w:rPr>
            </w:pPr>
            <w:r w:rsidRPr="008E36F7">
              <w:rPr>
                <w:rFonts w:ascii="Cambria" w:hAnsi="Cambria" w:cs="Arial"/>
                <w:b w:val="0"/>
                <w:bCs/>
                <w:noProof/>
                <w:szCs w:val="24"/>
                <w:lang w:val="sr-Latn-ME"/>
              </w:rPr>
              <w:t>stvaranje uslova za razvoj tržišta održivih finansija i privlačenje investicija u projekte od značaja za ekološku tranziciju;</w:t>
            </w:r>
          </w:p>
          <w:p w14:paraId="29453C80" w14:textId="77777777" w:rsidR="008E36F7" w:rsidRPr="008E36F7" w:rsidRDefault="008E36F7" w:rsidP="008E36F7">
            <w:pPr>
              <w:pStyle w:val="ListParagraph"/>
              <w:numPr>
                <w:ilvl w:val="0"/>
                <w:numId w:val="28"/>
              </w:numPr>
              <w:autoSpaceDE w:val="0"/>
              <w:autoSpaceDN w:val="0"/>
              <w:adjustRightInd w:val="0"/>
              <w:spacing w:before="120" w:after="120"/>
              <w:contextualSpacing/>
              <w:rPr>
                <w:rFonts w:ascii="Cambria" w:hAnsi="Cambria" w:cs="Arial"/>
                <w:b w:val="0"/>
                <w:bCs/>
                <w:noProof/>
                <w:szCs w:val="24"/>
                <w:lang w:val="sr-Latn-ME"/>
              </w:rPr>
            </w:pPr>
            <w:r w:rsidRPr="008E36F7">
              <w:rPr>
                <w:rFonts w:ascii="Cambria" w:hAnsi="Cambria" w:cs="Arial"/>
                <w:b w:val="0"/>
                <w:bCs/>
                <w:noProof/>
                <w:szCs w:val="24"/>
                <w:lang w:val="sr-Latn-ME"/>
              </w:rPr>
              <w:t>usklađivanje crnogorskog pravnog sistema sa obavezujućim EU pravilima, što predstavlja preduslov za napredak u procesu pristupanja i zatvaranje poglavlja 9 – Finansijske usluge.</w:t>
            </w:r>
          </w:p>
          <w:p w14:paraId="3C5DEAED" w14:textId="77777777" w:rsidR="008E36F7" w:rsidRPr="008E36F7" w:rsidRDefault="008E36F7" w:rsidP="008E36F7">
            <w:pPr>
              <w:autoSpaceDE w:val="0"/>
              <w:autoSpaceDN w:val="0"/>
              <w:adjustRightInd w:val="0"/>
              <w:spacing w:before="120" w:after="120"/>
              <w:rPr>
                <w:rFonts w:ascii="Cambria" w:hAnsi="Cambria" w:cs="Arial"/>
                <w:b w:val="0"/>
                <w:bCs/>
                <w:noProof/>
                <w:szCs w:val="24"/>
                <w:lang w:val="sr-Latn-ME"/>
              </w:rPr>
            </w:pPr>
            <w:r w:rsidRPr="008E36F7">
              <w:rPr>
                <w:rFonts w:ascii="Cambria" w:hAnsi="Cambria" w:cs="Arial"/>
                <w:b w:val="0"/>
                <w:bCs/>
                <w:noProof/>
                <w:szCs w:val="24"/>
                <w:lang w:val="sr-Latn-ME"/>
              </w:rPr>
              <w:t>Ovim propisom se postiže visok nivo transparentnosti i pouzdanosti informacija o održivosti, podstiče razvoj održivog finansiranja i obezbjeđuje puna usklađenost sa standardima Evropske unije.</w:t>
            </w:r>
          </w:p>
          <w:p w14:paraId="2876FEC7" w14:textId="77777777" w:rsidR="00A5308A" w:rsidRPr="00A5308A" w:rsidRDefault="00A5308A" w:rsidP="00EC2888">
            <w:pPr>
              <w:autoSpaceDE w:val="0"/>
              <w:autoSpaceDN w:val="0"/>
              <w:adjustRightInd w:val="0"/>
              <w:spacing w:before="120" w:after="120"/>
              <w:rPr>
                <w:rFonts w:ascii="Cambria" w:hAnsi="Cambria" w:cs="Arial"/>
                <w:noProof/>
                <w:szCs w:val="24"/>
              </w:rPr>
            </w:pPr>
            <w:r w:rsidRPr="00A5308A">
              <w:rPr>
                <w:rFonts w:ascii="Cambria" w:hAnsi="Cambria" w:cs="Arial"/>
                <w:noProof/>
                <w:szCs w:val="24"/>
              </w:rPr>
              <w:t>Usklađenost ovih ciljeva sa postojećim strategijama ili programima Vlade</w:t>
            </w:r>
          </w:p>
          <w:p w14:paraId="7818DD39" w14:textId="5C3704AA" w:rsidR="00542040" w:rsidRPr="00C82353" w:rsidRDefault="00752093" w:rsidP="00752093">
            <w:pPr>
              <w:autoSpaceDE w:val="0"/>
              <w:autoSpaceDN w:val="0"/>
              <w:adjustRightInd w:val="0"/>
              <w:spacing w:before="120" w:after="120"/>
              <w:rPr>
                <w:rFonts w:ascii="Cambria" w:hAnsi="Cambria" w:cs="Arial"/>
                <w:bCs/>
                <w:noProof/>
                <w:szCs w:val="24"/>
              </w:rPr>
            </w:pPr>
            <w:r w:rsidRPr="00EA3658">
              <w:rPr>
                <w:rFonts w:ascii="Cambria" w:hAnsi="Cambria" w:cs="Arial"/>
                <w:b w:val="0"/>
                <w:noProof/>
                <w:szCs w:val="24"/>
              </w:rPr>
              <w:t xml:space="preserve">Donošenje Zakona o zelenim i održivim obveznicama </w:t>
            </w:r>
            <w:r w:rsidR="00EA3658">
              <w:rPr>
                <w:rFonts w:ascii="Cambria" w:hAnsi="Cambria" w:cs="Arial"/>
                <w:b w:val="0"/>
                <w:noProof/>
                <w:szCs w:val="24"/>
              </w:rPr>
              <w:t>predstavlja obavezu za zatvaranje</w:t>
            </w:r>
            <w:r w:rsidR="00C82353" w:rsidRPr="00EA3658">
              <w:rPr>
                <w:rFonts w:ascii="Cambria" w:hAnsi="Cambria" w:cs="Arial"/>
                <w:b w:val="0"/>
                <w:noProof/>
                <w:szCs w:val="24"/>
              </w:rPr>
              <w:t xml:space="preserve"> pregovaračkog poglavlja 9 – Finansijske usluge</w:t>
            </w:r>
            <w:r w:rsidRPr="00EA3658">
              <w:rPr>
                <w:rFonts w:ascii="Cambria" w:hAnsi="Cambria" w:cs="Arial"/>
                <w:b w:val="0"/>
                <w:noProof/>
                <w:szCs w:val="24"/>
              </w:rPr>
              <w:t>.</w:t>
            </w:r>
          </w:p>
        </w:tc>
      </w:tr>
      <w:tr w:rsidR="008322D4" w:rsidRPr="00E54D7F" w14:paraId="1D80E5A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ECE5C27" w14:textId="77777777" w:rsidR="008322D4" w:rsidRPr="00E54D7F" w:rsidRDefault="00282840" w:rsidP="00282840">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3</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Opcije</w:t>
            </w:r>
          </w:p>
          <w:p w14:paraId="3DB1FDA3"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 xml:space="preserve">oje su moguće opcije za ispunjavanje ciljeva i rješavanje problema? (uvijek treba razmatrati “status quo” opciju i preporučljivo je uključiti i neregulatornu opciju, osim ako postoji obaveza </w:t>
            </w:r>
            <w:r w:rsidR="00067FCF" w:rsidRPr="00E54D7F">
              <w:rPr>
                <w:rFonts w:ascii="Cambria" w:hAnsi="Cambria" w:cs="Arial"/>
                <w:noProof/>
                <w:color w:val="365F91" w:themeColor="accent1" w:themeShade="BF"/>
                <w:szCs w:val="24"/>
              </w:rPr>
              <w:t>donošenja predloženog propisa</w:t>
            </w:r>
            <w:r w:rsidR="00A07773"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w:t>
            </w:r>
          </w:p>
          <w:p w14:paraId="705C3C44"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O</w:t>
            </w:r>
            <w:r w:rsidR="00A07773" w:rsidRPr="00E54D7F">
              <w:rPr>
                <w:rFonts w:ascii="Cambria" w:hAnsi="Cambria" w:cs="Arial"/>
                <w:noProof/>
                <w:color w:val="365F91" w:themeColor="accent1" w:themeShade="BF"/>
                <w:szCs w:val="24"/>
              </w:rPr>
              <w:t>brazložiti preferiranu opciju</w:t>
            </w:r>
            <w:r w:rsidR="00067FCF" w:rsidRPr="00E54D7F">
              <w:rPr>
                <w:rFonts w:ascii="Cambria" w:hAnsi="Cambria" w:cs="Arial"/>
                <w:noProof/>
                <w:color w:val="365F91" w:themeColor="accent1" w:themeShade="BF"/>
                <w:szCs w:val="24"/>
              </w:rPr>
              <w:t>?</w:t>
            </w:r>
          </w:p>
        </w:tc>
      </w:tr>
      <w:tr w:rsidR="008322D4" w:rsidRPr="00E54D7F" w14:paraId="69EBA3E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611B1A3" w14:textId="77777777" w:rsidR="00C733B7" w:rsidRPr="00C733B7" w:rsidRDefault="00C733B7" w:rsidP="00C733B7">
            <w:pPr>
              <w:autoSpaceDE w:val="0"/>
              <w:autoSpaceDN w:val="0"/>
              <w:adjustRightInd w:val="0"/>
              <w:spacing w:before="120" w:after="120"/>
              <w:rPr>
                <w:rFonts w:ascii="Cambria" w:hAnsi="Cambria" w:cs="Arial"/>
                <w:b w:val="0"/>
                <w:bCs/>
                <w:noProof/>
                <w:szCs w:val="24"/>
                <w:lang w:val="sr-Latn-ME"/>
              </w:rPr>
            </w:pPr>
            <w:r w:rsidRPr="00C733B7">
              <w:rPr>
                <w:rFonts w:ascii="Cambria" w:hAnsi="Cambria" w:cs="Arial"/>
                <w:b w:val="0"/>
                <w:bCs/>
                <w:noProof/>
                <w:szCs w:val="24"/>
                <w:lang w:val="sr-Latn-ME"/>
              </w:rPr>
              <w:lastRenderedPageBreak/>
              <w:t>U procesu izrade propisa razmatrane su sljedeće opcije:</w:t>
            </w:r>
          </w:p>
          <w:p w14:paraId="1FD8AB49" w14:textId="24B86B83" w:rsidR="00C733B7" w:rsidRPr="00C733B7" w:rsidRDefault="00C733B7" w:rsidP="00C733B7">
            <w:pPr>
              <w:autoSpaceDE w:val="0"/>
              <w:autoSpaceDN w:val="0"/>
              <w:adjustRightInd w:val="0"/>
              <w:spacing w:before="120" w:after="120"/>
              <w:rPr>
                <w:rFonts w:ascii="Cambria" w:hAnsi="Cambria" w:cs="Arial"/>
                <w:b w:val="0"/>
                <w:bCs/>
                <w:noProof/>
                <w:szCs w:val="24"/>
                <w:lang w:val="sr-Latn-ME"/>
              </w:rPr>
            </w:pPr>
            <w:r w:rsidRPr="00C733B7">
              <w:rPr>
                <w:rFonts w:ascii="Cambria" w:hAnsi="Cambria" w:cs="Arial"/>
                <w:b w:val="0"/>
                <w:bCs/>
                <w:noProof/>
                <w:szCs w:val="24"/>
                <w:lang w:val="sr-Latn-ME"/>
              </w:rPr>
              <w:t>1. Opcija 1 „Status quo“ (bez izmjene propisa)</w:t>
            </w:r>
          </w:p>
          <w:p w14:paraId="562FC6BE" w14:textId="77777777" w:rsidR="00C733B7" w:rsidRPr="00C733B7" w:rsidRDefault="00C733B7" w:rsidP="00C733B7">
            <w:pPr>
              <w:autoSpaceDE w:val="0"/>
              <w:autoSpaceDN w:val="0"/>
              <w:adjustRightInd w:val="0"/>
              <w:spacing w:before="120" w:after="120"/>
              <w:rPr>
                <w:rFonts w:ascii="Cambria" w:hAnsi="Cambria" w:cs="Arial"/>
                <w:b w:val="0"/>
                <w:bCs/>
                <w:noProof/>
                <w:szCs w:val="24"/>
                <w:lang w:val="sr-Latn-ME"/>
              </w:rPr>
            </w:pPr>
            <w:r w:rsidRPr="00C733B7">
              <w:rPr>
                <w:rFonts w:ascii="Cambria" w:hAnsi="Cambria" w:cs="Arial"/>
                <w:b w:val="0"/>
                <w:bCs/>
                <w:noProof/>
                <w:szCs w:val="24"/>
                <w:lang w:val="sr-Latn-ME"/>
              </w:rPr>
              <w:t>Ova opcija bi značila zadržavanje postojećeg stanja u kojem u Crnoj Gori ne postoji pravni okvir za izdavanje evropskih zelenih obveznica i ne postoje pravila o objavljivanju informacija o održivosti finansijskih proizvoda. Ova opcija nije održiva, jer:</w:t>
            </w:r>
          </w:p>
          <w:p w14:paraId="09233C7D" w14:textId="77777777" w:rsidR="00C733B7" w:rsidRPr="00C733B7" w:rsidRDefault="00C733B7" w:rsidP="00C733B7">
            <w:pPr>
              <w:pStyle w:val="ListParagraph"/>
              <w:numPr>
                <w:ilvl w:val="0"/>
                <w:numId w:val="30"/>
              </w:numPr>
              <w:autoSpaceDE w:val="0"/>
              <w:autoSpaceDN w:val="0"/>
              <w:adjustRightInd w:val="0"/>
              <w:spacing w:before="120" w:after="120"/>
              <w:rPr>
                <w:rFonts w:ascii="Cambria" w:hAnsi="Cambria" w:cs="Arial"/>
                <w:b w:val="0"/>
                <w:noProof/>
                <w:szCs w:val="24"/>
                <w:lang w:val="sr-Latn-ME"/>
              </w:rPr>
            </w:pPr>
            <w:r w:rsidRPr="00C733B7">
              <w:rPr>
                <w:rFonts w:ascii="Cambria" w:hAnsi="Cambria" w:cs="Arial"/>
                <w:b w:val="0"/>
                <w:noProof/>
                <w:szCs w:val="24"/>
                <w:lang w:val="sr-Latn-ME"/>
              </w:rPr>
              <w:t>Crna Gora ne bi bila u mogućnosti da ispuni obaveze iz procesa pristupanja EU u oblasti finansijskih usluga,</w:t>
            </w:r>
          </w:p>
          <w:p w14:paraId="6B226DB7" w14:textId="6654D361" w:rsidR="00C733B7" w:rsidRPr="00C733B7" w:rsidRDefault="00C733B7" w:rsidP="00C733B7">
            <w:pPr>
              <w:pStyle w:val="ListParagraph"/>
              <w:numPr>
                <w:ilvl w:val="0"/>
                <w:numId w:val="30"/>
              </w:numPr>
              <w:autoSpaceDE w:val="0"/>
              <w:autoSpaceDN w:val="0"/>
              <w:adjustRightInd w:val="0"/>
              <w:spacing w:before="120" w:after="120"/>
              <w:rPr>
                <w:rFonts w:ascii="Cambria" w:hAnsi="Cambria" w:cs="Arial"/>
                <w:b w:val="0"/>
                <w:noProof/>
                <w:szCs w:val="24"/>
                <w:lang w:val="sr-Latn-ME"/>
              </w:rPr>
            </w:pPr>
            <w:r w:rsidRPr="00C733B7">
              <w:rPr>
                <w:rFonts w:ascii="Cambria" w:hAnsi="Cambria" w:cs="Arial"/>
                <w:b w:val="0"/>
                <w:noProof/>
                <w:szCs w:val="24"/>
                <w:lang w:val="sr-Latn-ME"/>
              </w:rPr>
              <w:t xml:space="preserve">ne bi bilo moguće zatvoriti Poglavlje 9 </w:t>
            </w:r>
            <w:r w:rsidR="000B7DE3">
              <w:rPr>
                <w:rFonts w:ascii="Cambria" w:hAnsi="Cambria" w:cs="Arial"/>
                <w:b w:val="0"/>
                <w:noProof/>
                <w:szCs w:val="24"/>
                <w:lang w:val="sr-Latn-ME"/>
              </w:rPr>
              <w:t>-</w:t>
            </w:r>
            <w:r w:rsidRPr="00C733B7">
              <w:rPr>
                <w:rFonts w:ascii="Cambria" w:hAnsi="Cambria" w:cs="Arial"/>
                <w:b w:val="0"/>
                <w:noProof/>
                <w:szCs w:val="24"/>
                <w:lang w:val="sr-Latn-ME"/>
              </w:rPr>
              <w:t xml:space="preserve"> Finansijske usluge,</w:t>
            </w:r>
          </w:p>
          <w:p w14:paraId="61EA9D62" w14:textId="77777777" w:rsidR="00C733B7" w:rsidRPr="00C733B7" w:rsidRDefault="00C733B7" w:rsidP="00C733B7">
            <w:pPr>
              <w:pStyle w:val="ListParagraph"/>
              <w:numPr>
                <w:ilvl w:val="0"/>
                <w:numId w:val="30"/>
              </w:numPr>
              <w:autoSpaceDE w:val="0"/>
              <w:autoSpaceDN w:val="0"/>
              <w:adjustRightInd w:val="0"/>
              <w:spacing w:before="120" w:after="120"/>
              <w:rPr>
                <w:rFonts w:ascii="Cambria" w:hAnsi="Cambria" w:cs="Arial"/>
                <w:b w:val="0"/>
                <w:noProof/>
                <w:szCs w:val="24"/>
                <w:lang w:val="sr-Latn-ME"/>
              </w:rPr>
            </w:pPr>
            <w:r w:rsidRPr="00C733B7">
              <w:rPr>
                <w:rFonts w:ascii="Cambria" w:hAnsi="Cambria" w:cs="Arial"/>
                <w:b w:val="0"/>
                <w:noProof/>
                <w:szCs w:val="24"/>
                <w:lang w:val="sr-Latn-ME"/>
              </w:rPr>
              <w:t>domaće finansijsko tržište bi ostalo neusklađeno sa Uredbom (EU) 2023/2631, Uredbom (EU) 2019/2088 i Uredbom (EU) 2020/852,</w:t>
            </w:r>
          </w:p>
          <w:p w14:paraId="574BDC6F" w14:textId="77777777" w:rsidR="00C733B7" w:rsidRPr="00C733B7" w:rsidRDefault="00C733B7" w:rsidP="00C733B7">
            <w:pPr>
              <w:pStyle w:val="ListParagraph"/>
              <w:numPr>
                <w:ilvl w:val="0"/>
                <w:numId w:val="30"/>
              </w:numPr>
              <w:autoSpaceDE w:val="0"/>
              <w:autoSpaceDN w:val="0"/>
              <w:adjustRightInd w:val="0"/>
              <w:spacing w:before="120" w:after="120"/>
              <w:rPr>
                <w:rFonts w:ascii="Cambria" w:hAnsi="Cambria" w:cs="Arial"/>
                <w:b w:val="0"/>
                <w:noProof/>
                <w:szCs w:val="24"/>
                <w:lang w:val="sr-Latn-ME"/>
              </w:rPr>
            </w:pPr>
            <w:r w:rsidRPr="00C733B7">
              <w:rPr>
                <w:rFonts w:ascii="Cambria" w:hAnsi="Cambria" w:cs="Arial"/>
                <w:b w:val="0"/>
                <w:noProof/>
                <w:szCs w:val="24"/>
                <w:lang w:val="sr-Latn-ME"/>
              </w:rPr>
              <w:t>izdavaoci i investitori bili bi bez jasnih pravila, što bi povećalo regulatorni rizik i mogućnost zlopotreba (greenwashing),</w:t>
            </w:r>
          </w:p>
          <w:p w14:paraId="2A8448B3" w14:textId="7138561E" w:rsidR="00C733B7" w:rsidRPr="00C733B7" w:rsidRDefault="00C733B7" w:rsidP="00C733B7">
            <w:pPr>
              <w:pStyle w:val="ListParagraph"/>
              <w:numPr>
                <w:ilvl w:val="0"/>
                <w:numId w:val="30"/>
              </w:numPr>
              <w:autoSpaceDE w:val="0"/>
              <w:autoSpaceDN w:val="0"/>
              <w:adjustRightInd w:val="0"/>
              <w:spacing w:before="120" w:after="120"/>
              <w:rPr>
                <w:rFonts w:ascii="Cambria" w:hAnsi="Cambria" w:cs="Arial"/>
                <w:b w:val="0"/>
                <w:noProof/>
                <w:szCs w:val="24"/>
                <w:lang w:val="sr-Latn-ME"/>
              </w:rPr>
            </w:pPr>
            <w:r w:rsidRPr="00C733B7">
              <w:rPr>
                <w:rFonts w:ascii="Cambria" w:hAnsi="Cambria" w:cs="Arial"/>
                <w:b w:val="0"/>
                <w:noProof/>
                <w:szCs w:val="24"/>
                <w:lang w:val="sr-Latn-ME"/>
              </w:rPr>
              <w:t xml:space="preserve">Crna Gora bi ostala van evropskog tržišta održivih finansija i izgubila mogućnost za privlačenje </w:t>
            </w:r>
            <w:r w:rsidR="000B7DE3">
              <w:rPr>
                <w:rFonts w:ascii="Cambria" w:hAnsi="Cambria" w:cs="Arial"/>
                <w:b w:val="0"/>
                <w:noProof/>
                <w:szCs w:val="24"/>
                <w:lang w:val="sr-Latn-ME"/>
              </w:rPr>
              <w:t>"</w:t>
            </w:r>
            <w:r w:rsidRPr="00C733B7">
              <w:rPr>
                <w:rFonts w:ascii="Cambria" w:hAnsi="Cambria" w:cs="Arial"/>
                <w:b w:val="0"/>
                <w:noProof/>
                <w:szCs w:val="24"/>
                <w:lang w:val="sr-Latn-ME"/>
              </w:rPr>
              <w:t>zelenog</w:t>
            </w:r>
            <w:r w:rsidR="000B7DE3">
              <w:rPr>
                <w:rFonts w:ascii="Cambria" w:hAnsi="Cambria" w:cs="Arial"/>
                <w:b w:val="0"/>
                <w:noProof/>
                <w:szCs w:val="24"/>
                <w:lang w:val="sr-Latn-ME"/>
              </w:rPr>
              <w:t>"</w:t>
            </w:r>
            <w:r w:rsidRPr="00C733B7">
              <w:rPr>
                <w:rFonts w:ascii="Cambria" w:hAnsi="Cambria" w:cs="Arial"/>
                <w:b w:val="0"/>
                <w:noProof/>
                <w:szCs w:val="24"/>
                <w:lang w:val="sr-Latn-ME"/>
              </w:rPr>
              <w:t xml:space="preserve"> kapitala.</w:t>
            </w:r>
          </w:p>
          <w:p w14:paraId="2FE5C74E" w14:textId="77777777" w:rsidR="00C733B7" w:rsidRPr="00C733B7" w:rsidRDefault="00C733B7" w:rsidP="00C733B7">
            <w:pPr>
              <w:autoSpaceDE w:val="0"/>
              <w:autoSpaceDN w:val="0"/>
              <w:adjustRightInd w:val="0"/>
              <w:spacing w:before="120" w:after="120"/>
              <w:rPr>
                <w:rFonts w:ascii="Cambria" w:hAnsi="Cambria" w:cs="Arial"/>
                <w:b w:val="0"/>
                <w:bCs/>
                <w:noProof/>
                <w:szCs w:val="24"/>
                <w:lang w:val="sr-Latn-ME"/>
              </w:rPr>
            </w:pPr>
            <w:r w:rsidRPr="00C733B7">
              <w:rPr>
                <w:rFonts w:ascii="Cambria" w:hAnsi="Cambria" w:cs="Arial"/>
                <w:b w:val="0"/>
                <w:bCs/>
                <w:noProof/>
                <w:szCs w:val="24"/>
                <w:lang w:val="sr-Latn-ME"/>
              </w:rPr>
              <w:t>Zbog navedenog, ova opcija nije prihvatljiva.</w:t>
            </w:r>
          </w:p>
          <w:p w14:paraId="79792FDA" w14:textId="1847A786" w:rsidR="00C733B7" w:rsidRPr="00C733B7" w:rsidRDefault="00C733B7" w:rsidP="00C733B7">
            <w:pPr>
              <w:autoSpaceDE w:val="0"/>
              <w:autoSpaceDN w:val="0"/>
              <w:adjustRightInd w:val="0"/>
              <w:spacing w:before="120" w:after="120"/>
              <w:rPr>
                <w:rFonts w:ascii="Cambria" w:hAnsi="Cambria" w:cs="Arial"/>
                <w:b w:val="0"/>
                <w:noProof/>
                <w:szCs w:val="24"/>
              </w:rPr>
            </w:pPr>
            <w:r w:rsidRPr="00C733B7">
              <w:rPr>
                <w:rFonts w:ascii="Cambria" w:hAnsi="Cambria" w:cs="Arial"/>
                <w:b w:val="0"/>
                <w:noProof/>
                <w:szCs w:val="24"/>
              </w:rPr>
              <w:t>Opcija 2 Neregulatorna opcija</w:t>
            </w:r>
          </w:p>
          <w:p w14:paraId="27B525D8" w14:textId="77777777" w:rsidR="00C733B7" w:rsidRPr="00C733B7" w:rsidRDefault="00C733B7" w:rsidP="00C733B7">
            <w:pPr>
              <w:autoSpaceDE w:val="0"/>
              <w:autoSpaceDN w:val="0"/>
              <w:adjustRightInd w:val="0"/>
              <w:spacing w:before="120" w:after="120"/>
              <w:rPr>
                <w:rFonts w:ascii="Cambria" w:hAnsi="Cambria" w:cs="Arial"/>
                <w:b w:val="0"/>
                <w:noProof/>
                <w:szCs w:val="24"/>
              </w:rPr>
            </w:pPr>
            <w:r w:rsidRPr="00C733B7">
              <w:rPr>
                <w:rFonts w:ascii="Cambria" w:hAnsi="Cambria" w:cs="Arial"/>
                <w:b w:val="0"/>
                <w:noProof/>
                <w:szCs w:val="24"/>
              </w:rPr>
              <w:t>Neregulatorni pristupi (preporuke, smjernice, samoregulatorni dokumenti, dobrovoljni standardi) nijesu adekvatni jer:</w:t>
            </w:r>
          </w:p>
          <w:p w14:paraId="3455B966" w14:textId="2A58211E" w:rsidR="00C733B7" w:rsidRPr="00C733B7" w:rsidRDefault="00C733B7" w:rsidP="00C733B7">
            <w:pPr>
              <w:pStyle w:val="ListParagraph"/>
              <w:numPr>
                <w:ilvl w:val="0"/>
                <w:numId w:val="31"/>
              </w:numPr>
              <w:autoSpaceDE w:val="0"/>
              <w:autoSpaceDN w:val="0"/>
              <w:adjustRightInd w:val="0"/>
              <w:spacing w:before="120" w:after="120"/>
              <w:rPr>
                <w:rFonts w:ascii="Cambria" w:hAnsi="Cambria" w:cs="Arial"/>
                <w:b w:val="0"/>
                <w:bCs/>
                <w:noProof/>
                <w:szCs w:val="24"/>
              </w:rPr>
            </w:pPr>
            <w:r w:rsidRPr="00C733B7">
              <w:rPr>
                <w:rFonts w:ascii="Cambria" w:hAnsi="Cambria" w:cs="Arial"/>
                <w:b w:val="0"/>
                <w:bCs/>
                <w:noProof/>
                <w:szCs w:val="24"/>
              </w:rPr>
              <w:t>obaveze iz tri EU uredbe nijesu preporuke već direktno obavezujuća pravila koja moraju biti prenesena u nacionalni okvir;</w:t>
            </w:r>
          </w:p>
          <w:p w14:paraId="0939FF29" w14:textId="77777777" w:rsidR="00C733B7" w:rsidRPr="00C733B7" w:rsidRDefault="00C733B7" w:rsidP="00C733B7">
            <w:pPr>
              <w:pStyle w:val="ListParagraph"/>
              <w:numPr>
                <w:ilvl w:val="0"/>
                <w:numId w:val="31"/>
              </w:numPr>
              <w:autoSpaceDE w:val="0"/>
              <w:autoSpaceDN w:val="0"/>
              <w:adjustRightInd w:val="0"/>
              <w:spacing w:before="120" w:after="120"/>
              <w:rPr>
                <w:rFonts w:ascii="Cambria" w:hAnsi="Cambria" w:cs="Arial"/>
                <w:b w:val="0"/>
                <w:bCs/>
                <w:noProof/>
                <w:szCs w:val="24"/>
              </w:rPr>
            </w:pPr>
            <w:r w:rsidRPr="00C733B7">
              <w:rPr>
                <w:rFonts w:ascii="Cambria" w:hAnsi="Cambria" w:cs="Arial"/>
                <w:b w:val="0"/>
                <w:bCs/>
                <w:noProof/>
                <w:szCs w:val="24"/>
              </w:rPr>
              <w:t>bez zakonske regulative ne mogu se ustanoviti nadležnosti Komisije, vrste obaveza, kaznene odredbe i nadzorni mehanizmi;</w:t>
            </w:r>
          </w:p>
          <w:p w14:paraId="0E2BB90C" w14:textId="77777777" w:rsidR="00C733B7" w:rsidRPr="00C733B7" w:rsidRDefault="00C733B7" w:rsidP="00C733B7">
            <w:pPr>
              <w:pStyle w:val="ListParagraph"/>
              <w:numPr>
                <w:ilvl w:val="0"/>
                <w:numId w:val="31"/>
              </w:numPr>
              <w:autoSpaceDE w:val="0"/>
              <w:autoSpaceDN w:val="0"/>
              <w:adjustRightInd w:val="0"/>
              <w:spacing w:before="120" w:after="120"/>
              <w:rPr>
                <w:rFonts w:ascii="Cambria" w:hAnsi="Cambria" w:cs="Arial"/>
                <w:b w:val="0"/>
                <w:bCs/>
                <w:noProof/>
                <w:szCs w:val="24"/>
              </w:rPr>
            </w:pPr>
            <w:r w:rsidRPr="00C733B7">
              <w:rPr>
                <w:rFonts w:ascii="Cambria" w:hAnsi="Cambria" w:cs="Arial"/>
                <w:b w:val="0"/>
                <w:bCs/>
                <w:noProof/>
                <w:szCs w:val="24"/>
              </w:rPr>
              <w:t>tržišni akteri ne bi imali garanciju stabilnosti i pravne sigurnosti, što je posebno važno za obveznice koje se izdaju na duže rokove;</w:t>
            </w:r>
          </w:p>
          <w:p w14:paraId="085EE2F3" w14:textId="77777777" w:rsidR="00C733B7" w:rsidRPr="00C733B7" w:rsidRDefault="00C733B7" w:rsidP="00C733B7">
            <w:pPr>
              <w:pStyle w:val="ListParagraph"/>
              <w:numPr>
                <w:ilvl w:val="0"/>
                <w:numId w:val="31"/>
              </w:numPr>
              <w:autoSpaceDE w:val="0"/>
              <w:autoSpaceDN w:val="0"/>
              <w:adjustRightInd w:val="0"/>
              <w:spacing w:before="120" w:after="120"/>
              <w:rPr>
                <w:rFonts w:ascii="Cambria" w:hAnsi="Cambria" w:cs="Arial"/>
                <w:b w:val="0"/>
                <w:bCs/>
                <w:noProof/>
                <w:szCs w:val="24"/>
              </w:rPr>
            </w:pPr>
            <w:r w:rsidRPr="00C733B7">
              <w:rPr>
                <w:rFonts w:ascii="Cambria" w:hAnsi="Cambria" w:cs="Arial"/>
                <w:b w:val="0"/>
                <w:bCs/>
                <w:noProof/>
                <w:szCs w:val="24"/>
              </w:rPr>
              <w:t>Komisija za tržište kapitala ne bi mogla da vrši nadzor niti izriče mjere.</w:t>
            </w:r>
          </w:p>
          <w:p w14:paraId="20239C8D" w14:textId="01E84CF7" w:rsidR="00C733B7" w:rsidRDefault="00C733B7" w:rsidP="00C733B7">
            <w:pPr>
              <w:autoSpaceDE w:val="0"/>
              <w:autoSpaceDN w:val="0"/>
              <w:adjustRightInd w:val="0"/>
              <w:spacing w:before="120" w:after="120"/>
              <w:rPr>
                <w:rFonts w:ascii="Cambria" w:hAnsi="Cambria" w:cs="Arial"/>
                <w:bCs/>
                <w:noProof/>
                <w:szCs w:val="24"/>
              </w:rPr>
            </w:pPr>
            <w:r w:rsidRPr="00C733B7">
              <w:rPr>
                <w:rFonts w:ascii="Cambria" w:hAnsi="Cambria" w:cs="Arial"/>
                <w:b w:val="0"/>
                <w:noProof/>
                <w:szCs w:val="24"/>
              </w:rPr>
              <w:t>Zbog toga neregulatorna opcija nije primjenljiva.</w:t>
            </w:r>
          </w:p>
          <w:p w14:paraId="402B7669" w14:textId="2E53138A"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Opcija 3 Izmjena postojećih zakona</w:t>
            </w:r>
          </w:p>
          <w:p w14:paraId="5E6A7661" w14:textId="77777777"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Postojeće zakonodavstvo (Zakon o tržištu kapitala, Zakon o investicionim fondovima, Zakon o osiguranju itd.) ne sadrži materiju u vezi sa:</w:t>
            </w:r>
          </w:p>
          <w:p w14:paraId="354C5815" w14:textId="77777777" w:rsidR="008B303A" w:rsidRPr="008B303A" w:rsidRDefault="008B303A" w:rsidP="008B303A">
            <w:pPr>
              <w:pStyle w:val="ListParagraph"/>
              <w:numPr>
                <w:ilvl w:val="0"/>
                <w:numId w:val="3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evropskim zelenim obveznicama,</w:t>
            </w:r>
          </w:p>
          <w:p w14:paraId="4CDBE63C" w14:textId="77777777" w:rsidR="008B303A" w:rsidRPr="008B303A" w:rsidRDefault="008B303A" w:rsidP="008B303A">
            <w:pPr>
              <w:pStyle w:val="ListParagraph"/>
              <w:numPr>
                <w:ilvl w:val="0"/>
                <w:numId w:val="3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pravilima o objavama održivosti (SFDR),</w:t>
            </w:r>
          </w:p>
          <w:p w14:paraId="2B1C6603" w14:textId="77777777" w:rsidR="008B303A" w:rsidRPr="008B303A" w:rsidRDefault="008B303A" w:rsidP="008B303A">
            <w:pPr>
              <w:pStyle w:val="ListParagraph"/>
              <w:numPr>
                <w:ilvl w:val="0"/>
                <w:numId w:val="3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pravilima taksonomije (održivi ekološki kriterijumi).</w:t>
            </w:r>
          </w:p>
          <w:p w14:paraId="7B824F3D" w14:textId="77777777"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Ove oblasti su suštinski nove i nijedan postojeći propis ne može se efikasno izmijeniti da obuhvati materiju koja je sistemski specifična i zahtijeva jedinstven zakon.</w:t>
            </w:r>
          </w:p>
          <w:p w14:paraId="5126C24F" w14:textId="77777777"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Zato ova opcija nije operativna.</w:t>
            </w:r>
          </w:p>
          <w:p w14:paraId="4CB09744" w14:textId="4DF962AD"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lastRenderedPageBreak/>
              <w:t>Opcija 4 Donošenje novog zakona (preferirana opcija)</w:t>
            </w:r>
          </w:p>
          <w:p w14:paraId="2DA7F85A" w14:textId="77777777" w:rsidR="008B303A" w:rsidRPr="008B303A" w:rsidRDefault="008B303A" w:rsidP="008B303A">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Donošenje posebnog Zakona o evropskim zelenim obveznicama i održivom finansiranju predstavlja najefikasniji i jedini pravno održiv način da se:</w:t>
            </w:r>
          </w:p>
          <w:p w14:paraId="1FEF56B6" w14:textId="77777777"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u pravni sistem Crne Gore u potpunosti prenesu obaveze iz:</w:t>
            </w:r>
          </w:p>
          <w:p w14:paraId="288E9995" w14:textId="77777777" w:rsidR="008B303A" w:rsidRPr="008B303A" w:rsidRDefault="008B303A" w:rsidP="008B303A">
            <w:pPr>
              <w:pStyle w:val="ListParagraph"/>
              <w:numPr>
                <w:ilvl w:val="0"/>
                <w:numId w:val="1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Uredbe (EU) 2023/2631 (evropske zelene obveznice i neobavezne održive objave),</w:t>
            </w:r>
          </w:p>
          <w:p w14:paraId="5D8B5A62" w14:textId="77777777" w:rsidR="008B303A" w:rsidRPr="008B303A" w:rsidRDefault="008B303A" w:rsidP="008B303A">
            <w:pPr>
              <w:pStyle w:val="ListParagraph"/>
              <w:numPr>
                <w:ilvl w:val="0"/>
                <w:numId w:val="1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Uredbe (EU) 2019/2088 (SFDR) (objave održivosti finansijskih subjekata),</w:t>
            </w:r>
          </w:p>
          <w:p w14:paraId="7254CBCB" w14:textId="0FDAF23A" w:rsidR="008B303A" w:rsidRPr="008B303A" w:rsidRDefault="008B303A" w:rsidP="008B303A">
            <w:pPr>
              <w:pStyle w:val="ListParagraph"/>
              <w:numPr>
                <w:ilvl w:val="0"/>
                <w:numId w:val="13"/>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Uredbe (EU) 2020/852 (Taksonomija EU) (ekološka održivost ulaganja);</w:t>
            </w:r>
          </w:p>
          <w:p w14:paraId="7F570697" w14:textId="77777777"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jasno urede obaveze izdavalaca, eksternih ocjenjivača, učesnika na finansijskom tržištu i finansijskih savjetnika;</w:t>
            </w:r>
          </w:p>
          <w:p w14:paraId="27889171" w14:textId="77777777"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utvrde nadležnosti Komisije za tržište kapitala u dijelu nadzora, objava, nadzornih ovlašćenja i prekršajnih sankcija;</w:t>
            </w:r>
          </w:p>
          <w:p w14:paraId="17EB4B18" w14:textId="77777777"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obezbijedi transparentnost i spriječi greenwashing;</w:t>
            </w:r>
          </w:p>
          <w:p w14:paraId="7B6E136F" w14:textId="77777777"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omogući Crnoj Gori da učestvuje na brzo rastućem tržištu održivih finansija;</w:t>
            </w:r>
          </w:p>
          <w:p w14:paraId="4D6ABD14" w14:textId="25850719" w:rsidR="008B303A" w:rsidRPr="008B303A" w:rsidRDefault="008B303A" w:rsidP="008B303A">
            <w:pPr>
              <w:pStyle w:val="ListParagraph"/>
              <w:numPr>
                <w:ilvl w:val="0"/>
                <w:numId w:val="35"/>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obezbijedi napredak u procesu pristupanja Evropskoj uniji, posebno u oblasti finansijskih usluga i Poglavlju 9.</w:t>
            </w:r>
          </w:p>
          <w:p w14:paraId="73E1DD15" w14:textId="5D0595A9" w:rsidR="008B303A" w:rsidRPr="008B303A" w:rsidRDefault="008B303A" w:rsidP="008B303A">
            <w:pPr>
              <w:autoSpaceDE w:val="0"/>
              <w:autoSpaceDN w:val="0"/>
              <w:adjustRightInd w:val="0"/>
              <w:spacing w:before="120" w:after="120"/>
              <w:rPr>
                <w:rFonts w:ascii="Cambria" w:hAnsi="Cambria" w:cs="Arial"/>
                <w:bCs/>
                <w:noProof/>
                <w:szCs w:val="24"/>
                <w:lang w:val="sr-Latn-ME"/>
              </w:rPr>
            </w:pPr>
            <w:r w:rsidRPr="008B303A">
              <w:rPr>
                <w:rFonts w:ascii="Cambria" w:hAnsi="Cambria" w:cs="Arial"/>
                <w:b w:val="0"/>
                <w:noProof/>
                <w:szCs w:val="24"/>
                <w:lang w:val="sr-Latn-ME"/>
              </w:rPr>
              <w:t>Preferirana opcija je donošenje novog zakona.</w:t>
            </w:r>
            <w:r>
              <w:rPr>
                <w:rFonts w:ascii="Cambria" w:hAnsi="Cambria" w:cs="Arial"/>
                <w:noProof/>
                <w:szCs w:val="24"/>
                <w:lang w:val="sr-Latn-ME"/>
              </w:rPr>
              <w:t xml:space="preserve"> </w:t>
            </w:r>
            <w:r w:rsidRPr="008B303A">
              <w:rPr>
                <w:rFonts w:ascii="Cambria" w:hAnsi="Cambria" w:cs="Arial"/>
                <w:b w:val="0"/>
                <w:noProof/>
                <w:szCs w:val="24"/>
                <w:lang w:val="sr-Latn-ME"/>
              </w:rPr>
              <w:t>Ova opcija je jedina koja omogućava:</w:t>
            </w:r>
          </w:p>
          <w:p w14:paraId="3AEB514F" w14:textId="77777777" w:rsidR="008B303A" w:rsidRPr="008B303A" w:rsidRDefault="008B303A" w:rsidP="008B303A">
            <w:pPr>
              <w:pStyle w:val="ListParagraph"/>
              <w:numPr>
                <w:ilvl w:val="0"/>
                <w:numId w:val="37"/>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potpuno usklađivanje sa obavezama iz EU pravne tekovine u oblasti održivog finansiranja,</w:t>
            </w:r>
          </w:p>
          <w:p w14:paraId="709B2614" w14:textId="77777777" w:rsidR="008B303A" w:rsidRPr="008B303A" w:rsidRDefault="008B303A" w:rsidP="008B303A">
            <w:pPr>
              <w:pStyle w:val="ListParagraph"/>
              <w:numPr>
                <w:ilvl w:val="0"/>
                <w:numId w:val="37"/>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stvaranje jasnog, sveobuhvatnog i funkcionalnog regulatornog okvira,</w:t>
            </w:r>
          </w:p>
          <w:p w14:paraId="0B10BA11" w14:textId="77777777" w:rsidR="008B303A" w:rsidRPr="008B303A" w:rsidRDefault="008B303A" w:rsidP="008B303A">
            <w:pPr>
              <w:pStyle w:val="ListParagraph"/>
              <w:numPr>
                <w:ilvl w:val="0"/>
                <w:numId w:val="37"/>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zaštitu investitora i jačanje integriteta tržišta,</w:t>
            </w:r>
          </w:p>
          <w:p w14:paraId="1BBEC7C3" w14:textId="77777777" w:rsidR="008B303A" w:rsidRPr="008B303A" w:rsidRDefault="008B303A" w:rsidP="008B303A">
            <w:pPr>
              <w:pStyle w:val="ListParagraph"/>
              <w:numPr>
                <w:ilvl w:val="0"/>
                <w:numId w:val="37"/>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razvoj domaćeg tržišta zelenih obveznica,</w:t>
            </w:r>
          </w:p>
          <w:p w14:paraId="0102566A" w14:textId="77777777" w:rsidR="008B303A" w:rsidRPr="008B303A" w:rsidRDefault="008B303A" w:rsidP="008B303A">
            <w:pPr>
              <w:pStyle w:val="ListParagraph"/>
              <w:numPr>
                <w:ilvl w:val="0"/>
                <w:numId w:val="37"/>
              </w:numPr>
              <w:autoSpaceDE w:val="0"/>
              <w:autoSpaceDN w:val="0"/>
              <w:adjustRightInd w:val="0"/>
              <w:spacing w:before="120" w:after="120"/>
              <w:rPr>
                <w:rFonts w:ascii="Cambria" w:hAnsi="Cambria" w:cs="Arial"/>
                <w:b w:val="0"/>
                <w:bCs/>
                <w:noProof/>
                <w:szCs w:val="24"/>
                <w:lang w:val="sr-Latn-ME"/>
              </w:rPr>
            </w:pPr>
            <w:r w:rsidRPr="008B303A">
              <w:rPr>
                <w:rFonts w:ascii="Cambria" w:hAnsi="Cambria" w:cs="Arial"/>
                <w:b w:val="0"/>
                <w:bCs/>
                <w:noProof/>
                <w:szCs w:val="24"/>
                <w:lang w:val="sr-Latn-ME"/>
              </w:rPr>
              <w:t>institucionalno jačanje nadzornih kapaciteta Komisije za tržište kapitala.</w:t>
            </w:r>
          </w:p>
          <w:p w14:paraId="725CB729" w14:textId="2FAEDBC1" w:rsidR="00222409" w:rsidRPr="0097177C" w:rsidRDefault="008B303A" w:rsidP="0097177C">
            <w:pPr>
              <w:autoSpaceDE w:val="0"/>
              <w:autoSpaceDN w:val="0"/>
              <w:adjustRightInd w:val="0"/>
              <w:spacing w:before="120" w:after="120"/>
              <w:rPr>
                <w:rFonts w:ascii="Cambria" w:hAnsi="Cambria" w:cs="Arial"/>
                <w:b w:val="0"/>
                <w:noProof/>
                <w:szCs w:val="24"/>
                <w:lang w:val="sr-Latn-ME"/>
              </w:rPr>
            </w:pPr>
            <w:r w:rsidRPr="008B303A">
              <w:rPr>
                <w:rFonts w:ascii="Cambria" w:hAnsi="Cambria" w:cs="Arial"/>
                <w:b w:val="0"/>
                <w:noProof/>
                <w:szCs w:val="24"/>
                <w:lang w:val="sr-Latn-ME"/>
              </w:rPr>
              <w:t xml:space="preserve">Obaveza donošenja propisa proizilazi iz potrebe pune harmonizacije sa obavezujućim uredbama Evropske unije i predstavlja preduslov za napredak i zatvaranje Poglavlja 9 </w:t>
            </w:r>
            <w:r w:rsidR="000B7DE3">
              <w:rPr>
                <w:rFonts w:ascii="Cambria" w:hAnsi="Cambria" w:cs="Arial"/>
                <w:b w:val="0"/>
                <w:noProof/>
                <w:szCs w:val="24"/>
                <w:lang w:val="sr-Latn-ME"/>
              </w:rPr>
              <w:t>-</w:t>
            </w:r>
            <w:r w:rsidRPr="008B303A">
              <w:rPr>
                <w:rFonts w:ascii="Cambria" w:hAnsi="Cambria" w:cs="Arial"/>
                <w:b w:val="0"/>
                <w:noProof/>
                <w:szCs w:val="24"/>
                <w:lang w:val="sr-Latn-ME"/>
              </w:rPr>
              <w:t xml:space="preserve"> Finansijske usluge.</w:t>
            </w:r>
          </w:p>
        </w:tc>
      </w:tr>
      <w:tr w:rsidR="00282840" w:rsidRPr="00E54D7F" w14:paraId="7AA1ADA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FFC4A50" w14:textId="77777777" w:rsidR="00282840" w:rsidRPr="00E54D7F" w:rsidRDefault="00282840"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4</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Analiza uticaja</w:t>
            </w:r>
          </w:p>
          <w:p w14:paraId="5CBB8DAB"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 xml:space="preserve">a koga će i kako će najvjerovatnije uticati rješenja u propisu - </w:t>
            </w:r>
            <w:r w:rsidR="00067FCF"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abrojati pozitivne i negativne uticaje, direktne i indirektne</w:t>
            </w:r>
            <w:r w:rsidRPr="00E54D7F">
              <w:rPr>
                <w:rFonts w:ascii="Cambria" w:hAnsi="Cambria" w:cs="Arial"/>
                <w:noProof/>
                <w:color w:val="365F91" w:themeColor="accent1" w:themeShade="BF"/>
                <w:szCs w:val="24"/>
              </w:rPr>
              <w:t>.</w:t>
            </w:r>
          </w:p>
          <w:p w14:paraId="2236B237"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oje</w:t>
            </w:r>
            <w:r w:rsidR="00A07773" w:rsidRPr="00E54D7F">
              <w:rPr>
                <w:rFonts w:ascii="Cambria" w:hAnsi="Cambria" w:cs="Arial"/>
                <w:noProof/>
                <w:color w:val="365F91" w:themeColor="accent1" w:themeShade="BF"/>
                <w:szCs w:val="24"/>
              </w:rPr>
              <w:t xml:space="preserve"> troškove će primjena propisa </w:t>
            </w:r>
            <w:r w:rsidR="00067FCF" w:rsidRPr="00E54D7F">
              <w:rPr>
                <w:rFonts w:ascii="Cambria" w:hAnsi="Cambria" w:cs="Arial"/>
                <w:noProof/>
                <w:color w:val="365F91" w:themeColor="accent1" w:themeShade="BF"/>
                <w:szCs w:val="24"/>
              </w:rPr>
              <w:t>izazvati</w:t>
            </w:r>
            <w:r w:rsidR="00A07773" w:rsidRPr="00E54D7F">
              <w:rPr>
                <w:rFonts w:ascii="Cambria" w:hAnsi="Cambria" w:cs="Arial"/>
                <w:noProof/>
                <w:color w:val="365F91" w:themeColor="accent1" w:themeShade="BF"/>
                <w:szCs w:val="24"/>
              </w:rPr>
              <w:t xml:space="preserve"> građanima i privredi (naročito malim i srednjim preduzećima)</w:t>
            </w:r>
            <w:r w:rsidR="0000426F" w:rsidRPr="00E54D7F">
              <w:rPr>
                <w:rFonts w:ascii="Cambria" w:hAnsi="Cambria" w:cs="Arial"/>
                <w:noProof/>
                <w:color w:val="365F91" w:themeColor="accent1" w:themeShade="BF"/>
                <w:szCs w:val="24"/>
              </w:rPr>
              <w:t>.</w:t>
            </w:r>
          </w:p>
          <w:p w14:paraId="275F9A56"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pozitivne posljedice donošenja propisa opravdava</w:t>
            </w:r>
            <w:r w:rsidR="0000426F" w:rsidRPr="00E54D7F">
              <w:rPr>
                <w:rFonts w:ascii="Cambria" w:hAnsi="Cambria" w:cs="Arial"/>
                <w:noProof/>
                <w:color w:val="365F91" w:themeColor="accent1" w:themeShade="BF"/>
                <w:szCs w:val="24"/>
              </w:rPr>
              <w:t>ju troškove koje će on stvoriti.</w:t>
            </w:r>
          </w:p>
          <w:p w14:paraId="19B08B1E"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se propisom podržava stvaranje novih privrednih subjekata na tržištu i tržišna </w:t>
            </w:r>
            <w:r w:rsidR="001D0BF0" w:rsidRPr="00E54D7F">
              <w:rPr>
                <w:rFonts w:ascii="Cambria" w:hAnsi="Cambria" w:cs="Arial"/>
                <w:noProof/>
                <w:color w:val="365F91" w:themeColor="accent1" w:themeShade="BF"/>
                <w:szCs w:val="24"/>
              </w:rPr>
              <w:t>konkurencija</w:t>
            </w:r>
            <w:r w:rsidR="0000426F" w:rsidRPr="00E54D7F">
              <w:rPr>
                <w:rFonts w:ascii="Cambria" w:hAnsi="Cambria" w:cs="Arial"/>
                <w:noProof/>
                <w:color w:val="365F91" w:themeColor="accent1" w:themeShade="BF"/>
                <w:szCs w:val="24"/>
              </w:rPr>
              <w:t>.</w:t>
            </w:r>
          </w:p>
          <w:p w14:paraId="24D5C861"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U</w:t>
            </w:r>
            <w:r w:rsidR="001D0BF0" w:rsidRPr="00E54D7F">
              <w:rPr>
                <w:rFonts w:ascii="Cambria" w:hAnsi="Cambria" w:cs="Arial"/>
                <w:noProof/>
                <w:color w:val="365F91" w:themeColor="accent1" w:themeShade="BF"/>
                <w:szCs w:val="24"/>
              </w:rPr>
              <w:t>ključiti</w:t>
            </w:r>
            <w:r w:rsidR="00A07773" w:rsidRPr="00E54D7F">
              <w:rPr>
                <w:rFonts w:ascii="Cambria" w:hAnsi="Cambria" w:cs="Arial"/>
                <w:noProof/>
                <w:color w:val="365F91" w:themeColor="accent1" w:themeShade="BF"/>
                <w:szCs w:val="24"/>
              </w:rPr>
              <w:t xml:space="preserve"> procjenu administrativnih opterećenja i biznis barijera.</w:t>
            </w:r>
          </w:p>
          <w:p w14:paraId="3874F9D8" w14:textId="77777777" w:rsidR="00D27C82" w:rsidRPr="00E54D7F" w:rsidRDefault="00D27C82" w:rsidP="00D27C82">
            <w:pPr>
              <w:pStyle w:val="ListParagraph"/>
              <w:autoSpaceDE w:val="0"/>
              <w:autoSpaceDN w:val="0"/>
              <w:adjustRightInd w:val="0"/>
              <w:contextualSpacing/>
              <w:rPr>
                <w:rFonts w:ascii="Cambria" w:hAnsi="Cambria" w:cs="Arial"/>
                <w:noProof/>
                <w:color w:val="365F91" w:themeColor="accent1" w:themeShade="BF"/>
                <w:szCs w:val="24"/>
              </w:rPr>
            </w:pPr>
          </w:p>
        </w:tc>
      </w:tr>
      <w:tr w:rsidR="00282840" w:rsidRPr="00E54D7F" w14:paraId="5F9AA20D"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790E0BA" w14:textId="77777777" w:rsidR="004804BE" w:rsidRDefault="004804BE" w:rsidP="00E54D7F">
            <w:pPr>
              <w:autoSpaceDE w:val="0"/>
              <w:autoSpaceDN w:val="0"/>
              <w:adjustRightInd w:val="0"/>
              <w:spacing w:after="240"/>
              <w:rPr>
                <w:rFonts w:ascii="Cambria" w:hAnsi="Cambria" w:cs="Arial"/>
                <w:b w:val="0"/>
                <w:bCs/>
                <w:noProof/>
                <w:szCs w:val="24"/>
                <w:lang w:val="sr-Latn-CS"/>
              </w:rPr>
            </w:pPr>
            <w:r w:rsidRPr="004804BE">
              <w:rPr>
                <w:rFonts w:ascii="Cambria" w:hAnsi="Cambria" w:cs="Arial"/>
                <w:noProof/>
                <w:szCs w:val="24"/>
              </w:rPr>
              <w:lastRenderedPageBreak/>
              <w:t xml:space="preserve">Na koga će i kako će navjerovatnije uticati rješenja u propisu – nabrojati pozitivne i negativne uticaje, direktne i </w:t>
            </w:r>
            <w:r w:rsidR="008A7D2D">
              <w:rPr>
                <w:rFonts w:ascii="Cambria" w:hAnsi="Cambria" w:cs="Arial"/>
                <w:noProof/>
                <w:szCs w:val="24"/>
                <w:lang w:val="sr-Latn-CS"/>
              </w:rPr>
              <w:t>indirektne?</w:t>
            </w:r>
          </w:p>
          <w:p w14:paraId="1FA5F560"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Rješenja predložena u ovom zakonu imaće najizraženiji uticaj na subjekte na finansijskom tržištu, prije svega na izdavaoce obveznica, investitore, eksterne ocjenjivače, društva i institucije koje nude ili savjetuju finansijske proizvode, kao i na regulatora – Komisiju za tržište kapitala. Efekti su dominantno pozitivni, jer se ovim zakonom prvi put uvodi potpun, jasan i transparentan okvir za održivo finansiranje, usklađen sa najvišim standardima Evropske unije.</w:t>
            </w:r>
          </w:p>
          <w:p w14:paraId="3CC32D15" w14:textId="4CE1A22D"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Za izdavaoce obveznica</w:t>
            </w:r>
            <w:r w:rsidR="000B7DE3">
              <w:rPr>
                <w:rFonts w:ascii="Cambria" w:hAnsi="Cambria" w:cs="Arial"/>
                <w:b w:val="0"/>
                <w:bCs/>
                <w:noProof/>
                <w:szCs w:val="24"/>
                <w:lang w:val="sr-Latn-ME"/>
              </w:rPr>
              <w:t xml:space="preserve">, </w:t>
            </w:r>
            <w:r w:rsidRPr="008866AB">
              <w:rPr>
                <w:rFonts w:ascii="Cambria" w:hAnsi="Cambria" w:cs="Arial"/>
                <w:b w:val="0"/>
                <w:bCs/>
                <w:noProof/>
                <w:szCs w:val="24"/>
                <w:lang w:val="sr-Latn-ME"/>
              </w:rPr>
              <w:t>uključujući državu, jedinice lokalne samouprave i privatni sektor</w:t>
            </w:r>
            <w:r w:rsidR="000B7DE3">
              <w:rPr>
                <w:rFonts w:ascii="Cambria" w:hAnsi="Cambria" w:cs="Arial"/>
                <w:b w:val="0"/>
                <w:bCs/>
                <w:noProof/>
                <w:szCs w:val="24"/>
                <w:lang w:val="sr-Latn-ME"/>
              </w:rPr>
              <w:t xml:space="preserve">, </w:t>
            </w:r>
            <w:r w:rsidRPr="008866AB">
              <w:rPr>
                <w:rFonts w:ascii="Cambria" w:hAnsi="Cambria" w:cs="Arial"/>
                <w:b w:val="0"/>
                <w:bCs/>
                <w:noProof/>
                <w:szCs w:val="24"/>
                <w:lang w:val="sr-Latn-ME"/>
              </w:rPr>
              <w:t>zakon stvara mogućnost emitovanja evropskih zelenih obveznica prema prepoznatljivom evropskom standardu. Time se omogućava pristup široj bazi međunarodnih i institucionalnih investitora, povećava kredibilitet projekata i olakšava finansiranje aktivnosti koje doprinose zelenoj i energetskoj tranziciji. Jasno definisane obaveze u pogledu prospekata, izvještavanja i procjena povećavaju transparentnost i povjerenje u finansijske instrumente koji se plasiraju na tržište.</w:t>
            </w:r>
          </w:p>
          <w:p w14:paraId="26A543DD"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Investitori, kako profesionalni tako i mali, dobijaju značajnu korist zbog uvođenja obaveza objavljivanja detaljnih, pouzdanih i uporedivih informacija o održivosti finansijskih proizvoda. Ovo im omogućava donošenje informisanih odluka i smanjuje rizik od obmanjujućih praksi, uključujući greenwashing. Time se jača zaštita investitora i povećava stabilnost tržišta.</w:t>
            </w:r>
          </w:p>
          <w:p w14:paraId="2D2948D5"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Eksterni ocjenjivači takođe direktno osjećaju efekte zakona, kroz jasno propisane uslove za registraciju, metodologiju, nezavisnost i sprečavanje sukoba interesa. Ovaj okvir povećava profesionalne standarde i vjerodostojnost njihovog rada, te doprinosi stabilnosti tržišta održivog finansiranja.</w:t>
            </w:r>
          </w:p>
          <w:p w14:paraId="23DBDB2A"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Učesnici na finansijskom tržištu i finansijski savjetnici dobijaju precizne zahtjeve u pogledu objavljivanja podataka o održivosti, uključivanja rizika održivosti u procese savjetovanja i usklađivanja promotivnih materijala sa stvarnim informacijama. Ove obaveze unapređuju kvalitet usluga i doprinose većoj zaštiti krajnjih korisnika finansijskih proizvoda.</w:t>
            </w:r>
          </w:p>
          <w:p w14:paraId="44738E2F"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Zakon ima i važan indirektan uticaj na realni sektor i privredu. Kroz razvoj tržišta zelenih i održivih finansijskih instrumenata stvara se povoljan okvir za finansiranje ekološki značajnih projekata, čime se podstiče inovativnost, energetska efikasnost i konkurentnost crnogorskih kompanija. Ovaj proces doprinosi i ostvarivanju nacionalnih i međunarodnih klimatskih ciljeva.</w:t>
            </w:r>
          </w:p>
          <w:p w14:paraId="20227632"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Komisija za tržište kapitala dobija proširena i precizno definisana nadzorna ovlašćenja, što omogućava efikasnije praćenje poštovanja propisa, jačanje institucionalne kontrole i pravovremeno reagovanje u slučajevima nepravilnosti. Time se jača stabilnost, integritet i kvalitet regulatornog okvira.</w:t>
            </w:r>
          </w:p>
          <w:p w14:paraId="651D1CD3"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lastRenderedPageBreak/>
              <w:t>Iako pozitivni efekti preovladavaju, određeni subjekti mogu imati umjerene administrativne troškove. Izdavaoci, učesnici na finansijskom tržištu i eksterni ocjenjivači moraće da usklade svoje interne procedure, dokumentaciju i izvještavanje sa novim obavezama, što može iziskivati dodatne resurse. Ovi troškovi, međutim, predstavljaju uobičajen i proporcionalan zahtjev za primjenu evropskih standarda i značajno su manji od dugoročnih koristi koje nastaju uspostavljanjem transparentnog i pouzdanog okvira za održivo finansiranje.</w:t>
            </w:r>
          </w:p>
          <w:p w14:paraId="28E7C17E" w14:textId="77777777" w:rsidR="008866AB" w:rsidRPr="008866AB" w:rsidRDefault="008866AB" w:rsidP="008866AB">
            <w:pPr>
              <w:autoSpaceDE w:val="0"/>
              <w:autoSpaceDN w:val="0"/>
              <w:adjustRightInd w:val="0"/>
              <w:spacing w:after="240"/>
              <w:rPr>
                <w:rFonts w:ascii="Cambria" w:hAnsi="Cambria" w:cs="Arial"/>
                <w:b w:val="0"/>
                <w:bCs/>
                <w:noProof/>
                <w:szCs w:val="24"/>
                <w:lang w:val="sr-Latn-ME"/>
              </w:rPr>
            </w:pPr>
            <w:r w:rsidRPr="008866AB">
              <w:rPr>
                <w:rFonts w:ascii="Cambria" w:hAnsi="Cambria" w:cs="Arial"/>
                <w:b w:val="0"/>
                <w:bCs/>
                <w:noProof/>
                <w:szCs w:val="24"/>
                <w:lang w:val="sr-Latn-ME"/>
              </w:rPr>
              <w:t>Za krajnje korisnike finansijskih proizvoda i građane ne uvodi se nikakav teret, već se, naprotiv, povećava nivo zaštite kroz transparentnije informacije, jasnije standarde i veću pouzdanost proizvoda koji se nude kao „zeleni“ ili „održivi“.</w:t>
            </w:r>
          </w:p>
          <w:p w14:paraId="5DF6B565" w14:textId="77777777" w:rsidR="008866AB" w:rsidRPr="008866AB" w:rsidRDefault="008866AB" w:rsidP="008866AB">
            <w:pPr>
              <w:autoSpaceDE w:val="0"/>
              <w:autoSpaceDN w:val="0"/>
              <w:adjustRightInd w:val="0"/>
              <w:spacing w:after="240"/>
              <w:rPr>
                <w:rFonts w:ascii="Cambria" w:hAnsi="Cambria" w:cs="Arial"/>
                <w:noProof/>
                <w:szCs w:val="24"/>
                <w:lang w:val="sr-Latn-ME"/>
              </w:rPr>
            </w:pPr>
            <w:r w:rsidRPr="008866AB">
              <w:rPr>
                <w:rFonts w:ascii="Cambria" w:hAnsi="Cambria" w:cs="Arial"/>
                <w:b w:val="0"/>
                <w:bCs/>
                <w:noProof/>
                <w:szCs w:val="24"/>
                <w:lang w:val="sr-Latn-ME"/>
              </w:rPr>
              <w:t>Sveukupno, predloženi zakon ima pretežno pozitivan uticaj na tržište kapitala, institucije, privredu i građane, dok su potencijalne negativne posljedice ograničene, tehničke prirode i proporcionalne ciljevima koje zakon želi da ostvari.</w:t>
            </w:r>
          </w:p>
          <w:p w14:paraId="6852C99E" w14:textId="77777777" w:rsidR="004804BE" w:rsidRPr="008A7D2D" w:rsidRDefault="008A7D2D" w:rsidP="00E54D7F">
            <w:pPr>
              <w:autoSpaceDE w:val="0"/>
              <w:autoSpaceDN w:val="0"/>
              <w:adjustRightInd w:val="0"/>
              <w:spacing w:after="240"/>
              <w:rPr>
                <w:rFonts w:ascii="Cambria" w:hAnsi="Cambria" w:cs="Arial"/>
                <w:noProof/>
                <w:szCs w:val="24"/>
              </w:rPr>
            </w:pPr>
            <w:r w:rsidRPr="008A7D2D">
              <w:rPr>
                <w:rFonts w:ascii="Cambria" w:hAnsi="Cambria" w:cs="Arial"/>
                <w:noProof/>
                <w:szCs w:val="24"/>
              </w:rPr>
              <w:t>Koje troškove će primjena propisa izazvati građanima i privredi (naročito malim i srednjim preduzećima)?</w:t>
            </w:r>
          </w:p>
          <w:p w14:paraId="013AC952"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Primjena ovog zakona neće izazvati direktne troškove za građane, s obzirom na to da se njegova primjena odnosi na izdavaoce obveznica, učesnike na finansijskom tržištu, eksterne ocjenjivače i druge finansijske subjekte, dok građani kao investitori nemaju nikakve obavezne finansijske niti administrativne izdatke. Naprotiv, građani kao potencijalni investitori ostvaruju korist kroz poboljšanu transparentnost i pouzdanost informacija o finansijskim proizvodima, što smanjuje rizik od donošenja pogrešnih odluka i povećava zaštitu njihovih interesa.</w:t>
            </w:r>
          </w:p>
          <w:p w14:paraId="474A0EED"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Za privredu, uključujući i mala i srednja preduzeća koja bi mogla biti izdavaoci obveznica ili korisnici finansiranja, zakon može dovesti do određenih administrativnih i tehničkih troškova usklađivanja sa propisanim standardima. Izdavaoci zelenih obveznica imaće obavezu pripreme i objavljivanja sažetka prospekta, izvještaja o raspodjeli sredstava, procjena prije i nakon izdavanja, kao i izvještaja o uticaju, što može zahtijevati angažovanje stručnih lica ili eksternih konsultanata. Ovi troškovi su, međutim, sastavni dio međunarodno prihvaćenog standarda za emitovanje održivih obveznica i u skladu su sa praksama na tržištima Evropske unije.</w:t>
            </w:r>
          </w:p>
          <w:p w14:paraId="7F2B8684"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Eksterni ocjenjivači će snositi troškove vezane za postupak registracije kod Evropske agencije za nadzor hartija od vrijednosti (ESMA), kao i za usklađivanje metodologija, sistema internih kontrola i politika sprečavanja sukoba interesa. Ovi troškovi su proporcionalni prirodi njihove djelatnosti i predstavljaju uslove koji važe u svim državama članicama Evropske unije.</w:t>
            </w:r>
          </w:p>
          <w:p w14:paraId="43D47B40"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 xml:space="preserve">Učesnici na finansijskom tržištu, uključujući investiciona društva, društva za upravljanje fondovima, institucije profesionalne penzione štednje, pružaoce PEPP proizvoda i druge finansijske subjekte, imaće obavezu objavljivanja informacija o održivosti finansijskih proizvoda, usklađivanja promotivnih materijala i prilagođavanja internih politika </w:t>
            </w:r>
            <w:r w:rsidRPr="00995C63">
              <w:rPr>
                <w:rFonts w:ascii="Cambria" w:hAnsi="Cambria" w:cs="Arial"/>
                <w:b w:val="0"/>
                <w:bCs/>
                <w:noProof/>
                <w:szCs w:val="24"/>
                <w:lang w:val="sr-Latn-ME"/>
              </w:rPr>
              <w:lastRenderedPageBreak/>
              <w:t>upravljanja rizicima održivosti. Ove obaveze mogu zahtijevati određene operativne prilagodbe, ali se očekuje da budu umjerenog obima i u najvećoj mjeri integrisane u postojeće procese upravljanja rizicima i interne kontrole.</w:t>
            </w:r>
          </w:p>
          <w:p w14:paraId="4989257C"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Komisija za tržište kapitala neće nametati nove takse niti posebne finansijske obaveze koje bi teretile privredne subjekte van standardnih regulatornih naknada koje već postoje u skladu sa propisima o njenim naknadama. Nadzorne aktivnosti Komisije, iako obimnije, ne stvaraju dodatne troškove za privredu osim obaveze pravovremenog dostavljanja podataka i poštovanja zakonskih procedura.</w:t>
            </w:r>
          </w:p>
          <w:p w14:paraId="2D6FDAB8"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Sveukupno, troškovi primjene zakona za privredu su ograničeni, predvidivi i proporcionalni koristi koju donosi uspostavljanje transparentnog, prepoznatljivog i međunarodno kompatibilnog okvira za održivo finansiranje. Dugoročno, očekuje se da će mogućnost emitovanja zelenih obveznica, pristup širem krugu investitora i usklađivanje sa standardima EU smanjiti troškove finansiranja za privredne subjekte, uključujući mala i srednja preduzeća, te doprinijeti njihovoj konkurentnosti i održivom razvoju.</w:t>
            </w:r>
          </w:p>
          <w:p w14:paraId="5EF7453C" w14:textId="5E08E99B" w:rsidR="00B91197" w:rsidRPr="00AD4371" w:rsidRDefault="00AD4371" w:rsidP="00E54D7F">
            <w:pPr>
              <w:autoSpaceDE w:val="0"/>
              <w:autoSpaceDN w:val="0"/>
              <w:adjustRightInd w:val="0"/>
              <w:spacing w:after="240"/>
              <w:rPr>
                <w:rFonts w:ascii="Cambria" w:hAnsi="Cambria" w:cs="Arial"/>
                <w:noProof/>
                <w:szCs w:val="24"/>
                <w:lang w:val="sr-Latn-CS"/>
              </w:rPr>
            </w:pPr>
            <w:r w:rsidRPr="00AD4371">
              <w:rPr>
                <w:rFonts w:ascii="Cambria" w:hAnsi="Cambria" w:cs="Arial"/>
                <w:noProof/>
                <w:szCs w:val="24"/>
                <w:lang w:val="sr-Latn-CS"/>
              </w:rPr>
              <w:t>Da li pozitivne posljedice donošenja propisa opravdavaju troškove koje će on stvoriti?</w:t>
            </w:r>
          </w:p>
          <w:p w14:paraId="6E5A6813"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Pozitivne posljedice donošenja ovog zakona u potpunosti opravdavaju troškove koje će njegova primjena stvoriti izdavaocima, eksternim ocjenjivačima i drugim subjektima na finansijskom tržištu. Troškovi usklađivanja sa zakonom su ograničeni, predvidivi i u najvećoj mjeri administrativne prirode, dok koristi od uspostavljanja transparentnog, pouzdanog i međunarodno usklađenog okvira za održivo finansiranje imaju dugoročni i sistemski značaj.</w:t>
            </w:r>
          </w:p>
          <w:p w14:paraId="1D578CBA"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Zakon omogućava emitovanje zelenih obveznica u skladu sa standardima Evropske unije, povećava transparentnost finansijskih proizvoda, smanjuje rizik od obmanjujućih praksi (greenwashing) i jača zaštitu investitora. Time se unapređuje povjerenje na finansijskom tržištu, otvara pristup međunarodnim izvorima finansiranja i stvara uslov za privlačenje investicija u ekološki održive projekte.</w:t>
            </w:r>
          </w:p>
          <w:p w14:paraId="42BE7DBB" w14:textId="77777777"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Uvođenjem jasnih pravila o objavama, nadzoru, upotrebi taksonomije i registraciji eksternih ocjenjivača, crnogorski finansijski sektor postaje konkurentniji i kompatibilan sa praksama Evropske unije, što je posebno važno za dalji napredak u procesu pristupanja i zatvaranje poglavlja 9.</w:t>
            </w:r>
          </w:p>
          <w:p w14:paraId="20EA57B0" w14:textId="5B6C461F" w:rsidR="00995C63" w:rsidRPr="00995C63" w:rsidRDefault="00995C63" w:rsidP="00995C63">
            <w:pPr>
              <w:autoSpaceDE w:val="0"/>
              <w:autoSpaceDN w:val="0"/>
              <w:adjustRightInd w:val="0"/>
              <w:spacing w:after="240"/>
              <w:rPr>
                <w:rFonts w:ascii="Cambria" w:hAnsi="Cambria" w:cs="Arial"/>
                <w:b w:val="0"/>
                <w:bCs/>
                <w:noProof/>
                <w:szCs w:val="24"/>
                <w:lang w:val="sr-Latn-ME"/>
              </w:rPr>
            </w:pPr>
            <w:r w:rsidRPr="00995C63">
              <w:rPr>
                <w:rFonts w:ascii="Cambria" w:hAnsi="Cambria" w:cs="Arial"/>
                <w:b w:val="0"/>
                <w:bCs/>
                <w:noProof/>
                <w:szCs w:val="24"/>
                <w:lang w:val="sr-Latn-ME"/>
              </w:rPr>
              <w:t>Konačno, dugoročne koristi</w:t>
            </w:r>
            <w:r w:rsidR="000B7DE3">
              <w:rPr>
                <w:rFonts w:ascii="Cambria" w:hAnsi="Cambria" w:cs="Arial"/>
                <w:b w:val="0"/>
                <w:bCs/>
                <w:noProof/>
                <w:szCs w:val="24"/>
                <w:lang w:val="sr-Latn-ME"/>
              </w:rPr>
              <w:t xml:space="preserve"> </w:t>
            </w:r>
            <w:r w:rsidRPr="00995C63">
              <w:rPr>
                <w:rFonts w:ascii="Cambria" w:hAnsi="Cambria" w:cs="Arial"/>
                <w:b w:val="0"/>
                <w:bCs/>
                <w:noProof/>
                <w:szCs w:val="24"/>
                <w:lang w:val="sr-Latn-ME"/>
              </w:rPr>
              <w:t>poput jačanja održive ekonomije, kreiranja novih investicionih prilika i poboljšanja ukupne finansijske stabilnosti</w:t>
            </w:r>
            <w:r w:rsidR="00F732CC">
              <w:rPr>
                <w:rFonts w:ascii="Cambria" w:hAnsi="Cambria" w:cs="Arial"/>
                <w:b w:val="0"/>
                <w:bCs/>
                <w:noProof/>
                <w:szCs w:val="24"/>
                <w:lang w:val="sr-Latn-ME"/>
              </w:rPr>
              <w:t xml:space="preserve">, </w:t>
            </w:r>
            <w:r w:rsidRPr="00995C63">
              <w:rPr>
                <w:rFonts w:ascii="Cambria" w:hAnsi="Cambria" w:cs="Arial"/>
                <w:b w:val="0"/>
                <w:bCs/>
                <w:noProof/>
                <w:szCs w:val="24"/>
                <w:lang w:val="sr-Latn-ME"/>
              </w:rPr>
              <w:t>višestruko nadmašuju kratkoročne troškove usklađivanja za privredu.</w:t>
            </w:r>
          </w:p>
          <w:p w14:paraId="4CB4FD1D" w14:textId="77777777" w:rsidR="00AD4371" w:rsidRPr="00AD4371" w:rsidRDefault="00AD4371" w:rsidP="00E54D7F">
            <w:pPr>
              <w:autoSpaceDE w:val="0"/>
              <w:autoSpaceDN w:val="0"/>
              <w:adjustRightInd w:val="0"/>
              <w:spacing w:after="240"/>
              <w:rPr>
                <w:rFonts w:ascii="Cambria" w:hAnsi="Cambria" w:cs="Arial"/>
                <w:noProof/>
                <w:color w:val="365F91" w:themeColor="accent1" w:themeShade="BF"/>
                <w:szCs w:val="24"/>
              </w:rPr>
            </w:pPr>
            <w:r w:rsidRPr="00AD4371">
              <w:rPr>
                <w:rFonts w:ascii="Cambria" w:hAnsi="Cambria" w:cs="Arial"/>
                <w:noProof/>
                <w:color w:val="000000" w:themeColor="text1"/>
                <w:szCs w:val="24"/>
              </w:rPr>
              <w:t>Da li se propisom podržava stvaranje novih privrednih subjekata na tržištu i tržišna konkurencija?</w:t>
            </w:r>
          </w:p>
          <w:p w14:paraId="565F268A" w14:textId="67D53174" w:rsidR="000F04EB" w:rsidRDefault="00B971D2" w:rsidP="001D660B">
            <w:pPr>
              <w:autoSpaceDE w:val="0"/>
              <w:autoSpaceDN w:val="0"/>
              <w:adjustRightInd w:val="0"/>
              <w:spacing w:after="240"/>
              <w:rPr>
                <w:rFonts w:ascii="Cambria" w:hAnsi="Cambria" w:cs="Arial"/>
                <w:b w:val="0"/>
                <w:noProof/>
                <w:szCs w:val="24"/>
              </w:rPr>
            </w:pPr>
            <w:r w:rsidRPr="00B971D2">
              <w:rPr>
                <w:rFonts w:ascii="Cambria" w:hAnsi="Cambria" w:cs="Arial"/>
                <w:b w:val="0"/>
                <w:bCs/>
                <w:noProof/>
                <w:szCs w:val="24"/>
              </w:rPr>
              <w:t xml:space="preserve">Predloženim zakonom se podstiče stvaranje novih privrednih subjekata na finansijskom tržištu, posebno eksternih ocjenjivača usklađenosti, kao i rast broja izdavalaca koji mogu </w:t>
            </w:r>
            <w:r w:rsidRPr="00B971D2">
              <w:rPr>
                <w:rFonts w:ascii="Cambria" w:hAnsi="Cambria" w:cs="Arial"/>
                <w:b w:val="0"/>
                <w:bCs/>
                <w:noProof/>
                <w:szCs w:val="24"/>
              </w:rPr>
              <w:lastRenderedPageBreak/>
              <w:t>emitovati zelene i održive obveznice u skladu sa EU standardima. Time se otvara prostor za veću tržišnu konkurenciju, unapređenje kvaliteta usluga i razvoj održivih finansijskih proizvoda, što doprinosi modernizaciji i dinamizaciji finansijskog tržišta u Crnoj Gori.</w:t>
            </w:r>
          </w:p>
          <w:p w14:paraId="1B565048" w14:textId="77777777" w:rsidR="00AD4371" w:rsidRPr="00AD4371" w:rsidRDefault="00AD4371" w:rsidP="001D660B">
            <w:pPr>
              <w:autoSpaceDE w:val="0"/>
              <w:autoSpaceDN w:val="0"/>
              <w:adjustRightInd w:val="0"/>
              <w:spacing w:after="240"/>
              <w:rPr>
                <w:rFonts w:ascii="Cambria" w:hAnsi="Cambria" w:cs="Arial"/>
                <w:noProof/>
                <w:szCs w:val="24"/>
              </w:rPr>
            </w:pPr>
            <w:r w:rsidRPr="00AD4371">
              <w:rPr>
                <w:rFonts w:ascii="Cambria" w:hAnsi="Cambria" w:cs="Arial"/>
                <w:noProof/>
                <w:szCs w:val="24"/>
              </w:rPr>
              <w:t>Uključiti procjenu administrativnih opterećenja i biznis barijera</w:t>
            </w:r>
          </w:p>
          <w:p w14:paraId="006ECDA8" w14:textId="77777777" w:rsidR="004941B0" w:rsidRPr="004941B0" w:rsidRDefault="004941B0" w:rsidP="004941B0">
            <w:pPr>
              <w:autoSpaceDE w:val="0"/>
              <w:autoSpaceDN w:val="0"/>
              <w:adjustRightInd w:val="0"/>
              <w:spacing w:after="240"/>
              <w:rPr>
                <w:rFonts w:ascii="Cambria" w:hAnsi="Cambria" w:cs="Arial"/>
                <w:b w:val="0"/>
                <w:bCs/>
                <w:noProof/>
                <w:szCs w:val="24"/>
                <w:lang w:val="sr-Latn-ME"/>
              </w:rPr>
            </w:pPr>
            <w:r w:rsidRPr="004941B0">
              <w:rPr>
                <w:rFonts w:ascii="Cambria" w:hAnsi="Cambria" w:cs="Arial"/>
                <w:b w:val="0"/>
                <w:bCs/>
                <w:noProof/>
                <w:szCs w:val="24"/>
                <w:lang w:val="sr-Latn-ME"/>
              </w:rPr>
              <w:t>Primjena ovog zakona ne stvara značajna administrativna opterećenja za privredne subjekte. Obaveze izdavalaca, eksternih ocjenjivača i učesnika na finansijskom tržištu uglavnom se odnose na pripremu i objavljivanje informacija o održivosti, izvještaja i procjena, što su standardne prakse usklađene sa regulativom Evropske unije.</w:t>
            </w:r>
          </w:p>
          <w:p w14:paraId="35D4558A" w14:textId="77777777" w:rsidR="004941B0" w:rsidRPr="004941B0" w:rsidRDefault="004941B0" w:rsidP="004941B0">
            <w:pPr>
              <w:autoSpaceDE w:val="0"/>
              <w:autoSpaceDN w:val="0"/>
              <w:adjustRightInd w:val="0"/>
              <w:spacing w:after="240"/>
              <w:rPr>
                <w:rFonts w:ascii="Cambria" w:hAnsi="Cambria" w:cs="Arial"/>
                <w:b w:val="0"/>
                <w:bCs/>
                <w:noProof/>
                <w:szCs w:val="24"/>
                <w:lang w:val="sr-Latn-ME"/>
              </w:rPr>
            </w:pPr>
            <w:r w:rsidRPr="004941B0">
              <w:rPr>
                <w:rFonts w:ascii="Cambria" w:hAnsi="Cambria" w:cs="Arial"/>
                <w:b w:val="0"/>
                <w:bCs/>
                <w:noProof/>
                <w:szCs w:val="24"/>
                <w:lang w:val="sr-Latn-ME"/>
              </w:rPr>
              <w:t>Određeni nivo administrativnog opterećenja može nastati u dijelu dostavljanja podataka i komunikacije sa Komisijom za tržište kapitala, ali ove obaveze su neophodne za obezbjeđivanje transparentnosti i zaštitu investitora. Komisija za tržište kapitala može imati povećan obim posla u dijelu nadzora, ali se ne očekuju značajniji dodatni kapaciteti niti veći troškovi.</w:t>
            </w:r>
          </w:p>
          <w:p w14:paraId="4EF672B0" w14:textId="6D84F354" w:rsidR="00D34EE9" w:rsidRPr="004941B0" w:rsidRDefault="004941B0" w:rsidP="001D660B">
            <w:pPr>
              <w:autoSpaceDE w:val="0"/>
              <w:autoSpaceDN w:val="0"/>
              <w:adjustRightInd w:val="0"/>
              <w:spacing w:after="240"/>
              <w:rPr>
                <w:rFonts w:ascii="Cambria" w:hAnsi="Cambria" w:cs="Arial"/>
                <w:b w:val="0"/>
                <w:bCs/>
                <w:noProof/>
                <w:szCs w:val="24"/>
                <w:lang w:val="sr-Latn-ME"/>
              </w:rPr>
            </w:pPr>
            <w:r w:rsidRPr="004941B0">
              <w:rPr>
                <w:rFonts w:ascii="Cambria" w:hAnsi="Cambria" w:cs="Arial"/>
                <w:b w:val="0"/>
                <w:bCs/>
                <w:noProof/>
                <w:szCs w:val="24"/>
                <w:lang w:val="sr-Latn-ME"/>
              </w:rPr>
              <w:t>Zakon ne uvodi nikakve biznis barijere. Naprotiv, omogućava emitovanje zelenih i održivih obveznica u skladu sa međunarodnim standardima, otvara tržište eksternim ocjenjivačima i podstiče konkurenciju, čime se stvaraju dodatne poslovne prilike i smanjuju prepreke za pristup tržištu održivog finansiranja.</w:t>
            </w:r>
          </w:p>
        </w:tc>
      </w:tr>
      <w:tr w:rsidR="00702CFF" w:rsidRPr="00E54D7F" w14:paraId="70F2B126"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A47BDF0" w14:textId="77777777" w:rsidR="00673F68" w:rsidRPr="00E54D7F" w:rsidRDefault="00673F68" w:rsidP="00673F68">
            <w:pPr>
              <w:autoSpaceDE w:val="0"/>
              <w:autoSpaceDN w:val="0"/>
              <w:adjustRightInd w:val="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lastRenderedPageBreak/>
              <w:t>5</w:t>
            </w:r>
            <w:r w:rsidR="001D0BF0" w:rsidRPr="00E54D7F">
              <w:rPr>
                <w:rFonts w:ascii="Cambria" w:hAnsi="Cambria" w:cs="Arial"/>
                <w:noProof/>
                <w:color w:val="365F91" w:themeColor="accent1" w:themeShade="BF"/>
                <w:szCs w:val="24"/>
              </w:rPr>
              <w:t>.</w:t>
            </w:r>
            <w:r w:rsidR="00702CFF" w:rsidRPr="00E54D7F">
              <w:rPr>
                <w:rFonts w:ascii="Cambria" w:hAnsi="Cambria" w:cs="Arial"/>
                <w:noProof/>
                <w:color w:val="365F91" w:themeColor="accent1" w:themeShade="BF"/>
                <w:szCs w:val="24"/>
              </w:rPr>
              <w:t xml:space="preserve"> </w:t>
            </w:r>
            <w:r w:rsidRPr="00E54D7F">
              <w:rPr>
                <w:rFonts w:ascii="Cambria" w:hAnsi="Cambria" w:cs="Arial"/>
                <w:noProof/>
                <w:color w:val="365F91" w:themeColor="accent1" w:themeShade="BF"/>
                <w:szCs w:val="24"/>
              </w:rPr>
              <w:t>Procjena fiskalnog uticaja</w:t>
            </w:r>
          </w:p>
          <w:p w14:paraId="3D4E8BA3"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je potrebno obezbjeđenje finansijskih sredstava</w:t>
            </w:r>
            <w:r w:rsidR="00972845" w:rsidRPr="00E54D7F">
              <w:rPr>
                <w:rFonts w:ascii="Cambria" w:hAnsi="Cambria" w:cs="Arial"/>
                <w:noProof/>
                <w:color w:val="365F91" w:themeColor="accent1" w:themeShade="BF"/>
                <w:szCs w:val="24"/>
              </w:rPr>
              <w:t xml:space="preserve"> iz budžeta Crne Gore</w:t>
            </w:r>
            <w:r w:rsidR="00A07773" w:rsidRPr="00E54D7F">
              <w:rPr>
                <w:rFonts w:ascii="Cambria" w:hAnsi="Cambria" w:cs="Arial"/>
                <w:noProof/>
                <w:color w:val="365F91" w:themeColor="accent1" w:themeShade="BF"/>
                <w:szCs w:val="24"/>
              </w:rPr>
              <w:t xml:space="preserve"> za impleme</w:t>
            </w:r>
            <w:r w:rsidR="0000426F" w:rsidRPr="00E54D7F">
              <w:rPr>
                <w:rFonts w:ascii="Cambria" w:hAnsi="Cambria" w:cs="Arial"/>
                <w:noProof/>
                <w:color w:val="365F91" w:themeColor="accent1" w:themeShade="BF"/>
                <w:szCs w:val="24"/>
              </w:rPr>
              <w:t>ntaciju propisa i u kom iznosu?</w:t>
            </w:r>
          </w:p>
          <w:p w14:paraId="094FB1D4"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je obezbjeđenje finansijskih sredstava jednokratno, ili tokom određenog vremenskog perioda? </w:t>
            </w:r>
            <w:r w:rsidR="00673F68" w:rsidRPr="00E54D7F">
              <w:rPr>
                <w:rFonts w:ascii="Cambria" w:hAnsi="Cambria" w:cs="Arial"/>
                <w:noProof/>
                <w:color w:val="365F91" w:themeColor="accent1" w:themeShade="BF"/>
                <w:szCs w:val="24"/>
              </w:rPr>
              <w:t xml:space="preserve"> Obrazložiti</w:t>
            </w:r>
            <w:r w:rsidR="0000426F" w:rsidRPr="00E54D7F">
              <w:rPr>
                <w:rFonts w:ascii="Cambria" w:hAnsi="Cambria" w:cs="Arial"/>
                <w:noProof/>
                <w:color w:val="365F91" w:themeColor="accent1" w:themeShade="BF"/>
                <w:szCs w:val="24"/>
              </w:rPr>
              <w:t>.</w:t>
            </w:r>
          </w:p>
          <w:p w14:paraId="5165BBAD"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implementacijom propisa proizilaze međunarodne finansijske obaveze</w:t>
            </w:r>
            <w:r w:rsidR="0000426F" w:rsidRPr="00E54D7F">
              <w:rPr>
                <w:rFonts w:ascii="Cambria" w:hAnsi="Cambria" w:cs="Arial"/>
                <w:noProof/>
                <w:color w:val="365F91" w:themeColor="accent1" w:themeShade="BF"/>
                <w:szCs w:val="24"/>
              </w:rPr>
              <w:t>? Obrazložiti.</w:t>
            </w:r>
          </w:p>
          <w:p w14:paraId="46DDB563"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su neophodna finansijska sredstva obezbijeđena u budžetu za tekuću fiskalnu godinu, odnosno da li su planirana u bud</w:t>
            </w:r>
            <w:r w:rsidR="0000426F" w:rsidRPr="00E54D7F">
              <w:rPr>
                <w:rFonts w:ascii="Cambria" w:hAnsi="Cambria" w:cs="Arial"/>
                <w:noProof/>
                <w:color w:val="365F91" w:themeColor="accent1" w:themeShade="BF"/>
                <w:szCs w:val="24"/>
              </w:rPr>
              <w:t>žetu za narednu fiskanu godinu?</w:t>
            </w:r>
          </w:p>
          <w:p w14:paraId="42847320"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je usvajanjem propisa predviđeno donošenje podzakonskih akata iz kojih će proisteći finansijske obaveze?</w:t>
            </w:r>
          </w:p>
          <w:p w14:paraId="6E417C7F"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će se implementacijom propisa ostvariti prihod za budžet Crne Gore?</w:t>
            </w:r>
          </w:p>
          <w:p w14:paraId="6152073A" w14:textId="77777777" w:rsidR="00A07773" w:rsidRPr="00E54D7F" w:rsidRDefault="00745B74" w:rsidP="00A07773">
            <w:pPr>
              <w:pStyle w:val="ListParagraph"/>
              <w:numPr>
                <w:ilvl w:val="0"/>
                <w:numId w:val="13"/>
              </w:numPr>
              <w:rPr>
                <w:rFonts w:ascii="Cambria" w:hAnsi="Cambria" w:cs="Arial"/>
                <w:noProof/>
                <w:color w:val="365F91" w:themeColor="accent1" w:themeShade="BF"/>
                <w:szCs w:val="24"/>
              </w:rPr>
            </w:pPr>
            <w:r>
              <w:rPr>
                <w:rFonts w:ascii="Cambria" w:hAnsi="Cambria" w:cs="Arial"/>
                <w:noProof/>
                <w:color w:val="365F91" w:themeColor="accent1" w:themeShade="BF"/>
                <w:szCs w:val="24"/>
              </w:rPr>
              <w:t>O</w:t>
            </w:r>
            <w:r w:rsidR="00A07773" w:rsidRPr="00E54D7F">
              <w:rPr>
                <w:rFonts w:ascii="Cambria" w:hAnsi="Cambria" w:cs="Arial"/>
                <w:noProof/>
                <w:color w:val="365F91" w:themeColor="accent1" w:themeShade="BF"/>
                <w:szCs w:val="24"/>
              </w:rPr>
              <w:t>brazložiti metodologiju koja je korišćenja prilikom obračun</w:t>
            </w:r>
            <w:r w:rsidR="0000426F" w:rsidRPr="00E54D7F">
              <w:rPr>
                <w:rFonts w:ascii="Cambria" w:hAnsi="Cambria" w:cs="Arial"/>
                <w:noProof/>
                <w:color w:val="365F91" w:themeColor="accent1" w:themeShade="BF"/>
                <w:szCs w:val="24"/>
              </w:rPr>
              <w:t>a finansijskih izdataka/prihoda.</w:t>
            </w:r>
          </w:p>
          <w:p w14:paraId="22EC15E9"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su postojali problemi u preciznom obračunu finansijskih izdataka/prihoda? Obrazložiti</w:t>
            </w:r>
            <w:r w:rsidR="0000426F" w:rsidRPr="00E54D7F">
              <w:rPr>
                <w:rFonts w:ascii="Cambria" w:hAnsi="Cambria" w:cs="Arial"/>
                <w:noProof/>
                <w:color w:val="365F91" w:themeColor="accent1" w:themeShade="BF"/>
                <w:szCs w:val="24"/>
              </w:rPr>
              <w:t>.</w:t>
            </w:r>
          </w:p>
          <w:p w14:paraId="56115D51"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su postojale sugestije Ministarstva finansija </w:t>
            </w:r>
            <w:r w:rsidR="00A265F9" w:rsidRPr="00E54D7F">
              <w:rPr>
                <w:rFonts w:ascii="Cambria" w:hAnsi="Cambria" w:cs="Arial"/>
                <w:noProof/>
                <w:color w:val="365F91" w:themeColor="accent1" w:themeShade="BF"/>
                <w:szCs w:val="24"/>
              </w:rPr>
              <w:t>na nac</w:t>
            </w:r>
            <w:r w:rsidR="00736E8D" w:rsidRPr="00E54D7F">
              <w:rPr>
                <w:rFonts w:ascii="Cambria" w:hAnsi="Cambria" w:cs="Arial"/>
                <w:noProof/>
                <w:color w:val="365F91" w:themeColor="accent1" w:themeShade="BF"/>
                <w:szCs w:val="24"/>
              </w:rPr>
              <w:t>r</w:t>
            </w:r>
            <w:r w:rsidR="00A265F9" w:rsidRPr="00E54D7F">
              <w:rPr>
                <w:rFonts w:ascii="Cambria" w:hAnsi="Cambria" w:cs="Arial"/>
                <w:noProof/>
                <w:color w:val="365F91" w:themeColor="accent1" w:themeShade="BF"/>
                <w:szCs w:val="24"/>
              </w:rPr>
              <w:t>t/</w:t>
            </w:r>
            <w:r w:rsidR="00A07773" w:rsidRPr="00E54D7F">
              <w:rPr>
                <w:rFonts w:ascii="Cambria" w:hAnsi="Cambria" w:cs="Arial"/>
                <w:noProof/>
                <w:color w:val="365F91" w:themeColor="accent1" w:themeShade="BF"/>
                <w:szCs w:val="24"/>
              </w:rPr>
              <w:t>predlog propisa?</w:t>
            </w:r>
          </w:p>
          <w:p w14:paraId="7335C5D0" w14:textId="77777777" w:rsidR="00A07773" w:rsidRPr="00E54D7F" w:rsidRDefault="00D06D2A" w:rsidP="0000426F">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su dobijene primjedbe </w:t>
            </w:r>
            <w:r w:rsidR="0000426F" w:rsidRPr="00E54D7F">
              <w:rPr>
                <w:rFonts w:ascii="Cambria" w:hAnsi="Cambria" w:cs="Arial"/>
                <w:noProof/>
                <w:color w:val="365F91" w:themeColor="accent1" w:themeShade="BF"/>
                <w:szCs w:val="24"/>
              </w:rPr>
              <w:t>uključene</w:t>
            </w:r>
            <w:r w:rsidR="00A07773" w:rsidRPr="00E54D7F">
              <w:rPr>
                <w:rFonts w:ascii="Cambria" w:hAnsi="Cambria" w:cs="Arial"/>
                <w:noProof/>
                <w:color w:val="365F91" w:themeColor="accent1" w:themeShade="BF"/>
                <w:szCs w:val="24"/>
              </w:rPr>
              <w:t xml:space="preserve"> u tekst propisa? Obrazložiti.</w:t>
            </w:r>
          </w:p>
        </w:tc>
      </w:tr>
      <w:tr w:rsidR="00702CFF" w:rsidRPr="00E54D7F" w14:paraId="576022D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982F0EC" w14:textId="77777777" w:rsidR="00745B74" w:rsidRP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je potrebno obezbjeđenje finansijskih sredstava iz budžeta Crne Gore za implementaciju propisa i u kom iznosu?</w:t>
            </w:r>
          </w:p>
          <w:p w14:paraId="1F6159CA" w14:textId="77777777" w:rsidR="00745B74" w:rsidRDefault="00E811AB"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lastRenderedPageBreak/>
              <w:t xml:space="preserve">Zа </w:t>
            </w:r>
            <w:r w:rsidR="00C80735" w:rsidRPr="00E54D7F">
              <w:rPr>
                <w:rFonts w:ascii="Cambria" w:hAnsi="Cambria" w:cs="Arial"/>
                <w:b w:val="0"/>
                <w:iCs/>
                <w:noProof/>
                <w:szCs w:val="24"/>
              </w:rPr>
              <w:t>implementaciju ovog propisa</w:t>
            </w:r>
            <w:r w:rsidRPr="00E54D7F">
              <w:rPr>
                <w:rFonts w:ascii="Cambria" w:hAnsi="Cambria" w:cs="Arial"/>
                <w:b w:val="0"/>
                <w:iCs/>
                <w:noProof/>
                <w:szCs w:val="24"/>
              </w:rPr>
              <w:t xml:space="preserve"> nije potrebno obezbijediti dodаtnа finаnsijs</w:t>
            </w:r>
            <w:r w:rsidR="00C80735" w:rsidRPr="00E54D7F">
              <w:rPr>
                <w:rFonts w:ascii="Cambria" w:hAnsi="Cambria" w:cs="Arial"/>
                <w:b w:val="0"/>
                <w:iCs/>
                <w:noProof/>
                <w:szCs w:val="24"/>
              </w:rPr>
              <w:t>kа sredstvа u budžetu Crne Gore</w:t>
            </w:r>
            <w:r w:rsidR="00745B74">
              <w:rPr>
                <w:rFonts w:ascii="Cambria" w:hAnsi="Cambria" w:cs="Arial"/>
                <w:b w:val="0"/>
                <w:iCs/>
                <w:noProof/>
                <w:szCs w:val="24"/>
              </w:rPr>
              <w:t>.</w:t>
            </w:r>
          </w:p>
          <w:p w14:paraId="74BE5BDE" w14:textId="77777777" w:rsidR="00745B74" w:rsidRP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je obezbjeđenje finansijskih sredstava jednokratno, ili tokom određenog vremenskog perioda?  Obrazložiti.</w:t>
            </w:r>
          </w:p>
          <w:p w14:paraId="45D74A69" w14:textId="77777777" w:rsidR="00745B74" w:rsidRDefault="00745B74"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t>Zа implementaciju ovog propisa nije potrebno obezbijediti dodаtnа finаnsijskа sredstvа u budžetu Crne Gore</w:t>
            </w:r>
            <w:r>
              <w:rPr>
                <w:rFonts w:ascii="Cambria" w:hAnsi="Cambria" w:cs="Arial"/>
                <w:b w:val="0"/>
                <w:iCs/>
                <w:noProof/>
                <w:szCs w:val="24"/>
              </w:rPr>
              <w:t>.</w:t>
            </w:r>
          </w:p>
          <w:p w14:paraId="6F4E743C" w14:textId="77777777" w:rsid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implementacijom propisa proizilaze međunarodne finansijske obaveze? Obrazložiti.</w:t>
            </w:r>
          </w:p>
          <w:p w14:paraId="2FCE16B0" w14:textId="77777777" w:rsidR="00745B74" w:rsidRPr="00745B74" w:rsidRDefault="00745B74" w:rsidP="00E54D7F">
            <w:pPr>
              <w:autoSpaceDE w:val="0"/>
              <w:autoSpaceDN w:val="0"/>
              <w:adjustRightInd w:val="0"/>
              <w:spacing w:after="240"/>
              <w:rPr>
                <w:rFonts w:ascii="Cambria" w:hAnsi="Cambria" w:cs="Arial"/>
                <w:b w:val="0"/>
                <w:iCs/>
                <w:noProof/>
                <w:szCs w:val="24"/>
              </w:rPr>
            </w:pPr>
            <w:r>
              <w:rPr>
                <w:rFonts w:ascii="Cambria" w:hAnsi="Cambria" w:cs="Arial"/>
                <w:b w:val="0"/>
                <w:iCs/>
                <w:noProof/>
                <w:szCs w:val="24"/>
              </w:rPr>
              <w:t>Implementacijom ovog propisa ne proizilaze međunarodne finansijske obaveze.</w:t>
            </w:r>
          </w:p>
          <w:p w14:paraId="10491F34" w14:textId="77777777" w:rsidR="00745B74" w:rsidRP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su neophodna finansijska sredstva obezbijeđena u budžetu za tekuću fiskalnu godinu, odnosno da li su planirana u budžetu za narednu fiskanu godinu?</w:t>
            </w:r>
          </w:p>
          <w:p w14:paraId="603EC962" w14:textId="77777777" w:rsidR="00745B74" w:rsidRDefault="00745B74"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t>Zа implementaciju ovog propisa nije potrebno obezbijediti dodаtnа finаnsijskа sredstvа u budžetu Crne Gore</w:t>
            </w:r>
            <w:r>
              <w:rPr>
                <w:rFonts w:ascii="Cambria" w:hAnsi="Cambria" w:cs="Arial"/>
                <w:b w:val="0"/>
                <w:iCs/>
                <w:noProof/>
                <w:szCs w:val="24"/>
              </w:rPr>
              <w:t>.</w:t>
            </w:r>
          </w:p>
          <w:p w14:paraId="63C096FB" w14:textId="77777777" w:rsidR="00745B74" w:rsidRP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je usvajanjem propisa predviđeno donošenje podzakonskih akata iz kojih će proisteći finansijske obaveze?</w:t>
            </w:r>
          </w:p>
          <w:p w14:paraId="6E6D07FA" w14:textId="77777777" w:rsidR="00745B74" w:rsidRDefault="00745B74" w:rsidP="00E54D7F">
            <w:pPr>
              <w:autoSpaceDE w:val="0"/>
              <w:autoSpaceDN w:val="0"/>
              <w:adjustRightInd w:val="0"/>
              <w:spacing w:after="240"/>
              <w:rPr>
                <w:rFonts w:ascii="Cambria" w:hAnsi="Cambria" w:cs="Arial"/>
                <w:b w:val="0"/>
                <w:iCs/>
                <w:noProof/>
                <w:szCs w:val="24"/>
              </w:rPr>
            </w:pPr>
            <w:r>
              <w:rPr>
                <w:rFonts w:ascii="Cambria" w:hAnsi="Cambria" w:cs="Arial"/>
                <w:b w:val="0"/>
                <w:iCs/>
                <w:noProof/>
                <w:szCs w:val="24"/>
              </w:rPr>
              <w:t xml:space="preserve">Usvajanjem propisa nije predviđeno </w:t>
            </w:r>
            <w:r w:rsidRPr="00745B74">
              <w:rPr>
                <w:rFonts w:ascii="Cambria" w:hAnsi="Cambria" w:cs="Arial"/>
                <w:b w:val="0"/>
                <w:iCs/>
                <w:noProof/>
                <w:szCs w:val="24"/>
              </w:rPr>
              <w:t>donošenje podzakonskih akata iz kojih će proisteći finansijske obaveze</w:t>
            </w:r>
            <w:r>
              <w:rPr>
                <w:rFonts w:ascii="Cambria" w:hAnsi="Cambria" w:cs="Arial"/>
                <w:b w:val="0"/>
                <w:iCs/>
                <w:noProof/>
                <w:szCs w:val="24"/>
              </w:rPr>
              <w:t>.</w:t>
            </w:r>
          </w:p>
          <w:p w14:paraId="67D7F821" w14:textId="77777777" w:rsid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će se implementacijom propisa ostvariti prihod za budžet Crne Gore?</w:t>
            </w:r>
          </w:p>
          <w:p w14:paraId="635702FF" w14:textId="77777777" w:rsidR="00702CFF" w:rsidRDefault="00293B9E"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t>Implementacijom propisa ne</w:t>
            </w:r>
            <w:r w:rsidR="00071756" w:rsidRPr="00E54D7F">
              <w:rPr>
                <w:rFonts w:ascii="Cambria" w:hAnsi="Cambria" w:cs="Arial"/>
                <w:b w:val="0"/>
                <w:iCs/>
                <w:noProof/>
                <w:szCs w:val="24"/>
              </w:rPr>
              <w:t>će se direktno ostvariti prihod</w:t>
            </w:r>
            <w:r w:rsidRPr="00E54D7F">
              <w:rPr>
                <w:rFonts w:ascii="Cambria" w:hAnsi="Cambria" w:cs="Arial"/>
                <w:b w:val="0"/>
                <w:iCs/>
                <w:noProof/>
                <w:szCs w:val="24"/>
              </w:rPr>
              <w:t xml:space="preserve"> za budžet Crne Gore</w:t>
            </w:r>
            <w:r w:rsidR="00CD2A63" w:rsidRPr="00E54D7F">
              <w:rPr>
                <w:rFonts w:ascii="Cambria" w:hAnsi="Cambria" w:cs="Arial"/>
                <w:b w:val="0"/>
                <w:iCs/>
                <w:noProof/>
                <w:szCs w:val="24"/>
              </w:rPr>
              <w:t>.</w:t>
            </w:r>
          </w:p>
          <w:p w14:paraId="1C1AD7E4" w14:textId="77777777" w:rsid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Obrazložiti metodologiju koja je korišćenja prilikom obračuna finansijskih izdataka/prihoda.</w:t>
            </w:r>
          </w:p>
          <w:p w14:paraId="4CD904D8" w14:textId="77777777" w:rsidR="00745B74" w:rsidRDefault="009E19CE" w:rsidP="00E54D7F">
            <w:pPr>
              <w:autoSpaceDE w:val="0"/>
              <w:autoSpaceDN w:val="0"/>
              <w:adjustRightInd w:val="0"/>
              <w:spacing w:after="240"/>
              <w:rPr>
                <w:rFonts w:ascii="Cambria" w:hAnsi="Cambria" w:cs="Arial"/>
                <w:iCs/>
                <w:noProof/>
                <w:szCs w:val="24"/>
              </w:rPr>
            </w:pPr>
            <w:r>
              <w:rPr>
                <w:rFonts w:ascii="Cambria" w:hAnsi="Cambria" w:cs="Arial"/>
                <w:b w:val="0"/>
                <w:iCs/>
                <w:noProof/>
                <w:szCs w:val="24"/>
              </w:rPr>
              <w:t>S obzirom da za</w:t>
            </w:r>
            <w:r w:rsidRPr="00E54D7F">
              <w:rPr>
                <w:rFonts w:ascii="Cambria" w:hAnsi="Cambria" w:cs="Arial"/>
                <w:b w:val="0"/>
                <w:iCs/>
                <w:noProof/>
                <w:szCs w:val="24"/>
              </w:rPr>
              <w:t xml:space="preserve"> implementaciju ovog propisa nije potrebno obezbijediti dodаtnа finаnsijskа sredstvа u budžetu Crne Gore</w:t>
            </w:r>
            <w:r>
              <w:rPr>
                <w:rFonts w:ascii="Cambria" w:hAnsi="Cambria" w:cs="Arial"/>
                <w:b w:val="0"/>
                <w:iCs/>
                <w:noProof/>
                <w:szCs w:val="24"/>
              </w:rPr>
              <w:t>, nije se vršio obračun finansijskih izdataka/prihoda.</w:t>
            </w:r>
          </w:p>
          <w:p w14:paraId="3C9BA318" w14:textId="77777777" w:rsidR="00745B74" w:rsidRDefault="00745B74" w:rsidP="00E54D7F">
            <w:pPr>
              <w:autoSpaceDE w:val="0"/>
              <w:autoSpaceDN w:val="0"/>
              <w:adjustRightInd w:val="0"/>
              <w:spacing w:after="240"/>
              <w:rPr>
                <w:rFonts w:ascii="Cambria" w:hAnsi="Cambria" w:cs="Arial"/>
                <w:iCs/>
                <w:noProof/>
                <w:szCs w:val="24"/>
              </w:rPr>
            </w:pPr>
            <w:r w:rsidRPr="00745B74">
              <w:rPr>
                <w:rFonts w:ascii="Cambria" w:hAnsi="Cambria" w:cs="Arial"/>
                <w:iCs/>
                <w:noProof/>
                <w:szCs w:val="24"/>
              </w:rPr>
              <w:t>Da li su postojali problemi u preciznom obračunu finansijskih izdataka/prihoda? Obrazložiti.</w:t>
            </w:r>
          </w:p>
          <w:p w14:paraId="2F973885" w14:textId="0397EB3F" w:rsidR="00745B74" w:rsidRPr="00745B74" w:rsidRDefault="009E19CE" w:rsidP="00E54D7F">
            <w:pPr>
              <w:autoSpaceDE w:val="0"/>
              <w:autoSpaceDN w:val="0"/>
              <w:adjustRightInd w:val="0"/>
              <w:spacing w:after="240"/>
              <w:rPr>
                <w:rFonts w:ascii="Cambria" w:hAnsi="Cambria" w:cs="Arial"/>
                <w:b w:val="0"/>
                <w:iCs/>
                <w:noProof/>
                <w:szCs w:val="24"/>
              </w:rPr>
            </w:pPr>
            <w:r>
              <w:rPr>
                <w:rFonts w:ascii="Cambria" w:hAnsi="Cambria" w:cs="Arial"/>
                <w:b w:val="0"/>
                <w:iCs/>
                <w:noProof/>
                <w:szCs w:val="24"/>
              </w:rPr>
              <w:t>Imajući u vidu da se nije radio obračun finansijskih izdataka/prihoda, jer za implementaciju ovog propisa nije potrebno obezbijediti dodatna finansijska sredstva u budžetu Crne Gore, nije moglo doći do problema obračuna.</w:t>
            </w:r>
          </w:p>
        </w:tc>
      </w:tr>
      <w:tr w:rsidR="00282840" w:rsidRPr="00E54D7F" w14:paraId="0A8882B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E25EB8D" w14:textId="77777777" w:rsidR="00282840" w:rsidRPr="00E54D7F" w:rsidRDefault="00673F68"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6</w:t>
            </w:r>
            <w:r w:rsidR="001D0BF0" w:rsidRPr="00E54D7F">
              <w:rPr>
                <w:rFonts w:ascii="Cambria" w:hAnsi="Cambria" w:cs="Arial"/>
                <w:noProof/>
                <w:color w:val="365F91" w:themeColor="accent1" w:themeShade="BF"/>
                <w:szCs w:val="24"/>
              </w:rPr>
              <w:t xml:space="preserve">. </w:t>
            </w:r>
            <w:r w:rsidR="00282840" w:rsidRPr="00E54D7F">
              <w:rPr>
                <w:rFonts w:ascii="Cambria" w:hAnsi="Cambria" w:cs="Arial"/>
                <w:b w:val="0"/>
                <w:noProof/>
                <w:color w:val="365F91" w:themeColor="accent1" w:themeShade="BF"/>
                <w:szCs w:val="24"/>
              </w:rPr>
              <w:t>K</w:t>
            </w:r>
            <w:r w:rsidR="00282840" w:rsidRPr="00E54D7F">
              <w:rPr>
                <w:rFonts w:ascii="Cambria" w:hAnsi="Cambria" w:cs="Arial"/>
                <w:noProof/>
                <w:color w:val="365F91" w:themeColor="accent1" w:themeShade="BF"/>
                <w:szCs w:val="24"/>
              </w:rPr>
              <w:t>onsultacije zainteresovanih strana</w:t>
            </w:r>
          </w:p>
          <w:p w14:paraId="2FCA3858" w14:textId="77777777" w:rsidR="00A07773" w:rsidRPr="00E54D7F" w:rsidRDefault="00A07773"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 xml:space="preserve">Naznačiti da li je korišćena eksterna </w:t>
            </w:r>
            <w:r w:rsidR="0000426F" w:rsidRPr="00E54D7F">
              <w:rPr>
                <w:rFonts w:ascii="Cambria" w:hAnsi="Cambria" w:cs="Arial"/>
                <w:noProof/>
                <w:color w:val="365F91" w:themeColor="accent1" w:themeShade="BF"/>
                <w:szCs w:val="24"/>
              </w:rPr>
              <w:t>ekspertska podrška</w:t>
            </w:r>
            <w:r w:rsidRPr="00E54D7F">
              <w:rPr>
                <w:rFonts w:ascii="Cambria" w:hAnsi="Cambria" w:cs="Arial"/>
                <w:noProof/>
                <w:color w:val="365F91" w:themeColor="accent1" w:themeShade="BF"/>
                <w:szCs w:val="24"/>
              </w:rPr>
              <w:t xml:space="preserve"> i ako da, kako</w:t>
            </w:r>
            <w:r w:rsidR="0000426F" w:rsidRPr="00E54D7F">
              <w:rPr>
                <w:rFonts w:ascii="Cambria" w:hAnsi="Cambria" w:cs="Arial"/>
                <w:noProof/>
                <w:color w:val="365F91" w:themeColor="accent1" w:themeShade="BF"/>
                <w:szCs w:val="24"/>
              </w:rPr>
              <w:t>.</w:t>
            </w:r>
          </w:p>
          <w:p w14:paraId="7BE063AD" w14:textId="77777777" w:rsidR="00A07773" w:rsidRPr="00E54D7F" w:rsidRDefault="001D0BF0"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aznačiti koje su grupe zainteresovanih strana konsultovane, u kojoj fazi RIA procesa i kako (javne ili ciljane konsultacije)</w:t>
            </w:r>
            <w:r w:rsidR="0000426F" w:rsidRPr="00E54D7F">
              <w:rPr>
                <w:rFonts w:ascii="Cambria" w:hAnsi="Cambria" w:cs="Arial"/>
                <w:noProof/>
                <w:color w:val="365F91" w:themeColor="accent1" w:themeShade="BF"/>
                <w:szCs w:val="24"/>
              </w:rPr>
              <w:t>.</w:t>
            </w:r>
          </w:p>
          <w:p w14:paraId="6A5CF0A3" w14:textId="77777777" w:rsidR="00A07773" w:rsidRPr="00E54D7F" w:rsidRDefault="001D0BF0" w:rsidP="00A07773">
            <w:pPr>
              <w:pStyle w:val="ListParagraph"/>
              <w:numPr>
                <w:ilvl w:val="0"/>
                <w:numId w:val="13"/>
              </w:numPr>
              <w:autoSpaceDE w:val="0"/>
              <w:autoSpaceDN w:val="0"/>
              <w:adjustRightInd w:val="0"/>
              <w:contextualSpacing/>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N</w:t>
            </w:r>
            <w:r w:rsidR="00A07773" w:rsidRPr="00E54D7F">
              <w:rPr>
                <w:rFonts w:ascii="Cambria" w:hAnsi="Cambria" w:cs="Arial"/>
                <w:noProof/>
                <w:color w:val="365F91" w:themeColor="accent1" w:themeShade="BF"/>
                <w:szCs w:val="24"/>
              </w:rPr>
              <w:t>aznačiti glavne rezultate</w:t>
            </w:r>
            <w:r w:rsidR="00D4308A" w:rsidRPr="00E54D7F">
              <w:rPr>
                <w:rFonts w:ascii="Cambria" w:hAnsi="Cambria" w:cs="Arial"/>
                <w:noProof/>
                <w:color w:val="365F91" w:themeColor="accent1" w:themeShade="BF"/>
                <w:szCs w:val="24"/>
              </w:rPr>
              <w:t xml:space="preserve"> konsultacija</w:t>
            </w:r>
            <w:r w:rsidR="00A07773" w:rsidRPr="00E54D7F">
              <w:rPr>
                <w:rFonts w:ascii="Cambria" w:hAnsi="Cambria" w:cs="Arial"/>
                <w:noProof/>
                <w:color w:val="365F91" w:themeColor="accent1" w:themeShade="BF"/>
                <w:szCs w:val="24"/>
              </w:rPr>
              <w:t xml:space="preserve">, i </w:t>
            </w:r>
            <w:r w:rsidR="00D4308A" w:rsidRPr="00E54D7F">
              <w:rPr>
                <w:rFonts w:ascii="Cambria" w:hAnsi="Cambria" w:cs="Arial"/>
                <w:noProof/>
                <w:color w:val="365F91" w:themeColor="accent1" w:themeShade="BF"/>
                <w:szCs w:val="24"/>
              </w:rPr>
              <w:t>koji su predlozi i sugestije zainteresovanih strana prihv</w:t>
            </w:r>
            <w:r w:rsidR="0000426F" w:rsidRPr="00E54D7F">
              <w:rPr>
                <w:rFonts w:ascii="Cambria" w:hAnsi="Cambria" w:cs="Arial"/>
                <w:noProof/>
                <w:color w:val="365F91" w:themeColor="accent1" w:themeShade="BF"/>
                <w:szCs w:val="24"/>
              </w:rPr>
              <w:t>aćeni odnosno nijesu prihvaćeni.</w:t>
            </w:r>
            <w:r w:rsidR="00D4308A" w:rsidRPr="00E54D7F">
              <w:rPr>
                <w:rFonts w:ascii="Cambria" w:hAnsi="Cambria" w:cs="Arial"/>
                <w:noProof/>
                <w:color w:val="365F91" w:themeColor="accent1" w:themeShade="BF"/>
                <w:szCs w:val="24"/>
              </w:rPr>
              <w:t xml:space="preserve"> Obrazložiti</w:t>
            </w:r>
            <w:r w:rsidR="0000426F" w:rsidRPr="00E54D7F">
              <w:rPr>
                <w:rFonts w:ascii="Cambria" w:hAnsi="Cambria" w:cs="Arial"/>
                <w:noProof/>
                <w:color w:val="365F91" w:themeColor="accent1" w:themeShade="BF"/>
                <w:szCs w:val="24"/>
              </w:rPr>
              <w:t>.</w:t>
            </w:r>
          </w:p>
        </w:tc>
      </w:tr>
      <w:tr w:rsidR="00282840" w:rsidRPr="00E54D7F" w14:paraId="44B30D99"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20C9196" w14:textId="77777777" w:rsidR="00261039" w:rsidRPr="00261039" w:rsidRDefault="00261039" w:rsidP="00BF4F22">
            <w:pPr>
              <w:autoSpaceDE w:val="0"/>
              <w:autoSpaceDN w:val="0"/>
              <w:adjustRightInd w:val="0"/>
              <w:spacing w:after="240"/>
              <w:rPr>
                <w:rFonts w:ascii="Cambria" w:hAnsi="Cambria" w:cs="Arial"/>
                <w:noProof/>
                <w:szCs w:val="24"/>
              </w:rPr>
            </w:pPr>
            <w:r w:rsidRPr="00261039">
              <w:rPr>
                <w:rFonts w:ascii="Cambria" w:hAnsi="Cambria" w:cs="Arial"/>
                <w:noProof/>
                <w:szCs w:val="24"/>
              </w:rPr>
              <w:lastRenderedPageBreak/>
              <w:t>Naznačiti da li je korišćena eksterna ekspertska podrška i ako da, kako.</w:t>
            </w:r>
          </w:p>
          <w:p w14:paraId="2739E3D0" w14:textId="5DCE47EF" w:rsidR="008E168D" w:rsidRDefault="000361A5" w:rsidP="00BF4F22">
            <w:pPr>
              <w:autoSpaceDE w:val="0"/>
              <w:autoSpaceDN w:val="0"/>
              <w:adjustRightInd w:val="0"/>
              <w:spacing w:after="240"/>
              <w:rPr>
                <w:rFonts w:ascii="Cambria" w:hAnsi="Cambria" w:cs="Arial"/>
                <w:b w:val="0"/>
                <w:noProof/>
                <w:szCs w:val="24"/>
              </w:rPr>
            </w:pPr>
            <w:r>
              <w:rPr>
                <w:rFonts w:ascii="Cambria" w:hAnsi="Cambria" w:cs="Arial"/>
                <w:b w:val="0"/>
                <w:noProof/>
                <w:szCs w:val="24"/>
              </w:rPr>
              <w:t>Nije korišćena eksterna ekspertska podrška.</w:t>
            </w:r>
          </w:p>
          <w:p w14:paraId="72E55E81" w14:textId="77777777" w:rsidR="007454AF" w:rsidRPr="007454AF" w:rsidRDefault="007454AF" w:rsidP="00BF4F22">
            <w:pPr>
              <w:autoSpaceDE w:val="0"/>
              <w:autoSpaceDN w:val="0"/>
              <w:adjustRightInd w:val="0"/>
              <w:spacing w:after="240"/>
              <w:rPr>
                <w:rFonts w:ascii="Cambria" w:hAnsi="Cambria" w:cs="Arial"/>
                <w:noProof/>
                <w:szCs w:val="24"/>
              </w:rPr>
            </w:pPr>
            <w:r w:rsidRPr="007454AF">
              <w:rPr>
                <w:rFonts w:ascii="Cambria" w:hAnsi="Cambria" w:cs="Arial"/>
                <w:noProof/>
                <w:szCs w:val="24"/>
              </w:rPr>
              <w:t>Naznačiti koje su grupe zainteresovanih strana konsultovane, u kojoj fazi RIA procesa i kako (javne ili ciljane konsultacije).</w:t>
            </w:r>
          </w:p>
          <w:p w14:paraId="2FCD8F49" w14:textId="60CAEAE0" w:rsidR="003E49F0" w:rsidRPr="003E49F0" w:rsidRDefault="003E49F0" w:rsidP="003E49F0">
            <w:pPr>
              <w:autoSpaceDE w:val="0"/>
              <w:autoSpaceDN w:val="0"/>
              <w:adjustRightInd w:val="0"/>
              <w:spacing w:after="240"/>
              <w:rPr>
                <w:rFonts w:ascii="Cambria" w:hAnsi="Cambria" w:cs="Arial"/>
                <w:b w:val="0"/>
                <w:noProof/>
                <w:szCs w:val="24"/>
              </w:rPr>
            </w:pPr>
            <w:r w:rsidRPr="003E49F0">
              <w:rPr>
                <w:rFonts w:ascii="Cambria" w:hAnsi="Cambria" w:cs="Arial"/>
                <w:b w:val="0"/>
                <w:noProof/>
                <w:szCs w:val="24"/>
              </w:rPr>
              <w:t xml:space="preserve">Zakonski predlog biće stavljen na javnu raspravu od strane Ministarstva finansija, tokom koje će sve zainteresovane strane imati priliku da iznesu svoje komentare, primjedbe i sugestije. </w:t>
            </w:r>
          </w:p>
          <w:p w14:paraId="6CF53A71" w14:textId="7388A890" w:rsidR="007454AF" w:rsidRDefault="007454AF" w:rsidP="003E49F0">
            <w:pPr>
              <w:autoSpaceDE w:val="0"/>
              <w:autoSpaceDN w:val="0"/>
              <w:adjustRightInd w:val="0"/>
              <w:spacing w:after="240"/>
              <w:rPr>
                <w:rFonts w:ascii="Cambria" w:hAnsi="Cambria" w:cs="Arial"/>
                <w:noProof/>
                <w:szCs w:val="24"/>
              </w:rPr>
            </w:pPr>
            <w:r w:rsidRPr="007454AF">
              <w:rPr>
                <w:rFonts w:ascii="Cambria" w:hAnsi="Cambria" w:cs="Arial"/>
                <w:noProof/>
                <w:szCs w:val="24"/>
              </w:rPr>
              <w:t>Naznačiti glavne rezultate konsultacija, i koji su predlozi i sugestije zainteresovanih strana prihvaćeni odnosno nijesu prihvaćeni. Obrazložiti.</w:t>
            </w:r>
          </w:p>
          <w:p w14:paraId="16D00095" w14:textId="708945F0" w:rsidR="007454AF" w:rsidRPr="00E54D7F" w:rsidRDefault="003E49F0" w:rsidP="00BF4F22">
            <w:pPr>
              <w:autoSpaceDE w:val="0"/>
              <w:autoSpaceDN w:val="0"/>
              <w:adjustRightInd w:val="0"/>
              <w:spacing w:after="240"/>
              <w:rPr>
                <w:rFonts w:ascii="Cambria" w:hAnsi="Cambria" w:cs="Arial"/>
                <w:b w:val="0"/>
                <w:noProof/>
                <w:szCs w:val="24"/>
              </w:rPr>
            </w:pPr>
            <w:r w:rsidRPr="002F7681">
              <w:rPr>
                <w:rFonts w:ascii="Cambria" w:hAnsi="Cambria" w:cs="Arial"/>
                <w:b w:val="0"/>
                <w:noProof/>
                <w:szCs w:val="24"/>
              </w:rPr>
              <w:t>Sve primjedbe i preporuke dobijene tokom javne rasprave biće pažljivo razmotrene, a relevantne izmjene ugrađene u konačni tekst zakona radi postizanja optimalnog balansa između regulacije i efikasnosti tržišta.</w:t>
            </w:r>
            <w:bookmarkStart w:id="1" w:name="_GoBack"/>
            <w:bookmarkEnd w:id="1"/>
          </w:p>
        </w:tc>
      </w:tr>
      <w:tr w:rsidR="00282840" w:rsidRPr="00E54D7F" w14:paraId="457FC2BD"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41D8CA3" w14:textId="77777777" w:rsidR="00282840" w:rsidRPr="00E54D7F" w:rsidRDefault="00673F68"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7</w:t>
            </w:r>
            <w:r w:rsidR="00282840" w:rsidRPr="00E54D7F">
              <w:rPr>
                <w:rFonts w:ascii="Cambria" w:hAnsi="Cambria" w:cs="Arial"/>
                <w:noProof/>
                <w:color w:val="365F91" w:themeColor="accent1" w:themeShade="BF"/>
                <w:szCs w:val="24"/>
              </w:rPr>
              <w:t>: Monitoring i evaluacija</w:t>
            </w:r>
          </w:p>
          <w:p w14:paraId="1CA90BD4" w14:textId="77777777" w:rsidR="0000426F" w:rsidRPr="00E54D7F" w:rsidRDefault="00D06D2A" w:rsidP="0000426F">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 xml:space="preserve">oje su potencijalne prepreke za implementaciju propisa? </w:t>
            </w:r>
          </w:p>
          <w:p w14:paraId="1C3789DA" w14:textId="77777777" w:rsidR="00A07773" w:rsidRPr="00E54D7F" w:rsidRDefault="00D06D2A" w:rsidP="0000426F">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oje će mjere biti preduzete tokom primjene propisa da bi se ispunili ciljevi</w:t>
            </w:r>
            <w:r w:rsidRPr="00E54D7F">
              <w:rPr>
                <w:rFonts w:ascii="Cambria" w:hAnsi="Cambria" w:cs="Arial"/>
                <w:noProof/>
                <w:color w:val="365F91" w:themeColor="accent1" w:themeShade="BF"/>
                <w:szCs w:val="24"/>
              </w:rPr>
              <w:t>?</w:t>
            </w:r>
          </w:p>
          <w:p w14:paraId="19B02EC3"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oji su glavni indikatori prema kojima će se mjeriti ispunjenje ciljeva?</w:t>
            </w:r>
          </w:p>
          <w:p w14:paraId="16FEBC05"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 će biti zadužen za sprovođenje monitoringa i evaluacije primjene propisa?</w:t>
            </w:r>
          </w:p>
        </w:tc>
      </w:tr>
      <w:tr w:rsidR="00282840" w:rsidRPr="00E54D7F" w14:paraId="1E2576C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15EABF8" w14:textId="77777777" w:rsidR="007454AF" w:rsidRPr="007454AF" w:rsidRDefault="007454AF" w:rsidP="00E54D7F">
            <w:pPr>
              <w:autoSpaceDE w:val="0"/>
              <w:autoSpaceDN w:val="0"/>
              <w:adjustRightInd w:val="0"/>
              <w:spacing w:after="240"/>
              <w:rPr>
                <w:rFonts w:ascii="Cambria" w:hAnsi="Cambria" w:cs="Arial"/>
                <w:noProof/>
                <w:szCs w:val="24"/>
              </w:rPr>
            </w:pPr>
            <w:r w:rsidRPr="007454AF">
              <w:rPr>
                <w:rFonts w:ascii="Cambria" w:hAnsi="Cambria" w:cs="Arial"/>
                <w:noProof/>
                <w:szCs w:val="24"/>
              </w:rPr>
              <w:t>Koje su potencijalne prepreke za implementaciju propisa?</w:t>
            </w:r>
          </w:p>
          <w:p w14:paraId="37F824BB" w14:textId="77777777" w:rsidR="00833765" w:rsidRDefault="006038B9" w:rsidP="00E54D7F">
            <w:pPr>
              <w:autoSpaceDE w:val="0"/>
              <w:autoSpaceDN w:val="0"/>
              <w:adjustRightInd w:val="0"/>
              <w:spacing w:after="240"/>
              <w:rPr>
                <w:rFonts w:ascii="Cambria" w:hAnsi="Cambria" w:cs="Arial"/>
                <w:b w:val="0"/>
                <w:noProof/>
                <w:szCs w:val="24"/>
              </w:rPr>
            </w:pPr>
            <w:r w:rsidRPr="00E54D7F">
              <w:rPr>
                <w:rFonts w:ascii="Cambria" w:hAnsi="Cambria" w:cs="Arial"/>
                <w:b w:val="0"/>
                <w:noProof/>
                <w:szCs w:val="24"/>
              </w:rPr>
              <w:t xml:space="preserve">Potencijalnih </w:t>
            </w:r>
            <w:r w:rsidR="004D66F4" w:rsidRPr="00E54D7F">
              <w:rPr>
                <w:rFonts w:ascii="Cambria" w:hAnsi="Cambria" w:cs="Arial"/>
                <w:b w:val="0"/>
                <w:noProof/>
                <w:szCs w:val="24"/>
              </w:rPr>
              <w:t>prepreka za implementaciju propisa</w:t>
            </w:r>
            <w:r w:rsidRPr="00E54D7F">
              <w:rPr>
                <w:rFonts w:ascii="Cambria" w:hAnsi="Cambria" w:cs="Arial"/>
                <w:b w:val="0"/>
                <w:noProof/>
                <w:szCs w:val="24"/>
              </w:rPr>
              <w:t xml:space="preserve"> nema</w:t>
            </w:r>
            <w:r w:rsidR="00001714" w:rsidRPr="00E54D7F">
              <w:rPr>
                <w:rFonts w:ascii="Cambria" w:hAnsi="Cambria" w:cs="Arial"/>
                <w:b w:val="0"/>
                <w:noProof/>
                <w:szCs w:val="24"/>
              </w:rPr>
              <w:t>.</w:t>
            </w:r>
          </w:p>
          <w:p w14:paraId="45A5F964" w14:textId="77777777" w:rsidR="007454AF" w:rsidRDefault="007454AF" w:rsidP="00E54D7F">
            <w:pPr>
              <w:autoSpaceDE w:val="0"/>
              <w:autoSpaceDN w:val="0"/>
              <w:adjustRightInd w:val="0"/>
              <w:spacing w:after="240"/>
              <w:rPr>
                <w:rFonts w:ascii="Cambria" w:hAnsi="Cambria" w:cs="Arial"/>
                <w:noProof/>
                <w:szCs w:val="24"/>
              </w:rPr>
            </w:pPr>
            <w:r w:rsidRPr="007454AF">
              <w:rPr>
                <w:rFonts w:ascii="Cambria" w:hAnsi="Cambria" w:cs="Arial"/>
                <w:noProof/>
                <w:szCs w:val="24"/>
              </w:rPr>
              <w:t>Koje će mjere biti preduzete tokom primjene propisa da bi se ispunili ciljevi?</w:t>
            </w:r>
          </w:p>
          <w:p w14:paraId="285CC3C6" w14:textId="77777777" w:rsidR="002A4404" w:rsidRPr="002A4404" w:rsidRDefault="002A4404" w:rsidP="002A4404">
            <w:pPr>
              <w:autoSpaceDE w:val="0"/>
              <w:autoSpaceDN w:val="0"/>
              <w:adjustRightInd w:val="0"/>
              <w:spacing w:after="240"/>
              <w:rPr>
                <w:rFonts w:ascii="Cambria" w:hAnsi="Cambria" w:cs="Arial"/>
                <w:b w:val="0"/>
                <w:bCs/>
                <w:noProof/>
                <w:szCs w:val="24"/>
                <w:lang w:val="sr-Latn-ME"/>
              </w:rPr>
            </w:pPr>
            <w:r w:rsidRPr="002A4404">
              <w:rPr>
                <w:rFonts w:ascii="Cambria" w:hAnsi="Cambria" w:cs="Arial"/>
                <w:b w:val="0"/>
                <w:bCs/>
                <w:noProof/>
                <w:szCs w:val="24"/>
                <w:lang w:val="sr-Latn-ME"/>
              </w:rPr>
              <w:t>Da bi se ostvarili ciljevi propisa, biće preduzet niz mjera i aktivnosti koje omogućavaju njegovu punu primjenu i usklađenost sa standardima Evropske unije. Ključne mjere obuhvataju:</w:t>
            </w:r>
          </w:p>
          <w:p w14:paraId="09CF3A9B"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t>Donošenje podzakonskih akata od strane Komisije za tržište kapitala, kojima će se detaljnije urediti sadržaj, oblik i način objavljivanja informacija o evropskim zelenim obveznicama, izvještaja o raspodjeli prihoda, procjena uticaja i periodičnih objava o održivosti finansijskih proizvoda.</w:t>
            </w:r>
          </w:p>
          <w:p w14:paraId="6E07FE35"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t>Uspostavljanje tehničkih i organizacionih procedura u Komisiji za tržište kapitala, uključujući procedure za nadzor nad izdavaocima, eksternim ocjenjivačima i učesnicima na finansijskom tržištu, kao i standarde za kontrolu kvaliteta dostavljenih informacija.</w:t>
            </w:r>
          </w:p>
          <w:p w14:paraId="43B03668"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lastRenderedPageBreak/>
              <w:t>Sprovođenje edukacije i obuke zaposlenih u Komisiji za tržište kapitala i relevantnim finansijskim subjektima, radi pravilnog tumačenja i primjene obaveza koje proizilaze iz Uredbi (EU) 2023/2631, 2019/2088 (SFDR) i 2020/852 (Taksonomija EU).</w:t>
            </w:r>
          </w:p>
          <w:p w14:paraId="5A24170F"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t>Kontinuirano praćenje primjene zakona, uključujući nadzor nad javnim objavama, sprječavanje obmanjujućih tvrdnji o održivosti (greenwashing) i redovno izvještavanje o usklađenosti sa propisima Evropske unije.</w:t>
            </w:r>
          </w:p>
          <w:p w14:paraId="35958E24"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t>Saradnju sa evropskim institucijama, prvenstveno sa ESMA-om, u dijelu razmjene informacija i implementacije jedinstvenih zahtjeva u oblasti evropskih zelenih obveznica.</w:t>
            </w:r>
          </w:p>
          <w:p w14:paraId="457ABFF0" w14:textId="77777777" w:rsidR="002A4404" w:rsidRPr="002A4404" w:rsidRDefault="002A4404" w:rsidP="002A4404">
            <w:pPr>
              <w:pStyle w:val="ListParagraph"/>
              <w:numPr>
                <w:ilvl w:val="0"/>
                <w:numId w:val="39"/>
              </w:numPr>
              <w:autoSpaceDE w:val="0"/>
              <w:autoSpaceDN w:val="0"/>
              <w:adjustRightInd w:val="0"/>
              <w:spacing w:after="240"/>
              <w:rPr>
                <w:rFonts w:ascii="Cambria" w:hAnsi="Cambria" w:cs="Arial"/>
                <w:b w:val="0"/>
                <w:noProof/>
                <w:szCs w:val="24"/>
                <w:lang w:val="sr-Latn-ME"/>
              </w:rPr>
            </w:pPr>
            <w:r w:rsidRPr="002A4404">
              <w:rPr>
                <w:rFonts w:ascii="Cambria" w:hAnsi="Cambria" w:cs="Arial"/>
                <w:b w:val="0"/>
                <w:noProof/>
                <w:szCs w:val="24"/>
                <w:lang w:val="sr-Latn-ME"/>
              </w:rPr>
              <w:t>Ove mjere obezbjeđuju dosljedno sprovođenje propisa, povećanje transparentnosti i stabilnosti finansijskog tržišta, kao i usmjeravanje kapitala ka ekološki održivim projektima, što je osnovni cilj zakona.</w:t>
            </w:r>
          </w:p>
          <w:p w14:paraId="1EC41606" w14:textId="3B4DEA10" w:rsidR="007454AF" w:rsidRPr="007454AF" w:rsidRDefault="007454AF" w:rsidP="00E54D7F">
            <w:pPr>
              <w:autoSpaceDE w:val="0"/>
              <w:autoSpaceDN w:val="0"/>
              <w:adjustRightInd w:val="0"/>
              <w:spacing w:after="240"/>
              <w:rPr>
                <w:rFonts w:ascii="Cambria" w:hAnsi="Cambria" w:cs="Arial"/>
                <w:noProof/>
                <w:szCs w:val="24"/>
              </w:rPr>
            </w:pPr>
            <w:r w:rsidRPr="007454AF">
              <w:rPr>
                <w:rFonts w:ascii="Cambria" w:hAnsi="Cambria" w:cs="Arial"/>
                <w:noProof/>
                <w:szCs w:val="24"/>
              </w:rPr>
              <w:t>Koji su glavni indikatori prema kojima će se mjeriti ispunjenje ciljeva?</w:t>
            </w:r>
          </w:p>
          <w:p w14:paraId="722C0CB0" w14:textId="77777777" w:rsidR="004F4612" w:rsidRPr="004F4612" w:rsidRDefault="004F4612" w:rsidP="004F4612">
            <w:pPr>
              <w:autoSpaceDE w:val="0"/>
              <w:autoSpaceDN w:val="0"/>
              <w:adjustRightInd w:val="0"/>
              <w:spacing w:after="240"/>
              <w:rPr>
                <w:rFonts w:ascii="Cambria" w:hAnsi="Cambria" w:cs="Arial"/>
                <w:b w:val="0"/>
                <w:bCs/>
                <w:noProof/>
                <w:szCs w:val="24"/>
                <w:lang w:val="sr-Latn-ME"/>
              </w:rPr>
            </w:pPr>
            <w:r w:rsidRPr="004F4612">
              <w:rPr>
                <w:rFonts w:ascii="Cambria" w:hAnsi="Cambria" w:cs="Arial"/>
                <w:b w:val="0"/>
                <w:bCs/>
                <w:noProof/>
                <w:szCs w:val="24"/>
                <w:lang w:val="sr-Latn-ME"/>
              </w:rPr>
              <w:t>Glavni indikatori ispunjenja ciljeva ovog zakona biće:</w:t>
            </w:r>
          </w:p>
          <w:p w14:paraId="1EEFC343"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Usklađenost nacionalnog zakonodavstva sa Uredbom (EU) 2023/2631, Uredbom (EU) 2019/2088 (SFDR) i Uredbom (EU) 2020/852 (Taksonomija EU), kao ključnim propisima EU u oblasti održivog finansiranja.</w:t>
            </w:r>
          </w:p>
          <w:p w14:paraId="6F22969C"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Broj izdatih evropskih zelenih obveznica (EuGB) i obveznica sa dobrovoljnim oznakama održivosti, što pokazuje stepen primjene standarda i interes tržišta.</w:t>
            </w:r>
          </w:p>
          <w:p w14:paraId="1CF8E47F"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Broj registrovanih eksternih ocjenjivača i kvalitet njihovih objava, uključujući objavljene metodologije i procjene prije i nakon izdavanja obveznica.</w:t>
            </w:r>
          </w:p>
          <w:p w14:paraId="13629F80"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Stepen transparentnosti objava izdavalaca i učesnika na tržištu, što uključuje redovno objavljivanje informacija o održivosti finansijskih proizvoda (SFDR objave).</w:t>
            </w:r>
          </w:p>
          <w:p w14:paraId="498DB04A"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Smanjenje pojava obmanjujućih tvrdnji o održivosti (greenwashing), procjenjivano kroz nadzorne aktivnosti Komisije za tržište kapitala.</w:t>
            </w:r>
          </w:p>
          <w:p w14:paraId="5BB0E8F6"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Efikasnost nadzora, mjerena brojem sprovedenih nadzornih postupaka, izrečenih mjera i ažurnošću reagovanja Komisije.</w:t>
            </w:r>
          </w:p>
          <w:p w14:paraId="2CE61CA8" w14:textId="77777777" w:rsidR="004F4612" w:rsidRPr="004F4612" w:rsidRDefault="004F4612" w:rsidP="004F4612">
            <w:pPr>
              <w:pStyle w:val="ListParagraph"/>
              <w:numPr>
                <w:ilvl w:val="0"/>
                <w:numId w:val="41"/>
              </w:numPr>
              <w:autoSpaceDE w:val="0"/>
              <w:autoSpaceDN w:val="0"/>
              <w:adjustRightInd w:val="0"/>
              <w:spacing w:after="240"/>
              <w:rPr>
                <w:rFonts w:ascii="Cambria" w:hAnsi="Cambria" w:cs="Arial"/>
                <w:b w:val="0"/>
                <w:noProof/>
                <w:szCs w:val="24"/>
                <w:lang w:val="sr-Latn-ME"/>
              </w:rPr>
            </w:pPr>
            <w:r w:rsidRPr="004F4612">
              <w:rPr>
                <w:rFonts w:ascii="Cambria" w:hAnsi="Cambria" w:cs="Arial"/>
                <w:b w:val="0"/>
                <w:noProof/>
                <w:szCs w:val="24"/>
                <w:lang w:val="sr-Latn-ME"/>
              </w:rPr>
              <w:t>Povećanje povjerenja investitora, što se indirektno može mjeriti rastom ulaganja u održive finansijske proizvode i interesovanjem investitora za EuGB tržište.</w:t>
            </w:r>
          </w:p>
          <w:p w14:paraId="12E6131B" w14:textId="77777777" w:rsidR="004F4612" w:rsidRPr="004F4612" w:rsidRDefault="004F4612" w:rsidP="004F4612">
            <w:pPr>
              <w:autoSpaceDE w:val="0"/>
              <w:autoSpaceDN w:val="0"/>
              <w:adjustRightInd w:val="0"/>
              <w:spacing w:after="240"/>
              <w:rPr>
                <w:rFonts w:ascii="Cambria" w:hAnsi="Cambria" w:cs="Arial"/>
                <w:b w:val="0"/>
                <w:bCs/>
                <w:noProof/>
                <w:szCs w:val="24"/>
                <w:lang w:val="sr-Latn-ME"/>
              </w:rPr>
            </w:pPr>
            <w:r w:rsidRPr="004F4612">
              <w:rPr>
                <w:rFonts w:ascii="Cambria" w:hAnsi="Cambria" w:cs="Arial"/>
                <w:b w:val="0"/>
                <w:bCs/>
                <w:noProof/>
                <w:szCs w:val="24"/>
                <w:lang w:val="sr-Latn-ME"/>
              </w:rPr>
              <w:t>Ovi indikatori omogućavaju procjenu da li je zakon postigao svoj cilj – razvoj održivog finansiranja, veću transparentnost i usklađenost sa standardima Evropske unije.</w:t>
            </w:r>
          </w:p>
          <w:p w14:paraId="4C0B022A" w14:textId="77777777" w:rsidR="007454AF" w:rsidRPr="007454AF" w:rsidRDefault="007454AF" w:rsidP="00E54D7F">
            <w:pPr>
              <w:autoSpaceDE w:val="0"/>
              <w:autoSpaceDN w:val="0"/>
              <w:adjustRightInd w:val="0"/>
              <w:spacing w:after="240"/>
              <w:rPr>
                <w:rFonts w:ascii="Cambria" w:hAnsi="Cambria" w:cs="Arial"/>
                <w:noProof/>
                <w:szCs w:val="24"/>
              </w:rPr>
            </w:pPr>
            <w:r w:rsidRPr="007454AF">
              <w:rPr>
                <w:rFonts w:ascii="Cambria" w:hAnsi="Cambria" w:cs="Arial"/>
                <w:noProof/>
                <w:szCs w:val="24"/>
              </w:rPr>
              <w:lastRenderedPageBreak/>
              <w:t>Ko će biti zadužen za sprovođenje monitoringa i evaluacije primjene propisa?</w:t>
            </w:r>
          </w:p>
          <w:p w14:paraId="5D5EEFE1" w14:textId="77777777" w:rsidR="00FB6BD5" w:rsidRPr="00E54D7F" w:rsidRDefault="00CD2A63" w:rsidP="00E54D7F">
            <w:pPr>
              <w:autoSpaceDE w:val="0"/>
              <w:autoSpaceDN w:val="0"/>
              <w:adjustRightInd w:val="0"/>
              <w:spacing w:after="240"/>
              <w:rPr>
                <w:rFonts w:ascii="Cambria" w:hAnsi="Cambria" w:cs="Arial"/>
                <w:noProof/>
                <w:szCs w:val="24"/>
              </w:rPr>
            </w:pPr>
            <w:r w:rsidRPr="00E54D7F">
              <w:rPr>
                <w:rFonts w:ascii="Cambria" w:hAnsi="Cambria" w:cs="Arial"/>
                <w:b w:val="0"/>
                <w:noProof/>
                <w:szCs w:val="24"/>
              </w:rPr>
              <w:t xml:space="preserve">Za monitoring </w:t>
            </w:r>
            <w:r w:rsidR="006038B9" w:rsidRPr="00E54D7F">
              <w:rPr>
                <w:rFonts w:ascii="Cambria" w:hAnsi="Cambria" w:cs="Arial"/>
                <w:b w:val="0"/>
                <w:noProof/>
                <w:szCs w:val="24"/>
              </w:rPr>
              <w:t xml:space="preserve">i evaluaciju </w:t>
            </w:r>
            <w:r w:rsidRPr="00E54D7F">
              <w:rPr>
                <w:rFonts w:ascii="Cambria" w:hAnsi="Cambria" w:cs="Arial"/>
                <w:b w:val="0"/>
                <w:noProof/>
                <w:szCs w:val="24"/>
              </w:rPr>
              <w:t xml:space="preserve">primjene propisa zadužena </w:t>
            </w:r>
            <w:r w:rsidR="006038B9" w:rsidRPr="00E54D7F">
              <w:rPr>
                <w:rFonts w:ascii="Cambria" w:hAnsi="Cambria" w:cs="Arial"/>
                <w:b w:val="0"/>
                <w:noProof/>
                <w:szCs w:val="24"/>
              </w:rPr>
              <w:t xml:space="preserve">je </w:t>
            </w:r>
            <w:r w:rsidRPr="00E54D7F">
              <w:rPr>
                <w:rFonts w:ascii="Cambria" w:hAnsi="Cambria" w:cs="Arial"/>
                <w:b w:val="0"/>
                <w:noProof/>
                <w:szCs w:val="24"/>
              </w:rPr>
              <w:t xml:space="preserve">Komisija za </w:t>
            </w:r>
            <w:r w:rsidR="006038B9" w:rsidRPr="00E54D7F">
              <w:rPr>
                <w:rFonts w:ascii="Cambria" w:hAnsi="Cambria" w:cs="Arial"/>
                <w:b w:val="0"/>
                <w:noProof/>
                <w:szCs w:val="24"/>
              </w:rPr>
              <w:t>tržište</w:t>
            </w:r>
            <w:r w:rsidR="00E54D7F" w:rsidRPr="00E54D7F">
              <w:rPr>
                <w:rFonts w:ascii="Cambria" w:hAnsi="Cambria" w:cs="Arial"/>
                <w:b w:val="0"/>
                <w:noProof/>
                <w:szCs w:val="24"/>
              </w:rPr>
              <w:t xml:space="preserve"> kapitala</w:t>
            </w:r>
            <w:r w:rsidRPr="00E54D7F">
              <w:rPr>
                <w:rFonts w:ascii="Cambria" w:hAnsi="Cambria" w:cs="Arial"/>
                <w:b w:val="0"/>
                <w:noProof/>
                <w:szCs w:val="24"/>
              </w:rPr>
              <w:t>.</w:t>
            </w:r>
          </w:p>
        </w:tc>
      </w:tr>
    </w:tbl>
    <w:p w14:paraId="1E4AD403" w14:textId="77777777" w:rsidR="004A4396" w:rsidRPr="00E54D7F" w:rsidRDefault="004A4396">
      <w:pPr>
        <w:rPr>
          <w:rFonts w:ascii="Cambria" w:hAnsi="Cambria" w:cs="Arial"/>
          <w:noProof/>
          <w:color w:val="365F91" w:themeColor="accent1" w:themeShade="BF"/>
          <w:szCs w:val="24"/>
        </w:rPr>
      </w:pPr>
    </w:p>
    <w:p w14:paraId="37B44C82" w14:textId="77777777" w:rsidR="00972845" w:rsidRPr="00E54D7F" w:rsidRDefault="00BD4282">
      <w:pPr>
        <w:rPr>
          <w:rFonts w:ascii="Cambria" w:hAnsi="Cambria" w:cs="Arial"/>
          <w:b/>
          <w:noProof/>
          <w:color w:val="365F91" w:themeColor="accent1" w:themeShade="BF"/>
          <w:szCs w:val="24"/>
        </w:rPr>
      </w:pPr>
      <w:r w:rsidRPr="00E54D7F">
        <w:rPr>
          <w:rFonts w:ascii="Cambria" w:hAnsi="Cambria" w:cs="Arial"/>
          <w:b/>
          <w:noProof/>
          <w:color w:val="365F91" w:themeColor="accent1" w:themeShade="BF"/>
          <w:szCs w:val="24"/>
        </w:rPr>
        <w:t>Datum i mjesto</w:t>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t xml:space="preserve">Starješina </w:t>
      </w:r>
    </w:p>
    <w:p w14:paraId="1AE7F3C4" w14:textId="77777777" w:rsidR="00E54D7F" w:rsidRDefault="00E54D7F">
      <w:pPr>
        <w:rPr>
          <w:rFonts w:ascii="Cambria" w:hAnsi="Cambria" w:cs="Arial"/>
          <w:noProof/>
          <w:color w:val="365F91" w:themeColor="accent1" w:themeShade="BF"/>
          <w:szCs w:val="24"/>
        </w:rPr>
      </w:pPr>
    </w:p>
    <w:p w14:paraId="4F7F6631" w14:textId="0C543727" w:rsidR="00752093" w:rsidRPr="00E54D7F" w:rsidRDefault="009E19CE" w:rsidP="00752093">
      <w:pPr>
        <w:rPr>
          <w:rFonts w:ascii="Cambria" w:hAnsi="Cambria" w:cs="Arial"/>
          <w:noProof/>
          <w:color w:val="365F91" w:themeColor="accent1" w:themeShade="BF"/>
          <w:szCs w:val="24"/>
        </w:rPr>
      </w:pPr>
      <w:r>
        <w:rPr>
          <w:rFonts w:ascii="Cambria" w:hAnsi="Cambria" w:cs="Arial"/>
          <w:noProof/>
          <w:color w:val="365F91" w:themeColor="accent1" w:themeShade="BF"/>
          <w:szCs w:val="24"/>
        </w:rPr>
        <w:t xml:space="preserve">U Podgorici, </w:t>
      </w:r>
      <w:r w:rsidR="00E13157">
        <w:rPr>
          <w:rFonts w:ascii="Cambria" w:hAnsi="Cambria" w:cs="Arial"/>
          <w:noProof/>
          <w:color w:val="365F91" w:themeColor="accent1" w:themeShade="BF"/>
          <w:szCs w:val="24"/>
        </w:rPr>
        <w:t>0</w:t>
      </w:r>
      <w:r w:rsidR="003E49F0">
        <w:rPr>
          <w:rFonts w:ascii="Cambria" w:hAnsi="Cambria" w:cs="Arial"/>
          <w:noProof/>
          <w:color w:val="365F91" w:themeColor="accent1" w:themeShade="BF"/>
          <w:szCs w:val="24"/>
        </w:rPr>
        <w:t>2</w:t>
      </w:r>
      <w:r>
        <w:rPr>
          <w:rFonts w:ascii="Cambria" w:hAnsi="Cambria" w:cs="Arial"/>
          <w:noProof/>
          <w:color w:val="365F91" w:themeColor="accent1" w:themeShade="BF"/>
          <w:szCs w:val="24"/>
        </w:rPr>
        <w:t xml:space="preserve">. </w:t>
      </w:r>
      <w:r w:rsidR="00C53E2E">
        <w:rPr>
          <w:rFonts w:ascii="Cambria" w:hAnsi="Cambria" w:cs="Arial"/>
          <w:noProof/>
          <w:color w:val="365F91" w:themeColor="accent1" w:themeShade="BF"/>
          <w:szCs w:val="24"/>
        </w:rPr>
        <w:t>12</w:t>
      </w:r>
      <w:r w:rsidR="00686B0B">
        <w:rPr>
          <w:rFonts w:ascii="Cambria" w:hAnsi="Cambria" w:cs="Arial"/>
          <w:noProof/>
          <w:color w:val="365F91" w:themeColor="accent1" w:themeShade="BF"/>
          <w:szCs w:val="24"/>
        </w:rPr>
        <w:t>.</w:t>
      </w:r>
      <w:r>
        <w:rPr>
          <w:rFonts w:ascii="Cambria" w:hAnsi="Cambria" w:cs="Arial"/>
          <w:noProof/>
          <w:color w:val="365F91" w:themeColor="accent1" w:themeShade="BF"/>
          <w:szCs w:val="24"/>
        </w:rPr>
        <w:t xml:space="preserve"> </w:t>
      </w:r>
      <w:r w:rsidR="00686B0B">
        <w:rPr>
          <w:rFonts w:ascii="Cambria" w:hAnsi="Cambria" w:cs="Arial"/>
          <w:noProof/>
          <w:color w:val="365F91" w:themeColor="accent1" w:themeShade="BF"/>
          <w:szCs w:val="24"/>
        </w:rPr>
        <w:t>202</w:t>
      </w:r>
      <w:r w:rsidR="00C53E2E">
        <w:rPr>
          <w:rFonts w:ascii="Cambria" w:hAnsi="Cambria" w:cs="Arial"/>
          <w:noProof/>
          <w:color w:val="365F91" w:themeColor="accent1" w:themeShade="BF"/>
          <w:szCs w:val="24"/>
        </w:rPr>
        <w:t>5</w:t>
      </w:r>
      <w:r w:rsidR="00E54D7F">
        <w:rPr>
          <w:rFonts w:ascii="Cambria" w:hAnsi="Cambria" w:cs="Arial"/>
          <w:noProof/>
          <w:color w:val="365F91" w:themeColor="accent1" w:themeShade="BF"/>
          <w:szCs w:val="24"/>
        </w:rPr>
        <w:t xml:space="preserve">. </w:t>
      </w:r>
      <w:r w:rsidR="00E944E9">
        <w:rPr>
          <w:rFonts w:ascii="Cambria" w:hAnsi="Cambria" w:cs="Arial"/>
          <w:noProof/>
          <w:color w:val="365F91" w:themeColor="accent1" w:themeShade="BF"/>
          <w:szCs w:val="24"/>
        </w:rPr>
        <w:t>g</w:t>
      </w:r>
      <w:r w:rsidR="00E54D7F">
        <w:rPr>
          <w:rFonts w:ascii="Cambria" w:hAnsi="Cambria" w:cs="Arial"/>
          <w:noProof/>
          <w:color w:val="365F91" w:themeColor="accent1" w:themeShade="BF"/>
          <w:szCs w:val="24"/>
        </w:rPr>
        <w:t>odine</w:t>
      </w:r>
      <w:r w:rsidR="0009288A">
        <w:rPr>
          <w:rFonts w:ascii="Cambria" w:hAnsi="Cambria" w:cs="Arial"/>
          <w:noProof/>
          <w:color w:val="365F91" w:themeColor="accent1" w:themeShade="BF"/>
          <w:szCs w:val="24"/>
        </w:rPr>
        <w:t xml:space="preserve"> </w:t>
      </w:r>
      <w:r w:rsidR="0009288A">
        <w:rPr>
          <w:rFonts w:ascii="Cambria" w:hAnsi="Cambria" w:cs="Arial"/>
          <w:noProof/>
          <w:color w:val="365F91" w:themeColor="accent1" w:themeShade="BF"/>
          <w:szCs w:val="24"/>
        </w:rPr>
        <w:tab/>
      </w:r>
      <w:r w:rsidR="0009288A">
        <w:rPr>
          <w:rFonts w:ascii="Cambria" w:hAnsi="Cambria" w:cs="Arial"/>
          <w:noProof/>
          <w:color w:val="365F91" w:themeColor="accent1" w:themeShade="BF"/>
          <w:szCs w:val="24"/>
        </w:rPr>
        <w:tab/>
      </w:r>
    </w:p>
    <w:p w14:paraId="65804449" w14:textId="39D42102" w:rsidR="0009288A" w:rsidRPr="00E54D7F" w:rsidRDefault="0009288A" w:rsidP="0009288A">
      <w:pPr>
        <w:ind w:left="4320" w:firstLine="720"/>
        <w:rPr>
          <w:rFonts w:ascii="Cambria" w:hAnsi="Cambria" w:cs="Arial"/>
          <w:noProof/>
          <w:color w:val="365F91" w:themeColor="accent1" w:themeShade="BF"/>
          <w:szCs w:val="24"/>
        </w:rPr>
      </w:pPr>
    </w:p>
    <w:sectPr w:rsidR="0009288A" w:rsidRPr="00E54D7F"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2F1AC" w14:textId="77777777" w:rsidR="003109A5" w:rsidRDefault="003109A5" w:rsidP="00BA7396">
      <w:r>
        <w:separator/>
      </w:r>
    </w:p>
  </w:endnote>
  <w:endnote w:type="continuationSeparator" w:id="0">
    <w:p w14:paraId="1B040CDC" w14:textId="77777777" w:rsidR="003109A5" w:rsidRDefault="003109A5"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60A0" w14:textId="77777777" w:rsidR="003109A5" w:rsidRDefault="003109A5" w:rsidP="00BA7396">
      <w:r>
        <w:separator/>
      </w:r>
    </w:p>
  </w:footnote>
  <w:footnote w:type="continuationSeparator" w:id="0">
    <w:p w14:paraId="4D8808E4" w14:textId="77777777" w:rsidR="003109A5" w:rsidRDefault="003109A5"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A1178"/>
    <w:multiLevelType w:val="multilevel"/>
    <w:tmpl w:val="981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E1CD0"/>
    <w:multiLevelType w:val="hybridMultilevel"/>
    <w:tmpl w:val="32E01BA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2131701"/>
    <w:multiLevelType w:val="hybridMultilevel"/>
    <w:tmpl w:val="E1D2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129E3"/>
    <w:multiLevelType w:val="hybridMultilevel"/>
    <w:tmpl w:val="A328A99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95E59C1"/>
    <w:multiLevelType w:val="multilevel"/>
    <w:tmpl w:val="2AFE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06BBA"/>
    <w:multiLevelType w:val="hybridMultilevel"/>
    <w:tmpl w:val="01E0611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D04558"/>
    <w:multiLevelType w:val="multilevel"/>
    <w:tmpl w:val="EDB6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D4AD6"/>
    <w:multiLevelType w:val="hybridMultilevel"/>
    <w:tmpl w:val="6546A04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A4CA0"/>
    <w:multiLevelType w:val="multilevel"/>
    <w:tmpl w:val="D57A4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361E9"/>
    <w:multiLevelType w:val="multilevel"/>
    <w:tmpl w:val="7CD20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E270E"/>
    <w:multiLevelType w:val="multilevel"/>
    <w:tmpl w:val="ECE6D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271D8"/>
    <w:multiLevelType w:val="hybridMultilevel"/>
    <w:tmpl w:val="7A08E12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3EF32584"/>
    <w:multiLevelType w:val="hybridMultilevel"/>
    <w:tmpl w:val="D5CA206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3FCD4A0D"/>
    <w:multiLevelType w:val="hybridMultilevel"/>
    <w:tmpl w:val="4496959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45EB024E"/>
    <w:multiLevelType w:val="hybridMultilevel"/>
    <w:tmpl w:val="39A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7845481"/>
    <w:multiLevelType w:val="multilevel"/>
    <w:tmpl w:val="33D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E5E"/>
    <w:multiLevelType w:val="multilevel"/>
    <w:tmpl w:val="D8B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F1436"/>
    <w:multiLevelType w:val="multilevel"/>
    <w:tmpl w:val="330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94E8B"/>
    <w:multiLevelType w:val="hybridMultilevel"/>
    <w:tmpl w:val="CA7ECF6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500F151E"/>
    <w:multiLevelType w:val="multilevel"/>
    <w:tmpl w:val="8B1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91439"/>
    <w:multiLevelType w:val="hybridMultilevel"/>
    <w:tmpl w:val="EA8E0EB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53860ABD"/>
    <w:multiLevelType w:val="hybridMultilevel"/>
    <w:tmpl w:val="A488A210"/>
    <w:lvl w:ilvl="0" w:tplc="E9A2740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670E1"/>
    <w:multiLevelType w:val="hybridMultilevel"/>
    <w:tmpl w:val="91B8D7B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575E6EC0"/>
    <w:multiLevelType w:val="hybridMultilevel"/>
    <w:tmpl w:val="C46AA454"/>
    <w:lvl w:ilvl="0" w:tplc="3F5E4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A7873"/>
    <w:multiLevelType w:val="multilevel"/>
    <w:tmpl w:val="2F6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B4592"/>
    <w:multiLevelType w:val="hybridMultilevel"/>
    <w:tmpl w:val="7FA691F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6E771C7D"/>
    <w:multiLevelType w:val="hybridMultilevel"/>
    <w:tmpl w:val="27C8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87071"/>
    <w:multiLevelType w:val="multilevel"/>
    <w:tmpl w:val="006C8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35"/>
  </w:num>
  <w:num w:numId="5">
    <w:abstractNumId w:val="4"/>
  </w:num>
  <w:num w:numId="6">
    <w:abstractNumId w:val="1"/>
  </w:num>
  <w:num w:numId="7">
    <w:abstractNumId w:val="15"/>
  </w:num>
  <w:num w:numId="8">
    <w:abstractNumId w:val="18"/>
  </w:num>
  <w:num w:numId="9">
    <w:abstractNumId w:val="40"/>
  </w:num>
  <w:num w:numId="10">
    <w:abstractNumId w:val="26"/>
  </w:num>
  <w:num w:numId="11">
    <w:abstractNumId w:val="5"/>
  </w:num>
  <w:num w:numId="12">
    <w:abstractNumId w:val="11"/>
  </w:num>
  <w:num w:numId="13">
    <w:abstractNumId w:val="24"/>
  </w:num>
  <w:num w:numId="14">
    <w:abstractNumId w:val="23"/>
  </w:num>
  <w:num w:numId="15">
    <w:abstractNumId w:val="34"/>
  </w:num>
  <w:num w:numId="16">
    <w:abstractNumId w:val="7"/>
  </w:num>
  <w:num w:numId="17">
    <w:abstractNumId w:val="38"/>
  </w:num>
  <w:num w:numId="18">
    <w:abstractNumId w:val="32"/>
  </w:num>
  <w:num w:numId="19">
    <w:abstractNumId w:val="20"/>
  </w:num>
  <w:num w:numId="20">
    <w:abstractNumId w:val="21"/>
  </w:num>
  <w:num w:numId="21">
    <w:abstractNumId w:val="31"/>
  </w:num>
  <w:num w:numId="22">
    <w:abstractNumId w:val="9"/>
  </w:num>
  <w:num w:numId="23">
    <w:abstractNumId w:val="28"/>
  </w:num>
  <w:num w:numId="24">
    <w:abstractNumId w:val="16"/>
  </w:num>
  <w:num w:numId="25">
    <w:abstractNumId w:val="17"/>
  </w:num>
  <w:num w:numId="26">
    <w:abstractNumId w:val="12"/>
  </w:num>
  <w:num w:numId="27">
    <w:abstractNumId w:val="39"/>
  </w:num>
  <w:num w:numId="28">
    <w:abstractNumId w:val="29"/>
  </w:num>
  <w:num w:numId="29">
    <w:abstractNumId w:val="25"/>
  </w:num>
  <w:num w:numId="30">
    <w:abstractNumId w:val="14"/>
  </w:num>
  <w:num w:numId="31">
    <w:abstractNumId w:val="33"/>
  </w:num>
  <w:num w:numId="32">
    <w:abstractNumId w:val="30"/>
  </w:num>
  <w:num w:numId="33">
    <w:abstractNumId w:val="37"/>
  </w:num>
  <w:num w:numId="34">
    <w:abstractNumId w:val="19"/>
  </w:num>
  <w:num w:numId="35">
    <w:abstractNumId w:val="6"/>
  </w:num>
  <w:num w:numId="36">
    <w:abstractNumId w:val="2"/>
  </w:num>
  <w:num w:numId="37">
    <w:abstractNumId w:val="10"/>
  </w:num>
  <w:num w:numId="38">
    <w:abstractNumId w:val="36"/>
  </w:num>
  <w:num w:numId="39">
    <w:abstractNumId w:val="22"/>
  </w:num>
  <w:num w:numId="40">
    <w:abstractNumId w:val="2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1714"/>
    <w:rsid w:val="0000426F"/>
    <w:rsid w:val="000361A5"/>
    <w:rsid w:val="000511F0"/>
    <w:rsid w:val="000608F4"/>
    <w:rsid w:val="00067FCF"/>
    <w:rsid w:val="000716AC"/>
    <w:rsid w:val="00071756"/>
    <w:rsid w:val="000741F9"/>
    <w:rsid w:val="00075306"/>
    <w:rsid w:val="00083FFD"/>
    <w:rsid w:val="00086600"/>
    <w:rsid w:val="00091CC7"/>
    <w:rsid w:val="0009288A"/>
    <w:rsid w:val="00092BE3"/>
    <w:rsid w:val="000B7DE3"/>
    <w:rsid w:val="000B7EB0"/>
    <w:rsid w:val="000C23C6"/>
    <w:rsid w:val="000D0A61"/>
    <w:rsid w:val="000E3B14"/>
    <w:rsid w:val="000E5392"/>
    <w:rsid w:val="000F04EB"/>
    <w:rsid w:val="00104AC5"/>
    <w:rsid w:val="00107E73"/>
    <w:rsid w:val="00125F67"/>
    <w:rsid w:val="00152349"/>
    <w:rsid w:val="001562C2"/>
    <w:rsid w:val="00157CED"/>
    <w:rsid w:val="00162BB1"/>
    <w:rsid w:val="00187C39"/>
    <w:rsid w:val="001A107D"/>
    <w:rsid w:val="001A284B"/>
    <w:rsid w:val="001C29BF"/>
    <w:rsid w:val="001C7348"/>
    <w:rsid w:val="001D0BF0"/>
    <w:rsid w:val="001D660B"/>
    <w:rsid w:val="001E1794"/>
    <w:rsid w:val="001E684D"/>
    <w:rsid w:val="00200F57"/>
    <w:rsid w:val="00222409"/>
    <w:rsid w:val="00222D11"/>
    <w:rsid w:val="0022604C"/>
    <w:rsid w:val="002325C2"/>
    <w:rsid w:val="00242278"/>
    <w:rsid w:val="00261039"/>
    <w:rsid w:val="00275206"/>
    <w:rsid w:val="00282840"/>
    <w:rsid w:val="00284327"/>
    <w:rsid w:val="00284A91"/>
    <w:rsid w:val="00292AD7"/>
    <w:rsid w:val="00293B9E"/>
    <w:rsid w:val="00294662"/>
    <w:rsid w:val="00295023"/>
    <w:rsid w:val="002A4404"/>
    <w:rsid w:val="002A6058"/>
    <w:rsid w:val="002B6DC1"/>
    <w:rsid w:val="002D0AAD"/>
    <w:rsid w:val="002D762E"/>
    <w:rsid w:val="002E7569"/>
    <w:rsid w:val="002F07A8"/>
    <w:rsid w:val="00303470"/>
    <w:rsid w:val="00306537"/>
    <w:rsid w:val="00310915"/>
    <w:rsid w:val="003109A5"/>
    <w:rsid w:val="00317E52"/>
    <w:rsid w:val="003230E5"/>
    <w:rsid w:val="003452A3"/>
    <w:rsid w:val="00355FAD"/>
    <w:rsid w:val="00357476"/>
    <w:rsid w:val="003619B3"/>
    <w:rsid w:val="00373A49"/>
    <w:rsid w:val="00382399"/>
    <w:rsid w:val="003831C0"/>
    <w:rsid w:val="00392F99"/>
    <w:rsid w:val="00395587"/>
    <w:rsid w:val="003D2436"/>
    <w:rsid w:val="003E2052"/>
    <w:rsid w:val="003E324F"/>
    <w:rsid w:val="003E49F0"/>
    <w:rsid w:val="003E6335"/>
    <w:rsid w:val="003F334E"/>
    <w:rsid w:val="003F5586"/>
    <w:rsid w:val="00415A83"/>
    <w:rsid w:val="00417D5F"/>
    <w:rsid w:val="00430733"/>
    <w:rsid w:val="00457CF9"/>
    <w:rsid w:val="004607E9"/>
    <w:rsid w:val="004621D0"/>
    <w:rsid w:val="00476F40"/>
    <w:rsid w:val="004804BE"/>
    <w:rsid w:val="0048284D"/>
    <w:rsid w:val="004941B0"/>
    <w:rsid w:val="004A4396"/>
    <w:rsid w:val="004B67E2"/>
    <w:rsid w:val="004C7157"/>
    <w:rsid w:val="004D66F4"/>
    <w:rsid w:val="004F4344"/>
    <w:rsid w:val="004F4612"/>
    <w:rsid w:val="00523ECE"/>
    <w:rsid w:val="00536F9B"/>
    <w:rsid w:val="00540267"/>
    <w:rsid w:val="00542040"/>
    <w:rsid w:val="0054756C"/>
    <w:rsid w:val="00561857"/>
    <w:rsid w:val="005805F3"/>
    <w:rsid w:val="005C4266"/>
    <w:rsid w:val="005D5EF7"/>
    <w:rsid w:val="005F03ED"/>
    <w:rsid w:val="005F4B8D"/>
    <w:rsid w:val="005F6D49"/>
    <w:rsid w:val="00601210"/>
    <w:rsid w:val="006038B9"/>
    <w:rsid w:val="006129CD"/>
    <w:rsid w:val="00654FD3"/>
    <w:rsid w:val="00670195"/>
    <w:rsid w:val="00673F68"/>
    <w:rsid w:val="00681DE1"/>
    <w:rsid w:val="00684009"/>
    <w:rsid w:val="00686B0B"/>
    <w:rsid w:val="006A1B2C"/>
    <w:rsid w:val="006A3B25"/>
    <w:rsid w:val="006B2831"/>
    <w:rsid w:val="006D3654"/>
    <w:rsid w:val="006D5797"/>
    <w:rsid w:val="006D7AFA"/>
    <w:rsid w:val="006E4E97"/>
    <w:rsid w:val="00702CFF"/>
    <w:rsid w:val="00721DB9"/>
    <w:rsid w:val="00724EC2"/>
    <w:rsid w:val="00733149"/>
    <w:rsid w:val="00736E8D"/>
    <w:rsid w:val="007454AF"/>
    <w:rsid w:val="00745B74"/>
    <w:rsid w:val="00752093"/>
    <w:rsid w:val="00753CDE"/>
    <w:rsid w:val="007719DA"/>
    <w:rsid w:val="00783515"/>
    <w:rsid w:val="007903F3"/>
    <w:rsid w:val="007A1C7D"/>
    <w:rsid w:val="007B620B"/>
    <w:rsid w:val="007C12EB"/>
    <w:rsid w:val="007C4158"/>
    <w:rsid w:val="007C604C"/>
    <w:rsid w:val="007D74D6"/>
    <w:rsid w:val="007E4DF8"/>
    <w:rsid w:val="007F038B"/>
    <w:rsid w:val="007F2214"/>
    <w:rsid w:val="00812B40"/>
    <w:rsid w:val="008301C9"/>
    <w:rsid w:val="008322D4"/>
    <w:rsid w:val="00833765"/>
    <w:rsid w:val="00851145"/>
    <w:rsid w:val="0085327D"/>
    <w:rsid w:val="008607C2"/>
    <w:rsid w:val="00871235"/>
    <w:rsid w:val="008866AB"/>
    <w:rsid w:val="008A7D2D"/>
    <w:rsid w:val="008B09E9"/>
    <w:rsid w:val="008B303A"/>
    <w:rsid w:val="008C1BDD"/>
    <w:rsid w:val="008C5B9A"/>
    <w:rsid w:val="008C62C2"/>
    <w:rsid w:val="008E168D"/>
    <w:rsid w:val="008E36F7"/>
    <w:rsid w:val="0093301D"/>
    <w:rsid w:val="0093682D"/>
    <w:rsid w:val="00944C08"/>
    <w:rsid w:val="00960A46"/>
    <w:rsid w:val="00967F1B"/>
    <w:rsid w:val="0097177C"/>
    <w:rsid w:val="00972845"/>
    <w:rsid w:val="00973205"/>
    <w:rsid w:val="009743F9"/>
    <w:rsid w:val="00984074"/>
    <w:rsid w:val="00995C63"/>
    <w:rsid w:val="009A0BC0"/>
    <w:rsid w:val="009A4FAB"/>
    <w:rsid w:val="009B46B5"/>
    <w:rsid w:val="009C77F6"/>
    <w:rsid w:val="009C7D87"/>
    <w:rsid w:val="009C7F20"/>
    <w:rsid w:val="009D63F0"/>
    <w:rsid w:val="009E19CE"/>
    <w:rsid w:val="00A07773"/>
    <w:rsid w:val="00A265F9"/>
    <w:rsid w:val="00A52544"/>
    <w:rsid w:val="00A5308A"/>
    <w:rsid w:val="00A55C74"/>
    <w:rsid w:val="00A656C5"/>
    <w:rsid w:val="00A71595"/>
    <w:rsid w:val="00A741B9"/>
    <w:rsid w:val="00AA117E"/>
    <w:rsid w:val="00AA5BD7"/>
    <w:rsid w:val="00AA5D5E"/>
    <w:rsid w:val="00AA60FD"/>
    <w:rsid w:val="00AD100C"/>
    <w:rsid w:val="00AD108A"/>
    <w:rsid w:val="00AD4371"/>
    <w:rsid w:val="00AF3D1B"/>
    <w:rsid w:val="00AF4788"/>
    <w:rsid w:val="00B01705"/>
    <w:rsid w:val="00B02E9A"/>
    <w:rsid w:val="00B04F71"/>
    <w:rsid w:val="00B05493"/>
    <w:rsid w:val="00B107A2"/>
    <w:rsid w:val="00B122C5"/>
    <w:rsid w:val="00B2103F"/>
    <w:rsid w:val="00B23C5D"/>
    <w:rsid w:val="00B25EEA"/>
    <w:rsid w:val="00B2646E"/>
    <w:rsid w:val="00B5306E"/>
    <w:rsid w:val="00B622C1"/>
    <w:rsid w:val="00B67267"/>
    <w:rsid w:val="00B71E63"/>
    <w:rsid w:val="00B75D01"/>
    <w:rsid w:val="00B857C9"/>
    <w:rsid w:val="00B91197"/>
    <w:rsid w:val="00B95EDD"/>
    <w:rsid w:val="00B971D2"/>
    <w:rsid w:val="00BA246D"/>
    <w:rsid w:val="00BA7396"/>
    <w:rsid w:val="00BB053A"/>
    <w:rsid w:val="00BC3ECB"/>
    <w:rsid w:val="00BD4282"/>
    <w:rsid w:val="00BD6224"/>
    <w:rsid w:val="00BD6FBF"/>
    <w:rsid w:val="00BF4F22"/>
    <w:rsid w:val="00C179F9"/>
    <w:rsid w:val="00C24D48"/>
    <w:rsid w:val="00C45DFA"/>
    <w:rsid w:val="00C47859"/>
    <w:rsid w:val="00C5148C"/>
    <w:rsid w:val="00C53E2E"/>
    <w:rsid w:val="00C55713"/>
    <w:rsid w:val="00C619A5"/>
    <w:rsid w:val="00C72668"/>
    <w:rsid w:val="00C733B7"/>
    <w:rsid w:val="00C76334"/>
    <w:rsid w:val="00C80735"/>
    <w:rsid w:val="00C82353"/>
    <w:rsid w:val="00C87DA2"/>
    <w:rsid w:val="00C93FC3"/>
    <w:rsid w:val="00CD2A63"/>
    <w:rsid w:val="00CD41A6"/>
    <w:rsid w:val="00CD70C7"/>
    <w:rsid w:val="00CD7B75"/>
    <w:rsid w:val="00CF02C0"/>
    <w:rsid w:val="00CF71A5"/>
    <w:rsid w:val="00D06D2A"/>
    <w:rsid w:val="00D27C82"/>
    <w:rsid w:val="00D34B56"/>
    <w:rsid w:val="00D34EE9"/>
    <w:rsid w:val="00D4308A"/>
    <w:rsid w:val="00DA0063"/>
    <w:rsid w:val="00DD4B0C"/>
    <w:rsid w:val="00DE6385"/>
    <w:rsid w:val="00DF41FB"/>
    <w:rsid w:val="00E01D21"/>
    <w:rsid w:val="00E06039"/>
    <w:rsid w:val="00E13157"/>
    <w:rsid w:val="00E3478E"/>
    <w:rsid w:val="00E54D7F"/>
    <w:rsid w:val="00E62640"/>
    <w:rsid w:val="00E672E3"/>
    <w:rsid w:val="00E721E9"/>
    <w:rsid w:val="00E811AB"/>
    <w:rsid w:val="00E944E9"/>
    <w:rsid w:val="00EA3658"/>
    <w:rsid w:val="00EC2888"/>
    <w:rsid w:val="00EC2BFB"/>
    <w:rsid w:val="00EC7466"/>
    <w:rsid w:val="00ED0AF4"/>
    <w:rsid w:val="00ED4766"/>
    <w:rsid w:val="00EF08CC"/>
    <w:rsid w:val="00F010C7"/>
    <w:rsid w:val="00F064EA"/>
    <w:rsid w:val="00F11296"/>
    <w:rsid w:val="00F50154"/>
    <w:rsid w:val="00F50A16"/>
    <w:rsid w:val="00F5764F"/>
    <w:rsid w:val="00F57C6A"/>
    <w:rsid w:val="00F628E6"/>
    <w:rsid w:val="00F732CC"/>
    <w:rsid w:val="00F7433F"/>
    <w:rsid w:val="00FA79E8"/>
    <w:rsid w:val="00FB6BD5"/>
    <w:rsid w:val="00FB7CBA"/>
    <w:rsid w:val="00FD1BB4"/>
    <w:rsid w:val="00FD468A"/>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3A8E8"/>
  <w15:docId w15:val="{C549D9B1-1B7C-486F-8858-5D63B3D9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67592">
      <w:bodyDiv w:val="1"/>
      <w:marLeft w:val="0"/>
      <w:marRight w:val="0"/>
      <w:marTop w:val="0"/>
      <w:marBottom w:val="0"/>
      <w:divBdr>
        <w:top w:val="none" w:sz="0" w:space="0" w:color="auto"/>
        <w:left w:val="none" w:sz="0" w:space="0" w:color="auto"/>
        <w:bottom w:val="none" w:sz="0" w:space="0" w:color="auto"/>
        <w:right w:val="none" w:sz="0" w:space="0" w:color="auto"/>
      </w:divBdr>
    </w:div>
    <w:div w:id="2051882164">
      <w:bodyDiv w:val="1"/>
      <w:marLeft w:val="0"/>
      <w:marRight w:val="0"/>
      <w:marTop w:val="0"/>
      <w:marBottom w:val="0"/>
      <w:divBdr>
        <w:top w:val="none" w:sz="0" w:space="0" w:color="auto"/>
        <w:left w:val="none" w:sz="0" w:space="0" w:color="auto"/>
        <w:bottom w:val="none" w:sz="0" w:space="0" w:color="auto"/>
        <w:right w:val="none" w:sz="0" w:space="0" w:color="auto"/>
      </w:divBdr>
    </w:div>
    <w:div w:id="21273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053A-F273-4E90-9A60-26DA7E43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15</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Anastasija Perucica</cp:lastModifiedBy>
  <cp:revision>50</cp:revision>
  <cp:lastPrinted>2025-12-01T07:06:00Z</cp:lastPrinted>
  <dcterms:created xsi:type="dcterms:W3CDTF">2024-08-29T07:00:00Z</dcterms:created>
  <dcterms:modified xsi:type="dcterms:W3CDTF">2025-12-02T10:33:00Z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5f2e0618806c93206c2683a214f85df3e863b8bb47381e28a6f9184c0b7cd1a4</vt:lpwstr>
  </property>
</Properties>
</file>