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910" w:rsidRPr="00FC4803" w:rsidRDefault="007D5910" w:rsidP="007D5910">
      <w:pPr>
        <w:pStyle w:val="Default"/>
        <w:jc w:val="both"/>
        <w:rPr>
          <w:sz w:val="22"/>
          <w:szCs w:val="22"/>
        </w:rPr>
      </w:pPr>
    </w:p>
    <w:p w:rsidR="007D5910" w:rsidRPr="00FC4803" w:rsidRDefault="007D5910" w:rsidP="007D5910">
      <w:pPr>
        <w:pStyle w:val="Default"/>
        <w:jc w:val="right"/>
        <w:rPr>
          <w:sz w:val="22"/>
          <w:szCs w:val="22"/>
        </w:rPr>
      </w:pPr>
      <w:r w:rsidRPr="00FC4803">
        <w:rPr>
          <w:b/>
          <w:bCs/>
          <w:sz w:val="22"/>
          <w:szCs w:val="22"/>
        </w:rPr>
        <w:t xml:space="preserve">Obrazac 5 </w:t>
      </w:r>
    </w:p>
    <w:p w:rsidR="007D5910" w:rsidRPr="00FC4803" w:rsidRDefault="007D5910" w:rsidP="007D5910">
      <w:pPr>
        <w:pStyle w:val="Default"/>
        <w:jc w:val="both"/>
        <w:rPr>
          <w:b/>
          <w:bCs/>
          <w:sz w:val="22"/>
          <w:szCs w:val="22"/>
        </w:rPr>
      </w:pPr>
    </w:p>
    <w:p w:rsidR="007D5910" w:rsidRPr="00FC4803" w:rsidRDefault="007D5910" w:rsidP="007D5910">
      <w:pPr>
        <w:pStyle w:val="Default"/>
        <w:jc w:val="both"/>
        <w:rPr>
          <w:b/>
          <w:bCs/>
          <w:sz w:val="22"/>
          <w:szCs w:val="22"/>
        </w:rPr>
      </w:pPr>
    </w:p>
    <w:p w:rsidR="007D5910" w:rsidRPr="00FC4803" w:rsidRDefault="007D5910" w:rsidP="007D5910">
      <w:pPr>
        <w:pStyle w:val="Default"/>
        <w:jc w:val="center"/>
        <w:rPr>
          <w:sz w:val="22"/>
          <w:szCs w:val="22"/>
        </w:rPr>
      </w:pPr>
      <w:r w:rsidRPr="00FC4803">
        <w:rPr>
          <w:b/>
          <w:bCs/>
          <w:sz w:val="22"/>
          <w:szCs w:val="22"/>
        </w:rPr>
        <w:t>MINISTARSTVO EKOLOGIJE, PROSTORNOG PLANIRANJA I URBANIZMA</w:t>
      </w:r>
    </w:p>
    <w:p w:rsidR="007D5910" w:rsidRPr="00FC4803" w:rsidRDefault="007D5910" w:rsidP="007D5910">
      <w:pPr>
        <w:pStyle w:val="Default"/>
        <w:jc w:val="both"/>
        <w:rPr>
          <w:b/>
          <w:bCs/>
          <w:sz w:val="22"/>
          <w:szCs w:val="22"/>
        </w:rPr>
      </w:pPr>
    </w:p>
    <w:p w:rsidR="007D5910" w:rsidRPr="00FC4803" w:rsidRDefault="007D5910" w:rsidP="007D5910">
      <w:pPr>
        <w:pStyle w:val="Default"/>
        <w:jc w:val="center"/>
        <w:rPr>
          <w:b/>
          <w:bCs/>
          <w:sz w:val="22"/>
          <w:szCs w:val="22"/>
        </w:rPr>
      </w:pPr>
      <w:r w:rsidRPr="00FC4803">
        <w:rPr>
          <w:b/>
          <w:bCs/>
          <w:sz w:val="22"/>
          <w:szCs w:val="22"/>
        </w:rPr>
        <w:t>IZVJEŠTAJ O SPROVEDENOJ JAVNOJ RASPRAVI O TEKSTU NACRTA STRATEGIJE UPRAVLJANJA KVALITETOM VAZDUHA ZA PERIOD 2021-2029. GODINA SA AKCIONIM PLANOM ZA PERIOD 2021-2022. GODINA</w:t>
      </w:r>
    </w:p>
    <w:p w:rsidR="007D5910" w:rsidRPr="00FC4803" w:rsidRDefault="007D5910" w:rsidP="007D5910">
      <w:pPr>
        <w:pStyle w:val="Default"/>
        <w:jc w:val="both"/>
        <w:rPr>
          <w:b/>
          <w:bCs/>
          <w:sz w:val="22"/>
          <w:szCs w:val="22"/>
        </w:rPr>
      </w:pPr>
    </w:p>
    <w:p w:rsidR="007D5910" w:rsidRPr="00FC4803" w:rsidRDefault="007D5910" w:rsidP="007D5910">
      <w:pPr>
        <w:pStyle w:val="Default"/>
        <w:jc w:val="both"/>
        <w:rPr>
          <w:b/>
          <w:bCs/>
          <w:sz w:val="22"/>
          <w:szCs w:val="22"/>
        </w:rPr>
      </w:pPr>
    </w:p>
    <w:p w:rsidR="007D5910" w:rsidRPr="00FC4803" w:rsidRDefault="007D5910" w:rsidP="007D5910">
      <w:pPr>
        <w:pStyle w:val="Default"/>
        <w:jc w:val="both"/>
        <w:rPr>
          <w:sz w:val="22"/>
          <w:szCs w:val="22"/>
        </w:rPr>
      </w:pPr>
    </w:p>
    <w:p w:rsidR="007D5910" w:rsidRPr="00FC4803" w:rsidRDefault="007D5910" w:rsidP="00FC4803">
      <w:pPr>
        <w:jc w:val="both"/>
        <w:rPr>
          <w:rFonts w:ascii="Arial" w:hAnsi="Arial" w:cs="Arial"/>
          <w:color w:val="000000"/>
        </w:rPr>
      </w:pPr>
      <w:r w:rsidRPr="00FC4803">
        <w:rPr>
          <w:rFonts w:ascii="Arial" w:hAnsi="Arial" w:cs="Arial"/>
          <w:color w:val="000000"/>
        </w:rPr>
        <w:t xml:space="preserve">U skladu s Uredbom o izboru predstavnika nevladinih organizacija u radna tijela organa državne uprave i sprovođenju javne rasprave u pripremi zakona i strategija ("Sl. list CG", broj 041/18), Ministarstvo </w:t>
      </w:r>
      <w:r w:rsidR="00FC4803" w:rsidRPr="00FC4803">
        <w:rPr>
          <w:rFonts w:ascii="Arial" w:hAnsi="Arial" w:cs="Arial"/>
          <w:color w:val="000000"/>
        </w:rPr>
        <w:t xml:space="preserve">ekologije, prostornog planiranja i urbanizma </w:t>
      </w:r>
      <w:r w:rsidRPr="00FC4803">
        <w:rPr>
          <w:rFonts w:ascii="Arial" w:hAnsi="Arial" w:cs="Arial"/>
          <w:color w:val="000000"/>
        </w:rPr>
        <w:t xml:space="preserve">je obavijestilo zainteresovanu javnost </w:t>
      </w:r>
      <w:r w:rsidR="00FC4803" w:rsidRPr="00FC4803">
        <w:rPr>
          <w:rFonts w:ascii="Arial" w:hAnsi="Arial" w:cs="Arial"/>
          <w:color w:val="000000"/>
        </w:rPr>
        <w:t xml:space="preserve">29. Marta </w:t>
      </w:r>
      <w:r w:rsidRPr="00FC4803">
        <w:rPr>
          <w:rFonts w:ascii="Arial" w:hAnsi="Arial" w:cs="Arial"/>
          <w:color w:val="000000"/>
        </w:rPr>
        <w:t>202</w:t>
      </w:r>
      <w:r w:rsidR="00FC4803" w:rsidRPr="00FC4803">
        <w:rPr>
          <w:rFonts w:ascii="Arial" w:hAnsi="Arial" w:cs="Arial"/>
          <w:color w:val="000000"/>
        </w:rPr>
        <w:t>1</w:t>
      </w:r>
      <w:r w:rsidRPr="00FC4803">
        <w:rPr>
          <w:rFonts w:ascii="Arial" w:hAnsi="Arial" w:cs="Arial"/>
          <w:color w:val="000000"/>
        </w:rPr>
        <w:t xml:space="preserve">. godine da je pokrenulo postupak javne rasprave o tekstu </w:t>
      </w:r>
      <w:r w:rsidR="00FC4803" w:rsidRPr="00FC4803">
        <w:rPr>
          <w:rFonts w:ascii="Arial" w:hAnsi="Arial" w:cs="Arial"/>
          <w:color w:val="000000"/>
        </w:rPr>
        <w:t xml:space="preserve">Nacrta strategije upravljanja kvalitetom vazduha za period 2021-2029. godina sa akcionim planom za period 2021-2022. godina. </w:t>
      </w:r>
      <w:r w:rsidRPr="00FC4803">
        <w:rPr>
          <w:rFonts w:ascii="Arial" w:hAnsi="Arial" w:cs="Arial"/>
          <w:color w:val="000000"/>
        </w:rPr>
        <w:t xml:space="preserve">Javna rasprava je trajala do </w:t>
      </w:r>
      <w:r w:rsidR="00FC4803" w:rsidRPr="00FC4803">
        <w:rPr>
          <w:rFonts w:ascii="Arial" w:hAnsi="Arial" w:cs="Arial"/>
          <w:color w:val="000000"/>
        </w:rPr>
        <w:t>8</w:t>
      </w:r>
      <w:r w:rsidRPr="00FC4803">
        <w:rPr>
          <w:rFonts w:ascii="Arial" w:hAnsi="Arial" w:cs="Arial"/>
          <w:color w:val="000000"/>
        </w:rPr>
        <w:t xml:space="preserve">. </w:t>
      </w:r>
      <w:r w:rsidR="00FC4803" w:rsidRPr="00FC4803">
        <w:rPr>
          <w:rFonts w:ascii="Arial" w:hAnsi="Arial" w:cs="Arial"/>
          <w:color w:val="000000"/>
        </w:rPr>
        <w:t>maja</w:t>
      </w:r>
      <w:r w:rsidRPr="00FC4803">
        <w:rPr>
          <w:rFonts w:ascii="Arial" w:hAnsi="Arial" w:cs="Arial"/>
          <w:color w:val="000000"/>
        </w:rPr>
        <w:t xml:space="preserve"> 202</w:t>
      </w:r>
      <w:r w:rsidR="00FC4803" w:rsidRPr="00FC4803">
        <w:rPr>
          <w:rFonts w:ascii="Arial" w:hAnsi="Arial" w:cs="Arial"/>
          <w:color w:val="000000"/>
        </w:rPr>
        <w:t>1</w:t>
      </w:r>
      <w:r w:rsidRPr="00FC4803">
        <w:rPr>
          <w:rFonts w:ascii="Arial" w:hAnsi="Arial" w:cs="Arial"/>
          <w:color w:val="000000"/>
        </w:rPr>
        <w:t>. godine (</w:t>
      </w:r>
      <w:r w:rsidR="00FC4803" w:rsidRPr="00FC4803">
        <w:rPr>
          <w:rFonts w:ascii="Arial" w:hAnsi="Arial" w:cs="Arial"/>
          <w:color w:val="000000"/>
        </w:rPr>
        <w:t>4</w:t>
      </w:r>
      <w:r w:rsidRPr="00FC4803">
        <w:rPr>
          <w:rFonts w:ascii="Arial" w:hAnsi="Arial" w:cs="Arial"/>
          <w:color w:val="000000"/>
        </w:rPr>
        <w:t xml:space="preserve">0 dana). </w:t>
      </w:r>
    </w:p>
    <w:p w:rsidR="007D5910" w:rsidRPr="00FC4803" w:rsidRDefault="007D5910" w:rsidP="007D5910">
      <w:pPr>
        <w:pStyle w:val="Default"/>
        <w:jc w:val="both"/>
        <w:rPr>
          <w:sz w:val="22"/>
          <w:szCs w:val="22"/>
        </w:rPr>
      </w:pPr>
    </w:p>
    <w:p w:rsidR="007D5910" w:rsidRDefault="007D5910" w:rsidP="007D5910">
      <w:pPr>
        <w:pStyle w:val="Default"/>
        <w:jc w:val="both"/>
        <w:rPr>
          <w:sz w:val="22"/>
          <w:szCs w:val="22"/>
        </w:rPr>
      </w:pPr>
      <w:r w:rsidRPr="00FC4803">
        <w:rPr>
          <w:sz w:val="22"/>
          <w:szCs w:val="22"/>
        </w:rPr>
        <w:t xml:space="preserve">Tekst </w:t>
      </w:r>
      <w:r w:rsidR="00FC4803" w:rsidRPr="00FC4803">
        <w:rPr>
          <w:sz w:val="22"/>
          <w:szCs w:val="22"/>
        </w:rPr>
        <w:t xml:space="preserve">Nacrta strategije upravljanja kvalitetom vazduha za period 2021-2029. godina sa akcionim planom za period 2021-2022. godina </w:t>
      </w:r>
      <w:r w:rsidRPr="00FC4803">
        <w:rPr>
          <w:sz w:val="22"/>
          <w:szCs w:val="22"/>
        </w:rPr>
        <w:t>postavljen</w:t>
      </w:r>
      <w:r w:rsidR="00FC4803" w:rsidRPr="00FC4803">
        <w:rPr>
          <w:sz w:val="22"/>
          <w:szCs w:val="22"/>
        </w:rPr>
        <w:t xml:space="preserve"> je </w:t>
      </w:r>
      <w:r w:rsidRPr="00FC4803">
        <w:rPr>
          <w:sz w:val="22"/>
          <w:szCs w:val="22"/>
        </w:rPr>
        <w:t xml:space="preserve">na internet stranici Ministarstva </w:t>
      </w:r>
      <w:r w:rsidR="00FC4803" w:rsidRPr="00FC4803">
        <w:rPr>
          <w:sz w:val="22"/>
          <w:szCs w:val="22"/>
        </w:rPr>
        <w:t xml:space="preserve">ekologije, prostornog planiranja i urbanizma </w:t>
      </w:r>
      <w:r w:rsidRPr="00FC4803">
        <w:rPr>
          <w:sz w:val="22"/>
          <w:szCs w:val="22"/>
        </w:rPr>
        <w:t>i portalu e-Uprave. Ministarstvo je na taj način uputilo poziv građanima, stručnim i naučnim institucijama, državnim organima, strukovnim udruženjima, nevladinim organizacijama, medijima i drugim zainteresovanim organizacijama i zajednicama da se uključe u javnu raspravu i daju svoje prijedloge, primjedbe i sugestije</w:t>
      </w:r>
      <w:r w:rsidR="00FC4803">
        <w:rPr>
          <w:sz w:val="22"/>
          <w:szCs w:val="22"/>
        </w:rPr>
        <w:t xml:space="preserve">. </w:t>
      </w:r>
      <w:r w:rsidRPr="00FC4803">
        <w:rPr>
          <w:sz w:val="22"/>
          <w:szCs w:val="22"/>
        </w:rPr>
        <w:t xml:space="preserve">Primjedbe, predlozi i sugestije dostavljeni su Direktoratu za </w:t>
      </w:r>
      <w:r w:rsidR="00FC4803">
        <w:rPr>
          <w:sz w:val="22"/>
          <w:szCs w:val="22"/>
        </w:rPr>
        <w:t>ekologiju</w:t>
      </w:r>
      <w:r w:rsidRPr="00FC4803">
        <w:rPr>
          <w:sz w:val="22"/>
          <w:szCs w:val="22"/>
        </w:rPr>
        <w:t xml:space="preserve">, IV Proleterske br. 19, 81 000 Podgorica, u pisanom obliku putem pošte ili lično, ili u elektronskom obliku na e-mail adresu: javna.rasprava@mrt.gov.me, na Obrascu broj 4: „Primjedbe, predlozi i </w:t>
      </w:r>
      <w:proofErr w:type="gramStart"/>
      <w:r w:rsidRPr="00FC4803">
        <w:rPr>
          <w:sz w:val="22"/>
          <w:szCs w:val="22"/>
        </w:rPr>
        <w:t>sugestije“</w:t>
      </w:r>
      <w:proofErr w:type="gramEnd"/>
      <w:r w:rsidRPr="00FC4803">
        <w:rPr>
          <w:sz w:val="22"/>
          <w:szCs w:val="22"/>
        </w:rPr>
        <w:t xml:space="preserve">, koji je sastavni dio Uredbe o izboru predstavnika nevladinih organizacija u radna tijela organa državne uprave i sprovođenju javne rasprave u pripremi zakona i strategija. </w:t>
      </w:r>
    </w:p>
    <w:p w:rsidR="00FC4803" w:rsidRDefault="00FC4803" w:rsidP="007D5910">
      <w:pPr>
        <w:pStyle w:val="Default"/>
        <w:jc w:val="both"/>
        <w:rPr>
          <w:sz w:val="22"/>
          <w:szCs w:val="22"/>
        </w:rPr>
      </w:pPr>
    </w:p>
    <w:p w:rsidR="00FC4803" w:rsidRDefault="00FC4803" w:rsidP="00FC4803">
      <w:pPr>
        <w:pStyle w:val="Default"/>
        <w:jc w:val="both"/>
        <w:rPr>
          <w:sz w:val="22"/>
          <w:szCs w:val="22"/>
        </w:rPr>
      </w:pPr>
      <w:r w:rsidRPr="00FC4803">
        <w:rPr>
          <w:sz w:val="22"/>
          <w:szCs w:val="22"/>
        </w:rPr>
        <w:t xml:space="preserve">Imajući u vidu složenu epidemiološku situaciju uzrokovanu pandemijom virusa COVID 19 i rizik koji nosi okupljanje u zatvorenom prostoru, u okviru javne rasprave nije organizovan okrugli sto, već je u periodu njenog trajanja od </w:t>
      </w:r>
      <w:r>
        <w:rPr>
          <w:sz w:val="22"/>
          <w:szCs w:val="22"/>
        </w:rPr>
        <w:t>4</w:t>
      </w:r>
      <w:r w:rsidRPr="00FC4803">
        <w:rPr>
          <w:sz w:val="22"/>
          <w:szCs w:val="22"/>
        </w:rPr>
        <w:t>0 dana zainteresovanim licima bilo omogućeno dostavljanje primjedbi, predloga i sugestija u pisanom i elektronskom obliku.</w:t>
      </w:r>
    </w:p>
    <w:p w:rsidR="00FC4803" w:rsidRPr="00FC4803" w:rsidRDefault="00FC4803" w:rsidP="00FC4803">
      <w:pPr>
        <w:pStyle w:val="Default"/>
        <w:jc w:val="both"/>
        <w:rPr>
          <w:sz w:val="22"/>
          <w:szCs w:val="22"/>
        </w:rPr>
      </w:pPr>
    </w:p>
    <w:p w:rsidR="00384817" w:rsidRDefault="007D5910" w:rsidP="007D5910">
      <w:pPr>
        <w:pStyle w:val="Default"/>
        <w:jc w:val="both"/>
        <w:rPr>
          <w:color w:val="auto"/>
          <w:sz w:val="22"/>
          <w:szCs w:val="22"/>
        </w:rPr>
      </w:pPr>
      <w:r w:rsidRPr="00FC4803">
        <w:rPr>
          <w:color w:val="auto"/>
          <w:sz w:val="22"/>
          <w:szCs w:val="22"/>
        </w:rPr>
        <w:t xml:space="preserve">U toku trajanja javne rasprave dostavljene su primjedbe učesnika elektronskim putem i/ili redovnom poštom, i to: </w:t>
      </w:r>
    </w:p>
    <w:p w:rsidR="00036C0E" w:rsidRDefault="00036C0E" w:rsidP="007D5910">
      <w:pPr>
        <w:pStyle w:val="Default"/>
        <w:jc w:val="both"/>
        <w:rPr>
          <w:color w:val="auto"/>
          <w:sz w:val="22"/>
          <w:szCs w:val="22"/>
        </w:rPr>
      </w:pPr>
    </w:p>
    <w:p w:rsidR="00524F5B" w:rsidRDefault="00036C0E" w:rsidP="00BD13DE">
      <w:pPr>
        <w:pStyle w:val="Default"/>
        <w:numPr>
          <w:ilvl w:val="0"/>
          <w:numId w:val="7"/>
        </w:numPr>
        <w:jc w:val="both"/>
        <w:rPr>
          <w:color w:val="auto"/>
          <w:sz w:val="22"/>
          <w:szCs w:val="22"/>
        </w:rPr>
      </w:pPr>
      <w:r w:rsidRPr="00524F5B">
        <w:rPr>
          <w:color w:val="auto"/>
          <w:sz w:val="22"/>
          <w:szCs w:val="22"/>
        </w:rPr>
        <w:t xml:space="preserve">Zajednica opština Crne Gore, Opština Kotor, </w:t>
      </w:r>
      <w:r w:rsidR="00524F5B" w:rsidRPr="00524F5B">
        <w:rPr>
          <w:color w:val="auto"/>
          <w:sz w:val="22"/>
          <w:szCs w:val="22"/>
        </w:rPr>
        <w:t xml:space="preserve">Opština Tivat, </w:t>
      </w:r>
      <w:r w:rsidRPr="00524F5B">
        <w:rPr>
          <w:color w:val="auto"/>
          <w:sz w:val="22"/>
          <w:szCs w:val="22"/>
        </w:rPr>
        <w:t>Prijestonica Cetinje, Opština Bijelo Polje, Opština Pljevlja, Opština Nikšić, Glavni grad Podgorica, NVO Green Home</w:t>
      </w:r>
      <w:r w:rsidR="00524F5B" w:rsidRPr="00524F5B">
        <w:rPr>
          <w:color w:val="auto"/>
          <w:sz w:val="22"/>
          <w:szCs w:val="22"/>
        </w:rPr>
        <w:t xml:space="preserve"> i Fond za zaštitu životne sredine. Opštin</w:t>
      </w:r>
      <w:r w:rsidR="00524F5B">
        <w:rPr>
          <w:color w:val="auto"/>
          <w:sz w:val="22"/>
          <w:szCs w:val="22"/>
        </w:rPr>
        <w:t xml:space="preserve">e </w:t>
      </w:r>
      <w:r w:rsidR="00524F5B" w:rsidRPr="00524F5B">
        <w:rPr>
          <w:color w:val="auto"/>
          <w:sz w:val="22"/>
          <w:szCs w:val="22"/>
        </w:rPr>
        <w:t>Mojkovac</w:t>
      </w:r>
      <w:r w:rsidR="00524F5B">
        <w:rPr>
          <w:color w:val="auto"/>
          <w:sz w:val="22"/>
          <w:szCs w:val="22"/>
        </w:rPr>
        <w:t xml:space="preserve"> i </w:t>
      </w:r>
      <w:r w:rsidR="00524F5B" w:rsidRPr="00524F5B">
        <w:rPr>
          <w:color w:val="auto"/>
          <w:sz w:val="22"/>
          <w:szCs w:val="22"/>
        </w:rPr>
        <w:t>Berane</w:t>
      </w:r>
      <w:r w:rsidR="00524F5B">
        <w:rPr>
          <w:color w:val="auto"/>
          <w:sz w:val="22"/>
          <w:szCs w:val="22"/>
        </w:rPr>
        <w:t xml:space="preserve"> obavijestile su Ministarstvo da nemaju primjedbi.  </w:t>
      </w:r>
    </w:p>
    <w:p w:rsidR="00524F5B" w:rsidRDefault="00524F5B" w:rsidP="00524F5B">
      <w:pPr>
        <w:pStyle w:val="Default"/>
        <w:jc w:val="both"/>
        <w:rPr>
          <w:color w:val="auto"/>
          <w:sz w:val="22"/>
          <w:szCs w:val="22"/>
        </w:rPr>
      </w:pPr>
    </w:p>
    <w:p w:rsidR="00524F5B" w:rsidRDefault="00524F5B" w:rsidP="00524F5B">
      <w:pPr>
        <w:pStyle w:val="Default"/>
        <w:jc w:val="both"/>
        <w:rPr>
          <w:color w:val="auto"/>
          <w:sz w:val="22"/>
          <w:szCs w:val="22"/>
        </w:rPr>
      </w:pPr>
    </w:p>
    <w:p w:rsidR="00524F5B" w:rsidRDefault="00524F5B" w:rsidP="00524F5B">
      <w:pPr>
        <w:pStyle w:val="Default"/>
        <w:jc w:val="both"/>
        <w:rPr>
          <w:color w:val="auto"/>
          <w:sz w:val="22"/>
          <w:szCs w:val="22"/>
        </w:rPr>
      </w:pPr>
    </w:p>
    <w:p w:rsidR="00524F5B" w:rsidRPr="00524F5B" w:rsidRDefault="00524F5B" w:rsidP="00524F5B">
      <w:pPr>
        <w:pStyle w:val="Default"/>
        <w:jc w:val="both"/>
        <w:rPr>
          <w:color w:val="auto"/>
          <w:sz w:val="22"/>
          <w:szCs w:val="22"/>
        </w:rPr>
      </w:pPr>
    </w:p>
    <w:p w:rsidR="00384817" w:rsidRDefault="00384817" w:rsidP="007D5910">
      <w:pPr>
        <w:pStyle w:val="Default"/>
        <w:jc w:val="both"/>
        <w:rPr>
          <w:color w:val="auto"/>
          <w:sz w:val="22"/>
          <w:szCs w:val="22"/>
        </w:rPr>
      </w:pPr>
    </w:p>
    <w:p w:rsidR="007D5910" w:rsidRDefault="00524F5B" w:rsidP="00524F5B">
      <w:pPr>
        <w:pStyle w:val="Heading2"/>
      </w:pPr>
      <w:r w:rsidRPr="00524F5B">
        <w:lastRenderedPageBreak/>
        <w:t>P</w:t>
      </w:r>
      <w:r w:rsidR="007D5910" w:rsidRPr="00524F5B">
        <w:t xml:space="preserve">regled dostavljanih primjedbi, predloga i sugestija, sa navedenim razlozima </w:t>
      </w:r>
      <w:r w:rsidRPr="00524F5B">
        <w:t xml:space="preserve">za </w:t>
      </w:r>
      <w:r w:rsidR="007D5910" w:rsidRPr="00524F5B">
        <w:t>njihovo prihvatanj</w:t>
      </w:r>
      <w:r w:rsidRPr="00524F5B">
        <w:t>e</w:t>
      </w:r>
      <w:r w:rsidR="007D5910" w:rsidRPr="00524F5B">
        <w:t>, odnosno neprihvatanj</w:t>
      </w:r>
      <w:r w:rsidRPr="00524F5B">
        <w:t>e</w:t>
      </w:r>
      <w:r w:rsidR="007D5910" w:rsidRPr="00524F5B">
        <w:t xml:space="preserve">: </w:t>
      </w:r>
    </w:p>
    <w:p w:rsidR="00524F5B" w:rsidRDefault="00524F5B" w:rsidP="00524F5B"/>
    <w:p w:rsidR="00524F5B" w:rsidRPr="00F2402E" w:rsidRDefault="00524F5B" w:rsidP="00BD13DE">
      <w:pPr>
        <w:pStyle w:val="ListParagraph"/>
        <w:numPr>
          <w:ilvl w:val="0"/>
          <w:numId w:val="8"/>
        </w:numPr>
        <w:rPr>
          <w:u w:val="single"/>
        </w:rPr>
      </w:pPr>
      <w:r w:rsidRPr="00F2402E">
        <w:rPr>
          <w:u w:val="single"/>
        </w:rPr>
        <w:t>Zajednica opština Crne Gore</w:t>
      </w:r>
    </w:p>
    <w:p w:rsidR="005818BB" w:rsidRDefault="005818BB" w:rsidP="005818BB">
      <w:pPr>
        <w:jc w:val="both"/>
      </w:pPr>
      <w:r>
        <w:t xml:space="preserve">Sumirajući predloge i primjedbe jedinica lokalne samouprave koje su svoje sugestije na Nacrt strategije upravljanja kvalitetom vazduha dostavile preko Zajednice opština, koja je tokom čitavog trajanja javnih konsultacija o potrebi i načinu izrade novog strateškog dokumenta u ovoj oblasti značajan partner Ministarstva, Zajednica opština Crne Gore ukazala je na tri </w:t>
      </w:r>
      <w:r w:rsidR="002032D6">
        <w:t xml:space="preserve">važna aspekta u planiranju mjera za poboljšanje kvaliteta vazduha: </w:t>
      </w:r>
    </w:p>
    <w:p w:rsidR="002032D6" w:rsidRDefault="002032D6" w:rsidP="00522209">
      <w:pPr>
        <w:pStyle w:val="ListParagraph"/>
        <w:numPr>
          <w:ilvl w:val="1"/>
          <w:numId w:val="8"/>
        </w:numPr>
        <w:jc w:val="both"/>
      </w:pPr>
      <w:r>
        <w:t xml:space="preserve">Jedinice lokalne samouprave ne raspolažu adekvatnim resursima za izvršavanje finansijski zahtjevnih obaveza iz Poglavlja 27, zbog čega je Zajednica opština u više navrata tražila od resornog ministarstva izmjene i dopune Zakona o životnoj sredini kojim bi se utvrdili bliži kriterijumi za uvođenje naknade za unapređenje životne sredine na lokalnom nivou;  </w:t>
      </w:r>
    </w:p>
    <w:p w:rsidR="006C2D03" w:rsidRDefault="006C2D03" w:rsidP="006C2D03">
      <w:pPr>
        <w:jc w:val="both"/>
        <w:rPr>
          <w:b/>
        </w:rPr>
      </w:pPr>
      <w:r w:rsidRPr="006C2D03">
        <w:rPr>
          <w:b/>
        </w:rPr>
        <w:t>PRIMJEDBA SE NE PRIHVATA</w:t>
      </w:r>
    </w:p>
    <w:p w:rsidR="00851566" w:rsidRPr="00851566" w:rsidRDefault="0087463C" w:rsidP="006C2D03">
      <w:pPr>
        <w:jc w:val="both"/>
      </w:pPr>
      <w:r>
        <w:t>I pored</w:t>
      </w:r>
      <w:r w:rsidR="00851566">
        <w:t xml:space="preserve"> razumijevanja za zabrinutost Zajednice opština u pogledu finansijskih mogućnosti jedinica lokalne samouprave da se suoče sa problemima zagađenosti vazduha i ostalih ekoloških zahtjeva </w:t>
      </w:r>
      <w:r>
        <w:t xml:space="preserve">u okviru </w:t>
      </w:r>
      <w:r w:rsidR="00851566">
        <w:t>procesa evropskih integracija</w:t>
      </w:r>
      <w:r>
        <w:t xml:space="preserve">, inicijativa za izmjene Zakona o životnoj sredini i utvrđivanje bližih kriterijuma </w:t>
      </w:r>
      <w:r w:rsidRPr="0087463C">
        <w:t>za uvođenje naknade za unapređenje životne sredine na lokalnom nivou</w:t>
      </w:r>
      <w:r w:rsidR="00522209">
        <w:t xml:space="preserve"> je van okvira ovog strateškog dokumenta. Imajući u vidu ograničene kapacitete jedinica lokalnih samouprava za sprovođenje Planova kvaliteta vazduha, novina u ovom strateškom dikumentu je racionalizacija strateških dokumenata, tako da Strategija upravljanja kvalitetom vazduha obuhvata planove kvaliteta vazduha za sve tri zone kvaliteta vazduha u Crnoj Gori, te će se koordinacija sprovođenja i izvještavanja vršiti na državnom nivou. Kroz zajedničko kreiranje politike</w:t>
      </w:r>
      <w:r w:rsidR="003D3709">
        <w:t xml:space="preserve"> zaštite vazduha</w:t>
      </w:r>
      <w:r w:rsidR="00522209">
        <w:t xml:space="preserve">, pri izboru mjera se vodi računa o aktivnostima koje jedinice lokalne samouprave mogu da finansiraju iz svojih budžeta. </w:t>
      </w:r>
    </w:p>
    <w:p w:rsidR="00522209" w:rsidRDefault="002032D6" w:rsidP="00522209">
      <w:pPr>
        <w:pStyle w:val="ListParagraph"/>
        <w:numPr>
          <w:ilvl w:val="1"/>
          <w:numId w:val="8"/>
        </w:numPr>
        <w:jc w:val="both"/>
      </w:pPr>
      <w:r w:rsidRPr="00522209">
        <w:t xml:space="preserve">U skladu sa Zakonom o efikasnom korišćenju energije finansiranje mjera energetske efikasnosti jedinica lokalne samouprave može se obezbjediti iz budžeta Crne Gore, za mjere iz trogodišnjeg lokalnog Programa energetske efikasnosti koje su u skladu sa Akcionim planom usvojenim na državnom nivou. S tim u vezi, potrebno je izvršiti adekvatno usklađivanje predmetnih strateških dokumenata i od konkretnih jedinica lokalne samouprave tražiti izjašnjenje da li su </w:t>
      </w:r>
      <w:r w:rsidR="00731BF6" w:rsidRPr="00522209">
        <w:t xml:space="preserve">budžetima obezbjedile potrebna sredstva; </w:t>
      </w:r>
    </w:p>
    <w:p w:rsidR="00522209" w:rsidRDefault="003D3709" w:rsidP="00522209">
      <w:pPr>
        <w:jc w:val="both"/>
        <w:rPr>
          <w:b/>
        </w:rPr>
      </w:pPr>
      <w:r w:rsidRPr="003D3709">
        <w:rPr>
          <w:b/>
        </w:rPr>
        <w:t>PRIMJEDBA SE PRIHVATA</w:t>
      </w:r>
    </w:p>
    <w:p w:rsidR="003D3709" w:rsidRPr="003D3709" w:rsidRDefault="003D3709" w:rsidP="00522209">
      <w:pPr>
        <w:jc w:val="both"/>
      </w:pPr>
      <w:r w:rsidRPr="003D3709">
        <w:t xml:space="preserve">U skladu sa </w:t>
      </w:r>
      <w:r>
        <w:t xml:space="preserve">gore navedenim komentarom, ističemo da su sredstva navedena u Akcionom planu obezbjeđena od strane Opštine Pljevlja, a da će se od Opštine Bijelo Polje tražiti izjašnjenje o sredstvima koja (150.000 €) za koja je tokom ove javne rasprave traženo da se uključe u Akcioni plan. Takođe je važno da se iz resora energetske efikasnosti </w:t>
      </w:r>
      <w:r w:rsidR="00F2402E">
        <w:t xml:space="preserve">pribavi mišljenje o usklađenosti strateškog pristupa. </w:t>
      </w:r>
    </w:p>
    <w:p w:rsidR="00731BF6" w:rsidRPr="00F2402E" w:rsidRDefault="00731BF6" w:rsidP="00F2402E">
      <w:pPr>
        <w:pStyle w:val="ListParagraph"/>
        <w:numPr>
          <w:ilvl w:val="1"/>
          <w:numId w:val="8"/>
        </w:numPr>
        <w:jc w:val="both"/>
      </w:pPr>
      <w:r w:rsidRPr="00F2402E">
        <w:t xml:space="preserve">Neophodna je bolja saradnja sa jedinicama lokalne samouprave, usaglašavanje aktivnosti i obaveza koje proizilaze iz različitih strateških dokumenata i zakonskih odredbi, u skladu sa mogućnostima i nadležnostima jedinica lokalne samouprave. </w:t>
      </w:r>
    </w:p>
    <w:p w:rsidR="00F2402E" w:rsidRDefault="00F2402E" w:rsidP="00DB2660">
      <w:pPr>
        <w:jc w:val="both"/>
        <w:rPr>
          <w:b/>
        </w:rPr>
      </w:pPr>
      <w:r w:rsidRPr="00F2402E">
        <w:rPr>
          <w:b/>
        </w:rPr>
        <w:lastRenderedPageBreak/>
        <w:t>PRIMJEDBA SE PRIHVATA</w:t>
      </w:r>
    </w:p>
    <w:p w:rsidR="00F2402E" w:rsidRDefault="00F2402E" w:rsidP="00DB2660">
      <w:pPr>
        <w:jc w:val="both"/>
      </w:pPr>
      <w:r w:rsidRPr="00F2402E">
        <w:t xml:space="preserve">Integralni tekst primjedbe integrisan je u tekst Nacrta strategije upravljanja kvalitetom vazduha za period 2021 -2029. godina. </w:t>
      </w:r>
    </w:p>
    <w:p w:rsidR="00941465" w:rsidRPr="00F2402E" w:rsidRDefault="00941465" w:rsidP="00F2402E">
      <w:pPr>
        <w:ind w:left="360"/>
        <w:jc w:val="both"/>
      </w:pPr>
    </w:p>
    <w:p w:rsidR="00731BF6" w:rsidRPr="00F2402E" w:rsidRDefault="00731BF6" w:rsidP="00BD13DE">
      <w:pPr>
        <w:pStyle w:val="ListParagraph"/>
        <w:numPr>
          <w:ilvl w:val="0"/>
          <w:numId w:val="8"/>
        </w:numPr>
        <w:rPr>
          <w:u w:val="single"/>
        </w:rPr>
      </w:pPr>
      <w:r w:rsidRPr="00F2402E">
        <w:rPr>
          <w:u w:val="single"/>
        </w:rPr>
        <w:t xml:space="preserve">Opština Pljevlja </w:t>
      </w:r>
    </w:p>
    <w:p w:rsidR="00731BF6" w:rsidRDefault="006B6398" w:rsidP="006B6398">
      <w:r>
        <w:t xml:space="preserve">Opština Pljevlja dostavila je tri sugestije: </w:t>
      </w:r>
    </w:p>
    <w:p w:rsidR="006B6398" w:rsidRPr="00476C87" w:rsidRDefault="006B6398" w:rsidP="00F2402E">
      <w:pPr>
        <w:pStyle w:val="ListParagraph"/>
        <w:numPr>
          <w:ilvl w:val="1"/>
          <w:numId w:val="8"/>
        </w:numPr>
        <w:jc w:val="both"/>
      </w:pPr>
      <w:r w:rsidRPr="00476C87">
        <w:t>Unaprediti stranicu sajta Agencije na kojoj su prikazane koncentracije zagađujućih materija i brojčana vrijednost indeksa kvaliteta vazduha, tako što će se na istoj stranici prikazati: nivo uticaja na zdravlje (dobar, umjeren, nezdrav za osjetljive grupe, nezdrav, veoma nezdrav i opasan), značenje (zavisno od indeksa kvaliteta vazduha i nivoa uticaja na zdravlje istaći zdravstveno upozorenje) i preporuke za osjetljivu populaciju i opštu populaciju;</w:t>
      </w:r>
    </w:p>
    <w:p w:rsidR="00476C87" w:rsidRPr="00476C87" w:rsidRDefault="00476C87" w:rsidP="00476C87">
      <w:pPr>
        <w:jc w:val="both"/>
        <w:rPr>
          <w:b/>
        </w:rPr>
      </w:pPr>
      <w:r w:rsidRPr="00476C87">
        <w:rPr>
          <w:b/>
        </w:rPr>
        <w:t>PRIMJEDBA SE PRIHVATA DJELIMIČNO</w:t>
      </w:r>
    </w:p>
    <w:p w:rsidR="00476C87" w:rsidRDefault="00476C87" w:rsidP="00476C87">
      <w:pPr>
        <w:jc w:val="both"/>
      </w:pPr>
      <w:r>
        <w:t xml:space="preserve">Nacrt strategije upravljanja kvalitetom vazduha za period 2021-2029. godina prati akcioni plan za dvogodišnji period 2021-2022. godina, koji je dodatno skraćen zbog odloženog roka usvajanja strategije. Imajući u vidu da se Crna Gora, kao i brojne druge države širom svijeta, nalazi u fazi finansijske krize izazvane epidemijom virusa COVID-19, rađen je kratkoročni akcioni plan sa brižljivo biranim mjerama čija se bar djelimična implementacija može očekivati do kraja 2022. godine. Smatrajući preporuku Opštine Pljevlja vezanu za unapređenje internet stranice Agencije za zaštitu životne sredine opravdanom, ali ne i hitnom jer se sve nabrojane informacije nalaze na stranici Agencije, iako ne na istoj stranici zbog njenog opterećenja vizuelno prikazanim podacima, </w:t>
      </w:r>
      <w:r w:rsidRPr="00476C87">
        <w:rPr>
          <w:b/>
        </w:rPr>
        <w:t>preporuka je uvrštena u listu mjera koje je neophodno realizovati u sklopu Strategije upravljanja kvalitetom vazduha ali ne i u okviru Akcionog plana 2021-2022.</w:t>
      </w:r>
      <w:r>
        <w:t xml:space="preserve"> </w:t>
      </w:r>
      <w:r w:rsidRPr="00476C87">
        <w:rPr>
          <w:b/>
        </w:rPr>
        <w:t>godina.</w:t>
      </w:r>
      <w:r>
        <w:t xml:space="preserve"> Ovo stoga, što bi lakša navigacija kroz podatke o kvalitetu vazduha sa direktno povezanim zdravstvenim savjetima stanovništvu zahtijevala potpuni re-dizajn postojećeg web-portala za kvalitet vazduha i shodno tome sredstva koja nisu planirana u narednom periodu. </w:t>
      </w:r>
    </w:p>
    <w:p w:rsidR="00476C87" w:rsidRPr="00476C87" w:rsidRDefault="00995A86" w:rsidP="00F2402E">
      <w:pPr>
        <w:pStyle w:val="ListParagraph"/>
        <w:numPr>
          <w:ilvl w:val="1"/>
          <w:numId w:val="8"/>
        </w:numPr>
        <w:jc w:val="both"/>
      </w:pPr>
      <w:r w:rsidRPr="00476C87">
        <w:t>Dodat</w:t>
      </w:r>
      <w:r w:rsidR="006B6398" w:rsidRPr="00476C87">
        <w:t>i mjere koje je Opština Pljevlja planirala tokom 2021-2022 godine (subvencionirana nabavka ekološki prihvatljivijih energenata, primjenu mjera energetske efikasnosti</w:t>
      </w:r>
      <w:r w:rsidRPr="00476C87">
        <w:t xml:space="preserve"> i subvencionirana kupovina bicikala;</w:t>
      </w:r>
    </w:p>
    <w:p w:rsidR="00476C87" w:rsidRDefault="00476C87" w:rsidP="00476C87">
      <w:pPr>
        <w:jc w:val="both"/>
        <w:rPr>
          <w:b/>
        </w:rPr>
      </w:pPr>
      <w:r w:rsidRPr="00476C87">
        <w:rPr>
          <w:b/>
        </w:rPr>
        <w:t>PRIMJEDBA SE PRIHVATA</w:t>
      </w:r>
    </w:p>
    <w:p w:rsidR="00476C87" w:rsidRDefault="00476C87" w:rsidP="00476C87">
      <w:pPr>
        <w:jc w:val="both"/>
      </w:pPr>
      <w:r>
        <w:t xml:space="preserve">Mjere koje je Opština Pljevlja planirala u periodu 2021-2022. godina uvrštene su u Akcioni plan. </w:t>
      </w:r>
    </w:p>
    <w:p w:rsidR="006B6398" w:rsidRDefault="00995A86" w:rsidP="00F2402E">
      <w:pPr>
        <w:pStyle w:val="ListParagraph"/>
        <w:numPr>
          <w:ilvl w:val="1"/>
          <w:numId w:val="8"/>
        </w:numPr>
        <w:jc w:val="both"/>
      </w:pPr>
      <w:r w:rsidRPr="00476C87">
        <w:t xml:space="preserve">U izvore emisije suspendovanih čestica uvrstiti Rudnik uglja a.d. Pljevlja, kao i deponiju pepela i šljake “Maljevac” i iste obraditi u okviru poglavlja Mjere za smanjenje emisija suspendovanih čestica. </w:t>
      </w:r>
    </w:p>
    <w:p w:rsidR="00334FC6" w:rsidRPr="00334FC6" w:rsidRDefault="00334FC6" w:rsidP="00334FC6">
      <w:pPr>
        <w:jc w:val="both"/>
        <w:rPr>
          <w:b/>
        </w:rPr>
      </w:pPr>
      <w:r w:rsidRPr="00334FC6">
        <w:rPr>
          <w:b/>
        </w:rPr>
        <w:t>PRIMJEDBA SE PRIHVATA DJELIMIČNO</w:t>
      </w:r>
    </w:p>
    <w:p w:rsidR="005F4378" w:rsidRDefault="00F2402E" w:rsidP="00334FC6">
      <w:pPr>
        <w:jc w:val="both"/>
      </w:pPr>
      <w:r>
        <w:t>K</w:t>
      </w:r>
      <w:r w:rsidR="005F4378">
        <w:t>ako podaci o radovima na sanaciji deponije pepela i šljake “Maljevac” pokazuju da je izvršeno 85,4% radova i da se završetak radova očekuje do kraja juna</w:t>
      </w:r>
      <w:r>
        <w:t xml:space="preserve"> 2021. godine</w:t>
      </w:r>
      <w:r w:rsidR="005F4378">
        <w:t xml:space="preserve">, informacija o ovom projektu je uvrštena u tekst Nacrta. </w:t>
      </w:r>
    </w:p>
    <w:p w:rsidR="00F2402E" w:rsidRDefault="00F2402E" w:rsidP="00334FC6">
      <w:pPr>
        <w:jc w:val="both"/>
      </w:pPr>
    </w:p>
    <w:p w:rsidR="005F02A3" w:rsidRPr="00F2402E" w:rsidRDefault="005F02A3" w:rsidP="005F02A3">
      <w:pPr>
        <w:pStyle w:val="ListParagraph"/>
        <w:numPr>
          <w:ilvl w:val="0"/>
          <w:numId w:val="8"/>
        </w:numPr>
        <w:rPr>
          <w:u w:val="single"/>
        </w:rPr>
      </w:pPr>
      <w:r w:rsidRPr="00F2402E">
        <w:rPr>
          <w:u w:val="single"/>
        </w:rPr>
        <w:lastRenderedPageBreak/>
        <w:t>Opština Bijelo Polje</w:t>
      </w:r>
    </w:p>
    <w:p w:rsidR="00731BF6" w:rsidRDefault="00731BF6" w:rsidP="005F02A3">
      <w:pPr>
        <w:ind w:left="360"/>
      </w:pPr>
      <w:r w:rsidRPr="00524F5B">
        <w:t xml:space="preserve">Opština Bijelo Polje </w:t>
      </w:r>
      <w:r w:rsidR="00995A86">
        <w:t xml:space="preserve">dostavila je sljedeće sugestije: </w:t>
      </w:r>
    </w:p>
    <w:p w:rsidR="00995A86" w:rsidRPr="007F7A92" w:rsidRDefault="00995A86" w:rsidP="007F7A92">
      <w:pPr>
        <w:pStyle w:val="ListParagraph"/>
        <w:numPr>
          <w:ilvl w:val="1"/>
          <w:numId w:val="8"/>
        </w:numPr>
        <w:jc w:val="both"/>
      </w:pPr>
      <w:r w:rsidRPr="007F7A92">
        <w:t xml:space="preserve">U ključne izvore emisija suspendovanih čestica dodati indivudualno i kolektivno stanovanje, kao i korišćenje zastarjelih kotlova na drva i ugalj od strane velikih preduzeća i institucija; </w:t>
      </w:r>
    </w:p>
    <w:p w:rsidR="00F2402E" w:rsidRDefault="00F2402E" w:rsidP="007F7A92">
      <w:pPr>
        <w:shd w:val="clear" w:color="auto" w:fill="FFFFFF"/>
        <w:spacing w:after="0" w:line="240" w:lineRule="auto"/>
        <w:jc w:val="both"/>
        <w:rPr>
          <w:b/>
        </w:rPr>
      </w:pPr>
      <w:r w:rsidRPr="00F2402E">
        <w:rPr>
          <w:b/>
        </w:rPr>
        <w:t xml:space="preserve">PRIMJEDBA SE </w:t>
      </w:r>
      <w:r>
        <w:rPr>
          <w:b/>
        </w:rPr>
        <w:t xml:space="preserve">NE </w:t>
      </w:r>
      <w:r w:rsidRPr="00F2402E">
        <w:rPr>
          <w:b/>
        </w:rPr>
        <w:t>PRIHVATA</w:t>
      </w:r>
    </w:p>
    <w:p w:rsidR="007F7A92" w:rsidRDefault="007F7A92" w:rsidP="007F7A92">
      <w:pPr>
        <w:shd w:val="clear" w:color="auto" w:fill="FFFFFF"/>
        <w:spacing w:after="0" w:line="240" w:lineRule="auto"/>
        <w:jc w:val="both"/>
      </w:pPr>
    </w:p>
    <w:p w:rsidR="007F7A92" w:rsidRDefault="007F7A92" w:rsidP="007F7A92">
      <w:pPr>
        <w:shd w:val="clear" w:color="auto" w:fill="FFFFFF"/>
        <w:spacing w:after="0" w:line="240" w:lineRule="auto"/>
        <w:jc w:val="both"/>
      </w:pPr>
      <w:r>
        <w:t>Na strani 17 nacrta navodi se: “</w:t>
      </w:r>
      <w:r w:rsidR="00F2402E" w:rsidRPr="00F2402E">
        <w:t>Prema podacima iz inventara emisija zagađujućih materija u vazduh za 2018. godinu ključni izvor emisija suspendovanih čestica PM10 i PM2.5 je sektor grijanja domaćinstava (1A4bi) koji emisijama PM10 doprinosi 84.9 % a emisijama PM2.5 85.3%.</w:t>
      </w:r>
      <w:r>
        <w:t xml:space="preserve">” Imajući u vidu da se ključni izvori utvrđuju proračunom emisija u skladu sa metodologijom izrade inventara emisija, utvrđenim podacima se ne mogu dodavati druge kategorije, iako one predstavljaju značajan izvor zagađenja u Bijelom Polju. </w:t>
      </w:r>
    </w:p>
    <w:p w:rsidR="00F2402E" w:rsidRPr="00F2402E" w:rsidRDefault="007F7A92" w:rsidP="007F7A92">
      <w:pPr>
        <w:shd w:val="clear" w:color="auto" w:fill="FFFFFF"/>
        <w:spacing w:after="0" w:line="240" w:lineRule="auto"/>
        <w:jc w:val="both"/>
        <w:rPr>
          <w:highlight w:val="yellow"/>
        </w:rPr>
      </w:pPr>
      <w:r>
        <w:t xml:space="preserve">  </w:t>
      </w:r>
    </w:p>
    <w:p w:rsidR="00EF564E" w:rsidRDefault="00995A86" w:rsidP="007F7A92">
      <w:pPr>
        <w:pStyle w:val="ListParagraph"/>
        <w:numPr>
          <w:ilvl w:val="1"/>
          <w:numId w:val="8"/>
        </w:numPr>
        <w:jc w:val="both"/>
      </w:pPr>
      <w:r w:rsidRPr="007F7A92">
        <w:t>Za strateški cilj 1- Operativni cilj 1 B tačka 3. Promjena goriva /kotlova za grijanje u stambenom i javnom sektoru promijeniti datum početka i kraja realizacije i uvećati iznos za dodatnih 150.000 eura</w:t>
      </w:r>
      <w:r w:rsidR="00EF564E" w:rsidRPr="007F7A92">
        <w:t xml:space="preserve">; </w:t>
      </w:r>
    </w:p>
    <w:p w:rsidR="00B558BB" w:rsidRDefault="00B558BB" w:rsidP="00B558BB">
      <w:pPr>
        <w:jc w:val="both"/>
        <w:rPr>
          <w:b/>
        </w:rPr>
      </w:pPr>
      <w:r w:rsidRPr="00B558BB">
        <w:rPr>
          <w:b/>
        </w:rPr>
        <w:t>PRIMJEDBA SE PRIHVATA DJELIMIČNO</w:t>
      </w:r>
    </w:p>
    <w:p w:rsidR="00B558BB" w:rsidRPr="00B558BB" w:rsidRDefault="00B558BB" w:rsidP="00B558BB">
      <w:pPr>
        <w:jc w:val="both"/>
      </w:pPr>
      <w:r w:rsidRPr="00B558BB">
        <w:t xml:space="preserve">Ukljiučivanje opštine Bijelo Polje u </w:t>
      </w:r>
      <w:r>
        <w:t>aktivnosti vezane za p</w:t>
      </w:r>
      <w:r w:rsidRPr="00B558BB">
        <w:t>romjen</w:t>
      </w:r>
      <w:r>
        <w:t>u</w:t>
      </w:r>
      <w:r w:rsidRPr="00B558BB">
        <w:t xml:space="preserve"> goriva /kotlova za grijanje u stambenom i javnom sektoru</w:t>
      </w:r>
      <w:r>
        <w:t xml:space="preserve"> je neophodno, i u tom kontekstu je primjedba u potpunosti opravdana. Kako Opština Bijelo Polje u budžetu za 2021. godinu nije obezbijedila sredstva za ove aktivnosti, a obezbijeđenje sredtava za narednu 2022. godinu nije izvjesno, </w:t>
      </w:r>
      <w:r w:rsidRPr="00B558BB">
        <w:t>preporuka je uvrštena u listu mjera koje je neophodno realizovati u sklopu Strategije upravljanja kvalitetom vazduha ali ne i u okviru Akcionog plana 2021-2022. godina.</w:t>
      </w:r>
    </w:p>
    <w:p w:rsidR="00995A86" w:rsidRDefault="00EF564E" w:rsidP="007F7A92">
      <w:pPr>
        <w:pStyle w:val="ListParagraph"/>
        <w:numPr>
          <w:ilvl w:val="1"/>
          <w:numId w:val="8"/>
        </w:numPr>
        <w:jc w:val="both"/>
      </w:pPr>
      <w:r>
        <w:t>U</w:t>
      </w:r>
      <w:r w:rsidR="00995A86" w:rsidRPr="00995A86">
        <w:t xml:space="preserve"> Akcionom planu u Strateškom cilju 2 Opetarivni cilj 2A potrebno je uvesti i značaj redovnog tačnog i blagovremenog informisanja gradjana i osjetljivih kategorija o stanju kvaliteta vazduha, osim na internet stranicama Agencije i lokalnih uprava</w:t>
      </w:r>
      <w:r>
        <w:t>, javnih medijskih servisa i sl</w:t>
      </w:r>
      <w:r w:rsidR="007F7A92">
        <w:t>.</w:t>
      </w:r>
      <w:r>
        <w:t>, kao i r</w:t>
      </w:r>
      <w:r w:rsidR="00995A86" w:rsidRPr="00995A86">
        <w:t>edukcij</w:t>
      </w:r>
      <w:r>
        <w:t>u</w:t>
      </w:r>
      <w:r w:rsidR="00995A86" w:rsidRPr="00995A86">
        <w:t xml:space="preserve"> saobraćaja u gradovima u slučajevi</w:t>
      </w:r>
      <w:r>
        <w:t xml:space="preserve">ma ekstremnih zagađenja vazduha; </w:t>
      </w:r>
    </w:p>
    <w:p w:rsidR="007F7A92" w:rsidRDefault="007F7A92" w:rsidP="007F7A92">
      <w:pPr>
        <w:jc w:val="both"/>
        <w:rPr>
          <w:b/>
        </w:rPr>
      </w:pPr>
      <w:r w:rsidRPr="007F7A92">
        <w:rPr>
          <w:b/>
        </w:rPr>
        <w:t xml:space="preserve">PRIMJEDBA SE NE PRIHVATA </w:t>
      </w:r>
    </w:p>
    <w:p w:rsidR="007F7A92" w:rsidRDefault="00B4167C" w:rsidP="00B4167C">
      <w:pPr>
        <w:jc w:val="both"/>
      </w:pPr>
      <w:r w:rsidRPr="00B4167C">
        <w:t xml:space="preserve">Informisanje javnosti o kvalitetu vazduha je zakonska obaveza Agencije za zaštitu životne sredine u skladu sa članom 42 Zakona o zaštiti vazduha koji glasi: </w:t>
      </w:r>
      <w:r>
        <w:t xml:space="preserve">“Agencija blagovremeno i na odgovarajući način informiše javnost i zainteresovane organizacije (nevladine organizacije i udruženja koja se bave zaštitom životne sredine, udruženja za zaštitu potrošača, udruženja za zaštitu prava osjetljivih grupa stanovništva, zdravstvene ustanove i relevantna privredna društva) o kvalitetu vazduha i donošenju planova, programa i mjera za zaštitu i poboljšanje kvaliteta vazduha. Informacije i podaci o kvalitetu vazduha su besplatne i dostupne preko sredstava javnog informisanja i na internet stranicama nadležnih organa.”  </w:t>
      </w:r>
    </w:p>
    <w:p w:rsidR="00B4167C" w:rsidRDefault="00B4167C" w:rsidP="00B4167C">
      <w:pPr>
        <w:jc w:val="both"/>
      </w:pPr>
      <w:r>
        <w:t xml:space="preserve">Što se tiče redukcije saobraćaja u slučajevima povećanog zagađenja vazduha, važno je naglasiti da povećano zagađenje vazduha u crnogorskim gradovima uglavnom ne potiče od saobraćaja (koji je ujednačenog intenziteta tokom godine i regionalno povećan tokom ljetnje turističke sezone) već od grijanja domaćinstava na čvrsta goriva u kombinaciji sa nepovoljnim meteorološkim uslovima tokom zimskog perioda, tako da ova mjera ne bi imala očekivani efekat. </w:t>
      </w:r>
    </w:p>
    <w:p w:rsidR="00995A86" w:rsidRPr="00995A86" w:rsidRDefault="00EF564E" w:rsidP="00B4167C">
      <w:pPr>
        <w:pStyle w:val="ListParagraph"/>
        <w:numPr>
          <w:ilvl w:val="1"/>
          <w:numId w:val="8"/>
        </w:numPr>
        <w:jc w:val="both"/>
      </w:pPr>
      <w:r>
        <w:lastRenderedPageBreak/>
        <w:t xml:space="preserve">Opština Bijelo Polje takođe se zalaže za </w:t>
      </w:r>
      <w:r w:rsidR="00995A86" w:rsidRPr="00995A86">
        <w:t>ubrza</w:t>
      </w:r>
      <w:r>
        <w:t>vanje</w:t>
      </w:r>
      <w:r w:rsidR="00995A86" w:rsidRPr="00995A86">
        <w:t xml:space="preserve"> proces</w:t>
      </w:r>
      <w:r>
        <w:t>a</w:t>
      </w:r>
      <w:r w:rsidR="00995A86" w:rsidRPr="00995A86">
        <w:t xml:space="preserve"> gasifikacije i toplifikacije kako bi došlo do smanjenja</w:t>
      </w:r>
      <w:r>
        <w:t xml:space="preserve"> broja</w:t>
      </w:r>
      <w:r w:rsidR="00995A86" w:rsidRPr="00995A86">
        <w:t xml:space="preserve"> individualnih ložišta i zagađenj</w:t>
      </w:r>
      <w:r>
        <w:t xml:space="preserve">a vazduha. </w:t>
      </w:r>
    </w:p>
    <w:p w:rsidR="00995A86" w:rsidRDefault="00B4167C" w:rsidP="00B4167C">
      <w:pPr>
        <w:jc w:val="both"/>
        <w:rPr>
          <w:b/>
        </w:rPr>
      </w:pPr>
      <w:r w:rsidRPr="00B4167C">
        <w:rPr>
          <w:b/>
        </w:rPr>
        <w:t>PRIMJEDBA SE NE PRIHVATA</w:t>
      </w:r>
    </w:p>
    <w:p w:rsidR="00B4167C" w:rsidRDefault="00941465" w:rsidP="00B4167C">
      <w:pPr>
        <w:jc w:val="both"/>
      </w:pPr>
      <w:r>
        <w:t>Iako j</w:t>
      </w:r>
      <w:r w:rsidRPr="00941465">
        <w:t>e</w:t>
      </w:r>
      <w:r>
        <w:t xml:space="preserve"> primjedba Opštine Bijelo Polje sasvim na mjestu, gasifikacija i razvoj daljinskog grijanja u Crnoj Gori su predmet Strategije razvoja energetike do 2030. godine, tako da nisu bliže razmatrane ovim dokumentom. </w:t>
      </w:r>
    </w:p>
    <w:p w:rsidR="00941465" w:rsidRPr="00941465" w:rsidRDefault="00941465" w:rsidP="00B4167C">
      <w:pPr>
        <w:jc w:val="both"/>
      </w:pPr>
    </w:p>
    <w:p w:rsidR="00731BF6" w:rsidRPr="00941465" w:rsidRDefault="00EF564E" w:rsidP="00BD13DE">
      <w:pPr>
        <w:pStyle w:val="ListParagraph"/>
        <w:numPr>
          <w:ilvl w:val="0"/>
          <w:numId w:val="8"/>
        </w:numPr>
        <w:rPr>
          <w:u w:val="single"/>
        </w:rPr>
      </w:pPr>
      <w:r w:rsidRPr="00941465">
        <w:rPr>
          <w:u w:val="single"/>
        </w:rPr>
        <w:t>Opština Nikšić</w:t>
      </w:r>
    </w:p>
    <w:p w:rsidR="00941465" w:rsidRDefault="00EF564E" w:rsidP="00941465">
      <w:pPr>
        <w:ind w:firstLine="360"/>
      </w:pPr>
      <w:r>
        <w:t xml:space="preserve">Opština Nikšić podržala je inicijativu Opštine Pljevlja: </w:t>
      </w:r>
    </w:p>
    <w:p w:rsidR="00EF564E" w:rsidRDefault="00EF564E" w:rsidP="00941465">
      <w:pPr>
        <w:pStyle w:val="ListParagraph"/>
        <w:numPr>
          <w:ilvl w:val="1"/>
          <w:numId w:val="8"/>
        </w:numPr>
        <w:jc w:val="both"/>
      </w:pPr>
      <w:r w:rsidRPr="00941465">
        <w:t>Unaprediti stranicu sajta Agencije na kojoj su prikazane koncentracije zagađujućih materija i brojčana vrijednost indeksa kvaliteta vazduha, tako što će se na istoj stranici prikazati: nivo uticaja na zdravlje (dobar, umjeren, nezdrav za osjetljive grupe, nezdrav, veoma nezdrav i opasan), značenje (zavisno od indeksa kvaliteta vazduha i nivoa uticaja na zdravlje istaći zdravstveno upozorenje) i preporuke za osjetljiv</w:t>
      </w:r>
      <w:r w:rsidR="00941465">
        <w:t xml:space="preserve">u populaciju i opštu populaciju. </w:t>
      </w:r>
    </w:p>
    <w:p w:rsidR="00941465" w:rsidRPr="00941465" w:rsidRDefault="00941465" w:rsidP="00941465">
      <w:pPr>
        <w:jc w:val="both"/>
        <w:rPr>
          <w:b/>
        </w:rPr>
      </w:pPr>
      <w:r w:rsidRPr="00941465">
        <w:rPr>
          <w:b/>
        </w:rPr>
        <w:t>PRIMJEDBA SE PRIHVATA DJELIMIČNO</w:t>
      </w:r>
    </w:p>
    <w:p w:rsidR="00941465" w:rsidRPr="00941465" w:rsidRDefault="00941465" w:rsidP="00941465">
      <w:pPr>
        <w:jc w:val="both"/>
      </w:pPr>
      <w:r>
        <w:t xml:space="preserve">Nacrt strategije upravljanja kvalitetom vazduha za period 2021-2029. godina prati akcioni plan za dvogodišnji period 2021-2022. godina, koji je dodatno skraćen zbog odloženog roka usvajanja strategije. Imajući u vidu da se Crna Gora, kao i brojne druge države širom svijeta, nalazi u fazi finansijske krize izazvane epidemijom virusa COVID-19, rađen je kratkoročni akcioni plan sa brižljivo biranim mjerama čija se bar djelimična implementacija može očekivati do kraja 2022. godine. Smatrajući preporuku Opštine Pljevlja vezanu za unapređenje internet stranice Agencije za zaštitu životne sredine opravdanom, ali ne i hitnom jer se sve nabrojane informacije nalaze na stranici Agencije, iako ne na istoj stranici zbog njenog opterećenja vizuelno prikazanim podacima, </w:t>
      </w:r>
      <w:r w:rsidRPr="00941465">
        <w:rPr>
          <w:b/>
        </w:rPr>
        <w:t>preporuka je uvrštena u listu mjera koje je neophodno realizovati u sklopu Strategije upravljanja kvalitetom vazduha ali ne i u okviru Akcionog plana 2021-2022.</w:t>
      </w:r>
      <w:r>
        <w:t xml:space="preserve"> </w:t>
      </w:r>
      <w:r w:rsidRPr="00941465">
        <w:rPr>
          <w:b/>
        </w:rPr>
        <w:t>godina.</w:t>
      </w:r>
      <w:r>
        <w:t xml:space="preserve"> Ovo stoga, što bi lakša navigacija kroz podatke o kvalitetu vazduha sa direktno povezanim zdravstvenim savjetima stanovništvu zahtijevala potpuni re-dizajn postojećeg web-portala za kvalitet vazduha i shodno tome sredstva koja nisu planirana u narednom periodu.</w:t>
      </w:r>
    </w:p>
    <w:p w:rsidR="00EF564E" w:rsidRDefault="00EF564E" w:rsidP="00EF564E">
      <w:pPr>
        <w:pStyle w:val="ListParagraph"/>
      </w:pPr>
    </w:p>
    <w:p w:rsidR="00731BF6" w:rsidRPr="00941465" w:rsidRDefault="00EF564E" w:rsidP="00BD13DE">
      <w:pPr>
        <w:pStyle w:val="ListParagraph"/>
        <w:numPr>
          <w:ilvl w:val="0"/>
          <w:numId w:val="8"/>
        </w:numPr>
        <w:rPr>
          <w:u w:val="single"/>
        </w:rPr>
      </w:pPr>
      <w:r w:rsidRPr="00941465">
        <w:rPr>
          <w:u w:val="single"/>
        </w:rPr>
        <w:t>Glavni grad Podgorica</w:t>
      </w:r>
    </w:p>
    <w:p w:rsidR="00941465" w:rsidRDefault="004B6CCB" w:rsidP="00941465">
      <w:pPr>
        <w:ind w:firstLine="360"/>
        <w:jc w:val="both"/>
      </w:pPr>
      <w:r>
        <w:t xml:space="preserve">Sekretarijat za planiranje prostora i održivi razvoj Glavnog grada dostavio je 4 konkretne sugestije: </w:t>
      </w:r>
    </w:p>
    <w:p w:rsidR="004B6CCB" w:rsidRDefault="004B6CCB" w:rsidP="00941465">
      <w:pPr>
        <w:pStyle w:val="ListParagraph"/>
        <w:numPr>
          <w:ilvl w:val="1"/>
          <w:numId w:val="8"/>
        </w:numPr>
        <w:jc w:val="both"/>
      </w:pPr>
      <w:r w:rsidRPr="00941465">
        <w:t xml:space="preserve">Predlažemo da se monitoring kvaliteta vazduha, koji Glavni grad sprovodi u kontinuitetu od 2014. godine, uvrsti kao jedna od aktivnosti koje su realizovane u periodu 2013-2020. godina, a koje su za cilj imale unapređenje praćenja i upravljanja kvalitetom vazduha; </w:t>
      </w:r>
    </w:p>
    <w:p w:rsidR="00941465" w:rsidRDefault="00941465" w:rsidP="00941465">
      <w:pPr>
        <w:jc w:val="both"/>
        <w:rPr>
          <w:b/>
        </w:rPr>
      </w:pPr>
      <w:r w:rsidRPr="00941465">
        <w:rPr>
          <w:b/>
        </w:rPr>
        <w:t>PRIMJEDBA SE PRIHVATA</w:t>
      </w:r>
    </w:p>
    <w:p w:rsidR="00941465" w:rsidRPr="00950DE4" w:rsidRDefault="00950DE4" w:rsidP="00941465">
      <w:pPr>
        <w:jc w:val="both"/>
      </w:pPr>
      <w:r w:rsidRPr="00950DE4">
        <w:t xml:space="preserve">Iako </w:t>
      </w:r>
      <w:r>
        <w:t xml:space="preserve">ova aktivnost nije bila planirana prethodnim strateškim dokumentom u oblasti kvaliteta vazduha, pa stoga nije navedena u pregledu realizovanih aktivnosti, iskustvo Glavnog grada u sprovođenju dodatnog praćenja kvaliteta vazduha može biti značajna za ostale jedinice lokalne samouprave koje se odluče na </w:t>
      </w:r>
      <w:r>
        <w:lastRenderedPageBreak/>
        <w:t xml:space="preserve">ovaj korak, tako da je informacija o monitoringu uključena u Nacrt, a Glavni Grad zamoljen da dostavi rezime rezultata. </w:t>
      </w:r>
    </w:p>
    <w:p w:rsidR="004B6CCB" w:rsidRDefault="004B6CCB" w:rsidP="00AF51FE">
      <w:pPr>
        <w:pStyle w:val="ListParagraph"/>
        <w:numPr>
          <w:ilvl w:val="1"/>
          <w:numId w:val="8"/>
        </w:numPr>
        <w:jc w:val="both"/>
      </w:pPr>
      <w:r w:rsidRPr="00AF51FE">
        <w:t xml:space="preserve">Predlažemo da se uspostavljanje lokalnog registra izvora zagađivanja navede kao jedna od aktivnosti koju treba realizovati tokom narednog dvogodišnjeg perioda; </w:t>
      </w:r>
    </w:p>
    <w:p w:rsidR="00AF51FE" w:rsidRPr="00AF51FE" w:rsidRDefault="00AF51FE" w:rsidP="00AF51FE">
      <w:pPr>
        <w:jc w:val="both"/>
        <w:rPr>
          <w:b/>
        </w:rPr>
      </w:pPr>
      <w:r w:rsidRPr="00AF51FE">
        <w:rPr>
          <w:b/>
        </w:rPr>
        <w:t>PRIMJEDBA SE PRIHVATA DJELIMIČNO</w:t>
      </w:r>
    </w:p>
    <w:p w:rsidR="00BA3EEB" w:rsidRDefault="00AF51FE" w:rsidP="00BA3EEB">
      <w:pPr>
        <w:jc w:val="both"/>
      </w:pPr>
      <w:r>
        <w:t xml:space="preserve">Nacrt strategije upravljanja kvalitetom vazduha za period 2021-2029. godina prati akcioni plan za dvogodišnji period 2021-2022. godina, koji je dodatno skraćen zbog odloženog roka usvajanja strategije. Imajući u vidu da se Crna Gora, kao i brojne druge države širom svijeta, nalazi u fazi finansijske krize izazvane epidemijom virusa COVID-19, rađen je kratkoročni akcioni plan sa brižljivo biranim mjerama čija se bar djelimična implementacija može očekivati do kraja 2022. godine. Smatrajući preporuku </w:t>
      </w:r>
      <w:r w:rsidR="00BA3EEB">
        <w:t xml:space="preserve">Glavnog grada </w:t>
      </w:r>
      <w:r>
        <w:t xml:space="preserve">opravdanom, ali ne i </w:t>
      </w:r>
      <w:r w:rsidR="00BA3EEB">
        <w:t xml:space="preserve">izvodljivom za sve jedinice lokalne samouprave </w:t>
      </w:r>
      <w:r w:rsidRPr="00AF51FE">
        <w:rPr>
          <w:b/>
        </w:rPr>
        <w:t>preporuka je uvrštena u listu mjera koje je neophodno realizovati u sklopu Strategije upravljanja kvalitetom vazduha ali ne i u okviru Akcionog plana 2021-2022.</w:t>
      </w:r>
      <w:r>
        <w:t xml:space="preserve"> </w:t>
      </w:r>
      <w:r w:rsidRPr="00AF51FE">
        <w:rPr>
          <w:b/>
        </w:rPr>
        <w:t>godina.</w:t>
      </w:r>
      <w:r>
        <w:t xml:space="preserve"> Ovo stoga, što bi </w:t>
      </w:r>
      <w:r w:rsidR="00BA3EEB">
        <w:t xml:space="preserve">prikupljanje podataka iziskivalo dodatni rad i troškove </w:t>
      </w:r>
      <w:r>
        <w:t>koj</w:t>
      </w:r>
      <w:r w:rsidR="00BA3EEB">
        <w:t>i</w:t>
      </w:r>
      <w:r>
        <w:t xml:space="preserve"> nisu planiran</w:t>
      </w:r>
      <w:r w:rsidR="00BA3EEB">
        <w:t>i</w:t>
      </w:r>
      <w:r>
        <w:t xml:space="preserve"> u narednom periodu. </w:t>
      </w:r>
    </w:p>
    <w:p w:rsidR="004B6CCB" w:rsidRDefault="004B6CCB" w:rsidP="00BA3EEB">
      <w:pPr>
        <w:pStyle w:val="ListParagraph"/>
        <w:numPr>
          <w:ilvl w:val="1"/>
          <w:numId w:val="8"/>
        </w:numPr>
        <w:jc w:val="both"/>
      </w:pPr>
      <w:r w:rsidRPr="00BA3EEB">
        <w:t xml:space="preserve">U okviru poglavlja 3, na strani 64, potrebno je korigovati podatak koji se odnosi na izradu Plana održive urbane mobilnosti (SUMP) Glavnog grada - izrada Plana je okončana i isti je usvojen od strane skupštine Glavnog grada u februaru 2020. godine;   </w:t>
      </w:r>
    </w:p>
    <w:p w:rsidR="00BA3EEB" w:rsidRDefault="00BA3EEB" w:rsidP="00BA3EEB">
      <w:pPr>
        <w:jc w:val="both"/>
        <w:rPr>
          <w:b/>
        </w:rPr>
      </w:pPr>
      <w:r w:rsidRPr="00BA3EEB">
        <w:rPr>
          <w:b/>
        </w:rPr>
        <w:t>PRIMJEDBA SE PRIHVATA</w:t>
      </w:r>
    </w:p>
    <w:p w:rsidR="00BA3EEB" w:rsidRDefault="00BA3EEB" w:rsidP="00BA3EEB">
      <w:pPr>
        <w:jc w:val="both"/>
      </w:pPr>
      <w:r>
        <w:t xml:space="preserve">Navodi </w:t>
      </w:r>
      <w:r w:rsidRPr="00F2402E">
        <w:t>primjedbe integrisan</w:t>
      </w:r>
      <w:r>
        <w:t xml:space="preserve">i su </w:t>
      </w:r>
      <w:r w:rsidRPr="00F2402E">
        <w:t xml:space="preserve">u tekst Nacrta strategije upravljanja kvalitetom vazduha za period 2021 -2029. godina. </w:t>
      </w:r>
    </w:p>
    <w:p w:rsidR="00EF564E" w:rsidRPr="00BA3EEB" w:rsidRDefault="004B6CCB" w:rsidP="00BA3EEB">
      <w:pPr>
        <w:pStyle w:val="ListParagraph"/>
        <w:numPr>
          <w:ilvl w:val="1"/>
          <w:numId w:val="8"/>
        </w:numPr>
        <w:jc w:val="both"/>
      </w:pPr>
      <w:r w:rsidRPr="00BA3EEB">
        <w:t xml:space="preserve">potrebno je korigovati podatke koji se odnose na broj bicikala za čiju kupovinu je Glavni grad obezbjedio subvencije i dopuniti podacima o dodijeljenim subvencijama za kupovinu električnih trotineta. Glavni grad je započeo sa implementacijom projekta „Podgorica na dva </w:t>
      </w:r>
      <w:proofErr w:type="gramStart"/>
      <w:r w:rsidRPr="00BA3EEB">
        <w:t>točka“ 2019</w:t>
      </w:r>
      <w:proofErr w:type="gramEnd"/>
      <w:r w:rsidRPr="00BA3EEB">
        <w:t xml:space="preserve">. godine, do sada su realizovana četiri ciklusa dodjele subvencija za kupovinu bicikala, </w:t>
      </w:r>
      <w:proofErr w:type="gramStart"/>
      <w:r w:rsidRPr="00BA3EEB">
        <w:t>a</w:t>
      </w:r>
      <w:proofErr w:type="gramEnd"/>
      <w:r w:rsidRPr="00BA3EEB">
        <w:t xml:space="preserve"> od 2020. godine i električnih trotineta, u okviru kojih su dodjeljene subvencije za kupovinu 846 bicikala i 167 trotineta.</w:t>
      </w:r>
    </w:p>
    <w:p w:rsidR="00BA3EEB" w:rsidRPr="00BA3EEB" w:rsidRDefault="00BA3EEB" w:rsidP="00BA3EEB">
      <w:pPr>
        <w:jc w:val="both"/>
        <w:rPr>
          <w:b/>
        </w:rPr>
      </w:pPr>
      <w:r w:rsidRPr="00BA3EEB">
        <w:rPr>
          <w:b/>
        </w:rPr>
        <w:t>PRIMJEDBA SE PRIHVATA</w:t>
      </w:r>
    </w:p>
    <w:p w:rsidR="00BA3EEB" w:rsidRDefault="00BA3EEB" w:rsidP="00BA3EEB">
      <w:pPr>
        <w:jc w:val="both"/>
      </w:pPr>
      <w:r>
        <w:t xml:space="preserve">Navodi </w:t>
      </w:r>
      <w:r w:rsidRPr="00F2402E">
        <w:t>primjedbe integrisan</w:t>
      </w:r>
      <w:r>
        <w:t xml:space="preserve">i su </w:t>
      </w:r>
      <w:r w:rsidRPr="00F2402E">
        <w:t xml:space="preserve">u tekst Nacrta strategije upravljanja kvalitetom vazduha za period 2021 -2029. godina. </w:t>
      </w:r>
    </w:p>
    <w:p w:rsidR="009C27B2" w:rsidRDefault="009C27B2" w:rsidP="00BA3EEB">
      <w:pPr>
        <w:jc w:val="both"/>
      </w:pPr>
    </w:p>
    <w:p w:rsidR="00731BF6" w:rsidRPr="002158C5" w:rsidRDefault="00731BF6" w:rsidP="00BD13DE">
      <w:pPr>
        <w:pStyle w:val="ListParagraph"/>
        <w:numPr>
          <w:ilvl w:val="0"/>
          <w:numId w:val="8"/>
        </w:numPr>
        <w:rPr>
          <w:u w:val="single"/>
        </w:rPr>
      </w:pPr>
      <w:r w:rsidRPr="002158C5">
        <w:rPr>
          <w:u w:val="single"/>
        </w:rPr>
        <w:t>Gradska opština Golubovci</w:t>
      </w:r>
    </w:p>
    <w:p w:rsidR="004B6CCB" w:rsidRDefault="001B7811" w:rsidP="005F02A3">
      <w:pPr>
        <w:ind w:firstLine="360"/>
      </w:pPr>
      <w:r>
        <w:t xml:space="preserve">Gradska opština Golubovci dostavila je dva predloga: </w:t>
      </w:r>
    </w:p>
    <w:p w:rsidR="000527E6" w:rsidRDefault="001B7811" w:rsidP="00B610D7">
      <w:pPr>
        <w:pStyle w:val="ListParagraph"/>
        <w:numPr>
          <w:ilvl w:val="1"/>
          <w:numId w:val="8"/>
        </w:numPr>
        <w:jc w:val="both"/>
      </w:pPr>
      <w:r w:rsidRPr="00B610D7">
        <w:t>Ažuriranje katastra zagađivača koje u svom predlo</w:t>
      </w:r>
      <w:r w:rsidR="00B610D7" w:rsidRPr="00B610D7">
        <w:t xml:space="preserve">gu </w:t>
      </w:r>
      <w:r w:rsidRPr="00B610D7">
        <w:t>navod</w:t>
      </w:r>
      <w:r w:rsidR="00B610D7" w:rsidRPr="00B610D7">
        <w:t>i</w:t>
      </w:r>
      <w:r w:rsidRPr="00B610D7">
        <w:t xml:space="preserve"> i </w:t>
      </w:r>
      <w:r w:rsidR="000527E6" w:rsidRPr="00B610D7">
        <w:t>Glavni grad;</w:t>
      </w:r>
      <w:r w:rsidR="000527E6">
        <w:t xml:space="preserve">  </w:t>
      </w:r>
    </w:p>
    <w:p w:rsidR="00B610D7" w:rsidRPr="00B610D7" w:rsidRDefault="00B610D7" w:rsidP="00B610D7">
      <w:pPr>
        <w:jc w:val="both"/>
        <w:rPr>
          <w:b/>
        </w:rPr>
      </w:pPr>
      <w:r w:rsidRPr="00B610D7">
        <w:rPr>
          <w:b/>
        </w:rPr>
        <w:t>PRIMJEDBA SE PRIHVATA DJELIMIČNO</w:t>
      </w:r>
    </w:p>
    <w:p w:rsidR="00B610D7" w:rsidRDefault="00B610D7" w:rsidP="00B610D7">
      <w:pPr>
        <w:jc w:val="both"/>
      </w:pPr>
      <w:r>
        <w:t xml:space="preserve">Nacrt strategije upravljanja kvalitetom vazduha za period 2021-2029. godina prati akcioni plan za dvogodišnji period 2021-2022. godina, koji je dodatno skraćen zbog odloženog roka usvajanja strategije. </w:t>
      </w:r>
      <w:r>
        <w:lastRenderedPageBreak/>
        <w:t xml:space="preserve">Imajući u vidu da se Crna Gora, kao i brojne druge države širom svijeta, nalazi u fazi finansijske krize izazvane epidemijom virusa COVID-19, rađen je kratkoročni akcioni plan sa brižljivo biranim mjerama čija se bar djelimična implementacija može očekivati do kraja 2022. godine. Smatrajući preporuku Glavnog grada opravdanom, ali ne i izvodljivom za sve jedinice lokalne samouprave </w:t>
      </w:r>
      <w:r w:rsidRPr="00B610D7">
        <w:rPr>
          <w:b/>
        </w:rPr>
        <w:t>preporuka je uvrštena u listu mjera koje je neophodno realizovati u sklopu Strategije upravljanja kvalitetom vazduha ali ne i u okviru Akcionog plana 2021-2022.</w:t>
      </w:r>
      <w:r>
        <w:t xml:space="preserve"> </w:t>
      </w:r>
      <w:r w:rsidRPr="00B610D7">
        <w:rPr>
          <w:b/>
        </w:rPr>
        <w:t>godina.</w:t>
      </w:r>
      <w:r>
        <w:t xml:space="preserve"> Ovo stoga, što bi prikupljanje podataka iziskivalo dodatni rad i troškove koji nisu planirani u narednom periodu. </w:t>
      </w:r>
    </w:p>
    <w:p w:rsidR="000527E6" w:rsidRDefault="000527E6" w:rsidP="007F6E1B">
      <w:pPr>
        <w:pStyle w:val="ListParagraph"/>
        <w:numPr>
          <w:ilvl w:val="1"/>
          <w:numId w:val="22"/>
        </w:numPr>
        <w:ind w:firstLine="0"/>
        <w:jc w:val="both"/>
      </w:pPr>
      <w:r>
        <w:t xml:space="preserve">Izmjenu mjere br.8 “Zabrana paljenja ostataka žetve i poljoprivrednog otpada” u “Podsticaj i podrška kompostiranju biljnog otpada sa upotrebom u poljoprivrednoj proizvodnji”. </w:t>
      </w:r>
    </w:p>
    <w:p w:rsidR="00B610D7" w:rsidRDefault="00B610D7" w:rsidP="009C27B2">
      <w:pPr>
        <w:jc w:val="both"/>
        <w:rPr>
          <w:b/>
        </w:rPr>
      </w:pPr>
      <w:r w:rsidRPr="00B610D7">
        <w:rPr>
          <w:b/>
        </w:rPr>
        <w:t xml:space="preserve">PRIMJEDBA SE </w:t>
      </w:r>
      <w:r>
        <w:rPr>
          <w:b/>
        </w:rPr>
        <w:t xml:space="preserve">NE </w:t>
      </w:r>
      <w:r w:rsidRPr="00B610D7">
        <w:rPr>
          <w:b/>
        </w:rPr>
        <w:t>PRIHVATA</w:t>
      </w:r>
    </w:p>
    <w:p w:rsidR="00B610D7" w:rsidRDefault="00B610D7" w:rsidP="009C27B2">
      <w:pPr>
        <w:jc w:val="both"/>
      </w:pPr>
      <w:r w:rsidRPr="00B610D7">
        <w:t xml:space="preserve">U akcionom planu </w:t>
      </w:r>
      <w:r>
        <w:t>se u ovoj oblasti predlažu dvije mjere i to: (4) Sprovođenje kampanje o štetnosti paljenja poljoprivrednog otpada i (5) Uvođenje strožije kaznene politike za paljenje otpada na otvorenom</w:t>
      </w:r>
      <w:r w:rsidR="00140130">
        <w:t xml:space="preserve">. Obe mjere usmjerene su na </w:t>
      </w:r>
      <w:r w:rsidR="00140130" w:rsidRPr="00140130">
        <w:t>podršk</w:t>
      </w:r>
      <w:r w:rsidR="00140130">
        <w:t>u</w:t>
      </w:r>
      <w:r w:rsidR="00140130" w:rsidRPr="00140130">
        <w:t xml:space="preserve"> kompostiranju biljnog otpada sa upotrebom u poljoprivrednoj proizvodnji</w:t>
      </w:r>
      <w:r w:rsidR="00140130">
        <w:t xml:space="preserve">. </w:t>
      </w:r>
    </w:p>
    <w:p w:rsidR="00CC3CC7" w:rsidRDefault="00CC3CC7" w:rsidP="00B610D7">
      <w:pPr>
        <w:ind w:left="360"/>
        <w:jc w:val="both"/>
      </w:pPr>
    </w:p>
    <w:p w:rsidR="00731BF6" w:rsidRPr="00140130" w:rsidRDefault="00731BF6" w:rsidP="00BD13DE">
      <w:pPr>
        <w:pStyle w:val="ListParagraph"/>
        <w:numPr>
          <w:ilvl w:val="0"/>
          <w:numId w:val="8"/>
        </w:numPr>
        <w:rPr>
          <w:u w:val="single"/>
        </w:rPr>
      </w:pPr>
      <w:r w:rsidRPr="00140130">
        <w:rPr>
          <w:u w:val="single"/>
        </w:rPr>
        <w:t>Prijestonica Cetinje</w:t>
      </w:r>
    </w:p>
    <w:p w:rsidR="000527E6" w:rsidRDefault="000527E6" w:rsidP="00140130">
      <w:pPr>
        <w:ind w:left="360"/>
        <w:jc w:val="both"/>
      </w:pPr>
      <w:r>
        <w:t xml:space="preserve">Prijestonica Cetinje formulisala je dva predloga koja se tiču proširenja državne mreže za praćenje kvaliteta vazduha: </w:t>
      </w:r>
    </w:p>
    <w:p w:rsidR="000527E6" w:rsidRDefault="000527E6" w:rsidP="007F6E1B">
      <w:pPr>
        <w:pStyle w:val="ListParagraph"/>
        <w:numPr>
          <w:ilvl w:val="1"/>
          <w:numId w:val="8"/>
        </w:numPr>
        <w:jc w:val="both"/>
      </w:pPr>
      <w:r>
        <w:t xml:space="preserve">Predlaže se </w:t>
      </w:r>
      <w:r w:rsidR="008A7859">
        <w:t xml:space="preserve">jedno mjerno mjesto za praćenje kvaliteta vazduha u Prijestonici, kao i jedna mjerna stanica za praćenje alergenog polena. </w:t>
      </w:r>
    </w:p>
    <w:p w:rsidR="00140130" w:rsidRPr="00140130" w:rsidRDefault="00140130" w:rsidP="009C27B2">
      <w:pPr>
        <w:jc w:val="both"/>
        <w:rPr>
          <w:b/>
        </w:rPr>
      </w:pPr>
      <w:r w:rsidRPr="00140130">
        <w:rPr>
          <w:b/>
        </w:rPr>
        <w:t>PRIMJEDBA SE NE PRIHVATA</w:t>
      </w:r>
    </w:p>
    <w:p w:rsidR="007F6E1B" w:rsidRDefault="00CC3CC7" w:rsidP="009C27B2">
      <w:pPr>
        <w:jc w:val="both"/>
      </w:pPr>
      <w:r>
        <w:t>Kao što je navedeno u tekstu Nacrta strategije, broj od 10 automatskih stanica za praćenje kvaliteta vazduha je optimalan broj za tri zone kvaliteta vazduha u Crnoj Gori. Cetinje pripada centralnoj zoni kvaliteta vazduha kojoj takođe pripadaju Podgorica, Tuzi, Nikšić i</w:t>
      </w:r>
      <w:r w:rsidRPr="00CC3CC7">
        <w:t xml:space="preserve"> Danilovgrad</w:t>
      </w:r>
      <w:r>
        <w:t xml:space="preserve">. U ovoj zoni nalazi se 5 automatskih stanica za praćenje kvaliteta vazduha i to: </w:t>
      </w:r>
      <w:r w:rsidR="00FD1D9D">
        <w:t xml:space="preserve">dvije stanice za praćenje pozadinskog zagađenja u gradskim područjima u Podgorici i Nikšiću, jedna stanica za praćenje uticaja saobraćaja na kvalitet vazduha u Podgorici, stanica za praćenje prekograničnog prenosa zagađenja vazduha u Velimlju i stanica za praćenje pozadinskog zagađenja vazduha u ruralnom području na lokaciji Gornje Mrke. Ovih 5 stanica više je nego dovoljno za uspostavljanje realne slike kvaliteta vazduha u centralnoj zoni, u kojoj se i nalazi najveći broj stanica (3 u Sjevernoj, 2 u Južnoj zoni) jer je u ovoj zoni i najveća koncentracija stanovništva. Od navedenih pet lokacija nijedna nije našla mjesto na Cetinju iz sljedećih razloga: Kada su u pitanju </w:t>
      </w:r>
      <w:r w:rsidR="00D60087">
        <w:t xml:space="preserve">stanice za praćenje kvaliteta vazduha u gradskim područjima, međunarodna praksa pokazuje da se one obično ne postavljaju u mjestima sa manje od 50,000 staovnika, osim ako za to postoje posebni razlozi i mogućnosti lokalne zajednice da sama organizuje monitoring. Stanica za praćenje uticaja saobraćaja u centralnoj zoni postavljena je u Podgorici na mjestu najfrekventnijeg saobraćaja, dok je stanica za praćenje zagađenja u ruralnom području strateški postavljena na lokaciji Gornje Mrke, na trasi autoputa Bar-Boljare, kako bi se nakon izgradnje ove značajne saobraćajnice moglo vršiti poređenje sa situacijom prije njene izgradnje. Stanica za praćenje prekograničnog zagađenja u Velimlju postavljena je u skladu sa međunarodnim smjernicama EMEP programa, udaljena od svih domaćih uticaja i u pograničnom području gdje može detektovati prekogranični prenos zagađenja. Imajući u vidu da na Cetinju nema specifičnih </w:t>
      </w:r>
      <w:r w:rsidR="00D60087">
        <w:lastRenderedPageBreak/>
        <w:t xml:space="preserve">uticaja koje je nephodno pratiti, prosječna vrijednost parametara koji se prate u centralnoj zoni potpuno je primjenljiva na stanje kvaliteta vazduha u Prijestonici. </w:t>
      </w:r>
    </w:p>
    <w:p w:rsidR="004A52AE" w:rsidRDefault="004A52AE" w:rsidP="009C27B2">
      <w:pPr>
        <w:jc w:val="both"/>
      </w:pPr>
      <w:r w:rsidRPr="004A52AE">
        <w:t>Nacrt strategije upravljanja kvalitetom vazduha za period 2021-2029. godina prati akcioni plan za dvogodišnji period 2021-2022. godina, koji je dodatno skraćen zbog odloženog roka usvajanja strategije. Imajući u vidu da se Crna Gora, kao i brojne druge države širom svijeta, nalazi u fazi finansijske krize izazvane epidemijom virusa COVID-19, rađen je kratkoročni akcioni plan sa brižljivo biranim mjerama čija se bar djelimična implementacija može očekivati do kraja 2022. godine.</w:t>
      </w:r>
      <w:r>
        <w:t xml:space="preserve"> S tim u vezi naglašavamo da u skladu s definisanim prioritetima, do kraja 2022. godine nije planirano proširenje mreže za praćenje alergenog polena. </w:t>
      </w:r>
    </w:p>
    <w:p w:rsidR="009C27B2" w:rsidRPr="004A52AE" w:rsidRDefault="009C27B2" w:rsidP="009C27B2">
      <w:pPr>
        <w:jc w:val="both"/>
      </w:pPr>
    </w:p>
    <w:p w:rsidR="00524F5B" w:rsidRPr="007F6E1B" w:rsidRDefault="00731BF6" w:rsidP="00BD13DE">
      <w:pPr>
        <w:pStyle w:val="ListParagraph"/>
        <w:numPr>
          <w:ilvl w:val="0"/>
          <w:numId w:val="8"/>
        </w:numPr>
        <w:rPr>
          <w:u w:val="single"/>
        </w:rPr>
      </w:pPr>
      <w:r w:rsidRPr="007F6E1B">
        <w:rPr>
          <w:u w:val="single"/>
        </w:rPr>
        <w:t>Opština Kotor</w:t>
      </w:r>
    </w:p>
    <w:p w:rsidR="008A7859" w:rsidRDefault="008A7859" w:rsidP="005F02A3">
      <w:pPr>
        <w:ind w:left="360"/>
        <w:jc w:val="both"/>
      </w:pPr>
      <w:r>
        <w:t xml:space="preserve">Opština Kotor ukazala je na potrebu usaglašavanja brojeva Službenih listova i imena propisa koji se navode u Nacrtu strategije i predložila uvrštavanje preporuke iz Lokalnog plana zaštite Opštine Kotor u tekst Nacrta: </w:t>
      </w:r>
    </w:p>
    <w:p w:rsidR="008A7859" w:rsidRDefault="007F6E1B" w:rsidP="007F6E1B">
      <w:pPr>
        <w:ind w:left="720"/>
        <w:jc w:val="both"/>
      </w:pPr>
      <w:r>
        <w:t xml:space="preserve">8.1 </w:t>
      </w:r>
      <w:r w:rsidR="008A7859" w:rsidRPr="007F6E1B">
        <w:t xml:space="preserve">Unaprijediti infrastrukturu Luke Kotor </w:t>
      </w:r>
      <w:r w:rsidR="000F6DD6" w:rsidRPr="007F6E1B">
        <w:t xml:space="preserve">za isporuku električne energije velikim brodovima radi smanjenja uticaja na kvalitet vazduha. </w:t>
      </w:r>
    </w:p>
    <w:p w:rsidR="007F6E1B" w:rsidRPr="008072A5" w:rsidRDefault="007F6E1B" w:rsidP="009C27B2">
      <w:pPr>
        <w:jc w:val="both"/>
        <w:rPr>
          <w:b/>
        </w:rPr>
      </w:pPr>
      <w:r w:rsidRPr="008072A5">
        <w:rPr>
          <w:b/>
        </w:rPr>
        <w:t>PRIMJEDBA SE PRIHVATA DJELIMIČNO</w:t>
      </w:r>
    </w:p>
    <w:p w:rsidR="007F6E1B" w:rsidRDefault="007F6E1B" w:rsidP="009C27B2">
      <w:pPr>
        <w:jc w:val="both"/>
      </w:pPr>
      <w:r>
        <w:t xml:space="preserve">Nacrt strategije upravljanja kvalitetom vazduha za period 2021-2029. godina prati akcioni plan za dvogodišnji period 2021-2022. godina, koji je dodatno skraćen zbog odloženog roka usvajanja strategije. Imajući u vidu da se Crna Gora, kao i brojne druge države širom svijeta, nalazi u fazi finansijske krize izazvane epidemijom virusa COVID-19, rađen je kratkoročni akcioni plan sa brižljivo biranim mjerama čija se bar djelimična implementacija može očekivati do kraja 2022. godine. Smatrajući preporuku Opštine Kotor opravdanom, ali investiciono zahtjevnom, </w:t>
      </w:r>
      <w:r w:rsidRPr="00B610D7">
        <w:rPr>
          <w:b/>
        </w:rPr>
        <w:t>preporuka je uvrštena u listu mjera koje je neophodno realizovati u sklopu Strategije upravljanja kvalitetom vazduha ali ne i u okviru Akcionog plana 2021-2022.</w:t>
      </w:r>
      <w:r>
        <w:t xml:space="preserve"> </w:t>
      </w:r>
      <w:r w:rsidRPr="00B610D7">
        <w:rPr>
          <w:b/>
        </w:rPr>
        <w:t>godina.</w:t>
      </w:r>
      <w:r>
        <w:t xml:space="preserve"> </w:t>
      </w:r>
    </w:p>
    <w:p w:rsidR="007F6E1B" w:rsidRDefault="007F6E1B" w:rsidP="007F6E1B">
      <w:pPr>
        <w:ind w:left="360"/>
        <w:jc w:val="both"/>
      </w:pPr>
    </w:p>
    <w:p w:rsidR="000F6DD6" w:rsidRPr="007F6E1B" w:rsidRDefault="00524F5B" w:rsidP="00BD13DE">
      <w:pPr>
        <w:pStyle w:val="ListParagraph"/>
        <w:numPr>
          <w:ilvl w:val="0"/>
          <w:numId w:val="8"/>
        </w:numPr>
        <w:rPr>
          <w:u w:val="single"/>
        </w:rPr>
      </w:pPr>
      <w:r w:rsidRPr="007F6E1B">
        <w:rPr>
          <w:u w:val="single"/>
        </w:rPr>
        <w:t>Opština Tivat</w:t>
      </w:r>
    </w:p>
    <w:p w:rsidR="00F53353" w:rsidRDefault="00AC7291" w:rsidP="00AC7291">
      <w:pPr>
        <w:ind w:left="360"/>
      </w:pPr>
      <w:r>
        <w:t xml:space="preserve">Opština Tivat dostavila je pet primjedbi koje se odnose na: </w:t>
      </w:r>
    </w:p>
    <w:p w:rsidR="00AC7291" w:rsidRDefault="004A52AE" w:rsidP="004A52AE">
      <w:pPr>
        <w:ind w:left="360"/>
      </w:pPr>
      <w:r>
        <w:t xml:space="preserve">9. 1 </w:t>
      </w:r>
      <w:r w:rsidR="00AC7291">
        <w:t xml:space="preserve">Praćenje kvaliteta vazduha u Tivtu u prethodnom periodu (2012-2017); </w:t>
      </w:r>
    </w:p>
    <w:p w:rsidR="004A52AE" w:rsidRDefault="004A52AE" w:rsidP="00E32466">
      <w:pPr>
        <w:rPr>
          <w:b/>
        </w:rPr>
      </w:pPr>
      <w:r w:rsidRPr="008072A5">
        <w:rPr>
          <w:b/>
        </w:rPr>
        <w:t>PRIMJEDBA SE</w:t>
      </w:r>
      <w:r>
        <w:rPr>
          <w:b/>
        </w:rPr>
        <w:t xml:space="preserve"> NE</w:t>
      </w:r>
      <w:r w:rsidRPr="008072A5">
        <w:rPr>
          <w:b/>
        </w:rPr>
        <w:t xml:space="preserve"> PRIHVATA</w:t>
      </w:r>
    </w:p>
    <w:p w:rsidR="00E32466" w:rsidRDefault="0051263D" w:rsidP="00E32466">
      <w:pPr>
        <w:jc w:val="both"/>
      </w:pPr>
      <w:r w:rsidRPr="0051263D">
        <w:t xml:space="preserve">U </w:t>
      </w:r>
      <w:r>
        <w:t>primjedbi se navodi da praćenje kvaliteta vazduha u Tivtu u periodu 2012-2019. godina nije vršeno u skladu sa članom 9 stav 2 Zakona o zaštiti vazduha (Sl.</w:t>
      </w:r>
      <w:r w:rsidR="00E32466">
        <w:t xml:space="preserve"> </w:t>
      </w:r>
      <w:r>
        <w:t>list CG br. 25/10, 40/11, 43/15 i 73/19) kojim je propisano da je ocjenjivanje kvaliteta vazduha obavezno u svim zonama za sumpor-dopksid, azot-oksid i okside azota, suspendovane čestice, olovo, benzen, ugljen-monoksid, benzo(a)piren</w:t>
      </w:r>
      <w:r w:rsidR="00456245">
        <w:t xml:space="preserve">, ozon, kadmijum, arsen i nikl, dok je u Tivtu vršeno praćenje azot-dioksida i suspendovanih čestica PM 10, a kasnije samo suspendovanih čestica PM 2.5. Međutim, kako Tivat sam po sebi ne predstavlja cjelokupnu zonu kvaliteta vazduha, stanica u Tivtu bila je komplementarna stanici u Baru na kojoj su vršena mjerenja ostalih </w:t>
      </w:r>
      <w:r w:rsidR="00456245">
        <w:lastRenderedPageBreak/>
        <w:t>propisanih parametara. P</w:t>
      </w:r>
      <w:r w:rsidR="00E32466">
        <w:t>ri tome, treba imati u vidu da je</w:t>
      </w:r>
      <w:r w:rsidR="00456245">
        <w:t xml:space="preserve"> u skladu sa Uredbom o </w:t>
      </w:r>
      <w:r w:rsidR="00E32466">
        <w:t>izmjenama i dopunama uredbe o uspostavljanju mreže mjernih mjesta za praćenje kvaliteta vazduha (Sl. list CG br. 013/11) mjerno mjesto u Tivtu određeno kao mjesto za praćenje kvaliteta vazduha u prigradskom području (SB</w:t>
      </w:r>
      <w:r w:rsidR="00E32466">
        <w:rPr>
          <w:rStyle w:val="FootnoteReference"/>
        </w:rPr>
        <w:footnoteReference w:id="1"/>
      </w:r>
      <w:r w:rsidR="00E32466">
        <w:t xml:space="preserve">) jer se,  između ostalog, radi o naseljenom mjestu sa manje od 10,000 stanovnika. Takođe se navodi da su mjerenja vršena sa prekidima zbog kvarova na mjernoj opremi, što i dalje ne mjenja činjenicu da su u Tivtu mjerene izuzetno niske koncentracije praćenih parametara tokom vršenja monitoringa.  </w:t>
      </w:r>
    </w:p>
    <w:p w:rsidR="00AC7291" w:rsidRDefault="004A52AE" w:rsidP="004A52AE">
      <w:pPr>
        <w:ind w:left="360"/>
      </w:pPr>
      <w:r>
        <w:t xml:space="preserve">9.2 </w:t>
      </w:r>
      <w:r w:rsidR="00AC7291">
        <w:t xml:space="preserve">Razloge za izmještanje mjerne stanice iz Tivta; </w:t>
      </w:r>
    </w:p>
    <w:p w:rsidR="00E32466" w:rsidRDefault="00E32466" w:rsidP="00E32466">
      <w:pPr>
        <w:rPr>
          <w:b/>
        </w:rPr>
      </w:pPr>
      <w:r w:rsidRPr="008072A5">
        <w:rPr>
          <w:b/>
        </w:rPr>
        <w:t>PRIMJEDBA SE</w:t>
      </w:r>
      <w:r>
        <w:rPr>
          <w:b/>
        </w:rPr>
        <w:t xml:space="preserve"> NE</w:t>
      </w:r>
      <w:r w:rsidRPr="008072A5">
        <w:rPr>
          <w:b/>
        </w:rPr>
        <w:t xml:space="preserve"> PRIHVATA</w:t>
      </w:r>
    </w:p>
    <w:p w:rsidR="00E32466" w:rsidRPr="00E32466" w:rsidRDefault="00E32466" w:rsidP="00ED19D6">
      <w:pPr>
        <w:jc w:val="both"/>
      </w:pPr>
      <w:r w:rsidRPr="00E32466">
        <w:t xml:space="preserve">U skladu sa gore navedenim, </w:t>
      </w:r>
      <w:r>
        <w:t xml:space="preserve">naglašavamo da je Zakonom o zaštiti vazduha </w:t>
      </w:r>
      <w:r w:rsidR="00ED19D6">
        <w:t xml:space="preserve">propisano praćenje svih navedenih parametara u zoni kvaliteta vazduha a ne na pojedinačnom mjernom mjestu. Parametri koji se prate na pojedinačnom mjernom mjestu utvrđuju se u skladu sa vrstom i namjenom mjernog mjesta. Iako u Tivtu nijesu praćeni svi planirani parametri, </w:t>
      </w:r>
      <w:r w:rsidR="00906E0D">
        <w:t>iz</w:t>
      </w:r>
      <w:r w:rsidR="00ED19D6">
        <w:t xml:space="preserve">mjerene koncentracije </w:t>
      </w:r>
      <w:r w:rsidR="00906E0D">
        <w:t xml:space="preserve">u Tivtu i Baru dostatan su pokazatelj kvaliteta vazduha u Tivtu, koji nije ugrožen.  Iako u Baru nije bilo zabilježenih prekoračenja osim prekoračenja koncentracija PM10 čestica uslijed šumskih požara, visina koncentracija ukazuje na neophodno dalje praćenje kvaliteta vazduha u Baru, dok je dodatna stanica u južnoj zoni premještena u Opštinu Kotor radi praćenja uticaja pomorskog i drumskog saobraćaja. </w:t>
      </w:r>
    </w:p>
    <w:p w:rsidR="00906E0D" w:rsidRDefault="004A52AE" w:rsidP="00906E0D">
      <w:pPr>
        <w:ind w:left="360"/>
      </w:pPr>
      <w:r>
        <w:t xml:space="preserve">9.3 </w:t>
      </w:r>
      <w:r w:rsidR="00AC7291">
        <w:t xml:space="preserve">Predlog za ponovno uspostavljanje mjernog mjesta u Tivtu; </w:t>
      </w:r>
    </w:p>
    <w:p w:rsidR="00906E0D" w:rsidRDefault="00906E0D" w:rsidP="00906E0D">
      <w:pPr>
        <w:rPr>
          <w:b/>
        </w:rPr>
      </w:pPr>
      <w:r w:rsidRPr="00906E0D">
        <w:rPr>
          <w:b/>
        </w:rPr>
        <w:t>PRIMJEDBA SE NE PRIHVATA</w:t>
      </w:r>
    </w:p>
    <w:p w:rsidR="00906E0D" w:rsidRDefault="009C27B2" w:rsidP="009C27B2">
      <w:pPr>
        <w:jc w:val="both"/>
      </w:pPr>
      <w:r>
        <w:t xml:space="preserve">Kao što je navedeno u tekstu Nacrta strategije, broj od 10 automatskih stanica za praćenje kvaliteta vazduha je optimalan broj za tri zone kvaliteta vazduha u Crnoj Gori. Južna zona kvaliteta vazduha kojoj pripadaju primorske opštine </w:t>
      </w:r>
      <w:r w:rsidRPr="009C27B2">
        <w:t>Bar, Budva, Kotor, Tivat, Ulcinj i Herceg Novi</w:t>
      </w:r>
      <w:r>
        <w:t xml:space="preserve">, je zona sa najboljim kvalitetom vazduha u kojoj se u mnogo manjoj mjeri pojavljuju sezonski problemi prisutni u ostale dvije zone, koji se odnose na kombinaciju sezone grijanja i nepovoljnih klimatskih uslova. U ovoj zoni kvalitet vazduha se prati u Baru i Kotoru, </w:t>
      </w:r>
      <w:r w:rsidR="00983B4C">
        <w:t xml:space="preserve">prevashodno zbog uticaja luke Bar i luke Kotor. Mjerno mjesto u Baru služi za praćenje kvaliteta vazduha u gradskom području, dok je mjerna stanica u Kotoru namjenjena praćenju uticaja drumskog i pomorskog saobraćaja. </w:t>
      </w:r>
    </w:p>
    <w:p w:rsidR="00983B4C" w:rsidRDefault="004A52AE" w:rsidP="00983B4C">
      <w:pPr>
        <w:ind w:left="360"/>
        <w:jc w:val="both"/>
      </w:pPr>
      <w:r>
        <w:t xml:space="preserve">9.4 </w:t>
      </w:r>
      <w:r w:rsidR="00AC7291">
        <w:t xml:space="preserve">Predlog za dopunu analize mogućih intervencija za poboljšanje energetske efikasnosti kolektivnih stambenih objekata; </w:t>
      </w:r>
    </w:p>
    <w:p w:rsidR="00983B4C" w:rsidRDefault="00983B4C" w:rsidP="00983B4C">
      <w:pPr>
        <w:jc w:val="both"/>
        <w:rPr>
          <w:b/>
        </w:rPr>
      </w:pPr>
      <w:r w:rsidRPr="00983B4C">
        <w:rPr>
          <w:b/>
        </w:rPr>
        <w:t>PRIMJEDBA SE NE PRIHVATA</w:t>
      </w:r>
    </w:p>
    <w:p w:rsidR="00983B4C" w:rsidRPr="00983B4C" w:rsidRDefault="00983B4C" w:rsidP="00983B4C">
      <w:pPr>
        <w:jc w:val="both"/>
      </w:pPr>
      <w:r w:rsidRPr="00983B4C">
        <w:t xml:space="preserve">Procjena </w:t>
      </w:r>
      <w:r>
        <w:t>troškova mjera energetske efikasnosti je u ovom strateškom dokumentu rađena</w:t>
      </w:r>
      <w:r w:rsidR="00830E53">
        <w:t xml:space="preserve"> je</w:t>
      </w:r>
      <w:r>
        <w:t xml:space="preserve"> za ind</w:t>
      </w:r>
      <w:r w:rsidR="00830E53">
        <w:t>ividualne stambene objekte (privatne kuće) jer s</w:t>
      </w:r>
      <w:r>
        <w:t xml:space="preserve">e </w:t>
      </w:r>
      <w:r w:rsidR="00830E53">
        <w:t xml:space="preserve">u najvećem broju slučajeva grijanje na čvrsta goriva odvija u ovim objektima. Grijanje na čvrsta goriva u kolektivnim stambenim objektima je znatno rijeđe, iako se u sjevernim opštinama u Crnoj Gori još uvijek praktikuje u nekim stambenim zgradama.  Iako bi povećanje energetske efikasnosti u kolektivnim stambenim objektima u krajnjoj liniji doprinijelo održivom stanovanju i određenom poboljšanju kvaliteta vazduha, ova tema je ostavljena resoru energetike koji ima prvenstvenu nadležnost nad politikom energetske efikasnosti, dok je krtoz Nacrt strategije upravljanja </w:t>
      </w:r>
      <w:r w:rsidR="00830E53">
        <w:lastRenderedPageBreak/>
        <w:t xml:space="preserve">kvalitetom vazduha energetska efikasnost posmatrana kao dio rješenja problema zagađivanja vazduha upotrebom čvrstih goriva za grijanje domaćinstava.   </w:t>
      </w:r>
    </w:p>
    <w:p w:rsidR="00AC7291" w:rsidRDefault="004A52AE" w:rsidP="004A52AE">
      <w:pPr>
        <w:ind w:left="360"/>
      </w:pPr>
      <w:r>
        <w:t xml:space="preserve">9.5 </w:t>
      </w:r>
      <w:r w:rsidR="00AC7291">
        <w:t xml:space="preserve">Preciziranje izvora finansijskih sredstava za sprovođenje mjera energetske efikasnosti. </w:t>
      </w:r>
    </w:p>
    <w:p w:rsidR="001B62C3" w:rsidRDefault="00830E53" w:rsidP="00830E53">
      <w:pPr>
        <w:rPr>
          <w:b/>
        </w:rPr>
      </w:pPr>
      <w:r w:rsidRPr="00830E53">
        <w:rPr>
          <w:b/>
        </w:rPr>
        <w:t xml:space="preserve">PRIMJEDBA SE </w:t>
      </w:r>
      <w:r>
        <w:rPr>
          <w:b/>
        </w:rPr>
        <w:t xml:space="preserve">NE </w:t>
      </w:r>
      <w:r w:rsidRPr="00830E53">
        <w:rPr>
          <w:b/>
        </w:rPr>
        <w:t xml:space="preserve">PRIHVATA </w:t>
      </w:r>
    </w:p>
    <w:p w:rsidR="00830E53" w:rsidRDefault="00830E53" w:rsidP="00EE3979">
      <w:pPr>
        <w:jc w:val="both"/>
      </w:pPr>
      <w:r w:rsidRPr="00830E53">
        <w:t xml:space="preserve">Nacrt strategije upravljanja kvalitetom vazduha </w:t>
      </w:r>
      <w:r>
        <w:t xml:space="preserve">je kompleksan dokument koji sadrži nekoliko cjelina. Analizom stanja obuhvaćen je pregled desetogodišnjeg praćenja kvaliteta vazduha </w:t>
      </w:r>
      <w:r w:rsidR="00EE3979">
        <w:t xml:space="preserve">u skladu sa evropskim standardima, Akcionim planom obuhvaćene su mjere koje je neophodno primjenjivati u sve tri zone kvaliteta vazduha, te ovaj dio dokumenta predstavlja nastavak i proširenje strateškog planiranja u odnosu na planove kvaliteta vazduha koji su bili donijeti za opštine Pljevlja i Nikšić i Glavni grad Podgoricu. Takođe, Strategija sadrži plan mjera za kontrolu zagađivanja vazduha izrađen u skladu sa evropskom Direktivom </w:t>
      </w:r>
      <w:r w:rsidR="00EE3979" w:rsidRPr="00EE3979">
        <w:t>EU) 2016/2284</w:t>
      </w:r>
      <w:r w:rsidR="00EE3979">
        <w:t xml:space="preserve">, za koji je rađena procjena finansijskih sredstava u skladu sa zahtjevima završnog mjerila za pregovaračko Poglavlje 27. Izvršena procjena predstavlja osnovu za pregovaranje sa Evropskom komisijom u pogledu utvrđivanja nivoa neophodnih smanjenja nacionalnih emisija zagađujućih materija obuhvaćenih ovom direktivom. U zavisnosti od utvrđene obaveze smanjenja emisija i rokova do kojih je ta smanjenja neophodno postići, izradiće se detaljni finansijski planovi finansiranja ovih mjera, uključujući i neophodnu pomoć iz predpristupnih fondova EU, sobzirom da se radi o iznosima od više stotina miliona eura. Takvi detaljni finansijski planovi ne mogu biti dio ovog dokumenta u sadašnjoj fazi, jer će se izraditi u skladu sa dinamikom pregovora sa EU. </w:t>
      </w:r>
    </w:p>
    <w:p w:rsidR="00EE3979" w:rsidRPr="00EE3979" w:rsidRDefault="00EE3979" w:rsidP="00EE3979">
      <w:pPr>
        <w:jc w:val="both"/>
      </w:pPr>
    </w:p>
    <w:p w:rsidR="00524F5B" w:rsidRPr="001B62C3" w:rsidRDefault="00524F5B" w:rsidP="00BD13DE">
      <w:pPr>
        <w:pStyle w:val="ListParagraph"/>
        <w:numPr>
          <w:ilvl w:val="0"/>
          <w:numId w:val="8"/>
        </w:numPr>
        <w:rPr>
          <w:u w:val="single"/>
        </w:rPr>
      </w:pPr>
      <w:r w:rsidRPr="001B62C3">
        <w:rPr>
          <w:u w:val="single"/>
        </w:rPr>
        <w:t>NVO Green Home</w:t>
      </w:r>
    </w:p>
    <w:p w:rsidR="00E40231" w:rsidRDefault="00E40231" w:rsidP="00E40231">
      <w:pPr>
        <w:ind w:left="360"/>
      </w:pPr>
      <w:r>
        <w:t xml:space="preserve">NVO Green Home je dostavio 5 sugestija: </w:t>
      </w:r>
    </w:p>
    <w:p w:rsidR="00E40231" w:rsidRDefault="00E40231" w:rsidP="00EE3979">
      <w:pPr>
        <w:pStyle w:val="ListParagraph"/>
        <w:numPr>
          <w:ilvl w:val="1"/>
          <w:numId w:val="25"/>
        </w:numPr>
        <w:ind w:left="720" w:firstLine="0"/>
      </w:pPr>
      <w:r>
        <w:t xml:space="preserve">Uvrstiti u operativni cilj 1 smanjenje emisija ugljen-monoksida; </w:t>
      </w:r>
    </w:p>
    <w:p w:rsidR="001B62C3" w:rsidRPr="001B62C3" w:rsidRDefault="001B62C3" w:rsidP="001B62C3">
      <w:pPr>
        <w:rPr>
          <w:b/>
        </w:rPr>
      </w:pPr>
      <w:r w:rsidRPr="001B62C3">
        <w:rPr>
          <w:b/>
        </w:rPr>
        <w:t>PRIMJEDBA SE NE PRIHVATA</w:t>
      </w:r>
    </w:p>
    <w:p w:rsidR="006E68B4" w:rsidRDefault="001B62C3" w:rsidP="006E68B4">
      <w:pPr>
        <w:jc w:val="both"/>
      </w:pPr>
      <w:r>
        <w:t xml:space="preserve">Strategija upravljanja kvalitetom vazduha za period 2021-2029. godina je sveobuhvatan dokument kojim se u ovoj oblasti racionalizuje broj strateških dokumenata, tako da strategija obuhvata Plan kontrole zagađivanja vazduha kao i planove kvaliteta vazduha za sve tri zone kvaliteta vazduha u Crnoj Gori. </w:t>
      </w:r>
      <w:r w:rsidR="00E9137B" w:rsidRPr="00E9137B">
        <w:t xml:space="preserve">Operativni cilj 1.C - smanjenje emisija zagađujućih materija (NOx, SO2, VOC, NH3 i PM2.5) </w:t>
      </w:r>
      <w:r>
        <w:t xml:space="preserve">obuhvata </w:t>
      </w:r>
      <w:r w:rsidR="00E9137B" w:rsidRPr="00E9137B">
        <w:t xml:space="preserve">mjere za smanjenje emisija zagađujućih materija </w:t>
      </w:r>
      <w:r w:rsidR="00373C11">
        <w:t>utvrđenih</w:t>
      </w:r>
      <w:r w:rsidR="00E9137B" w:rsidRPr="00E9137B">
        <w:t xml:space="preserve"> direktivom (EU) 2016/2284</w:t>
      </w:r>
      <w:r>
        <w:t xml:space="preserve"> o kojima se </w:t>
      </w:r>
      <w:r w:rsidR="00E9137B">
        <w:t>zbog specifičnosti nametnutih međunarodnim i evropskim zakonodavstvom, izvještava nezavisno od izvještaja o sprovođenju ove strategije</w:t>
      </w:r>
      <w:r>
        <w:t xml:space="preserve">. Emisije ugljen-monoksida u Crnoj Gori nisu visoke i ne mogu se procjenjivati u odnosu na emisije iz jedne kotlarnice malog kapaciteta (Pljevlja, Skerlićeva) koja se navodi u obrazloženju. </w:t>
      </w:r>
      <w:r w:rsidR="00373C11">
        <w:t xml:space="preserve">Pored toga, granične vrijednosti emisija za ložišna postrojenja utvrđene su posebnim propisima. </w:t>
      </w:r>
    </w:p>
    <w:p w:rsidR="00E40231" w:rsidRPr="006E68B4" w:rsidRDefault="006E68B4" w:rsidP="006E68B4">
      <w:pPr>
        <w:ind w:firstLine="720"/>
        <w:jc w:val="both"/>
      </w:pPr>
      <w:r>
        <w:t xml:space="preserve">10.2 </w:t>
      </w:r>
      <w:r w:rsidR="00E40231" w:rsidRPr="006E68B4">
        <w:t>Precizirati obaveze EPCG vezane za toplifikaciju Pljevalja;</w:t>
      </w:r>
      <w:r w:rsidR="00E40231" w:rsidRPr="006E68B4">
        <w:rPr>
          <w:highlight w:val="yellow"/>
        </w:rPr>
        <w:t xml:space="preserve"> </w:t>
      </w:r>
    </w:p>
    <w:p w:rsidR="006E68B4" w:rsidRDefault="006E68B4" w:rsidP="006E68B4">
      <w:pPr>
        <w:rPr>
          <w:b/>
        </w:rPr>
      </w:pPr>
      <w:r w:rsidRPr="001B62C3">
        <w:rPr>
          <w:b/>
        </w:rPr>
        <w:t>PRIMJEDBA SE NE PRIHVATA</w:t>
      </w:r>
    </w:p>
    <w:p w:rsidR="006E68B4" w:rsidRDefault="006E68B4" w:rsidP="006E68B4">
      <w:pPr>
        <w:spacing w:after="0"/>
        <w:jc w:val="both"/>
      </w:pPr>
      <w:r w:rsidRPr="006E68B4">
        <w:t xml:space="preserve">U primjedbi se navodi </w:t>
      </w:r>
      <w:r>
        <w:t>da tvrdnja “</w:t>
      </w:r>
      <w:r w:rsidRPr="006E68B4">
        <w:t>EPCG se obavezala da finansira izgradnju toplovoda od kapije TE Pljevlja do krajnje lokacije u Pljevljima</w:t>
      </w:r>
      <w:r>
        <w:t xml:space="preserve">” </w:t>
      </w:r>
      <w:r w:rsidRPr="006E68B4">
        <w:t>ne odgovora činjeničnom stanju</w:t>
      </w:r>
      <w:r>
        <w:t xml:space="preserve">, jer u </w:t>
      </w:r>
      <w:r w:rsidRPr="006E68B4">
        <w:t>“Informacij</w:t>
      </w:r>
      <w:r>
        <w:t>i</w:t>
      </w:r>
      <w:r w:rsidRPr="006E68B4">
        <w:t xml:space="preserve"> o aktivnostima na realizaciji projekta termoenergetskog kompleksa u Pljevljima” piše </w:t>
      </w:r>
      <w:r>
        <w:t xml:space="preserve">da je </w:t>
      </w:r>
      <w:r w:rsidRPr="006E68B4">
        <w:t xml:space="preserve">EPCG u obavezi da izgradi toplotni </w:t>
      </w:r>
      <w:r w:rsidRPr="006E68B4">
        <w:lastRenderedPageBreak/>
        <w:t xml:space="preserve">izvor sa izvodom cijevi do kapije TE Pljevlja. </w:t>
      </w:r>
      <w:r>
        <w:t xml:space="preserve">Pažljivim čitanjem iste informacije (dostupna na linku: </w:t>
      </w:r>
      <w:hyperlink r:id="rId8" w:history="1">
        <w:r w:rsidRPr="00836D09">
          <w:rPr>
            <w:rStyle w:val="Hyperlink"/>
          </w:rPr>
          <w:t>https://www.gov.me/dokumenta/bb0ab9ce-dfc6-4217-9bb3-3c5a3bd1100c</w:t>
        </w:r>
      </w:hyperlink>
      <w:r>
        <w:t>) uvidjećete da se takođe navodi i sljedeće: “</w:t>
      </w:r>
      <w:r>
        <w:t>Pored navedenog, EPCG se obavezala finansirati</w:t>
      </w:r>
      <w:r>
        <w:t xml:space="preserve"> </w:t>
      </w:r>
      <w:r>
        <w:t>izgradnju toplovoda od kapije TE Pljevlja do krajnje lokacije u Pljevljima. Izrada glavnog projekta i</w:t>
      </w:r>
      <w:r>
        <w:t xml:space="preserve"> </w:t>
      </w:r>
      <w:r>
        <w:t>izvođenje radova će se realizovati u periodu 2020-2023. godina</w:t>
      </w:r>
      <w:r w:rsidRPr="006E68B4">
        <w:t>.</w:t>
      </w:r>
      <w:r>
        <w:t>”</w:t>
      </w:r>
    </w:p>
    <w:p w:rsidR="006E68B4" w:rsidRPr="006E68B4" w:rsidRDefault="006E68B4" w:rsidP="006E68B4">
      <w:pPr>
        <w:spacing w:after="0"/>
        <w:jc w:val="both"/>
      </w:pPr>
      <w:bookmarkStart w:id="0" w:name="_GoBack"/>
      <w:bookmarkEnd w:id="0"/>
    </w:p>
    <w:p w:rsidR="00E40231" w:rsidRDefault="00E40231" w:rsidP="006E68B4">
      <w:pPr>
        <w:pStyle w:val="ListParagraph"/>
        <w:numPr>
          <w:ilvl w:val="1"/>
          <w:numId w:val="25"/>
        </w:numPr>
      </w:pPr>
      <w:r>
        <w:t>Dodavanje aktivnosti “obezbjeđivanje konstantnog neprekidnog izvještavanja o kvalitetu vazduha”</w:t>
      </w:r>
    </w:p>
    <w:p w:rsidR="00373C11" w:rsidRPr="00373C11" w:rsidRDefault="00373C11" w:rsidP="00373C11">
      <w:pPr>
        <w:rPr>
          <w:b/>
        </w:rPr>
      </w:pPr>
      <w:r w:rsidRPr="00373C11">
        <w:rPr>
          <w:b/>
        </w:rPr>
        <w:t>PRIMJEDBA SE NE PRIHVATA</w:t>
      </w:r>
    </w:p>
    <w:p w:rsidR="00373C11" w:rsidRDefault="00373C11" w:rsidP="00E0481F">
      <w:pPr>
        <w:jc w:val="both"/>
      </w:pPr>
      <w:r>
        <w:t xml:space="preserve">Način izvještavanja o kvalitetu vazduha </w:t>
      </w:r>
      <w:r w:rsidR="00E0481F">
        <w:t>utvrđen je Zakonom o zaštiti vazduha, čl. 42 i 43. Ovim zakonom, kao i evropskim direktivama o kvalitetu vazduha ne insistira se na izvještavanju o kvalitetu vazduha u realnom vremenu jer se radi o sirovim, nevalidiranim podacima koji se elektronskim putem direktno usmjeravaju na web-portal</w:t>
      </w:r>
      <w:r w:rsidR="00BA1E61">
        <w:t xml:space="preserve"> i stoga mogu sadržavati greške različite prirode. Fokus obaveznog izvještavanja je na obrađenim i stručno validiranim podacima. </w:t>
      </w:r>
      <w:r w:rsidR="00E0481F">
        <w:t xml:space="preserve"> Obezbjeđivanje neprekidnog “on-line” izvještavanja je pitanje dobre prakse i u Crnoj Gori je dostupno od 2014. godine, na web-portalu Agencije za zaštitu životne sredine. Prekidi u izvještavanju uglavnom su izazvani tehničkim problemima – u najvećem broju slučajeva kvarovima na osjetljivoj i skupoj opremi koja tokom 2020. godine nije servisirana. </w:t>
      </w:r>
    </w:p>
    <w:p w:rsidR="00E40231" w:rsidRDefault="00E40231" w:rsidP="006E68B4">
      <w:pPr>
        <w:pStyle w:val="ListParagraph"/>
        <w:numPr>
          <w:ilvl w:val="1"/>
          <w:numId w:val="25"/>
        </w:numPr>
        <w:jc w:val="both"/>
      </w:pPr>
      <w:r w:rsidRPr="00BA1E61">
        <w:t>Dodati aktivnost “</w:t>
      </w:r>
      <w:r w:rsidR="00F53353" w:rsidRPr="00BA1E61">
        <w:t xml:space="preserve">unapređenje baze podataka u dijelu kvaliteta vazduha posebno u dijelu definisanja i evidentiranja u okviru zdravstvenog informacionog sistema da bi se omogućila dalja istraživanja o uticaju zagađenja vazduha na zdravlje ljudi”; </w:t>
      </w:r>
    </w:p>
    <w:p w:rsidR="00BA1E61" w:rsidRPr="00BA1E61" w:rsidRDefault="00BA1E61" w:rsidP="00BA1E61">
      <w:pPr>
        <w:rPr>
          <w:b/>
        </w:rPr>
      </w:pPr>
      <w:r w:rsidRPr="00BA1E61">
        <w:rPr>
          <w:b/>
        </w:rPr>
        <w:t>PRIMJEDBA SE PRIHVATA DJELIMIČNO</w:t>
      </w:r>
    </w:p>
    <w:p w:rsidR="00BA1E61" w:rsidRPr="00BA1E61" w:rsidRDefault="00BA1E61" w:rsidP="00BA1E61">
      <w:pPr>
        <w:jc w:val="both"/>
      </w:pPr>
      <w:r>
        <w:t>Nacrt strategije upravljanja kvalitetom vazduha za period 2021-2029. godina prati akcioni plan za dvogodišnji period 2021-2022. godina, koji je dodatno skraćen zbog odloženog roka usvajanja strategije. Imajući u vidu da se Crna Gora, kao i brojne druge države širom svijeta, nalazi u fazi finansijske krize izazvane epidemijom virusa COVID-19, rađen je kratkoročni akcioni plan sa brižljivo biranim mjerama čija se bar djelimična implementacija može očekivati do kraja 2022. godine. Predložena mjera je bila predviđena za realizaciju u periodu 2017-2020. godina, međutim, Ministarstvo zdravlja i Fond za zdravstvo nisu realizovali ovu mjeru u predviđenom roku. Ministarstvo zdravlja u saradnji sa Svjetskom zdravstvenom organizacijom radi na digitalizaciji zdravstvene statistike, međutim, u ovom, inicijalnom periodu projekta akcenat je stavljen na pandemiju virusa COVID-19, tako da se dalja unapređenja zdravstvene statistike mogu očekivati nakon 2022. godine. P</w:t>
      </w:r>
      <w:r w:rsidRPr="00BA1E61">
        <w:t>reporuka je uvrštena u listu mjera koje je neophodno realizovati u sklopu Strategije upravljanja kvalitetom vazduha ali ne i u okviru Akcionog plana 2021-2022. godina.</w:t>
      </w:r>
    </w:p>
    <w:p w:rsidR="00F53353" w:rsidRDefault="00F53353" w:rsidP="006E68B4">
      <w:pPr>
        <w:pStyle w:val="ListParagraph"/>
        <w:numPr>
          <w:ilvl w:val="1"/>
          <w:numId w:val="25"/>
        </w:numPr>
      </w:pPr>
      <w:r>
        <w:t xml:space="preserve">Razmotriti šire teritorijalno praćenje kvaliteta </w:t>
      </w:r>
      <w:r w:rsidR="00DA5B2B">
        <w:t>vazduha na teritoriji Crne Gore</w:t>
      </w:r>
    </w:p>
    <w:p w:rsidR="00DA5B2B" w:rsidRDefault="00DA5B2B" w:rsidP="00DA5B2B">
      <w:pPr>
        <w:rPr>
          <w:b/>
        </w:rPr>
      </w:pPr>
      <w:r w:rsidRPr="00DA5B2B">
        <w:rPr>
          <w:b/>
        </w:rPr>
        <w:t>PRIMJEDBA SE NE PRIHVATA</w:t>
      </w:r>
    </w:p>
    <w:p w:rsidR="00DA5B2B" w:rsidRDefault="00DA5B2B" w:rsidP="00DA5B2B">
      <w:r w:rsidRPr="00DA5B2B">
        <w:t xml:space="preserve">Prema </w:t>
      </w:r>
      <w:r>
        <w:t>standardima praćenja kvaliteta vazduha defi</w:t>
      </w:r>
      <w:r w:rsidR="001A0065">
        <w:t xml:space="preserve">nisanim u Direktivi 2008/50/EC, minimalan broj mjernih mjesta za praćenje kvaliteta vazduha određuje se u skladu sa Tabelom 1: </w:t>
      </w: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84"/>
        <w:gridCol w:w="2978"/>
        <w:gridCol w:w="809"/>
        <w:gridCol w:w="934"/>
        <w:gridCol w:w="2439"/>
      </w:tblGrid>
      <w:tr w:rsidR="001A0065" w:rsidRPr="001A0065" w:rsidTr="000C1C12">
        <w:trPr>
          <w:trHeight w:val="1106"/>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Pr>
                <w:lang w:val="en-GB" w:eastAsia="en-GB"/>
              </w:rPr>
              <w:lastRenderedPageBreak/>
              <w:t xml:space="preserve">Populacija u zoni kvaliteta vazduha </w:t>
            </w:r>
          </w:p>
          <w:p w:rsidR="001A0065" w:rsidRPr="001A0065" w:rsidRDefault="001A0065" w:rsidP="001A0065">
            <w:pPr>
              <w:spacing w:after="0"/>
              <w:rPr>
                <w:lang w:val="en-GB" w:eastAsia="en-GB"/>
              </w:rPr>
            </w:pPr>
            <w:r w:rsidRPr="001A0065">
              <w:rPr>
                <w:lang w:val="en-GB" w:eastAsia="en-GB"/>
              </w:rPr>
              <w:t>(</w:t>
            </w:r>
            <w:r>
              <w:rPr>
                <w:lang w:val="en-GB" w:eastAsia="en-GB"/>
              </w:rPr>
              <w:t>u hiljadama</w:t>
            </w:r>
            <w:r w:rsidRPr="001A0065">
              <w:rPr>
                <w:lang w:val="en-GB" w:eastAsia="en-GB"/>
              </w:rPr>
              <w:t>)</w:t>
            </w:r>
          </w:p>
        </w:tc>
        <w:tc>
          <w:tcPr>
            <w:tcW w:w="0" w:type="auto"/>
            <w:tcBorders>
              <w:top w:val="single" w:sz="6" w:space="0" w:color="000000"/>
              <w:left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Pr>
                <w:lang w:val="en-GB" w:eastAsia="en-GB"/>
              </w:rPr>
              <w:t>Zagađujuće materije osim suspendovanih čestica</w:t>
            </w:r>
          </w:p>
        </w:tc>
        <w:tc>
          <w:tcPr>
            <w:tcW w:w="0" w:type="auto"/>
            <w:tcBorders>
              <w:top w:val="single" w:sz="6" w:space="0" w:color="000000"/>
              <w:left w:val="single" w:sz="6" w:space="0" w:color="000000"/>
              <w:right w:val="single" w:sz="6" w:space="0" w:color="000000"/>
            </w:tcBorders>
            <w:shd w:val="clear" w:color="auto" w:fill="FFFFFF"/>
          </w:tcPr>
          <w:p w:rsidR="001A0065" w:rsidRPr="001A0065" w:rsidRDefault="001A0065" w:rsidP="001A0065">
            <w:pPr>
              <w:spacing w:after="0"/>
              <w:rPr>
                <w:lang w:val="en-GB" w:eastAsia="en-GB"/>
              </w:rPr>
            </w:pPr>
            <w:r w:rsidRPr="001A0065">
              <w:rPr>
                <w:lang w:val="en-GB" w:eastAsia="en-GB"/>
              </w:rPr>
              <w:t>PM</w:t>
            </w:r>
            <w:r w:rsidRPr="001A0065">
              <w:rPr>
                <w:sz w:val="17"/>
                <w:szCs w:val="17"/>
                <w:vertAlign w:val="subscript"/>
                <w:lang w:val="en-GB" w:eastAsia="en-GB"/>
              </w:rPr>
              <w:t>10</w:t>
            </w:r>
            <w:r w:rsidRPr="001A0065">
              <w:rPr>
                <w:lang w:val="en-GB" w:eastAsia="en-GB"/>
              </w:rPr>
              <w:t> </w:t>
            </w:r>
            <w:r>
              <w:rPr>
                <w:lang w:val="en-GB" w:eastAsia="en-GB"/>
              </w:rPr>
              <w:t xml:space="preserve">i </w:t>
            </w:r>
            <w:r w:rsidRPr="001A0065">
              <w:rPr>
                <w:lang w:val="en-GB" w:eastAsia="en-GB"/>
              </w:rPr>
              <w:t xml:space="preserve"> PM</w:t>
            </w:r>
            <w:r w:rsidRPr="001A0065">
              <w:rPr>
                <w:sz w:val="17"/>
                <w:szCs w:val="17"/>
                <w:vertAlign w:val="subscript"/>
                <w:lang w:val="en-GB" w:eastAsia="en-GB"/>
              </w:rPr>
              <w:t>2,5</w:t>
            </w:r>
            <w:r w:rsidRPr="001A0065">
              <w:rPr>
                <w:lang w:val="en-GB" w:eastAsia="en-GB"/>
              </w:rPr>
              <w:t>)</w:t>
            </w:r>
          </w:p>
        </w:tc>
        <w:tc>
          <w:tcPr>
            <w:tcW w:w="0" w:type="auto"/>
            <w:tcBorders>
              <w:top w:val="single" w:sz="6" w:space="0" w:color="000000"/>
              <w:left w:val="single" w:sz="6" w:space="0" w:color="000000"/>
              <w:right w:val="single" w:sz="6" w:space="0" w:color="000000"/>
            </w:tcBorders>
            <w:shd w:val="clear" w:color="auto" w:fill="FFFFFF"/>
          </w:tcPr>
          <w:p w:rsidR="001A0065" w:rsidRPr="001A0065" w:rsidRDefault="001A0065" w:rsidP="001A0065">
            <w:pPr>
              <w:spacing w:after="0"/>
              <w:rPr>
                <w:lang w:val="en-GB" w:eastAsia="en-GB"/>
              </w:rPr>
            </w:pPr>
            <w:r w:rsidRPr="001A0065">
              <w:rPr>
                <w:lang w:val="en-GB" w:eastAsia="en-GB"/>
              </w:rPr>
              <w:t>Popula</w:t>
            </w:r>
            <w:r>
              <w:rPr>
                <w:lang w:val="en-GB" w:eastAsia="en-GB"/>
              </w:rPr>
              <w:t xml:space="preserve">cija </w:t>
            </w:r>
          </w:p>
        </w:tc>
        <w:tc>
          <w:tcPr>
            <w:tcW w:w="0" w:type="auto"/>
            <w:tcBorders>
              <w:top w:val="single" w:sz="6" w:space="0" w:color="000000"/>
              <w:left w:val="single" w:sz="6" w:space="0" w:color="000000"/>
              <w:right w:val="single" w:sz="6" w:space="0" w:color="000000"/>
            </w:tcBorders>
            <w:shd w:val="clear" w:color="auto" w:fill="FFFFFF"/>
          </w:tcPr>
          <w:p w:rsidR="001A0065" w:rsidRPr="001A0065" w:rsidRDefault="001A0065" w:rsidP="001A0065">
            <w:pPr>
              <w:spacing w:after="0"/>
              <w:rPr>
                <w:lang w:val="en-GB" w:eastAsia="en-GB"/>
              </w:rPr>
            </w:pPr>
            <w:r w:rsidRPr="001A0065">
              <w:rPr>
                <w:lang w:val="en-GB" w:eastAsia="en-GB"/>
              </w:rPr>
              <w:t>Ozon</w:t>
            </w: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0-249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&lt; 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1</w:t>
            </w: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250-499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&lt;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2</w:t>
            </w: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500-749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&lt; 1 000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2</w:t>
            </w: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750-999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&lt; 1 500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3</w:t>
            </w: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1 000-1 499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&lt; 2 000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4</w:t>
            </w: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1 500-1 999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&lt; 2 750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5</w:t>
            </w: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2 000-2 749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&lt; 3 750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6</w:t>
            </w: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2 750-3 749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&gt; 3 750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Pr>
                <w:lang w:val="en-GB" w:eastAsia="en-GB"/>
              </w:rPr>
              <w:t>Dodatna stanica za svaka 2 miliona stanovnika</w:t>
            </w: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3 750-4 749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4 750-5 999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p>
        </w:tc>
      </w:tr>
      <w:tr w:rsidR="001A0065" w:rsidRPr="001A0065" w:rsidTr="000C1C12">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1A0065" w:rsidRPr="001A0065" w:rsidRDefault="001A0065" w:rsidP="001A0065">
            <w:pPr>
              <w:spacing w:after="0"/>
              <w:rPr>
                <w:lang w:val="en-GB" w:eastAsia="en-GB"/>
              </w:rPr>
            </w:pPr>
            <w:r w:rsidRPr="001A0065">
              <w:rPr>
                <w:lang w:val="en-GB" w:eastAsia="en-GB"/>
              </w:rPr>
              <w:t>≥ 6 000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center"/>
            <w:hideMark/>
          </w:tcPr>
          <w:p w:rsidR="001A0065" w:rsidRPr="001A0065" w:rsidRDefault="001A0065" w:rsidP="001A0065">
            <w:pPr>
              <w:spacing w:after="0"/>
              <w:jc w:val="center"/>
              <w:rPr>
                <w:lang w:val="en-GB" w:eastAsia="en-GB"/>
              </w:rPr>
            </w:pPr>
            <w:r w:rsidRPr="001A0065">
              <w:rPr>
                <w:lang w:val="en-GB" w:eastAsia="en-GB"/>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r w:rsidRPr="001A0065">
              <w:rPr>
                <w:lang w:val="en-GB" w:eastAsia="en-GB"/>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rsidR="001A0065" w:rsidRPr="001A0065" w:rsidRDefault="001A0065" w:rsidP="001A0065">
            <w:pPr>
              <w:spacing w:after="0"/>
              <w:jc w:val="center"/>
              <w:rPr>
                <w:lang w:val="en-GB" w:eastAsia="en-GB"/>
              </w:rPr>
            </w:pPr>
          </w:p>
        </w:tc>
      </w:tr>
    </w:tbl>
    <w:p w:rsidR="00F201AD" w:rsidRDefault="00F201AD" w:rsidP="00F201AD">
      <w:pPr>
        <w:jc w:val="both"/>
      </w:pPr>
    </w:p>
    <w:p w:rsidR="001A0065" w:rsidRDefault="00F201AD" w:rsidP="00F201AD">
      <w:pPr>
        <w:jc w:val="both"/>
      </w:pPr>
      <w:r>
        <w:t>Dvije</w:t>
      </w:r>
      <w:r w:rsidR="001A0065">
        <w:t xml:space="preserve"> zone kvaliteta vazduha </w:t>
      </w:r>
      <w:r>
        <w:t>u Crnoj Gori (Južna i Sjeverna) imaju manje od 249,000 stanovnika, dok se stanovništvo Centralne zone procjenjuje</w:t>
      </w:r>
      <w:r>
        <w:rPr>
          <w:rStyle w:val="FootnoteReference"/>
        </w:rPr>
        <w:footnoteReference w:id="2"/>
      </w:r>
      <w:r>
        <w:t xml:space="preserve"> na 304,946 stanovnika. Prema kriterijumima iz tabele, u Južnoj i Sjevernoj zoni je neophodno imati po 2 mjerna mjesta (na oba se mjere suspendovane čestice, a na po jednoj ozon i ostale zagađujuće materije). U Centralnoj zoni neophodna su tri mjerna mjesta (na tri se mjere suspendovane čestice a na dva ozon i ostale zagađujuće materije). S tim u skladu, minimalan broj mjernih mjesta za praćenje kvaliteta vazduha u Crnoj Gori je 7, koliko ih je i bilo od 2012. do 2019. godine. Trenutno, državna mreža raspolaže sa 10 automatskih mjernih stanica čije godišnje održavanje i servisiranje iziskuje vrlo visoke troškove. </w:t>
      </w:r>
    </w:p>
    <w:p w:rsidR="00F201AD" w:rsidRDefault="00F201AD" w:rsidP="00F201AD">
      <w:pPr>
        <w:jc w:val="both"/>
      </w:pPr>
      <w:r>
        <w:t xml:space="preserve">Prema drugom kriterijumu, jedno mjerno mjesto se postavlja za površinu od 50,000 km2 (kada je u pitanju mjerenje prizemnog ozona) ili na 100,000 km2 (kada su u pitanju suspendovane čestice PM2.5). </w:t>
      </w:r>
    </w:p>
    <w:p w:rsidR="00826C7C" w:rsidRPr="00DA5B2B" w:rsidRDefault="00826C7C" w:rsidP="00F201AD">
      <w:pPr>
        <w:jc w:val="both"/>
      </w:pPr>
      <w:r>
        <w:t xml:space="preserve">Imajući u vidu površinu i broj stanovnika Crne Gore, kao i distribuciju značajnih izvora zagađenja vazduha, veći broj mjernih stanica ne može pružiti značajno drugačiju sliku o kvalitetu vazduha a pri tom može izazvati neopravdano visoke troškove. Zakonom o zaštiti vazduha opštine se ohrabruju na razvijanje </w:t>
      </w:r>
      <w:r>
        <w:lastRenderedPageBreak/>
        <w:t xml:space="preserve">lokalnih mreža za praćenje kvaliteta vazduha ali im se ta obaveza ne nameće jer se vodilo računa o finansijskim i ekspertskim potrebama za upravljanje takvim mrežama. </w:t>
      </w:r>
    </w:p>
    <w:p w:rsidR="00BD13DE" w:rsidRDefault="00BD13DE" w:rsidP="00BD13DE">
      <w:pPr>
        <w:pStyle w:val="ListParagraph"/>
      </w:pPr>
    </w:p>
    <w:p w:rsidR="00524F5B" w:rsidRDefault="00524F5B" w:rsidP="00E0481F">
      <w:pPr>
        <w:pStyle w:val="ListParagraph"/>
        <w:numPr>
          <w:ilvl w:val="0"/>
          <w:numId w:val="25"/>
        </w:numPr>
      </w:pPr>
      <w:r w:rsidRPr="00E9137B">
        <w:rPr>
          <w:u w:val="single"/>
        </w:rPr>
        <w:t>Fond za zaštitu životne sredine</w:t>
      </w:r>
    </w:p>
    <w:p w:rsidR="007F6E1B" w:rsidRDefault="005F02A3" w:rsidP="005F02A3">
      <w:pPr>
        <w:ind w:left="360"/>
        <w:jc w:val="both"/>
      </w:pPr>
      <w:r>
        <w:t xml:space="preserve">Fond za zaštitu životne sredine dostavio je 3 primjedbe koje se odnose na nosioce implementacije mjera. </w:t>
      </w:r>
    </w:p>
    <w:p w:rsidR="00BD13DE" w:rsidRDefault="00E9137B" w:rsidP="00E9137B">
      <w:pPr>
        <w:ind w:firstLine="720"/>
        <w:jc w:val="both"/>
      </w:pPr>
      <w:r>
        <w:t xml:space="preserve">11.1 </w:t>
      </w:r>
      <w:r w:rsidR="005F02A3">
        <w:t xml:space="preserve">Eko-fond je potrebno prepoznati u realizaciji sljedećih mjera: </w:t>
      </w:r>
    </w:p>
    <w:p w:rsidR="005F02A3" w:rsidRPr="007F6E1B" w:rsidRDefault="005F02A3" w:rsidP="00E0481F">
      <w:pPr>
        <w:pStyle w:val="ListParagraph"/>
        <w:numPr>
          <w:ilvl w:val="0"/>
          <w:numId w:val="25"/>
        </w:numPr>
        <w:jc w:val="both"/>
      </w:pPr>
      <w:r w:rsidRPr="007F6E1B">
        <w:t xml:space="preserve">Povećanje korišćenja alternativnih goriva, novih generacija vozila i elektromobilnosti u saobraćaju; </w:t>
      </w:r>
    </w:p>
    <w:p w:rsidR="005F02A3" w:rsidRPr="007F6E1B" w:rsidRDefault="00E40231" w:rsidP="00E0481F">
      <w:pPr>
        <w:pStyle w:val="ListParagraph"/>
        <w:numPr>
          <w:ilvl w:val="0"/>
          <w:numId w:val="25"/>
        </w:numPr>
        <w:jc w:val="both"/>
      </w:pPr>
      <w:r w:rsidRPr="007F6E1B">
        <w:t xml:space="preserve">Zamjena uređaja za grijanje i mjere energetske efikasnosti u individualnim stambenim objektima; </w:t>
      </w:r>
    </w:p>
    <w:p w:rsidR="00E40231" w:rsidRPr="007F6E1B" w:rsidRDefault="00E40231" w:rsidP="00E0481F">
      <w:pPr>
        <w:pStyle w:val="ListParagraph"/>
        <w:numPr>
          <w:ilvl w:val="0"/>
          <w:numId w:val="25"/>
        </w:numPr>
        <w:jc w:val="both"/>
      </w:pPr>
      <w:r w:rsidRPr="007F6E1B">
        <w:t xml:space="preserve">Smanjenje emisija NOx iz saobraćaja (podsticaj nabavke električnih i hibridnih automobila). </w:t>
      </w:r>
    </w:p>
    <w:p w:rsidR="007F6E1B" w:rsidRDefault="007F6E1B" w:rsidP="007F6E1B">
      <w:pPr>
        <w:ind w:left="360"/>
        <w:jc w:val="both"/>
        <w:rPr>
          <w:b/>
        </w:rPr>
      </w:pPr>
      <w:r w:rsidRPr="007F6E1B">
        <w:rPr>
          <w:b/>
        </w:rPr>
        <w:t>PRIMJEDB</w:t>
      </w:r>
      <w:r w:rsidR="00E9137B">
        <w:rPr>
          <w:b/>
        </w:rPr>
        <w:t>A</w:t>
      </w:r>
      <w:r w:rsidRPr="007F6E1B">
        <w:rPr>
          <w:b/>
        </w:rPr>
        <w:t xml:space="preserve"> SE PRIHVATA</w:t>
      </w:r>
    </w:p>
    <w:p w:rsidR="00E9137B" w:rsidRDefault="00E9137B" w:rsidP="00E9137B">
      <w:pPr>
        <w:jc w:val="both"/>
      </w:pPr>
      <w:r>
        <w:t xml:space="preserve">Navodi </w:t>
      </w:r>
      <w:r w:rsidRPr="00F2402E">
        <w:t>primjedbe integrisan</w:t>
      </w:r>
      <w:r>
        <w:t xml:space="preserve">i su </w:t>
      </w:r>
      <w:r w:rsidRPr="00F2402E">
        <w:t xml:space="preserve">u tekst Nacrta strategije upravljanja kvalitetom vazduha za period 2021 -2029. godina. </w:t>
      </w:r>
    </w:p>
    <w:sectPr w:rsidR="00E913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91B" w:rsidRDefault="0096091B" w:rsidP="00E32466">
      <w:pPr>
        <w:spacing w:after="0" w:line="240" w:lineRule="auto"/>
      </w:pPr>
      <w:r>
        <w:separator/>
      </w:r>
    </w:p>
  </w:endnote>
  <w:endnote w:type="continuationSeparator" w:id="0">
    <w:p w:rsidR="0096091B" w:rsidRDefault="0096091B" w:rsidP="00E32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91B" w:rsidRDefault="0096091B" w:rsidP="00E32466">
      <w:pPr>
        <w:spacing w:after="0" w:line="240" w:lineRule="auto"/>
      </w:pPr>
      <w:r>
        <w:separator/>
      </w:r>
    </w:p>
  </w:footnote>
  <w:footnote w:type="continuationSeparator" w:id="0">
    <w:p w:rsidR="0096091B" w:rsidRDefault="0096091B" w:rsidP="00E32466">
      <w:pPr>
        <w:spacing w:after="0" w:line="240" w:lineRule="auto"/>
      </w:pPr>
      <w:r>
        <w:continuationSeparator/>
      </w:r>
    </w:p>
  </w:footnote>
  <w:footnote w:id="1">
    <w:p w:rsidR="00E32466" w:rsidRPr="00E32466" w:rsidRDefault="00E32466">
      <w:pPr>
        <w:pStyle w:val="FootnoteText"/>
        <w:rPr>
          <w:lang w:val="sr-Latn-ME"/>
        </w:rPr>
      </w:pPr>
      <w:r>
        <w:rPr>
          <w:rStyle w:val="FootnoteReference"/>
        </w:rPr>
        <w:footnoteRef/>
      </w:r>
      <w:r>
        <w:t xml:space="preserve"> </w:t>
      </w:r>
      <w:r>
        <w:rPr>
          <w:lang w:val="sr-Latn-ME"/>
        </w:rPr>
        <w:t>Sub-urban</w:t>
      </w:r>
    </w:p>
  </w:footnote>
  <w:footnote w:id="2">
    <w:p w:rsidR="00F201AD" w:rsidRPr="00F201AD" w:rsidRDefault="00F201AD">
      <w:pPr>
        <w:pStyle w:val="FootnoteText"/>
        <w:rPr>
          <w:lang w:val="sr-Latn-ME"/>
        </w:rPr>
      </w:pPr>
      <w:r>
        <w:rPr>
          <w:rStyle w:val="FootnoteReference"/>
        </w:rPr>
        <w:footnoteRef/>
      </w:r>
      <w:r>
        <w:t xml:space="preserve"> </w:t>
      </w:r>
      <w:r>
        <w:rPr>
          <w:lang w:val="sr-Latn-ME"/>
        </w:rPr>
        <w:t xml:space="preserve">Monstat, procjene stanovništva sredinom godine 2020.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03CD1"/>
    <w:multiLevelType w:val="hybridMultilevel"/>
    <w:tmpl w:val="3E34DE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10A759"/>
    <w:multiLevelType w:val="hybridMultilevel"/>
    <w:tmpl w:val="0CB649A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EAEC53"/>
    <w:multiLevelType w:val="hybridMultilevel"/>
    <w:tmpl w:val="6760CA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371B81"/>
    <w:multiLevelType w:val="hybridMultilevel"/>
    <w:tmpl w:val="C26EB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E1591E"/>
    <w:multiLevelType w:val="hybridMultilevel"/>
    <w:tmpl w:val="1AB60B8E"/>
    <w:lvl w:ilvl="0" w:tplc="9C90EE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95F19"/>
    <w:multiLevelType w:val="multilevel"/>
    <w:tmpl w:val="FD2A02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CA3A9F"/>
    <w:multiLevelType w:val="multilevel"/>
    <w:tmpl w:val="422607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36078D"/>
    <w:multiLevelType w:val="multilevel"/>
    <w:tmpl w:val="9434FA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FF2E45"/>
    <w:multiLevelType w:val="hybridMultilevel"/>
    <w:tmpl w:val="F43C52D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4455E"/>
    <w:multiLevelType w:val="multilevel"/>
    <w:tmpl w:val="5A12F1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F33DA3"/>
    <w:multiLevelType w:val="multilevel"/>
    <w:tmpl w:val="998AE3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779FFC"/>
    <w:multiLevelType w:val="hybridMultilevel"/>
    <w:tmpl w:val="A05510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6D0F25"/>
    <w:multiLevelType w:val="multilevel"/>
    <w:tmpl w:val="538EEF1E"/>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63170DF"/>
    <w:multiLevelType w:val="multilevel"/>
    <w:tmpl w:val="F9CA3E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137B2F"/>
    <w:multiLevelType w:val="multilevel"/>
    <w:tmpl w:val="21A4E52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37C6A53"/>
    <w:multiLevelType w:val="multilevel"/>
    <w:tmpl w:val="6D92130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DE7A76"/>
    <w:multiLevelType w:val="hybridMultilevel"/>
    <w:tmpl w:val="863C44C6"/>
    <w:lvl w:ilvl="0" w:tplc="9C90EE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45F87"/>
    <w:multiLevelType w:val="multilevel"/>
    <w:tmpl w:val="FE9C6D1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D534C40"/>
    <w:multiLevelType w:val="hybridMultilevel"/>
    <w:tmpl w:val="0EDC5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F1D65"/>
    <w:multiLevelType w:val="multilevel"/>
    <w:tmpl w:val="A8C05E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1F0F52"/>
    <w:multiLevelType w:val="multilevel"/>
    <w:tmpl w:val="E0FA5104"/>
    <w:lvl w:ilvl="0">
      <w:start w:val="11"/>
      <w:numFmt w:val="decimal"/>
      <w:lvlText w:val="%1"/>
      <w:lvlJc w:val="left"/>
      <w:pPr>
        <w:ind w:left="375" w:hanging="375"/>
      </w:pPr>
      <w:rPr>
        <w:rFonts w:hint="default"/>
      </w:rPr>
    </w:lvl>
    <w:lvl w:ilvl="1">
      <w:start w:val="1"/>
      <w:numFmt w:val="decimal"/>
      <w:lvlText w:val="%1.%2"/>
      <w:lvlJc w:val="left"/>
      <w:pPr>
        <w:ind w:left="870" w:hanging="37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21" w15:restartNumberingAfterBreak="0">
    <w:nsid w:val="5CC3698E"/>
    <w:multiLevelType w:val="hybridMultilevel"/>
    <w:tmpl w:val="4FCE1DCE"/>
    <w:lvl w:ilvl="0" w:tplc="9C90EEF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3C89B"/>
    <w:multiLevelType w:val="hybridMultilevel"/>
    <w:tmpl w:val="B3453B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D3C5E63"/>
    <w:multiLevelType w:val="multilevel"/>
    <w:tmpl w:val="74D213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F6E172C"/>
    <w:multiLevelType w:val="multilevel"/>
    <w:tmpl w:val="488ECC7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E3D379F"/>
    <w:multiLevelType w:val="multilevel"/>
    <w:tmpl w:val="10E43BA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E6F45E1"/>
    <w:multiLevelType w:val="multilevel"/>
    <w:tmpl w:val="303E08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2"/>
  </w:num>
  <w:num w:numId="3">
    <w:abstractNumId w:val="0"/>
  </w:num>
  <w:num w:numId="4">
    <w:abstractNumId w:val="2"/>
  </w:num>
  <w:num w:numId="5">
    <w:abstractNumId w:val="11"/>
  </w:num>
  <w:num w:numId="6">
    <w:abstractNumId w:val="3"/>
  </w:num>
  <w:num w:numId="7">
    <w:abstractNumId w:val="21"/>
  </w:num>
  <w:num w:numId="8">
    <w:abstractNumId w:val="9"/>
  </w:num>
  <w:num w:numId="9">
    <w:abstractNumId w:val="4"/>
  </w:num>
  <w:num w:numId="10">
    <w:abstractNumId w:val="16"/>
  </w:num>
  <w:num w:numId="11">
    <w:abstractNumId w:val="26"/>
  </w:num>
  <w:num w:numId="12">
    <w:abstractNumId w:val="19"/>
  </w:num>
  <w:num w:numId="13">
    <w:abstractNumId w:val="6"/>
  </w:num>
  <w:num w:numId="14">
    <w:abstractNumId w:val="14"/>
  </w:num>
  <w:num w:numId="15">
    <w:abstractNumId w:val="23"/>
  </w:num>
  <w:num w:numId="16">
    <w:abstractNumId w:val="15"/>
  </w:num>
  <w:num w:numId="17">
    <w:abstractNumId w:val="10"/>
  </w:num>
  <w:num w:numId="18">
    <w:abstractNumId w:val="17"/>
  </w:num>
  <w:num w:numId="19">
    <w:abstractNumId w:val="25"/>
  </w:num>
  <w:num w:numId="20">
    <w:abstractNumId w:val="13"/>
  </w:num>
  <w:num w:numId="21">
    <w:abstractNumId w:val="7"/>
  </w:num>
  <w:num w:numId="22">
    <w:abstractNumId w:val="5"/>
  </w:num>
  <w:num w:numId="23">
    <w:abstractNumId w:val="8"/>
  </w:num>
  <w:num w:numId="24">
    <w:abstractNumId w:val="20"/>
  </w:num>
  <w:num w:numId="25">
    <w:abstractNumId w:val="12"/>
  </w:num>
  <w:num w:numId="26">
    <w:abstractNumId w:val="24"/>
  </w:num>
  <w:num w:numId="27">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910"/>
    <w:rsid w:val="00036C0E"/>
    <w:rsid w:val="000527E6"/>
    <w:rsid w:val="000C2A27"/>
    <w:rsid w:val="000F6DD6"/>
    <w:rsid w:val="00140130"/>
    <w:rsid w:val="001A0065"/>
    <w:rsid w:val="001B62C3"/>
    <w:rsid w:val="001B7811"/>
    <w:rsid w:val="002032D6"/>
    <w:rsid w:val="002158C5"/>
    <w:rsid w:val="00334FC6"/>
    <w:rsid w:val="00335A1B"/>
    <w:rsid w:val="00373C11"/>
    <w:rsid w:val="003800A4"/>
    <w:rsid w:val="00384817"/>
    <w:rsid w:val="003D3709"/>
    <w:rsid w:val="00456245"/>
    <w:rsid w:val="00476C87"/>
    <w:rsid w:val="00497C73"/>
    <w:rsid w:val="004A52AE"/>
    <w:rsid w:val="004B6CCB"/>
    <w:rsid w:val="0051263D"/>
    <w:rsid w:val="00522209"/>
    <w:rsid w:val="00524F5B"/>
    <w:rsid w:val="005456D7"/>
    <w:rsid w:val="005818BB"/>
    <w:rsid w:val="005F02A3"/>
    <w:rsid w:val="005F4378"/>
    <w:rsid w:val="00694315"/>
    <w:rsid w:val="006B6398"/>
    <w:rsid w:val="006C2D03"/>
    <w:rsid w:val="006E68B4"/>
    <w:rsid w:val="00700335"/>
    <w:rsid w:val="0070726C"/>
    <w:rsid w:val="00723E8A"/>
    <w:rsid w:val="00731BF6"/>
    <w:rsid w:val="007D5910"/>
    <w:rsid w:val="007F6E1B"/>
    <w:rsid w:val="007F7A92"/>
    <w:rsid w:val="008072A5"/>
    <w:rsid w:val="00826C7C"/>
    <w:rsid w:val="00830E53"/>
    <w:rsid w:val="00851566"/>
    <w:rsid w:val="0087463C"/>
    <w:rsid w:val="00895ED6"/>
    <w:rsid w:val="008A7859"/>
    <w:rsid w:val="00906E0D"/>
    <w:rsid w:val="00941465"/>
    <w:rsid w:val="00950DE4"/>
    <w:rsid w:val="0096091B"/>
    <w:rsid w:val="00983B4C"/>
    <w:rsid w:val="00995A86"/>
    <w:rsid w:val="009C27B2"/>
    <w:rsid w:val="009E431E"/>
    <w:rsid w:val="009E639B"/>
    <w:rsid w:val="00A241B6"/>
    <w:rsid w:val="00AC7291"/>
    <w:rsid w:val="00AF51FE"/>
    <w:rsid w:val="00B4167C"/>
    <w:rsid w:val="00B558BB"/>
    <w:rsid w:val="00B610D7"/>
    <w:rsid w:val="00BA1E61"/>
    <w:rsid w:val="00BA3EEB"/>
    <w:rsid w:val="00BD13DE"/>
    <w:rsid w:val="00CC3CC7"/>
    <w:rsid w:val="00CE58BA"/>
    <w:rsid w:val="00CF1E52"/>
    <w:rsid w:val="00D60087"/>
    <w:rsid w:val="00DA5B2B"/>
    <w:rsid w:val="00DB2660"/>
    <w:rsid w:val="00E0481F"/>
    <w:rsid w:val="00E32466"/>
    <w:rsid w:val="00E40231"/>
    <w:rsid w:val="00E9137B"/>
    <w:rsid w:val="00ED19D6"/>
    <w:rsid w:val="00EE3979"/>
    <w:rsid w:val="00EF564E"/>
    <w:rsid w:val="00F201AD"/>
    <w:rsid w:val="00F2402E"/>
    <w:rsid w:val="00F53353"/>
    <w:rsid w:val="00FB79D9"/>
    <w:rsid w:val="00FC4803"/>
    <w:rsid w:val="00FD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8E03"/>
  <w15:chartTrackingRefBased/>
  <w15:docId w15:val="{9FE9BA71-85A0-4363-ADE9-EF231090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24F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5910"/>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524F5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24F5B"/>
    <w:pPr>
      <w:ind w:left="720"/>
      <w:contextualSpacing/>
    </w:pPr>
  </w:style>
  <w:style w:type="table" w:customStyle="1" w:styleId="GridTable4-Accent11">
    <w:name w:val="Grid Table 4 - Accent 11"/>
    <w:basedOn w:val="TableNormal"/>
    <w:uiPriority w:val="49"/>
    <w:rsid w:val="00FD1D9D"/>
    <w:pPr>
      <w:spacing w:after="0" w:line="240" w:lineRule="auto"/>
    </w:pPr>
    <w:rPr>
      <w:rFonts w:ascii="Calibri" w:eastAsia="Calibri" w:hAnsi="Calibri" w:cs="Times New Roman"/>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FootnoteText">
    <w:name w:val="footnote text"/>
    <w:basedOn w:val="Normal"/>
    <w:link w:val="FootnoteTextChar"/>
    <w:uiPriority w:val="99"/>
    <w:semiHidden/>
    <w:unhideWhenUsed/>
    <w:rsid w:val="00E3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466"/>
    <w:rPr>
      <w:sz w:val="20"/>
      <w:szCs w:val="20"/>
    </w:rPr>
  </w:style>
  <w:style w:type="character" w:styleId="FootnoteReference">
    <w:name w:val="footnote reference"/>
    <w:basedOn w:val="DefaultParagraphFont"/>
    <w:uiPriority w:val="99"/>
    <w:semiHidden/>
    <w:unhideWhenUsed/>
    <w:rsid w:val="00E32466"/>
    <w:rPr>
      <w:vertAlign w:val="superscript"/>
    </w:rPr>
  </w:style>
  <w:style w:type="character" w:styleId="Hyperlink">
    <w:name w:val="Hyperlink"/>
    <w:basedOn w:val="DefaultParagraphFont"/>
    <w:uiPriority w:val="99"/>
    <w:unhideWhenUsed/>
    <w:rsid w:val="006E68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e/dokumenta/bb0ab9ce-dfc6-4217-9bb3-3c5a3bd1100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AB05D-AD0B-4149-9D38-8701246F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5255</Words>
  <Characters>29958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Kujundzic</dc:creator>
  <cp:keywords/>
  <dc:description/>
  <cp:lastModifiedBy>Olivera Kujundzic</cp:lastModifiedBy>
  <cp:revision>2</cp:revision>
  <dcterms:created xsi:type="dcterms:W3CDTF">2021-05-18T11:54:00Z</dcterms:created>
  <dcterms:modified xsi:type="dcterms:W3CDTF">2021-05-18T11:54:00Z</dcterms:modified>
</cp:coreProperties>
</file>